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92" w:rsidRPr="00AD1B16" w:rsidRDefault="00D61692" w:rsidP="00D61692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AD1B16">
        <w:rPr>
          <w:rFonts w:ascii="Cambria" w:hAnsi="Cambria" w:cs="Cambria"/>
          <w:noProof/>
        </w:rPr>
        <w:drawing>
          <wp:inline distT="0" distB="0" distL="0" distR="0">
            <wp:extent cx="672998" cy="82658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9" cy="82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CRNA GORA</w:t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MINISTARSTVO FINANSIJA</w:t>
      </w:r>
    </w:p>
    <w:p w:rsidR="00D61692" w:rsidRPr="00AD1B16" w:rsidRDefault="00D61692" w:rsidP="00D61692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B16">
        <w:rPr>
          <w:rFonts w:asciiTheme="minorHAnsi" w:hAnsiTheme="minorHAnsi" w:cstheme="minorHAnsi"/>
          <w:b/>
          <w:bCs/>
          <w:sz w:val="28"/>
          <w:szCs w:val="28"/>
        </w:rPr>
        <w:t>Sektor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za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ekonomsku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politiku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F13E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D1B16">
        <w:rPr>
          <w:rFonts w:asciiTheme="minorHAnsi" w:hAnsiTheme="minorHAnsi" w:cstheme="minorHAnsi"/>
          <w:b/>
          <w:bCs/>
          <w:sz w:val="28"/>
          <w:szCs w:val="28"/>
        </w:rPr>
        <w:t>razvoj</w:t>
      </w:r>
    </w:p>
    <w:p w:rsidR="00D61692" w:rsidRPr="00AD1B16" w:rsidRDefault="00D61692" w:rsidP="00D61692">
      <w:pPr>
        <w:rPr>
          <w:rFonts w:cstheme="minorHAnsi"/>
        </w:rPr>
      </w:pPr>
    </w:p>
    <w:p w:rsidR="00D61692" w:rsidRPr="00AD1B16" w:rsidRDefault="00D61692" w:rsidP="00D61692">
      <w:pPr>
        <w:jc w:val="center"/>
        <w:rPr>
          <w:rFonts w:cstheme="minorHAnsi"/>
          <w:b/>
          <w:bCs/>
          <w:i/>
          <w:iCs/>
          <w:sz w:val="36"/>
          <w:szCs w:val="36"/>
        </w:rPr>
      </w:pPr>
    </w:p>
    <w:p w:rsidR="00D61692" w:rsidRPr="00AD1B16" w:rsidRDefault="00D61692" w:rsidP="000F756E">
      <w:pPr>
        <w:rPr>
          <w:rFonts w:cstheme="minorHAnsi"/>
          <w:b/>
          <w:bCs/>
          <w:i/>
          <w:iCs/>
          <w:sz w:val="36"/>
          <w:szCs w:val="36"/>
        </w:rPr>
      </w:pPr>
    </w:p>
    <w:p w:rsidR="004F7F71" w:rsidRPr="00AD1B16" w:rsidRDefault="004F7F71" w:rsidP="000F756E">
      <w:pPr>
        <w:rPr>
          <w:rFonts w:cstheme="minorHAnsi"/>
          <w:b/>
          <w:bCs/>
          <w:i/>
          <w:iCs/>
          <w:sz w:val="36"/>
          <w:szCs w:val="36"/>
        </w:rPr>
      </w:pPr>
    </w:p>
    <w:p w:rsidR="00D61692" w:rsidRPr="00AD1B16" w:rsidRDefault="00D61692" w:rsidP="00D61692">
      <w:pPr>
        <w:spacing w:line="240" w:lineRule="auto"/>
        <w:jc w:val="center"/>
        <w:rPr>
          <w:rFonts w:cstheme="minorHAnsi"/>
          <w:b/>
          <w:bCs/>
          <w:iCs/>
          <w:sz w:val="52"/>
          <w:szCs w:val="52"/>
        </w:rPr>
      </w:pPr>
      <w:r w:rsidRPr="00AD1B16">
        <w:rPr>
          <w:rFonts w:cstheme="minorHAnsi"/>
          <w:b/>
          <w:bCs/>
          <w:iCs/>
          <w:sz w:val="52"/>
          <w:szCs w:val="52"/>
        </w:rPr>
        <w:t>MJESEČNI MAKROEKONOMSKI INDIKATORI</w:t>
      </w:r>
    </w:p>
    <w:p w:rsidR="00D61692" w:rsidRPr="00AD1B16" w:rsidRDefault="00F13EE1" w:rsidP="00D61692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Januar</w:t>
      </w:r>
      <w:r w:rsidR="00DC3690" w:rsidRPr="00AD1B16">
        <w:rPr>
          <w:rFonts w:cstheme="minorHAnsi"/>
          <w:b/>
          <w:bCs/>
          <w:sz w:val="32"/>
          <w:szCs w:val="32"/>
        </w:rPr>
        <w:t xml:space="preserve"> 201</w:t>
      </w:r>
      <w:r>
        <w:rPr>
          <w:rFonts w:cstheme="minorHAnsi"/>
          <w:b/>
          <w:bCs/>
          <w:sz w:val="32"/>
          <w:szCs w:val="32"/>
        </w:rPr>
        <w:t>3</w:t>
      </w:r>
      <w:r w:rsidR="00D61692" w:rsidRPr="00AD1B16">
        <w:rPr>
          <w:rFonts w:cstheme="minorHAnsi"/>
          <w:b/>
          <w:bCs/>
          <w:sz w:val="32"/>
          <w:szCs w:val="32"/>
        </w:rPr>
        <w:t>.</w:t>
      </w:r>
    </w:p>
    <w:p w:rsidR="00D61692" w:rsidRPr="00AD1B16" w:rsidRDefault="00D61692" w:rsidP="00D6169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20CDA" w:rsidRPr="00AD1B16" w:rsidRDefault="00D20CDA" w:rsidP="00D6169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20CDA" w:rsidRPr="00AD1B16" w:rsidRDefault="004B2B8E" w:rsidP="00D20CDA">
      <w:pPr>
        <w:spacing w:after="0" w:line="240" w:lineRule="auto"/>
        <w:rPr>
          <w:rFonts w:cstheme="minorHAnsi"/>
          <w:bCs/>
          <w:sz w:val="28"/>
          <w:szCs w:val="28"/>
        </w:rPr>
      </w:pPr>
      <w:r w:rsidRPr="004B2B8E">
        <w:rPr>
          <w:rFonts w:cstheme="minorHAnsi"/>
          <w:b/>
          <w:bCs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6.5pt;margin-top:367.6pt;width:234.35pt;height:304.1pt;rotation:-360;z-index:-251658240;mso-position-horizontal-relative:margin;mso-position-vertical-relative:margin;mso-width-relative:margin;mso-height-relative:margin" wrapcoords="1181 -93 506 93 -169 466 -169 21088 591 21507 1012 21647 1181 21647 20334 21647 21178 21507 21769 20902 21769 466 20841 0 20334 -93 1181 -93" o:allowincell="f" adj="1739" fillcolor="#943634 [2405]" strokecolor="#c00000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34786A" w:rsidRPr="00BE47BD" w:rsidRDefault="0034786A" w:rsidP="00BE47BD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BE47B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34786A" w:rsidRDefault="0034786A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E232A9" w:rsidRDefault="00E232A9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Očekuje se oporavak ekonomske aktivnosti EU u drugoj polovini godine.</w:t>
                  </w:r>
                </w:p>
                <w:p w:rsidR="00E232A9" w:rsidRDefault="00E232A9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E232A9" w:rsidRDefault="00E232A9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Proizvodnja električne energije bilježi visoke stope rasta u decembru.</w:t>
                  </w:r>
                </w:p>
                <w:p w:rsidR="00E232A9" w:rsidRDefault="00E232A9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</w:p>
                <w:p w:rsidR="00E232A9" w:rsidRDefault="00E232A9" w:rsidP="00FD0AB9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32"/>
                      <w:szCs w:val="32"/>
                      <w:lang w:val="pl-PL"/>
                    </w:rPr>
                    <w:t>SDI u 2012. su 17% iznad nivoa u 2011.</w:t>
                  </w:r>
                </w:p>
              </w:txbxContent>
            </v:textbox>
            <w10:wrap type="tight" anchorx="margin" anchory="margin"/>
          </v:shape>
        </w:pict>
      </w:r>
      <w:r w:rsidR="004F7F71" w:rsidRPr="00AD1B16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40640</wp:posOffset>
            </wp:positionV>
            <wp:extent cx="5528945" cy="5076190"/>
            <wp:effectExtent l="19050" t="0" r="0" b="0"/>
            <wp:wrapNone/>
            <wp:docPr id="11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507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692" w:rsidRPr="00AD1B16" w:rsidRDefault="00D61692" w:rsidP="00D20CDA">
      <w:pPr>
        <w:spacing w:after="0" w:line="240" w:lineRule="auto"/>
        <w:rPr>
          <w:rFonts w:cstheme="minorHAnsi"/>
          <w:bCs/>
          <w:iCs/>
          <w:sz w:val="26"/>
          <w:szCs w:val="26"/>
        </w:rPr>
      </w:pPr>
    </w:p>
    <w:p w:rsidR="00D61692" w:rsidRPr="00AD1B16" w:rsidRDefault="00D61692" w:rsidP="00D61692">
      <w:pPr>
        <w:pStyle w:val="NoSpacing"/>
        <w:rPr>
          <w:rFonts w:asciiTheme="minorHAnsi" w:hAnsiTheme="minorHAnsi" w:cstheme="minorHAnsi"/>
          <w:bCs/>
          <w:iCs/>
          <w:sz w:val="26"/>
          <w:szCs w:val="26"/>
        </w:rPr>
      </w:pPr>
    </w:p>
    <w:p w:rsidR="00694445" w:rsidRPr="00AD1B16" w:rsidRDefault="00694445" w:rsidP="00694445">
      <w:pPr>
        <w:pStyle w:val="NoSpacing"/>
        <w:rPr>
          <w:rFonts w:asciiTheme="minorHAnsi" w:hAnsiTheme="minorHAnsi" w:cstheme="minorHAnsi"/>
          <w:bCs/>
          <w:sz w:val="28"/>
          <w:szCs w:val="20"/>
        </w:rPr>
      </w:pPr>
    </w:p>
    <w:p w:rsidR="00694445" w:rsidRPr="00AD1B16" w:rsidRDefault="00694445" w:rsidP="003324D9">
      <w:pPr>
        <w:pStyle w:val="NoSpacing"/>
        <w:rPr>
          <w:rFonts w:asciiTheme="minorHAnsi" w:hAnsiTheme="minorHAnsi" w:cstheme="minorHAnsi"/>
          <w:sz w:val="32"/>
        </w:rPr>
      </w:pPr>
    </w:p>
    <w:p w:rsidR="003324D9" w:rsidRPr="00AD1B16" w:rsidRDefault="003324D9" w:rsidP="003324D9">
      <w:pPr>
        <w:pStyle w:val="NoSpacing"/>
        <w:rPr>
          <w:rFonts w:asciiTheme="minorHAnsi" w:hAnsiTheme="minorHAnsi" w:cstheme="minorHAnsi"/>
          <w:sz w:val="32"/>
        </w:rPr>
      </w:pPr>
    </w:p>
    <w:p w:rsidR="003324D9" w:rsidRPr="00AD1B16" w:rsidRDefault="003324D9" w:rsidP="003324D9">
      <w:pPr>
        <w:pStyle w:val="NoSpacing"/>
      </w:pPr>
    </w:p>
    <w:p w:rsidR="003324D9" w:rsidRPr="00AD1B16" w:rsidRDefault="003324D9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0F756E" w:rsidRPr="00AD1B16" w:rsidRDefault="000F756E" w:rsidP="003324D9">
      <w:pPr>
        <w:pStyle w:val="NoSpacing"/>
      </w:pPr>
    </w:p>
    <w:p w:rsidR="00777134" w:rsidRPr="00AD1B16" w:rsidRDefault="00777134" w:rsidP="003324D9">
      <w:pPr>
        <w:pStyle w:val="NoSpacing"/>
        <w:rPr>
          <w:b/>
          <w:bCs/>
          <w:color w:val="000000"/>
          <w:sz w:val="16"/>
          <w:szCs w:val="16"/>
        </w:rPr>
      </w:pPr>
    </w:p>
    <w:p w:rsidR="004F7F71" w:rsidRPr="00AD1B16" w:rsidRDefault="004F7F71" w:rsidP="003324D9">
      <w:pPr>
        <w:pStyle w:val="NoSpacing"/>
        <w:rPr>
          <w:b/>
          <w:bCs/>
          <w:color w:val="000000"/>
          <w:sz w:val="16"/>
          <w:szCs w:val="16"/>
        </w:rPr>
      </w:pPr>
    </w:p>
    <w:p w:rsidR="000F756E" w:rsidRPr="00AD1B16" w:rsidRDefault="000F756E" w:rsidP="003324D9">
      <w:pPr>
        <w:pStyle w:val="NoSpacing"/>
        <w:rPr>
          <w:bCs/>
          <w:color w:val="000000"/>
          <w:sz w:val="16"/>
          <w:szCs w:val="16"/>
        </w:rPr>
      </w:pPr>
      <w:r w:rsidRPr="00AD1B16">
        <w:rPr>
          <w:b/>
          <w:bCs/>
          <w:color w:val="000000"/>
          <w:sz w:val="16"/>
          <w:szCs w:val="16"/>
        </w:rPr>
        <w:t>Tim autora:</w:t>
      </w:r>
      <w:r w:rsidR="00F13EE1">
        <w:rPr>
          <w:b/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Radojka</w:t>
      </w:r>
      <w:r w:rsidR="00F13EE1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Martinović, Olja</w:t>
      </w:r>
      <w:r w:rsidR="00F13EE1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 xml:space="preserve">Tomanović, , </w:t>
      </w:r>
      <w:r w:rsidR="001F69DD" w:rsidRPr="00AD1B16">
        <w:rPr>
          <w:bCs/>
          <w:color w:val="000000"/>
          <w:sz w:val="16"/>
          <w:szCs w:val="16"/>
        </w:rPr>
        <w:t>Marija</w:t>
      </w:r>
      <w:r w:rsidR="00F13EE1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Novosel</w:t>
      </w:r>
      <w:r w:rsidR="00A37B6F">
        <w:rPr>
          <w:bCs/>
          <w:color w:val="000000"/>
          <w:sz w:val="16"/>
          <w:szCs w:val="16"/>
        </w:rPr>
        <w:t>, Milanka Jovanović</w:t>
      </w:r>
      <w:r w:rsidR="00F13EE1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i</w:t>
      </w:r>
      <w:r w:rsidR="00F13EE1">
        <w:rPr>
          <w:bCs/>
          <w:color w:val="000000"/>
          <w:sz w:val="16"/>
          <w:szCs w:val="16"/>
        </w:rPr>
        <w:t xml:space="preserve"> </w:t>
      </w:r>
      <w:r w:rsidRPr="00AD1B16">
        <w:rPr>
          <w:bCs/>
          <w:color w:val="000000"/>
          <w:sz w:val="16"/>
          <w:szCs w:val="16"/>
        </w:rPr>
        <w:t>ZdenkaDabović</w:t>
      </w:r>
    </w:p>
    <w:p w:rsidR="00B40133" w:rsidRPr="00AD1B16" w:rsidRDefault="000F756E" w:rsidP="004F7F71">
      <w:pPr>
        <w:pStyle w:val="NoSpacing"/>
      </w:pPr>
      <w:r w:rsidRPr="00AD1B16">
        <w:rPr>
          <w:b/>
          <w:bCs/>
          <w:color w:val="000000"/>
          <w:sz w:val="16"/>
          <w:szCs w:val="16"/>
        </w:rPr>
        <w:t>Tim recezenata:</w:t>
      </w:r>
      <w:r w:rsidR="00F13EE1">
        <w:rPr>
          <w:b/>
          <w:bCs/>
          <w:color w:val="000000"/>
          <w:sz w:val="16"/>
          <w:szCs w:val="16"/>
        </w:rPr>
        <w:t xml:space="preserve"> </w:t>
      </w:r>
      <w:r w:rsidR="0095708D" w:rsidRPr="00AD1B16">
        <w:rPr>
          <w:bCs/>
          <w:color w:val="000000"/>
          <w:sz w:val="16"/>
          <w:szCs w:val="16"/>
        </w:rPr>
        <w:t>mr</w:t>
      </w:r>
      <w:r w:rsidRPr="00AD1B16">
        <w:rPr>
          <w:bCs/>
          <w:color w:val="000000"/>
          <w:sz w:val="16"/>
          <w:szCs w:val="16"/>
        </w:rPr>
        <w:t>TijanaStanković, Radovan Živković</w:t>
      </w:r>
      <w:r w:rsidR="00812E0B">
        <w:rPr>
          <w:bCs/>
          <w:color w:val="000000"/>
          <w:sz w:val="16"/>
          <w:szCs w:val="16"/>
        </w:rPr>
        <w:t xml:space="preserve"> i I</w:t>
      </w:r>
      <w:r w:rsidRPr="00AD1B16">
        <w:rPr>
          <w:bCs/>
          <w:color w:val="000000"/>
          <w:sz w:val="16"/>
          <w:szCs w:val="16"/>
        </w:rPr>
        <w:t>va Vuković</w:t>
      </w:r>
      <w:r w:rsidR="00B40133" w:rsidRPr="00AD1B16">
        <w:br w:type="page"/>
      </w:r>
    </w:p>
    <w:tbl>
      <w:tblPr>
        <w:tblStyle w:val="TableGrid"/>
        <w:tblW w:w="10740" w:type="dxa"/>
        <w:tblBorders>
          <w:top w:val="thinThickSmallGap" w:sz="18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3629"/>
        <w:gridCol w:w="57"/>
      </w:tblGrid>
      <w:tr w:rsidR="00716A7D" w:rsidRPr="00AD1B16" w:rsidTr="00920528">
        <w:trPr>
          <w:gridAfter w:val="1"/>
          <w:wAfter w:w="57" w:type="dxa"/>
        </w:trPr>
        <w:tc>
          <w:tcPr>
            <w:tcW w:w="7054" w:type="dxa"/>
            <w:tcBorders>
              <w:bottom w:val="single" w:sz="4" w:space="0" w:color="auto"/>
            </w:tcBorders>
          </w:tcPr>
          <w:p w:rsidR="00716A7D" w:rsidRPr="00AD1B16" w:rsidRDefault="00716A7D" w:rsidP="00D26E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AD1B16"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</w:rPr>
              <w:br w:type="page"/>
            </w:r>
            <w:bookmarkStart w:id="0" w:name="OLE_LINK3"/>
            <w:r w:rsidRPr="00AD1B16">
              <w:rPr>
                <w:b/>
                <w:bCs/>
                <w:sz w:val="20"/>
                <w:szCs w:val="20"/>
              </w:rPr>
              <w:t>Međunarodno</w:t>
            </w:r>
            <w:r w:rsidR="005D0E14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okruženje</w:t>
            </w:r>
            <w:bookmarkEnd w:id="0"/>
          </w:p>
        </w:tc>
        <w:tc>
          <w:tcPr>
            <w:tcW w:w="3629" w:type="dxa"/>
            <w:vMerge w:val="restart"/>
          </w:tcPr>
          <w:p w:rsidR="00D01C27" w:rsidRPr="00AD1B16" w:rsidRDefault="00252FF6" w:rsidP="00EB64B9">
            <w:pPr>
              <w:ind w:left="-108"/>
              <w:rPr>
                <w:sz w:val="14"/>
                <w:szCs w:val="14"/>
              </w:rPr>
            </w:pPr>
            <w:r w:rsidRPr="00252FF6">
              <w:rPr>
                <w:noProof/>
                <w:sz w:val="14"/>
                <w:szCs w:val="14"/>
              </w:rPr>
              <w:drawing>
                <wp:inline distT="0" distB="0" distL="0" distR="0">
                  <wp:extent cx="2355850" cy="188595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F6B9D" w:rsidRPr="00AD1B16" w:rsidTr="00920528">
        <w:trPr>
          <w:gridAfter w:val="1"/>
          <w:wAfter w:w="57" w:type="dxa"/>
          <w:trHeight w:val="3014"/>
        </w:trPr>
        <w:tc>
          <w:tcPr>
            <w:tcW w:w="7054" w:type="dxa"/>
            <w:tcBorders>
              <w:top w:val="single" w:sz="4" w:space="0" w:color="auto"/>
            </w:tcBorders>
          </w:tcPr>
          <w:p w:rsidR="00283704" w:rsidRPr="00283704" w:rsidRDefault="00283704" w:rsidP="00283704">
            <w:pPr>
              <w:jc w:val="both"/>
              <w:rPr>
                <w:rFonts w:cstheme="minorHAnsi"/>
                <w:sz w:val="20"/>
                <w:szCs w:val="20"/>
              </w:rPr>
            </w:pPr>
            <w:r w:rsidRPr="00283704">
              <w:rPr>
                <w:rFonts w:cstheme="minorHAnsi"/>
                <w:sz w:val="20"/>
                <w:szCs w:val="20"/>
              </w:rPr>
              <w:t xml:space="preserve">Indikatori ekonomskog sentimenta Evropske unije i Eurozone u Januaru 2013  su se povećali za 1.4 indeksna poena na 90,6 i 89,2. Ekonomski sentiment Evropske unije se povećao u sektorima usluga , građevinarstva, maloprodaje  i kod potrošača ali je blago oslabio u industriji. U Eurozoni ekonomski sentiment je poboljšan u sektorima usluga , građevinarstva i kod potrošača, ali je stagnirao u industriji i maloprodaji. </w:t>
            </w:r>
          </w:p>
          <w:p w:rsidR="00974320" w:rsidRPr="00AD1B16" w:rsidRDefault="00283704" w:rsidP="00AD69AC">
            <w:pPr>
              <w:jc w:val="both"/>
              <w:rPr>
                <w:sz w:val="17"/>
                <w:szCs w:val="17"/>
              </w:rPr>
            </w:pPr>
            <w:r w:rsidRPr="00283704">
              <w:rPr>
                <w:rFonts w:cstheme="minorHAnsi"/>
                <w:sz w:val="20"/>
                <w:szCs w:val="20"/>
              </w:rPr>
              <w:t>Indikator povjerenja u sektoru finansijskih usluga, koji nije uključen  u ukupni ekonomski sen</w:t>
            </w:r>
            <w:r w:rsidR="00AD69AC">
              <w:rPr>
                <w:rFonts w:cstheme="minorHAnsi"/>
                <w:sz w:val="20"/>
                <w:szCs w:val="20"/>
              </w:rPr>
              <w:t>timent povećan je</w:t>
            </w:r>
            <w:r w:rsidRPr="00283704">
              <w:rPr>
                <w:rFonts w:cstheme="minorHAnsi"/>
                <w:sz w:val="20"/>
                <w:szCs w:val="20"/>
              </w:rPr>
              <w:t xml:space="preserve"> i u Evropskoj uniji (+1.0) i u Eurozoni (+2.6). Ov</w:t>
            </w:r>
            <w:r w:rsidR="00A2097F">
              <w:rPr>
                <w:rFonts w:cstheme="minorHAnsi"/>
                <w:sz w:val="20"/>
                <w:szCs w:val="20"/>
              </w:rPr>
              <w:t>aj rast je</w:t>
            </w:r>
            <w:r w:rsidRPr="00283704">
              <w:rPr>
                <w:rFonts w:cstheme="minorHAnsi"/>
                <w:sz w:val="20"/>
                <w:szCs w:val="20"/>
              </w:rPr>
              <w:t xml:space="preserve"> posljedica je povećanog povjerenja u buduću </w:t>
            </w:r>
            <w:r w:rsidR="00A2097F">
              <w:rPr>
                <w:rFonts w:cstheme="minorHAnsi"/>
                <w:sz w:val="20"/>
                <w:szCs w:val="20"/>
              </w:rPr>
              <w:t xml:space="preserve"> kreditnu tražnju, a vezan je za očekivanja postepenog rasta ekonomske aktivnosti u drugoj polovini 2013. godine.</w:t>
            </w:r>
            <w:r w:rsidR="00252FF6">
              <w:rPr>
                <w:rFonts w:cstheme="minorHAnsi"/>
                <w:sz w:val="20"/>
                <w:szCs w:val="20"/>
              </w:rPr>
              <w:t xml:space="preserve"> Cijena brent sirove nafte je porasla na 116,8USD/barel , Kurs eura je na kraju januara ojačao i iznosio je 1EUR= 1,35USD . Cijen</w:t>
            </w:r>
            <w:r w:rsidR="00AD69AC">
              <w:rPr>
                <w:rFonts w:cstheme="minorHAnsi"/>
                <w:sz w:val="20"/>
                <w:szCs w:val="20"/>
              </w:rPr>
              <w:t>a aluminijuma je na nivou od 2.03</w:t>
            </w:r>
            <w:r w:rsidR="00252FF6">
              <w:rPr>
                <w:rFonts w:cstheme="minorHAnsi"/>
                <w:sz w:val="20"/>
                <w:szCs w:val="20"/>
              </w:rPr>
              <w:t>8 USD/T.</w:t>
            </w:r>
          </w:p>
        </w:tc>
        <w:tc>
          <w:tcPr>
            <w:tcW w:w="3629" w:type="dxa"/>
            <w:vMerge/>
            <w:vAlign w:val="center"/>
          </w:tcPr>
          <w:p w:rsidR="00DF6B9D" w:rsidRPr="00AD1B16" w:rsidRDefault="00DF6B9D" w:rsidP="001C6750">
            <w:pPr>
              <w:ind w:left="34" w:hanging="34"/>
              <w:rPr>
                <w:sz w:val="17"/>
                <w:szCs w:val="17"/>
              </w:rPr>
            </w:pPr>
          </w:p>
        </w:tc>
      </w:tr>
      <w:tr w:rsidR="00DF6B9D" w:rsidRPr="00AD1B16" w:rsidTr="00920528">
        <w:trPr>
          <w:gridAfter w:val="1"/>
          <w:wAfter w:w="57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DF6B9D" w:rsidRPr="00AD1B16" w:rsidRDefault="00DF6B9D" w:rsidP="00F13EE1">
            <w:pPr>
              <w:pStyle w:val="ListParagraph"/>
              <w:numPr>
                <w:ilvl w:val="0"/>
                <w:numId w:val="1"/>
              </w:numPr>
              <w:rPr>
                <w:rStyle w:val="CaptionChar"/>
              </w:rPr>
            </w:pPr>
            <w:r w:rsidRPr="00AD1B16">
              <w:rPr>
                <w:rStyle w:val="CaptionChar"/>
              </w:rPr>
              <w:t>Realn</w:t>
            </w:r>
            <w:r w:rsidR="00F13EE1">
              <w:rPr>
                <w:rStyle w:val="CaptionChar"/>
              </w:rPr>
              <w:t xml:space="preserve">i </w:t>
            </w:r>
            <w:r w:rsidRPr="00AD1B16">
              <w:rPr>
                <w:rStyle w:val="CaptionChar"/>
              </w:rPr>
              <w:t>sektor</w:t>
            </w:r>
          </w:p>
        </w:tc>
        <w:tc>
          <w:tcPr>
            <w:tcW w:w="3629" w:type="dxa"/>
            <w:vMerge w:val="restart"/>
            <w:vAlign w:val="center"/>
          </w:tcPr>
          <w:p w:rsidR="00DF6B9D" w:rsidRPr="00AD1B16" w:rsidRDefault="00C13F58" w:rsidP="00157601">
            <w:pPr>
              <w:ind w:left="-250"/>
              <w:jc w:val="center"/>
            </w:pPr>
            <w:r w:rsidRPr="00C13F58">
              <w:rPr>
                <w:noProof/>
              </w:rPr>
              <w:drawing>
                <wp:inline distT="0" distB="0" distL="0" distR="0">
                  <wp:extent cx="2544417" cy="2266122"/>
                  <wp:effectExtent l="0" t="0" r="0" b="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DF6B9D" w:rsidRPr="00AD1B16" w:rsidTr="00920528">
        <w:trPr>
          <w:gridAfter w:val="1"/>
          <w:wAfter w:w="57" w:type="dxa"/>
          <w:trHeight w:val="3288"/>
        </w:trPr>
        <w:tc>
          <w:tcPr>
            <w:tcW w:w="7054" w:type="dxa"/>
            <w:tcBorders>
              <w:top w:val="single" w:sz="4" w:space="0" w:color="auto"/>
            </w:tcBorders>
          </w:tcPr>
          <w:p w:rsidR="00DF6B9D" w:rsidRPr="00AD1B16" w:rsidRDefault="00E64AA5" w:rsidP="0034786A">
            <w:pPr>
              <w:pStyle w:val="NormalWeb"/>
              <w:jc w:val="both"/>
              <w:rPr>
                <w:rFonts w:ascii="Calibri" w:hAnsi="Calibri" w:cs="Calibri"/>
                <w:sz w:val="17"/>
                <w:szCs w:val="17"/>
              </w:rPr>
            </w:pPr>
            <w:r w:rsidRPr="00283704">
              <w:rPr>
                <w:rFonts w:ascii="Calibri" w:hAnsi="Calibri" w:cs="Calibri"/>
                <w:b/>
                <w:sz w:val="20"/>
                <w:szCs w:val="22"/>
                <w:lang w:val="en-US" w:eastAsia="en-US"/>
              </w:rPr>
              <w:t xml:space="preserve">Nakon više mjeseci pada industrijska proizvodnja u decembru bilježi godišnji rast, kao i rast u odnosu na prethodni mjesec. 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>Godišnji rast industrijske proizvodnje od 17,0%,</w:t>
            </w:r>
            <w:r w:rsidR="00920528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 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opredijeljen je rastom </w:t>
            </w:r>
            <w:r w:rsidR="0034786A">
              <w:rPr>
                <w:rFonts w:ascii="Calibri" w:hAnsi="Calibri" w:cs="Calibri"/>
                <w:sz w:val="20"/>
                <w:szCs w:val="22"/>
                <w:lang w:val="en-US" w:eastAsia="en-US"/>
              </w:rPr>
              <w:t>proizvodnje električne energije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 od 100,5%, dok su sektori </w:t>
            </w:r>
            <w:r w:rsidR="0034786A">
              <w:rPr>
                <w:rFonts w:ascii="Calibri" w:hAnsi="Calibri" w:cs="Calibri"/>
                <w:sz w:val="20"/>
                <w:szCs w:val="22"/>
                <w:lang w:val="en-US" w:eastAsia="en-US"/>
              </w:rPr>
              <w:t>su preradjivačka industrija I rudarstvo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 ostvarili godišnji pad od 21,0 i 10,1%,respektivno. Godišnji pad prerađivačke industrije(10,1%) dominantno je opredijeljen padom proizvodnje metala</w:t>
            </w:r>
            <w:r w:rsidR="00E232A9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 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>(45,7%),usljed pada proizvodnje aluminijuma i čelika i padom proizvodnje pića(11,9%). Promet u trgovini na malo (tekuće cijene) u decembru bilježi godišnji rast od 2,1%, dok je na nivou 2012 godine ostvaren rast od 6,7%.</w:t>
            </w:r>
            <w:r w:rsidR="00920528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 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Vrijednost izvršenih radova građevinarstvu u IV kvartalu bilježi pad od 28,2% u odnosu na isti kvartal prethodne godine, izvršeni efektivni časovi rada niži su za 10,2% u odnosu na IV kvartal 2011.godine, dok vrijednost ugovora na novim zgradama u IV kvartalu bilježi  rast od 203,8% u odnosu na isti kvartal prošle godine. </w:t>
            </w:r>
          </w:p>
        </w:tc>
        <w:tc>
          <w:tcPr>
            <w:tcW w:w="3629" w:type="dxa"/>
            <w:vMerge/>
            <w:vAlign w:val="center"/>
          </w:tcPr>
          <w:p w:rsidR="00DF6B9D" w:rsidRPr="00AD1B16" w:rsidRDefault="00DF6B9D" w:rsidP="00FE641C">
            <w:pPr>
              <w:spacing w:after="119"/>
              <w:jc w:val="center"/>
              <w:rPr>
                <w:noProof/>
              </w:rPr>
            </w:pPr>
          </w:p>
        </w:tc>
      </w:tr>
      <w:tr w:rsidR="00DF6B9D" w:rsidRPr="00AD1B16" w:rsidTr="00920528">
        <w:trPr>
          <w:gridAfter w:val="1"/>
          <w:wAfter w:w="57" w:type="dxa"/>
          <w:trHeight w:val="215"/>
        </w:trPr>
        <w:tc>
          <w:tcPr>
            <w:tcW w:w="7054" w:type="dxa"/>
            <w:tcBorders>
              <w:bottom w:val="single" w:sz="4" w:space="0" w:color="auto"/>
            </w:tcBorders>
          </w:tcPr>
          <w:p w:rsidR="00DF6B9D" w:rsidRPr="00AD1B16" w:rsidRDefault="00DF6B9D" w:rsidP="00FE641C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D1B16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Cijene</w:t>
            </w:r>
          </w:p>
        </w:tc>
        <w:tc>
          <w:tcPr>
            <w:tcW w:w="3629" w:type="dxa"/>
            <w:vMerge w:val="restart"/>
            <w:vAlign w:val="center"/>
          </w:tcPr>
          <w:p w:rsidR="00DF6B9D" w:rsidRPr="00AD1B16" w:rsidRDefault="001B3267" w:rsidP="00676A4B">
            <w:pPr>
              <w:ind w:left="-250"/>
              <w:jc w:val="center"/>
              <w:rPr>
                <w:b/>
                <w:noProof/>
              </w:rPr>
            </w:pPr>
            <w:r w:rsidRPr="001B3267">
              <w:rPr>
                <w:b/>
                <w:noProof/>
              </w:rPr>
              <w:drawing>
                <wp:inline distT="0" distB="0" distL="0" distR="0">
                  <wp:extent cx="2498400" cy="2070000"/>
                  <wp:effectExtent l="0" t="0" r="0" b="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F6B9D" w:rsidRPr="00AD1B16" w:rsidTr="00920528">
        <w:trPr>
          <w:gridAfter w:val="1"/>
          <w:wAfter w:w="57" w:type="dxa"/>
          <w:trHeight w:val="3122"/>
        </w:trPr>
        <w:tc>
          <w:tcPr>
            <w:tcW w:w="7054" w:type="dxa"/>
            <w:tcBorders>
              <w:top w:val="single" w:sz="4" w:space="0" w:color="auto"/>
            </w:tcBorders>
          </w:tcPr>
          <w:p w:rsidR="00DF6B9D" w:rsidRPr="00AD1B16" w:rsidRDefault="00E64AA5" w:rsidP="00920528">
            <w:pPr>
              <w:pStyle w:val="NormalWeb"/>
              <w:jc w:val="both"/>
              <w:rPr>
                <w:rFonts w:ascii="Calibri" w:hAnsi="Calibri" w:cs="Calibri"/>
                <w:sz w:val="17"/>
                <w:szCs w:val="17"/>
                <w:lang w:eastAsia="en-US"/>
              </w:rPr>
            </w:pPr>
            <w:r w:rsidRPr="00283704">
              <w:rPr>
                <w:rFonts w:ascii="Calibri" w:hAnsi="Calibri" w:cs="Calibri"/>
                <w:b/>
                <w:sz w:val="20"/>
                <w:szCs w:val="22"/>
                <w:lang w:val="en-US" w:eastAsia="en-US"/>
              </w:rPr>
              <w:t>Stabilan trend cijena u decembru zadržao godišnju stopu inflacije na nivou od 5,1</w:t>
            </w:r>
            <w:r w:rsidR="0034786A">
              <w:rPr>
                <w:rFonts w:ascii="Calibri" w:hAnsi="Calibri" w:cs="Calibri"/>
                <w:b/>
                <w:sz w:val="20"/>
                <w:szCs w:val="22"/>
                <w:lang w:val="en-US" w:eastAsia="en-US"/>
              </w:rPr>
              <w:t>%</w:t>
            </w:r>
            <w:r w:rsidR="00920528">
              <w:rPr>
                <w:rFonts w:ascii="Calibri" w:hAnsi="Calibri" w:cs="Calibri"/>
                <w:b/>
                <w:sz w:val="20"/>
                <w:szCs w:val="22"/>
                <w:lang w:val="en-US" w:eastAsia="en-US"/>
              </w:rPr>
              <w:t xml:space="preserve"> 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>pri čemu su najznačajniji uticaj na ostvarenu stopu imale grupe “hrana” (godišnji rast 6,8%, usljed nepovoljnih vremenskih uslova koji su uticali na proizvodnju hrane kod nas i okruženju),”električna energija, gas i ostala goriva”(godišnji rast 16,2%,usljed povećanja cijena struje tri puta u toku godine),”duvan”i “bezalkoholna pića”( godišnji rast 16,5 I 9,0%,respektivno,usljed povećanja akciza) i grupe “odjeća”(godišnji rast 8,6%, usljed rasta cijena ovih proizvoda na tržištu).</w:t>
            </w:r>
            <w:r w:rsidR="00920528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 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>Godišnja inflacija, mjerena harmonizovanim indeksom potrošačkih cijena, u decembru je iznosila 4,4%, što je pad od 0,4 p.p u odnosu na inflaciju izmjerenu prethodnog mjeseca. Cijene proizvođača industrijskih proizvoda u decembru bilježe godišnji rast od 5,7%, što je dominantno opredijeljeno godišnji</w:t>
            </w:r>
            <w:r w:rsidR="00920528">
              <w:rPr>
                <w:rFonts w:ascii="Calibri" w:hAnsi="Calibri" w:cs="Calibri"/>
                <w:sz w:val="20"/>
                <w:szCs w:val="22"/>
                <w:lang w:val="en-US" w:eastAsia="en-US"/>
              </w:rPr>
              <w:t>m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 rastom cijena u sektoru</w:t>
            </w:r>
            <w:r w:rsidR="00920528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 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>”snabdijevanje el.ener</w:t>
            </w:r>
            <w:r w:rsidR="00920528">
              <w:rPr>
                <w:rFonts w:ascii="Calibri" w:hAnsi="Calibri" w:cs="Calibri"/>
                <w:sz w:val="20"/>
                <w:szCs w:val="22"/>
                <w:lang w:val="en-US" w:eastAsia="en-US"/>
              </w:rPr>
              <w:t>gijom,gasom i  parom” od 18,7%. I</w:t>
            </w:r>
            <w:r w:rsidRPr="00283704">
              <w:rPr>
                <w:rFonts w:ascii="Calibri" w:hAnsi="Calibri" w:cs="Calibri"/>
                <w:sz w:val="20"/>
                <w:szCs w:val="22"/>
                <w:lang w:val="en-US" w:eastAsia="en-US"/>
              </w:rPr>
              <w:t xml:space="preserve">nflacije u EU zoni u decembru iznosila je 2,2%, isto kao i </w:t>
            </w:r>
            <w:r w:rsidRPr="00283704">
              <w:rPr>
                <w:rFonts w:ascii="Calibri" w:hAnsi="Calibri" w:cs="Calibri"/>
                <w:sz w:val="20"/>
                <w:szCs w:val="20"/>
                <w:lang w:val="en-US" w:eastAsia="en-US"/>
              </w:rPr>
              <w:t>prethodnog mjeseca.</w:t>
            </w:r>
            <w:r w:rsidR="00937C0F" w:rsidRPr="00283704">
              <w:rPr>
                <w:rFonts w:ascii="Calibri" w:hAnsi="Calibri" w:cs="Calibr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3629" w:type="dxa"/>
            <w:vMerge/>
            <w:vAlign w:val="center"/>
          </w:tcPr>
          <w:p w:rsidR="00DF6B9D" w:rsidRPr="00AD1B16" w:rsidRDefault="00DF6B9D" w:rsidP="00480082">
            <w:pPr>
              <w:pStyle w:val="NoSpacing"/>
              <w:jc w:val="both"/>
              <w:rPr>
                <w:rFonts w:asciiTheme="minorHAnsi" w:hAnsiTheme="minorHAnsi" w:cstheme="minorHAnsi"/>
                <w:noProof/>
                <w:sz w:val="17"/>
                <w:szCs w:val="17"/>
              </w:rPr>
            </w:pPr>
          </w:p>
        </w:tc>
      </w:tr>
      <w:tr w:rsidR="00DF6B9D" w:rsidRPr="00AD1B16" w:rsidTr="00920528">
        <w:trPr>
          <w:gridAfter w:val="1"/>
          <w:wAfter w:w="57" w:type="dxa"/>
          <w:trHeight w:val="255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:rsidR="00607500" w:rsidRPr="00AD1B16" w:rsidRDefault="00DF6B9D" w:rsidP="00A3386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Zaposlenost</w:t>
            </w:r>
            <w:r w:rsidR="00E35767">
              <w:rPr>
                <w:b/>
                <w:bCs/>
                <w:sz w:val="20"/>
                <w:szCs w:val="20"/>
              </w:rPr>
              <w:t xml:space="preserve"> i</w:t>
            </w:r>
            <w:r w:rsidR="008573C7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zarade</w:t>
            </w:r>
          </w:p>
        </w:tc>
        <w:tc>
          <w:tcPr>
            <w:tcW w:w="3629" w:type="dxa"/>
            <w:vMerge w:val="restart"/>
            <w:vAlign w:val="center"/>
          </w:tcPr>
          <w:p w:rsidR="00DF6B9D" w:rsidRPr="00AD1B16" w:rsidRDefault="00C42838" w:rsidP="00905F6A">
            <w:pPr>
              <w:ind w:left="-250"/>
              <w:jc w:val="center"/>
            </w:pPr>
            <w:r w:rsidRPr="00C42838">
              <w:rPr>
                <w:noProof/>
              </w:rPr>
              <w:drawing>
                <wp:inline distT="0" distB="0" distL="0" distR="0">
                  <wp:extent cx="2499177" cy="2062868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F4195C" w:rsidRPr="00AD1B16" w:rsidTr="00920528">
        <w:trPr>
          <w:gridAfter w:val="1"/>
          <w:wAfter w:w="57" w:type="dxa"/>
          <w:trHeight w:val="1986"/>
        </w:trPr>
        <w:tc>
          <w:tcPr>
            <w:tcW w:w="7054" w:type="dxa"/>
            <w:tcBorders>
              <w:top w:val="single" w:sz="4" w:space="0" w:color="auto"/>
            </w:tcBorders>
          </w:tcPr>
          <w:p w:rsidR="0034786A" w:rsidRDefault="0034786A" w:rsidP="004932C1">
            <w:pPr>
              <w:jc w:val="both"/>
              <w:rPr>
                <w:b/>
                <w:sz w:val="20"/>
                <w:szCs w:val="20"/>
              </w:rPr>
            </w:pPr>
          </w:p>
          <w:p w:rsidR="004932C1" w:rsidRPr="00B6645D" w:rsidRDefault="00D47D6A" w:rsidP="004932C1">
            <w:pPr>
              <w:jc w:val="both"/>
            </w:pPr>
            <w:r>
              <w:rPr>
                <w:b/>
                <w:sz w:val="20"/>
                <w:szCs w:val="20"/>
              </w:rPr>
              <w:t xml:space="preserve">U </w:t>
            </w:r>
            <w:r w:rsidR="004932C1">
              <w:rPr>
                <w:b/>
                <w:sz w:val="20"/>
                <w:szCs w:val="20"/>
              </w:rPr>
              <w:t>dece</w:t>
            </w:r>
            <w:r>
              <w:rPr>
                <w:b/>
                <w:sz w:val="20"/>
                <w:szCs w:val="20"/>
              </w:rPr>
              <w:t>mbru 2012 je zabilježen rast zaposlenosti u odnosu na prethodnu godinu od 3,1 % kao i povećanje broja nezaposlenih od 2,2 %</w:t>
            </w:r>
            <w:r w:rsidR="004932C1">
              <w:rPr>
                <w:sz w:val="20"/>
                <w:szCs w:val="20"/>
              </w:rPr>
              <w:t>. U decembru 2012. godine broj zaposlenih je iznosio 167</w:t>
            </w:r>
            <w:r w:rsidR="00812E0B">
              <w:rPr>
                <w:sz w:val="20"/>
                <w:szCs w:val="20"/>
              </w:rPr>
              <w:t>.</w:t>
            </w:r>
            <w:r w:rsidR="004932C1">
              <w:rPr>
                <w:sz w:val="20"/>
                <w:szCs w:val="20"/>
              </w:rPr>
              <w:t>484, a broj nezaposlenih 31</w:t>
            </w:r>
            <w:r w:rsidR="00812E0B">
              <w:rPr>
                <w:sz w:val="20"/>
                <w:szCs w:val="20"/>
              </w:rPr>
              <w:t>.</w:t>
            </w:r>
            <w:r w:rsidR="004932C1">
              <w:rPr>
                <w:sz w:val="20"/>
                <w:szCs w:val="20"/>
              </w:rPr>
              <w:t xml:space="preserve">232. Stopa nezaposlenosti je smanjena sa 13,3%  u 2011. na 13,0% u 2012. </w:t>
            </w:r>
            <w:r w:rsidR="004932C1" w:rsidRPr="0038221F">
              <w:rPr>
                <w:sz w:val="20"/>
                <w:szCs w:val="20"/>
              </w:rPr>
              <w:t xml:space="preserve">I </w:t>
            </w:r>
            <w:r w:rsidR="004932C1">
              <w:rPr>
                <w:sz w:val="20"/>
                <w:szCs w:val="20"/>
              </w:rPr>
              <w:t>d</w:t>
            </w:r>
            <w:r w:rsidR="004932C1" w:rsidRPr="00B41944">
              <w:rPr>
                <w:sz w:val="20"/>
                <w:szCs w:val="20"/>
              </w:rPr>
              <w:t>alje se povećava</w:t>
            </w:r>
            <w:r w:rsidR="004932C1">
              <w:rPr>
                <w:b/>
                <w:i/>
                <w:sz w:val="20"/>
                <w:szCs w:val="20"/>
              </w:rPr>
              <w:t xml:space="preserve"> </w:t>
            </w:r>
            <w:r w:rsidR="004932C1">
              <w:rPr>
                <w:sz w:val="20"/>
                <w:szCs w:val="20"/>
              </w:rPr>
              <w:t xml:space="preserve">broj nezaposlenih lica koja prvi put traže zaposlenje (6,4%  u 2012. u odnosu na 2011), a u okviru njih najviše je visokoškolovanih lica (u decembru 2012. u odnosu na decembar 2011. povećanje 50,0%). </w:t>
            </w:r>
            <w:r w:rsidR="004932C1" w:rsidRPr="00B6645D">
              <w:rPr>
                <w:sz w:val="20"/>
                <w:szCs w:val="20"/>
              </w:rPr>
              <w:t>Povećan</w:t>
            </w:r>
            <w:r w:rsidR="004932C1" w:rsidRPr="008573C7">
              <w:rPr>
                <w:b/>
                <w:sz w:val="20"/>
                <w:szCs w:val="20"/>
              </w:rPr>
              <w:t xml:space="preserve"> je broj lica koja se zapošljavaju posredstvom Zavoda za zapošljavanje za</w:t>
            </w:r>
            <w:r w:rsidR="004932C1">
              <w:rPr>
                <w:b/>
                <w:sz w:val="20"/>
                <w:szCs w:val="20"/>
              </w:rPr>
              <w:t xml:space="preserve"> 16,1%</w:t>
            </w:r>
            <w:r w:rsidR="004932C1">
              <w:rPr>
                <w:sz w:val="20"/>
                <w:szCs w:val="20"/>
              </w:rPr>
              <w:t xml:space="preserve"> u 2012. u odnosu na 2011. godinu. U 2012. godini </w:t>
            </w:r>
            <w:r w:rsidR="004932C1" w:rsidRPr="00E2488C">
              <w:rPr>
                <w:b/>
                <w:sz w:val="20"/>
                <w:szCs w:val="20"/>
              </w:rPr>
              <w:t>broj</w:t>
            </w:r>
            <w:r w:rsidR="004932C1">
              <w:rPr>
                <w:sz w:val="20"/>
                <w:szCs w:val="20"/>
              </w:rPr>
              <w:t xml:space="preserve"> </w:t>
            </w:r>
            <w:r w:rsidR="004932C1" w:rsidRPr="00E2488C">
              <w:rPr>
                <w:b/>
                <w:sz w:val="20"/>
                <w:szCs w:val="20"/>
              </w:rPr>
              <w:t>slobodnih radnih mjesta je iznosio</w:t>
            </w:r>
            <w:r w:rsidR="004932C1">
              <w:rPr>
                <w:b/>
                <w:sz w:val="20"/>
                <w:szCs w:val="20"/>
              </w:rPr>
              <w:t xml:space="preserve"> </w:t>
            </w:r>
            <w:r w:rsidR="004932C1" w:rsidRPr="00E2488C">
              <w:rPr>
                <w:b/>
                <w:sz w:val="20"/>
                <w:szCs w:val="20"/>
              </w:rPr>
              <w:t>24686</w:t>
            </w:r>
            <w:r w:rsidR="00B50021">
              <w:rPr>
                <w:sz w:val="20"/>
                <w:szCs w:val="20"/>
              </w:rPr>
              <w:t xml:space="preserve"> i</w:t>
            </w:r>
            <w:r w:rsidR="004932C1">
              <w:rPr>
                <w:sz w:val="20"/>
                <w:szCs w:val="20"/>
              </w:rPr>
              <w:t xml:space="preserve"> za 9,0% je veći nego u prethodnoj godini, dok je </w:t>
            </w:r>
            <w:r w:rsidR="004932C1" w:rsidRPr="00E2488C">
              <w:rPr>
                <w:b/>
                <w:sz w:val="20"/>
                <w:szCs w:val="20"/>
              </w:rPr>
              <w:t>stranaca sa radnom dozvolom</w:t>
            </w:r>
            <w:r w:rsidR="004932C1">
              <w:rPr>
                <w:sz w:val="20"/>
                <w:szCs w:val="20"/>
              </w:rPr>
              <w:t xml:space="preserve"> </w:t>
            </w:r>
            <w:r w:rsidR="004932C1" w:rsidRPr="0044550D">
              <w:rPr>
                <w:b/>
                <w:sz w:val="20"/>
                <w:szCs w:val="20"/>
              </w:rPr>
              <w:t>bilo 20</w:t>
            </w:r>
            <w:r w:rsidR="007E5CC1" w:rsidRPr="0044550D">
              <w:rPr>
                <w:b/>
                <w:sz w:val="20"/>
                <w:szCs w:val="20"/>
              </w:rPr>
              <w:t>675</w:t>
            </w:r>
            <w:r w:rsidR="00812E0B">
              <w:rPr>
                <w:sz w:val="20"/>
                <w:szCs w:val="20"/>
              </w:rPr>
              <w:t xml:space="preserve"> ili 6,7% više</w:t>
            </w:r>
            <w:r w:rsidR="004932C1">
              <w:rPr>
                <w:sz w:val="20"/>
                <w:szCs w:val="20"/>
              </w:rPr>
              <w:t xml:space="preserve">. </w:t>
            </w:r>
            <w:r w:rsidR="004932C1" w:rsidRPr="00DB2CB4">
              <w:rPr>
                <w:b/>
                <w:sz w:val="20"/>
                <w:szCs w:val="20"/>
              </w:rPr>
              <w:t xml:space="preserve">Prosječne bruto zarade u decembru 2012. su iznosile 741€ dok su zarade bez poreza </w:t>
            </w:r>
            <w:r w:rsidR="0034786A">
              <w:rPr>
                <w:b/>
                <w:sz w:val="20"/>
                <w:szCs w:val="20"/>
              </w:rPr>
              <w:t>i</w:t>
            </w:r>
            <w:r w:rsidR="004932C1" w:rsidRPr="00DB2CB4">
              <w:rPr>
                <w:b/>
                <w:sz w:val="20"/>
                <w:szCs w:val="20"/>
              </w:rPr>
              <w:t xml:space="preserve"> doprinosa iznosile 497€.</w:t>
            </w:r>
            <w:r w:rsidR="004932C1">
              <w:rPr>
                <w:sz w:val="20"/>
                <w:szCs w:val="20"/>
              </w:rPr>
              <w:t xml:space="preserve"> U 2012. u odnosu na 2011. god.  prosječne bruto zarade su povećane za 0,7%, a prosječne zarade bez poreza i doprinosa 0,6%. </w:t>
            </w:r>
            <w:r w:rsidR="004932C1" w:rsidRPr="00DB2CB4">
              <w:rPr>
                <w:b/>
                <w:sz w:val="20"/>
                <w:szCs w:val="20"/>
              </w:rPr>
              <w:t xml:space="preserve">Prosječne neto zarade su u 2012. godini u odnosu na 2011. </w:t>
            </w:r>
            <w:r w:rsidR="007E1AB8">
              <w:rPr>
                <w:b/>
                <w:sz w:val="20"/>
                <w:szCs w:val="20"/>
              </w:rPr>
              <w:t xml:space="preserve">realno su </w:t>
            </w:r>
            <w:r w:rsidR="004932C1" w:rsidRPr="00DB2CB4">
              <w:rPr>
                <w:b/>
                <w:sz w:val="20"/>
                <w:szCs w:val="20"/>
              </w:rPr>
              <w:t>smanjene 3,3%,</w:t>
            </w:r>
            <w:r w:rsidR="004932C1">
              <w:rPr>
                <w:sz w:val="20"/>
                <w:szCs w:val="20"/>
              </w:rPr>
              <w:t xml:space="preserve"> na što je uticao rast potrošačkih cijena od 4,1%.</w:t>
            </w:r>
          </w:p>
          <w:p w:rsidR="00F4195C" w:rsidRPr="00AD1B16" w:rsidRDefault="00F4195C" w:rsidP="00E3576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629" w:type="dxa"/>
            <w:vMerge/>
            <w:vAlign w:val="center"/>
          </w:tcPr>
          <w:p w:rsidR="00F4195C" w:rsidRPr="00AD1B16" w:rsidRDefault="00F4195C" w:rsidP="00CD1303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716A7D" w:rsidRPr="00AD1B16" w:rsidTr="00920528">
        <w:trPr>
          <w:trHeight w:val="236"/>
        </w:trPr>
        <w:tc>
          <w:tcPr>
            <w:tcW w:w="705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716A7D" w:rsidRPr="00AD1B16" w:rsidRDefault="00A46C9C" w:rsidP="00D26EB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AD1B16">
              <w:br w:type="page"/>
            </w:r>
            <w:r w:rsidR="00716A7D" w:rsidRPr="00AD1B16">
              <w:rPr>
                <w:b/>
                <w:bCs/>
                <w:sz w:val="20"/>
                <w:szCs w:val="20"/>
              </w:rPr>
              <w:t>Javne</w:t>
            </w:r>
            <w:r w:rsidR="00F13EE1">
              <w:rPr>
                <w:b/>
                <w:bCs/>
                <w:sz w:val="20"/>
                <w:szCs w:val="20"/>
              </w:rPr>
              <w:t xml:space="preserve"> </w:t>
            </w:r>
            <w:r w:rsidR="00716A7D" w:rsidRPr="00AD1B16">
              <w:rPr>
                <w:b/>
                <w:bCs/>
                <w:sz w:val="20"/>
                <w:szCs w:val="20"/>
              </w:rPr>
              <w:t>finansije</w:t>
            </w:r>
          </w:p>
        </w:tc>
        <w:tc>
          <w:tcPr>
            <w:tcW w:w="3686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487296" w:rsidRPr="00AD1B16" w:rsidRDefault="00401DED" w:rsidP="00F70CC9">
            <w:pPr>
              <w:ind w:left="-250"/>
              <w:jc w:val="center"/>
            </w:pPr>
            <w:r w:rsidRPr="00401DED">
              <w:rPr>
                <w:noProof/>
              </w:rPr>
              <w:drawing>
                <wp:inline distT="0" distB="0" distL="0" distR="0">
                  <wp:extent cx="2568023" cy="2910177"/>
                  <wp:effectExtent l="19050" t="0" r="22777" b="4473"/>
                  <wp:docPr id="8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D0474" w:rsidRPr="00CE2CB7" w:rsidTr="00920528">
        <w:trPr>
          <w:trHeight w:val="3425"/>
        </w:trPr>
        <w:tc>
          <w:tcPr>
            <w:tcW w:w="7054" w:type="dxa"/>
            <w:tcBorders>
              <w:top w:val="single" w:sz="4" w:space="0" w:color="auto"/>
            </w:tcBorders>
          </w:tcPr>
          <w:p w:rsidR="00CE2CB7" w:rsidRPr="00CE2CB7" w:rsidRDefault="00CE2CB7" w:rsidP="00CE2CB7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E2CB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Izvorni prihodi budžeta u 2012 godini ostvareni su u iznosu od 1.119,94 mil. € i niži su odnosu na 2011 godinu za 0,82%. </w:t>
            </w:r>
            <w:r w:rsidRPr="00CE2CB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Budžet Crne Gore u decembru 2012. karakteriše povećanje prihoda od 2,16% u odnosu na isti mjesec prošle godine</w:t>
            </w:r>
            <w:r w:rsidRPr="00CE2CB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CE2CB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uz neznatno negativno odstupanje u odnosu na plan od 0,59%. Izvorni prihodi budžeta u decembru ostvareni su u iznosu od 125,85 mil €. Akcize bilježe rast (47,38%) u odnosu na decembar 2011., dok su PDV i porez na međunarodnu trgovinu i transakcije smanjeni (za 26,8% i 54,4% respektivno). Pad prihoda od poreza na međunarodnu trgovinu i transakcije nastao je usljed liberalizacije na međunarodnom tržištu i stalnog sniženja carinskih stopa. Pad ovih prihoda kompenzovan je rastom poreza i doprinosa na zarade (2,47%) i rastom prihoda od kapitala (zakup zemljišta) i taksi. Prihodi od ostalih taksi povećani su uvođenjem novih taksi u okviru privremenih fiskalnih mjera u 2012 godini.</w:t>
            </w:r>
          </w:p>
          <w:p w:rsidR="00CE2CB7" w:rsidRPr="00CE2CB7" w:rsidRDefault="00CE2CB7" w:rsidP="00CE2CB7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E2CB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Izdaci budžeta u 2012. godine iznosili su 1.282,62 mil. €, ili 38,59% BDP-a, i smanjeni su u odnosu na prethodnu godinu za 2,74%. </w:t>
            </w:r>
            <w:r w:rsidRPr="00CE2CB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 decembru 2012 godine izdaci budžeta</w:t>
            </w:r>
            <w:r w:rsidRPr="00CE2CB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E2CB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iznosili su 152,26 mil € i bilježe značajan pad u odnosu na decembar 2011. od 25,81%, dok su u odnosu na plan povećani za 39,95%.</w:t>
            </w:r>
          </w:p>
          <w:p w:rsidR="00CE2CB7" w:rsidRPr="00CE2CB7" w:rsidRDefault="00CE2CB7" w:rsidP="00CE2CB7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E2CB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Deficit budžeta</w:t>
            </w:r>
            <w:r w:rsidRPr="00CE2CB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u decembru 2012. iznosi 26,41 mil € i niži je od deficita iz decembra 2011. za 55,6 mil. €  a nastao je usljed nižih ostvarenih od planiranih izdataka u decembru 2012.  </w:t>
            </w:r>
          </w:p>
          <w:p w:rsidR="00F74097" w:rsidRPr="00CE2CB7" w:rsidRDefault="00CE2CB7" w:rsidP="00CE2CB7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CE2CB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Državni dug</w:t>
            </w:r>
            <w:r w:rsidRPr="00CE2CB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na kraju decembra 2012. iznosio je 1,703.0 mil € ili 51,23% BDP-a, čime je njegovo učešće u BDP-u povećano u odnosu na decembar 2011. za  5,36 p.p.</w:t>
            </w:r>
          </w:p>
        </w:tc>
        <w:tc>
          <w:tcPr>
            <w:tcW w:w="3686" w:type="dxa"/>
            <w:gridSpan w:val="2"/>
            <w:vMerge/>
            <w:tcBorders>
              <w:top w:val="nil"/>
            </w:tcBorders>
            <w:vAlign w:val="center"/>
          </w:tcPr>
          <w:p w:rsidR="00AD0474" w:rsidRPr="00CE2CB7" w:rsidRDefault="00AD0474" w:rsidP="00461324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ED66A9" w:rsidRPr="00AD1B16" w:rsidTr="00920528">
        <w:trPr>
          <w:trHeight w:val="258"/>
        </w:trPr>
        <w:tc>
          <w:tcPr>
            <w:tcW w:w="7054" w:type="dxa"/>
            <w:tcBorders>
              <w:bottom w:val="single" w:sz="4" w:space="0" w:color="auto"/>
            </w:tcBorders>
          </w:tcPr>
          <w:p w:rsidR="00ED66A9" w:rsidRPr="00AD1B16" w:rsidRDefault="00ED66A9" w:rsidP="00461324">
            <w:pPr>
              <w:pStyle w:val="ListParagraph"/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Bankarski</w:t>
            </w:r>
            <w:r w:rsidR="00812E0B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sektor</w:t>
            </w:r>
            <w:r w:rsidR="00812E0B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i</w:t>
            </w:r>
            <w:r w:rsidR="00812E0B">
              <w:rPr>
                <w:b/>
                <w:bCs/>
                <w:sz w:val="20"/>
                <w:szCs w:val="20"/>
              </w:rPr>
              <w:t xml:space="preserve"> </w:t>
            </w:r>
            <w:r w:rsidRPr="00AD1B16">
              <w:rPr>
                <w:b/>
                <w:bCs/>
                <w:sz w:val="20"/>
                <w:szCs w:val="20"/>
              </w:rPr>
              <w:t>likvidnost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ED66A9" w:rsidRPr="00AD1B16" w:rsidRDefault="00415784" w:rsidP="00A2097F">
            <w:pPr>
              <w:ind w:left="-250"/>
              <w:jc w:val="center"/>
            </w:pPr>
            <w:r w:rsidRPr="00415784">
              <w:rPr>
                <w:noProof/>
              </w:rPr>
              <w:drawing>
                <wp:inline distT="0" distB="0" distL="0" distR="0">
                  <wp:extent cx="2298700" cy="2089150"/>
                  <wp:effectExtent l="0" t="0" r="635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A46C9C" w:rsidRPr="00AD1B16" w:rsidTr="00920528">
        <w:trPr>
          <w:trHeight w:val="4232"/>
        </w:trPr>
        <w:tc>
          <w:tcPr>
            <w:tcW w:w="7054" w:type="dxa"/>
            <w:tcBorders>
              <w:top w:val="single" w:sz="4" w:space="0" w:color="auto"/>
            </w:tcBorders>
          </w:tcPr>
          <w:tbl>
            <w:tblPr>
              <w:tblStyle w:val="TableGrid"/>
              <w:tblW w:w="10740" w:type="dxa"/>
              <w:tblBorders>
                <w:top w:val="thinThickSmallGap" w:sz="18" w:space="0" w:color="auto"/>
                <w:left w:val="none" w:sz="0" w:space="0" w:color="auto"/>
                <w:bottom w:val="thinThickSmallGap" w:sz="18" w:space="0" w:color="auto"/>
                <w:right w:val="none" w:sz="0" w:space="0" w:color="auto"/>
                <w:insideH w:val="thinThickSmallGap" w:sz="18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912"/>
              <w:gridCol w:w="3828"/>
            </w:tblGrid>
            <w:tr w:rsidR="00681A9E" w:rsidTr="0064153D">
              <w:trPr>
                <w:trHeight w:val="4577"/>
              </w:trPr>
              <w:tc>
                <w:tcPr>
                  <w:tcW w:w="69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81A9E" w:rsidRDefault="00681A9E" w:rsidP="0064153D">
                  <w:pPr>
                    <w:pStyle w:val="NormalWeb"/>
                    <w:spacing w:before="0" w:beforeAutospacing="0" w:after="0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7"/>
                    </w:rPr>
                  </w:pP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Poslovanje banaka u decembru je obilježio blagi pad ukupnih kredita i depozita,  uz povećanje kapitala banaka i zadovoljavajuću  likvidnost. Ukupno odobreni </w:t>
                  </w:r>
                  <w:r w:rsidRPr="00920528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>krediti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su  iznosili 1.862,6 mil, € što je za 0,2 % niže na mjesečnom i 4,8 % na godišnjem nivou. Kreditno zaduženje sektora privrede je iznosilo 898,6 mil, € i smanjeno je u odnosu na isti mjesec prethodne godine za 4,9 %, dok su krediti stanovništva zabilježili pad od 2,9 % u posmatranom periodu.Dug po glavi stanovnika , mjeren odnosom ukupnih kredita i broja stanovnika, je iznosio 1305 €, dok je dug po zaposlenom bio 4831 €. Ukupni </w:t>
                  </w:r>
                  <w:r w:rsidRPr="00920528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 xml:space="preserve">depoziti 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od</w:t>
                  </w:r>
                  <w:r w:rsidRPr="00920528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 xml:space="preserve"> 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1</w:t>
                  </w:r>
                  <w:r w:rsidRPr="00920528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>,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981,0 mil. €  su ostvarili rast od</w:t>
                  </w:r>
                  <w:r w:rsidRPr="00920528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 xml:space="preserve"> 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9,0 % na godišnjem nivou,</w:t>
                  </w:r>
                  <w:r w:rsidR="00D47D6A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dok su u odnosu na prethodni mjesec smanjeni za 0, 1 %. </w:t>
                  </w:r>
                  <w:r w:rsidR="0064153D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N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ajveće učešće u ukupnim depozitima imaju depoziti </w:t>
                  </w:r>
                  <w:r w:rsidRPr="00920528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>stanovništva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(57,9 %</w:t>
                  </w:r>
                  <w:r w:rsidR="00D47D6A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ili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1.147,1 mil. €</w:t>
                  </w:r>
                  <w:r w:rsidR="00D47D6A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) 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</w:t>
                  </w:r>
                  <w:r w:rsidR="0064153D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koj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i</w:t>
                  </w:r>
                  <w:r w:rsidR="0064153D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su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povećani su za  11,0 % na godišnjem nivou.  </w:t>
                  </w:r>
                  <w:r w:rsidR="00D47D6A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O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d avgusta mjeseca nivo d</w:t>
                  </w:r>
                  <w:r w:rsidR="0098562F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epozita premašuje iznos kredita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. Kvalitet </w:t>
                  </w:r>
                  <w:r w:rsidRPr="00920528">
                    <w:rPr>
                      <w:rFonts w:asciiTheme="minorHAnsi" w:hAnsiTheme="minorHAnsi" w:cstheme="minorHAnsi"/>
                      <w:b/>
                      <w:bCs/>
                      <w:sz w:val="20"/>
                      <w:szCs w:val="17"/>
                    </w:rPr>
                    <w:t xml:space="preserve">aktive  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je poboljšan, </w:t>
                  </w:r>
                  <w:r w:rsidR="0098562F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pa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je učešće nekvalitetne aktive smanjeno sa 13,3 % u novembru na 12,66 % u decembru. </w:t>
                  </w:r>
                  <w:r w:rsidR="0098562F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N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ekvalitetni  krediti koji su iznosili 314,8 mil € su ostvarili pad od 4,4 % na mjesečnom nivou, dok je njihovo učešće smanjeno sa 17,65 % u novembru na 16,</w:t>
                  </w:r>
                  <w:r w:rsidR="00873FD5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9 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% u decembru.</w:t>
                  </w:r>
                  <w:r w:rsidR="0098562F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Ukupan iznos duga po osnovu koga je izvršeno blokiranje računa </w:t>
                  </w:r>
                  <w:r w:rsidR="0064153D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>nelikvidnih preduzeća</w:t>
                  </w:r>
                  <w:r w:rsidRPr="00920528">
                    <w:rPr>
                      <w:rFonts w:asciiTheme="minorHAnsi" w:hAnsiTheme="minorHAnsi" w:cstheme="minorHAnsi"/>
                      <w:bCs/>
                      <w:sz w:val="20"/>
                      <w:szCs w:val="17"/>
                    </w:rPr>
                    <w:t xml:space="preserve"> iznosi  445,096 mil. €, što  u odnosu na prethodni mjesec  predstavlja rast od  2,3 %  i 17,9 % u odnosu na decembar  prošle godine.</w:t>
                  </w:r>
                </w:p>
              </w:tc>
              <w:tc>
                <w:tcPr>
                  <w:tcW w:w="3828" w:type="dxa"/>
                  <w:tcBorders>
                    <w:top w:val="thinThickSmallGap" w:sz="1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81A9E" w:rsidRDefault="00681A9E"/>
              </w:tc>
            </w:tr>
          </w:tbl>
          <w:p w:rsidR="00A46C9C" w:rsidRPr="00812E0B" w:rsidRDefault="00A46C9C" w:rsidP="00447221">
            <w:pPr>
              <w:pStyle w:val="NormalWeb"/>
              <w:spacing w:before="0" w:beforeAutospacing="0" w:after="0"/>
              <w:jc w:val="both"/>
              <w:rPr>
                <w:rFonts w:asciiTheme="minorHAnsi" w:hAnsiTheme="minorHAnsi" w:cstheme="minorHAnsi"/>
                <w:bCs/>
                <w:sz w:val="20"/>
                <w:szCs w:val="17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A46C9C" w:rsidRPr="00AD1B16" w:rsidRDefault="00A46C9C" w:rsidP="00FE641C">
            <w:pPr>
              <w:spacing w:after="119"/>
              <w:jc w:val="center"/>
              <w:rPr>
                <w:noProof/>
              </w:rPr>
            </w:pPr>
          </w:p>
        </w:tc>
      </w:tr>
      <w:tr w:rsidR="00A46C9C" w:rsidRPr="00AD1B16" w:rsidTr="00A37B6F">
        <w:trPr>
          <w:trHeight w:val="258"/>
        </w:trPr>
        <w:tc>
          <w:tcPr>
            <w:tcW w:w="7054" w:type="dxa"/>
            <w:tcBorders>
              <w:bottom w:val="thinThickSmallGap" w:sz="12" w:space="0" w:color="auto"/>
            </w:tcBorders>
          </w:tcPr>
          <w:p w:rsidR="00A46C9C" w:rsidRPr="00AD1B16" w:rsidRDefault="00A46C9C" w:rsidP="00734688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 w:val="20"/>
                <w:szCs w:val="20"/>
              </w:rPr>
            </w:pPr>
            <w:r w:rsidRPr="00AD1B16">
              <w:rPr>
                <w:b/>
                <w:bCs/>
                <w:sz w:val="20"/>
                <w:szCs w:val="20"/>
              </w:rPr>
              <w:t>Spoljnotrgovinska</w:t>
            </w:r>
            <w:r w:rsidR="00553E61">
              <w:rPr>
                <w:b/>
                <w:bCs/>
                <w:sz w:val="20"/>
                <w:szCs w:val="20"/>
              </w:rPr>
              <w:t xml:space="preserve">  </w:t>
            </w:r>
            <w:r w:rsidRPr="00AD1B16">
              <w:rPr>
                <w:b/>
                <w:bCs/>
                <w:sz w:val="20"/>
                <w:szCs w:val="20"/>
              </w:rPr>
              <w:t>razmjena</w:t>
            </w:r>
            <w:r w:rsidR="00553E61">
              <w:rPr>
                <w:b/>
                <w:bCs/>
                <w:sz w:val="20"/>
                <w:szCs w:val="20"/>
              </w:rPr>
              <w:t xml:space="preserve"> </w:t>
            </w:r>
            <w:r w:rsidR="00734688">
              <w:rPr>
                <w:b/>
                <w:bCs/>
                <w:sz w:val="20"/>
                <w:szCs w:val="20"/>
              </w:rPr>
              <w:t xml:space="preserve"> i</w:t>
            </w:r>
            <w:r w:rsidR="00553E61">
              <w:rPr>
                <w:b/>
                <w:bCs/>
                <w:sz w:val="20"/>
                <w:szCs w:val="20"/>
              </w:rPr>
              <w:t xml:space="preserve">  </w:t>
            </w:r>
            <w:r w:rsidRPr="00AD1B16">
              <w:rPr>
                <w:b/>
                <w:bCs/>
                <w:sz w:val="20"/>
                <w:szCs w:val="20"/>
              </w:rPr>
              <w:t>investicije</w:t>
            </w:r>
          </w:p>
        </w:tc>
        <w:tc>
          <w:tcPr>
            <w:tcW w:w="3686" w:type="dxa"/>
            <w:gridSpan w:val="2"/>
            <w:vMerge w:val="restart"/>
            <w:tcBorders>
              <w:bottom w:val="thinThickSmallGap" w:sz="12" w:space="0" w:color="auto"/>
            </w:tcBorders>
            <w:vAlign w:val="center"/>
          </w:tcPr>
          <w:p w:rsidR="00A46C9C" w:rsidRPr="00AD1B16" w:rsidRDefault="00457C59" w:rsidP="00B74947">
            <w:pPr>
              <w:ind w:left="-250"/>
              <w:jc w:val="center"/>
              <w:rPr>
                <w:sz w:val="17"/>
                <w:szCs w:val="17"/>
              </w:rPr>
            </w:pPr>
            <w:r w:rsidRPr="00457C59">
              <w:rPr>
                <w:noProof/>
                <w:sz w:val="17"/>
                <w:szCs w:val="17"/>
              </w:rPr>
              <w:drawing>
                <wp:inline distT="0" distB="0" distL="0" distR="0">
                  <wp:extent cx="1925945" cy="1841773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46C9C" w:rsidRPr="00AD1B16" w:rsidTr="00A37B6F">
        <w:trPr>
          <w:trHeight w:val="4010"/>
        </w:trPr>
        <w:tc>
          <w:tcPr>
            <w:tcW w:w="7054" w:type="dxa"/>
            <w:tcBorders>
              <w:top w:val="thinThickSmallGap" w:sz="12" w:space="0" w:color="auto"/>
              <w:bottom w:val="thickThinSmallGap" w:sz="12" w:space="0" w:color="auto"/>
            </w:tcBorders>
          </w:tcPr>
          <w:p w:rsidR="00553E61" w:rsidRPr="00920528" w:rsidRDefault="00553E61" w:rsidP="00553E61">
            <w:pPr>
              <w:jc w:val="both"/>
              <w:rPr>
                <w:sz w:val="20"/>
                <w:szCs w:val="17"/>
              </w:rPr>
            </w:pPr>
            <w:r w:rsidRPr="00920528">
              <w:rPr>
                <w:rFonts w:cstheme="minorHAnsi"/>
                <w:b/>
                <w:sz w:val="20"/>
                <w:szCs w:val="17"/>
              </w:rPr>
              <w:t xml:space="preserve">Ukupan obim robne razmjene </w:t>
            </w:r>
            <w:r w:rsidR="009F0EB0" w:rsidRPr="00920528">
              <w:rPr>
                <w:rFonts w:cstheme="minorHAnsi"/>
                <w:b/>
                <w:sz w:val="20"/>
                <w:szCs w:val="17"/>
              </w:rPr>
              <w:t xml:space="preserve">za </w:t>
            </w:r>
            <w:r w:rsidRPr="00920528">
              <w:rPr>
                <w:rFonts w:cstheme="minorHAnsi"/>
                <w:b/>
                <w:sz w:val="20"/>
                <w:szCs w:val="17"/>
              </w:rPr>
              <w:t>2012</w:t>
            </w:r>
            <w:r w:rsidR="0034786A">
              <w:rPr>
                <w:rFonts w:cstheme="minorHAnsi"/>
                <w:sz w:val="20"/>
                <w:szCs w:val="17"/>
              </w:rPr>
              <w:t xml:space="preserve">. </w:t>
            </w:r>
            <w:r w:rsidRPr="00920528">
              <w:rPr>
                <w:rFonts w:cstheme="minorHAnsi"/>
                <w:sz w:val="20"/>
                <w:szCs w:val="17"/>
              </w:rPr>
              <w:t>iznosio je 2.187,4mil.€, što je za  4,0% manje,  istovremeno</w:t>
            </w:r>
            <w:r w:rsidR="00EC4680" w:rsidRPr="00920528">
              <w:rPr>
                <w:rFonts w:cstheme="minorHAnsi"/>
                <w:sz w:val="20"/>
                <w:szCs w:val="17"/>
              </w:rPr>
              <w:t>,</w:t>
            </w:r>
            <w:r w:rsidRPr="00920528">
              <w:rPr>
                <w:rFonts w:cstheme="minorHAnsi"/>
                <w:sz w:val="20"/>
                <w:szCs w:val="17"/>
              </w:rPr>
              <w:t xml:space="preserve"> spoljnotrgovinski deficit </w:t>
            </w:r>
            <w:r w:rsidR="00EC4680" w:rsidRPr="00920528">
              <w:rPr>
                <w:rFonts w:cstheme="minorHAnsi"/>
                <w:sz w:val="20"/>
                <w:szCs w:val="17"/>
              </w:rPr>
              <w:t xml:space="preserve">je </w:t>
            </w:r>
            <w:r w:rsidRPr="00920528">
              <w:rPr>
                <w:rFonts w:cstheme="minorHAnsi"/>
                <w:sz w:val="20"/>
                <w:szCs w:val="17"/>
              </w:rPr>
              <w:t xml:space="preserve">iznosio 1.453,6 mil.€ i </w:t>
            </w:r>
            <w:r w:rsidR="00EC4680" w:rsidRPr="00920528">
              <w:rPr>
                <w:rFonts w:cstheme="minorHAnsi"/>
                <w:sz w:val="20"/>
                <w:szCs w:val="17"/>
              </w:rPr>
              <w:t xml:space="preserve">bio </w:t>
            </w:r>
            <w:r w:rsidRPr="00920528">
              <w:rPr>
                <w:rFonts w:cstheme="minorHAnsi"/>
                <w:sz w:val="20"/>
                <w:szCs w:val="17"/>
              </w:rPr>
              <w:t>za  6,2% veći nego</w:t>
            </w:r>
            <w:r w:rsidR="0034786A">
              <w:rPr>
                <w:rFonts w:cstheme="minorHAnsi"/>
                <w:sz w:val="20"/>
                <w:szCs w:val="17"/>
              </w:rPr>
              <w:t xml:space="preserve"> u istom periodu 2011. godine. </w:t>
            </w:r>
            <w:r w:rsidRPr="00920528">
              <w:rPr>
                <w:rFonts w:cstheme="minorHAnsi"/>
                <w:sz w:val="20"/>
                <w:szCs w:val="17"/>
              </w:rPr>
              <w:t>Spoljnotrgovinski deficit Crne Gore odražava trend ekonomske stagnacije i zavisnost od u</w:t>
            </w:r>
            <w:r w:rsidRPr="00920528">
              <w:rPr>
                <w:rFonts w:cstheme="minorHAnsi"/>
                <w:sz w:val="20"/>
                <w:szCs w:val="17"/>
                <w:lang w:val="sr-Latn-CS"/>
              </w:rPr>
              <w:t>voza finalnih proizvoda.</w:t>
            </w:r>
            <w:r w:rsidRPr="00920528">
              <w:rPr>
                <w:rFonts w:cstheme="minorHAnsi"/>
                <w:sz w:val="20"/>
                <w:szCs w:val="17"/>
              </w:rPr>
              <w:t xml:space="preserve"> </w:t>
            </w:r>
            <w:r w:rsidR="0098562F">
              <w:rPr>
                <w:rFonts w:cstheme="minorHAnsi"/>
                <w:sz w:val="20"/>
                <w:szCs w:val="17"/>
              </w:rPr>
              <w:t>S</w:t>
            </w:r>
            <w:r w:rsidRPr="00920528">
              <w:rPr>
                <w:rFonts w:cstheme="minorHAnsi"/>
                <w:sz w:val="20"/>
                <w:szCs w:val="17"/>
                <w:lang w:val="sr-Latn-CS"/>
              </w:rPr>
              <w:t>poljnotrgovinska neravnoteža je pod uticajem pada industrijske proizvodnje</w:t>
            </w:r>
            <w:r w:rsidR="0034786A">
              <w:rPr>
                <w:rFonts w:cstheme="minorHAnsi"/>
                <w:sz w:val="20"/>
                <w:szCs w:val="17"/>
                <w:lang w:val="sr-Latn-CS"/>
              </w:rPr>
              <w:t xml:space="preserve"> i smanjenja izvoza aluminijuma.</w:t>
            </w:r>
            <w:r w:rsidR="0034786A">
              <w:rPr>
                <w:rFonts w:cstheme="minorHAnsi"/>
                <w:sz w:val="20"/>
                <w:szCs w:val="17"/>
              </w:rPr>
              <w:t xml:space="preserve"> Izvoz robe je vrijedio 366,9mil.€, a uvoz</w:t>
            </w:r>
            <w:r w:rsidRPr="00920528">
              <w:rPr>
                <w:rFonts w:cstheme="minorHAnsi"/>
                <w:sz w:val="20"/>
                <w:szCs w:val="17"/>
              </w:rPr>
              <w:t xml:space="preserve"> 1.820,5mil.€, što je za 19,3%, odnosno 0,2% niže. Stepen pokrivenosti izvoza uvozom robe smanjen je za 4,8 p.p i iznosi 20,2%. Visok pad </w:t>
            </w:r>
            <w:r w:rsidRPr="00920528">
              <w:rPr>
                <w:rFonts w:cstheme="minorHAnsi"/>
                <w:b/>
                <w:sz w:val="20"/>
                <w:szCs w:val="17"/>
              </w:rPr>
              <w:t>izvoza</w:t>
            </w:r>
            <w:r w:rsidRPr="00920528">
              <w:rPr>
                <w:rFonts w:cstheme="minorHAnsi"/>
                <w:sz w:val="20"/>
                <w:szCs w:val="17"/>
              </w:rPr>
              <w:t xml:space="preserve"> rezultat je smanjenj</w:t>
            </w:r>
            <w:r w:rsidR="0034786A">
              <w:rPr>
                <w:rFonts w:cstheme="minorHAnsi"/>
                <w:sz w:val="20"/>
                <w:szCs w:val="17"/>
              </w:rPr>
              <w:t xml:space="preserve">a izvoza aluminijuma za 22,0%, na koji se odnosi 35,1% </w:t>
            </w:r>
            <w:r w:rsidRPr="00920528">
              <w:rPr>
                <w:rFonts w:cstheme="minorHAnsi"/>
                <w:sz w:val="20"/>
                <w:szCs w:val="17"/>
              </w:rPr>
              <w:t xml:space="preserve">ukupnog izvoza, Povećanje </w:t>
            </w:r>
            <w:r w:rsidRPr="00920528">
              <w:rPr>
                <w:rFonts w:cstheme="minorHAnsi"/>
                <w:b/>
                <w:sz w:val="20"/>
                <w:szCs w:val="17"/>
              </w:rPr>
              <w:t>uvoza</w:t>
            </w:r>
            <w:r w:rsidRPr="00920528">
              <w:rPr>
                <w:rFonts w:cstheme="minorHAnsi"/>
                <w:sz w:val="20"/>
                <w:szCs w:val="17"/>
              </w:rPr>
              <w:t>, većim dijelom je posljedica rasta cijena prehrambenih proizvoda i energenata na svjetskom tržištu.</w:t>
            </w:r>
            <w:r w:rsidRPr="00920528">
              <w:rPr>
                <w:b/>
                <w:sz w:val="20"/>
                <w:szCs w:val="17"/>
              </w:rPr>
              <w:t xml:space="preserve"> Prema preliminarnim podacima za period januar–</w:t>
            </w:r>
            <w:r w:rsidR="00BA6FEF" w:rsidRPr="00920528">
              <w:rPr>
                <w:b/>
                <w:sz w:val="20"/>
                <w:szCs w:val="17"/>
              </w:rPr>
              <w:t>decembar</w:t>
            </w:r>
            <w:r w:rsidRPr="00920528">
              <w:rPr>
                <w:b/>
                <w:sz w:val="20"/>
                <w:szCs w:val="17"/>
              </w:rPr>
              <w:t xml:space="preserve"> 2012. ostvaren je neto priliv stranih direktnih investicija u iznosu 4</w:t>
            </w:r>
            <w:r w:rsidR="00BA6FEF" w:rsidRPr="00920528">
              <w:rPr>
                <w:b/>
                <w:sz w:val="20"/>
                <w:szCs w:val="17"/>
              </w:rPr>
              <w:t>53,6</w:t>
            </w:r>
            <w:r w:rsidRPr="00920528">
              <w:rPr>
                <w:b/>
                <w:sz w:val="20"/>
                <w:szCs w:val="17"/>
              </w:rPr>
              <w:t xml:space="preserve"> mil. €,</w:t>
            </w:r>
            <w:r w:rsidRPr="00920528">
              <w:rPr>
                <w:sz w:val="20"/>
                <w:szCs w:val="17"/>
              </w:rPr>
              <w:t xml:space="preserve"> što je za 1</w:t>
            </w:r>
            <w:r w:rsidR="00BA6FEF" w:rsidRPr="00920528">
              <w:rPr>
                <w:sz w:val="20"/>
                <w:szCs w:val="17"/>
              </w:rPr>
              <w:t>6</w:t>
            </w:r>
            <w:r w:rsidRPr="00920528">
              <w:rPr>
                <w:sz w:val="20"/>
                <w:szCs w:val="17"/>
              </w:rPr>
              <w:t>,</w:t>
            </w:r>
            <w:r w:rsidR="00BA6FEF" w:rsidRPr="00920528">
              <w:rPr>
                <w:sz w:val="20"/>
                <w:szCs w:val="17"/>
              </w:rPr>
              <w:t>6</w:t>
            </w:r>
            <w:r w:rsidRPr="00920528">
              <w:rPr>
                <w:sz w:val="20"/>
                <w:szCs w:val="17"/>
              </w:rPr>
              <w:t>% više nego u istom periodu 2011.</w:t>
            </w:r>
            <w:r w:rsidRPr="00920528">
              <w:rPr>
                <w:b/>
                <w:sz w:val="20"/>
                <w:szCs w:val="17"/>
              </w:rPr>
              <w:t xml:space="preserve"> </w:t>
            </w:r>
            <w:r w:rsidRPr="00920528">
              <w:rPr>
                <w:sz w:val="20"/>
                <w:szCs w:val="17"/>
              </w:rPr>
              <w:t xml:space="preserve">Ukupan priliv SDI iznosio je </w:t>
            </w:r>
            <w:r w:rsidR="00BA6FEF" w:rsidRPr="00920528">
              <w:rPr>
                <w:sz w:val="20"/>
                <w:szCs w:val="17"/>
              </w:rPr>
              <w:t>633,3</w:t>
            </w:r>
            <w:r w:rsidRPr="00920528">
              <w:rPr>
                <w:sz w:val="20"/>
                <w:szCs w:val="17"/>
              </w:rPr>
              <w:t xml:space="preserve"> mil. €. Struktura SDI: vlasnička ulaganja 6</w:t>
            </w:r>
            <w:r w:rsidR="00BA6FEF" w:rsidRPr="00920528">
              <w:rPr>
                <w:sz w:val="20"/>
                <w:szCs w:val="17"/>
              </w:rPr>
              <w:t>9,3</w:t>
            </w:r>
            <w:r w:rsidRPr="00920528">
              <w:rPr>
                <w:sz w:val="20"/>
                <w:szCs w:val="17"/>
              </w:rPr>
              <w:t>%, od čega, ulaganja u nekretnine 3</w:t>
            </w:r>
            <w:r w:rsidR="00BA6FEF" w:rsidRPr="00920528">
              <w:rPr>
                <w:sz w:val="20"/>
                <w:szCs w:val="17"/>
              </w:rPr>
              <w:t>5,7</w:t>
            </w:r>
            <w:r w:rsidRPr="00920528">
              <w:rPr>
                <w:sz w:val="20"/>
                <w:szCs w:val="17"/>
              </w:rPr>
              <w:t>% (veće za 2</w:t>
            </w:r>
            <w:r w:rsidR="00BA6FEF" w:rsidRPr="00920528">
              <w:rPr>
                <w:sz w:val="20"/>
                <w:szCs w:val="17"/>
              </w:rPr>
              <w:t>2,7</w:t>
            </w:r>
            <w:r w:rsidRPr="00920528">
              <w:rPr>
                <w:sz w:val="20"/>
                <w:szCs w:val="17"/>
              </w:rPr>
              <w:t>%</w:t>
            </w:r>
            <w:r w:rsidRPr="00920528">
              <w:rPr>
                <w:sz w:val="20"/>
                <w:szCs w:val="17"/>
                <w:lang w:val="sr-Latn-CS"/>
              </w:rPr>
              <w:t>)</w:t>
            </w:r>
            <w:r w:rsidRPr="00920528">
              <w:rPr>
                <w:sz w:val="20"/>
                <w:szCs w:val="17"/>
              </w:rPr>
              <w:t xml:space="preserve">  i investicije u preduzeća i banke </w:t>
            </w:r>
            <w:r w:rsidR="00BA6FEF" w:rsidRPr="00920528">
              <w:rPr>
                <w:sz w:val="20"/>
                <w:szCs w:val="17"/>
              </w:rPr>
              <w:t>33,6</w:t>
            </w:r>
            <w:r w:rsidRPr="00920528">
              <w:rPr>
                <w:sz w:val="20"/>
                <w:szCs w:val="17"/>
              </w:rPr>
              <w:t>% (</w:t>
            </w:r>
            <w:r w:rsidR="00BA6FEF" w:rsidRPr="00920528">
              <w:rPr>
                <w:sz w:val="20"/>
                <w:szCs w:val="17"/>
              </w:rPr>
              <w:t>veće za 34,9%);</w:t>
            </w:r>
            <w:r w:rsidRPr="00920528">
              <w:rPr>
                <w:sz w:val="20"/>
                <w:szCs w:val="17"/>
              </w:rPr>
              <w:t xml:space="preserve"> interkompanijski dug 2</w:t>
            </w:r>
            <w:r w:rsidR="00BA6FEF" w:rsidRPr="00920528">
              <w:rPr>
                <w:sz w:val="20"/>
                <w:szCs w:val="17"/>
              </w:rPr>
              <w:t>5,6</w:t>
            </w:r>
            <w:r w:rsidRPr="00920528">
              <w:rPr>
                <w:sz w:val="20"/>
                <w:szCs w:val="17"/>
              </w:rPr>
              <w:t>% (veće za 2</w:t>
            </w:r>
            <w:r w:rsidR="00BA6FEF" w:rsidRPr="00920528">
              <w:rPr>
                <w:sz w:val="20"/>
                <w:szCs w:val="17"/>
              </w:rPr>
              <w:t>2,2</w:t>
            </w:r>
            <w:r w:rsidRPr="00920528">
              <w:rPr>
                <w:sz w:val="20"/>
                <w:szCs w:val="17"/>
              </w:rPr>
              <w:t xml:space="preserve">%) i ostalo </w:t>
            </w:r>
            <w:r w:rsidR="00C93D87" w:rsidRPr="00920528">
              <w:rPr>
                <w:sz w:val="20"/>
                <w:szCs w:val="17"/>
              </w:rPr>
              <w:t>5,1</w:t>
            </w:r>
            <w:r w:rsidRPr="00920528">
              <w:rPr>
                <w:sz w:val="20"/>
                <w:szCs w:val="17"/>
              </w:rPr>
              <w:t>%.</w:t>
            </w:r>
          </w:p>
          <w:p w:rsidR="00A46C9C" w:rsidRPr="002A4910" w:rsidRDefault="00A46C9C" w:rsidP="00447221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A46C9C" w:rsidRPr="00AD1B16" w:rsidRDefault="00A46C9C" w:rsidP="00CD1303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CD1303" w:rsidRPr="00AD1B16" w:rsidRDefault="00CD1303" w:rsidP="00D51C00">
      <w:pPr>
        <w:sectPr w:rsidR="00CD1303" w:rsidRPr="00AD1B16" w:rsidSect="008D4618">
          <w:pgSz w:w="11907" w:h="16839" w:code="9"/>
          <w:pgMar w:top="720" w:right="720" w:bottom="567" w:left="720" w:header="720" w:footer="720" w:gutter="0"/>
          <w:cols w:space="720"/>
          <w:docGrid w:linePitch="360"/>
        </w:sectPr>
      </w:pPr>
    </w:p>
    <w:p w:rsidR="00D61692" w:rsidRPr="00AD1B16" w:rsidRDefault="00D61692" w:rsidP="00D61692">
      <w:pPr>
        <w:jc w:val="center"/>
        <w:rPr>
          <w:sz w:val="17"/>
          <w:szCs w:val="16"/>
        </w:rPr>
      </w:pPr>
      <w:r w:rsidRPr="00AD1B16">
        <w:rPr>
          <w:sz w:val="17"/>
          <w:szCs w:val="16"/>
        </w:rPr>
        <w:t xml:space="preserve">Tabela 1: </w:t>
      </w:r>
      <w:r w:rsidRPr="00AD1B16">
        <w:rPr>
          <w:b/>
          <w:bCs/>
          <w:sz w:val="17"/>
          <w:szCs w:val="16"/>
        </w:rPr>
        <w:t>MAKROEKONOMSKI INDIKATORI</w:t>
      </w:r>
      <w:r w:rsidRPr="00AD1B16">
        <w:rPr>
          <w:sz w:val="17"/>
          <w:szCs w:val="16"/>
        </w:rPr>
        <w:t xml:space="preserve"> – </w:t>
      </w:r>
      <w:r w:rsidR="00F13EE1">
        <w:rPr>
          <w:sz w:val="17"/>
          <w:szCs w:val="16"/>
        </w:rPr>
        <w:t>Decembar</w:t>
      </w:r>
      <w:r w:rsidRPr="00AD1B16">
        <w:rPr>
          <w:sz w:val="17"/>
          <w:szCs w:val="16"/>
        </w:rPr>
        <w:t xml:space="preserve"> 201</w:t>
      </w:r>
      <w:r w:rsidR="00F13EE1">
        <w:rPr>
          <w:sz w:val="17"/>
          <w:szCs w:val="16"/>
        </w:rPr>
        <w:t>2</w:t>
      </w:r>
      <w:r w:rsidR="000F5B09" w:rsidRPr="00AD1B16">
        <w:rPr>
          <w:sz w:val="17"/>
          <w:szCs w:val="16"/>
        </w:rPr>
        <w:t>.</w:t>
      </w:r>
    </w:p>
    <w:p w:rsidR="005D751B" w:rsidRPr="00AD1B16" w:rsidRDefault="008D6E96" w:rsidP="00303D85">
      <w:pPr>
        <w:spacing w:after="0" w:line="240" w:lineRule="auto"/>
        <w:rPr>
          <w:b/>
          <w:i/>
          <w:sz w:val="16"/>
          <w:szCs w:val="16"/>
        </w:rPr>
      </w:pPr>
      <w:bookmarkStart w:id="1" w:name="_GoBack"/>
      <w:bookmarkEnd w:id="1"/>
      <w:r w:rsidRPr="00AD1B16">
        <w:rPr>
          <w:b/>
          <w:i/>
          <w:sz w:val="16"/>
          <w:szCs w:val="16"/>
        </w:rPr>
        <w:t>Izvor: Monstat, Centralna Banka, Zavod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za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zapošljavanje</w:t>
      </w:r>
      <w:r w:rsidR="00F13EE1">
        <w:rPr>
          <w:b/>
          <w:i/>
          <w:sz w:val="16"/>
          <w:szCs w:val="16"/>
        </w:rPr>
        <w:t xml:space="preserve"> </w:t>
      </w:r>
      <w:r w:rsidRPr="00AD1B16">
        <w:rPr>
          <w:b/>
          <w:i/>
          <w:sz w:val="16"/>
          <w:szCs w:val="16"/>
        </w:rPr>
        <w:t>Crne Gor</w:t>
      </w:r>
      <w:r w:rsidR="005D751B" w:rsidRPr="00AD1B16">
        <w:rPr>
          <w:b/>
          <w:i/>
          <w:sz w:val="16"/>
          <w:szCs w:val="16"/>
        </w:rPr>
        <w:t>e</w:t>
      </w:r>
    </w:p>
    <w:p w:rsidR="005D751B" w:rsidRPr="00AD1B16" w:rsidRDefault="005D751B" w:rsidP="00303D85">
      <w:pPr>
        <w:spacing w:after="0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t>Svi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prikazani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kao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godišnje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stope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rasta (stopa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indikatora u posmatranom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mjesecu u odnosu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isti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prethodne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godine u %) ukoliko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nije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drugačije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naznačeno u nazivu</w:t>
      </w:r>
    </w:p>
    <w:p w:rsidR="00C72699" w:rsidRDefault="005D751B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t>M-n-M označava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mjesečnu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promjenu (stopa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promjene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indikatora u posmatranom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mjesecu u odnosu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na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prethodni</w:t>
      </w:r>
      <w:r w:rsidR="00F13EE1">
        <w:rPr>
          <w:i/>
          <w:iCs/>
          <w:sz w:val="12"/>
          <w:szCs w:val="12"/>
        </w:rPr>
        <w:t xml:space="preserve"> </w:t>
      </w:r>
      <w:r w:rsidRPr="00AD1B16">
        <w:rPr>
          <w:i/>
          <w:iCs/>
          <w:sz w:val="12"/>
          <w:szCs w:val="12"/>
        </w:rPr>
        <w:t>mjesec u %)</w:t>
      </w:r>
    </w:p>
    <w:tbl>
      <w:tblPr>
        <w:tblW w:w="5000" w:type="pct"/>
        <w:tblLook w:val="04A0"/>
      </w:tblPr>
      <w:tblGrid>
        <w:gridCol w:w="3959"/>
        <w:gridCol w:w="802"/>
        <w:gridCol w:w="802"/>
        <w:gridCol w:w="802"/>
        <w:gridCol w:w="806"/>
        <w:gridCol w:w="803"/>
        <w:gridCol w:w="803"/>
        <w:gridCol w:w="826"/>
        <w:gridCol w:w="743"/>
        <w:gridCol w:w="743"/>
        <w:gridCol w:w="743"/>
        <w:gridCol w:w="743"/>
        <w:gridCol w:w="743"/>
        <w:gridCol w:w="826"/>
        <w:gridCol w:w="738"/>
        <w:gridCol w:w="726"/>
        <w:gridCol w:w="767"/>
      </w:tblGrid>
      <w:tr w:rsidR="00D63424" w:rsidRPr="00D63424" w:rsidTr="00D63424">
        <w:trPr>
          <w:trHeight w:val="315"/>
        </w:trPr>
        <w:tc>
          <w:tcPr>
            <w:tcW w:w="121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2819" w:type="pct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708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dec 2012</w:t>
            </w:r>
          </w:p>
        </w:tc>
      </w:tr>
      <w:tr w:rsidR="00D63424" w:rsidRPr="00D63424" w:rsidTr="00D63424">
        <w:trPr>
          <w:trHeight w:val="720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Indikatori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VII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VIII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XI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XII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M-n-M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dec 2012 / dec 2011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1F0CAA" w:rsidP="0007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jan-</w:t>
            </w:r>
            <w:r w:rsidR="00D63424"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dec 2012 /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jan-dec </w:t>
            </w:r>
            <w:r w:rsidR="00D63424"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2011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REALNI SEKTOR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Industrijska proizvodnja (stopa rasta)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-37,1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-24,5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-14,7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-4,10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20,80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-19,60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-16,10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-5,50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-16,10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-24,40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-6,00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17,00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15,3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17,0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-7,1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Prerađivačka industrija (stopa rasta)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-8,3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-4,40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11,60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33,10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3,60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-18,50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-20,40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-13,00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-20,40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-40,50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-28,10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-20,30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-10,1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Noćenja u turizmu (stopa rasta)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11,1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-7,10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14,80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6,20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6,90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4,00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-33,5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4,3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Promet u maloprodaji (stopa rasta)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37,3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21,3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16,30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18,60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3,30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2,10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8,7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6,7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Vrijednost radova u gradjevinarstvu (stopa rasta)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-2,6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-23,7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0,0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-28,2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color w:val="C00000"/>
                <w:sz w:val="16"/>
                <w:szCs w:val="16"/>
              </w:rPr>
              <w:t> 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INFLACIJA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Indeks potrošačkih cijena (stopa rasta)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5,1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4,1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Harmonizovani indeks potrošačkih cijena (stopa rasta)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3,1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4,4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n/d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Indeks proizvodjačkih cijena (stopa rasta)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-0,6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5,7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1,9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ZAPOSLENOST I ZARADE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Zaposlenost (broj, kraj perioda)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162.450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160.880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162.035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162.569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163.744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165.776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162.567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173.124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173.024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169.877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168.701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168.589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167.484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2,1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Broj nezaposlenih (broj, kraj perioda)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30.552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31.339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31.495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31.562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31.320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30.126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29.411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28.686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28.549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28.272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29.540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30.718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31.232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-2,2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Stopa nezaposlenosti (%)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13,2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13,5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13,6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13,6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13,4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12,7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12,4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12,3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12,2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12,7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13,2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13,5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-2,5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Stopa nezaposlenosti (ARS) (%)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18,1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20,7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20,0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18,8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1,8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Oglašena radna mjesta (broj)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734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1.942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3.003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3.685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4.146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2.651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1.081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2.005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2.766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-64,9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11,0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9,0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Prosječna mjesečna bruto zarada (u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722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754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739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733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727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722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721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717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741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457C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</w:t>
            </w:r>
            <w:r w:rsidR="00457C59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Prosječna mjesečna neto zarada (u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489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487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484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483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478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497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457C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</w:t>
            </w:r>
            <w:r w:rsidR="00457C59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MONETARNI SEKTOR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Ukupni krediti (kumulativ, mil. €)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1.955,7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1.945,7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1.943,0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1.963,9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1.971,5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1.963,3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1.958,4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1.891,8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1.905,6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1.891,8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1.859,4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1.866,1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1.862,6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-4,8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Ukupni krediti (stopa rasta) 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-11,1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-9,4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-9,7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-6,1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-5,8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-6,5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-4,3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-7,0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-5,1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-3,3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-4,1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-3,7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-4,8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-4,8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Nekvalitetni krediti (kumulativ, mil €)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288,3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292,2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297,3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305,1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287,5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309,8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335,4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350,5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342,7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350,5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330,4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329,4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314,8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-4,4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Udio nekvalitetnih kredita u ukupnim kreditima (u %)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14,7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15,0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15,3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15,5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14,6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15,8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17,1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18,5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18,0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18,5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16,9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Ukupni depoziti (kumulativ, mil €)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1.817,2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1.784,3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1.796,1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1.792,6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1.809,3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1.818,9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1.843,4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2.001,1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1.954,4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2.001,1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1.965,5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1.982,9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1.981,0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Ukupni depoziti (stopa rasta)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0,5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1,4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8,8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6,6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6,0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8,3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9,0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Krediti privredi (kumulativ, u mil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944,6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931,1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934,7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945,6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951,0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948,3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942,6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909,2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918,3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909,2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891,8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905,0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898,6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-4,9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Krediti domaćinstvima (kumulativ, u mil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833,7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832,3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826,2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828,8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829,6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830,3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831,7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825,2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824,6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825,2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821,6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818,1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809,2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-2,9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Depoziti privrede (kumulativ, u mil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477,8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460,2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465,0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453,8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465,8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483,0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480,7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569,2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552,1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569,2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549,5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546,4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526,5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-3,6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Lična štednja (kumulativ, u mil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1033,4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1.024,7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1.034,1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1.034,0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1.044,8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1.043,3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1.051,4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1.113,7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1.108,3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1.113,7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1.114,7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1.134,7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1.147,1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11,0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Kamatna stopa na kredite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9,73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9,68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9,65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9,64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9,61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9,53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9,53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9,54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9,53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9,50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9,47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-0,02</w:t>
            </w:r>
          </w:p>
        </w:tc>
        <w:tc>
          <w:tcPr>
            <w:tcW w:w="2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-0,26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Kamatna stopa na depozite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 xml:space="preserve">3,32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3,37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3,35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3,27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3,19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3,24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3,24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0,00</w:t>
            </w:r>
          </w:p>
        </w:tc>
        <w:tc>
          <w:tcPr>
            <w:tcW w:w="23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/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EKSTERNI SEKTOR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Izvoz roba (u mil.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36,3</w:t>
            </w:r>
          </w:p>
        </w:tc>
        <w:tc>
          <w:tcPr>
            <w:tcW w:w="2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27,5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23,9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33,4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31,2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34,5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31,9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31,8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30,1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26,5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32,4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32,4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-19,5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Uvoz roba (u mil.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163,5</w:t>
            </w:r>
          </w:p>
        </w:tc>
        <w:tc>
          <w:tcPr>
            <w:tcW w:w="25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99,9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106,5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191,5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151,0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167,7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170,8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147,7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173,4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147,7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158,6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136,5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139,2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-14,8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-1,8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Spoljnotrgovinski bilans (u mil 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-127,1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-72,5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-82,6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-158,1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-119,7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-133,2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-138,9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-117,6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-141,6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-117,6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-106,8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-104,2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-106,8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-16,0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2,2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Strane direktne investicije (mil.€)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24,2</w:t>
            </w:r>
          </w:p>
        </w:tc>
        <w:tc>
          <w:tcPr>
            <w:tcW w:w="254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15,5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30,2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20,8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25,9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25,8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34,4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92,7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18,3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92,7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20,9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77,3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32,2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-58,3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33,3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25,1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MEĐUNARODNO OKRUŽENJE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99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Brent crude oil (USD/barel)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107,4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111,0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122,2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122,9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119,3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101,7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97,6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111,9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114,7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111,9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108,5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108,2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111,3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-0,4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Aluminijum (USD/T)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2.024,4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2.151,3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2.207,9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2.184,2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2.048,5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2.002,5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1.885,5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2.064,1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1.843,3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2.064,1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1.974,3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1.948,8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2.086,8</w:t>
            </w:r>
          </w:p>
        </w:tc>
        <w:tc>
          <w:tcPr>
            <w:tcW w:w="22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7,1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3,1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-15,1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Euribor (12 mjeseci)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2,0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1,2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-1,5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-0,9</w:t>
            </w:r>
          </w:p>
        </w:tc>
      </w:tr>
      <w:tr w:rsidR="00D63424" w:rsidRPr="00D63424" w:rsidTr="000723A0">
        <w:trPr>
          <w:trHeight w:hRule="exact" w:val="204"/>
        </w:trPr>
        <w:tc>
          <w:tcPr>
            <w:tcW w:w="1218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Inflacija u Eurozoni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2,7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2,6</w:t>
            </w:r>
          </w:p>
        </w:tc>
        <w:tc>
          <w:tcPr>
            <w:tcW w:w="2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2,4</w:t>
            </w:r>
          </w:p>
        </w:tc>
        <w:tc>
          <w:tcPr>
            <w:tcW w:w="26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2,4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2,6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2,4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2,6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2,5</w:t>
            </w:r>
          </w:p>
        </w:tc>
        <w:tc>
          <w:tcPr>
            <w:tcW w:w="20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2,2</w:t>
            </w:r>
          </w:p>
        </w:tc>
        <w:tc>
          <w:tcPr>
            <w:tcW w:w="26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2,2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D63424" w:rsidRPr="00D63424" w:rsidRDefault="00D63424" w:rsidP="00D634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3424">
              <w:rPr>
                <w:rFonts w:ascii="Calibri" w:eastAsia="Times New Roman" w:hAnsi="Calibri" w:cs="Calibri"/>
                <w:sz w:val="16"/>
                <w:szCs w:val="16"/>
              </w:rPr>
              <w:t>-0,2</w:t>
            </w:r>
          </w:p>
        </w:tc>
      </w:tr>
    </w:tbl>
    <w:p w:rsidR="003A1150" w:rsidRPr="00AD1B16" w:rsidRDefault="003A1150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  <w:r w:rsidRPr="00AD1B16">
        <w:rPr>
          <w:i/>
          <w:iCs/>
          <w:sz w:val="12"/>
          <w:szCs w:val="12"/>
        </w:rPr>
        <w:br w:type="page"/>
      </w:r>
    </w:p>
    <w:p w:rsidR="0097377E" w:rsidRPr="00AD1B16" w:rsidRDefault="0097377E" w:rsidP="003A1150">
      <w:pPr>
        <w:spacing w:after="0" w:line="240" w:lineRule="auto"/>
        <w:jc w:val="both"/>
        <w:rPr>
          <w:i/>
          <w:iCs/>
          <w:sz w:val="12"/>
          <w:szCs w:val="12"/>
        </w:rPr>
      </w:pPr>
    </w:p>
    <w:p w:rsidR="00690A2B" w:rsidRPr="00E84EFD" w:rsidRDefault="00D61692" w:rsidP="00DA35C2">
      <w:pPr>
        <w:jc w:val="center"/>
        <w:rPr>
          <w:sz w:val="17"/>
          <w:szCs w:val="16"/>
          <w:lang w:val="hr-HR"/>
        </w:rPr>
      </w:pPr>
      <w:r w:rsidRPr="00E84EFD">
        <w:rPr>
          <w:sz w:val="17"/>
          <w:szCs w:val="16"/>
          <w:lang w:val="hr-HR"/>
        </w:rPr>
        <w:t xml:space="preserve">Tabela 2: </w:t>
      </w:r>
      <w:r w:rsidRPr="00E84EFD">
        <w:rPr>
          <w:b/>
          <w:bCs/>
          <w:sz w:val="17"/>
          <w:szCs w:val="16"/>
          <w:lang w:val="hr-HR"/>
        </w:rPr>
        <w:t>BUDŽET CRNE GORE</w:t>
      </w:r>
      <w:r w:rsidRPr="00E84EFD">
        <w:rPr>
          <w:sz w:val="17"/>
          <w:szCs w:val="16"/>
          <w:lang w:val="hr-HR"/>
        </w:rPr>
        <w:t xml:space="preserve"> – </w:t>
      </w:r>
      <w:r w:rsidR="00F13EE1" w:rsidRPr="00E84EFD">
        <w:rPr>
          <w:sz w:val="17"/>
          <w:szCs w:val="16"/>
          <w:lang w:val="hr-HR"/>
        </w:rPr>
        <w:t>decembar</w:t>
      </w:r>
      <w:r w:rsidRPr="00E84EFD">
        <w:rPr>
          <w:sz w:val="17"/>
          <w:szCs w:val="16"/>
          <w:lang w:val="hr-HR"/>
        </w:rPr>
        <w:t xml:space="preserve"> 201</w:t>
      </w:r>
      <w:r w:rsidR="00DE7609" w:rsidRPr="00E84EFD">
        <w:rPr>
          <w:sz w:val="17"/>
          <w:szCs w:val="16"/>
          <w:lang w:val="hr-HR"/>
        </w:rPr>
        <w:t>2</w:t>
      </w:r>
      <w:r w:rsidR="000F5B09" w:rsidRPr="00E84EFD">
        <w:rPr>
          <w:sz w:val="17"/>
          <w:szCs w:val="16"/>
          <w:lang w:val="hr-HR"/>
        </w:rPr>
        <w:t>.</w:t>
      </w:r>
    </w:p>
    <w:tbl>
      <w:tblPr>
        <w:tblW w:w="508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9"/>
        <w:gridCol w:w="630"/>
        <w:gridCol w:w="727"/>
        <w:gridCol w:w="813"/>
        <w:gridCol w:w="719"/>
        <w:gridCol w:w="713"/>
        <w:gridCol w:w="719"/>
        <w:gridCol w:w="719"/>
        <w:gridCol w:w="733"/>
        <w:gridCol w:w="719"/>
        <w:gridCol w:w="719"/>
        <w:gridCol w:w="723"/>
        <w:gridCol w:w="719"/>
        <w:gridCol w:w="719"/>
        <w:gridCol w:w="723"/>
        <w:gridCol w:w="719"/>
        <w:gridCol w:w="719"/>
        <w:gridCol w:w="723"/>
        <w:gridCol w:w="633"/>
        <w:gridCol w:w="633"/>
        <w:gridCol w:w="629"/>
        <w:gridCol w:w="613"/>
      </w:tblGrid>
      <w:tr w:rsidR="00914359" w:rsidRPr="00E84EFD" w:rsidTr="00F04F47">
        <w:trPr>
          <w:trHeight w:val="315"/>
        </w:trPr>
        <w:tc>
          <w:tcPr>
            <w:tcW w:w="567" w:type="pct"/>
            <w:vMerge w:val="restar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val="hr-HR"/>
              </w:rPr>
              <w:t>BUDŽET CRNE GORE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Učešće u uk ostv Prihod/Rashod/Dug  X (u %)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2011 (jan -dec)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2012 (JAN-DEC)</w:t>
            </w:r>
          </w:p>
        </w:tc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2012 /2011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2011</w:t>
            </w:r>
          </w:p>
        </w:tc>
        <w:tc>
          <w:tcPr>
            <w:tcW w:w="2598" w:type="pct"/>
            <w:gridSpan w:val="12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2012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2012-plan</w:t>
            </w:r>
          </w:p>
        </w:tc>
        <w:tc>
          <w:tcPr>
            <w:tcW w:w="563" w:type="pct"/>
            <w:gridSpan w:val="3"/>
            <w:shd w:val="clear" w:color="auto" w:fill="auto"/>
            <w:noWrap/>
            <w:vAlign w:val="center"/>
            <w:hideMark/>
          </w:tcPr>
          <w:p w:rsidR="009E6061" w:rsidRPr="009E6061" w:rsidRDefault="009E6061" w:rsidP="00F04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sz w:val="16"/>
                <w:szCs w:val="16"/>
                <w:lang w:val="hr-HR"/>
              </w:rPr>
              <w:t>Analitika</w:t>
            </w:r>
          </w:p>
        </w:tc>
      </w:tr>
      <w:tr w:rsidR="0037489B" w:rsidRPr="00E84EFD" w:rsidTr="00F04F47">
        <w:trPr>
          <w:trHeight w:val="645"/>
        </w:trPr>
        <w:tc>
          <w:tcPr>
            <w:tcW w:w="567" w:type="pct"/>
            <w:vMerge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val="hr-HR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</w:p>
        </w:tc>
        <w:tc>
          <w:tcPr>
            <w:tcW w:w="216" w:type="pct"/>
            <w:vMerge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Xii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I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II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III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IV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V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VI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VII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VIII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IX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X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XI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XII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XII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dec 2012 / dec 2011    (%)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jan - dec 2012 / jan - dec 2011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dec 2012 / dec 2012 plan</w:t>
            </w:r>
          </w:p>
        </w:tc>
      </w:tr>
      <w:tr w:rsidR="00F04F47" w:rsidRPr="00E84EFD" w:rsidTr="00F04F47">
        <w:trPr>
          <w:trHeight w:val="330"/>
        </w:trPr>
        <w:tc>
          <w:tcPr>
            <w:tcW w:w="567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/>
              </w:rPr>
              <w:t>IZVORNI PRIHODI, od čega:</w:t>
            </w:r>
          </w:p>
        </w:tc>
        <w:tc>
          <w:tcPr>
            <w:tcW w:w="189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100</w:t>
            </w:r>
          </w:p>
        </w:tc>
        <w:tc>
          <w:tcPr>
            <w:tcW w:w="218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1129.14</w:t>
            </w:r>
          </w:p>
        </w:tc>
        <w:tc>
          <w:tcPr>
            <w:tcW w:w="244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1119.94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99.18</w:t>
            </w:r>
          </w:p>
        </w:tc>
        <w:tc>
          <w:tcPr>
            <w:tcW w:w="214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123.19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48.73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67.76</w:t>
            </w:r>
          </w:p>
        </w:tc>
        <w:tc>
          <w:tcPr>
            <w:tcW w:w="220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76.28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98.76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86.82</w:t>
            </w:r>
          </w:p>
        </w:tc>
        <w:tc>
          <w:tcPr>
            <w:tcW w:w="217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95.94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130.90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108.52</w:t>
            </w:r>
          </w:p>
        </w:tc>
        <w:tc>
          <w:tcPr>
            <w:tcW w:w="217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95.84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99.23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85.31</w:t>
            </w:r>
          </w:p>
        </w:tc>
        <w:tc>
          <w:tcPr>
            <w:tcW w:w="217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125.85</w:t>
            </w:r>
          </w:p>
        </w:tc>
        <w:tc>
          <w:tcPr>
            <w:tcW w:w="190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126.60</w:t>
            </w:r>
          </w:p>
        </w:tc>
        <w:tc>
          <w:tcPr>
            <w:tcW w:w="190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2.16</w:t>
            </w:r>
          </w:p>
        </w:tc>
        <w:tc>
          <w:tcPr>
            <w:tcW w:w="189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-0.82</w:t>
            </w:r>
          </w:p>
        </w:tc>
        <w:tc>
          <w:tcPr>
            <w:tcW w:w="184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-0.59</w:t>
            </w:r>
          </w:p>
        </w:tc>
      </w:tr>
      <w:tr w:rsidR="0037489B" w:rsidRPr="00E84EFD" w:rsidTr="00F04F47">
        <w:trPr>
          <w:trHeight w:val="330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Porezi i doprinosi na  zarade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43.16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435.22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444.51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102.14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58.94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12.32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30.47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33.23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39.30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34.83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32.63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41.77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48.37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32.88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42.82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35.50</w:t>
            </w:r>
          </w:p>
        </w:tc>
        <w:tc>
          <w:tcPr>
            <w:tcW w:w="217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60.40</w:t>
            </w:r>
          </w:p>
        </w:tc>
        <w:tc>
          <w:tcPr>
            <w:tcW w:w="190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59.62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2.47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2.14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1.30</w:t>
            </w:r>
          </w:p>
        </w:tc>
      </w:tr>
      <w:tr w:rsidR="0037489B" w:rsidRPr="00E84EFD" w:rsidTr="00F04F47">
        <w:trPr>
          <w:trHeight w:val="330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Porez na dobit pravnih lica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1.55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36.10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64.02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177.33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2.47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0.41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0.43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4.55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13.49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3.05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3.80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28.54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2.31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3.27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1.54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0.79</w:t>
            </w:r>
          </w:p>
        </w:tc>
        <w:tc>
          <w:tcPr>
            <w:tcW w:w="217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1.82</w:t>
            </w:r>
          </w:p>
        </w:tc>
        <w:tc>
          <w:tcPr>
            <w:tcW w:w="190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3.83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-26.24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77.33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-52.37</w:t>
            </w:r>
          </w:p>
        </w:tc>
      </w:tr>
      <w:tr w:rsidR="0037489B" w:rsidRPr="00E84EFD" w:rsidTr="00F04F47">
        <w:trPr>
          <w:trHeight w:val="330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Porez na dodatu vrijednost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34.15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392.24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354.71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90.43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35.23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21.20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21.32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23.76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27.71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30.99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37.82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37.35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32.21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33.59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33.88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29.08</w:t>
            </w:r>
          </w:p>
        </w:tc>
        <w:tc>
          <w:tcPr>
            <w:tcW w:w="217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25.78</w:t>
            </w:r>
          </w:p>
        </w:tc>
        <w:tc>
          <w:tcPr>
            <w:tcW w:w="190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35.50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-26.83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-9.57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-27.38</w:t>
            </w:r>
          </w:p>
        </w:tc>
      </w:tr>
      <w:tr w:rsidR="0037489B" w:rsidRPr="00E84EFD" w:rsidTr="00F04F47">
        <w:trPr>
          <w:trHeight w:val="256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Akcize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11.92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143.38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151.77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105.85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12.14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9.27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9.08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6.38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9.98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10.09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14.77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13.19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17.42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19.43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11.83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12.45</w:t>
            </w:r>
          </w:p>
        </w:tc>
        <w:tc>
          <w:tcPr>
            <w:tcW w:w="217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17.89</w:t>
            </w:r>
          </w:p>
        </w:tc>
        <w:tc>
          <w:tcPr>
            <w:tcW w:w="190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14.81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47.38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5.85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20.78</w:t>
            </w:r>
          </w:p>
        </w:tc>
      </w:tr>
      <w:tr w:rsidR="0037489B" w:rsidRPr="00E84EFD" w:rsidTr="00F04F47">
        <w:trPr>
          <w:trHeight w:val="330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Porez na medj trgovinu i transak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2.28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45.33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28.97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63.90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4.07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2.10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2.27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3.24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3.38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3.25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2.15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2.36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2.41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1.99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2.27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1.69</w:t>
            </w:r>
          </w:p>
        </w:tc>
        <w:tc>
          <w:tcPr>
            <w:tcW w:w="217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1.86</w:t>
            </w:r>
          </w:p>
        </w:tc>
        <w:tc>
          <w:tcPr>
            <w:tcW w:w="190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4.46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-54.43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-36.10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-58.37</w:t>
            </w:r>
          </w:p>
        </w:tc>
      </w:tr>
      <w:tr w:rsidR="00F04F47" w:rsidRPr="00E84EFD" w:rsidTr="00F04F47">
        <w:trPr>
          <w:trHeight w:val="391"/>
        </w:trPr>
        <w:tc>
          <w:tcPr>
            <w:tcW w:w="567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/>
              </w:rPr>
              <w:t>IZDACI BUDŽETA, od čega :</w:t>
            </w:r>
          </w:p>
        </w:tc>
        <w:tc>
          <w:tcPr>
            <w:tcW w:w="189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100</w:t>
            </w:r>
          </w:p>
        </w:tc>
        <w:tc>
          <w:tcPr>
            <w:tcW w:w="218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1318.82</w:t>
            </w:r>
          </w:p>
        </w:tc>
        <w:tc>
          <w:tcPr>
            <w:tcW w:w="244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1282.62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97.26</w:t>
            </w:r>
          </w:p>
        </w:tc>
        <w:tc>
          <w:tcPr>
            <w:tcW w:w="214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205.23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53.05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99.61</w:t>
            </w:r>
          </w:p>
        </w:tc>
        <w:tc>
          <w:tcPr>
            <w:tcW w:w="220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81.37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166.24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98.30</w:t>
            </w:r>
          </w:p>
        </w:tc>
        <w:tc>
          <w:tcPr>
            <w:tcW w:w="217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100.62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108.61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101.57</w:t>
            </w:r>
          </w:p>
        </w:tc>
        <w:tc>
          <w:tcPr>
            <w:tcW w:w="217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107.51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104.08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109.41</w:t>
            </w:r>
          </w:p>
        </w:tc>
        <w:tc>
          <w:tcPr>
            <w:tcW w:w="217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152.26</w:t>
            </w:r>
          </w:p>
        </w:tc>
        <w:tc>
          <w:tcPr>
            <w:tcW w:w="190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108.80</w:t>
            </w:r>
          </w:p>
        </w:tc>
        <w:tc>
          <w:tcPr>
            <w:tcW w:w="190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-25.81</w:t>
            </w:r>
          </w:p>
        </w:tc>
        <w:tc>
          <w:tcPr>
            <w:tcW w:w="189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-2.74</w:t>
            </w:r>
          </w:p>
        </w:tc>
        <w:tc>
          <w:tcPr>
            <w:tcW w:w="184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39.95</w:t>
            </w:r>
          </w:p>
        </w:tc>
      </w:tr>
      <w:tr w:rsidR="0037489B" w:rsidRPr="00E84EFD" w:rsidTr="00F04F47">
        <w:trPr>
          <w:trHeight w:val="330"/>
        </w:trPr>
        <w:tc>
          <w:tcPr>
            <w:tcW w:w="567" w:type="pct"/>
            <w:shd w:val="clear" w:color="000000" w:fill="FFFFFF"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Bruto zarade i doprinosi na teret posl</w:t>
            </w:r>
          </w:p>
        </w:tc>
        <w:tc>
          <w:tcPr>
            <w:tcW w:w="189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30.04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371.26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374.66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100.92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55.11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0.00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31.28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27.71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47.40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26.80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32.15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35.53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35.06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21.07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31.27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40.13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46.25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34.92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-16.07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0.92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32.44</w:t>
            </w:r>
          </w:p>
        </w:tc>
      </w:tr>
      <w:tr w:rsidR="00F04F47" w:rsidRPr="00E84EFD" w:rsidTr="00F04F47">
        <w:trPr>
          <w:trHeight w:val="330"/>
        </w:trPr>
        <w:tc>
          <w:tcPr>
            <w:tcW w:w="567" w:type="pct"/>
            <w:shd w:val="clear" w:color="000000" w:fill="FFFFFF"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Rashodi za materijal i usluge</w:t>
            </w:r>
          </w:p>
        </w:tc>
        <w:tc>
          <w:tcPr>
            <w:tcW w:w="189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12.66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110.49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153.59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139.01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21.50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2.31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12.46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6.66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21.04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14.12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10.19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16.20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10.52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13.03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13.17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12.39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21.50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12.29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0.00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39.01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74.92</w:t>
            </w:r>
          </w:p>
        </w:tc>
      </w:tr>
      <w:tr w:rsidR="0037489B" w:rsidRPr="00E84EFD" w:rsidTr="00F04F47">
        <w:trPr>
          <w:trHeight w:val="256"/>
        </w:trPr>
        <w:tc>
          <w:tcPr>
            <w:tcW w:w="567" w:type="pct"/>
            <w:shd w:val="clear" w:color="000000" w:fill="FFFFFF"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Kamate</w:t>
            </w:r>
          </w:p>
        </w:tc>
        <w:tc>
          <w:tcPr>
            <w:tcW w:w="189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0.50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45.09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55.99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124.18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5.91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3.64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1.66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2.65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14.13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2.02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4.87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1.23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2.60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18.18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0.52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0.80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3.69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4.40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-37.48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24.18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-16.02</w:t>
            </w:r>
          </w:p>
        </w:tc>
      </w:tr>
      <w:tr w:rsidR="0037489B" w:rsidRPr="00E84EFD" w:rsidTr="00F04F47">
        <w:trPr>
          <w:trHeight w:val="330"/>
        </w:trPr>
        <w:tc>
          <w:tcPr>
            <w:tcW w:w="567" w:type="pct"/>
            <w:shd w:val="clear" w:color="000000" w:fill="FFFFFF"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Transferi za socijalnu zaštitu</w:t>
            </w:r>
          </w:p>
        </w:tc>
        <w:tc>
          <w:tcPr>
            <w:tcW w:w="189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38.97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454.76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481.64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105.91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41.62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37.23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40.40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35.63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43.78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40.87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39.07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40.98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39.99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40.35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40.56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40.34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42.46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40.00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2.01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5.91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6.14</w:t>
            </w:r>
          </w:p>
        </w:tc>
      </w:tr>
      <w:tr w:rsidR="0037489B" w:rsidRPr="00E84EFD" w:rsidTr="00F04F47">
        <w:trPr>
          <w:trHeight w:val="330"/>
        </w:trPr>
        <w:tc>
          <w:tcPr>
            <w:tcW w:w="567" w:type="pct"/>
            <w:shd w:val="clear" w:color="000000" w:fill="FFFFFF"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Transferi instit, pojed i NVO sektoru</w:t>
            </w:r>
          </w:p>
        </w:tc>
        <w:tc>
          <w:tcPr>
            <w:tcW w:w="189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2.86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87.91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31.51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35.84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16.10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0.44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2.81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0.99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4.07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2.47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2.43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2.32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2.06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2.68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2.97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2.03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6.24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2.61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-61.24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-64.16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138.70</w:t>
            </w:r>
          </w:p>
        </w:tc>
      </w:tr>
      <w:tr w:rsidR="0037489B" w:rsidRPr="00E84EFD" w:rsidTr="00F04F47">
        <w:trPr>
          <w:trHeight w:val="346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Kapitalni izdaci</w:t>
            </w:r>
          </w:p>
        </w:tc>
        <w:tc>
          <w:tcPr>
            <w:tcW w:w="189" w:type="pct"/>
            <w:shd w:val="clear" w:color="000000" w:fill="FFFFFF"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5.62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77.64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67.69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87.18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22.82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2.00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3.39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1.27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4.32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5.50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4.11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6.14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7.88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4.64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5.85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6.17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16.42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8.46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-28.07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-12.82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7A5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94.15</w:t>
            </w:r>
          </w:p>
        </w:tc>
      </w:tr>
      <w:tr w:rsidR="00F04F47" w:rsidRPr="00E84EFD" w:rsidTr="00F04F47">
        <w:trPr>
          <w:trHeight w:val="330"/>
        </w:trPr>
        <w:tc>
          <w:tcPr>
            <w:tcW w:w="567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/>
              </w:rPr>
              <w:t>Suficit / Deficit budžeta</w:t>
            </w:r>
          </w:p>
        </w:tc>
        <w:tc>
          <w:tcPr>
            <w:tcW w:w="189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</w:t>
            </w:r>
          </w:p>
        </w:tc>
        <w:tc>
          <w:tcPr>
            <w:tcW w:w="218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-189.67</w:t>
            </w:r>
          </w:p>
        </w:tc>
        <w:tc>
          <w:tcPr>
            <w:tcW w:w="244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-162.69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85.77</w:t>
            </w:r>
          </w:p>
        </w:tc>
        <w:tc>
          <w:tcPr>
            <w:tcW w:w="214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-82.04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-4.33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-31.85</w:t>
            </w:r>
          </w:p>
        </w:tc>
        <w:tc>
          <w:tcPr>
            <w:tcW w:w="220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-5.09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-67.48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-11.48</w:t>
            </w:r>
          </w:p>
        </w:tc>
        <w:tc>
          <w:tcPr>
            <w:tcW w:w="217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-4.68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22.29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6.95</w:t>
            </w:r>
          </w:p>
        </w:tc>
        <w:tc>
          <w:tcPr>
            <w:tcW w:w="217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-11.67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-4.85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-24.09</w:t>
            </w:r>
          </w:p>
        </w:tc>
        <w:tc>
          <w:tcPr>
            <w:tcW w:w="217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-26.41</w:t>
            </w:r>
          </w:p>
        </w:tc>
        <w:tc>
          <w:tcPr>
            <w:tcW w:w="190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17.80</w:t>
            </w:r>
          </w:p>
        </w:tc>
        <w:tc>
          <w:tcPr>
            <w:tcW w:w="190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-67.81</w:t>
            </w:r>
          </w:p>
        </w:tc>
        <w:tc>
          <w:tcPr>
            <w:tcW w:w="189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-14.23</w:t>
            </w:r>
          </w:p>
        </w:tc>
        <w:tc>
          <w:tcPr>
            <w:tcW w:w="184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-248.37</w:t>
            </w:r>
          </w:p>
        </w:tc>
      </w:tr>
      <w:tr w:rsidR="0037489B" w:rsidRPr="00E84EFD" w:rsidTr="00F04F47">
        <w:trPr>
          <w:trHeight w:val="330"/>
        </w:trPr>
        <w:tc>
          <w:tcPr>
            <w:tcW w:w="567" w:type="pct"/>
            <w:shd w:val="clear" w:color="000000" w:fill="FFFFFF"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Primarni deficit</w:t>
            </w:r>
          </w:p>
        </w:tc>
        <w:tc>
          <w:tcPr>
            <w:tcW w:w="189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-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-144.58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-106.12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73.40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-76.13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-0.69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-30.19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-2.44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-53.34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-9.46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0.19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23.52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9.55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6.51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-4.33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-22.72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-22.72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22.20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-70.16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-26.60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-202.32</w:t>
            </w:r>
          </w:p>
        </w:tc>
      </w:tr>
      <w:tr w:rsidR="00F04F47" w:rsidRPr="00E84EFD" w:rsidTr="00F04F47">
        <w:trPr>
          <w:trHeight w:val="330"/>
        </w:trPr>
        <w:tc>
          <w:tcPr>
            <w:tcW w:w="567" w:type="pct"/>
            <w:shd w:val="clear" w:color="000000" w:fill="FFFFFF"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Otplata dugova</w:t>
            </w:r>
          </w:p>
        </w:tc>
        <w:tc>
          <w:tcPr>
            <w:tcW w:w="189" w:type="pct"/>
            <w:shd w:val="clear" w:color="000000" w:fill="FFFFFF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-</w:t>
            </w:r>
          </w:p>
        </w:tc>
        <w:tc>
          <w:tcPr>
            <w:tcW w:w="218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161.96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168.70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104.16</w:t>
            </w:r>
          </w:p>
        </w:tc>
        <w:tc>
          <w:tcPr>
            <w:tcW w:w="214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21.75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15.70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11.94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8.03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11.89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12.12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22.12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23.07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22.68</w:t>
            </w:r>
          </w:p>
        </w:tc>
        <w:tc>
          <w:tcPr>
            <w:tcW w:w="217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16.35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5.24</w:t>
            </w:r>
          </w:p>
        </w:tc>
        <w:tc>
          <w:tcPr>
            <w:tcW w:w="216" w:type="pct"/>
            <w:shd w:val="clear" w:color="000000" w:fill="FFFFFF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4.44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15.10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19.31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-30.56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4.16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-21.78</w:t>
            </w:r>
          </w:p>
        </w:tc>
      </w:tr>
      <w:tr w:rsidR="00F04F47" w:rsidRPr="00E84EFD" w:rsidTr="00F04F47">
        <w:trPr>
          <w:trHeight w:val="330"/>
        </w:trPr>
        <w:tc>
          <w:tcPr>
            <w:tcW w:w="567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hr-HR"/>
              </w:rPr>
              <w:t>Državni dug (stanje duga)</w:t>
            </w:r>
          </w:p>
        </w:tc>
        <w:tc>
          <w:tcPr>
            <w:tcW w:w="189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100</w:t>
            </w:r>
          </w:p>
        </w:tc>
        <w:tc>
          <w:tcPr>
            <w:tcW w:w="218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1483.50</w:t>
            </w:r>
          </w:p>
        </w:tc>
        <w:tc>
          <w:tcPr>
            <w:tcW w:w="244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19692.80</w:t>
            </w:r>
          </w:p>
        </w:tc>
        <w:tc>
          <w:tcPr>
            <w:tcW w:w="216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1327.46</w:t>
            </w:r>
          </w:p>
        </w:tc>
        <w:tc>
          <w:tcPr>
            <w:tcW w:w="214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1483.50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1473.20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1540.30</w:t>
            </w:r>
          </w:p>
        </w:tc>
        <w:tc>
          <w:tcPr>
            <w:tcW w:w="220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1534.80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1638.60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1634.50</w:t>
            </w:r>
          </w:p>
        </w:tc>
        <w:tc>
          <w:tcPr>
            <w:tcW w:w="217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1629.60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1718.80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1703.20</w:t>
            </w:r>
          </w:p>
        </w:tc>
        <w:tc>
          <w:tcPr>
            <w:tcW w:w="217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1707.20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1709.40</w:t>
            </w:r>
          </w:p>
        </w:tc>
        <w:tc>
          <w:tcPr>
            <w:tcW w:w="216" w:type="pct"/>
            <w:shd w:val="clear" w:color="000000" w:fill="D7E4BC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1700.20</w:t>
            </w:r>
          </w:p>
        </w:tc>
        <w:tc>
          <w:tcPr>
            <w:tcW w:w="217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1703.00</w:t>
            </w:r>
          </w:p>
        </w:tc>
        <w:tc>
          <w:tcPr>
            <w:tcW w:w="190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</w:t>
            </w:r>
          </w:p>
        </w:tc>
        <w:tc>
          <w:tcPr>
            <w:tcW w:w="190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14.80</w:t>
            </w:r>
          </w:p>
        </w:tc>
        <w:tc>
          <w:tcPr>
            <w:tcW w:w="189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17.21</w:t>
            </w:r>
          </w:p>
        </w:tc>
        <w:tc>
          <w:tcPr>
            <w:tcW w:w="184" w:type="pct"/>
            <w:shd w:val="clear" w:color="000000" w:fill="D7E4BC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</w:t>
            </w:r>
          </w:p>
        </w:tc>
      </w:tr>
      <w:tr w:rsidR="0037489B" w:rsidRPr="00E84EFD" w:rsidTr="00F04F47">
        <w:trPr>
          <w:trHeight w:val="330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Domaći dug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23.48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419.80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4966.20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1182.99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419.80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419.00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431.30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426.50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432.60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424.10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424.10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411.20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395.40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399.60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401.30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393.10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408.00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-2.81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11.10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</w:t>
            </w:r>
          </w:p>
        </w:tc>
      </w:tr>
      <w:tr w:rsidR="0037489B" w:rsidRPr="00E84EFD" w:rsidTr="00F04F47">
        <w:trPr>
          <w:trHeight w:val="315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1435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val="hr-HR"/>
              </w:rPr>
              <w:t>Inostrani dug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i/>
                <w:iCs/>
                <w:sz w:val="14"/>
                <w:szCs w:val="14"/>
                <w:lang w:val="hr-HR"/>
              </w:rPr>
              <w:t>76.52</w:t>
            </w:r>
          </w:p>
        </w:tc>
        <w:tc>
          <w:tcPr>
            <w:tcW w:w="218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1063.70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14726.60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1384.47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1063.70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1054.20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1109.00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1108.30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1206.00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1210.40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1205.50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1307.60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1307.80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1307.60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1308.10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sz w:val="14"/>
                <w:szCs w:val="14"/>
                <w:lang w:val="hr-HR"/>
              </w:rPr>
              <w:t>1307.10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1295.00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hr-HR"/>
              </w:rPr>
              <w:t>-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21.74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19.42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E6061" w:rsidRPr="009E6061" w:rsidRDefault="009E6061" w:rsidP="009E6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</w:pPr>
            <w:r w:rsidRPr="009E6061">
              <w:rPr>
                <w:rFonts w:ascii="Calibri" w:eastAsia="Times New Roman" w:hAnsi="Calibri" w:cs="Calibri"/>
                <w:b/>
                <w:bCs/>
                <w:i/>
                <w:iCs/>
                <w:sz w:val="14"/>
                <w:szCs w:val="14"/>
                <w:lang w:val="hr-HR"/>
              </w:rPr>
              <w:t>-</w:t>
            </w:r>
          </w:p>
        </w:tc>
      </w:tr>
    </w:tbl>
    <w:p w:rsidR="009472A1" w:rsidRPr="00E84EFD" w:rsidRDefault="008D6E96" w:rsidP="00805844">
      <w:pPr>
        <w:rPr>
          <w:b/>
          <w:i/>
          <w:sz w:val="14"/>
          <w:szCs w:val="14"/>
          <w:lang w:val="hr-HR"/>
        </w:rPr>
      </w:pPr>
      <w:r w:rsidRPr="00E84EFD">
        <w:rPr>
          <w:b/>
          <w:i/>
          <w:sz w:val="14"/>
          <w:szCs w:val="14"/>
          <w:lang w:val="hr-HR"/>
        </w:rPr>
        <w:t>Izvor: Ministarstvo</w:t>
      </w:r>
      <w:r w:rsidR="00F13EE1" w:rsidRPr="00E84EFD">
        <w:rPr>
          <w:b/>
          <w:i/>
          <w:sz w:val="14"/>
          <w:szCs w:val="14"/>
          <w:lang w:val="hr-HR"/>
        </w:rPr>
        <w:t xml:space="preserve"> </w:t>
      </w:r>
      <w:r w:rsidRPr="00E84EFD">
        <w:rPr>
          <w:b/>
          <w:i/>
          <w:sz w:val="14"/>
          <w:szCs w:val="14"/>
          <w:lang w:val="hr-HR"/>
        </w:rPr>
        <w:t>finansijaCrne Gore</w:t>
      </w:r>
    </w:p>
    <w:p w:rsidR="0037489B" w:rsidRPr="00E84EFD" w:rsidRDefault="0037489B" w:rsidP="0037489B">
      <w:pPr>
        <w:ind w:left="-142"/>
        <w:jc w:val="both"/>
        <w:rPr>
          <w:sz w:val="14"/>
          <w:szCs w:val="14"/>
          <w:lang w:val="hr-HR"/>
        </w:rPr>
      </w:pPr>
      <w:r w:rsidRPr="00E84EFD">
        <w:rPr>
          <w:rFonts w:cstheme="minorHAnsi"/>
          <w:bCs/>
          <w:sz w:val="14"/>
          <w:szCs w:val="14"/>
          <w:lang w:val="hr-HR"/>
        </w:rPr>
        <w:t>*Povećanje rashoda za materijal i usluge rezultat je tehničke izmjene u državnom Budžetu, čime se sredstva koja su ranije knjižena na poziciji</w:t>
      </w:r>
      <w:r w:rsidRPr="00E84EFD">
        <w:rPr>
          <w:rFonts w:cstheme="minorHAnsi"/>
          <w:bCs/>
          <w:i/>
          <w:sz w:val="14"/>
          <w:szCs w:val="14"/>
          <w:lang w:val="hr-HR"/>
        </w:rPr>
        <w:t xml:space="preserve"> transferi institucijama, pojedincima i NVO sektoru </w:t>
      </w:r>
      <w:r w:rsidRPr="00E84EFD">
        <w:rPr>
          <w:rFonts w:cstheme="minorHAnsi"/>
          <w:bCs/>
          <w:sz w:val="14"/>
          <w:szCs w:val="14"/>
          <w:lang w:val="hr-HR"/>
        </w:rPr>
        <w:t xml:space="preserve">sadabilježe na poziciji </w:t>
      </w:r>
      <w:r w:rsidRPr="00E84EFD">
        <w:rPr>
          <w:rFonts w:cstheme="minorHAnsi"/>
          <w:bCs/>
          <w:i/>
          <w:sz w:val="14"/>
          <w:szCs w:val="14"/>
          <w:lang w:val="hr-HR"/>
        </w:rPr>
        <w:t>transferi za materijal i usluge</w:t>
      </w:r>
      <w:r w:rsidRPr="00E84EFD">
        <w:rPr>
          <w:rFonts w:cstheme="minorHAnsi"/>
          <w:bCs/>
          <w:sz w:val="14"/>
          <w:szCs w:val="14"/>
          <w:lang w:val="hr-HR"/>
        </w:rPr>
        <w:t>. Time se podstiče transparentnost trošenja budžetskih sredstava.</w:t>
      </w:r>
    </w:p>
    <w:p w:rsidR="005025EC" w:rsidRPr="00AD1B16" w:rsidRDefault="005025EC" w:rsidP="005025EC">
      <w:pPr>
        <w:jc w:val="both"/>
        <w:rPr>
          <w:rFonts w:cstheme="minorHAnsi"/>
          <w:bCs/>
          <w:sz w:val="14"/>
          <w:szCs w:val="14"/>
        </w:rPr>
      </w:pPr>
    </w:p>
    <w:p w:rsidR="005025EC" w:rsidRPr="00AD1B16" w:rsidRDefault="005025EC" w:rsidP="005025EC">
      <w:pPr>
        <w:jc w:val="both"/>
        <w:rPr>
          <w:rFonts w:cstheme="minorHAnsi"/>
          <w:bCs/>
          <w:sz w:val="14"/>
          <w:szCs w:val="14"/>
        </w:rPr>
      </w:pPr>
    </w:p>
    <w:p w:rsidR="005025EC" w:rsidRPr="00AD1B16" w:rsidRDefault="005025EC" w:rsidP="005025EC">
      <w:pPr>
        <w:jc w:val="both"/>
        <w:rPr>
          <w:rFonts w:cstheme="minorHAnsi"/>
          <w:bCs/>
          <w:sz w:val="14"/>
          <w:szCs w:val="14"/>
        </w:rPr>
      </w:pP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p w:rsidR="009126D6" w:rsidRPr="00AD1B16" w:rsidRDefault="009126D6" w:rsidP="005025EC">
      <w:pPr>
        <w:jc w:val="both"/>
        <w:rPr>
          <w:rFonts w:cstheme="minorHAnsi"/>
          <w:bCs/>
          <w:sz w:val="14"/>
          <w:szCs w:val="14"/>
        </w:rPr>
      </w:pPr>
    </w:p>
    <w:p w:rsidR="00A2480A" w:rsidRPr="00AD1B16" w:rsidRDefault="00A2480A" w:rsidP="005025EC">
      <w:pPr>
        <w:ind w:left="-142"/>
        <w:jc w:val="both"/>
        <w:rPr>
          <w:sz w:val="14"/>
          <w:szCs w:val="14"/>
        </w:rPr>
      </w:pPr>
      <w:r w:rsidRPr="00AD1B16">
        <w:rPr>
          <w:rFonts w:cstheme="minorHAnsi"/>
          <w:bCs/>
          <w:sz w:val="14"/>
          <w:szCs w:val="14"/>
        </w:rPr>
        <w:t>.</w:t>
      </w:r>
    </w:p>
    <w:sectPr w:rsidR="00A2480A" w:rsidRPr="00AD1B16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68A" w:rsidRDefault="0047568A" w:rsidP="00965FCD">
      <w:pPr>
        <w:spacing w:after="0" w:line="240" w:lineRule="auto"/>
      </w:pPr>
      <w:r>
        <w:separator/>
      </w:r>
    </w:p>
  </w:endnote>
  <w:endnote w:type="continuationSeparator" w:id="1">
    <w:p w:rsidR="0047568A" w:rsidRDefault="0047568A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68A" w:rsidRDefault="0047568A" w:rsidP="00965FCD">
      <w:pPr>
        <w:spacing w:after="0" w:line="240" w:lineRule="auto"/>
      </w:pPr>
      <w:r>
        <w:separator/>
      </w:r>
    </w:p>
  </w:footnote>
  <w:footnote w:type="continuationSeparator" w:id="1">
    <w:p w:rsidR="0047568A" w:rsidRDefault="0047568A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97970"/>
    <w:multiLevelType w:val="hybridMultilevel"/>
    <w:tmpl w:val="530A2D48"/>
    <w:lvl w:ilvl="0" w:tplc="901E34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1692"/>
    <w:rsid w:val="000000CB"/>
    <w:rsid w:val="000010A3"/>
    <w:rsid w:val="00003D78"/>
    <w:rsid w:val="00004B56"/>
    <w:rsid w:val="000147A0"/>
    <w:rsid w:val="00014AAB"/>
    <w:rsid w:val="00014D0B"/>
    <w:rsid w:val="00014E6A"/>
    <w:rsid w:val="00021033"/>
    <w:rsid w:val="000224B4"/>
    <w:rsid w:val="00022789"/>
    <w:rsid w:val="000263A4"/>
    <w:rsid w:val="000341DE"/>
    <w:rsid w:val="00034923"/>
    <w:rsid w:val="0003544A"/>
    <w:rsid w:val="000369E1"/>
    <w:rsid w:val="000421A3"/>
    <w:rsid w:val="000449CD"/>
    <w:rsid w:val="00044CB0"/>
    <w:rsid w:val="00045654"/>
    <w:rsid w:val="00046C9E"/>
    <w:rsid w:val="00050EAB"/>
    <w:rsid w:val="00052DC4"/>
    <w:rsid w:val="00054068"/>
    <w:rsid w:val="00055E5C"/>
    <w:rsid w:val="00055F78"/>
    <w:rsid w:val="00056E43"/>
    <w:rsid w:val="000601A4"/>
    <w:rsid w:val="00061391"/>
    <w:rsid w:val="000645F3"/>
    <w:rsid w:val="00067726"/>
    <w:rsid w:val="000723A0"/>
    <w:rsid w:val="000734AF"/>
    <w:rsid w:val="00073786"/>
    <w:rsid w:val="00074378"/>
    <w:rsid w:val="000747AC"/>
    <w:rsid w:val="00074C3E"/>
    <w:rsid w:val="0007530C"/>
    <w:rsid w:val="00080AEE"/>
    <w:rsid w:val="000812E2"/>
    <w:rsid w:val="00085B67"/>
    <w:rsid w:val="00090FDD"/>
    <w:rsid w:val="00091154"/>
    <w:rsid w:val="000915D3"/>
    <w:rsid w:val="000917D8"/>
    <w:rsid w:val="000925F7"/>
    <w:rsid w:val="000945C9"/>
    <w:rsid w:val="0009548F"/>
    <w:rsid w:val="00097E38"/>
    <w:rsid w:val="000A1159"/>
    <w:rsid w:val="000A2350"/>
    <w:rsid w:val="000A2F52"/>
    <w:rsid w:val="000A43CE"/>
    <w:rsid w:val="000A47FF"/>
    <w:rsid w:val="000A4E37"/>
    <w:rsid w:val="000A787A"/>
    <w:rsid w:val="000B1DD7"/>
    <w:rsid w:val="000B502D"/>
    <w:rsid w:val="000B67B1"/>
    <w:rsid w:val="000B7AE2"/>
    <w:rsid w:val="000C06C5"/>
    <w:rsid w:val="000C1965"/>
    <w:rsid w:val="000C36DB"/>
    <w:rsid w:val="000C6818"/>
    <w:rsid w:val="000D0374"/>
    <w:rsid w:val="000D52CF"/>
    <w:rsid w:val="000D5D48"/>
    <w:rsid w:val="000D5ED7"/>
    <w:rsid w:val="000D6DF1"/>
    <w:rsid w:val="000E13EB"/>
    <w:rsid w:val="000E2251"/>
    <w:rsid w:val="000E2351"/>
    <w:rsid w:val="000E3987"/>
    <w:rsid w:val="000E6096"/>
    <w:rsid w:val="000E77A4"/>
    <w:rsid w:val="000F4D73"/>
    <w:rsid w:val="000F5B09"/>
    <w:rsid w:val="000F6C6B"/>
    <w:rsid w:val="000F756E"/>
    <w:rsid w:val="00100371"/>
    <w:rsid w:val="001032DC"/>
    <w:rsid w:val="0010339D"/>
    <w:rsid w:val="00107128"/>
    <w:rsid w:val="00112853"/>
    <w:rsid w:val="00114109"/>
    <w:rsid w:val="00115519"/>
    <w:rsid w:val="00116365"/>
    <w:rsid w:val="001164A1"/>
    <w:rsid w:val="00117AB0"/>
    <w:rsid w:val="00120A3A"/>
    <w:rsid w:val="00131185"/>
    <w:rsid w:val="001326B7"/>
    <w:rsid w:val="00134816"/>
    <w:rsid w:val="00134C6C"/>
    <w:rsid w:val="00136E70"/>
    <w:rsid w:val="00144C86"/>
    <w:rsid w:val="0014607D"/>
    <w:rsid w:val="00147278"/>
    <w:rsid w:val="00152E4F"/>
    <w:rsid w:val="001530CE"/>
    <w:rsid w:val="0015515C"/>
    <w:rsid w:val="00156E33"/>
    <w:rsid w:val="00157601"/>
    <w:rsid w:val="001610BD"/>
    <w:rsid w:val="001613FC"/>
    <w:rsid w:val="001627A3"/>
    <w:rsid w:val="00163041"/>
    <w:rsid w:val="001644C7"/>
    <w:rsid w:val="00165DE6"/>
    <w:rsid w:val="001678F1"/>
    <w:rsid w:val="00170C82"/>
    <w:rsid w:val="00170CCE"/>
    <w:rsid w:val="00172D59"/>
    <w:rsid w:val="00174836"/>
    <w:rsid w:val="0017540F"/>
    <w:rsid w:val="00181309"/>
    <w:rsid w:val="0018289E"/>
    <w:rsid w:val="0018592D"/>
    <w:rsid w:val="00186BEF"/>
    <w:rsid w:val="00186F09"/>
    <w:rsid w:val="00187C66"/>
    <w:rsid w:val="00190285"/>
    <w:rsid w:val="001942BA"/>
    <w:rsid w:val="001A2829"/>
    <w:rsid w:val="001A392F"/>
    <w:rsid w:val="001A594D"/>
    <w:rsid w:val="001A65F4"/>
    <w:rsid w:val="001A7319"/>
    <w:rsid w:val="001B3267"/>
    <w:rsid w:val="001C1F7E"/>
    <w:rsid w:val="001C23DD"/>
    <w:rsid w:val="001C264C"/>
    <w:rsid w:val="001C2751"/>
    <w:rsid w:val="001C51EC"/>
    <w:rsid w:val="001C5CE9"/>
    <w:rsid w:val="001C6698"/>
    <w:rsid w:val="001C6750"/>
    <w:rsid w:val="001D0A32"/>
    <w:rsid w:val="001D4E81"/>
    <w:rsid w:val="001E29D1"/>
    <w:rsid w:val="001E2BC7"/>
    <w:rsid w:val="001E33FE"/>
    <w:rsid w:val="001E4EAE"/>
    <w:rsid w:val="001E5BE3"/>
    <w:rsid w:val="001F0CAA"/>
    <w:rsid w:val="001F1378"/>
    <w:rsid w:val="001F19CC"/>
    <w:rsid w:val="001F2B57"/>
    <w:rsid w:val="001F4C02"/>
    <w:rsid w:val="001F69DD"/>
    <w:rsid w:val="001F7C33"/>
    <w:rsid w:val="002000E5"/>
    <w:rsid w:val="0020246C"/>
    <w:rsid w:val="00203447"/>
    <w:rsid w:val="00205D15"/>
    <w:rsid w:val="00206062"/>
    <w:rsid w:val="00207613"/>
    <w:rsid w:val="00207B53"/>
    <w:rsid w:val="0021042E"/>
    <w:rsid w:val="00212126"/>
    <w:rsid w:val="00212633"/>
    <w:rsid w:val="0021614C"/>
    <w:rsid w:val="00220834"/>
    <w:rsid w:val="002210E9"/>
    <w:rsid w:val="00223E45"/>
    <w:rsid w:val="002251C3"/>
    <w:rsid w:val="00225F74"/>
    <w:rsid w:val="0022695C"/>
    <w:rsid w:val="00227682"/>
    <w:rsid w:val="00227D75"/>
    <w:rsid w:val="00230FA2"/>
    <w:rsid w:val="00231268"/>
    <w:rsid w:val="00236B99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60EF0"/>
    <w:rsid w:val="00265023"/>
    <w:rsid w:val="002650CF"/>
    <w:rsid w:val="00265406"/>
    <w:rsid w:val="00265A3D"/>
    <w:rsid w:val="00270FD9"/>
    <w:rsid w:val="002717A8"/>
    <w:rsid w:val="002723A7"/>
    <w:rsid w:val="00274EBC"/>
    <w:rsid w:val="00282488"/>
    <w:rsid w:val="00282DBE"/>
    <w:rsid w:val="00283704"/>
    <w:rsid w:val="00294586"/>
    <w:rsid w:val="00296127"/>
    <w:rsid w:val="00297AC4"/>
    <w:rsid w:val="002A046A"/>
    <w:rsid w:val="002A0D49"/>
    <w:rsid w:val="002A10A8"/>
    <w:rsid w:val="002A1B2B"/>
    <w:rsid w:val="002A1DC4"/>
    <w:rsid w:val="002A235B"/>
    <w:rsid w:val="002A4910"/>
    <w:rsid w:val="002A68B8"/>
    <w:rsid w:val="002B10AE"/>
    <w:rsid w:val="002B318C"/>
    <w:rsid w:val="002B552A"/>
    <w:rsid w:val="002C1A52"/>
    <w:rsid w:val="002C1FBF"/>
    <w:rsid w:val="002C47B8"/>
    <w:rsid w:val="002C6888"/>
    <w:rsid w:val="002C78FB"/>
    <w:rsid w:val="002D170B"/>
    <w:rsid w:val="002D175D"/>
    <w:rsid w:val="002D2E80"/>
    <w:rsid w:val="002D3B0F"/>
    <w:rsid w:val="002D5865"/>
    <w:rsid w:val="002E6CB0"/>
    <w:rsid w:val="002F184C"/>
    <w:rsid w:val="002F19E7"/>
    <w:rsid w:val="002F323A"/>
    <w:rsid w:val="002F5002"/>
    <w:rsid w:val="002F567B"/>
    <w:rsid w:val="002F6AB2"/>
    <w:rsid w:val="003004B8"/>
    <w:rsid w:val="003022A7"/>
    <w:rsid w:val="00303D85"/>
    <w:rsid w:val="00307F4D"/>
    <w:rsid w:val="0031558E"/>
    <w:rsid w:val="00315B94"/>
    <w:rsid w:val="003217C9"/>
    <w:rsid w:val="00321CA6"/>
    <w:rsid w:val="00327AC3"/>
    <w:rsid w:val="00330832"/>
    <w:rsid w:val="00330C13"/>
    <w:rsid w:val="00331520"/>
    <w:rsid w:val="00331C0E"/>
    <w:rsid w:val="00331D9F"/>
    <w:rsid w:val="003324D9"/>
    <w:rsid w:val="0033276A"/>
    <w:rsid w:val="00333C49"/>
    <w:rsid w:val="00337648"/>
    <w:rsid w:val="00340752"/>
    <w:rsid w:val="003409C9"/>
    <w:rsid w:val="00341583"/>
    <w:rsid w:val="00344581"/>
    <w:rsid w:val="0034786A"/>
    <w:rsid w:val="00350CFE"/>
    <w:rsid w:val="0035139C"/>
    <w:rsid w:val="003568F4"/>
    <w:rsid w:val="00357182"/>
    <w:rsid w:val="00357E66"/>
    <w:rsid w:val="00360100"/>
    <w:rsid w:val="00360197"/>
    <w:rsid w:val="003625F1"/>
    <w:rsid w:val="00364D14"/>
    <w:rsid w:val="00365311"/>
    <w:rsid w:val="00365E46"/>
    <w:rsid w:val="00366F41"/>
    <w:rsid w:val="0037489B"/>
    <w:rsid w:val="0037726C"/>
    <w:rsid w:val="00377A53"/>
    <w:rsid w:val="003809F3"/>
    <w:rsid w:val="0038117E"/>
    <w:rsid w:val="0038135E"/>
    <w:rsid w:val="003813A6"/>
    <w:rsid w:val="0038259A"/>
    <w:rsid w:val="00382F01"/>
    <w:rsid w:val="00384DC2"/>
    <w:rsid w:val="00387C29"/>
    <w:rsid w:val="00387DAD"/>
    <w:rsid w:val="00390732"/>
    <w:rsid w:val="0039257B"/>
    <w:rsid w:val="0039441A"/>
    <w:rsid w:val="00396D7E"/>
    <w:rsid w:val="00396FDF"/>
    <w:rsid w:val="003A0776"/>
    <w:rsid w:val="003A0C23"/>
    <w:rsid w:val="003A0F73"/>
    <w:rsid w:val="003A1150"/>
    <w:rsid w:val="003A1E5E"/>
    <w:rsid w:val="003B1992"/>
    <w:rsid w:val="003B1A29"/>
    <w:rsid w:val="003B2900"/>
    <w:rsid w:val="003B3299"/>
    <w:rsid w:val="003B436A"/>
    <w:rsid w:val="003B48D5"/>
    <w:rsid w:val="003B4F8C"/>
    <w:rsid w:val="003B62EC"/>
    <w:rsid w:val="003B6844"/>
    <w:rsid w:val="003C14C9"/>
    <w:rsid w:val="003C15EF"/>
    <w:rsid w:val="003C1D23"/>
    <w:rsid w:val="003C4817"/>
    <w:rsid w:val="003D1EDB"/>
    <w:rsid w:val="003D4359"/>
    <w:rsid w:val="003D4739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757E"/>
    <w:rsid w:val="003F0052"/>
    <w:rsid w:val="003F0EA8"/>
    <w:rsid w:val="003F5183"/>
    <w:rsid w:val="003F5A35"/>
    <w:rsid w:val="00400C11"/>
    <w:rsid w:val="004010A8"/>
    <w:rsid w:val="00401DED"/>
    <w:rsid w:val="00404546"/>
    <w:rsid w:val="00406097"/>
    <w:rsid w:val="00406C7B"/>
    <w:rsid w:val="00407FE4"/>
    <w:rsid w:val="0041311D"/>
    <w:rsid w:val="00415784"/>
    <w:rsid w:val="00415806"/>
    <w:rsid w:val="004159BE"/>
    <w:rsid w:val="00417DAC"/>
    <w:rsid w:val="00420CBC"/>
    <w:rsid w:val="00421432"/>
    <w:rsid w:val="00421CD5"/>
    <w:rsid w:val="004243A4"/>
    <w:rsid w:val="00425EC2"/>
    <w:rsid w:val="00427696"/>
    <w:rsid w:val="00435D37"/>
    <w:rsid w:val="00436469"/>
    <w:rsid w:val="0044465C"/>
    <w:rsid w:val="0044550D"/>
    <w:rsid w:val="004471B9"/>
    <w:rsid w:val="00447221"/>
    <w:rsid w:val="00455227"/>
    <w:rsid w:val="00457C59"/>
    <w:rsid w:val="00461324"/>
    <w:rsid w:val="0046148B"/>
    <w:rsid w:val="004634E4"/>
    <w:rsid w:val="004655E7"/>
    <w:rsid w:val="004725CB"/>
    <w:rsid w:val="0047278D"/>
    <w:rsid w:val="0047568A"/>
    <w:rsid w:val="00475763"/>
    <w:rsid w:val="00480082"/>
    <w:rsid w:val="00480FE5"/>
    <w:rsid w:val="004848E8"/>
    <w:rsid w:val="004865CE"/>
    <w:rsid w:val="004868F5"/>
    <w:rsid w:val="00487296"/>
    <w:rsid w:val="004932C1"/>
    <w:rsid w:val="00493B63"/>
    <w:rsid w:val="004940E0"/>
    <w:rsid w:val="00496861"/>
    <w:rsid w:val="004A1113"/>
    <w:rsid w:val="004A382B"/>
    <w:rsid w:val="004A3894"/>
    <w:rsid w:val="004A38D1"/>
    <w:rsid w:val="004A55B1"/>
    <w:rsid w:val="004A56BE"/>
    <w:rsid w:val="004A5717"/>
    <w:rsid w:val="004A62DA"/>
    <w:rsid w:val="004B1C2A"/>
    <w:rsid w:val="004B2B8E"/>
    <w:rsid w:val="004B41B2"/>
    <w:rsid w:val="004B7800"/>
    <w:rsid w:val="004B7883"/>
    <w:rsid w:val="004C0135"/>
    <w:rsid w:val="004C16F3"/>
    <w:rsid w:val="004C373F"/>
    <w:rsid w:val="004C3C31"/>
    <w:rsid w:val="004C659C"/>
    <w:rsid w:val="004D49A0"/>
    <w:rsid w:val="004D4E0F"/>
    <w:rsid w:val="004E7676"/>
    <w:rsid w:val="004F288B"/>
    <w:rsid w:val="004F3817"/>
    <w:rsid w:val="004F50B8"/>
    <w:rsid w:val="004F7808"/>
    <w:rsid w:val="004F7D2D"/>
    <w:rsid w:val="004F7F71"/>
    <w:rsid w:val="005025EC"/>
    <w:rsid w:val="005027D6"/>
    <w:rsid w:val="005070CF"/>
    <w:rsid w:val="005078B9"/>
    <w:rsid w:val="00516264"/>
    <w:rsid w:val="00517175"/>
    <w:rsid w:val="00522282"/>
    <w:rsid w:val="00524587"/>
    <w:rsid w:val="0052531F"/>
    <w:rsid w:val="005253D1"/>
    <w:rsid w:val="00532B88"/>
    <w:rsid w:val="005331BD"/>
    <w:rsid w:val="0053621B"/>
    <w:rsid w:val="00536525"/>
    <w:rsid w:val="0053722D"/>
    <w:rsid w:val="00541131"/>
    <w:rsid w:val="00541D70"/>
    <w:rsid w:val="005429A2"/>
    <w:rsid w:val="00543A1F"/>
    <w:rsid w:val="00546967"/>
    <w:rsid w:val="00546C89"/>
    <w:rsid w:val="00547212"/>
    <w:rsid w:val="005523CF"/>
    <w:rsid w:val="0055364A"/>
    <w:rsid w:val="00553E61"/>
    <w:rsid w:val="0055409D"/>
    <w:rsid w:val="0055507E"/>
    <w:rsid w:val="00555A5E"/>
    <w:rsid w:val="0055713F"/>
    <w:rsid w:val="00560529"/>
    <w:rsid w:val="00560667"/>
    <w:rsid w:val="00561992"/>
    <w:rsid w:val="00564436"/>
    <w:rsid w:val="005644BB"/>
    <w:rsid w:val="00565662"/>
    <w:rsid w:val="00570C9B"/>
    <w:rsid w:val="00570EEF"/>
    <w:rsid w:val="005715D6"/>
    <w:rsid w:val="00571A37"/>
    <w:rsid w:val="0057438A"/>
    <w:rsid w:val="00580172"/>
    <w:rsid w:val="00581749"/>
    <w:rsid w:val="005829D9"/>
    <w:rsid w:val="00583591"/>
    <w:rsid w:val="005852DA"/>
    <w:rsid w:val="005916D5"/>
    <w:rsid w:val="00593B25"/>
    <w:rsid w:val="00595DA2"/>
    <w:rsid w:val="005A4AB8"/>
    <w:rsid w:val="005A5064"/>
    <w:rsid w:val="005A5229"/>
    <w:rsid w:val="005B0DB1"/>
    <w:rsid w:val="005B18F4"/>
    <w:rsid w:val="005B25F8"/>
    <w:rsid w:val="005B5CB7"/>
    <w:rsid w:val="005B7040"/>
    <w:rsid w:val="005C19AB"/>
    <w:rsid w:val="005C3915"/>
    <w:rsid w:val="005C4CBE"/>
    <w:rsid w:val="005C5F38"/>
    <w:rsid w:val="005D0E14"/>
    <w:rsid w:val="005D4BC4"/>
    <w:rsid w:val="005D751B"/>
    <w:rsid w:val="005E038B"/>
    <w:rsid w:val="005E150E"/>
    <w:rsid w:val="005E2852"/>
    <w:rsid w:val="005E35C9"/>
    <w:rsid w:val="005E4CD1"/>
    <w:rsid w:val="005E5941"/>
    <w:rsid w:val="005E6D35"/>
    <w:rsid w:val="005F50EA"/>
    <w:rsid w:val="005F568D"/>
    <w:rsid w:val="006006C6"/>
    <w:rsid w:val="006050EA"/>
    <w:rsid w:val="006071F2"/>
    <w:rsid w:val="00607217"/>
    <w:rsid w:val="00607500"/>
    <w:rsid w:val="0061084D"/>
    <w:rsid w:val="006127E9"/>
    <w:rsid w:val="00612F5E"/>
    <w:rsid w:val="00613676"/>
    <w:rsid w:val="00616B6E"/>
    <w:rsid w:val="00620FA4"/>
    <w:rsid w:val="0062271A"/>
    <w:rsid w:val="00623BC4"/>
    <w:rsid w:val="00624C12"/>
    <w:rsid w:val="0063610A"/>
    <w:rsid w:val="0064153D"/>
    <w:rsid w:val="00645ED4"/>
    <w:rsid w:val="00647B12"/>
    <w:rsid w:val="006509EE"/>
    <w:rsid w:val="0065108A"/>
    <w:rsid w:val="006534C5"/>
    <w:rsid w:val="00653CF3"/>
    <w:rsid w:val="00654A8A"/>
    <w:rsid w:val="0065775B"/>
    <w:rsid w:val="00661339"/>
    <w:rsid w:val="00661C7E"/>
    <w:rsid w:val="00663690"/>
    <w:rsid w:val="00664DEB"/>
    <w:rsid w:val="00666EFC"/>
    <w:rsid w:val="00670373"/>
    <w:rsid w:val="00671844"/>
    <w:rsid w:val="006723F0"/>
    <w:rsid w:val="00672DCB"/>
    <w:rsid w:val="006751BF"/>
    <w:rsid w:val="006756E9"/>
    <w:rsid w:val="006759B4"/>
    <w:rsid w:val="006760A4"/>
    <w:rsid w:val="00676A4B"/>
    <w:rsid w:val="00681351"/>
    <w:rsid w:val="00681A9E"/>
    <w:rsid w:val="00684902"/>
    <w:rsid w:val="00690A2B"/>
    <w:rsid w:val="00690EA9"/>
    <w:rsid w:val="006910F4"/>
    <w:rsid w:val="00692810"/>
    <w:rsid w:val="0069434B"/>
    <w:rsid w:val="00694445"/>
    <w:rsid w:val="00695141"/>
    <w:rsid w:val="00695AC5"/>
    <w:rsid w:val="006971AF"/>
    <w:rsid w:val="00697A91"/>
    <w:rsid w:val="006A0B4A"/>
    <w:rsid w:val="006A290B"/>
    <w:rsid w:val="006A5DE6"/>
    <w:rsid w:val="006A6C58"/>
    <w:rsid w:val="006B2866"/>
    <w:rsid w:val="006B3579"/>
    <w:rsid w:val="006B4777"/>
    <w:rsid w:val="006B7725"/>
    <w:rsid w:val="006C15C6"/>
    <w:rsid w:val="006C2906"/>
    <w:rsid w:val="006C3C84"/>
    <w:rsid w:val="006C5F17"/>
    <w:rsid w:val="006C7BA4"/>
    <w:rsid w:val="006C7EA3"/>
    <w:rsid w:val="006D1A57"/>
    <w:rsid w:val="006D3727"/>
    <w:rsid w:val="006D4A5C"/>
    <w:rsid w:val="006D53D7"/>
    <w:rsid w:val="006D74DB"/>
    <w:rsid w:val="006E11AC"/>
    <w:rsid w:val="006E4746"/>
    <w:rsid w:val="006E4B91"/>
    <w:rsid w:val="006E6751"/>
    <w:rsid w:val="006F2861"/>
    <w:rsid w:val="006F4309"/>
    <w:rsid w:val="006F5E1B"/>
    <w:rsid w:val="006F6B2B"/>
    <w:rsid w:val="006F6D5E"/>
    <w:rsid w:val="00701093"/>
    <w:rsid w:val="007027D1"/>
    <w:rsid w:val="007055C9"/>
    <w:rsid w:val="00710BC7"/>
    <w:rsid w:val="00712271"/>
    <w:rsid w:val="00713AA0"/>
    <w:rsid w:val="00715597"/>
    <w:rsid w:val="00716A7D"/>
    <w:rsid w:val="00716B14"/>
    <w:rsid w:val="00717FE8"/>
    <w:rsid w:val="00721DCD"/>
    <w:rsid w:val="00722A4C"/>
    <w:rsid w:val="00725D07"/>
    <w:rsid w:val="007307C9"/>
    <w:rsid w:val="00731356"/>
    <w:rsid w:val="00734688"/>
    <w:rsid w:val="00734729"/>
    <w:rsid w:val="00736E76"/>
    <w:rsid w:val="00737DB4"/>
    <w:rsid w:val="007406F2"/>
    <w:rsid w:val="00742C04"/>
    <w:rsid w:val="007452A1"/>
    <w:rsid w:val="00745BCE"/>
    <w:rsid w:val="00746132"/>
    <w:rsid w:val="007469F9"/>
    <w:rsid w:val="007515DA"/>
    <w:rsid w:val="00753976"/>
    <w:rsid w:val="00753C0A"/>
    <w:rsid w:val="00754F86"/>
    <w:rsid w:val="0075551E"/>
    <w:rsid w:val="00756761"/>
    <w:rsid w:val="007579F4"/>
    <w:rsid w:val="00757A6C"/>
    <w:rsid w:val="0076100C"/>
    <w:rsid w:val="00761287"/>
    <w:rsid w:val="0076182F"/>
    <w:rsid w:val="007618B8"/>
    <w:rsid w:val="00771538"/>
    <w:rsid w:val="007722BC"/>
    <w:rsid w:val="00772A01"/>
    <w:rsid w:val="00772F45"/>
    <w:rsid w:val="00777134"/>
    <w:rsid w:val="00781377"/>
    <w:rsid w:val="00784166"/>
    <w:rsid w:val="0078476D"/>
    <w:rsid w:val="00784BF8"/>
    <w:rsid w:val="00785339"/>
    <w:rsid w:val="00786F50"/>
    <w:rsid w:val="00791DC2"/>
    <w:rsid w:val="007941BB"/>
    <w:rsid w:val="00794B8C"/>
    <w:rsid w:val="00796ED1"/>
    <w:rsid w:val="00797B66"/>
    <w:rsid w:val="007A1882"/>
    <w:rsid w:val="007A2838"/>
    <w:rsid w:val="007A299E"/>
    <w:rsid w:val="007A33EE"/>
    <w:rsid w:val="007A5C80"/>
    <w:rsid w:val="007B0888"/>
    <w:rsid w:val="007B5A1B"/>
    <w:rsid w:val="007B5C2E"/>
    <w:rsid w:val="007B7DBE"/>
    <w:rsid w:val="007C1EE8"/>
    <w:rsid w:val="007C2107"/>
    <w:rsid w:val="007C2827"/>
    <w:rsid w:val="007D0956"/>
    <w:rsid w:val="007D4C9D"/>
    <w:rsid w:val="007D4EE7"/>
    <w:rsid w:val="007D5AB1"/>
    <w:rsid w:val="007E0203"/>
    <w:rsid w:val="007E056C"/>
    <w:rsid w:val="007E081D"/>
    <w:rsid w:val="007E11D9"/>
    <w:rsid w:val="007E1AB8"/>
    <w:rsid w:val="007E293C"/>
    <w:rsid w:val="007E36EB"/>
    <w:rsid w:val="007E5CC1"/>
    <w:rsid w:val="007E7DDD"/>
    <w:rsid w:val="007F33E9"/>
    <w:rsid w:val="007F388B"/>
    <w:rsid w:val="007F61AF"/>
    <w:rsid w:val="007F775F"/>
    <w:rsid w:val="00802B7F"/>
    <w:rsid w:val="00804F0B"/>
    <w:rsid w:val="00805844"/>
    <w:rsid w:val="00806B4B"/>
    <w:rsid w:val="00810837"/>
    <w:rsid w:val="00810CDD"/>
    <w:rsid w:val="0081184B"/>
    <w:rsid w:val="00811DF5"/>
    <w:rsid w:val="00812E0B"/>
    <w:rsid w:val="00813F13"/>
    <w:rsid w:val="00815A2F"/>
    <w:rsid w:val="00817A6A"/>
    <w:rsid w:val="0082070B"/>
    <w:rsid w:val="00822F67"/>
    <w:rsid w:val="008251C2"/>
    <w:rsid w:val="0082721B"/>
    <w:rsid w:val="008343BA"/>
    <w:rsid w:val="00836A00"/>
    <w:rsid w:val="00845320"/>
    <w:rsid w:val="00845675"/>
    <w:rsid w:val="00847B5B"/>
    <w:rsid w:val="00854098"/>
    <w:rsid w:val="008573C7"/>
    <w:rsid w:val="00860BDB"/>
    <w:rsid w:val="00861096"/>
    <w:rsid w:val="00861D85"/>
    <w:rsid w:val="00861F52"/>
    <w:rsid w:val="00864891"/>
    <w:rsid w:val="00873808"/>
    <w:rsid w:val="00873FD5"/>
    <w:rsid w:val="00875C4F"/>
    <w:rsid w:val="008770B1"/>
    <w:rsid w:val="00877642"/>
    <w:rsid w:val="00880646"/>
    <w:rsid w:val="00882650"/>
    <w:rsid w:val="00883754"/>
    <w:rsid w:val="008842AB"/>
    <w:rsid w:val="008844C7"/>
    <w:rsid w:val="008855BC"/>
    <w:rsid w:val="00886930"/>
    <w:rsid w:val="0089243B"/>
    <w:rsid w:val="0089368B"/>
    <w:rsid w:val="0089702D"/>
    <w:rsid w:val="008A1B88"/>
    <w:rsid w:val="008A1FE3"/>
    <w:rsid w:val="008A20BC"/>
    <w:rsid w:val="008A30DD"/>
    <w:rsid w:val="008A3BC7"/>
    <w:rsid w:val="008A3F44"/>
    <w:rsid w:val="008A466B"/>
    <w:rsid w:val="008A68EC"/>
    <w:rsid w:val="008A73B0"/>
    <w:rsid w:val="008B285E"/>
    <w:rsid w:val="008B2B3C"/>
    <w:rsid w:val="008C01EB"/>
    <w:rsid w:val="008C15C8"/>
    <w:rsid w:val="008C2299"/>
    <w:rsid w:val="008C3941"/>
    <w:rsid w:val="008D0998"/>
    <w:rsid w:val="008D2C8B"/>
    <w:rsid w:val="008D4618"/>
    <w:rsid w:val="008D6E96"/>
    <w:rsid w:val="008D6F6A"/>
    <w:rsid w:val="008D6F78"/>
    <w:rsid w:val="008E0E90"/>
    <w:rsid w:val="008E6D00"/>
    <w:rsid w:val="008E7183"/>
    <w:rsid w:val="008F0415"/>
    <w:rsid w:val="008F195C"/>
    <w:rsid w:val="008F34CB"/>
    <w:rsid w:val="008F3986"/>
    <w:rsid w:val="008F4F59"/>
    <w:rsid w:val="008F7755"/>
    <w:rsid w:val="00902289"/>
    <w:rsid w:val="009022BB"/>
    <w:rsid w:val="0090493D"/>
    <w:rsid w:val="00904C72"/>
    <w:rsid w:val="00905430"/>
    <w:rsid w:val="00905BF5"/>
    <w:rsid w:val="00905F6A"/>
    <w:rsid w:val="00907FE0"/>
    <w:rsid w:val="00910CBD"/>
    <w:rsid w:val="0091144B"/>
    <w:rsid w:val="009126D6"/>
    <w:rsid w:val="00914359"/>
    <w:rsid w:val="00915576"/>
    <w:rsid w:val="00916A0F"/>
    <w:rsid w:val="00920528"/>
    <w:rsid w:val="0092368D"/>
    <w:rsid w:val="0092403C"/>
    <w:rsid w:val="0092474C"/>
    <w:rsid w:val="009271A2"/>
    <w:rsid w:val="0093484E"/>
    <w:rsid w:val="00935A48"/>
    <w:rsid w:val="00937C0F"/>
    <w:rsid w:val="00941C71"/>
    <w:rsid w:val="00941E99"/>
    <w:rsid w:val="0094299F"/>
    <w:rsid w:val="009472A1"/>
    <w:rsid w:val="00947E4E"/>
    <w:rsid w:val="00951A56"/>
    <w:rsid w:val="009543FD"/>
    <w:rsid w:val="0095708D"/>
    <w:rsid w:val="00957325"/>
    <w:rsid w:val="00962341"/>
    <w:rsid w:val="009647DB"/>
    <w:rsid w:val="00965B35"/>
    <w:rsid w:val="00965FCD"/>
    <w:rsid w:val="00966CC3"/>
    <w:rsid w:val="009707F3"/>
    <w:rsid w:val="00970817"/>
    <w:rsid w:val="00972F5D"/>
    <w:rsid w:val="0097377E"/>
    <w:rsid w:val="00974320"/>
    <w:rsid w:val="00974F42"/>
    <w:rsid w:val="0098296F"/>
    <w:rsid w:val="009836D7"/>
    <w:rsid w:val="0098562F"/>
    <w:rsid w:val="009860B5"/>
    <w:rsid w:val="00992B90"/>
    <w:rsid w:val="00994D96"/>
    <w:rsid w:val="009A0736"/>
    <w:rsid w:val="009A24E1"/>
    <w:rsid w:val="009A4C61"/>
    <w:rsid w:val="009A792A"/>
    <w:rsid w:val="009B1C0A"/>
    <w:rsid w:val="009B320B"/>
    <w:rsid w:val="009B5779"/>
    <w:rsid w:val="009B65AF"/>
    <w:rsid w:val="009B6603"/>
    <w:rsid w:val="009C162D"/>
    <w:rsid w:val="009C42D7"/>
    <w:rsid w:val="009C756D"/>
    <w:rsid w:val="009D04AF"/>
    <w:rsid w:val="009D198A"/>
    <w:rsid w:val="009D2F97"/>
    <w:rsid w:val="009D36B4"/>
    <w:rsid w:val="009D3AEA"/>
    <w:rsid w:val="009D3E8D"/>
    <w:rsid w:val="009D64D9"/>
    <w:rsid w:val="009D6D64"/>
    <w:rsid w:val="009D7885"/>
    <w:rsid w:val="009E04A3"/>
    <w:rsid w:val="009E58AC"/>
    <w:rsid w:val="009E5D48"/>
    <w:rsid w:val="009E6061"/>
    <w:rsid w:val="009E70C1"/>
    <w:rsid w:val="009E7177"/>
    <w:rsid w:val="009F0EB0"/>
    <w:rsid w:val="009F1090"/>
    <w:rsid w:val="009F18E0"/>
    <w:rsid w:val="009F3CF9"/>
    <w:rsid w:val="009F3DA9"/>
    <w:rsid w:val="00A00218"/>
    <w:rsid w:val="00A0035B"/>
    <w:rsid w:val="00A060B3"/>
    <w:rsid w:val="00A06C70"/>
    <w:rsid w:val="00A07539"/>
    <w:rsid w:val="00A119B4"/>
    <w:rsid w:val="00A11CDE"/>
    <w:rsid w:val="00A138AB"/>
    <w:rsid w:val="00A14996"/>
    <w:rsid w:val="00A16685"/>
    <w:rsid w:val="00A17447"/>
    <w:rsid w:val="00A2097F"/>
    <w:rsid w:val="00A22776"/>
    <w:rsid w:val="00A22911"/>
    <w:rsid w:val="00A233F2"/>
    <w:rsid w:val="00A2480A"/>
    <w:rsid w:val="00A25D5F"/>
    <w:rsid w:val="00A33860"/>
    <w:rsid w:val="00A34E49"/>
    <w:rsid w:val="00A34E9D"/>
    <w:rsid w:val="00A35C10"/>
    <w:rsid w:val="00A37B6F"/>
    <w:rsid w:val="00A4482B"/>
    <w:rsid w:val="00A44F75"/>
    <w:rsid w:val="00A4692E"/>
    <w:rsid w:val="00A46C9C"/>
    <w:rsid w:val="00A46DEF"/>
    <w:rsid w:val="00A52BC0"/>
    <w:rsid w:val="00A55764"/>
    <w:rsid w:val="00A559ED"/>
    <w:rsid w:val="00A55AB0"/>
    <w:rsid w:val="00A5642C"/>
    <w:rsid w:val="00A57868"/>
    <w:rsid w:val="00A6220E"/>
    <w:rsid w:val="00A62711"/>
    <w:rsid w:val="00A63167"/>
    <w:rsid w:val="00A66994"/>
    <w:rsid w:val="00A67103"/>
    <w:rsid w:val="00A73828"/>
    <w:rsid w:val="00A74590"/>
    <w:rsid w:val="00A75004"/>
    <w:rsid w:val="00A76BD3"/>
    <w:rsid w:val="00A80523"/>
    <w:rsid w:val="00A85320"/>
    <w:rsid w:val="00A85322"/>
    <w:rsid w:val="00A919D2"/>
    <w:rsid w:val="00A92671"/>
    <w:rsid w:val="00A94105"/>
    <w:rsid w:val="00A9414F"/>
    <w:rsid w:val="00A94444"/>
    <w:rsid w:val="00A965E6"/>
    <w:rsid w:val="00AA1568"/>
    <w:rsid w:val="00AA4C9B"/>
    <w:rsid w:val="00AA53FC"/>
    <w:rsid w:val="00AA57C2"/>
    <w:rsid w:val="00AB1AAD"/>
    <w:rsid w:val="00AB3700"/>
    <w:rsid w:val="00AB47EB"/>
    <w:rsid w:val="00AB4C24"/>
    <w:rsid w:val="00AB4C79"/>
    <w:rsid w:val="00AC41A8"/>
    <w:rsid w:val="00AC7CE7"/>
    <w:rsid w:val="00AD02E0"/>
    <w:rsid w:val="00AD0474"/>
    <w:rsid w:val="00AD1B16"/>
    <w:rsid w:val="00AD1CF2"/>
    <w:rsid w:val="00AD677F"/>
    <w:rsid w:val="00AD69AC"/>
    <w:rsid w:val="00AD6C85"/>
    <w:rsid w:val="00AD6E0C"/>
    <w:rsid w:val="00AD725A"/>
    <w:rsid w:val="00AE2648"/>
    <w:rsid w:val="00AE3B29"/>
    <w:rsid w:val="00AE46D2"/>
    <w:rsid w:val="00AF16EF"/>
    <w:rsid w:val="00AF2A35"/>
    <w:rsid w:val="00AF39C0"/>
    <w:rsid w:val="00AF6471"/>
    <w:rsid w:val="00AF71DC"/>
    <w:rsid w:val="00B02D66"/>
    <w:rsid w:val="00B0449D"/>
    <w:rsid w:val="00B063C0"/>
    <w:rsid w:val="00B10371"/>
    <w:rsid w:val="00B12E31"/>
    <w:rsid w:val="00B12FFF"/>
    <w:rsid w:val="00B144B8"/>
    <w:rsid w:val="00B215A7"/>
    <w:rsid w:val="00B2447D"/>
    <w:rsid w:val="00B2654F"/>
    <w:rsid w:val="00B27D61"/>
    <w:rsid w:val="00B30BC0"/>
    <w:rsid w:val="00B36D48"/>
    <w:rsid w:val="00B40133"/>
    <w:rsid w:val="00B41E7A"/>
    <w:rsid w:val="00B46ABF"/>
    <w:rsid w:val="00B47CAB"/>
    <w:rsid w:val="00B50021"/>
    <w:rsid w:val="00B50CF4"/>
    <w:rsid w:val="00B53433"/>
    <w:rsid w:val="00B6394D"/>
    <w:rsid w:val="00B63FBA"/>
    <w:rsid w:val="00B6519A"/>
    <w:rsid w:val="00B663B8"/>
    <w:rsid w:val="00B71665"/>
    <w:rsid w:val="00B71C0B"/>
    <w:rsid w:val="00B74947"/>
    <w:rsid w:val="00B7591E"/>
    <w:rsid w:val="00B81BD0"/>
    <w:rsid w:val="00B82794"/>
    <w:rsid w:val="00B84CCB"/>
    <w:rsid w:val="00B862AF"/>
    <w:rsid w:val="00B90D97"/>
    <w:rsid w:val="00B91241"/>
    <w:rsid w:val="00B92D47"/>
    <w:rsid w:val="00BA0B65"/>
    <w:rsid w:val="00BA1F78"/>
    <w:rsid w:val="00BA6FEF"/>
    <w:rsid w:val="00BB1415"/>
    <w:rsid w:val="00BB24C2"/>
    <w:rsid w:val="00BB40F6"/>
    <w:rsid w:val="00BB60B2"/>
    <w:rsid w:val="00BB785F"/>
    <w:rsid w:val="00BB7D3F"/>
    <w:rsid w:val="00BC2E39"/>
    <w:rsid w:val="00BC4BB9"/>
    <w:rsid w:val="00BC6076"/>
    <w:rsid w:val="00BC6E86"/>
    <w:rsid w:val="00BC76FE"/>
    <w:rsid w:val="00BD0C9A"/>
    <w:rsid w:val="00BD30D2"/>
    <w:rsid w:val="00BE2E1E"/>
    <w:rsid w:val="00BE47BD"/>
    <w:rsid w:val="00BE5B52"/>
    <w:rsid w:val="00BE6E6D"/>
    <w:rsid w:val="00BF0ACC"/>
    <w:rsid w:val="00BF1F70"/>
    <w:rsid w:val="00BF2B93"/>
    <w:rsid w:val="00BF301B"/>
    <w:rsid w:val="00BF43FA"/>
    <w:rsid w:val="00BF7150"/>
    <w:rsid w:val="00C00FED"/>
    <w:rsid w:val="00C0135E"/>
    <w:rsid w:val="00C01F4F"/>
    <w:rsid w:val="00C0788A"/>
    <w:rsid w:val="00C131FA"/>
    <w:rsid w:val="00C13F58"/>
    <w:rsid w:val="00C14571"/>
    <w:rsid w:val="00C1491F"/>
    <w:rsid w:val="00C157D1"/>
    <w:rsid w:val="00C20E5A"/>
    <w:rsid w:val="00C22E55"/>
    <w:rsid w:val="00C25367"/>
    <w:rsid w:val="00C26844"/>
    <w:rsid w:val="00C2734A"/>
    <w:rsid w:val="00C321B7"/>
    <w:rsid w:val="00C34AC1"/>
    <w:rsid w:val="00C35CAA"/>
    <w:rsid w:val="00C37B69"/>
    <w:rsid w:val="00C41BAB"/>
    <w:rsid w:val="00C41D78"/>
    <w:rsid w:val="00C42122"/>
    <w:rsid w:val="00C42838"/>
    <w:rsid w:val="00C4601D"/>
    <w:rsid w:val="00C46235"/>
    <w:rsid w:val="00C50494"/>
    <w:rsid w:val="00C51BC7"/>
    <w:rsid w:val="00C53A70"/>
    <w:rsid w:val="00C565D2"/>
    <w:rsid w:val="00C576EA"/>
    <w:rsid w:val="00C57CD2"/>
    <w:rsid w:val="00C6164F"/>
    <w:rsid w:val="00C62171"/>
    <w:rsid w:val="00C6348A"/>
    <w:rsid w:val="00C6406C"/>
    <w:rsid w:val="00C64636"/>
    <w:rsid w:val="00C652CE"/>
    <w:rsid w:val="00C701AF"/>
    <w:rsid w:val="00C72651"/>
    <w:rsid w:val="00C72699"/>
    <w:rsid w:val="00C72C89"/>
    <w:rsid w:val="00C74B05"/>
    <w:rsid w:val="00C75F0D"/>
    <w:rsid w:val="00C75F73"/>
    <w:rsid w:val="00C81007"/>
    <w:rsid w:val="00C85EA2"/>
    <w:rsid w:val="00C86D66"/>
    <w:rsid w:val="00C9152B"/>
    <w:rsid w:val="00C93D87"/>
    <w:rsid w:val="00C93DA1"/>
    <w:rsid w:val="00C9626E"/>
    <w:rsid w:val="00CA2411"/>
    <w:rsid w:val="00CA44ED"/>
    <w:rsid w:val="00CA7C68"/>
    <w:rsid w:val="00CB0013"/>
    <w:rsid w:val="00CB04AC"/>
    <w:rsid w:val="00CB0D35"/>
    <w:rsid w:val="00CB2C84"/>
    <w:rsid w:val="00CB311F"/>
    <w:rsid w:val="00CB4560"/>
    <w:rsid w:val="00CB47DE"/>
    <w:rsid w:val="00CB7966"/>
    <w:rsid w:val="00CC16C7"/>
    <w:rsid w:val="00CC199B"/>
    <w:rsid w:val="00CC53C4"/>
    <w:rsid w:val="00CC577F"/>
    <w:rsid w:val="00CC67DD"/>
    <w:rsid w:val="00CC6A54"/>
    <w:rsid w:val="00CD1303"/>
    <w:rsid w:val="00CD16E6"/>
    <w:rsid w:val="00CD3371"/>
    <w:rsid w:val="00CD4B5D"/>
    <w:rsid w:val="00CD68CA"/>
    <w:rsid w:val="00CE2CB7"/>
    <w:rsid w:val="00CF5FA3"/>
    <w:rsid w:val="00D0131E"/>
    <w:rsid w:val="00D01C27"/>
    <w:rsid w:val="00D0344E"/>
    <w:rsid w:val="00D0409E"/>
    <w:rsid w:val="00D0655B"/>
    <w:rsid w:val="00D06D66"/>
    <w:rsid w:val="00D0711F"/>
    <w:rsid w:val="00D17067"/>
    <w:rsid w:val="00D20419"/>
    <w:rsid w:val="00D20CDA"/>
    <w:rsid w:val="00D26B12"/>
    <w:rsid w:val="00D26EB8"/>
    <w:rsid w:val="00D31577"/>
    <w:rsid w:val="00D31748"/>
    <w:rsid w:val="00D32131"/>
    <w:rsid w:val="00D322B0"/>
    <w:rsid w:val="00D32FC1"/>
    <w:rsid w:val="00D333BF"/>
    <w:rsid w:val="00D33EDE"/>
    <w:rsid w:val="00D34181"/>
    <w:rsid w:val="00D35983"/>
    <w:rsid w:val="00D3631D"/>
    <w:rsid w:val="00D44ED9"/>
    <w:rsid w:val="00D45256"/>
    <w:rsid w:val="00D46858"/>
    <w:rsid w:val="00D47D6A"/>
    <w:rsid w:val="00D50FD4"/>
    <w:rsid w:val="00D51C00"/>
    <w:rsid w:val="00D51E0A"/>
    <w:rsid w:val="00D55775"/>
    <w:rsid w:val="00D564C8"/>
    <w:rsid w:val="00D6076A"/>
    <w:rsid w:val="00D61692"/>
    <w:rsid w:val="00D63424"/>
    <w:rsid w:val="00D710FD"/>
    <w:rsid w:val="00D71690"/>
    <w:rsid w:val="00D733AC"/>
    <w:rsid w:val="00D73AA8"/>
    <w:rsid w:val="00D75F50"/>
    <w:rsid w:val="00D76A94"/>
    <w:rsid w:val="00D7718A"/>
    <w:rsid w:val="00D803C1"/>
    <w:rsid w:val="00D85C94"/>
    <w:rsid w:val="00D8651E"/>
    <w:rsid w:val="00D91904"/>
    <w:rsid w:val="00D92C91"/>
    <w:rsid w:val="00D96B77"/>
    <w:rsid w:val="00DA35C2"/>
    <w:rsid w:val="00DA372E"/>
    <w:rsid w:val="00DB0D61"/>
    <w:rsid w:val="00DB2EE2"/>
    <w:rsid w:val="00DB3E5E"/>
    <w:rsid w:val="00DB55E7"/>
    <w:rsid w:val="00DC1184"/>
    <w:rsid w:val="00DC3690"/>
    <w:rsid w:val="00DC48C0"/>
    <w:rsid w:val="00DD230D"/>
    <w:rsid w:val="00DD351E"/>
    <w:rsid w:val="00DD756A"/>
    <w:rsid w:val="00DE0595"/>
    <w:rsid w:val="00DE1A7C"/>
    <w:rsid w:val="00DE2C31"/>
    <w:rsid w:val="00DE4794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1F45"/>
    <w:rsid w:val="00E02E82"/>
    <w:rsid w:val="00E03367"/>
    <w:rsid w:val="00E05C49"/>
    <w:rsid w:val="00E06855"/>
    <w:rsid w:val="00E143F2"/>
    <w:rsid w:val="00E20800"/>
    <w:rsid w:val="00E232A9"/>
    <w:rsid w:val="00E237D9"/>
    <w:rsid w:val="00E27F19"/>
    <w:rsid w:val="00E30184"/>
    <w:rsid w:val="00E30F05"/>
    <w:rsid w:val="00E318AD"/>
    <w:rsid w:val="00E32169"/>
    <w:rsid w:val="00E328B1"/>
    <w:rsid w:val="00E35767"/>
    <w:rsid w:val="00E35BCC"/>
    <w:rsid w:val="00E36E18"/>
    <w:rsid w:val="00E37149"/>
    <w:rsid w:val="00E40915"/>
    <w:rsid w:val="00E41355"/>
    <w:rsid w:val="00E453FC"/>
    <w:rsid w:val="00E456CD"/>
    <w:rsid w:val="00E4745C"/>
    <w:rsid w:val="00E523EF"/>
    <w:rsid w:val="00E565C1"/>
    <w:rsid w:val="00E56648"/>
    <w:rsid w:val="00E56E69"/>
    <w:rsid w:val="00E57695"/>
    <w:rsid w:val="00E57725"/>
    <w:rsid w:val="00E610DC"/>
    <w:rsid w:val="00E64AA5"/>
    <w:rsid w:val="00E72541"/>
    <w:rsid w:val="00E72808"/>
    <w:rsid w:val="00E72F93"/>
    <w:rsid w:val="00E734B7"/>
    <w:rsid w:val="00E73E27"/>
    <w:rsid w:val="00E75796"/>
    <w:rsid w:val="00E8093F"/>
    <w:rsid w:val="00E82901"/>
    <w:rsid w:val="00E82C42"/>
    <w:rsid w:val="00E83DA8"/>
    <w:rsid w:val="00E83E92"/>
    <w:rsid w:val="00E842DE"/>
    <w:rsid w:val="00E84A41"/>
    <w:rsid w:val="00E84EFD"/>
    <w:rsid w:val="00E8523D"/>
    <w:rsid w:val="00E87BA7"/>
    <w:rsid w:val="00E91311"/>
    <w:rsid w:val="00E92380"/>
    <w:rsid w:val="00E95A95"/>
    <w:rsid w:val="00EA2FB5"/>
    <w:rsid w:val="00EA43D5"/>
    <w:rsid w:val="00EA60A7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3691"/>
    <w:rsid w:val="00EC4680"/>
    <w:rsid w:val="00EC70BD"/>
    <w:rsid w:val="00ED05BC"/>
    <w:rsid w:val="00ED0E4C"/>
    <w:rsid w:val="00ED21BB"/>
    <w:rsid w:val="00ED2422"/>
    <w:rsid w:val="00ED3FE9"/>
    <w:rsid w:val="00ED4AD3"/>
    <w:rsid w:val="00ED4E43"/>
    <w:rsid w:val="00ED66A9"/>
    <w:rsid w:val="00EE0860"/>
    <w:rsid w:val="00EE096D"/>
    <w:rsid w:val="00EE2019"/>
    <w:rsid w:val="00EE2426"/>
    <w:rsid w:val="00EE337A"/>
    <w:rsid w:val="00EE4F3A"/>
    <w:rsid w:val="00EE5F9C"/>
    <w:rsid w:val="00EE725A"/>
    <w:rsid w:val="00EE7773"/>
    <w:rsid w:val="00EF0EF4"/>
    <w:rsid w:val="00EF3CD5"/>
    <w:rsid w:val="00EF490F"/>
    <w:rsid w:val="00EF5EA4"/>
    <w:rsid w:val="00EF668F"/>
    <w:rsid w:val="00EF6D1A"/>
    <w:rsid w:val="00F00B04"/>
    <w:rsid w:val="00F01200"/>
    <w:rsid w:val="00F03B06"/>
    <w:rsid w:val="00F04386"/>
    <w:rsid w:val="00F04AF5"/>
    <w:rsid w:val="00F04F47"/>
    <w:rsid w:val="00F064DC"/>
    <w:rsid w:val="00F10750"/>
    <w:rsid w:val="00F1270D"/>
    <w:rsid w:val="00F13EE1"/>
    <w:rsid w:val="00F21847"/>
    <w:rsid w:val="00F21D60"/>
    <w:rsid w:val="00F231BA"/>
    <w:rsid w:val="00F24232"/>
    <w:rsid w:val="00F24992"/>
    <w:rsid w:val="00F27924"/>
    <w:rsid w:val="00F3219F"/>
    <w:rsid w:val="00F32E78"/>
    <w:rsid w:val="00F36375"/>
    <w:rsid w:val="00F4195C"/>
    <w:rsid w:val="00F52271"/>
    <w:rsid w:val="00F54342"/>
    <w:rsid w:val="00F550CB"/>
    <w:rsid w:val="00F5720E"/>
    <w:rsid w:val="00F5737B"/>
    <w:rsid w:val="00F619FF"/>
    <w:rsid w:val="00F6365F"/>
    <w:rsid w:val="00F653CD"/>
    <w:rsid w:val="00F65D2D"/>
    <w:rsid w:val="00F67252"/>
    <w:rsid w:val="00F70CC9"/>
    <w:rsid w:val="00F737D1"/>
    <w:rsid w:val="00F74097"/>
    <w:rsid w:val="00F743B0"/>
    <w:rsid w:val="00F81AF7"/>
    <w:rsid w:val="00F81F17"/>
    <w:rsid w:val="00F911BE"/>
    <w:rsid w:val="00F93E6F"/>
    <w:rsid w:val="00F943E3"/>
    <w:rsid w:val="00F94653"/>
    <w:rsid w:val="00F967FC"/>
    <w:rsid w:val="00FA053C"/>
    <w:rsid w:val="00FA1BE2"/>
    <w:rsid w:val="00FA2AA4"/>
    <w:rsid w:val="00FB03D2"/>
    <w:rsid w:val="00FB0828"/>
    <w:rsid w:val="00FB6B92"/>
    <w:rsid w:val="00FC1555"/>
    <w:rsid w:val="00FC39C8"/>
    <w:rsid w:val="00FC3AFD"/>
    <w:rsid w:val="00FC4259"/>
    <w:rsid w:val="00FD004E"/>
    <w:rsid w:val="00FD0116"/>
    <w:rsid w:val="00FD0297"/>
    <w:rsid w:val="00FD0AB9"/>
    <w:rsid w:val="00FE0243"/>
    <w:rsid w:val="00FE097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13A2"/>
    <w:rsid w:val="00FF3DED"/>
    <w:rsid w:val="00FF5D0A"/>
    <w:rsid w:val="00FF614F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pPr>
      <w:spacing w:after="0" w:line="240" w:lineRule="auto"/>
    </w:pPr>
    <w:rPr>
      <w:rFonts w:ascii="Calibri" w:eastAsia="PMingLiU" w:hAnsi="Calibri" w:cs="Calibri"/>
      <w:lang w:eastAsia="zh-TW"/>
    </w:rPr>
  </w:style>
  <w:style w:type="character" w:customStyle="1" w:styleId="NoSpacingChar">
    <w:name w:val="No Spacing Char"/>
    <w:basedOn w:val="DefaultParagraphFont"/>
    <w:link w:val="NoSpacing"/>
    <w:locked/>
    <w:rsid w:val="00D61692"/>
    <w:rPr>
      <w:rFonts w:ascii="Calibri" w:eastAsia="PMingLiU" w:hAnsi="Calibri" w:cs="Calibri"/>
      <w:lang w:eastAsia="zh-TW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ascii="Calibri" w:eastAsia="PMingLiU" w:hAnsi="Calibri" w:cs="Calibri"/>
      <w:lang w:eastAsia="zh-TW"/>
    </w:rPr>
  </w:style>
  <w:style w:type="paragraph" w:styleId="Caption">
    <w:name w:val="caption"/>
    <w:basedOn w:val="Normal"/>
    <w:next w:val="Normal"/>
    <w:link w:val="CaptionChar"/>
    <w:qFormat/>
    <w:rsid w:val="00D61692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421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1A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69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FCD"/>
  </w:style>
  <w:style w:type="paragraph" w:styleId="Footer">
    <w:name w:val="footer"/>
    <w:basedOn w:val="Normal"/>
    <w:link w:val="FooterChar"/>
    <w:uiPriority w:val="99"/>
    <w:semiHidden/>
    <w:unhideWhenUsed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FCD"/>
  </w:style>
  <w:style w:type="paragraph" w:customStyle="1" w:styleId="msonospacing0">
    <w:name w:val="msonospacing"/>
    <w:rsid w:val="0055364A"/>
    <w:pPr>
      <w:spacing w:after="0" w:line="240" w:lineRule="auto"/>
    </w:pPr>
    <w:rPr>
      <w:rFonts w:ascii="PMingLiU" w:eastAsia="PMingLiU" w:hAnsi="Times New Roman" w:cs="Times New Roman" w:hint="eastAsia"/>
      <w:lang w:eastAsia="zh-TW"/>
    </w:rPr>
  </w:style>
  <w:style w:type="table" w:styleId="TableGrid">
    <w:name w:val="Table Grid"/>
    <w:basedOn w:val="TableNormal"/>
    <w:uiPriority w:val="59"/>
    <w:rsid w:val="00CD1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84D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61A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1A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61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Radovan\MMI%20materijal\esi_nace2%20gerafik%20za%20sentimen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My%20Documents\Dropbox\MINISTARSTVO%20FINANSIJA\SEP\MMI\MMI_2013_01\mmi_sirovi%20podaci_2013%2001%20(Stanko%20Jekni&#263;'s%20conflicted%20copy%202013-03-1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My%20Documents\Dropbox\MINISTARSTVO%20FINANSIJA\SEP\MMI\MMI_2013_01\mmi_sirovi%20podaci_2013%2001%20(Stanko%20Jekni&#263;'s%20conflicted%20copy%202013-03-1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ropbox\MINISTARSTVO%20FINANSIJA%20(1)\SEP\MMI\MMI_2013_01\mmi_sirovi%20podaci_2013%2001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stanko.jeknic\Desktop\BULETIN\MMI\mmi_sirovi%20podaci_2013%2001.xlsx" TargetMode="External"/><Relationship Id="rId1" Type="http://schemas.openxmlformats.org/officeDocument/2006/relationships/image" Target="../media/image3.jpeg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arija.novosel\My%20Documents\Dropbox\MINISTARSTVO%20FINANSIJA\SEP\MMI\MMI_2013_01\mmi_sirovi%20podaci_2013%200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MMI\MMI_2013_01\mmi_sirovi%20podaci_2013%20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x-none" sz="900" b="0"/>
              <a:t>Ukupni indikator ekonomskog sentimenta (dugoročni prosjek</a:t>
            </a:r>
            <a:r>
              <a:rPr lang="sr-Latn-RS" sz="900" b="0"/>
              <a:t>=</a:t>
            </a:r>
            <a:r>
              <a:rPr lang="x-none" sz="900" b="0"/>
              <a:t> 100,7)</a:t>
            </a:r>
            <a:endParaRPr lang="en-US" sz="900" b="0"/>
          </a:p>
        </c:rich>
      </c:tx>
      <c:layout>
        <c:manualLayout>
          <c:xMode val="edge"/>
          <c:yMode val="edge"/>
          <c:x val="0.19365861513687602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5943525809274006"/>
          <c:y val="6.3349940478814856E-2"/>
          <c:w val="0.78126536069783659"/>
          <c:h val="0.68057786894285055"/>
        </c:manualLayout>
      </c:layout>
      <c:lineChart>
        <c:grouping val="standard"/>
        <c:ser>
          <c:idx val="0"/>
          <c:order val="0"/>
          <c:tx>
            <c:v>EU</c:v>
          </c:tx>
          <c:marker>
            <c:symbol val="none"/>
          </c:marker>
          <c:dLbls>
            <c:dLbl>
              <c:idx val="10"/>
              <c:layout>
                <c:manualLayout>
                  <c:x val="-4.601449275362357E-2"/>
                  <c:y val="-2.7997001895860012E-2"/>
                </c:manualLayout>
              </c:layout>
              <c:tx>
                <c:rich>
                  <a:bodyPr/>
                  <a:lstStyle/>
                  <a:p>
                    <a:r>
                      <a:rPr lang="x-none" sz="800"/>
                      <a:t>EU</a:t>
                    </a:r>
                    <a:endParaRPr lang="en-US" sz="800"/>
                  </a:p>
                </c:rich>
              </c:tx>
              <c:showVal val="1"/>
            </c:dLbl>
            <c:delete val="1"/>
          </c:dLbls>
          <c:cat>
            <c:numRef>
              <c:f>'ESI MONTHLY'!$A$325:$A$338</c:f>
              <c:numCache>
                <c:formatCode>mmm/yy</c:formatCode>
                <c:ptCount val="14"/>
                <c:pt idx="0">
                  <c:v>40908</c:v>
                </c:pt>
                <c:pt idx="1">
                  <c:v>40939</c:v>
                </c:pt>
                <c:pt idx="2">
                  <c:v>40968</c:v>
                </c:pt>
                <c:pt idx="3">
                  <c:v>40999</c:v>
                </c:pt>
                <c:pt idx="4">
                  <c:v>41029</c:v>
                </c:pt>
                <c:pt idx="5">
                  <c:v>41060</c:v>
                </c:pt>
                <c:pt idx="6">
                  <c:v>41090</c:v>
                </c:pt>
                <c:pt idx="7">
                  <c:v>41121</c:v>
                </c:pt>
                <c:pt idx="8">
                  <c:v>41152</c:v>
                </c:pt>
                <c:pt idx="9">
                  <c:v>41182</c:v>
                </c:pt>
                <c:pt idx="10">
                  <c:v>41213</c:v>
                </c:pt>
                <c:pt idx="11">
                  <c:v>41243</c:v>
                </c:pt>
                <c:pt idx="12">
                  <c:v>41274</c:v>
                </c:pt>
                <c:pt idx="13">
                  <c:v>41305</c:v>
                </c:pt>
              </c:numCache>
            </c:numRef>
          </c:cat>
          <c:val>
            <c:numRef>
              <c:f>'ESI MONTHLY'!$H$326:$H$338</c:f>
              <c:numCache>
                <c:formatCode>0.0</c:formatCode>
                <c:ptCount val="13"/>
                <c:pt idx="0">
                  <c:v>93.8</c:v>
                </c:pt>
                <c:pt idx="1">
                  <c:v>95</c:v>
                </c:pt>
                <c:pt idx="2">
                  <c:v>94.4</c:v>
                </c:pt>
                <c:pt idx="3">
                  <c:v>94.5</c:v>
                </c:pt>
                <c:pt idx="4">
                  <c:v>91.6</c:v>
                </c:pt>
                <c:pt idx="5">
                  <c:v>91.3</c:v>
                </c:pt>
                <c:pt idx="6">
                  <c:v>89.9</c:v>
                </c:pt>
                <c:pt idx="7">
                  <c:v>87.9</c:v>
                </c:pt>
                <c:pt idx="8">
                  <c:v>87</c:v>
                </c:pt>
                <c:pt idx="9">
                  <c:v>87.2</c:v>
                </c:pt>
                <c:pt idx="10">
                  <c:v>89.4</c:v>
                </c:pt>
                <c:pt idx="11">
                  <c:v>89.3</c:v>
                </c:pt>
                <c:pt idx="12">
                  <c:v>90.6</c:v>
                </c:pt>
              </c:numCache>
            </c:numRef>
          </c:val>
        </c:ser>
        <c:ser>
          <c:idx val="1"/>
          <c:order val="1"/>
          <c:tx>
            <c:v>Eurozona</c:v>
          </c:tx>
          <c:marker>
            <c:symbol val="none"/>
          </c:marker>
          <c:dLbls>
            <c:dLbl>
              <c:idx val="8"/>
              <c:layout>
                <c:manualLayout>
                  <c:x val="-0.23007246376811588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x-none" sz="800"/>
                      <a:t>Eurozona</a:t>
                    </a:r>
                    <a:endParaRPr lang="en-US" sz="800"/>
                  </a:p>
                </c:rich>
              </c:tx>
              <c:showVal val="1"/>
            </c:dLbl>
            <c:delete val="1"/>
          </c:dLbls>
          <c:cat>
            <c:numRef>
              <c:f>'ESI MONTHLY'!$A$325:$A$338</c:f>
              <c:numCache>
                <c:formatCode>mmm/yy</c:formatCode>
                <c:ptCount val="14"/>
                <c:pt idx="0">
                  <c:v>40908</c:v>
                </c:pt>
                <c:pt idx="1">
                  <c:v>40939</c:v>
                </c:pt>
                <c:pt idx="2">
                  <c:v>40968</c:v>
                </c:pt>
                <c:pt idx="3">
                  <c:v>40999</c:v>
                </c:pt>
                <c:pt idx="4">
                  <c:v>41029</c:v>
                </c:pt>
                <c:pt idx="5">
                  <c:v>41060</c:v>
                </c:pt>
                <c:pt idx="6">
                  <c:v>41090</c:v>
                </c:pt>
                <c:pt idx="7">
                  <c:v>41121</c:v>
                </c:pt>
                <c:pt idx="8">
                  <c:v>41152</c:v>
                </c:pt>
                <c:pt idx="9">
                  <c:v>41182</c:v>
                </c:pt>
                <c:pt idx="10">
                  <c:v>41213</c:v>
                </c:pt>
                <c:pt idx="11">
                  <c:v>41243</c:v>
                </c:pt>
                <c:pt idx="12">
                  <c:v>41274</c:v>
                </c:pt>
                <c:pt idx="13">
                  <c:v>41305</c:v>
                </c:pt>
              </c:numCache>
            </c:numRef>
          </c:cat>
          <c:val>
            <c:numRef>
              <c:f>'ESI MONTHLY'!$O$326:$O$338</c:f>
              <c:numCache>
                <c:formatCode>0.0</c:formatCode>
                <c:ptCount val="13"/>
                <c:pt idx="0">
                  <c:v>94.6</c:v>
                </c:pt>
                <c:pt idx="1">
                  <c:v>95.7</c:v>
                </c:pt>
                <c:pt idx="2">
                  <c:v>95.9</c:v>
                </c:pt>
                <c:pt idx="3">
                  <c:v>94.4</c:v>
                </c:pt>
                <c:pt idx="4">
                  <c:v>91.8</c:v>
                </c:pt>
                <c:pt idx="5">
                  <c:v>90.9</c:v>
                </c:pt>
                <c:pt idx="6">
                  <c:v>88.9</c:v>
                </c:pt>
                <c:pt idx="7">
                  <c:v>87.2</c:v>
                </c:pt>
                <c:pt idx="8">
                  <c:v>86.1</c:v>
                </c:pt>
                <c:pt idx="9">
                  <c:v>85.7</c:v>
                </c:pt>
                <c:pt idx="10">
                  <c:v>87.2</c:v>
                </c:pt>
                <c:pt idx="11">
                  <c:v>87.8</c:v>
                </c:pt>
                <c:pt idx="12">
                  <c:v>89.2</c:v>
                </c:pt>
              </c:numCache>
            </c:numRef>
          </c:val>
        </c:ser>
        <c:marker val="1"/>
        <c:axId val="120206464"/>
        <c:axId val="120208000"/>
      </c:lineChart>
      <c:dateAx>
        <c:axId val="120206464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/>
            </a:pPr>
            <a:endParaRPr lang="en-US"/>
          </a:p>
        </c:txPr>
        <c:crossAx val="120208000"/>
        <c:crosses val="autoZero"/>
        <c:auto val="1"/>
        <c:lblOffset val="100"/>
        <c:majorUnit val="3"/>
        <c:majorTimeUnit val="months"/>
      </c:dateAx>
      <c:valAx>
        <c:axId val="120208000"/>
        <c:scaling>
          <c:orientation val="minMax"/>
          <c:min val="85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0.0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20206464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900"/>
            </a:pPr>
            <a:r>
              <a:rPr lang="sr-Latn-CS" sz="900"/>
              <a:t>Prerađivačka</a:t>
            </a:r>
            <a:r>
              <a:rPr lang="sr-Latn-CS" sz="900" baseline="0"/>
              <a:t> industrija i promet u maloprodaji</a:t>
            </a:r>
            <a:endParaRPr lang="sr-Latn-CS" sz="900"/>
          </a:p>
        </c:rich>
      </c:tx>
      <c:layout>
        <c:manualLayout>
          <c:xMode val="edge"/>
          <c:yMode val="edge"/>
          <c:x val="0.21735489273980546"/>
          <c:y val="3.0676328502415758E-2"/>
        </c:manualLayout>
      </c:layout>
      <c:overlay val="1"/>
      <c:spPr>
        <a:ln>
          <a:noFill/>
        </a:ln>
      </c:spPr>
    </c:title>
    <c:plotArea>
      <c:layout/>
      <c:lineChart>
        <c:grouping val="standard"/>
        <c:ser>
          <c:idx val="0"/>
          <c:order val="0"/>
          <c:tx>
            <c:strRef>
              <c:f>'Makroekonomski indikatori'!$C$13</c:f>
              <c:strCache>
                <c:ptCount val="1"/>
                <c:pt idx="0">
                  <c:v>Prerađivačka industrija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indikatori'!$O$60:$AA$60</c:f>
              <c:strCache>
                <c:ptCount val="13"/>
                <c:pt idx="0">
                  <c:v>XII</c:v>
                </c:pt>
                <c:pt idx="1">
                  <c:v>2012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indikatori'!$O$13:$AA$13</c:f>
              <c:numCache>
                <c:formatCode>0.0</c:formatCode>
                <c:ptCount val="13"/>
                <c:pt idx="0">
                  <c:v>-8.3000000000000007</c:v>
                </c:pt>
                <c:pt idx="1">
                  <c:v>5</c:v>
                </c:pt>
                <c:pt idx="2" formatCode="0.00">
                  <c:v>-4.4000000000000004</c:v>
                </c:pt>
                <c:pt idx="3" formatCode="0.00">
                  <c:v>11.6</c:v>
                </c:pt>
                <c:pt idx="4" formatCode="0.00">
                  <c:v>33.1</c:v>
                </c:pt>
                <c:pt idx="5" formatCode="0.00">
                  <c:v>3.6</c:v>
                </c:pt>
                <c:pt idx="6" formatCode="0.00">
                  <c:v>-18.5</c:v>
                </c:pt>
                <c:pt idx="7" formatCode="0.00">
                  <c:v>-20.399999999999999</c:v>
                </c:pt>
                <c:pt idx="8" formatCode="0.00">
                  <c:v>-13</c:v>
                </c:pt>
                <c:pt idx="9" formatCode="0.00">
                  <c:v>-20.399999999999999</c:v>
                </c:pt>
                <c:pt idx="10" formatCode="0.00">
                  <c:v>-40.5</c:v>
                </c:pt>
                <c:pt idx="11" formatCode="0.00">
                  <c:v>-28.1</c:v>
                </c:pt>
                <c:pt idx="12" formatCode="0.00">
                  <c:v>-20.3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indikatori'!$C$15</c:f>
              <c:strCache>
                <c:ptCount val="1"/>
                <c:pt idx="0">
                  <c:v>Promet u maloprodaji (stopa rasta)</c:v>
                </c:pt>
              </c:strCache>
            </c:strRef>
          </c:tx>
          <c:marker>
            <c:symbol val="none"/>
          </c:marker>
          <c:cat>
            <c:strRef>
              <c:f>'Makroekonomski indikatori'!$O$60:$AA$60</c:f>
              <c:strCache>
                <c:ptCount val="13"/>
                <c:pt idx="0">
                  <c:v>XII</c:v>
                </c:pt>
                <c:pt idx="1">
                  <c:v>2012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indikatori'!$O$15:$AA$15</c:f>
              <c:numCache>
                <c:formatCode>0.0</c:formatCode>
                <c:ptCount val="13"/>
                <c:pt idx="0">
                  <c:v>37.300000000000004</c:v>
                </c:pt>
                <c:pt idx="1">
                  <c:v>21.3</c:v>
                </c:pt>
                <c:pt idx="2" formatCode="0.00">
                  <c:v>16.3</c:v>
                </c:pt>
                <c:pt idx="3" formatCode="0.00">
                  <c:v>8</c:v>
                </c:pt>
                <c:pt idx="4" formatCode="0.00">
                  <c:v>18.600000000000001</c:v>
                </c:pt>
                <c:pt idx="5" formatCode="0.00">
                  <c:v>9.8000000000000007</c:v>
                </c:pt>
                <c:pt idx="6" formatCode="0.00">
                  <c:v>3.3</c:v>
                </c:pt>
                <c:pt idx="7" formatCode="0.00">
                  <c:v>4.4000000000000004</c:v>
                </c:pt>
                <c:pt idx="8" formatCode="0.00">
                  <c:v>1.1000000000000001</c:v>
                </c:pt>
                <c:pt idx="9" formatCode="0.00">
                  <c:v>4.4000000000000004</c:v>
                </c:pt>
                <c:pt idx="10" formatCode="0.00">
                  <c:v>3.5</c:v>
                </c:pt>
                <c:pt idx="11" formatCode="0.00">
                  <c:v>2.1</c:v>
                </c:pt>
                <c:pt idx="12" formatCode="0.00">
                  <c:v>2.1</c:v>
                </c:pt>
              </c:numCache>
            </c:numRef>
          </c:val>
          <c:smooth val="1"/>
        </c:ser>
        <c:marker val="1"/>
        <c:axId val="103561856"/>
        <c:axId val="112165248"/>
      </c:lineChart>
      <c:catAx>
        <c:axId val="10356185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112165248"/>
        <c:crosses val="autoZero"/>
        <c:auto val="1"/>
        <c:lblAlgn val="ctr"/>
        <c:lblOffset val="100"/>
        <c:tickLblSkip val="2"/>
      </c:catAx>
      <c:valAx>
        <c:axId val="112165248"/>
        <c:scaling>
          <c:orientation val="minMax"/>
          <c:min val="-41"/>
        </c:scaling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035618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2046004119772047"/>
          <c:y val="0.19019323671497593"/>
          <c:w val="0.67880745015658295"/>
          <c:h val="0.16822222222222244"/>
        </c:manualLayout>
      </c:layout>
      <c:txPr>
        <a:bodyPr/>
        <a:lstStyle/>
        <a:p>
          <a:pPr>
            <a:defRPr lang="sr-Latn-CS" sz="7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900"/>
            </a:pPr>
            <a:r>
              <a:rPr lang="x-none" sz="900"/>
              <a:t>Inflacija</a:t>
            </a:r>
            <a:endParaRPr lang="en-US" sz="900"/>
          </a:p>
        </c:rich>
      </c:tx>
      <c:layout>
        <c:manualLayout>
          <c:xMode val="edge"/>
          <c:yMode val="edge"/>
          <c:x val="0.39504802970510638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4472443932408641"/>
          <c:y val="0.21560991377708871"/>
          <c:w val="0.81557945361102546"/>
          <c:h val="0.62317337198521827"/>
        </c:manualLayout>
      </c:layout>
      <c:lineChart>
        <c:grouping val="standard"/>
        <c:ser>
          <c:idx val="0"/>
          <c:order val="0"/>
          <c:tx>
            <c:strRef>
              <c:f>'Makroekonomski indikatori'!$C$19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'Makroekonomski indikatori'!$O$60:$AA$60</c:f>
              <c:strCache>
                <c:ptCount val="13"/>
                <c:pt idx="0">
                  <c:v>XII</c:v>
                </c:pt>
                <c:pt idx="1">
                  <c:v>2012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indikatori'!$O$19:$AA$19</c:f>
              <c:numCache>
                <c:formatCode>#,##0.0</c:formatCode>
                <c:ptCount val="13"/>
                <c:pt idx="0" formatCode="0.0">
                  <c:v>3</c:v>
                </c:pt>
                <c:pt idx="1">
                  <c:v>3.1</c:v>
                </c:pt>
                <c:pt idx="2">
                  <c:v>3.1</c:v>
                </c:pt>
                <c:pt idx="3">
                  <c:v>2.1</c:v>
                </c:pt>
                <c:pt idx="4">
                  <c:v>2.9</c:v>
                </c:pt>
                <c:pt idx="5">
                  <c:v>3.6</c:v>
                </c:pt>
                <c:pt idx="6">
                  <c:v>4.4000000000000004</c:v>
                </c:pt>
                <c:pt idx="7">
                  <c:v>4.5999999999999996</c:v>
                </c:pt>
                <c:pt idx="8">
                  <c:v>5</c:v>
                </c:pt>
                <c:pt idx="9">
                  <c:v>4.5999999999999996</c:v>
                </c:pt>
                <c:pt idx="10">
                  <c:v>4.9000000000000004</c:v>
                </c:pt>
                <c:pt idx="11">
                  <c:v>4.8</c:v>
                </c:pt>
                <c:pt idx="12">
                  <c:v>4.4000000000000004</c:v>
                </c:pt>
              </c:numCache>
            </c:numRef>
          </c:val>
          <c:smooth val="1"/>
        </c:ser>
        <c:marker val="1"/>
        <c:axId val="114860416"/>
        <c:axId val="114861952"/>
      </c:lineChart>
      <c:catAx>
        <c:axId val="1148604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14861952"/>
        <c:crosses val="autoZero"/>
        <c:auto val="1"/>
        <c:lblAlgn val="ctr"/>
        <c:lblOffset val="100"/>
        <c:tickLblSkip val="2"/>
      </c:catAx>
      <c:valAx>
        <c:axId val="114861952"/>
        <c:scaling>
          <c:orientation val="minMax"/>
          <c:max val="5.5"/>
          <c:min val="1.5"/>
        </c:scaling>
        <c:axPos val="l"/>
        <c:numFmt formatCode="0.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1486041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1001120717259236"/>
          <c:y val="9.2552657004830924E-2"/>
          <c:w val="0.61042568433981614"/>
          <c:h val="0.20311502302089121"/>
        </c:manualLayout>
      </c:layout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900"/>
            </a:pPr>
            <a:r>
              <a:rPr lang="x-none" sz="900"/>
              <a:t>Broj nezaposlenih i oglašena radna mjesta</a:t>
            </a:r>
            <a:endParaRPr lang="en-US" sz="900"/>
          </a:p>
        </c:rich>
      </c:tx>
      <c:layout>
        <c:manualLayout>
          <c:xMode val="edge"/>
          <c:yMode val="edge"/>
          <c:x val="0.14831555150670195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20701054787236037"/>
          <c:y val="0.28751136766870306"/>
          <c:w val="0.62434593468170074"/>
          <c:h val="0.55998481869542993"/>
        </c:manualLayout>
      </c:layout>
      <c:barChart>
        <c:barDir val="col"/>
        <c:grouping val="clustered"/>
        <c:ser>
          <c:idx val="0"/>
          <c:order val="1"/>
          <c:tx>
            <c:strRef>
              <c:f>'Makroekonomski indikatori'!$C$26</c:f>
              <c:strCache>
                <c:ptCount val="1"/>
                <c:pt idx="0">
                  <c:v>Oglašena radna mjesta (broj)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cat>
            <c:strRef>
              <c:f>'Makroekonomski indikatori'!$O$60:$AA$60</c:f>
              <c:strCache>
                <c:ptCount val="13"/>
                <c:pt idx="0">
                  <c:v>XII</c:v>
                </c:pt>
                <c:pt idx="1">
                  <c:v>2012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indikatori'!$O$26:$AA$26</c:f>
              <c:numCache>
                <c:formatCode>#,##0</c:formatCode>
                <c:ptCount val="13"/>
                <c:pt idx="0">
                  <c:v>876</c:v>
                </c:pt>
                <c:pt idx="1">
                  <c:v>734</c:v>
                </c:pt>
                <c:pt idx="2">
                  <c:v>976</c:v>
                </c:pt>
                <c:pt idx="3">
                  <c:v>1942</c:v>
                </c:pt>
                <c:pt idx="4">
                  <c:v>3003</c:v>
                </c:pt>
                <c:pt idx="5">
                  <c:v>3685</c:v>
                </c:pt>
                <c:pt idx="6">
                  <c:v>4146</c:v>
                </c:pt>
                <c:pt idx="7">
                  <c:v>2651</c:v>
                </c:pt>
                <c:pt idx="8">
                  <c:v>1081</c:v>
                </c:pt>
                <c:pt idx="9">
                  <c:v>725</c:v>
                </c:pt>
                <c:pt idx="10">
                  <c:v>2005</c:v>
                </c:pt>
                <c:pt idx="11">
                  <c:v>2766</c:v>
                </c:pt>
                <c:pt idx="12">
                  <c:v>972</c:v>
                </c:pt>
              </c:numCache>
            </c:numRef>
          </c:val>
        </c:ser>
        <c:gapWidth val="92"/>
        <c:overlap val="-57"/>
        <c:axId val="114983680"/>
        <c:axId val="114969600"/>
      </c:barChart>
      <c:lineChart>
        <c:grouping val="standard"/>
        <c:ser>
          <c:idx val="1"/>
          <c:order val="0"/>
          <c:tx>
            <c:strRef>
              <c:f>'Makroekonomski indikatori'!$C$23</c:f>
              <c:strCache>
                <c:ptCount val="1"/>
                <c:pt idx="0">
                  <c:v>Broj nezaposlenih (broj, kraj perioda)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'Makroekonomski indikatori'!$O$60:$AA$60</c:f>
              <c:strCache>
                <c:ptCount val="13"/>
                <c:pt idx="0">
                  <c:v>XII</c:v>
                </c:pt>
                <c:pt idx="1">
                  <c:v>2012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indikatori'!$O$23:$AA$23</c:f>
              <c:numCache>
                <c:formatCode>#,##0</c:formatCode>
                <c:ptCount val="13"/>
                <c:pt idx="0">
                  <c:v>30552</c:v>
                </c:pt>
                <c:pt idx="1">
                  <c:v>31339</c:v>
                </c:pt>
                <c:pt idx="2">
                  <c:v>31495</c:v>
                </c:pt>
                <c:pt idx="3">
                  <c:v>31562</c:v>
                </c:pt>
                <c:pt idx="4">
                  <c:v>31320</c:v>
                </c:pt>
                <c:pt idx="5">
                  <c:v>30126</c:v>
                </c:pt>
                <c:pt idx="6">
                  <c:v>29411</c:v>
                </c:pt>
                <c:pt idx="7">
                  <c:v>28686</c:v>
                </c:pt>
                <c:pt idx="8">
                  <c:v>28549</c:v>
                </c:pt>
                <c:pt idx="9">
                  <c:v>28272</c:v>
                </c:pt>
                <c:pt idx="10">
                  <c:v>29540</c:v>
                </c:pt>
                <c:pt idx="11">
                  <c:v>30718</c:v>
                </c:pt>
                <c:pt idx="12">
                  <c:v>31232</c:v>
                </c:pt>
              </c:numCache>
            </c:numRef>
          </c:val>
          <c:smooth val="1"/>
        </c:ser>
        <c:marker val="1"/>
        <c:axId val="114966528"/>
        <c:axId val="114968064"/>
      </c:lineChart>
      <c:catAx>
        <c:axId val="1149665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114968064"/>
        <c:crosses val="autoZero"/>
        <c:auto val="1"/>
        <c:lblAlgn val="ctr"/>
        <c:lblOffset val="100"/>
        <c:tickLblSkip val="3"/>
      </c:catAx>
      <c:valAx>
        <c:axId val="114968064"/>
        <c:scaling>
          <c:orientation val="minMax"/>
          <c:min val="25000"/>
        </c:scaling>
        <c:axPos val="l"/>
        <c:numFmt formatCode="#,##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14966528"/>
        <c:crosses val="autoZero"/>
        <c:crossBetween val="between"/>
        <c:majorUnit val="5000"/>
      </c:valAx>
      <c:valAx>
        <c:axId val="114969600"/>
        <c:scaling>
          <c:orientation val="minMax"/>
          <c:min val="0"/>
        </c:scaling>
        <c:axPos val="r"/>
        <c:numFmt formatCode="#,##0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14983680"/>
        <c:crosses val="max"/>
        <c:crossBetween val="between"/>
        <c:majorUnit val="2000"/>
      </c:valAx>
      <c:catAx>
        <c:axId val="114983680"/>
        <c:scaling>
          <c:orientation val="minMax"/>
        </c:scaling>
        <c:delete val="1"/>
        <c:axPos val="b"/>
        <c:tickLblPos val="none"/>
        <c:crossAx val="11496960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"/>
          <c:y val="0.16010428533168114"/>
          <c:w val="0.99546329365079367"/>
          <c:h val="0.12953713989651391"/>
        </c:manualLayout>
      </c:layout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700"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900"/>
              <a:t>D</a:t>
            </a:r>
            <a:r>
              <a:rPr lang="en-US" sz="900"/>
              <a:t>RŽAVNI</a:t>
            </a:r>
            <a:r>
              <a:rPr lang="sr-Latn-RS" sz="900"/>
              <a:t> BUDŽET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6073999337233413"/>
          <c:y val="0.11777675395087289"/>
          <c:w val="0.63884279852633763"/>
          <c:h val="0.65645319855115369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indikatori'!$AF$20</c:f>
              <c:strCache>
                <c:ptCount val="1"/>
                <c:pt idx="0">
                  <c:v>Suficit / Deficit budžeta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pictureOptions>
            <c:pictureFormat val="stretch"/>
          </c:pictureOptions>
          <c:val>
            <c:numRef>
              <c:f>'Fiskalni indikatori'!$AR$20:$BD$20</c:f>
              <c:numCache>
                <c:formatCode>0.00,,</c:formatCode>
                <c:ptCount val="13"/>
                <c:pt idx="0">
                  <c:v>-82038140.569999993</c:v>
                </c:pt>
                <c:pt idx="1">
                  <c:v>-4328158.200000003</c:v>
                </c:pt>
                <c:pt idx="2">
                  <c:v>-31846816.19000002</c:v>
                </c:pt>
                <c:pt idx="3">
                  <c:v>-5092356.6899999827</c:v>
                </c:pt>
                <c:pt idx="4">
                  <c:v>-67476056.290000007</c:v>
                </c:pt>
                <c:pt idx="5">
                  <c:v>-11480914.659999967</c:v>
                </c:pt>
                <c:pt idx="6">
                  <c:v>-4679371.8200000077</c:v>
                </c:pt>
                <c:pt idx="7">
                  <c:v>22290919</c:v>
                </c:pt>
                <c:pt idx="8">
                  <c:v>6949126.3700000048</c:v>
                </c:pt>
                <c:pt idx="9">
                  <c:v>-11667149.760000005</c:v>
                </c:pt>
                <c:pt idx="10">
                  <c:v>-4850493.8299999805</c:v>
                </c:pt>
                <c:pt idx="11">
                  <c:v>-24094013.399999991</c:v>
                </c:pt>
                <c:pt idx="12">
                  <c:v>-26411985.469999976</c:v>
                </c:pt>
              </c:numCache>
            </c:numRef>
          </c:val>
        </c:ser>
        <c:gapWidth val="75"/>
        <c:axId val="115007488"/>
        <c:axId val="115001600"/>
      </c:barChart>
      <c:lineChart>
        <c:grouping val="standard"/>
        <c:ser>
          <c:idx val="0"/>
          <c:order val="0"/>
          <c:tx>
            <c:strRef>
              <c:f>'Fiskalni indikatori'!$AF$28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'Fiskalni indikatori'!$AR$6:$BD$6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'Fiskalni indikatori'!$AR$7:$BD$7</c:f>
              <c:numCache>
                <c:formatCode>0.00,,</c:formatCode>
                <c:ptCount val="13"/>
                <c:pt idx="0">
                  <c:v>123187385.03</c:v>
                </c:pt>
                <c:pt idx="1">
                  <c:v>48726397.349999994</c:v>
                </c:pt>
                <c:pt idx="2">
                  <c:v>67761749.069999993</c:v>
                </c:pt>
                <c:pt idx="3">
                  <c:v>76276638</c:v>
                </c:pt>
                <c:pt idx="4">
                  <c:v>98761847.500000015</c:v>
                </c:pt>
                <c:pt idx="5">
                  <c:v>86817319.960000023</c:v>
                </c:pt>
                <c:pt idx="6">
                  <c:v>95935673.590000004</c:v>
                </c:pt>
                <c:pt idx="7">
                  <c:v>130902818.23</c:v>
                </c:pt>
                <c:pt idx="8">
                  <c:v>108520677.06999999</c:v>
                </c:pt>
                <c:pt idx="9">
                  <c:v>95844316.429999992</c:v>
                </c:pt>
                <c:pt idx="10">
                  <c:v>99225993.690000013</c:v>
                </c:pt>
                <c:pt idx="11">
                  <c:v>85312820.549999997</c:v>
                </c:pt>
                <c:pt idx="12">
                  <c:v>125850417.43000002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indikatori'!$AF$29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strRef>
              <c:f>'Fiskalni indikatori'!$AR$6:$BD$6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'Fiskalni indikatori'!$AR$13:$BD$13</c:f>
              <c:numCache>
                <c:formatCode>0.00,,</c:formatCode>
                <c:ptCount val="13"/>
                <c:pt idx="0">
                  <c:v>205225525.59999999</c:v>
                </c:pt>
                <c:pt idx="1">
                  <c:v>53054555.550000004</c:v>
                </c:pt>
                <c:pt idx="2">
                  <c:v>99608565.260000005</c:v>
                </c:pt>
                <c:pt idx="3">
                  <c:v>81368994.689999968</c:v>
                </c:pt>
                <c:pt idx="4">
                  <c:v>166237903.79000002</c:v>
                </c:pt>
                <c:pt idx="5">
                  <c:v>98298234.61999999</c:v>
                </c:pt>
                <c:pt idx="6">
                  <c:v>100615045.41000022</c:v>
                </c:pt>
                <c:pt idx="7">
                  <c:v>108611899.23</c:v>
                </c:pt>
                <c:pt idx="8">
                  <c:v>101571550.69999999</c:v>
                </c:pt>
                <c:pt idx="9">
                  <c:v>107511466.19</c:v>
                </c:pt>
                <c:pt idx="10">
                  <c:v>104076487.52</c:v>
                </c:pt>
                <c:pt idx="11">
                  <c:v>109406833.95</c:v>
                </c:pt>
                <c:pt idx="12">
                  <c:v>152262402.90000001</c:v>
                </c:pt>
              </c:numCache>
            </c:numRef>
          </c:val>
          <c:smooth val="1"/>
        </c:ser>
        <c:marker val="1"/>
        <c:axId val="114994176"/>
        <c:axId val="115000064"/>
      </c:lineChart>
      <c:catAx>
        <c:axId val="114994176"/>
        <c:scaling>
          <c:orientation val="minMax"/>
        </c:scaling>
        <c:axPos val="b"/>
        <c:numFmt formatCode="#,##0.00" sourceLinked="0"/>
        <c:majorTickMark val="none"/>
        <c:tickLblPos val="nextTo"/>
        <c:txPr>
          <a:bodyPr/>
          <a:lstStyle/>
          <a:p>
            <a:pPr>
              <a:defRPr sz="700"/>
            </a:pPr>
            <a:endParaRPr lang="en-US"/>
          </a:p>
        </c:txPr>
        <c:crossAx val="115000064"/>
        <c:crosses val="autoZero"/>
        <c:auto val="1"/>
        <c:lblAlgn val="ctr"/>
        <c:lblOffset val="100"/>
      </c:catAx>
      <c:valAx>
        <c:axId val="115000064"/>
        <c:scaling>
          <c:orientation val="minMax"/>
          <c:min val="0"/>
        </c:scaling>
        <c:axPos val="l"/>
        <c:majorGridlines/>
        <c:numFmt formatCode="0.00,,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/>
            </a:pPr>
            <a:endParaRPr lang="en-US"/>
          </a:p>
        </c:txPr>
        <c:crossAx val="114994176"/>
        <c:crosses val="autoZero"/>
        <c:crossBetween val="between"/>
      </c:valAx>
      <c:valAx>
        <c:axId val="115001600"/>
        <c:scaling>
          <c:orientation val="minMax"/>
        </c:scaling>
        <c:axPos val="r"/>
        <c:numFmt formatCode="0.0,," sourceLinked="0"/>
        <c:tickLblPos val="nextTo"/>
        <c:txPr>
          <a:bodyPr anchor="t" anchorCtr="1"/>
          <a:lstStyle/>
          <a:p>
            <a:pPr>
              <a:defRPr sz="700"/>
            </a:pPr>
            <a:endParaRPr lang="en-US"/>
          </a:p>
        </c:txPr>
        <c:crossAx val="115007488"/>
        <c:crosses val="max"/>
        <c:crossBetween val="between"/>
      </c:valAx>
      <c:catAx>
        <c:axId val="115007488"/>
        <c:scaling>
          <c:orientation val="minMax"/>
        </c:scaling>
        <c:delete val="1"/>
        <c:axPos val="b"/>
        <c:tickLblPos val="none"/>
        <c:crossAx val="11500160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"/>
          <c:y val="0.87094606101415961"/>
          <c:w val="1"/>
          <c:h val="0.12261261111510117"/>
        </c:manualLayout>
      </c:layout>
      <c:txPr>
        <a:bodyPr/>
        <a:lstStyle/>
        <a:p>
          <a:pPr>
            <a:defRPr sz="700"/>
          </a:pPr>
          <a:endParaRPr lang="en-US"/>
        </a:p>
      </c:txPr>
    </c:legend>
    <c:plotVisOnly val="1"/>
    <c:dispBlanksAs val="gap"/>
  </c:chart>
  <c:externalData r:id="rId2"/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800"/>
            </a:pPr>
            <a:r>
              <a:rPr lang="x-none" sz="900" b="0">
                <a:latin typeface="+mn-lt"/>
              </a:rPr>
              <a:t>Ukupni krediti i ukupni depoziti (mil.</a:t>
            </a:r>
            <a:r>
              <a:rPr lang="x-none" sz="900" b="0">
                <a:latin typeface="+mn-lt"/>
                <a:cs typeface="Times New Roman"/>
              </a:rPr>
              <a:t>€)</a:t>
            </a:r>
            <a:endParaRPr lang="en-US" sz="900" b="0">
              <a:latin typeface="+mn-lt"/>
            </a:endParaRPr>
          </a:p>
        </c:rich>
      </c:tx>
      <c:layout>
        <c:manualLayout>
          <c:xMode val="edge"/>
          <c:yMode val="edge"/>
          <c:x val="0.15342946507979899"/>
          <c:y val="1.383468181003749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73219969844318"/>
          <c:y val="0.20223488021444141"/>
          <c:w val="0.8157151894474729"/>
          <c:h val="0.63735838779956422"/>
        </c:manualLayout>
      </c:layout>
      <c:lineChart>
        <c:grouping val="standard"/>
        <c:ser>
          <c:idx val="1"/>
          <c:order val="0"/>
          <c:tx>
            <c:v>Krediti u kašnjenju</c:v>
          </c:tx>
          <c:cat>
            <c:strRef>
              <c:f>'Makroekonomski indikatori'!$O$60:$AA$60</c:f>
              <c:strCache>
                <c:ptCount val="13"/>
                <c:pt idx="0">
                  <c:v>XII</c:v>
                </c:pt>
                <c:pt idx="1">
                  <c:v>2012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indikatori'!$D$33:$P$33</c:f>
            </c:numRef>
          </c:val>
        </c:ser>
        <c:ser>
          <c:idx val="0"/>
          <c:order val="1"/>
          <c:tx>
            <c:strRef>
              <c:f>'Makroekonomski indikatori'!$C$30</c:f>
              <c:strCache>
                <c:ptCount val="1"/>
                <c:pt idx="0">
                  <c:v>Ukupni krediti (kumulativ, mil. €)</c:v>
                </c:pt>
              </c:strCache>
            </c:strRef>
          </c:tx>
          <c:spPr>
            <a:ln>
              <a:solidFill>
                <a:srgbClr val="C00000"/>
              </a:solidFill>
              <a:prstDash val="dash"/>
            </a:ln>
          </c:spPr>
          <c:marker>
            <c:symbol val="none"/>
          </c:marker>
          <c:cat>
            <c:strRef>
              <c:f>'Makroekonomski indikatori'!$O$60:$AA$60</c:f>
              <c:strCache>
                <c:ptCount val="13"/>
                <c:pt idx="0">
                  <c:v>XII</c:v>
                </c:pt>
                <c:pt idx="1">
                  <c:v>2012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indikatori'!$O$30:$AA$30</c:f>
              <c:numCache>
                <c:formatCode>0,000.0,,</c:formatCode>
                <c:ptCount val="13"/>
                <c:pt idx="0">
                  <c:v>1955700000</c:v>
                </c:pt>
                <c:pt idx="1">
                  <c:v>1945732000</c:v>
                </c:pt>
                <c:pt idx="2">
                  <c:v>1943001000</c:v>
                </c:pt>
                <c:pt idx="3">
                  <c:v>1963878000</c:v>
                </c:pt>
                <c:pt idx="4" formatCode="#,##0.0,,">
                  <c:v>1971518000</c:v>
                </c:pt>
                <c:pt idx="5" formatCode="#,##0.0,,">
                  <c:v>1963286000</c:v>
                </c:pt>
                <c:pt idx="6" formatCode="#,##0.0,,">
                  <c:v>1958443000</c:v>
                </c:pt>
                <c:pt idx="7" formatCode="#,##0.0,,">
                  <c:v>1891846000</c:v>
                </c:pt>
                <c:pt idx="8" formatCode="#,##0.0,,">
                  <c:v>1905553000</c:v>
                </c:pt>
                <c:pt idx="9" formatCode="#,##0.0,,">
                  <c:v>1891846000</c:v>
                </c:pt>
                <c:pt idx="10" formatCode="#,##0.0,,">
                  <c:v>1859350000</c:v>
                </c:pt>
                <c:pt idx="11" formatCode="#,##0.0,,">
                  <c:v>1866122000</c:v>
                </c:pt>
                <c:pt idx="12" formatCode="#,##0.0,,">
                  <c:v>1862623000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'Makroekonomski indikatori'!$C$36</c:f>
              <c:strCache>
                <c:ptCount val="1"/>
                <c:pt idx="0">
                  <c:v>Ukupni depoziti (kumulativ, mil €)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'Makroekonomski indikatori'!$O$60:$AA$60</c:f>
              <c:strCache>
                <c:ptCount val="13"/>
                <c:pt idx="0">
                  <c:v>XII</c:v>
                </c:pt>
                <c:pt idx="1">
                  <c:v>2012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indikatori'!$O$36:$AA$36</c:f>
              <c:numCache>
                <c:formatCode>0,000.0,,</c:formatCode>
                <c:ptCount val="13"/>
                <c:pt idx="0">
                  <c:v>1817200000</c:v>
                </c:pt>
                <c:pt idx="1">
                  <c:v>1784319000</c:v>
                </c:pt>
                <c:pt idx="2">
                  <c:v>1796141000</c:v>
                </c:pt>
                <c:pt idx="3">
                  <c:v>1792598000</c:v>
                </c:pt>
                <c:pt idx="4" formatCode="#,##0.0,,">
                  <c:v>1809321000</c:v>
                </c:pt>
                <c:pt idx="5" formatCode="#,##0.0,,">
                  <c:v>1818885000</c:v>
                </c:pt>
                <c:pt idx="6" formatCode="#,##0.0,,">
                  <c:v>1843392000</c:v>
                </c:pt>
                <c:pt idx="7" formatCode="#,##0.0,,">
                  <c:v>2001119000</c:v>
                </c:pt>
                <c:pt idx="8" formatCode="#,##0.0,,">
                  <c:v>1954383000</c:v>
                </c:pt>
                <c:pt idx="9" formatCode="#,##0.0,,">
                  <c:v>2001119000</c:v>
                </c:pt>
                <c:pt idx="10" formatCode="#,##0.0,,">
                  <c:v>1965523000</c:v>
                </c:pt>
                <c:pt idx="11" formatCode="#,##0.0,,">
                  <c:v>1982935000</c:v>
                </c:pt>
                <c:pt idx="12" formatCode="#,##0.0,,">
                  <c:v>1980973000</c:v>
                </c:pt>
              </c:numCache>
            </c:numRef>
          </c:val>
          <c:smooth val="1"/>
        </c:ser>
        <c:marker val="1"/>
        <c:axId val="115360896"/>
        <c:axId val="115362432"/>
      </c:lineChart>
      <c:catAx>
        <c:axId val="115360896"/>
        <c:scaling>
          <c:orientation val="minMax"/>
        </c:scaling>
        <c:axPos val="b"/>
        <c:numFmt formatCode="0.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15362432"/>
        <c:crosses val="autoZero"/>
        <c:auto val="1"/>
        <c:lblAlgn val="ctr"/>
        <c:lblOffset val="100"/>
        <c:tickLblSkip val="3"/>
      </c:catAx>
      <c:valAx>
        <c:axId val="115362432"/>
        <c:scaling>
          <c:orientation val="minMax"/>
          <c:min val="1700000000"/>
        </c:scaling>
        <c:axPos val="l"/>
        <c:numFmt formatCode="0,000.0,," sourceLinked="1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15360896"/>
        <c:crosses val="autoZero"/>
        <c:crossBetween val="between"/>
        <c:majorUnit val="200000000"/>
      </c:valAx>
    </c:plotArea>
    <c:legend>
      <c:legendPos val="b"/>
      <c:layout>
        <c:manualLayout>
          <c:xMode val="edge"/>
          <c:yMode val="edge"/>
          <c:x val="0.20364945403924045"/>
          <c:y val="0.20899265251418131"/>
          <c:w val="0.73119751022036461"/>
          <c:h val="0.10683285440613099"/>
        </c:manualLayout>
      </c:layout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US" sz="800"/>
            </a:pPr>
            <a:r>
              <a:rPr lang="x-none" sz="800"/>
              <a:t>Spoljnotrgovinski bilans i strane direktne investicije</a:t>
            </a:r>
            <a:r>
              <a:rPr lang="en-US" sz="800"/>
              <a:t>  mil.eura</a:t>
            </a:r>
          </a:p>
        </c:rich>
      </c:tx>
      <c:layout>
        <c:manualLayout>
          <c:xMode val="edge"/>
          <c:yMode val="edge"/>
          <c:x val="0.1294866071428572"/>
          <c:y val="7.4711328976039375E-3"/>
        </c:manualLayout>
      </c:layout>
      <c:overlay val="1"/>
    </c:title>
    <c:plotArea>
      <c:layout>
        <c:manualLayout>
          <c:layoutTarget val="inner"/>
          <c:xMode val="edge"/>
          <c:yMode val="edge"/>
          <c:x val="0.13648556522814018"/>
          <c:y val="0.2324099775297872"/>
          <c:w val="0.74772956018074044"/>
          <c:h val="0.60640646537888065"/>
        </c:manualLayout>
      </c:layout>
      <c:barChart>
        <c:barDir val="col"/>
        <c:grouping val="clustered"/>
        <c:ser>
          <c:idx val="0"/>
          <c:order val="0"/>
          <c:tx>
            <c:v>Spoljnotrgovinski bilans</c:v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'Makroekonomski indikatori'!$O$60:$AA$60</c:f>
              <c:strCache>
                <c:ptCount val="13"/>
                <c:pt idx="0">
                  <c:v>XII</c:v>
                </c:pt>
                <c:pt idx="1">
                  <c:v>2012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indikatori'!$O$47:$AA$47</c:f>
              <c:numCache>
                <c:formatCode>0.0,,</c:formatCode>
                <c:ptCount val="13"/>
                <c:pt idx="0">
                  <c:v>-127140000</c:v>
                </c:pt>
                <c:pt idx="1">
                  <c:v>-72458000</c:v>
                </c:pt>
                <c:pt idx="2">
                  <c:v>-82625000</c:v>
                </c:pt>
                <c:pt idx="3">
                  <c:v>-158078000</c:v>
                </c:pt>
                <c:pt idx="4" formatCode="#,##0.0,,">
                  <c:v>-119730000</c:v>
                </c:pt>
                <c:pt idx="5" formatCode="#,##0.0,,">
                  <c:v>-133225000</c:v>
                </c:pt>
                <c:pt idx="6" formatCode="#,##0.0,,">
                  <c:v>-138890000</c:v>
                </c:pt>
                <c:pt idx="7" formatCode="#,##0.0,,">
                  <c:v>-117584000</c:v>
                </c:pt>
                <c:pt idx="8" formatCode="#,##0.0,,">
                  <c:v>-141577000</c:v>
                </c:pt>
                <c:pt idx="9" formatCode="#,##0.0,,">
                  <c:v>-117584000</c:v>
                </c:pt>
                <c:pt idx="10" formatCode="#,##0.0,,">
                  <c:v>-106785000</c:v>
                </c:pt>
                <c:pt idx="11" formatCode="#,##0.0,,">
                  <c:v>-104165000</c:v>
                </c:pt>
                <c:pt idx="12" formatCode="#,##0.0,,">
                  <c:v>-106785000</c:v>
                </c:pt>
              </c:numCache>
            </c:numRef>
          </c:val>
        </c:ser>
        <c:gapWidth val="134"/>
        <c:overlap val="96"/>
        <c:axId val="119885184"/>
        <c:axId val="119886976"/>
      </c:barChart>
      <c:lineChart>
        <c:grouping val="standard"/>
        <c:ser>
          <c:idx val="1"/>
          <c:order val="1"/>
          <c:tx>
            <c:v>SDI</c:v>
          </c:tx>
          <c:spPr>
            <a:ln w="12700">
              <a:solidFill>
                <a:srgbClr val="C00000"/>
              </a:solidFill>
            </a:ln>
            <a:effectLst>
              <a:outerShdw dist="38100" sx="7000" sy="7000" algn="l" rotWithShape="0">
                <a:prstClr val="black"/>
              </a:outerShdw>
            </a:effectLst>
          </c:spPr>
          <c:marker>
            <c:symbol val="none"/>
          </c:marker>
          <c:cat>
            <c:strRef>
              <c:f>'Makroekonomski indikatori'!$K$60:$W$60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2012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indikatori'!$O$48:$AA$48</c:f>
              <c:numCache>
                <c:formatCode>0.0,,</c:formatCode>
                <c:ptCount val="13"/>
                <c:pt idx="0">
                  <c:v>24169568.349999998</c:v>
                </c:pt>
                <c:pt idx="1">
                  <c:v>15505062</c:v>
                </c:pt>
                <c:pt idx="2">
                  <c:v>30182414</c:v>
                </c:pt>
                <c:pt idx="3">
                  <c:v>20830023</c:v>
                </c:pt>
                <c:pt idx="4">
                  <c:v>25905819</c:v>
                </c:pt>
                <c:pt idx="5">
                  <c:v>25793157</c:v>
                </c:pt>
                <c:pt idx="6">
                  <c:v>34428175</c:v>
                </c:pt>
                <c:pt idx="7">
                  <c:v>92710259</c:v>
                </c:pt>
                <c:pt idx="8">
                  <c:v>18342439</c:v>
                </c:pt>
                <c:pt idx="9">
                  <c:v>92710259</c:v>
                </c:pt>
                <c:pt idx="10">
                  <c:v>20879718</c:v>
                </c:pt>
                <c:pt idx="11">
                  <c:v>77309162</c:v>
                </c:pt>
                <c:pt idx="12">
                  <c:v>32227785</c:v>
                </c:pt>
              </c:numCache>
            </c:numRef>
          </c:val>
          <c:smooth val="1"/>
        </c:ser>
        <c:marker val="1"/>
        <c:axId val="119885184"/>
        <c:axId val="119886976"/>
      </c:lineChart>
      <c:catAx>
        <c:axId val="1198851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lang="en-US" sz="600">
                <a:solidFill>
                  <a:schemeClr val="tx1"/>
                </a:solidFill>
              </a:defRPr>
            </a:pPr>
            <a:endParaRPr lang="en-US"/>
          </a:p>
        </c:txPr>
        <c:crossAx val="119886976"/>
        <c:crosses val="autoZero"/>
        <c:auto val="1"/>
        <c:lblAlgn val="ctr"/>
        <c:lblOffset val="100"/>
        <c:tickLblSkip val="2"/>
      </c:catAx>
      <c:valAx>
        <c:axId val="119886976"/>
        <c:scaling>
          <c:orientation val="minMax"/>
          <c:max val="160000000"/>
        </c:scaling>
        <c:axPos val="l"/>
        <c:numFmt formatCode="0.0,," sourceLinked="1"/>
        <c:maj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11988518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4892145635503728"/>
          <c:y val="0.15537825743616793"/>
          <c:w val="0.66177232142860065"/>
          <c:h val="0.13146880758094281"/>
        </c:manualLayout>
      </c:layout>
      <c:txPr>
        <a:bodyPr/>
        <a:lstStyle/>
        <a:p>
          <a:pPr>
            <a:defRPr lang="en-US" sz="600"/>
          </a:pPr>
          <a:endParaRPr lang="en-US"/>
        </a:p>
      </c:txPr>
    </c:legend>
    <c:plotVisOnly val="1"/>
    <c:dispBlanksAs val="gap"/>
  </c:chart>
  <c:spPr>
    <a:solidFill>
      <a:schemeClr val="bg1"/>
    </a:solidFill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0.22552</cdr:x>
      <cdr:y>0.03034</cdr:y>
    </cdr:from>
    <cdr:to>
      <cdr:x>0.75676</cdr:x>
      <cdr:y>0.12125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94784" y="110116"/>
          <a:ext cx="1872217" cy="3299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0.20085</cdr:x>
      <cdr:y>0.10606</cdr:y>
    </cdr:from>
    <cdr:to>
      <cdr:x>0.72304</cdr:x>
      <cdr:y>0.20455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04875" y="400051"/>
          <a:ext cx="2352675" cy="371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AA10-A1B0-4589-B192-40045B3F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tijana.stankovic</cp:lastModifiedBy>
  <cp:revision>3</cp:revision>
  <cp:lastPrinted>2012-11-12T09:08:00Z</cp:lastPrinted>
  <dcterms:created xsi:type="dcterms:W3CDTF">2013-03-21T12:20:00Z</dcterms:created>
  <dcterms:modified xsi:type="dcterms:W3CDTF">2013-03-21T12:21:00Z</dcterms:modified>
</cp:coreProperties>
</file>