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0B" w:rsidRPr="00C72502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C72502">
        <w:rPr>
          <w:rFonts w:ascii="Cambria" w:hAnsi="Cambria" w:cs="Cambria"/>
          <w:noProof/>
          <w:lang w:val="en-U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3B5" w:rsidRPr="00C72502" w:rsidRDefault="001C43B5" w:rsidP="001C43B5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C72502">
        <w:rPr>
          <w:rFonts w:asciiTheme="minorHAnsi" w:hAnsiTheme="minorHAnsi" w:cstheme="minorHAnsi"/>
          <w:b/>
          <w:bCs/>
          <w:sz w:val="28"/>
          <w:szCs w:val="28"/>
          <w:lang w:val="en-GB"/>
        </w:rPr>
        <w:t>MONTENEGRO</w:t>
      </w:r>
    </w:p>
    <w:p w:rsidR="001C43B5" w:rsidRPr="00C72502" w:rsidRDefault="001C43B5" w:rsidP="001C43B5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C72502">
        <w:rPr>
          <w:rFonts w:asciiTheme="minorHAnsi" w:hAnsiTheme="minorHAnsi" w:cstheme="minorHAnsi"/>
          <w:b/>
          <w:bCs/>
          <w:sz w:val="28"/>
          <w:szCs w:val="28"/>
          <w:lang w:val="en-GB"/>
        </w:rPr>
        <w:t>MINISTRY OF FINANCE</w:t>
      </w:r>
    </w:p>
    <w:p w:rsidR="0082570B" w:rsidRPr="00C72502" w:rsidRDefault="001C43B5" w:rsidP="0002564B">
      <w:pPr>
        <w:pStyle w:val="NoSpacing"/>
        <w:jc w:val="center"/>
        <w:outlineLvl w:val="0"/>
        <w:rPr>
          <w:b/>
          <w:bCs/>
          <w:sz w:val="28"/>
          <w:szCs w:val="28"/>
          <w:lang w:val="en-GB"/>
        </w:rPr>
      </w:pPr>
      <w:r w:rsidRPr="00C72502">
        <w:rPr>
          <w:rFonts w:asciiTheme="minorHAnsi" w:hAnsiTheme="minorHAnsi" w:cstheme="minorHAnsi"/>
          <w:b/>
          <w:bCs/>
          <w:sz w:val="28"/>
          <w:szCs w:val="28"/>
          <w:lang w:val="en-GB"/>
        </w:rPr>
        <w:t>Department for Economic Policy and Development</w:t>
      </w:r>
    </w:p>
    <w:p w:rsidR="0082570B" w:rsidRPr="00C72502" w:rsidRDefault="0082570B" w:rsidP="00D61692">
      <w:pPr>
        <w:rPr>
          <w:rFonts w:cs="Calibri"/>
        </w:rPr>
      </w:pPr>
    </w:p>
    <w:p w:rsidR="0082570B" w:rsidRPr="00C72502" w:rsidRDefault="0082570B" w:rsidP="00D61692">
      <w:pPr>
        <w:jc w:val="center"/>
        <w:rPr>
          <w:rFonts w:cs="Calibri"/>
          <w:b/>
          <w:bCs/>
          <w:i/>
          <w:iCs/>
          <w:sz w:val="36"/>
          <w:szCs w:val="36"/>
        </w:rPr>
      </w:pPr>
    </w:p>
    <w:p w:rsidR="0082570B" w:rsidRPr="00C72502" w:rsidRDefault="0082570B" w:rsidP="000F756E">
      <w:pPr>
        <w:rPr>
          <w:rFonts w:cs="Calibri"/>
          <w:b/>
          <w:bCs/>
          <w:i/>
          <w:iCs/>
          <w:sz w:val="36"/>
          <w:szCs w:val="36"/>
        </w:rPr>
      </w:pPr>
    </w:p>
    <w:p w:rsidR="0082570B" w:rsidRPr="00C72502" w:rsidRDefault="0082570B" w:rsidP="000F756E">
      <w:pPr>
        <w:rPr>
          <w:rFonts w:cs="Calibri"/>
          <w:b/>
          <w:bCs/>
          <w:i/>
          <w:iCs/>
          <w:sz w:val="36"/>
          <w:szCs w:val="36"/>
        </w:rPr>
      </w:pPr>
    </w:p>
    <w:p w:rsidR="0082570B" w:rsidRPr="00C72502" w:rsidRDefault="001C43B5" w:rsidP="0002564B">
      <w:pPr>
        <w:spacing w:line="240" w:lineRule="auto"/>
        <w:jc w:val="center"/>
        <w:outlineLvl w:val="0"/>
        <w:rPr>
          <w:rFonts w:cs="Calibri"/>
          <w:b/>
          <w:bCs/>
          <w:iCs/>
          <w:sz w:val="52"/>
          <w:szCs w:val="52"/>
        </w:rPr>
      </w:pPr>
      <w:r w:rsidRPr="00C72502">
        <w:rPr>
          <w:rFonts w:cs="Calibri"/>
          <w:b/>
          <w:bCs/>
          <w:iCs/>
          <w:sz w:val="52"/>
          <w:szCs w:val="52"/>
        </w:rPr>
        <w:t>MONTHLY MACROECONOMIC INDICATORS</w:t>
      </w:r>
    </w:p>
    <w:p w:rsidR="0082570B" w:rsidRPr="00C72502" w:rsidRDefault="006D2B20" w:rsidP="0002564B">
      <w:pPr>
        <w:spacing w:line="240" w:lineRule="auto"/>
        <w:jc w:val="center"/>
        <w:outlineLvl w:val="0"/>
        <w:rPr>
          <w:rFonts w:cs="Calibri"/>
          <w:b/>
          <w:bCs/>
          <w:sz w:val="32"/>
          <w:szCs w:val="32"/>
        </w:rPr>
      </w:pPr>
      <w:r w:rsidRPr="00C72502">
        <w:rPr>
          <w:rFonts w:cs="Calibri"/>
          <w:b/>
          <w:bCs/>
          <w:sz w:val="32"/>
          <w:szCs w:val="32"/>
        </w:rPr>
        <w:t>Januar</w:t>
      </w:r>
      <w:r w:rsidR="001C43B5" w:rsidRPr="00C72502">
        <w:rPr>
          <w:rFonts w:cs="Calibri"/>
          <w:b/>
          <w:bCs/>
          <w:sz w:val="32"/>
          <w:szCs w:val="32"/>
        </w:rPr>
        <w:t>y</w:t>
      </w:r>
      <w:r w:rsidR="00C72502" w:rsidRPr="00C72502">
        <w:rPr>
          <w:rFonts w:cs="Calibri"/>
          <w:b/>
          <w:bCs/>
          <w:sz w:val="32"/>
          <w:szCs w:val="32"/>
        </w:rPr>
        <w:t xml:space="preserve"> </w:t>
      </w:r>
      <w:r w:rsidRPr="00C72502">
        <w:rPr>
          <w:rFonts w:cs="Calibri"/>
          <w:b/>
          <w:bCs/>
          <w:sz w:val="32"/>
          <w:szCs w:val="32"/>
        </w:rPr>
        <w:t>2014</w:t>
      </w:r>
    </w:p>
    <w:p w:rsidR="0082570B" w:rsidRPr="00C72502" w:rsidRDefault="0082570B" w:rsidP="00D61692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:rsidR="0082570B" w:rsidRPr="00C72502" w:rsidRDefault="00A423C3" w:rsidP="00D61692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C72502">
        <w:rPr>
          <w:rFonts w:cs="Calibr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2516065</wp:posOffset>
            </wp:positionH>
            <wp:positionV relativeFrom="paragraph">
              <wp:posOffset>38051</wp:posOffset>
            </wp:positionV>
            <wp:extent cx="5474384" cy="5022166"/>
            <wp:effectExtent l="19050" t="0" r="0" b="0"/>
            <wp:wrapNone/>
            <wp:docPr id="7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84" cy="5022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0B" w:rsidRPr="00C72502" w:rsidRDefault="00292DAC" w:rsidP="00D20CDA">
      <w:pPr>
        <w:spacing w:after="0" w:line="240" w:lineRule="auto"/>
        <w:rPr>
          <w:rFonts w:cs="Calibri"/>
          <w:bCs/>
          <w:sz w:val="28"/>
          <w:szCs w:val="28"/>
        </w:rPr>
      </w:pPr>
      <w: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margin-left:-11pt;margin-top:363pt;width:234.35pt;height:338pt;z-index:-251658752;visibility:visible;mso-position-horizontal-relative:margin;mso-position-vertical-relative:margin" wrapcoords="1315 -96 900 -48 -138 527 -138 20882 415 21361 415 21408 1108 21648 1246 21648 20285 21648 20423 21648 21254 21361 21738 20738 21738 1293 21669 527 20769 0 20285 -96 1315 -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" o:allowincell="f" adj="1739" fillcolor="#943634" strokecolor="#c00000" strokeweight="3pt">
            <v:shadow color="#730000" offset="1pt,1pt"/>
            <v:textbox inset="3.6pt,,3.6pt">
              <w:txbxContent>
                <w:p w:rsidR="00292DAC" w:rsidRPr="001C43B5" w:rsidRDefault="00292DAC" w:rsidP="001C43B5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1C43B5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KEY NOTES</w:t>
                  </w:r>
                </w:p>
                <w:p w:rsidR="00292DAC" w:rsidRPr="007D033B" w:rsidRDefault="00292DAC" w:rsidP="007D033B">
                  <w:pPr>
                    <w:pStyle w:val="NoSpacing"/>
                    <w:ind w:left="851"/>
                    <w:rPr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292DAC" w:rsidRPr="001C43B5" w:rsidRDefault="00292DAC" w:rsidP="007D033B">
                  <w:pPr>
                    <w:pStyle w:val="NoSpacing"/>
                    <w:numPr>
                      <w:ilvl w:val="0"/>
                      <w:numId w:val="19"/>
                    </w:numPr>
                    <w:ind w:left="851" w:hanging="425"/>
                    <w:rPr>
                      <w:bCs/>
                      <w:color w:val="000000"/>
                      <w:sz w:val="40"/>
                      <w:szCs w:val="40"/>
                      <w:lang w:val="en-GB"/>
                    </w:rPr>
                  </w:pPr>
                  <w:r w:rsidRPr="001C43B5">
                    <w:rPr>
                      <w:sz w:val="28"/>
                      <w:szCs w:val="20"/>
                      <w:lang w:val="en-GB"/>
                    </w:rPr>
                    <w:t>Industr</w:t>
                  </w:r>
                  <w:r>
                    <w:rPr>
                      <w:sz w:val="28"/>
                      <w:szCs w:val="20"/>
                      <w:lang w:val="en-GB"/>
                    </w:rPr>
                    <w:t xml:space="preserve">ial output recorded annual growth of </w:t>
                  </w:r>
                  <w:r w:rsidRPr="001C43B5">
                    <w:rPr>
                      <w:sz w:val="28"/>
                      <w:szCs w:val="20"/>
                      <w:lang w:val="en-GB"/>
                    </w:rPr>
                    <w:t>14</w:t>
                  </w:r>
                  <w:r>
                    <w:rPr>
                      <w:sz w:val="28"/>
                      <w:szCs w:val="20"/>
                      <w:lang w:val="en-GB"/>
                    </w:rPr>
                    <w:t>.</w:t>
                  </w:r>
                  <w:r w:rsidRPr="001C43B5">
                    <w:rPr>
                      <w:sz w:val="28"/>
                      <w:szCs w:val="20"/>
                      <w:lang w:val="en-GB"/>
                    </w:rPr>
                    <w:t>5%</w:t>
                  </w:r>
                  <w:r w:rsidRPr="00C72502">
                    <w:rPr>
                      <w:sz w:val="28"/>
                      <w:szCs w:val="20"/>
                      <w:lang w:val="en-GB"/>
                    </w:rPr>
                    <w:t xml:space="preserve"> </w:t>
                  </w:r>
                  <w:r>
                    <w:rPr>
                      <w:sz w:val="28"/>
                      <w:szCs w:val="20"/>
                      <w:lang w:val="en-GB"/>
                    </w:rPr>
                    <w:t>in December 2013.</w:t>
                  </w:r>
                </w:p>
                <w:p w:rsidR="00292DAC" w:rsidRPr="001C43B5" w:rsidRDefault="00292DAC" w:rsidP="007D033B">
                  <w:pPr>
                    <w:pStyle w:val="NoSpacing"/>
                    <w:numPr>
                      <w:ilvl w:val="0"/>
                      <w:numId w:val="19"/>
                    </w:numPr>
                    <w:ind w:left="851" w:hanging="425"/>
                    <w:rPr>
                      <w:sz w:val="28"/>
                      <w:szCs w:val="20"/>
                      <w:lang w:val="en-GB"/>
                    </w:rPr>
                  </w:pPr>
                  <w:r>
                    <w:rPr>
                      <w:sz w:val="28"/>
                      <w:szCs w:val="20"/>
                      <w:lang w:val="en-GB"/>
                    </w:rPr>
                    <w:t>Average inflation rate amounted to 2.2% in period January – December 2013</w:t>
                  </w:r>
                  <w:r w:rsidRPr="001C43B5">
                    <w:rPr>
                      <w:sz w:val="28"/>
                      <w:szCs w:val="20"/>
                      <w:lang w:val="en-GB"/>
                    </w:rPr>
                    <w:t>.</w:t>
                  </w:r>
                </w:p>
                <w:p w:rsidR="00292DAC" w:rsidRPr="001C43B5" w:rsidRDefault="00292DAC" w:rsidP="007D033B">
                  <w:pPr>
                    <w:pStyle w:val="NoSpacing"/>
                    <w:numPr>
                      <w:ilvl w:val="0"/>
                      <w:numId w:val="19"/>
                    </w:numPr>
                    <w:ind w:left="851" w:hanging="425"/>
                    <w:rPr>
                      <w:sz w:val="28"/>
                      <w:szCs w:val="20"/>
                      <w:lang w:val="en-GB"/>
                    </w:rPr>
                  </w:pPr>
                  <w:r>
                    <w:rPr>
                      <w:sz w:val="28"/>
                      <w:szCs w:val="20"/>
                      <w:lang w:val="en-GB"/>
                    </w:rPr>
                    <w:t xml:space="preserve">The unemployment rate was </w:t>
                  </w:r>
                  <w:r w:rsidRPr="001C43B5">
                    <w:rPr>
                      <w:sz w:val="28"/>
                      <w:szCs w:val="20"/>
                      <w:lang w:val="en-GB"/>
                    </w:rPr>
                    <w:t>14</w:t>
                  </w:r>
                  <w:r>
                    <w:rPr>
                      <w:sz w:val="28"/>
                      <w:szCs w:val="20"/>
                      <w:lang w:val="en-GB"/>
                    </w:rPr>
                    <w:t>.</w:t>
                  </w:r>
                  <w:r w:rsidRPr="001C43B5">
                    <w:rPr>
                      <w:sz w:val="28"/>
                      <w:szCs w:val="20"/>
                      <w:lang w:val="en-GB"/>
                    </w:rPr>
                    <w:t>9%</w:t>
                  </w:r>
                  <w:r>
                    <w:rPr>
                      <w:sz w:val="28"/>
                      <w:szCs w:val="20"/>
                      <w:lang w:val="en-GB"/>
                    </w:rPr>
                    <w:t xml:space="preserve"> in December 2013.</w:t>
                  </w:r>
                </w:p>
                <w:p w:rsidR="00292DAC" w:rsidRPr="001C43B5" w:rsidRDefault="00292DAC" w:rsidP="007D033B">
                  <w:pPr>
                    <w:pStyle w:val="NoSpacing"/>
                    <w:numPr>
                      <w:ilvl w:val="0"/>
                      <w:numId w:val="19"/>
                    </w:numPr>
                    <w:ind w:left="851" w:hanging="425"/>
                    <w:rPr>
                      <w:sz w:val="28"/>
                      <w:szCs w:val="20"/>
                      <w:lang w:val="en-GB"/>
                    </w:rPr>
                  </w:pPr>
                  <w:r>
                    <w:rPr>
                      <w:sz w:val="28"/>
                      <w:szCs w:val="20"/>
                      <w:lang w:val="en-GB"/>
                    </w:rPr>
                    <w:t xml:space="preserve">In 2013, visible trade declined y-o-y by </w:t>
                  </w:r>
                  <w:r w:rsidRPr="001C43B5">
                    <w:rPr>
                      <w:sz w:val="28"/>
                      <w:szCs w:val="20"/>
                      <w:lang w:val="en-GB"/>
                    </w:rPr>
                    <w:t>1</w:t>
                  </w:r>
                  <w:r>
                    <w:rPr>
                      <w:sz w:val="28"/>
                      <w:szCs w:val="20"/>
                      <w:lang w:val="en-GB"/>
                    </w:rPr>
                    <w:t>.</w:t>
                  </w:r>
                  <w:r w:rsidRPr="001C43B5">
                    <w:rPr>
                      <w:sz w:val="28"/>
                      <w:szCs w:val="20"/>
                      <w:lang w:val="en-GB"/>
                    </w:rPr>
                    <w:t>8%.</w:t>
                  </w:r>
                </w:p>
                <w:p w:rsidR="00292DAC" w:rsidRPr="001C43B5" w:rsidRDefault="00292DAC" w:rsidP="007D033B">
                  <w:pPr>
                    <w:pStyle w:val="NoSpacing"/>
                    <w:ind w:left="851" w:hanging="425"/>
                    <w:rPr>
                      <w:bCs/>
                      <w:color w:val="000000"/>
                      <w:sz w:val="28"/>
                      <w:szCs w:val="40"/>
                      <w:lang w:val="en-GB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C72502" w:rsidRDefault="0082570B" w:rsidP="00D20CDA">
      <w:pPr>
        <w:spacing w:after="0" w:line="240" w:lineRule="auto"/>
        <w:rPr>
          <w:rFonts w:cs="Calibri"/>
          <w:bCs/>
          <w:iCs/>
          <w:sz w:val="26"/>
          <w:szCs w:val="26"/>
        </w:rPr>
      </w:pPr>
    </w:p>
    <w:p w:rsidR="0082570B" w:rsidRPr="00C72502" w:rsidRDefault="0082570B" w:rsidP="00D61692">
      <w:pPr>
        <w:pStyle w:val="NoSpacing"/>
        <w:rPr>
          <w:bCs/>
          <w:iCs/>
          <w:sz w:val="26"/>
          <w:szCs w:val="26"/>
          <w:lang w:val="en-GB"/>
        </w:rPr>
      </w:pPr>
    </w:p>
    <w:p w:rsidR="0082570B" w:rsidRPr="00C72502" w:rsidRDefault="0082570B" w:rsidP="00694445">
      <w:pPr>
        <w:pStyle w:val="NoSpacing"/>
        <w:rPr>
          <w:bCs/>
          <w:sz w:val="28"/>
          <w:szCs w:val="20"/>
          <w:lang w:val="en-GB"/>
        </w:rPr>
      </w:pPr>
    </w:p>
    <w:p w:rsidR="0082570B" w:rsidRPr="00C72502" w:rsidRDefault="0082570B" w:rsidP="003324D9">
      <w:pPr>
        <w:pStyle w:val="NoSpacing"/>
        <w:rPr>
          <w:sz w:val="32"/>
          <w:lang w:val="en-GB"/>
        </w:rPr>
      </w:pPr>
    </w:p>
    <w:p w:rsidR="0082570B" w:rsidRPr="00C72502" w:rsidRDefault="0082570B" w:rsidP="003324D9">
      <w:pPr>
        <w:pStyle w:val="NoSpacing"/>
        <w:rPr>
          <w:sz w:val="32"/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lang w:val="en-GB"/>
        </w:rPr>
      </w:pPr>
    </w:p>
    <w:p w:rsidR="0082570B" w:rsidRPr="00C72502" w:rsidRDefault="0082570B" w:rsidP="003324D9">
      <w:pPr>
        <w:pStyle w:val="NoSpacing"/>
        <w:rPr>
          <w:b/>
          <w:bCs/>
          <w:color w:val="000000"/>
          <w:sz w:val="16"/>
          <w:szCs w:val="16"/>
          <w:lang w:val="en-GB"/>
        </w:rPr>
      </w:pPr>
    </w:p>
    <w:p w:rsidR="0082570B" w:rsidRPr="00C72502" w:rsidRDefault="0082570B" w:rsidP="003324D9">
      <w:pPr>
        <w:pStyle w:val="NoSpacing"/>
        <w:rPr>
          <w:b/>
          <w:bCs/>
          <w:color w:val="000000"/>
          <w:sz w:val="16"/>
          <w:szCs w:val="16"/>
          <w:lang w:val="en-GB"/>
        </w:rPr>
      </w:pPr>
    </w:p>
    <w:p w:rsidR="0082570B" w:rsidRPr="00C72502" w:rsidRDefault="00C72502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  <w:r w:rsidRPr="00C72502">
        <w:rPr>
          <w:b/>
          <w:bCs/>
          <w:color w:val="000000"/>
          <w:sz w:val="16"/>
          <w:szCs w:val="16"/>
          <w:lang w:val="en-GB"/>
        </w:rPr>
        <w:t>Authors’</w:t>
      </w:r>
      <w:r w:rsidR="001C43B5" w:rsidRPr="00C72502">
        <w:rPr>
          <w:b/>
          <w:bCs/>
          <w:color w:val="000000"/>
          <w:sz w:val="16"/>
          <w:szCs w:val="16"/>
          <w:lang w:val="en-GB"/>
        </w:rPr>
        <w:t xml:space="preserve"> team</w:t>
      </w:r>
      <w:r w:rsidR="0082570B" w:rsidRPr="00C72502">
        <w:rPr>
          <w:b/>
          <w:bCs/>
          <w:color w:val="000000"/>
          <w:sz w:val="16"/>
          <w:szCs w:val="16"/>
          <w:lang w:val="en-GB"/>
        </w:rPr>
        <w:t xml:space="preserve">: </w:t>
      </w:r>
      <w:r w:rsidR="00423EE9" w:rsidRPr="00C72502">
        <w:rPr>
          <w:bCs/>
          <w:color w:val="000000"/>
          <w:sz w:val="16"/>
          <w:szCs w:val="16"/>
          <w:lang w:val="en-GB"/>
        </w:rPr>
        <w:t xml:space="preserve">Radovan </w:t>
      </w:r>
      <w:proofErr w:type="spellStart"/>
      <w:r w:rsidR="00423EE9" w:rsidRPr="00C72502">
        <w:rPr>
          <w:bCs/>
          <w:color w:val="000000"/>
          <w:sz w:val="16"/>
          <w:szCs w:val="16"/>
          <w:lang w:val="en-GB"/>
        </w:rPr>
        <w:t>Živković</w:t>
      </w:r>
      <w:proofErr w:type="spellEnd"/>
      <w:r w:rsidR="002A2CED" w:rsidRPr="00C72502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2A2CED" w:rsidRPr="00C72502">
        <w:rPr>
          <w:bCs/>
          <w:color w:val="000000"/>
          <w:sz w:val="16"/>
          <w:szCs w:val="16"/>
          <w:lang w:val="en-GB"/>
        </w:rPr>
        <w:t>Radojka</w:t>
      </w:r>
      <w:proofErr w:type="spellEnd"/>
      <w:r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2A2CED" w:rsidRPr="00C72502">
        <w:rPr>
          <w:bCs/>
          <w:color w:val="000000"/>
          <w:sz w:val="16"/>
          <w:szCs w:val="16"/>
          <w:lang w:val="en-GB"/>
        </w:rPr>
        <w:t>Martinović</w:t>
      </w:r>
      <w:proofErr w:type="spellEnd"/>
      <w:r w:rsidR="00423EE9" w:rsidRPr="00C72502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423EE9" w:rsidRPr="00C72502">
        <w:rPr>
          <w:bCs/>
          <w:color w:val="000000"/>
          <w:sz w:val="16"/>
          <w:szCs w:val="16"/>
          <w:lang w:val="en-GB"/>
        </w:rPr>
        <w:t>Olja</w:t>
      </w:r>
      <w:proofErr w:type="spellEnd"/>
      <w:r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423EE9" w:rsidRPr="00C72502">
        <w:rPr>
          <w:bCs/>
          <w:color w:val="000000"/>
          <w:sz w:val="16"/>
          <w:szCs w:val="16"/>
          <w:lang w:val="en-GB"/>
        </w:rPr>
        <w:t>Tomanović</w:t>
      </w:r>
      <w:proofErr w:type="spellEnd"/>
      <w:r w:rsidR="00423EE9" w:rsidRPr="00C72502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423EE9" w:rsidRPr="00C72502">
        <w:rPr>
          <w:bCs/>
          <w:color w:val="000000"/>
          <w:sz w:val="16"/>
          <w:szCs w:val="16"/>
          <w:lang w:val="en-GB"/>
        </w:rPr>
        <w:t>Stanko</w:t>
      </w:r>
      <w:proofErr w:type="spellEnd"/>
      <w:r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423EE9" w:rsidRPr="00C72502">
        <w:rPr>
          <w:bCs/>
          <w:color w:val="000000"/>
          <w:sz w:val="16"/>
          <w:szCs w:val="16"/>
          <w:lang w:val="en-GB"/>
        </w:rPr>
        <w:t>Jeknić</w:t>
      </w:r>
      <w:proofErr w:type="spellEnd"/>
      <w:r w:rsidR="002A2CED" w:rsidRPr="00C72502">
        <w:rPr>
          <w:bCs/>
          <w:color w:val="000000"/>
          <w:sz w:val="16"/>
          <w:szCs w:val="16"/>
          <w:lang w:val="en-GB"/>
        </w:rPr>
        <w:t>,</w:t>
      </w:r>
      <w:r w:rsidR="00C646AC" w:rsidRPr="00C72502">
        <w:rPr>
          <w:bCs/>
          <w:color w:val="000000"/>
          <w:sz w:val="16"/>
          <w:szCs w:val="16"/>
          <w:lang w:val="en-GB"/>
        </w:rPr>
        <w:t xml:space="preserve"> Ivana </w:t>
      </w:r>
      <w:proofErr w:type="spellStart"/>
      <w:r w:rsidR="00C646AC" w:rsidRPr="00C72502">
        <w:rPr>
          <w:bCs/>
          <w:color w:val="000000"/>
          <w:sz w:val="16"/>
          <w:szCs w:val="16"/>
          <w:lang w:val="en-GB"/>
        </w:rPr>
        <w:t>Rašović</w:t>
      </w:r>
      <w:proofErr w:type="spellEnd"/>
      <w:r w:rsidR="004B5F63" w:rsidRPr="00C72502">
        <w:rPr>
          <w:bCs/>
          <w:color w:val="000000"/>
          <w:sz w:val="16"/>
          <w:szCs w:val="16"/>
          <w:lang w:val="en-GB"/>
        </w:rPr>
        <w:t xml:space="preserve">, Marija </w:t>
      </w:r>
      <w:proofErr w:type="spellStart"/>
      <w:r w:rsidR="004B5F63" w:rsidRPr="00C72502">
        <w:rPr>
          <w:bCs/>
          <w:color w:val="000000"/>
          <w:sz w:val="16"/>
          <w:szCs w:val="16"/>
          <w:lang w:val="en-GB"/>
        </w:rPr>
        <w:t>Novosel</w:t>
      </w:r>
      <w:proofErr w:type="spellEnd"/>
      <w:r w:rsidR="00A423C3" w:rsidRPr="00C72502">
        <w:rPr>
          <w:bCs/>
          <w:color w:val="000000"/>
          <w:sz w:val="16"/>
          <w:szCs w:val="16"/>
          <w:lang w:val="en-GB"/>
        </w:rPr>
        <w:t>,</w:t>
      </w:r>
      <w:r w:rsidR="002A2CED" w:rsidRPr="00C72502">
        <w:rPr>
          <w:bCs/>
          <w:color w:val="000000"/>
          <w:sz w:val="16"/>
          <w:szCs w:val="16"/>
          <w:lang w:val="en-GB"/>
        </w:rPr>
        <w:t xml:space="preserve"> Zdenka</w:t>
      </w:r>
      <w:r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2A2CED" w:rsidRPr="00C72502">
        <w:rPr>
          <w:bCs/>
          <w:color w:val="000000"/>
          <w:sz w:val="16"/>
          <w:szCs w:val="16"/>
          <w:lang w:val="en-GB"/>
        </w:rPr>
        <w:t>Dabović</w:t>
      </w:r>
      <w:proofErr w:type="spellEnd"/>
      <w:r w:rsidR="00A67F78" w:rsidRPr="00C72502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A67F78" w:rsidRPr="00C72502">
        <w:rPr>
          <w:bCs/>
          <w:color w:val="000000"/>
          <w:sz w:val="16"/>
          <w:szCs w:val="16"/>
          <w:lang w:val="en-GB"/>
        </w:rPr>
        <w:t>Milanka</w:t>
      </w:r>
      <w:proofErr w:type="spellEnd"/>
      <w:r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A67F78" w:rsidRPr="00C72502">
        <w:rPr>
          <w:bCs/>
          <w:color w:val="000000"/>
          <w:sz w:val="16"/>
          <w:szCs w:val="16"/>
          <w:lang w:val="en-GB"/>
        </w:rPr>
        <w:t>Jovanović</w:t>
      </w:r>
      <w:proofErr w:type="spellEnd"/>
    </w:p>
    <w:p w:rsidR="00A67F78" w:rsidRPr="00C72502" w:rsidRDefault="00A67F78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</w:p>
    <w:p w:rsidR="00A67F78" w:rsidRPr="00C72502" w:rsidRDefault="00A67F78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</w:p>
    <w:p w:rsidR="00A67F78" w:rsidRPr="00C72502" w:rsidRDefault="00A67F78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</w:p>
    <w:p w:rsidR="00A67F78" w:rsidRPr="00C72502" w:rsidRDefault="00A67F78" w:rsidP="00A423C3">
      <w:pPr>
        <w:pStyle w:val="NoSpacing"/>
        <w:outlineLvl w:val="0"/>
        <w:rPr>
          <w:lang w:val="en-GB"/>
        </w:rPr>
      </w:pPr>
    </w:p>
    <w:tbl>
      <w:tblPr>
        <w:tblpPr w:leftFromText="180" w:rightFromText="180" w:vertAnchor="text" w:tblpY="1"/>
        <w:tblOverlap w:val="never"/>
        <w:tblW w:w="10818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4"/>
        <w:gridCol w:w="3686"/>
        <w:gridCol w:w="78"/>
      </w:tblGrid>
      <w:tr w:rsidR="0082570B" w:rsidRPr="00C72502" w:rsidTr="00BA54D0">
        <w:trPr>
          <w:gridAfter w:val="1"/>
          <w:wAfter w:w="78" w:type="dxa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C72502" w:rsidRDefault="001C43B5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 w:rsidRPr="00C72502">
              <w:rPr>
                <w:b/>
                <w:bCs/>
                <w:sz w:val="20"/>
                <w:szCs w:val="20"/>
              </w:rPr>
              <w:lastRenderedPageBreak/>
              <w:t>International Environment</w:t>
            </w:r>
          </w:p>
        </w:tc>
        <w:tc>
          <w:tcPr>
            <w:tcW w:w="3686" w:type="dxa"/>
            <w:vMerge w:val="restart"/>
            <w:tcBorders>
              <w:bottom w:val="nil"/>
            </w:tcBorders>
            <w:vAlign w:val="center"/>
          </w:tcPr>
          <w:p w:rsidR="0082570B" w:rsidRPr="00C72502" w:rsidRDefault="00801DB8" w:rsidP="00773C6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72502">
              <w:rPr>
                <w:rFonts w:cs="Calibr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2123954" cy="1956122"/>
                  <wp:effectExtent l="0" t="0" r="0" b="0"/>
                  <wp:docPr id="3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82570B" w:rsidRPr="00C72502" w:rsidTr="000839D6">
        <w:trPr>
          <w:gridAfter w:val="1"/>
          <w:wAfter w:w="78" w:type="dxa"/>
          <w:trHeight w:hRule="exact" w:val="3651"/>
        </w:trPr>
        <w:tc>
          <w:tcPr>
            <w:tcW w:w="7054" w:type="dxa"/>
            <w:tcBorders>
              <w:top w:val="single" w:sz="4" w:space="0" w:color="auto"/>
            </w:tcBorders>
          </w:tcPr>
          <w:p w:rsidR="00754D46" w:rsidRPr="00C72502" w:rsidRDefault="001C43B5" w:rsidP="00292DAC">
            <w:pPr>
              <w:shd w:val="clear" w:color="auto" w:fill="FFFFFF"/>
              <w:spacing w:line="240" w:lineRule="auto"/>
              <w:jc w:val="both"/>
              <w:textAlignment w:val="top"/>
              <w:rPr>
                <w:sz w:val="20"/>
                <w:szCs w:val="20"/>
              </w:rPr>
            </w:pPr>
            <w:r w:rsidRPr="00C72502">
              <w:rPr>
                <w:sz w:val="20"/>
                <w:szCs w:val="20"/>
              </w:rPr>
              <w:t xml:space="preserve">The decline in quantitative easing </w:t>
            </w:r>
            <w:r w:rsidR="00A209F6" w:rsidRPr="00C72502">
              <w:rPr>
                <w:sz w:val="20"/>
                <w:szCs w:val="20"/>
              </w:rPr>
              <w:t>(QE3)</w:t>
            </w:r>
            <w:r w:rsidR="00C72502">
              <w:rPr>
                <w:sz w:val="20"/>
                <w:szCs w:val="20"/>
              </w:rPr>
              <w:t xml:space="preserve"> </w:t>
            </w:r>
            <w:r w:rsidRPr="00C72502">
              <w:rPr>
                <w:sz w:val="20"/>
                <w:szCs w:val="20"/>
              </w:rPr>
              <w:t xml:space="preserve">of the Fed by additional 10 billion U.S. dollars in January 2014 caused panic sale of </w:t>
            </w:r>
            <w:r w:rsidR="000D7C1B" w:rsidRPr="00C72502">
              <w:rPr>
                <w:sz w:val="20"/>
                <w:szCs w:val="20"/>
              </w:rPr>
              <w:t>domicile</w:t>
            </w:r>
            <w:r w:rsidRPr="00C72502">
              <w:rPr>
                <w:sz w:val="20"/>
                <w:szCs w:val="20"/>
              </w:rPr>
              <w:t xml:space="preserve"> currencies in emerging markets, and the crisis </w:t>
            </w:r>
            <w:r w:rsidR="00292DAC">
              <w:rPr>
                <w:sz w:val="20"/>
                <w:szCs w:val="20"/>
              </w:rPr>
              <w:t xml:space="preserve">largely </w:t>
            </w:r>
            <w:r w:rsidR="00941BFF" w:rsidRPr="00C72502">
              <w:rPr>
                <w:sz w:val="20"/>
                <w:szCs w:val="20"/>
              </w:rPr>
              <w:t xml:space="preserve">affected </w:t>
            </w:r>
            <w:r w:rsidRPr="00C72502">
              <w:rPr>
                <w:sz w:val="20"/>
                <w:szCs w:val="20"/>
              </w:rPr>
              <w:t>Arg</w:t>
            </w:r>
            <w:r w:rsidR="0046000A" w:rsidRPr="00C72502">
              <w:rPr>
                <w:sz w:val="20"/>
                <w:szCs w:val="20"/>
              </w:rPr>
              <w:t>entina, Turkey and South Africa</w:t>
            </w:r>
            <w:r w:rsidR="00A209F6" w:rsidRPr="00C72502">
              <w:rPr>
                <w:sz w:val="20"/>
                <w:szCs w:val="20"/>
              </w:rPr>
              <w:t>.</w:t>
            </w:r>
            <w:r w:rsidR="0046000A" w:rsidRPr="00C72502">
              <w:rPr>
                <w:sz w:val="20"/>
                <w:szCs w:val="20"/>
              </w:rPr>
              <w:t xml:space="preserve"> </w:t>
            </w:r>
            <w:r w:rsidR="00B54061" w:rsidRPr="00C72502">
              <w:rPr>
                <w:sz w:val="20"/>
                <w:szCs w:val="20"/>
              </w:rPr>
              <w:t xml:space="preserve">Turkey </w:t>
            </w:r>
            <w:r w:rsidR="00B54061">
              <w:rPr>
                <w:sz w:val="20"/>
                <w:szCs w:val="20"/>
              </w:rPr>
              <w:t>increased</w:t>
            </w:r>
            <w:r w:rsidR="00B54061" w:rsidRPr="00C72502">
              <w:rPr>
                <w:sz w:val="20"/>
                <w:szCs w:val="20"/>
              </w:rPr>
              <w:t xml:space="preserve"> basic interest rate from 4.5</w:t>
            </w:r>
            <w:r w:rsidR="00B54061">
              <w:rPr>
                <w:sz w:val="20"/>
                <w:szCs w:val="20"/>
              </w:rPr>
              <w:t>%</w:t>
            </w:r>
            <w:r w:rsidR="00B54061" w:rsidRPr="00C72502">
              <w:rPr>
                <w:sz w:val="20"/>
                <w:szCs w:val="20"/>
              </w:rPr>
              <w:t xml:space="preserve"> to 10% to defend sharp currency decline. </w:t>
            </w:r>
            <w:r w:rsidR="0046000A" w:rsidRPr="00C72502">
              <w:rPr>
                <w:sz w:val="20"/>
                <w:szCs w:val="20"/>
              </w:rPr>
              <w:t xml:space="preserve">Further development of </w:t>
            </w:r>
            <w:r w:rsidR="00292DAC">
              <w:rPr>
                <w:sz w:val="20"/>
                <w:szCs w:val="20"/>
              </w:rPr>
              <w:t xml:space="preserve">the </w:t>
            </w:r>
            <w:r w:rsidR="0046000A" w:rsidRPr="00C72502">
              <w:rPr>
                <w:sz w:val="20"/>
                <w:szCs w:val="20"/>
              </w:rPr>
              <w:t xml:space="preserve">situation is uncertain as the crisis was </w:t>
            </w:r>
            <w:r w:rsidR="00292DAC">
              <w:rPr>
                <w:sz w:val="20"/>
                <w:szCs w:val="20"/>
              </w:rPr>
              <w:t>intensified</w:t>
            </w:r>
            <w:r w:rsidR="0046000A" w:rsidRPr="00C72502">
              <w:rPr>
                <w:sz w:val="20"/>
                <w:szCs w:val="20"/>
              </w:rPr>
              <w:t xml:space="preserve"> by publishing of data on decline of Chinese sentiment for manufacturing </w:t>
            </w:r>
            <w:r w:rsidR="00941BFF" w:rsidRPr="00C72502">
              <w:rPr>
                <w:sz w:val="20"/>
                <w:szCs w:val="20"/>
              </w:rPr>
              <w:t>and potential threats from overstretched banking system</w:t>
            </w:r>
            <w:r w:rsidR="00A209F6" w:rsidRPr="00C72502">
              <w:rPr>
                <w:sz w:val="20"/>
                <w:szCs w:val="20"/>
              </w:rPr>
              <w:t>.</w:t>
            </w:r>
            <w:r w:rsidR="00C72502">
              <w:rPr>
                <w:sz w:val="20"/>
                <w:szCs w:val="20"/>
              </w:rPr>
              <w:t xml:space="preserve"> </w:t>
            </w:r>
            <w:r w:rsidR="000839D6">
              <w:rPr>
                <w:sz w:val="20"/>
                <w:szCs w:val="20"/>
              </w:rPr>
              <w:t xml:space="preserve">Major investors </w:t>
            </w:r>
            <w:r w:rsidR="00941BFF" w:rsidRPr="00C72502">
              <w:rPr>
                <w:sz w:val="20"/>
                <w:szCs w:val="20"/>
              </w:rPr>
              <w:t>withdraw money</w:t>
            </w:r>
            <w:r w:rsidR="00292DAC">
              <w:rPr>
                <w:sz w:val="20"/>
                <w:szCs w:val="20"/>
              </w:rPr>
              <w:t>, since</w:t>
            </w:r>
            <w:r w:rsidR="00941BFF" w:rsidRPr="00C72502">
              <w:rPr>
                <w:sz w:val="20"/>
                <w:szCs w:val="20"/>
              </w:rPr>
              <w:t xml:space="preserve"> higher interest rates attract investors in the USA</w:t>
            </w:r>
            <w:r w:rsidR="00B13932" w:rsidRPr="00C72502">
              <w:rPr>
                <w:sz w:val="20"/>
                <w:szCs w:val="20"/>
              </w:rPr>
              <w:t xml:space="preserve">. </w:t>
            </w:r>
            <w:r w:rsidR="00941BFF" w:rsidRPr="00C72502">
              <w:rPr>
                <w:sz w:val="20"/>
                <w:szCs w:val="20"/>
              </w:rPr>
              <w:t xml:space="preserve">Analysts agree that the most affected countries are those that have structural weaknesses in the form </w:t>
            </w:r>
            <w:r w:rsidR="000839D6">
              <w:rPr>
                <w:sz w:val="20"/>
                <w:szCs w:val="20"/>
              </w:rPr>
              <w:t>of high current account deficit</w:t>
            </w:r>
            <w:r w:rsidR="00941BFF" w:rsidRPr="00C72502">
              <w:rPr>
                <w:sz w:val="20"/>
                <w:szCs w:val="20"/>
              </w:rPr>
              <w:t xml:space="preserve"> thus becoming sensitive to withdrawal of foreign capital that serves as the source for deficit financing</w:t>
            </w:r>
            <w:r w:rsidR="00B13932" w:rsidRPr="00C72502">
              <w:rPr>
                <w:sz w:val="20"/>
                <w:szCs w:val="20"/>
              </w:rPr>
              <w:t>. (</w:t>
            </w:r>
            <w:r w:rsidR="00941BFF" w:rsidRPr="00C72502">
              <w:rPr>
                <w:sz w:val="20"/>
                <w:szCs w:val="20"/>
              </w:rPr>
              <w:t xml:space="preserve">Current account deficit in Turkey </w:t>
            </w:r>
            <w:r w:rsidR="000839D6" w:rsidRPr="00C72502">
              <w:rPr>
                <w:sz w:val="20"/>
                <w:szCs w:val="20"/>
              </w:rPr>
              <w:t xml:space="preserve">currently </w:t>
            </w:r>
            <w:r w:rsidR="00941BFF" w:rsidRPr="00C72502">
              <w:rPr>
                <w:sz w:val="20"/>
                <w:szCs w:val="20"/>
              </w:rPr>
              <w:t xml:space="preserve">amounts to </w:t>
            </w:r>
            <w:r w:rsidR="00B13932" w:rsidRPr="00C72502">
              <w:rPr>
                <w:sz w:val="20"/>
                <w:szCs w:val="20"/>
              </w:rPr>
              <w:t xml:space="preserve">7% </w:t>
            </w:r>
            <w:r w:rsidR="00941BFF" w:rsidRPr="00C72502">
              <w:rPr>
                <w:sz w:val="20"/>
                <w:szCs w:val="20"/>
              </w:rPr>
              <w:t>of G</w:t>
            </w:r>
            <w:r w:rsidR="00B13932" w:rsidRPr="00C72502">
              <w:rPr>
                <w:sz w:val="20"/>
                <w:szCs w:val="20"/>
              </w:rPr>
              <w:t>DP)</w:t>
            </w:r>
            <w:r w:rsidR="00292EC3" w:rsidRPr="00C72502">
              <w:rPr>
                <w:sz w:val="20"/>
                <w:szCs w:val="20"/>
              </w:rPr>
              <w:t>.</w:t>
            </w:r>
            <w:r w:rsidR="000839D6">
              <w:rPr>
                <w:sz w:val="20"/>
                <w:szCs w:val="20"/>
              </w:rPr>
              <w:t xml:space="preserve"> </w:t>
            </w:r>
            <w:r w:rsidR="00941BFF" w:rsidRPr="00C72502">
              <w:rPr>
                <w:sz w:val="20"/>
                <w:szCs w:val="20"/>
              </w:rPr>
              <w:t xml:space="preserve">Additional risk refers to political stability </w:t>
            </w:r>
            <w:r w:rsidR="0001459D" w:rsidRPr="00C72502">
              <w:rPr>
                <w:sz w:val="20"/>
                <w:szCs w:val="20"/>
              </w:rPr>
              <w:t>(Tur</w:t>
            </w:r>
            <w:r w:rsidR="00941BFF" w:rsidRPr="00C72502">
              <w:rPr>
                <w:sz w:val="20"/>
                <w:szCs w:val="20"/>
              </w:rPr>
              <w:t>key</w:t>
            </w:r>
            <w:r w:rsidR="0001459D" w:rsidRPr="00C72502">
              <w:rPr>
                <w:sz w:val="20"/>
                <w:szCs w:val="20"/>
              </w:rPr>
              <w:t>, Ukrain</w:t>
            </w:r>
            <w:r w:rsidR="00941BFF" w:rsidRPr="00C72502">
              <w:rPr>
                <w:sz w:val="20"/>
                <w:szCs w:val="20"/>
              </w:rPr>
              <w:t>e</w:t>
            </w:r>
            <w:r w:rsidR="0001459D" w:rsidRPr="00C72502">
              <w:rPr>
                <w:sz w:val="20"/>
                <w:szCs w:val="20"/>
              </w:rPr>
              <w:t>)</w:t>
            </w:r>
            <w:r w:rsidR="00941BFF" w:rsidRPr="00C72502">
              <w:rPr>
                <w:sz w:val="20"/>
                <w:szCs w:val="20"/>
              </w:rPr>
              <w:t xml:space="preserve">. Euro exchange rate amounted to </w:t>
            </w:r>
            <w:r w:rsidR="002F03B5" w:rsidRPr="00C72502">
              <w:rPr>
                <w:sz w:val="20"/>
                <w:szCs w:val="20"/>
              </w:rPr>
              <w:t>1</w:t>
            </w:r>
            <w:r w:rsidR="00941BFF" w:rsidRPr="00C72502">
              <w:rPr>
                <w:sz w:val="20"/>
                <w:szCs w:val="20"/>
              </w:rPr>
              <w:t>.</w:t>
            </w:r>
            <w:r w:rsidR="002F03B5" w:rsidRPr="00C72502">
              <w:rPr>
                <w:sz w:val="20"/>
                <w:szCs w:val="20"/>
              </w:rPr>
              <w:t>36USD</w:t>
            </w:r>
            <w:r w:rsidR="000839D6">
              <w:rPr>
                <w:sz w:val="20"/>
                <w:szCs w:val="20"/>
              </w:rPr>
              <w:t xml:space="preserve"> </w:t>
            </w:r>
            <w:r w:rsidR="00941BFF" w:rsidRPr="00C72502">
              <w:rPr>
                <w:sz w:val="20"/>
                <w:szCs w:val="20"/>
              </w:rPr>
              <w:t>at end-2013</w:t>
            </w:r>
            <w:r w:rsidR="002F03B5" w:rsidRPr="00C72502">
              <w:rPr>
                <w:sz w:val="20"/>
                <w:szCs w:val="20"/>
              </w:rPr>
              <w:t>,</w:t>
            </w:r>
            <w:r w:rsidR="00941BFF" w:rsidRPr="00C72502">
              <w:rPr>
                <w:sz w:val="20"/>
                <w:szCs w:val="20"/>
              </w:rPr>
              <w:t xml:space="preserve"> while the price of </w:t>
            </w:r>
            <w:r w:rsidR="000D7C1B" w:rsidRPr="00C72502">
              <w:rPr>
                <w:sz w:val="20"/>
                <w:szCs w:val="20"/>
              </w:rPr>
              <w:t>Brent</w:t>
            </w:r>
            <w:r w:rsidR="00941BFF" w:rsidRPr="00C72502">
              <w:rPr>
                <w:sz w:val="20"/>
                <w:szCs w:val="20"/>
              </w:rPr>
              <w:t xml:space="preserve"> oil was</w:t>
            </w:r>
            <w:r w:rsidR="000839D6">
              <w:rPr>
                <w:sz w:val="20"/>
                <w:szCs w:val="20"/>
              </w:rPr>
              <w:t xml:space="preserve"> </w:t>
            </w:r>
            <w:r w:rsidR="002F03B5" w:rsidRPr="00C72502">
              <w:rPr>
                <w:sz w:val="20"/>
                <w:szCs w:val="20"/>
              </w:rPr>
              <w:t>108 USD/</w:t>
            </w:r>
            <w:r w:rsidR="000D7C1B" w:rsidRPr="00C72502">
              <w:rPr>
                <w:sz w:val="20"/>
                <w:szCs w:val="20"/>
              </w:rPr>
              <w:t>barrel</w:t>
            </w:r>
            <w:r w:rsidR="002F03B5" w:rsidRPr="00C72502">
              <w:rPr>
                <w:sz w:val="20"/>
                <w:szCs w:val="20"/>
              </w:rPr>
              <w:t xml:space="preserve">. </w:t>
            </w:r>
            <w:r w:rsidR="000D7C1B" w:rsidRPr="00C72502">
              <w:rPr>
                <w:sz w:val="20"/>
                <w:szCs w:val="20"/>
              </w:rPr>
              <w:t>Aluminium</w:t>
            </w:r>
            <w:r w:rsidR="00941BFF" w:rsidRPr="00C72502">
              <w:rPr>
                <w:sz w:val="20"/>
                <w:szCs w:val="20"/>
              </w:rPr>
              <w:t xml:space="preserve"> price amounted to </w:t>
            </w:r>
            <w:r w:rsidR="00801DB8" w:rsidRPr="00C72502">
              <w:rPr>
                <w:sz w:val="20"/>
                <w:szCs w:val="20"/>
              </w:rPr>
              <w:t>1740</w:t>
            </w:r>
            <w:r w:rsidR="000839D6">
              <w:rPr>
                <w:sz w:val="20"/>
                <w:szCs w:val="20"/>
              </w:rPr>
              <w:t xml:space="preserve"> </w:t>
            </w:r>
            <w:r w:rsidR="00801DB8" w:rsidRPr="00C72502">
              <w:rPr>
                <w:sz w:val="20"/>
                <w:szCs w:val="20"/>
              </w:rPr>
              <w:t>USD/</w:t>
            </w:r>
            <w:r w:rsidR="000839D6">
              <w:rPr>
                <w:sz w:val="20"/>
                <w:szCs w:val="20"/>
              </w:rPr>
              <w:t>tonne</w:t>
            </w:r>
            <w:r w:rsidR="00941BFF" w:rsidRPr="00C72502">
              <w:rPr>
                <w:sz w:val="20"/>
                <w:szCs w:val="20"/>
              </w:rPr>
              <w:t xml:space="preserve"> at the end of the year</w:t>
            </w:r>
            <w:r w:rsidR="00801DB8" w:rsidRPr="00C7250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86" w:type="dxa"/>
            <w:vMerge/>
            <w:tcBorders>
              <w:top w:val="nil"/>
            </w:tcBorders>
            <w:vAlign w:val="center"/>
          </w:tcPr>
          <w:p w:rsidR="0082570B" w:rsidRPr="00C72502" w:rsidRDefault="0082570B" w:rsidP="003A5C77">
            <w:pPr>
              <w:spacing w:after="0" w:line="240" w:lineRule="auto"/>
              <w:ind w:left="34" w:hanging="34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2570B" w:rsidRPr="00C72502" w:rsidTr="00BA54D0">
        <w:trPr>
          <w:gridAfter w:val="1"/>
          <w:wAfter w:w="78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C72502" w:rsidRDefault="00941BFF" w:rsidP="00C31D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</w:rPr>
            </w:pPr>
            <w:r w:rsidRPr="00C72502">
              <w:rPr>
                <w:b/>
                <w:bCs/>
              </w:rPr>
              <w:t>Real Sector</w:t>
            </w:r>
          </w:p>
        </w:tc>
        <w:tc>
          <w:tcPr>
            <w:tcW w:w="3686" w:type="dxa"/>
            <w:vMerge w:val="restart"/>
            <w:vAlign w:val="center"/>
          </w:tcPr>
          <w:p w:rsidR="0082570B" w:rsidRPr="00C72502" w:rsidRDefault="00585F7B" w:rsidP="00C31D0E">
            <w:pPr>
              <w:spacing w:after="0" w:line="240" w:lineRule="auto"/>
              <w:ind w:left="-250"/>
              <w:jc w:val="center"/>
            </w:pPr>
            <w:r w:rsidRPr="00C72502">
              <w:rPr>
                <w:noProof/>
                <w:lang w:val="en-US"/>
              </w:rPr>
              <w:drawing>
                <wp:inline distT="0" distB="0" distL="0" distR="0">
                  <wp:extent cx="2232000" cy="2232000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D0106" w:rsidRPr="00C72502" w:rsidTr="00C90367">
        <w:trPr>
          <w:gridAfter w:val="1"/>
          <w:wAfter w:w="78" w:type="dxa"/>
          <w:trHeight w:hRule="exact" w:val="3572"/>
        </w:trPr>
        <w:tc>
          <w:tcPr>
            <w:tcW w:w="7054" w:type="dxa"/>
            <w:tcBorders>
              <w:top w:val="single" w:sz="4" w:space="0" w:color="auto"/>
            </w:tcBorders>
          </w:tcPr>
          <w:p w:rsidR="00585F7B" w:rsidRPr="00C72502" w:rsidRDefault="00115DBD" w:rsidP="00585F7B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  <w:r w:rsidR="00E104E0">
              <w:rPr>
                <w:rFonts w:cs="Calibri"/>
                <w:b/>
                <w:sz w:val="20"/>
                <w:szCs w:val="20"/>
              </w:rPr>
              <w:t>ndicators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104E0">
              <w:rPr>
                <w:rFonts w:cs="Calibri"/>
                <w:b/>
                <w:sz w:val="20"/>
                <w:szCs w:val="20"/>
              </w:rPr>
              <w:t>of r</w:t>
            </w:r>
            <w:r w:rsidR="00D64F1F" w:rsidRPr="00C72502">
              <w:rPr>
                <w:rFonts w:cs="Calibri"/>
                <w:b/>
                <w:sz w:val="20"/>
                <w:szCs w:val="20"/>
              </w:rPr>
              <w:t xml:space="preserve">eal sector </w:t>
            </w:r>
            <w:r w:rsidR="00E104E0">
              <w:rPr>
                <w:rFonts w:cs="Calibri"/>
                <w:b/>
                <w:sz w:val="20"/>
                <w:szCs w:val="20"/>
              </w:rPr>
              <w:t xml:space="preserve">activity </w:t>
            </w:r>
            <w:r w:rsidR="00D64F1F" w:rsidRPr="00C72502">
              <w:rPr>
                <w:rFonts w:cs="Calibri"/>
                <w:b/>
                <w:sz w:val="20"/>
                <w:szCs w:val="20"/>
              </w:rPr>
              <w:t xml:space="preserve">for December 2013 showed growth in most of the </w:t>
            </w:r>
            <w:r w:rsidR="009B4D6B">
              <w:rPr>
                <w:rFonts w:cs="Calibri"/>
                <w:b/>
                <w:sz w:val="20"/>
                <w:szCs w:val="20"/>
              </w:rPr>
              <w:t>sectors</w:t>
            </w:r>
            <w:r w:rsidR="00585F7B" w:rsidRPr="00C72502">
              <w:rPr>
                <w:rFonts w:cs="Calibri"/>
                <w:b/>
                <w:sz w:val="20"/>
                <w:szCs w:val="20"/>
              </w:rPr>
              <w:t xml:space="preserve">. </w:t>
            </w:r>
            <w:r w:rsidR="00585F7B" w:rsidRPr="00C72502">
              <w:rPr>
                <w:rFonts w:cs="Calibri"/>
                <w:sz w:val="20"/>
                <w:szCs w:val="20"/>
              </w:rPr>
              <w:t>Industri</w:t>
            </w:r>
            <w:r w:rsidR="00D64F1F" w:rsidRPr="00C72502">
              <w:rPr>
                <w:rFonts w:cs="Calibri"/>
                <w:sz w:val="20"/>
                <w:szCs w:val="20"/>
              </w:rPr>
              <w:t xml:space="preserve">al output showed annual growth </w:t>
            </w:r>
            <w:r w:rsidR="000839D6" w:rsidRPr="00C72502">
              <w:rPr>
                <w:rFonts w:cs="Calibri"/>
                <w:sz w:val="20"/>
                <w:szCs w:val="20"/>
              </w:rPr>
              <w:t>of 14.5%</w:t>
            </w:r>
            <w:r w:rsidR="000839D6">
              <w:rPr>
                <w:rFonts w:cs="Calibri"/>
                <w:sz w:val="20"/>
                <w:szCs w:val="20"/>
              </w:rPr>
              <w:t xml:space="preserve"> </w:t>
            </w:r>
            <w:r w:rsidR="00D64F1F" w:rsidRPr="00C72502">
              <w:rPr>
                <w:rFonts w:cs="Calibri"/>
                <w:sz w:val="20"/>
                <w:szCs w:val="20"/>
              </w:rPr>
              <w:t xml:space="preserve">in December 2013, while the growth from the beginning of the year amounted to </w:t>
            </w:r>
            <w:r w:rsidR="00585F7B" w:rsidRPr="00C72502">
              <w:rPr>
                <w:rFonts w:cs="Calibri"/>
                <w:sz w:val="20"/>
                <w:szCs w:val="20"/>
              </w:rPr>
              <w:t>10</w:t>
            </w:r>
            <w:r w:rsidR="00D64F1F" w:rsidRPr="00C72502">
              <w:rPr>
                <w:rFonts w:cs="Calibri"/>
                <w:sz w:val="20"/>
                <w:szCs w:val="20"/>
              </w:rPr>
              <w:t>.</w:t>
            </w:r>
            <w:r w:rsidR="00585F7B" w:rsidRPr="00C72502">
              <w:rPr>
                <w:rFonts w:cs="Calibri"/>
                <w:sz w:val="20"/>
                <w:szCs w:val="20"/>
              </w:rPr>
              <w:t xml:space="preserve">6%. </w:t>
            </w:r>
            <w:r w:rsidR="00D64F1F" w:rsidRPr="00C72502">
              <w:rPr>
                <w:rFonts w:cs="Calibri"/>
                <w:sz w:val="20"/>
                <w:szCs w:val="20"/>
              </w:rPr>
              <w:t>Electricity production of 40.8% largely affected the industrial output growth in 2013</w:t>
            </w:r>
            <w:r w:rsidR="00585F7B" w:rsidRPr="00C72502">
              <w:rPr>
                <w:rFonts w:cs="Calibri"/>
                <w:sz w:val="20"/>
                <w:szCs w:val="20"/>
              </w:rPr>
              <w:t xml:space="preserve">. </w:t>
            </w:r>
            <w:r w:rsidR="00D64F1F" w:rsidRPr="00C72502">
              <w:rPr>
                <w:rFonts w:cs="Calibri"/>
                <w:i/>
                <w:sz w:val="20"/>
                <w:szCs w:val="20"/>
              </w:rPr>
              <w:t xml:space="preserve">Mining and quarrying </w:t>
            </w:r>
            <w:r w:rsidR="00D64F1F" w:rsidRPr="00C72502">
              <w:rPr>
                <w:rFonts w:cs="Calibri"/>
                <w:sz w:val="20"/>
                <w:szCs w:val="20"/>
              </w:rPr>
              <w:t xml:space="preserve">sector grew by 38.0% in December, while decline of 1.4% has been recorded from the beginning of the year. </w:t>
            </w:r>
            <w:r w:rsidR="00D64F1F" w:rsidRPr="00C72502">
              <w:rPr>
                <w:rFonts w:cs="Calibri"/>
                <w:i/>
                <w:sz w:val="20"/>
                <w:szCs w:val="20"/>
              </w:rPr>
              <w:t xml:space="preserve">Manufacturing industry </w:t>
            </w:r>
            <w:r w:rsidR="00D64F1F" w:rsidRPr="00C72502">
              <w:rPr>
                <w:rFonts w:cs="Calibri"/>
                <w:sz w:val="20"/>
                <w:szCs w:val="20"/>
              </w:rPr>
              <w:t xml:space="preserve">rose </w:t>
            </w:r>
            <w:r w:rsidR="00695C83" w:rsidRPr="00C72502">
              <w:rPr>
                <w:rFonts w:cs="Calibri"/>
                <w:sz w:val="20"/>
                <w:szCs w:val="20"/>
              </w:rPr>
              <w:t xml:space="preserve">annually </w:t>
            </w:r>
            <w:r w:rsidR="00D64F1F" w:rsidRPr="00C72502">
              <w:rPr>
                <w:rFonts w:cs="Calibri"/>
                <w:sz w:val="20"/>
                <w:szCs w:val="20"/>
              </w:rPr>
              <w:t xml:space="preserve">by </w:t>
            </w:r>
            <w:r w:rsidR="00585F7B" w:rsidRPr="00C72502">
              <w:rPr>
                <w:rFonts w:cs="Calibri"/>
                <w:sz w:val="20"/>
                <w:szCs w:val="20"/>
              </w:rPr>
              <w:t>48</w:t>
            </w:r>
            <w:r w:rsidR="00695C83" w:rsidRPr="00C72502">
              <w:rPr>
                <w:rFonts w:cs="Calibri"/>
                <w:sz w:val="20"/>
                <w:szCs w:val="20"/>
              </w:rPr>
              <w:t>.</w:t>
            </w:r>
            <w:r w:rsidR="00585F7B" w:rsidRPr="00C72502">
              <w:rPr>
                <w:rFonts w:cs="Calibri"/>
                <w:sz w:val="20"/>
                <w:szCs w:val="20"/>
              </w:rPr>
              <w:t>8%</w:t>
            </w:r>
            <w:r w:rsidR="00695C83" w:rsidRPr="00C72502">
              <w:rPr>
                <w:rFonts w:cs="Calibri"/>
                <w:sz w:val="20"/>
                <w:szCs w:val="20"/>
              </w:rPr>
              <w:t xml:space="preserve"> in December due to the increase in </w:t>
            </w:r>
            <w:r w:rsidR="000839D6">
              <w:rPr>
                <w:rFonts w:cs="Calibri"/>
                <w:sz w:val="20"/>
                <w:szCs w:val="20"/>
              </w:rPr>
              <w:t xml:space="preserve">the </w:t>
            </w:r>
            <w:r w:rsidR="00695C83" w:rsidRPr="00C72502">
              <w:rPr>
                <w:rFonts w:cs="Calibri"/>
                <w:sz w:val="20"/>
                <w:szCs w:val="20"/>
              </w:rPr>
              <w:t>production of core pharmaceutical products (</w:t>
            </w:r>
            <w:r w:rsidR="00152409" w:rsidRPr="00C72502">
              <w:rPr>
                <w:rFonts w:cs="Calibri"/>
                <w:sz w:val="20"/>
                <w:szCs w:val="20"/>
              </w:rPr>
              <w:t>363</w:t>
            </w:r>
            <w:r w:rsidR="00695C83" w:rsidRPr="00C72502">
              <w:rPr>
                <w:rFonts w:cs="Calibri"/>
                <w:sz w:val="20"/>
                <w:szCs w:val="20"/>
              </w:rPr>
              <w:t>.</w:t>
            </w:r>
            <w:r w:rsidR="00152409" w:rsidRPr="00C72502">
              <w:rPr>
                <w:rFonts w:cs="Calibri"/>
                <w:sz w:val="20"/>
                <w:szCs w:val="20"/>
              </w:rPr>
              <w:t>8%</w:t>
            </w:r>
            <w:r w:rsidR="00695C83" w:rsidRPr="00C72502">
              <w:rPr>
                <w:rFonts w:cs="Calibri"/>
                <w:sz w:val="20"/>
                <w:szCs w:val="20"/>
              </w:rPr>
              <w:t xml:space="preserve">), while it declined by 5.0% in period January – December due to the decline in </w:t>
            </w:r>
            <w:r w:rsidR="000839D6">
              <w:rPr>
                <w:rFonts w:cs="Calibri"/>
                <w:sz w:val="20"/>
                <w:szCs w:val="20"/>
              </w:rPr>
              <w:t xml:space="preserve">the </w:t>
            </w:r>
            <w:r w:rsidR="00695C83" w:rsidRPr="00C72502">
              <w:rPr>
                <w:rFonts w:cs="Calibri"/>
                <w:sz w:val="20"/>
                <w:szCs w:val="20"/>
              </w:rPr>
              <w:t>production of core metals (</w:t>
            </w:r>
            <w:r w:rsidR="00152409" w:rsidRPr="00C72502">
              <w:rPr>
                <w:rFonts w:cs="Calibri"/>
                <w:sz w:val="20"/>
                <w:szCs w:val="20"/>
              </w:rPr>
              <w:t>37</w:t>
            </w:r>
            <w:r w:rsidR="00695C83" w:rsidRPr="00C72502">
              <w:rPr>
                <w:rFonts w:cs="Calibri"/>
                <w:sz w:val="20"/>
                <w:szCs w:val="20"/>
              </w:rPr>
              <w:t>.</w:t>
            </w:r>
            <w:r w:rsidR="00152409" w:rsidRPr="00C72502">
              <w:rPr>
                <w:rFonts w:cs="Calibri"/>
                <w:sz w:val="20"/>
                <w:szCs w:val="20"/>
              </w:rPr>
              <w:t>3</w:t>
            </w:r>
            <w:r w:rsidR="000839D6">
              <w:rPr>
                <w:rFonts w:cs="Calibri"/>
                <w:sz w:val="20"/>
                <w:szCs w:val="20"/>
              </w:rPr>
              <w:t>%</w:t>
            </w:r>
            <w:r w:rsidR="00695C83" w:rsidRPr="00C72502">
              <w:rPr>
                <w:rFonts w:cs="Calibri"/>
                <w:sz w:val="20"/>
                <w:szCs w:val="20"/>
              </w:rPr>
              <w:t>)</w:t>
            </w:r>
            <w:r w:rsidR="00585F7B" w:rsidRPr="00C72502">
              <w:rPr>
                <w:rFonts w:cs="Calibri"/>
                <w:sz w:val="20"/>
                <w:szCs w:val="20"/>
              </w:rPr>
              <w:t xml:space="preserve">. </w:t>
            </w:r>
            <w:r w:rsidR="00695C83" w:rsidRPr="00C72502">
              <w:rPr>
                <w:rFonts w:cs="Calibri"/>
                <w:sz w:val="20"/>
                <w:szCs w:val="20"/>
              </w:rPr>
              <w:t>Favourable weather conditions in December and good organi</w:t>
            </w:r>
            <w:r w:rsidR="000839D6">
              <w:rPr>
                <w:rFonts w:cs="Calibri"/>
                <w:sz w:val="20"/>
                <w:szCs w:val="20"/>
              </w:rPr>
              <w:t>s</w:t>
            </w:r>
            <w:r w:rsidR="00695C83" w:rsidRPr="00C72502">
              <w:rPr>
                <w:rFonts w:cs="Calibri"/>
                <w:sz w:val="20"/>
                <w:szCs w:val="20"/>
              </w:rPr>
              <w:t xml:space="preserve">ation of </w:t>
            </w:r>
            <w:r w:rsidR="000839D6">
              <w:rPr>
                <w:rFonts w:cs="Calibri"/>
                <w:sz w:val="20"/>
                <w:szCs w:val="20"/>
              </w:rPr>
              <w:t xml:space="preserve">the </w:t>
            </w:r>
            <w:r w:rsidR="00695C83" w:rsidRPr="00C72502">
              <w:rPr>
                <w:rFonts w:cs="Calibri"/>
                <w:sz w:val="20"/>
                <w:szCs w:val="20"/>
              </w:rPr>
              <w:t>New Year’s Eve affected the increase in tourist arrivals and overnights (</w:t>
            </w:r>
            <w:r w:rsidR="00585F7B" w:rsidRPr="00C72502">
              <w:rPr>
                <w:rFonts w:cs="Calibri"/>
                <w:sz w:val="20"/>
                <w:szCs w:val="20"/>
              </w:rPr>
              <w:t>13</w:t>
            </w:r>
            <w:r w:rsidR="00695C83" w:rsidRPr="00C72502">
              <w:rPr>
                <w:rFonts w:cs="Calibri"/>
                <w:sz w:val="20"/>
                <w:szCs w:val="20"/>
              </w:rPr>
              <w:t>.</w:t>
            </w:r>
            <w:r w:rsidR="00585F7B" w:rsidRPr="00C72502">
              <w:rPr>
                <w:rFonts w:cs="Calibri"/>
                <w:sz w:val="20"/>
                <w:szCs w:val="20"/>
              </w:rPr>
              <w:t>8</w:t>
            </w:r>
            <w:r w:rsidR="00695C83" w:rsidRPr="00C72502">
              <w:rPr>
                <w:rFonts w:cs="Calibri"/>
                <w:sz w:val="20"/>
                <w:szCs w:val="20"/>
              </w:rPr>
              <w:t xml:space="preserve">% and </w:t>
            </w:r>
            <w:r w:rsidR="00585F7B" w:rsidRPr="00C72502">
              <w:rPr>
                <w:rFonts w:cs="Calibri"/>
                <w:sz w:val="20"/>
                <w:szCs w:val="20"/>
              </w:rPr>
              <w:t>22</w:t>
            </w:r>
            <w:r w:rsidR="00695C83" w:rsidRPr="00C72502">
              <w:rPr>
                <w:rFonts w:cs="Calibri"/>
                <w:sz w:val="20"/>
                <w:szCs w:val="20"/>
              </w:rPr>
              <w:t>.</w:t>
            </w:r>
            <w:r w:rsidR="00585F7B" w:rsidRPr="00C72502">
              <w:rPr>
                <w:rFonts w:cs="Calibri"/>
                <w:sz w:val="20"/>
                <w:szCs w:val="20"/>
              </w:rPr>
              <w:t>1</w:t>
            </w:r>
            <w:r w:rsidR="00C479E2" w:rsidRPr="00C72502">
              <w:rPr>
                <w:rFonts w:cs="Calibri"/>
                <w:sz w:val="20"/>
                <w:szCs w:val="20"/>
              </w:rPr>
              <w:t>%</w:t>
            </w:r>
            <w:r w:rsidR="00695C83" w:rsidRPr="00C72502">
              <w:rPr>
                <w:rFonts w:cs="Calibri"/>
                <w:sz w:val="20"/>
                <w:szCs w:val="20"/>
              </w:rPr>
              <w:t xml:space="preserve">, respectively). Retail </w:t>
            </w:r>
            <w:r w:rsidR="000839D6">
              <w:rPr>
                <w:rFonts w:cs="Calibri"/>
                <w:sz w:val="20"/>
                <w:szCs w:val="20"/>
              </w:rPr>
              <w:t xml:space="preserve">trade </w:t>
            </w:r>
            <w:r w:rsidR="00695C83" w:rsidRPr="00C72502">
              <w:rPr>
                <w:rFonts w:cs="Calibri"/>
                <w:sz w:val="20"/>
                <w:szCs w:val="20"/>
              </w:rPr>
              <w:t xml:space="preserve">turnover grew annually by 14.2% in December 2013 (current prices), while compared to November of the current year, it rose by </w:t>
            </w:r>
            <w:r w:rsidR="00585F7B" w:rsidRPr="00C72502">
              <w:rPr>
                <w:rFonts w:cs="Calibri"/>
                <w:sz w:val="20"/>
                <w:szCs w:val="20"/>
              </w:rPr>
              <w:t>10</w:t>
            </w:r>
            <w:r w:rsidR="00695C83" w:rsidRPr="00C72502">
              <w:rPr>
                <w:rFonts w:cs="Calibri"/>
                <w:sz w:val="20"/>
                <w:szCs w:val="20"/>
              </w:rPr>
              <w:t>.1% as a result of increased turnover for this month (New Year’s holidays</w:t>
            </w:r>
            <w:r w:rsidR="00585F7B" w:rsidRPr="00C72502">
              <w:rPr>
                <w:rFonts w:cs="Calibri"/>
                <w:sz w:val="20"/>
                <w:szCs w:val="20"/>
              </w:rPr>
              <w:t xml:space="preserve">). </w:t>
            </w:r>
          </w:p>
          <w:p w:rsidR="007D0106" w:rsidRPr="00C72502" w:rsidRDefault="007D0106" w:rsidP="00A209F6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7D0106" w:rsidRPr="00C72502" w:rsidRDefault="007D0106" w:rsidP="00C31D0E">
            <w:pPr>
              <w:spacing w:after="119" w:line="240" w:lineRule="auto"/>
              <w:jc w:val="center"/>
            </w:pPr>
          </w:p>
        </w:tc>
      </w:tr>
      <w:tr w:rsidR="007D0106" w:rsidRPr="00C72502" w:rsidTr="00BA54D0">
        <w:trPr>
          <w:gridAfter w:val="1"/>
          <w:wAfter w:w="78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7D0106" w:rsidRPr="00C72502" w:rsidRDefault="00695C83" w:rsidP="007D0106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725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Prices</w:t>
            </w:r>
          </w:p>
        </w:tc>
        <w:tc>
          <w:tcPr>
            <w:tcW w:w="3686" w:type="dxa"/>
            <w:vMerge w:val="restart"/>
            <w:vAlign w:val="center"/>
          </w:tcPr>
          <w:p w:rsidR="007D0106" w:rsidRPr="00C72502" w:rsidRDefault="001824C2" w:rsidP="006705D4">
            <w:pPr>
              <w:spacing w:after="0" w:line="240" w:lineRule="auto"/>
              <w:ind w:left="-250"/>
              <w:jc w:val="center"/>
              <w:rPr>
                <w:b/>
                <w:sz w:val="20"/>
                <w:szCs w:val="20"/>
              </w:rPr>
            </w:pPr>
            <w:r w:rsidRPr="00C72502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283195" cy="2058803"/>
                  <wp:effectExtent l="0" t="0" r="3175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D0106" w:rsidRPr="00C72502" w:rsidTr="001E29C8">
        <w:trPr>
          <w:gridAfter w:val="1"/>
          <w:wAfter w:w="78" w:type="dxa"/>
          <w:trHeight w:hRule="exact" w:val="3655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1824C2" w:rsidRPr="00C72502" w:rsidRDefault="00695C83" w:rsidP="001824C2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2502">
              <w:rPr>
                <w:rFonts w:asciiTheme="minorHAnsi" w:hAnsiTheme="minorHAnsi" w:cs="Arial-ItalicMT"/>
                <w:b/>
                <w:iCs/>
                <w:sz w:val="20"/>
                <w:szCs w:val="20"/>
              </w:rPr>
              <w:t xml:space="preserve">Prices in December remained unchanged compared to the previous month, while the annual inflation was </w:t>
            </w:r>
            <w:r w:rsidR="001824C2" w:rsidRPr="00C72502">
              <w:rPr>
                <w:rFonts w:asciiTheme="minorHAnsi" w:hAnsiTheme="minorHAnsi" w:cs="Arial-ItalicMT"/>
                <w:b/>
                <w:iCs/>
                <w:sz w:val="20"/>
                <w:szCs w:val="20"/>
              </w:rPr>
              <w:t>0</w:t>
            </w:r>
            <w:r w:rsidRPr="00C72502">
              <w:rPr>
                <w:rFonts w:asciiTheme="minorHAnsi" w:hAnsiTheme="minorHAnsi" w:cs="Arial-ItalicMT"/>
                <w:b/>
                <w:iCs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 w:cs="Arial-ItalicMT"/>
                <w:b/>
                <w:iCs/>
                <w:sz w:val="20"/>
                <w:szCs w:val="20"/>
              </w:rPr>
              <w:t xml:space="preserve">3%. </w:t>
            </w:r>
            <w:r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Annual inflation rate, measured by the consumer price index, amounted to </w:t>
            </w:r>
            <w:r w:rsidR="001824C2" w:rsidRPr="00C72502">
              <w:rPr>
                <w:rFonts w:asciiTheme="minorHAnsi" w:hAnsiTheme="minorHAnsi" w:cs="Calibri"/>
                <w:sz w:val="20"/>
                <w:szCs w:val="20"/>
              </w:rPr>
              <w:t>0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 w:cs="Calibri"/>
                <w:sz w:val="20"/>
                <w:szCs w:val="20"/>
              </w:rPr>
              <w:t>3%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 in December 2013, while annual inflation rate in period January – December was 2.</w:t>
            </w:r>
            <w:r w:rsidR="001824C2" w:rsidRPr="00C72502">
              <w:rPr>
                <w:rFonts w:asciiTheme="minorHAnsi" w:hAnsiTheme="minorHAnsi" w:cs="Calibri"/>
                <w:sz w:val="20"/>
                <w:szCs w:val="20"/>
              </w:rPr>
              <w:t xml:space="preserve">2%. 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During 2013, inflation was under </w:t>
            </w:r>
            <w:r w:rsidR="000839D6">
              <w:rPr>
                <w:rFonts w:asciiTheme="minorHAnsi" w:hAnsiTheme="minorHAnsi" w:cs="Calibri"/>
                <w:sz w:val="20"/>
                <w:szCs w:val="20"/>
              </w:rPr>
              <w:t xml:space="preserve">the </w:t>
            </w:r>
            <w:r w:rsidR="000839D6" w:rsidRPr="00C72502">
              <w:rPr>
                <w:rFonts w:asciiTheme="minorHAnsi" w:hAnsiTheme="minorHAnsi" w:cs="Calibri"/>
                <w:sz w:val="20"/>
                <w:szCs w:val="20"/>
              </w:rPr>
              <w:t>main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 influence of trend in food prices, increase in electricity prices and tobacco </w:t>
            </w:r>
            <w:r w:rsidR="000839D6" w:rsidRPr="00C72502">
              <w:rPr>
                <w:rFonts w:asciiTheme="minorHAnsi" w:hAnsiTheme="minorHAnsi" w:cs="Calibri"/>
                <w:sz w:val="20"/>
                <w:szCs w:val="20"/>
              </w:rPr>
              <w:t>exci</w:t>
            </w:r>
            <w:r w:rsidR="000839D6">
              <w:rPr>
                <w:rFonts w:asciiTheme="minorHAnsi" w:hAnsiTheme="minorHAnsi" w:cs="Calibri"/>
                <w:sz w:val="20"/>
                <w:szCs w:val="20"/>
              </w:rPr>
              <w:t>s</w:t>
            </w:r>
            <w:r w:rsidR="000839D6" w:rsidRPr="00C72502">
              <w:rPr>
                <w:rFonts w:asciiTheme="minorHAnsi" w:hAnsiTheme="minorHAnsi" w:cs="Calibri"/>
                <w:sz w:val="20"/>
                <w:szCs w:val="20"/>
              </w:rPr>
              <w:t>es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>, increase o</w:t>
            </w:r>
            <w:r w:rsidR="000839D6">
              <w:rPr>
                <w:rFonts w:asciiTheme="minorHAnsi" w:hAnsiTheme="minorHAnsi" w:cs="Calibri"/>
                <w:sz w:val="20"/>
                <w:szCs w:val="20"/>
              </w:rPr>
              <w:t>f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 bas</w:t>
            </w:r>
            <w:r w:rsidR="000839D6">
              <w:rPr>
                <w:rFonts w:asciiTheme="minorHAnsi" w:hAnsiTheme="minorHAnsi" w:cs="Calibri"/>
                <w:sz w:val="20"/>
                <w:szCs w:val="20"/>
              </w:rPr>
              <w:t>ic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 VAT rate from 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>17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>%</w:t>
            </w:r>
            <w:r w:rsidR="000839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>19%,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 xml:space="preserve"> and decline in fuel prices and accommodation services. The largest influence on annual inflation (decline from </w:t>
            </w:r>
            <w:r w:rsidR="004F17AF" w:rsidRPr="00C72502">
              <w:rPr>
                <w:rFonts w:asciiTheme="minorHAnsi" w:hAnsiTheme="minorHAnsi"/>
                <w:sz w:val="20"/>
                <w:szCs w:val="20"/>
              </w:rPr>
              <w:t>4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>.</w:t>
            </w:r>
            <w:r w:rsidR="004F17AF" w:rsidRPr="00C72502">
              <w:rPr>
                <w:rFonts w:asciiTheme="minorHAnsi" w:hAnsiTheme="minorHAnsi"/>
                <w:sz w:val="20"/>
                <w:szCs w:val="20"/>
              </w:rPr>
              <w:t xml:space="preserve">2% 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 xml:space="preserve">in January to 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>0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>.</w:t>
            </w:r>
            <w:r w:rsidR="008722E4" w:rsidRPr="00C72502">
              <w:rPr>
                <w:rFonts w:asciiTheme="minorHAnsi" w:hAnsiTheme="minorHAnsi"/>
                <w:sz w:val="20"/>
                <w:szCs w:val="20"/>
              </w:rPr>
              <w:t xml:space="preserve">3% 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 xml:space="preserve">in December) had prices </w:t>
            </w:r>
            <w:r w:rsidR="000839D6">
              <w:rPr>
                <w:rFonts w:asciiTheme="minorHAnsi" w:hAnsiTheme="minorHAnsi"/>
                <w:sz w:val="20"/>
                <w:szCs w:val="20"/>
              </w:rPr>
              <w:t>from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 xml:space="preserve"> the group “food and non-alcoholic beverages” which accounted for 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>38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 xml:space="preserve">6% 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 xml:space="preserve">of the household consumption (annual growth </w:t>
            </w:r>
            <w:r w:rsidR="000839D6">
              <w:rPr>
                <w:rFonts w:asciiTheme="minorHAnsi" w:hAnsiTheme="minorHAnsi"/>
                <w:sz w:val="20"/>
                <w:szCs w:val="20"/>
              </w:rPr>
              <w:t>from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>7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 xml:space="preserve">1% 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 xml:space="preserve">in January to 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>-0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 xml:space="preserve">6% </w:t>
            </w:r>
            <w:r w:rsidRPr="00C72502">
              <w:rPr>
                <w:rFonts w:asciiTheme="minorHAnsi" w:hAnsiTheme="minorHAnsi"/>
                <w:sz w:val="20"/>
                <w:szCs w:val="20"/>
              </w:rPr>
              <w:t>in December</w:t>
            </w:r>
            <w:r w:rsidR="001824C2" w:rsidRPr="00C72502">
              <w:rPr>
                <w:rFonts w:asciiTheme="minorHAnsi" w:hAnsiTheme="minorHAnsi"/>
                <w:sz w:val="20"/>
                <w:szCs w:val="20"/>
              </w:rPr>
              <w:t>).</w:t>
            </w:r>
            <w:r w:rsidR="000839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Annual inflation rate, measured by </w:t>
            </w:r>
            <w:r w:rsidR="000839D6">
              <w:rPr>
                <w:rFonts w:asciiTheme="minorHAnsi" w:hAnsiTheme="minorHAnsi" w:cs="Calibri"/>
                <w:sz w:val="20"/>
                <w:szCs w:val="20"/>
              </w:rPr>
              <w:t xml:space="preserve">the 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>harmoni</w:t>
            </w:r>
            <w:r w:rsidR="009B4D6B">
              <w:rPr>
                <w:rFonts w:asciiTheme="minorHAnsi" w:hAnsiTheme="minorHAnsi" w:cs="Calibri"/>
                <w:sz w:val="20"/>
                <w:szCs w:val="20"/>
              </w:rPr>
              <w:t>s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ed CPI, amounted to </w:t>
            </w:r>
            <w:r w:rsidR="001824C2" w:rsidRPr="00C72502">
              <w:rPr>
                <w:rFonts w:asciiTheme="minorHAnsi" w:hAnsiTheme="minorHAnsi" w:cs="Calibri"/>
                <w:sz w:val="20"/>
                <w:szCs w:val="20"/>
              </w:rPr>
              <w:t>0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 w:cs="Calibri"/>
                <w:sz w:val="20"/>
                <w:szCs w:val="20"/>
              </w:rPr>
              <w:t>4%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 in December, while monthly deflation of </w:t>
            </w:r>
            <w:r w:rsidR="001824C2" w:rsidRPr="00C72502">
              <w:rPr>
                <w:rFonts w:asciiTheme="minorHAnsi" w:hAnsiTheme="minorHAnsi" w:cs="Calibri"/>
                <w:sz w:val="20"/>
                <w:szCs w:val="20"/>
              </w:rPr>
              <w:t>-0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 w:cs="Calibri"/>
                <w:sz w:val="20"/>
                <w:szCs w:val="20"/>
              </w:rPr>
              <w:t>1%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 was recorded </w:t>
            </w:r>
            <w:r w:rsidR="00722A8B">
              <w:rPr>
                <w:rFonts w:asciiTheme="minorHAnsi" w:hAnsiTheme="minorHAnsi" w:cs="Calibri"/>
                <w:sz w:val="20"/>
                <w:szCs w:val="20"/>
              </w:rPr>
              <w:t>compared to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 November</w:t>
            </w:r>
            <w:r w:rsidR="001824C2" w:rsidRPr="00C72502">
              <w:rPr>
                <w:rFonts w:asciiTheme="minorHAnsi" w:hAnsiTheme="minorHAnsi" w:cs="Calibri"/>
                <w:sz w:val="20"/>
                <w:szCs w:val="20"/>
              </w:rPr>
              <w:t xml:space="preserve">. </w:t>
            </w:r>
            <w:r w:rsidR="00A11B66" w:rsidRPr="00C72502">
              <w:rPr>
                <w:rFonts w:asciiTheme="minorHAnsi" w:hAnsiTheme="minorHAnsi" w:cs="Calibri"/>
                <w:sz w:val="20"/>
                <w:szCs w:val="20"/>
              </w:rPr>
              <w:t>Producers’</w:t>
            </w:r>
            <w:r w:rsidRPr="00C72502">
              <w:rPr>
                <w:rFonts w:asciiTheme="minorHAnsi" w:hAnsiTheme="minorHAnsi" w:cs="Calibri"/>
                <w:sz w:val="20"/>
                <w:szCs w:val="20"/>
              </w:rPr>
              <w:t xml:space="preserve"> prices recorded annual decline of </w:t>
            </w:r>
            <w:r w:rsidR="001824C2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0</w:t>
            </w:r>
            <w:r w:rsidR="00703DE7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6%</w:t>
            </w:r>
            <w:r w:rsidR="00703DE7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in December 2013, which primarily resulted from the decline in prices in manufacturing industry of </w:t>
            </w:r>
            <w:r w:rsidR="001824C2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1</w:t>
            </w:r>
            <w:r w:rsidR="00703DE7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1% (</w:t>
            </w:r>
            <w:r w:rsidR="00703DE7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food products</w:t>
            </w:r>
            <w:r w:rsidR="001824C2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-0</w:t>
            </w:r>
            <w:r w:rsidR="00703DE7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7%;</w:t>
            </w:r>
            <w:r w:rsidR="0068334D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="00703DE7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beverages</w:t>
            </w:r>
            <w:r w:rsidR="001824C2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-6</w:t>
            </w:r>
            <w:r w:rsidR="00703DE7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.</w:t>
            </w:r>
            <w:r w:rsidR="001824C2" w:rsidRPr="00C72502">
              <w:rPr>
                <w:rFonts w:asciiTheme="minorHAnsi" w:hAnsiTheme="minorHAnsi" w:cs="Arial-ItalicMT"/>
                <w:iCs/>
                <w:sz w:val="20"/>
                <w:szCs w:val="20"/>
              </w:rPr>
              <w:t>9%).</w:t>
            </w:r>
          </w:p>
          <w:p w:rsidR="00124730" w:rsidRPr="00C72502" w:rsidRDefault="00124730" w:rsidP="00E074E4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C72502" w:rsidRDefault="007D0106" w:rsidP="007D0106">
            <w:pPr>
              <w:pStyle w:val="NoSpacing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22784" w:rsidRPr="00C72502" w:rsidTr="0068334D">
        <w:trPr>
          <w:gridAfter w:val="1"/>
          <w:wAfter w:w="78" w:type="dxa"/>
          <w:trHeight w:hRule="exact" w:val="3851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6304FD" w:rsidRPr="00C72502" w:rsidRDefault="00703DE7" w:rsidP="003A03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 w:rsidRPr="00C72502">
              <w:rPr>
                <w:b/>
                <w:bCs/>
                <w:sz w:val="20"/>
                <w:szCs w:val="20"/>
              </w:rPr>
              <w:lastRenderedPageBreak/>
              <w:t>Employment and Wages</w:t>
            </w:r>
          </w:p>
          <w:p w:rsidR="00D34827" w:rsidRPr="00C72502" w:rsidRDefault="00703DE7" w:rsidP="00DB51B0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RPr="00C72502">
              <w:rPr>
                <w:sz w:val="20"/>
                <w:szCs w:val="20"/>
              </w:rPr>
              <w:t>Average number of employe</w:t>
            </w:r>
            <w:r w:rsidR="0068334D">
              <w:rPr>
                <w:sz w:val="20"/>
                <w:szCs w:val="20"/>
              </w:rPr>
              <w:t>d</w:t>
            </w:r>
            <w:r w:rsidRPr="00C72502">
              <w:rPr>
                <w:sz w:val="20"/>
                <w:szCs w:val="20"/>
              </w:rPr>
              <w:t xml:space="preserve"> amounted to </w:t>
            </w:r>
            <w:r w:rsidR="00D34827" w:rsidRPr="00C72502">
              <w:rPr>
                <w:sz w:val="20"/>
                <w:szCs w:val="20"/>
              </w:rPr>
              <w:t>167</w:t>
            </w:r>
            <w:r w:rsidR="0001459D" w:rsidRPr="00C72502">
              <w:rPr>
                <w:sz w:val="20"/>
                <w:szCs w:val="20"/>
              </w:rPr>
              <w:t>.</w:t>
            </w:r>
            <w:r w:rsidR="00D34827" w:rsidRPr="00C72502">
              <w:rPr>
                <w:sz w:val="20"/>
                <w:szCs w:val="20"/>
              </w:rPr>
              <w:t>173</w:t>
            </w:r>
            <w:r w:rsidRPr="00C72502">
              <w:rPr>
                <w:sz w:val="20"/>
                <w:szCs w:val="20"/>
              </w:rPr>
              <w:t xml:space="preserve"> in December 2013, while the number of unemployed amounted to </w:t>
            </w:r>
            <w:r w:rsidR="00D34827" w:rsidRPr="00C72502">
              <w:rPr>
                <w:sz w:val="20"/>
                <w:szCs w:val="20"/>
              </w:rPr>
              <w:t>34</w:t>
            </w:r>
            <w:r w:rsidR="0001459D" w:rsidRPr="00C72502">
              <w:rPr>
                <w:sz w:val="20"/>
                <w:szCs w:val="20"/>
              </w:rPr>
              <w:t>.</w:t>
            </w:r>
            <w:r w:rsidR="00D34827" w:rsidRPr="00C72502">
              <w:rPr>
                <w:sz w:val="20"/>
                <w:szCs w:val="20"/>
              </w:rPr>
              <w:t xml:space="preserve">514. </w:t>
            </w:r>
            <w:r w:rsidRPr="00C72502">
              <w:rPr>
                <w:b/>
                <w:sz w:val="20"/>
                <w:szCs w:val="20"/>
              </w:rPr>
              <w:t xml:space="preserve">Employment declined y-o-y by </w:t>
            </w:r>
            <w:r w:rsidR="00D34827" w:rsidRPr="00C72502">
              <w:rPr>
                <w:b/>
                <w:sz w:val="20"/>
                <w:szCs w:val="20"/>
              </w:rPr>
              <w:t>0</w:t>
            </w:r>
            <w:r w:rsidRPr="00C72502">
              <w:rPr>
                <w:b/>
                <w:sz w:val="20"/>
                <w:szCs w:val="20"/>
              </w:rPr>
              <w:t>.</w:t>
            </w:r>
            <w:r w:rsidR="00D34827" w:rsidRPr="00C72502">
              <w:rPr>
                <w:b/>
                <w:sz w:val="20"/>
                <w:szCs w:val="20"/>
              </w:rPr>
              <w:t>2%</w:t>
            </w:r>
            <w:r w:rsidR="0068334D">
              <w:rPr>
                <w:b/>
                <w:sz w:val="20"/>
                <w:szCs w:val="20"/>
              </w:rPr>
              <w:t xml:space="preserve"> in December 2013</w:t>
            </w:r>
            <w:r w:rsidRPr="00C72502">
              <w:rPr>
                <w:b/>
                <w:sz w:val="20"/>
                <w:szCs w:val="20"/>
              </w:rPr>
              <w:t xml:space="preserve">, while the number of unemployed increased by </w:t>
            </w:r>
            <w:r w:rsidR="00D34827" w:rsidRPr="00C72502">
              <w:rPr>
                <w:b/>
                <w:sz w:val="20"/>
                <w:szCs w:val="20"/>
              </w:rPr>
              <w:t>10</w:t>
            </w:r>
            <w:r w:rsidRPr="00C72502">
              <w:rPr>
                <w:b/>
                <w:sz w:val="20"/>
                <w:szCs w:val="20"/>
              </w:rPr>
              <w:t>.</w:t>
            </w:r>
            <w:r w:rsidR="00D34827" w:rsidRPr="00C72502">
              <w:rPr>
                <w:b/>
                <w:sz w:val="20"/>
                <w:szCs w:val="20"/>
              </w:rPr>
              <w:t>5%.</w:t>
            </w:r>
            <w:r w:rsidR="0068334D">
              <w:rPr>
                <w:b/>
                <w:sz w:val="20"/>
                <w:szCs w:val="20"/>
              </w:rPr>
              <w:t xml:space="preserve"> </w:t>
            </w:r>
            <w:r w:rsidRPr="00C72502">
              <w:rPr>
                <w:sz w:val="20"/>
                <w:szCs w:val="20"/>
              </w:rPr>
              <w:t xml:space="preserve">Observed annually, employment increased by </w:t>
            </w:r>
            <w:r w:rsidR="00D34827" w:rsidRPr="00C72502">
              <w:rPr>
                <w:sz w:val="20"/>
                <w:szCs w:val="20"/>
              </w:rPr>
              <w:t>3</w:t>
            </w:r>
            <w:r w:rsidRPr="00C72502">
              <w:rPr>
                <w:sz w:val="20"/>
                <w:szCs w:val="20"/>
              </w:rPr>
              <w:t>.</w:t>
            </w:r>
            <w:r w:rsidR="00D34827" w:rsidRPr="00C72502">
              <w:rPr>
                <w:sz w:val="20"/>
                <w:szCs w:val="20"/>
              </w:rPr>
              <w:t>0%, a</w:t>
            </w:r>
            <w:r w:rsidRPr="00C72502">
              <w:rPr>
                <w:sz w:val="20"/>
                <w:szCs w:val="20"/>
              </w:rPr>
              <w:t xml:space="preserve">nd unemployment declined by </w:t>
            </w:r>
            <w:r w:rsidR="00D34827" w:rsidRPr="00C72502">
              <w:rPr>
                <w:sz w:val="20"/>
                <w:szCs w:val="20"/>
              </w:rPr>
              <w:t>6</w:t>
            </w:r>
            <w:r w:rsidRPr="00C72502">
              <w:rPr>
                <w:sz w:val="20"/>
                <w:szCs w:val="20"/>
              </w:rPr>
              <w:t>.</w:t>
            </w:r>
            <w:r w:rsidR="00D34827" w:rsidRPr="00C72502">
              <w:rPr>
                <w:sz w:val="20"/>
                <w:szCs w:val="20"/>
              </w:rPr>
              <w:t xml:space="preserve">6%. </w:t>
            </w:r>
            <w:r w:rsidRPr="00C72502">
              <w:rPr>
                <w:b/>
                <w:sz w:val="20"/>
                <w:szCs w:val="20"/>
              </w:rPr>
              <w:t xml:space="preserve">Unemployment rate amounted to </w:t>
            </w:r>
            <w:r w:rsidR="00D34827" w:rsidRPr="00C72502">
              <w:rPr>
                <w:b/>
                <w:sz w:val="20"/>
                <w:szCs w:val="20"/>
              </w:rPr>
              <w:t>14</w:t>
            </w:r>
            <w:r w:rsidRPr="00C72502">
              <w:rPr>
                <w:b/>
                <w:sz w:val="20"/>
                <w:szCs w:val="20"/>
              </w:rPr>
              <w:t>.</w:t>
            </w:r>
            <w:r w:rsidR="00D34827" w:rsidRPr="00C72502">
              <w:rPr>
                <w:b/>
                <w:sz w:val="20"/>
                <w:szCs w:val="20"/>
              </w:rPr>
              <w:t>9%</w:t>
            </w:r>
            <w:r w:rsidRPr="00C72502">
              <w:rPr>
                <w:b/>
                <w:sz w:val="20"/>
                <w:szCs w:val="20"/>
              </w:rPr>
              <w:t xml:space="preserve"> in December 2013, </w:t>
            </w:r>
            <w:r w:rsidRPr="00C72502">
              <w:rPr>
                <w:sz w:val="20"/>
                <w:szCs w:val="20"/>
              </w:rPr>
              <w:t xml:space="preserve">and it increased in comparison to December 2012 when it was </w:t>
            </w:r>
            <w:r w:rsidR="00D34827" w:rsidRPr="00C72502">
              <w:rPr>
                <w:sz w:val="20"/>
                <w:szCs w:val="20"/>
              </w:rPr>
              <w:t>13</w:t>
            </w:r>
            <w:r w:rsidRPr="00C72502">
              <w:rPr>
                <w:sz w:val="20"/>
                <w:szCs w:val="20"/>
              </w:rPr>
              <w:t>.</w:t>
            </w:r>
            <w:r w:rsidR="00D34827" w:rsidRPr="00C72502">
              <w:rPr>
                <w:sz w:val="20"/>
                <w:szCs w:val="20"/>
              </w:rPr>
              <w:t xml:space="preserve">5%. </w:t>
            </w:r>
            <w:r w:rsidRPr="00C72502">
              <w:rPr>
                <w:sz w:val="20"/>
                <w:szCs w:val="20"/>
              </w:rPr>
              <w:t xml:space="preserve">In December 2013, </w:t>
            </w:r>
            <w:r w:rsidR="00722A8B">
              <w:rPr>
                <w:sz w:val="20"/>
                <w:szCs w:val="20"/>
              </w:rPr>
              <w:t xml:space="preserve">the </w:t>
            </w:r>
            <w:r w:rsidRPr="00C72502">
              <w:rPr>
                <w:sz w:val="20"/>
                <w:szCs w:val="20"/>
              </w:rPr>
              <w:t xml:space="preserve">number of employment applicants increased </w:t>
            </w:r>
            <w:r w:rsidR="0068334D">
              <w:rPr>
                <w:sz w:val="20"/>
                <w:szCs w:val="20"/>
              </w:rPr>
              <w:t xml:space="preserve">significantly </w:t>
            </w:r>
            <w:r w:rsidR="00D34827" w:rsidRPr="00C72502">
              <w:rPr>
                <w:sz w:val="20"/>
                <w:szCs w:val="20"/>
              </w:rPr>
              <w:t>(19</w:t>
            </w:r>
            <w:r w:rsidRPr="00C72502">
              <w:rPr>
                <w:sz w:val="20"/>
                <w:szCs w:val="20"/>
              </w:rPr>
              <w:t>.</w:t>
            </w:r>
            <w:r w:rsidR="00D34827" w:rsidRPr="00C72502">
              <w:rPr>
                <w:sz w:val="20"/>
                <w:szCs w:val="20"/>
              </w:rPr>
              <w:t xml:space="preserve">1% </w:t>
            </w:r>
            <w:r w:rsidR="0068334D">
              <w:rPr>
                <w:sz w:val="20"/>
                <w:szCs w:val="20"/>
              </w:rPr>
              <w:t>compared to 2012</w:t>
            </w:r>
            <w:r w:rsidR="008722E4" w:rsidRPr="00C72502">
              <w:rPr>
                <w:sz w:val="20"/>
                <w:szCs w:val="20"/>
              </w:rPr>
              <w:t>),</w:t>
            </w:r>
            <w:r w:rsidR="0068334D">
              <w:rPr>
                <w:sz w:val="20"/>
                <w:szCs w:val="20"/>
              </w:rPr>
              <w:t xml:space="preserve"> </w:t>
            </w:r>
            <w:r w:rsidRPr="00C72502">
              <w:rPr>
                <w:sz w:val="20"/>
                <w:szCs w:val="20"/>
              </w:rPr>
              <w:t xml:space="preserve">of which the largest number was with university degree. Some </w:t>
            </w:r>
            <w:r w:rsidR="00D542E5" w:rsidRPr="00C72502">
              <w:rPr>
                <w:sz w:val="20"/>
                <w:szCs w:val="20"/>
              </w:rPr>
              <w:t>1</w:t>
            </w:r>
            <w:r w:rsidR="008722E4" w:rsidRPr="00C72502">
              <w:rPr>
                <w:sz w:val="20"/>
                <w:szCs w:val="20"/>
              </w:rPr>
              <w:t>.</w:t>
            </w:r>
            <w:r w:rsidR="00D542E5" w:rsidRPr="00C72502">
              <w:rPr>
                <w:sz w:val="20"/>
                <w:szCs w:val="20"/>
              </w:rPr>
              <w:t xml:space="preserve">357 </w:t>
            </w:r>
            <w:r w:rsidRPr="00C72502">
              <w:rPr>
                <w:sz w:val="20"/>
                <w:szCs w:val="20"/>
              </w:rPr>
              <w:t xml:space="preserve">working permits was issued to foreigners in December 2013, which represented a y-o-y decline of </w:t>
            </w:r>
            <w:r w:rsidR="00D542E5" w:rsidRPr="00C72502">
              <w:rPr>
                <w:sz w:val="20"/>
                <w:szCs w:val="20"/>
              </w:rPr>
              <w:t>6</w:t>
            </w:r>
            <w:r w:rsidRPr="00C72502">
              <w:rPr>
                <w:sz w:val="20"/>
                <w:szCs w:val="20"/>
              </w:rPr>
              <w:t>.7</w:t>
            </w:r>
            <w:r w:rsidR="0068334D">
              <w:rPr>
                <w:sz w:val="20"/>
                <w:szCs w:val="20"/>
              </w:rPr>
              <w:t>%</w:t>
            </w:r>
            <w:r w:rsidRPr="00C72502">
              <w:rPr>
                <w:sz w:val="20"/>
                <w:szCs w:val="20"/>
              </w:rPr>
              <w:t xml:space="preserve">. Similarly, the number of vacancies increased by </w:t>
            </w:r>
            <w:r w:rsidR="005436E2" w:rsidRPr="00C72502">
              <w:rPr>
                <w:sz w:val="20"/>
                <w:szCs w:val="20"/>
              </w:rPr>
              <w:t>1</w:t>
            </w:r>
            <w:r w:rsidR="008722E4" w:rsidRPr="00C72502">
              <w:rPr>
                <w:sz w:val="20"/>
                <w:szCs w:val="20"/>
              </w:rPr>
              <w:t>.</w:t>
            </w:r>
            <w:r w:rsidR="005436E2" w:rsidRPr="00C72502">
              <w:rPr>
                <w:sz w:val="20"/>
                <w:szCs w:val="20"/>
              </w:rPr>
              <w:t>130</w:t>
            </w:r>
            <w:r w:rsidRPr="00C72502">
              <w:rPr>
                <w:sz w:val="20"/>
                <w:szCs w:val="20"/>
              </w:rPr>
              <w:t xml:space="preserve"> or</w:t>
            </w:r>
            <w:r w:rsidR="00784E09" w:rsidRPr="00C72502">
              <w:rPr>
                <w:sz w:val="20"/>
                <w:szCs w:val="20"/>
              </w:rPr>
              <w:t xml:space="preserve"> 16</w:t>
            </w:r>
            <w:r w:rsidRPr="00C72502">
              <w:rPr>
                <w:sz w:val="20"/>
                <w:szCs w:val="20"/>
              </w:rPr>
              <w:t>.</w:t>
            </w:r>
            <w:r w:rsidR="00784E09" w:rsidRPr="00C72502">
              <w:rPr>
                <w:sz w:val="20"/>
                <w:szCs w:val="20"/>
              </w:rPr>
              <w:t>3%</w:t>
            </w:r>
            <w:r w:rsidR="00D542E5" w:rsidRPr="00C72502">
              <w:rPr>
                <w:sz w:val="20"/>
                <w:szCs w:val="20"/>
              </w:rPr>
              <w:t xml:space="preserve">. </w:t>
            </w:r>
            <w:r w:rsidR="00B70315" w:rsidRPr="00C72502">
              <w:rPr>
                <w:sz w:val="20"/>
                <w:szCs w:val="20"/>
              </w:rPr>
              <w:t>Average</w:t>
            </w:r>
            <w:r w:rsidRPr="00C72502">
              <w:rPr>
                <w:sz w:val="20"/>
                <w:szCs w:val="20"/>
              </w:rPr>
              <w:t xml:space="preserve"> wage amounted to 738</w:t>
            </w:r>
            <w:r w:rsidR="0068334D">
              <w:rPr>
                <w:sz w:val="20"/>
                <w:szCs w:val="20"/>
              </w:rPr>
              <w:t xml:space="preserve"> </w:t>
            </w:r>
            <w:r w:rsidRPr="00C72502">
              <w:rPr>
                <w:sz w:val="20"/>
                <w:szCs w:val="20"/>
              </w:rPr>
              <w:t>€</w:t>
            </w:r>
            <w:r w:rsidR="0068334D">
              <w:rPr>
                <w:sz w:val="20"/>
                <w:szCs w:val="20"/>
              </w:rPr>
              <w:t xml:space="preserve"> </w:t>
            </w:r>
            <w:r w:rsidR="0068334D" w:rsidRPr="00C72502">
              <w:rPr>
                <w:sz w:val="20"/>
                <w:szCs w:val="20"/>
              </w:rPr>
              <w:t>in December 2013</w:t>
            </w:r>
            <w:r w:rsidRPr="00C72502">
              <w:rPr>
                <w:sz w:val="20"/>
                <w:szCs w:val="20"/>
              </w:rPr>
              <w:t>, which represented a y</w:t>
            </w:r>
            <w:r w:rsidR="00B70315" w:rsidRPr="00C72502">
              <w:rPr>
                <w:sz w:val="20"/>
                <w:szCs w:val="20"/>
              </w:rPr>
              <w:t>-</w:t>
            </w:r>
            <w:r w:rsidRPr="00C72502">
              <w:rPr>
                <w:sz w:val="20"/>
                <w:szCs w:val="20"/>
              </w:rPr>
              <w:t xml:space="preserve">o-y decline of </w:t>
            </w:r>
            <w:r w:rsidR="007D033B" w:rsidRPr="00C72502">
              <w:rPr>
                <w:sz w:val="20"/>
                <w:szCs w:val="20"/>
              </w:rPr>
              <w:t>2</w:t>
            </w:r>
            <w:r w:rsidRPr="00C72502">
              <w:rPr>
                <w:sz w:val="20"/>
                <w:szCs w:val="20"/>
              </w:rPr>
              <w:t>.</w:t>
            </w:r>
            <w:r w:rsidR="007D033B" w:rsidRPr="00C72502">
              <w:rPr>
                <w:sz w:val="20"/>
                <w:szCs w:val="20"/>
              </w:rPr>
              <w:t>2%</w:t>
            </w:r>
            <w:r w:rsidRPr="00C72502">
              <w:rPr>
                <w:sz w:val="20"/>
                <w:szCs w:val="20"/>
              </w:rPr>
              <w:t xml:space="preserve">, and an increase of </w:t>
            </w:r>
            <w:r w:rsidR="00D34827" w:rsidRPr="00C72502">
              <w:rPr>
                <w:sz w:val="20"/>
                <w:szCs w:val="20"/>
              </w:rPr>
              <w:t>1</w:t>
            </w:r>
            <w:r w:rsidRPr="00C72502">
              <w:rPr>
                <w:sz w:val="20"/>
                <w:szCs w:val="20"/>
              </w:rPr>
              <w:t>.</w:t>
            </w:r>
            <w:r w:rsidR="00D34827" w:rsidRPr="00C72502">
              <w:rPr>
                <w:sz w:val="20"/>
                <w:szCs w:val="20"/>
              </w:rPr>
              <w:t>5%</w:t>
            </w:r>
            <w:r w:rsidRPr="00C72502">
              <w:rPr>
                <w:sz w:val="20"/>
                <w:szCs w:val="20"/>
              </w:rPr>
              <w:t xml:space="preserve"> </w:t>
            </w:r>
            <w:r w:rsidR="008317E4">
              <w:rPr>
                <w:sz w:val="20"/>
                <w:szCs w:val="20"/>
              </w:rPr>
              <w:t>compared to</w:t>
            </w:r>
            <w:r w:rsidRPr="00C72502">
              <w:rPr>
                <w:sz w:val="20"/>
                <w:szCs w:val="20"/>
              </w:rPr>
              <w:t xml:space="preserve"> November </w:t>
            </w:r>
            <w:r w:rsidR="00D34827" w:rsidRPr="00C72502">
              <w:rPr>
                <w:sz w:val="20"/>
                <w:szCs w:val="20"/>
              </w:rPr>
              <w:t xml:space="preserve">2013. </w:t>
            </w:r>
            <w:r w:rsidR="00B70315" w:rsidRPr="00C72502">
              <w:rPr>
                <w:b/>
                <w:sz w:val="20"/>
                <w:szCs w:val="20"/>
              </w:rPr>
              <w:t>Average ne</w:t>
            </w:r>
            <w:r w:rsidR="0068334D">
              <w:rPr>
                <w:b/>
                <w:sz w:val="20"/>
                <w:szCs w:val="20"/>
              </w:rPr>
              <w:t>t</w:t>
            </w:r>
            <w:r w:rsidR="00B70315" w:rsidRPr="00C72502">
              <w:rPr>
                <w:b/>
                <w:sz w:val="20"/>
                <w:szCs w:val="20"/>
              </w:rPr>
              <w:t xml:space="preserve"> wage was </w:t>
            </w:r>
            <w:r w:rsidR="00D34827" w:rsidRPr="00C72502">
              <w:rPr>
                <w:b/>
                <w:sz w:val="20"/>
                <w:szCs w:val="20"/>
              </w:rPr>
              <w:t>486</w:t>
            </w:r>
            <w:r w:rsidR="0068334D">
              <w:rPr>
                <w:b/>
                <w:sz w:val="20"/>
                <w:szCs w:val="20"/>
              </w:rPr>
              <w:t xml:space="preserve"> </w:t>
            </w:r>
            <w:r w:rsidR="00D34827" w:rsidRPr="00C72502">
              <w:rPr>
                <w:b/>
                <w:sz w:val="20"/>
                <w:szCs w:val="20"/>
              </w:rPr>
              <w:t xml:space="preserve">€ </w:t>
            </w:r>
            <w:r w:rsidR="00B70315" w:rsidRPr="00C72502">
              <w:rPr>
                <w:b/>
                <w:sz w:val="20"/>
                <w:szCs w:val="20"/>
              </w:rPr>
              <w:t xml:space="preserve">in December </w:t>
            </w:r>
            <w:r w:rsidR="00D34827" w:rsidRPr="00C72502">
              <w:rPr>
                <w:b/>
                <w:sz w:val="20"/>
                <w:szCs w:val="20"/>
              </w:rPr>
              <w:t>2013</w:t>
            </w:r>
            <w:r w:rsidR="00B70315" w:rsidRPr="00C72502">
              <w:rPr>
                <w:b/>
                <w:sz w:val="20"/>
                <w:szCs w:val="20"/>
              </w:rPr>
              <w:t xml:space="preserve">, and it showed a y-o-y decline of </w:t>
            </w:r>
            <w:r w:rsidR="00D34827" w:rsidRPr="00C72502">
              <w:rPr>
                <w:b/>
                <w:sz w:val="20"/>
                <w:szCs w:val="20"/>
              </w:rPr>
              <w:t>2</w:t>
            </w:r>
            <w:r w:rsidR="00B70315" w:rsidRPr="00C72502">
              <w:rPr>
                <w:b/>
                <w:sz w:val="20"/>
                <w:szCs w:val="20"/>
              </w:rPr>
              <w:t>.</w:t>
            </w:r>
            <w:r w:rsidR="00D34827" w:rsidRPr="00C72502">
              <w:rPr>
                <w:b/>
                <w:sz w:val="20"/>
                <w:szCs w:val="20"/>
              </w:rPr>
              <w:t xml:space="preserve">2%, </w:t>
            </w:r>
            <w:r w:rsidR="00B70315" w:rsidRPr="00C72502">
              <w:rPr>
                <w:b/>
                <w:sz w:val="20"/>
                <w:szCs w:val="20"/>
              </w:rPr>
              <w:t>while real ne</w:t>
            </w:r>
            <w:r w:rsidR="0068334D">
              <w:rPr>
                <w:b/>
                <w:sz w:val="20"/>
                <w:szCs w:val="20"/>
              </w:rPr>
              <w:t>t</w:t>
            </w:r>
            <w:r w:rsidR="00B70315" w:rsidRPr="00C72502">
              <w:rPr>
                <w:b/>
                <w:sz w:val="20"/>
                <w:szCs w:val="20"/>
              </w:rPr>
              <w:t xml:space="preserve"> wages declined y-o-y by </w:t>
            </w:r>
            <w:r w:rsidR="00D34827" w:rsidRPr="00C72502">
              <w:rPr>
                <w:b/>
                <w:sz w:val="20"/>
                <w:szCs w:val="20"/>
              </w:rPr>
              <w:t>3</w:t>
            </w:r>
            <w:r w:rsidR="00B70315" w:rsidRPr="00C72502">
              <w:rPr>
                <w:b/>
                <w:sz w:val="20"/>
                <w:szCs w:val="20"/>
              </w:rPr>
              <w:t>.</w:t>
            </w:r>
            <w:r w:rsidR="00D34827" w:rsidRPr="00C72502">
              <w:rPr>
                <w:b/>
                <w:sz w:val="20"/>
                <w:szCs w:val="20"/>
              </w:rPr>
              <w:t>7%</w:t>
            </w:r>
            <w:r w:rsidR="0068334D">
              <w:rPr>
                <w:b/>
                <w:sz w:val="20"/>
                <w:szCs w:val="20"/>
              </w:rPr>
              <w:t xml:space="preserve"> in 2013</w:t>
            </w:r>
            <w:r w:rsidR="00D34827" w:rsidRPr="00C72502">
              <w:rPr>
                <w:sz w:val="20"/>
                <w:szCs w:val="20"/>
              </w:rPr>
              <w:t>.</w:t>
            </w:r>
          </w:p>
          <w:p w:rsidR="00D34827" w:rsidRPr="00C72502" w:rsidRDefault="00D34827" w:rsidP="00D34827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422784" w:rsidRPr="00C72502" w:rsidRDefault="00422784" w:rsidP="00422784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GB" w:eastAsia="en-US"/>
              </w:rPr>
            </w:pPr>
          </w:p>
          <w:p w:rsidR="00422784" w:rsidRPr="00C72502" w:rsidRDefault="00422784" w:rsidP="00422784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GB" w:eastAsia="en-US"/>
              </w:rPr>
            </w:pPr>
          </w:p>
          <w:p w:rsidR="00422784" w:rsidRPr="00C72502" w:rsidRDefault="00422784" w:rsidP="00422784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tcBorders>
              <w:bottom w:val="thinThickSmallGap" w:sz="18" w:space="0" w:color="auto"/>
            </w:tcBorders>
            <w:vAlign w:val="center"/>
          </w:tcPr>
          <w:p w:rsidR="00422784" w:rsidRPr="00C72502" w:rsidRDefault="00982E62" w:rsidP="002A1639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C72502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196000" cy="2088032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10452C" w:rsidRPr="00C72502" w:rsidTr="00133462">
        <w:trPr>
          <w:trHeight w:hRule="exact" w:val="4319"/>
        </w:trPr>
        <w:tc>
          <w:tcPr>
            <w:tcW w:w="7054" w:type="dxa"/>
            <w:tcBorders>
              <w:bottom w:val="thinThickSmallGap" w:sz="18" w:space="0" w:color="auto"/>
            </w:tcBorders>
          </w:tcPr>
          <w:p w:rsidR="0010452C" w:rsidRPr="00C72502" w:rsidRDefault="00B70315" w:rsidP="0010452C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725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Public Finance</w:t>
            </w:r>
          </w:p>
          <w:p w:rsidR="00A30E95" w:rsidRPr="00C72502" w:rsidRDefault="00002CC6" w:rsidP="00A30E95">
            <w:pPr>
              <w:spacing w:after="0"/>
              <w:jc w:val="both"/>
              <w:rPr>
                <w:sz w:val="20"/>
                <w:szCs w:val="20"/>
              </w:rPr>
            </w:pPr>
            <w:r w:rsidRPr="00C72502">
              <w:rPr>
                <w:b/>
                <w:sz w:val="20"/>
                <w:szCs w:val="20"/>
              </w:rPr>
              <w:t>Current</w:t>
            </w:r>
            <w:r w:rsidR="00B70315" w:rsidRPr="00C72502">
              <w:rPr>
                <w:b/>
                <w:sz w:val="20"/>
                <w:szCs w:val="20"/>
              </w:rPr>
              <w:t xml:space="preserve"> revenues of the Budget of Montenegro amounted to</w:t>
            </w:r>
            <w:r w:rsidR="00292DAC">
              <w:rPr>
                <w:rFonts w:cs="Calibri"/>
                <w:b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9" type="#_x0000_t32" style="position:absolute;left:0;text-align:left;margin-left:-3.65pt;margin-top:.45pt;width:343.15pt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" strokeweight=".5pt"/>
              </w:pict>
            </w:r>
            <w:r w:rsidR="00292DAC">
              <w:rPr>
                <w:b/>
                <w:sz w:val="20"/>
                <w:szCs w:val="20"/>
              </w:rPr>
              <w:pict>
                <v:shape id="AutoShape 9" o:spid="_x0000_s1028" type="#_x0000_t32" style="position:absolute;left:0;text-align:left;margin-left:-3.65pt;margin-top:.45pt;width:343.15pt;height: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dD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" strokeweight=".5pt"/>
              </w:pict>
            </w:r>
            <w:r w:rsidR="00133462">
              <w:rPr>
                <w:b/>
                <w:sz w:val="20"/>
                <w:szCs w:val="20"/>
              </w:rPr>
              <w:t xml:space="preserve"> </w:t>
            </w:r>
            <w:r w:rsidR="00A30E95" w:rsidRPr="00C72502">
              <w:rPr>
                <w:b/>
                <w:sz w:val="20"/>
                <w:szCs w:val="20"/>
              </w:rPr>
              <w:t>142</w:t>
            </w:r>
            <w:r w:rsidR="00B70315" w:rsidRPr="00C72502">
              <w:rPr>
                <w:b/>
                <w:sz w:val="20"/>
                <w:szCs w:val="20"/>
              </w:rPr>
              <w:t>.</w:t>
            </w:r>
            <w:r w:rsidR="00A30E95" w:rsidRPr="00C72502">
              <w:rPr>
                <w:b/>
                <w:sz w:val="20"/>
                <w:szCs w:val="20"/>
              </w:rPr>
              <w:t xml:space="preserve">43 </w:t>
            </w:r>
            <w:r w:rsidR="00B70315" w:rsidRPr="00C72502">
              <w:rPr>
                <w:b/>
                <w:sz w:val="20"/>
                <w:szCs w:val="20"/>
              </w:rPr>
              <w:t xml:space="preserve">million </w:t>
            </w:r>
            <w:r w:rsidR="00A30E95" w:rsidRPr="00C72502">
              <w:rPr>
                <w:b/>
                <w:sz w:val="20"/>
                <w:szCs w:val="20"/>
              </w:rPr>
              <w:t>€</w:t>
            </w:r>
            <w:r w:rsidR="00133462">
              <w:rPr>
                <w:b/>
                <w:sz w:val="20"/>
                <w:szCs w:val="20"/>
              </w:rPr>
              <w:t xml:space="preserve"> in December 2013</w:t>
            </w:r>
            <w:r w:rsidR="00B70315" w:rsidRPr="00C72502">
              <w:rPr>
                <w:b/>
                <w:sz w:val="20"/>
                <w:szCs w:val="20"/>
              </w:rPr>
              <w:t>, and they increased y-o-y by 1</w:t>
            </w:r>
            <w:r w:rsidR="00A30E95" w:rsidRPr="00C72502">
              <w:rPr>
                <w:b/>
                <w:sz w:val="20"/>
                <w:szCs w:val="20"/>
              </w:rPr>
              <w:t>2</w:t>
            </w:r>
            <w:r w:rsidR="00B70315" w:rsidRPr="00C72502">
              <w:rPr>
                <w:b/>
                <w:sz w:val="20"/>
                <w:szCs w:val="20"/>
              </w:rPr>
              <w:t>.</w:t>
            </w:r>
            <w:r w:rsidR="00A30E95" w:rsidRPr="00C72502">
              <w:rPr>
                <w:b/>
                <w:sz w:val="20"/>
                <w:szCs w:val="20"/>
              </w:rPr>
              <w:t>21%,</w:t>
            </w:r>
            <w:r w:rsidR="00B70315" w:rsidRPr="00C72502">
              <w:rPr>
                <w:b/>
                <w:sz w:val="20"/>
                <w:szCs w:val="20"/>
              </w:rPr>
              <w:t xml:space="preserve"> and compared to the plan by </w:t>
            </w:r>
            <w:r w:rsidR="00A30E95" w:rsidRPr="00C72502">
              <w:rPr>
                <w:b/>
                <w:sz w:val="20"/>
                <w:szCs w:val="20"/>
              </w:rPr>
              <w:t>17</w:t>
            </w:r>
            <w:r w:rsidR="00B70315" w:rsidRPr="00C72502">
              <w:rPr>
                <w:b/>
                <w:sz w:val="20"/>
                <w:szCs w:val="20"/>
              </w:rPr>
              <w:t>.</w:t>
            </w:r>
            <w:r w:rsidR="00A30E95" w:rsidRPr="00C72502">
              <w:rPr>
                <w:b/>
                <w:sz w:val="20"/>
                <w:szCs w:val="20"/>
              </w:rPr>
              <w:t>2%.</w:t>
            </w:r>
            <w:r w:rsidR="00A30E95" w:rsidRPr="00C72502">
              <w:rPr>
                <w:sz w:val="20"/>
                <w:szCs w:val="20"/>
              </w:rPr>
              <w:t> </w:t>
            </w:r>
            <w:r w:rsidR="00B70315" w:rsidRPr="00C72502">
              <w:rPr>
                <w:sz w:val="20"/>
                <w:szCs w:val="20"/>
              </w:rPr>
              <w:t xml:space="preserve">In period January – December 2013, </w:t>
            </w:r>
            <w:r w:rsidR="009B4D6B">
              <w:rPr>
                <w:sz w:val="20"/>
                <w:szCs w:val="20"/>
              </w:rPr>
              <w:t xml:space="preserve">the </w:t>
            </w:r>
            <w:r w:rsidR="00B70315" w:rsidRPr="00C72502">
              <w:rPr>
                <w:sz w:val="20"/>
                <w:szCs w:val="20"/>
              </w:rPr>
              <w:t>col</w:t>
            </w:r>
            <w:r w:rsidR="008317E4">
              <w:rPr>
                <w:sz w:val="20"/>
                <w:szCs w:val="20"/>
              </w:rPr>
              <w:t>lection of revenues increased y-</w:t>
            </w:r>
            <w:r w:rsidR="00B70315" w:rsidRPr="00C72502">
              <w:rPr>
                <w:sz w:val="20"/>
                <w:szCs w:val="20"/>
              </w:rPr>
              <w:t xml:space="preserve">o-y by </w:t>
            </w:r>
            <w:r w:rsidR="00A30E95" w:rsidRPr="00C72502">
              <w:rPr>
                <w:sz w:val="20"/>
                <w:szCs w:val="20"/>
              </w:rPr>
              <w:t>10</w:t>
            </w:r>
            <w:r w:rsidR="00B70315" w:rsidRPr="00C72502">
              <w:rPr>
                <w:sz w:val="20"/>
                <w:szCs w:val="20"/>
              </w:rPr>
              <w:t>.</w:t>
            </w:r>
            <w:r w:rsidR="00A30E95" w:rsidRPr="00C72502">
              <w:rPr>
                <w:sz w:val="20"/>
                <w:szCs w:val="20"/>
              </w:rPr>
              <w:t>2%</w:t>
            </w:r>
            <w:r w:rsidR="00B70315" w:rsidRPr="00C72502">
              <w:rPr>
                <w:sz w:val="20"/>
                <w:szCs w:val="20"/>
              </w:rPr>
              <w:t xml:space="preserve">, which resulted from the measures taken for </w:t>
            </w:r>
            <w:r w:rsidR="00133462" w:rsidRPr="00C72502">
              <w:rPr>
                <w:sz w:val="20"/>
                <w:szCs w:val="20"/>
              </w:rPr>
              <w:t>suppressing</w:t>
            </w:r>
            <w:r w:rsidR="00B70315" w:rsidRPr="00C72502">
              <w:rPr>
                <w:sz w:val="20"/>
                <w:szCs w:val="20"/>
              </w:rPr>
              <w:t xml:space="preserve"> shadow economy and increase of general VAT rate to </w:t>
            </w:r>
            <w:r w:rsidR="00A30E95" w:rsidRPr="00C72502">
              <w:rPr>
                <w:sz w:val="20"/>
                <w:szCs w:val="20"/>
              </w:rPr>
              <w:t xml:space="preserve">19%. </w:t>
            </w:r>
            <w:r w:rsidR="00B70315" w:rsidRPr="00C72502">
              <w:rPr>
                <w:sz w:val="20"/>
                <w:szCs w:val="20"/>
              </w:rPr>
              <w:t xml:space="preserve">The VAT collection increased by 48.7% in December 2013 compared to the plan, and it increased y-o-y by </w:t>
            </w:r>
            <w:r w:rsidR="00A30E95" w:rsidRPr="00C72502">
              <w:rPr>
                <w:sz w:val="20"/>
                <w:szCs w:val="20"/>
              </w:rPr>
              <w:t>55</w:t>
            </w:r>
            <w:r w:rsidR="00B70315" w:rsidRPr="00C72502">
              <w:rPr>
                <w:sz w:val="20"/>
                <w:szCs w:val="20"/>
              </w:rPr>
              <w:t>.</w:t>
            </w:r>
            <w:r w:rsidR="00A30E95" w:rsidRPr="00C72502">
              <w:rPr>
                <w:sz w:val="20"/>
                <w:szCs w:val="20"/>
              </w:rPr>
              <w:t>9%</w:t>
            </w:r>
            <w:r w:rsidR="00292DAC">
              <w:rPr>
                <w:rFonts w:cs="Calibri"/>
                <w:b/>
                <w:sz w:val="20"/>
                <w:szCs w:val="20"/>
              </w:rPr>
              <w:pict>
                <v:shape id="AutoShape 4" o:spid="_x0000_s1027" type="#_x0000_t32" style="position:absolute;left:0;text-align:left;margin-left:-3.65pt;margin-top:.45pt;width:343.15pt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NYi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" strokeweight=".5pt"/>
              </w:pict>
            </w:r>
            <w:r w:rsidR="00A30E95" w:rsidRPr="00C72502">
              <w:rPr>
                <w:sz w:val="20"/>
                <w:szCs w:val="20"/>
              </w:rPr>
              <w:t>.</w:t>
            </w:r>
            <w:r w:rsidR="00133462">
              <w:rPr>
                <w:sz w:val="20"/>
                <w:szCs w:val="20"/>
              </w:rPr>
              <w:t xml:space="preserve"> </w:t>
            </w:r>
            <w:r w:rsidR="00B70315" w:rsidRPr="00C72502">
              <w:rPr>
                <w:b/>
                <w:sz w:val="20"/>
                <w:szCs w:val="20"/>
              </w:rPr>
              <w:t xml:space="preserve">Budget expenditures </w:t>
            </w:r>
            <w:r w:rsidR="00B70315" w:rsidRPr="00C72502">
              <w:rPr>
                <w:sz w:val="20"/>
                <w:szCs w:val="20"/>
              </w:rPr>
              <w:t xml:space="preserve">amounted to 150.1 million € in December 2013 and they declined y-o-y by </w:t>
            </w:r>
            <w:r w:rsidR="001E29C8" w:rsidRPr="00C72502">
              <w:rPr>
                <w:sz w:val="20"/>
                <w:szCs w:val="20"/>
              </w:rPr>
              <w:t>19</w:t>
            </w:r>
            <w:r w:rsidR="00B70315" w:rsidRPr="00C72502">
              <w:rPr>
                <w:sz w:val="20"/>
                <w:szCs w:val="20"/>
              </w:rPr>
              <w:t>.</w:t>
            </w:r>
            <w:r w:rsidR="001E29C8" w:rsidRPr="00C72502">
              <w:rPr>
                <w:sz w:val="20"/>
                <w:szCs w:val="20"/>
              </w:rPr>
              <w:t>8%,</w:t>
            </w:r>
            <w:r w:rsidR="00B70315" w:rsidRPr="00C72502">
              <w:rPr>
                <w:sz w:val="20"/>
                <w:szCs w:val="20"/>
              </w:rPr>
              <w:t xml:space="preserve"> while they increased by 41.6% compared to the plan</w:t>
            </w:r>
            <w:r w:rsidR="00A30E95" w:rsidRPr="00C72502">
              <w:rPr>
                <w:sz w:val="20"/>
                <w:szCs w:val="20"/>
              </w:rPr>
              <w:t xml:space="preserve">. </w:t>
            </w:r>
            <w:r w:rsidR="00B70315" w:rsidRPr="00C72502">
              <w:rPr>
                <w:sz w:val="20"/>
                <w:szCs w:val="20"/>
              </w:rPr>
              <w:t xml:space="preserve">In December 2013, </w:t>
            </w:r>
            <w:r w:rsidR="00B70315" w:rsidRPr="00C72502">
              <w:rPr>
                <w:b/>
                <w:sz w:val="20"/>
                <w:szCs w:val="20"/>
              </w:rPr>
              <w:t xml:space="preserve">budget deficit </w:t>
            </w:r>
            <w:r w:rsidR="00B70315" w:rsidRPr="00C72502">
              <w:rPr>
                <w:sz w:val="20"/>
                <w:szCs w:val="20"/>
              </w:rPr>
              <w:t xml:space="preserve">was </w:t>
            </w:r>
            <w:r w:rsidR="00A30E95" w:rsidRPr="00C72502">
              <w:rPr>
                <w:sz w:val="20"/>
                <w:szCs w:val="20"/>
              </w:rPr>
              <w:t>7</w:t>
            </w:r>
            <w:r w:rsidR="00B70315" w:rsidRPr="00C72502">
              <w:rPr>
                <w:sz w:val="20"/>
                <w:szCs w:val="20"/>
              </w:rPr>
              <w:t>.</w:t>
            </w:r>
            <w:r w:rsidR="00A30E95" w:rsidRPr="00C72502">
              <w:rPr>
                <w:sz w:val="20"/>
                <w:szCs w:val="20"/>
              </w:rPr>
              <w:t>7 mil</w:t>
            </w:r>
            <w:r w:rsidR="00B70315" w:rsidRPr="00C72502">
              <w:rPr>
                <w:sz w:val="20"/>
                <w:szCs w:val="20"/>
              </w:rPr>
              <w:t xml:space="preserve">lion </w:t>
            </w:r>
            <w:r w:rsidR="00A30E95" w:rsidRPr="00C72502">
              <w:rPr>
                <w:sz w:val="20"/>
                <w:szCs w:val="20"/>
              </w:rPr>
              <w:t xml:space="preserve">€. </w:t>
            </w:r>
            <w:r w:rsidR="00B70315" w:rsidRPr="00C72502">
              <w:rPr>
                <w:sz w:val="20"/>
                <w:szCs w:val="20"/>
              </w:rPr>
              <w:t xml:space="preserve">Cumulative budget deficit amounted to </w:t>
            </w:r>
            <w:r w:rsidR="00A30E95" w:rsidRPr="00C72502">
              <w:rPr>
                <w:sz w:val="20"/>
                <w:szCs w:val="20"/>
              </w:rPr>
              <w:t>128</w:t>
            </w:r>
            <w:r w:rsidR="00543D0A" w:rsidRPr="00C72502">
              <w:rPr>
                <w:sz w:val="20"/>
                <w:szCs w:val="20"/>
              </w:rPr>
              <w:t>.</w:t>
            </w:r>
            <w:r w:rsidR="00A30E95" w:rsidRPr="00C72502">
              <w:rPr>
                <w:sz w:val="20"/>
                <w:szCs w:val="20"/>
              </w:rPr>
              <w:t>32 mil</w:t>
            </w:r>
            <w:r w:rsidR="00543D0A" w:rsidRPr="00C72502">
              <w:rPr>
                <w:sz w:val="20"/>
                <w:szCs w:val="20"/>
              </w:rPr>
              <w:t xml:space="preserve">lion </w:t>
            </w:r>
            <w:r w:rsidR="00A30E95" w:rsidRPr="00C72502">
              <w:rPr>
                <w:sz w:val="20"/>
                <w:szCs w:val="20"/>
              </w:rPr>
              <w:t>€</w:t>
            </w:r>
            <w:r w:rsidR="00B70315" w:rsidRPr="00C72502">
              <w:rPr>
                <w:sz w:val="20"/>
                <w:szCs w:val="20"/>
              </w:rPr>
              <w:t xml:space="preserve"> for 2013</w:t>
            </w:r>
            <w:r w:rsidR="008317E4">
              <w:rPr>
                <w:sz w:val="20"/>
                <w:szCs w:val="20"/>
              </w:rPr>
              <w:t>,</w:t>
            </w:r>
            <w:r w:rsidR="00133462">
              <w:rPr>
                <w:sz w:val="20"/>
                <w:szCs w:val="20"/>
              </w:rPr>
              <w:t xml:space="preserve"> </w:t>
            </w:r>
            <w:r w:rsidR="00543D0A" w:rsidRPr="00C72502">
              <w:rPr>
                <w:sz w:val="20"/>
                <w:szCs w:val="20"/>
              </w:rPr>
              <w:t>and it decline</w:t>
            </w:r>
            <w:r w:rsidR="00133462">
              <w:rPr>
                <w:sz w:val="20"/>
                <w:szCs w:val="20"/>
              </w:rPr>
              <w:t>d</w:t>
            </w:r>
            <w:r w:rsidR="00543D0A" w:rsidRPr="00C72502">
              <w:rPr>
                <w:sz w:val="20"/>
                <w:szCs w:val="20"/>
              </w:rPr>
              <w:t xml:space="preserve"> by </w:t>
            </w:r>
            <w:r w:rsidR="00A30E95" w:rsidRPr="00C72502">
              <w:rPr>
                <w:sz w:val="20"/>
                <w:szCs w:val="20"/>
              </w:rPr>
              <w:t>84</w:t>
            </w:r>
            <w:r w:rsidR="00543D0A" w:rsidRPr="00C72502">
              <w:rPr>
                <w:sz w:val="20"/>
                <w:szCs w:val="20"/>
              </w:rPr>
              <w:t xml:space="preserve">.54 million </w:t>
            </w:r>
            <w:r w:rsidR="00A30E95" w:rsidRPr="00C72502">
              <w:rPr>
                <w:sz w:val="20"/>
                <w:szCs w:val="20"/>
              </w:rPr>
              <w:t>€</w:t>
            </w:r>
            <w:r w:rsidR="00543D0A" w:rsidRPr="00C72502">
              <w:rPr>
                <w:sz w:val="20"/>
                <w:szCs w:val="20"/>
              </w:rPr>
              <w:t xml:space="preserve"> </w:t>
            </w:r>
            <w:r w:rsidR="00133462">
              <w:rPr>
                <w:sz w:val="20"/>
                <w:szCs w:val="20"/>
              </w:rPr>
              <w:t xml:space="preserve">compared to budget </w:t>
            </w:r>
            <w:r w:rsidR="00543D0A" w:rsidRPr="00C72502">
              <w:rPr>
                <w:sz w:val="20"/>
                <w:szCs w:val="20"/>
              </w:rPr>
              <w:t>deficit in 2012</w:t>
            </w:r>
            <w:r w:rsidR="00A30E95" w:rsidRPr="00C72502">
              <w:rPr>
                <w:sz w:val="20"/>
                <w:szCs w:val="20"/>
              </w:rPr>
              <w:t xml:space="preserve">. </w:t>
            </w:r>
            <w:r w:rsidR="00543D0A" w:rsidRPr="00C72502">
              <w:rPr>
                <w:b/>
                <w:sz w:val="20"/>
                <w:szCs w:val="20"/>
              </w:rPr>
              <w:t>Government debt</w:t>
            </w:r>
            <w:r w:rsidR="00543D0A" w:rsidRPr="00C72502">
              <w:rPr>
                <w:sz w:val="20"/>
                <w:szCs w:val="20"/>
              </w:rPr>
              <w:t xml:space="preserve"> amounted to </w:t>
            </w:r>
            <w:r w:rsidR="00A30E95" w:rsidRPr="00C72502">
              <w:rPr>
                <w:sz w:val="20"/>
                <w:szCs w:val="20"/>
              </w:rPr>
              <w:t>1.873</w:t>
            </w:r>
            <w:r w:rsidR="00543D0A" w:rsidRPr="00C72502">
              <w:rPr>
                <w:sz w:val="20"/>
                <w:szCs w:val="20"/>
              </w:rPr>
              <w:t>.</w:t>
            </w:r>
            <w:r w:rsidR="00A30E95" w:rsidRPr="00C72502">
              <w:rPr>
                <w:sz w:val="20"/>
                <w:szCs w:val="20"/>
              </w:rPr>
              <w:t>15 mil</w:t>
            </w:r>
            <w:r w:rsidR="00543D0A" w:rsidRPr="00C72502">
              <w:rPr>
                <w:sz w:val="20"/>
                <w:szCs w:val="20"/>
              </w:rPr>
              <w:t xml:space="preserve">lion </w:t>
            </w:r>
            <w:r w:rsidR="00A30E95" w:rsidRPr="00C72502">
              <w:rPr>
                <w:sz w:val="20"/>
                <w:szCs w:val="20"/>
              </w:rPr>
              <w:t>€</w:t>
            </w:r>
            <w:r w:rsidR="00543D0A" w:rsidRPr="00C72502">
              <w:rPr>
                <w:sz w:val="20"/>
                <w:szCs w:val="20"/>
              </w:rPr>
              <w:t xml:space="preserve"> at end</w:t>
            </w:r>
            <w:r w:rsidR="00133462">
              <w:rPr>
                <w:sz w:val="20"/>
                <w:szCs w:val="20"/>
              </w:rPr>
              <w:t>-</w:t>
            </w:r>
            <w:r w:rsidR="00543D0A" w:rsidRPr="00C72502">
              <w:rPr>
                <w:sz w:val="20"/>
                <w:szCs w:val="20"/>
              </w:rPr>
              <w:t>December 2013</w:t>
            </w:r>
            <w:r w:rsidR="00133462">
              <w:rPr>
                <w:sz w:val="20"/>
                <w:szCs w:val="20"/>
              </w:rPr>
              <w:t xml:space="preserve"> </w:t>
            </w:r>
            <w:r w:rsidR="00543D0A" w:rsidRPr="00C72502">
              <w:rPr>
                <w:sz w:val="20"/>
                <w:szCs w:val="20"/>
              </w:rPr>
              <w:t>or</w:t>
            </w:r>
            <w:r w:rsidR="00A30E95" w:rsidRPr="00C72502">
              <w:rPr>
                <w:sz w:val="20"/>
                <w:szCs w:val="20"/>
              </w:rPr>
              <w:t xml:space="preserve"> 56</w:t>
            </w:r>
            <w:r w:rsidR="00543D0A" w:rsidRPr="00C72502">
              <w:rPr>
                <w:sz w:val="20"/>
                <w:szCs w:val="20"/>
              </w:rPr>
              <w:t>.</w:t>
            </w:r>
            <w:r w:rsidR="00A30E95" w:rsidRPr="00C72502">
              <w:rPr>
                <w:sz w:val="20"/>
                <w:szCs w:val="20"/>
              </w:rPr>
              <w:t xml:space="preserve">57% </w:t>
            </w:r>
            <w:r w:rsidR="00543D0A" w:rsidRPr="00C72502">
              <w:rPr>
                <w:sz w:val="20"/>
                <w:szCs w:val="20"/>
              </w:rPr>
              <w:t>of estimated GDP</w:t>
            </w:r>
            <w:r w:rsidR="008317E4">
              <w:rPr>
                <w:sz w:val="20"/>
                <w:szCs w:val="20"/>
              </w:rPr>
              <w:t>. I</w:t>
            </w:r>
            <w:r w:rsidR="00133462">
              <w:rPr>
                <w:sz w:val="20"/>
                <w:szCs w:val="20"/>
              </w:rPr>
              <w:t>t</w:t>
            </w:r>
            <w:r w:rsidR="008317E4">
              <w:rPr>
                <w:sz w:val="20"/>
                <w:szCs w:val="20"/>
              </w:rPr>
              <w:t xml:space="preserve"> </w:t>
            </w:r>
            <w:r w:rsidR="00543D0A" w:rsidRPr="00C72502">
              <w:rPr>
                <w:sz w:val="20"/>
                <w:szCs w:val="20"/>
              </w:rPr>
              <w:t xml:space="preserve">declined by </w:t>
            </w:r>
            <w:r w:rsidR="00A30E95" w:rsidRPr="00C72502">
              <w:rPr>
                <w:sz w:val="20"/>
                <w:szCs w:val="20"/>
              </w:rPr>
              <w:t>0</w:t>
            </w:r>
            <w:r w:rsidR="00543D0A" w:rsidRPr="00C72502">
              <w:rPr>
                <w:sz w:val="20"/>
                <w:szCs w:val="20"/>
              </w:rPr>
              <w:t>.</w:t>
            </w:r>
            <w:r w:rsidR="00A30E95" w:rsidRPr="00C72502">
              <w:rPr>
                <w:sz w:val="20"/>
                <w:szCs w:val="20"/>
              </w:rPr>
              <w:t>4 p</w:t>
            </w:r>
            <w:r w:rsidR="00543D0A" w:rsidRPr="00C72502">
              <w:rPr>
                <w:sz w:val="20"/>
                <w:szCs w:val="20"/>
              </w:rPr>
              <w:t>ercentage points compared to the previous month</w:t>
            </w:r>
            <w:r w:rsidR="00A30E95" w:rsidRPr="00C72502">
              <w:rPr>
                <w:sz w:val="20"/>
                <w:szCs w:val="20"/>
              </w:rPr>
              <w:t xml:space="preserve">. </w:t>
            </w:r>
            <w:r w:rsidR="00543D0A" w:rsidRPr="00C72502">
              <w:rPr>
                <w:sz w:val="20"/>
                <w:szCs w:val="20"/>
              </w:rPr>
              <w:t xml:space="preserve">Internal debt was </w:t>
            </w:r>
            <w:r w:rsidR="00A30E95" w:rsidRPr="00C72502">
              <w:rPr>
                <w:sz w:val="20"/>
                <w:szCs w:val="20"/>
              </w:rPr>
              <w:t>440</w:t>
            </w:r>
            <w:r w:rsidR="00543D0A" w:rsidRPr="00C72502">
              <w:rPr>
                <w:sz w:val="20"/>
                <w:szCs w:val="20"/>
              </w:rPr>
              <w:t>.</w:t>
            </w:r>
            <w:r w:rsidR="00A30E95" w:rsidRPr="00C72502">
              <w:rPr>
                <w:sz w:val="20"/>
                <w:szCs w:val="20"/>
              </w:rPr>
              <w:t>1</w:t>
            </w:r>
            <w:r w:rsidR="00133462">
              <w:rPr>
                <w:sz w:val="20"/>
                <w:szCs w:val="20"/>
              </w:rPr>
              <w:t xml:space="preserve"> </w:t>
            </w:r>
            <w:r w:rsidR="00A30E95" w:rsidRPr="00C72502">
              <w:rPr>
                <w:sz w:val="20"/>
                <w:szCs w:val="20"/>
              </w:rPr>
              <w:t>mil</w:t>
            </w:r>
            <w:r w:rsidR="00543D0A" w:rsidRPr="00C72502">
              <w:rPr>
                <w:sz w:val="20"/>
                <w:szCs w:val="20"/>
              </w:rPr>
              <w:t>lion</w:t>
            </w:r>
            <w:r w:rsidR="00A30E95" w:rsidRPr="00C72502">
              <w:rPr>
                <w:sz w:val="20"/>
                <w:szCs w:val="20"/>
              </w:rPr>
              <w:t xml:space="preserve"> €, </w:t>
            </w:r>
            <w:r w:rsidR="00543D0A" w:rsidRPr="00C72502">
              <w:rPr>
                <w:sz w:val="20"/>
                <w:szCs w:val="20"/>
              </w:rPr>
              <w:t xml:space="preserve">and debt to non-residents was </w:t>
            </w:r>
            <w:r w:rsidR="00A30E95" w:rsidRPr="00C72502">
              <w:rPr>
                <w:sz w:val="20"/>
                <w:szCs w:val="20"/>
              </w:rPr>
              <w:t>1.433</w:t>
            </w:r>
            <w:r w:rsidR="00543D0A" w:rsidRPr="00C72502">
              <w:rPr>
                <w:sz w:val="20"/>
                <w:szCs w:val="20"/>
              </w:rPr>
              <w:t>.</w:t>
            </w:r>
            <w:r w:rsidR="00A30E95" w:rsidRPr="00C72502">
              <w:rPr>
                <w:sz w:val="20"/>
                <w:szCs w:val="20"/>
              </w:rPr>
              <w:t>0 mil</w:t>
            </w:r>
            <w:r w:rsidR="00543D0A" w:rsidRPr="00C72502">
              <w:rPr>
                <w:sz w:val="20"/>
                <w:szCs w:val="20"/>
              </w:rPr>
              <w:t xml:space="preserve">lion </w:t>
            </w:r>
            <w:r w:rsidR="00A30E95" w:rsidRPr="00C72502">
              <w:rPr>
                <w:sz w:val="20"/>
                <w:szCs w:val="20"/>
              </w:rPr>
              <w:t>€</w:t>
            </w:r>
            <w:r w:rsidR="007D033B" w:rsidRPr="00C72502">
              <w:rPr>
                <w:sz w:val="20"/>
                <w:szCs w:val="20"/>
              </w:rPr>
              <w:t>.</w:t>
            </w:r>
          </w:p>
          <w:p w:rsidR="0010452C" w:rsidRPr="00C72502" w:rsidRDefault="0010452C" w:rsidP="00A30E95">
            <w:pPr>
              <w:pStyle w:val="ListParagraph"/>
              <w:spacing w:after="0" w:line="240" w:lineRule="auto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10452C" w:rsidRPr="00C72502" w:rsidRDefault="00CD707C" w:rsidP="00C90367">
            <w:pPr>
              <w:rPr>
                <w:sz w:val="17"/>
                <w:szCs w:val="17"/>
                <w:lang w:eastAsia="sr-Latn-CS"/>
              </w:rPr>
            </w:pPr>
            <w:r w:rsidRPr="00C72502">
              <w:rPr>
                <w:noProof/>
                <w:sz w:val="17"/>
                <w:szCs w:val="17"/>
                <w:lang w:val="en-US"/>
              </w:rPr>
              <w:drawing>
                <wp:inline distT="0" distB="0" distL="0" distR="0">
                  <wp:extent cx="2238375" cy="2355215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B721D" w:rsidRPr="00C72502" w:rsidTr="00002CC6">
        <w:trPr>
          <w:trHeight w:hRule="exact" w:val="3962"/>
        </w:trPr>
        <w:tc>
          <w:tcPr>
            <w:tcW w:w="7054" w:type="dxa"/>
            <w:tcBorders>
              <w:bottom w:val="thinThickSmallGap" w:sz="18" w:space="0" w:color="auto"/>
            </w:tcBorders>
          </w:tcPr>
          <w:p w:rsidR="00DB721D" w:rsidRPr="00C72502" w:rsidRDefault="00543D0A" w:rsidP="00DB721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725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Monetary </w:t>
            </w:r>
            <w:r w:rsidR="000D7C1B" w:rsidRPr="00C725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S</w:t>
            </w:r>
            <w:r w:rsidRPr="00C725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ector</w:t>
            </w:r>
          </w:p>
          <w:p w:rsidR="00B603E6" w:rsidRPr="00C72502" w:rsidRDefault="00A44F1D" w:rsidP="008E458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sz w:val="24"/>
              </w:rPr>
            </w:pPr>
            <w:r w:rsidRPr="00C72502">
              <w:rPr>
                <w:b/>
                <w:sz w:val="20"/>
                <w:szCs w:val="18"/>
              </w:rPr>
              <w:t xml:space="preserve">Total loans and other receivables </w:t>
            </w:r>
            <w:r w:rsidRPr="00C72502">
              <w:rPr>
                <w:sz w:val="20"/>
                <w:szCs w:val="18"/>
              </w:rPr>
              <w:t xml:space="preserve">amounted to </w:t>
            </w:r>
            <w:r w:rsidR="00DB721D" w:rsidRPr="00C72502">
              <w:rPr>
                <w:sz w:val="20"/>
                <w:szCs w:val="18"/>
              </w:rPr>
              <w:t>2.411</w:t>
            </w:r>
            <w:r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>9 mil</w:t>
            </w:r>
            <w:r w:rsidRPr="00C72502">
              <w:rPr>
                <w:sz w:val="20"/>
                <w:szCs w:val="18"/>
              </w:rPr>
              <w:t xml:space="preserve">lion </w:t>
            </w:r>
            <w:r w:rsidR="00DB721D" w:rsidRPr="00C72502">
              <w:rPr>
                <w:sz w:val="20"/>
                <w:szCs w:val="18"/>
              </w:rPr>
              <w:t xml:space="preserve">€ </w:t>
            </w:r>
            <w:r w:rsidRPr="00C72502">
              <w:rPr>
                <w:sz w:val="20"/>
                <w:szCs w:val="18"/>
              </w:rPr>
              <w:t xml:space="preserve">in December 2013 and they grew y-o-y by </w:t>
            </w:r>
            <w:r w:rsidR="00DB721D" w:rsidRPr="00C72502">
              <w:rPr>
                <w:sz w:val="20"/>
                <w:szCs w:val="18"/>
              </w:rPr>
              <w:t>3</w:t>
            </w:r>
            <w:r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 xml:space="preserve">0 %, </w:t>
            </w:r>
            <w:r w:rsidRPr="00C72502">
              <w:rPr>
                <w:sz w:val="20"/>
                <w:szCs w:val="18"/>
              </w:rPr>
              <w:t xml:space="preserve">whereas loans to corporate </w:t>
            </w:r>
            <w:r w:rsidR="008317E4" w:rsidRPr="00C72502">
              <w:rPr>
                <w:sz w:val="20"/>
                <w:szCs w:val="18"/>
              </w:rPr>
              <w:t xml:space="preserve">and loans to </w:t>
            </w:r>
            <w:r w:rsidR="008317E4">
              <w:rPr>
                <w:sz w:val="20"/>
                <w:szCs w:val="18"/>
              </w:rPr>
              <w:t>household</w:t>
            </w:r>
            <w:r w:rsidR="008317E4" w:rsidRPr="00C72502">
              <w:rPr>
                <w:sz w:val="20"/>
                <w:szCs w:val="18"/>
              </w:rPr>
              <w:t xml:space="preserve"> </w:t>
            </w:r>
            <w:r w:rsidRPr="00C72502">
              <w:rPr>
                <w:sz w:val="20"/>
                <w:szCs w:val="18"/>
              </w:rPr>
              <w:t>sector</w:t>
            </w:r>
            <w:r w:rsidR="008317E4">
              <w:rPr>
                <w:sz w:val="20"/>
                <w:szCs w:val="18"/>
              </w:rPr>
              <w:t>s</w:t>
            </w:r>
            <w:r w:rsidRPr="00C72502">
              <w:rPr>
                <w:sz w:val="20"/>
                <w:szCs w:val="18"/>
              </w:rPr>
              <w:t xml:space="preserve"> increased </w:t>
            </w:r>
            <w:r w:rsidR="00133462">
              <w:rPr>
                <w:sz w:val="20"/>
                <w:szCs w:val="18"/>
              </w:rPr>
              <w:t>b</w:t>
            </w:r>
            <w:r w:rsidRPr="00C72502">
              <w:rPr>
                <w:sz w:val="20"/>
                <w:szCs w:val="18"/>
              </w:rPr>
              <w:t>y 1.</w:t>
            </w:r>
            <w:r w:rsidR="00DB721D" w:rsidRPr="00C72502">
              <w:rPr>
                <w:sz w:val="20"/>
                <w:szCs w:val="18"/>
              </w:rPr>
              <w:t>9%</w:t>
            </w:r>
            <w:r w:rsidR="008317E4">
              <w:rPr>
                <w:sz w:val="20"/>
                <w:szCs w:val="18"/>
              </w:rPr>
              <w:t xml:space="preserve"> and</w:t>
            </w:r>
            <w:r w:rsidRPr="00C72502">
              <w:rPr>
                <w:sz w:val="20"/>
                <w:szCs w:val="18"/>
              </w:rPr>
              <w:t xml:space="preserve"> </w:t>
            </w:r>
            <w:r w:rsidR="00DB721D" w:rsidRPr="00C72502">
              <w:rPr>
                <w:sz w:val="20"/>
                <w:szCs w:val="18"/>
              </w:rPr>
              <w:t>8</w:t>
            </w:r>
            <w:r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>9%</w:t>
            </w:r>
            <w:r w:rsidR="008317E4">
              <w:rPr>
                <w:sz w:val="20"/>
                <w:szCs w:val="18"/>
              </w:rPr>
              <w:t>, respectively</w:t>
            </w:r>
            <w:r w:rsidR="00DB721D" w:rsidRPr="00C72502">
              <w:rPr>
                <w:sz w:val="20"/>
                <w:szCs w:val="18"/>
              </w:rPr>
              <w:t>.</w:t>
            </w:r>
            <w:r w:rsidR="00133462">
              <w:rPr>
                <w:sz w:val="20"/>
                <w:szCs w:val="18"/>
              </w:rPr>
              <w:t xml:space="preserve"> </w:t>
            </w:r>
            <w:r w:rsidRPr="00C72502">
              <w:rPr>
                <w:sz w:val="20"/>
                <w:szCs w:val="18"/>
              </w:rPr>
              <w:t xml:space="preserve">During </w:t>
            </w:r>
            <w:r w:rsidR="001E29C8" w:rsidRPr="00C72502">
              <w:rPr>
                <w:sz w:val="20"/>
                <w:szCs w:val="18"/>
              </w:rPr>
              <w:t>2013</w:t>
            </w:r>
            <w:r w:rsidRPr="00C72502">
              <w:rPr>
                <w:sz w:val="20"/>
                <w:szCs w:val="18"/>
              </w:rPr>
              <w:t xml:space="preserve">, new loans were granted in the amount of </w:t>
            </w:r>
            <w:r w:rsidR="00DB721D" w:rsidRPr="00C72502">
              <w:rPr>
                <w:sz w:val="20"/>
                <w:szCs w:val="18"/>
              </w:rPr>
              <w:t>807</w:t>
            </w:r>
            <w:r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>6 mil</w:t>
            </w:r>
            <w:r w:rsidRPr="00C72502">
              <w:rPr>
                <w:sz w:val="20"/>
                <w:szCs w:val="18"/>
              </w:rPr>
              <w:t xml:space="preserve">lion </w:t>
            </w:r>
            <w:r w:rsidR="00DB721D" w:rsidRPr="00C72502">
              <w:rPr>
                <w:sz w:val="20"/>
                <w:szCs w:val="18"/>
              </w:rPr>
              <w:t>€</w:t>
            </w:r>
            <w:r w:rsidRPr="00C72502">
              <w:rPr>
                <w:sz w:val="20"/>
                <w:szCs w:val="18"/>
              </w:rPr>
              <w:t xml:space="preserve">, which </w:t>
            </w:r>
            <w:r w:rsidR="00133462">
              <w:rPr>
                <w:sz w:val="20"/>
                <w:szCs w:val="18"/>
              </w:rPr>
              <w:t>indicated to the</w:t>
            </w:r>
            <w:r w:rsidRPr="00C72502">
              <w:rPr>
                <w:sz w:val="20"/>
                <w:szCs w:val="18"/>
              </w:rPr>
              <w:t xml:space="preserve"> y-o-y growth of </w:t>
            </w:r>
            <w:r w:rsidR="001E29C8" w:rsidRPr="00C72502">
              <w:rPr>
                <w:sz w:val="20"/>
                <w:szCs w:val="18"/>
              </w:rPr>
              <w:t>14</w:t>
            </w:r>
            <w:r w:rsidRPr="00C72502">
              <w:rPr>
                <w:sz w:val="20"/>
                <w:szCs w:val="18"/>
              </w:rPr>
              <w:t>.</w:t>
            </w:r>
            <w:r w:rsidR="001E29C8" w:rsidRPr="00C72502">
              <w:rPr>
                <w:sz w:val="20"/>
                <w:szCs w:val="18"/>
              </w:rPr>
              <w:t>9%</w:t>
            </w:r>
            <w:r w:rsidR="00DB721D" w:rsidRPr="00C72502">
              <w:rPr>
                <w:sz w:val="20"/>
                <w:szCs w:val="18"/>
              </w:rPr>
              <w:t xml:space="preserve">. </w:t>
            </w:r>
            <w:r w:rsidRPr="00C72502">
              <w:rPr>
                <w:sz w:val="20"/>
                <w:szCs w:val="18"/>
              </w:rPr>
              <w:t>D</w:t>
            </w:r>
            <w:r w:rsidRPr="00C72502">
              <w:rPr>
                <w:b/>
                <w:sz w:val="20"/>
                <w:szCs w:val="18"/>
              </w:rPr>
              <w:t xml:space="preserve">eposits </w:t>
            </w:r>
            <w:r w:rsidRPr="00C72502">
              <w:rPr>
                <w:sz w:val="20"/>
                <w:szCs w:val="18"/>
              </w:rPr>
              <w:t>accounted for the main share in the liabilities structure, amounting to 2.098.6 million</w:t>
            </w:r>
            <w:r w:rsidR="00DB721D" w:rsidRPr="00C72502">
              <w:rPr>
                <w:sz w:val="20"/>
                <w:szCs w:val="18"/>
              </w:rPr>
              <w:t xml:space="preserve"> € </w:t>
            </w:r>
            <w:r w:rsidRPr="00C72502">
              <w:rPr>
                <w:sz w:val="20"/>
                <w:szCs w:val="18"/>
              </w:rPr>
              <w:t xml:space="preserve">and increasing annually by </w:t>
            </w:r>
            <w:r w:rsidR="00DB721D" w:rsidRPr="00C72502">
              <w:rPr>
                <w:sz w:val="20"/>
                <w:szCs w:val="18"/>
              </w:rPr>
              <w:t>5</w:t>
            </w:r>
            <w:r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>9%.</w:t>
            </w:r>
            <w:r w:rsidR="00133462">
              <w:rPr>
                <w:sz w:val="20"/>
                <w:szCs w:val="18"/>
              </w:rPr>
              <w:t xml:space="preserve"> </w:t>
            </w:r>
            <w:r w:rsidRPr="00C72502">
              <w:rPr>
                <w:sz w:val="20"/>
                <w:szCs w:val="18"/>
              </w:rPr>
              <w:t>Household’s deposits still account for the main share in total deposits (</w:t>
            </w:r>
            <w:r w:rsidR="00DB721D" w:rsidRPr="00C72502">
              <w:rPr>
                <w:sz w:val="20"/>
                <w:szCs w:val="18"/>
              </w:rPr>
              <w:t>59</w:t>
            </w:r>
            <w:r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>0%</w:t>
            </w:r>
            <w:r w:rsidRPr="00C72502">
              <w:rPr>
                <w:sz w:val="20"/>
                <w:szCs w:val="18"/>
              </w:rPr>
              <w:t xml:space="preserve">) and they grew annually by </w:t>
            </w:r>
            <w:r w:rsidR="00DB721D" w:rsidRPr="00C72502">
              <w:rPr>
                <w:sz w:val="20"/>
                <w:szCs w:val="18"/>
              </w:rPr>
              <w:t>7</w:t>
            </w:r>
            <w:r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>9%</w:t>
            </w:r>
            <w:r w:rsidRPr="00C72502">
              <w:rPr>
                <w:sz w:val="20"/>
                <w:szCs w:val="18"/>
              </w:rPr>
              <w:t>, while they recorded monthly growth of 1.</w:t>
            </w:r>
            <w:r w:rsidR="00DB721D" w:rsidRPr="00C72502">
              <w:rPr>
                <w:sz w:val="20"/>
                <w:szCs w:val="18"/>
              </w:rPr>
              <w:t xml:space="preserve">4%. </w:t>
            </w:r>
            <w:r w:rsidR="00473470" w:rsidRPr="00C72502">
              <w:rPr>
                <w:sz w:val="20"/>
                <w:szCs w:val="18"/>
              </w:rPr>
              <w:t xml:space="preserve">The problem of </w:t>
            </w:r>
            <w:r w:rsidR="00473470" w:rsidRPr="00C72502">
              <w:rPr>
                <w:b/>
                <w:sz w:val="20"/>
                <w:szCs w:val="18"/>
              </w:rPr>
              <w:t xml:space="preserve">real sector illiquidity </w:t>
            </w:r>
            <w:r w:rsidR="00473470" w:rsidRPr="00C72502">
              <w:rPr>
                <w:sz w:val="20"/>
                <w:szCs w:val="18"/>
              </w:rPr>
              <w:t xml:space="preserve">and high level of non-performing loans still pose risks to financial stability. </w:t>
            </w:r>
            <w:r w:rsidR="00133462">
              <w:rPr>
                <w:sz w:val="20"/>
                <w:szCs w:val="18"/>
              </w:rPr>
              <w:t xml:space="preserve">Some </w:t>
            </w:r>
            <w:r w:rsidR="008E4582" w:rsidRPr="00C72502">
              <w:rPr>
                <w:sz w:val="20"/>
                <w:szCs w:val="18"/>
              </w:rPr>
              <w:t xml:space="preserve">55.132 </w:t>
            </w:r>
            <w:r w:rsidR="00473470" w:rsidRPr="00C72502">
              <w:rPr>
                <w:sz w:val="20"/>
                <w:szCs w:val="18"/>
              </w:rPr>
              <w:t>legal persons and entrepreneurs</w:t>
            </w:r>
            <w:r w:rsidR="00133462">
              <w:rPr>
                <w:sz w:val="20"/>
                <w:szCs w:val="18"/>
              </w:rPr>
              <w:t xml:space="preserve"> were registered. Of that number, accounts of </w:t>
            </w:r>
            <w:r w:rsidR="00DB721D" w:rsidRPr="00C72502">
              <w:rPr>
                <w:sz w:val="20"/>
                <w:szCs w:val="18"/>
              </w:rPr>
              <w:t>12.981</w:t>
            </w:r>
            <w:r w:rsidR="00473470" w:rsidRPr="00C72502">
              <w:rPr>
                <w:sz w:val="20"/>
                <w:szCs w:val="18"/>
              </w:rPr>
              <w:t xml:space="preserve"> </w:t>
            </w:r>
            <w:r w:rsidR="005D48D4">
              <w:rPr>
                <w:sz w:val="20"/>
                <w:szCs w:val="18"/>
              </w:rPr>
              <w:t xml:space="preserve">of </w:t>
            </w:r>
            <w:r w:rsidR="00473470" w:rsidRPr="00C72502">
              <w:rPr>
                <w:sz w:val="20"/>
                <w:szCs w:val="18"/>
              </w:rPr>
              <w:t xml:space="preserve">enforced debtors </w:t>
            </w:r>
            <w:r w:rsidR="00133462">
              <w:rPr>
                <w:sz w:val="20"/>
                <w:szCs w:val="18"/>
              </w:rPr>
              <w:t>were</w:t>
            </w:r>
            <w:r w:rsidR="00473470" w:rsidRPr="00C72502">
              <w:rPr>
                <w:sz w:val="20"/>
                <w:szCs w:val="18"/>
              </w:rPr>
              <w:t xml:space="preserve"> frozen in December or </w:t>
            </w:r>
            <w:r w:rsidR="00DB721D" w:rsidRPr="00C72502">
              <w:rPr>
                <w:sz w:val="20"/>
                <w:szCs w:val="18"/>
              </w:rPr>
              <w:t>23</w:t>
            </w:r>
            <w:r w:rsidR="00473470" w:rsidRPr="00C72502">
              <w:rPr>
                <w:sz w:val="20"/>
                <w:szCs w:val="18"/>
              </w:rPr>
              <w:t>.5</w:t>
            </w:r>
            <w:r w:rsidR="00DB721D" w:rsidRPr="00C72502">
              <w:rPr>
                <w:sz w:val="20"/>
                <w:szCs w:val="18"/>
              </w:rPr>
              <w:t xml:space="preserve">%, </w:t>
            </w:r>
            <w:r w:rsidR="00473470" w:rsidRPr="00C72502">
              <w:rPr>
                <w:sz w:val="20"/>
                <w:szCs w:val="18"/>
              </w:rPr>
              <w:t>which represent</w:t>
            </w:r>
            <w:r w:rsidR="00133462">
              <w:rPr>
                <w:sz w:val="20"/>
                <w:szCs w:val="18"/>
              </w:rPr>
              <w:t>ed</w:t>
            </w:r>
            <w:r w:rsidR="00473470" w:rsidRPr="00C72502">
              <w:rPr>
                <w:sz w:val="20"/>
                <w:szCs w:val="18"/>
              </w:rPr>
              <w:t xml:space="preserve"> an increase of </w:t>
            </w:r>
            <w:r w:rsidR="00DB721D" w:rsidRPr="00C72502">
              <w:rPr>
                <w:sz w:val="20"/>
                <w:szCs w:val="18"/>
              </w:rPr>
              <w:t>1</w:t>
            </w:r>
            <w:r w:rsidR="00473470"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>72%</w:t>
            </w:r>
            <w:r w:rsidR="00473470" w:rsidRPr="00C72502">
              <w:rPr>
                <w:sz w:val="20"/>
                <w:szCs w:val="18"/>
              </w:rPr>
              <w:t xml:space="preserve"> relative to the previous month</w:t>
            </w:r>
            <w:r w:rsidR="00DB721D" w:rsidRPr="00C72502">
              <w:rPr>
                <w:sz w:val="20"/>
                <w:szCs w:val="18"/>
              </w:rPr>
              <w:t xml:space="preserve">. </w:t>
            </w:r>
            <w:r w:rsidR="00473470" w:rsidRPr="00C72502">
              <w:rPr>
                <w:sz w:val="20"/>
                <w:szCs w:val="18"/>
              </w:rPr>
              <w:t xml:space="preserve">Total amount of debt, based on which the accounts were frozen, amounted to </w:t>
            </w:r>
            <w:r w:rsidR="00DB721D" w:rsidRPr="00C72502">
              <w:rPr>
                <w:sz w:val="20"/>
                <w:szCs w:val="18"/>
              </w:rPr>
              <w:t>437</w:t>
            </w:r>
            <w:r w:rsidR="00473470"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>0 mil</w:t>
            </w:r>
            <w:r w:rsidR="00473470" w:rsidRPr="00C72502">
              <w:rPr>
                <w:sz w:val="20"/>
                <w:szCs w:val="18"/>
              </w:rPr>
              <w:t xml:space="preserve">lion </w:t>
            </w:r>
            <w:r w:rsidR="00DB721D" w:rsidRPr="00C72502">
              <w:rPr>
                <w:sz w:val="20"/>
                <w:szCs w:val="18"/>
              </w:rPr>
              <w:t xml:space="preserve">€ </w:t>
            </w:r>
            <w:r w:rsidR="00473470" w:rsidRPr="00C72502">
              <w:rPr>
                <w:sz w:val="20"/>
                <w:szCs w:val="18"/>
              </w:rPr>
              <w:t>and it showed an increase of 2.</w:t>
            </w:r>
            <w:r w:rsidR="00DB721D" w:rsidRPr="00C72502">
              <w:rPr>
                <w:sz w:val="20"/>
                <w:szCs w:val="18"/>
              </w:rPr>
              <w:t xml:space="preserve">62% </w:t>
            </w:r>
            <w:r w:rsidR="00473470" w:rsidRPr="00C72502">
              <w:rPr>
                <w:sz w:val="20"/>
                <w:szCs w:val="18"/>
              </w:rPr>
              <w:t xml:space="preserve">compared to the previous month, while it declined </w:t>
            </w:r>
            <w:r w:rsidR="00133462">
              <w:rPr>
                <w:sz w:val="20"/>
                <w:szCs w:val="18"/>
              </w:rPr>
              <w:t xml:space="preserve">annually </w:t>
            </w:r>
            <w:r w:rsidR="00473470" w:rsidRPr="00C72502">
              <w:rPr>
                <w:sz w:val="20"/>
                <w:szCs w:val="18"/>
              </w:rPr>
              <w:t xml:space="preserve">by </w:t>
            </w:r>
            <w:r w:rsidR="00DB721D" w:rsidRPr="00C72502">
              <w:rPr>
                <w:sz w:val="20"/>
                <w:szCs w:val="18"/>
              </w:rPr>
              <w:t>1</w:t>
            </w:r>
            <w:r w:rsidR="00473470" w:rsidRPr="00C72502">
              <w:rPr>
                <w:sz w:val="20"/>
                <w:szCs w:val="18"/>
              </w:rPr>
              <w:t>.</w:t>
            </w:r>
            <w:r w:rsidR="00DB721D" w:rsidRPr="00C72502">
              <w:rPr>
                <w:sz w:val="20"/>
                <w:szCs w:val="18"/>
              </w:rPr>
              <w:t>8%.</w:t>
            </w:r>
          </w:p>
          <w:p w:rsidR="00DB721D" w:rsidRPr="00C72502" w:rsidRDefault="00DB721D" w:rsidP="00DB72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B721D" w:rsidRPr="00C72502" w:rsidRDefault="00DB721D" w:rsidP="00DB721D">
            <w:pPr>
              <w:jc w:val="center"/>
              <w:rPr>
                <w:sz w:val="17"/>
                <w:szCs w:val="17"/>
                <w:lang w:eastAsia="sr-Latn-CS"/>
              </w:rPr>
            </w:pPr>
            <w:r w:rsidRPr="00C72502">
              <w:rPr>
                <w:noProof/>
                <w:sz w:val="17"/>
                <w:szCs w:val="17"/>
                <w:lang w:val="en-US"/>
              </w:rPr>
              <w:drawing>
                <wp:inline distT="0" distB="0" distL="0" distR="0">
                  <wp:extent cx="2241550" cy="2286000"/>
                  <wp:effectExtent l="0" t="0" r="0" b="0"/>
                  <wp:docPr id="6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DB721D" w:rsidRPr="00C72502" w:rsidTr="00026185">
        <w:trPr>
          <w:trHeight w:hRule="exact" w:val="6882"/>
        </w:trPr>
        <w:tc>
          <w:tcPr>
            <w:tcW w:w="7054" w:type="dxa"/>
            <w:tcBorders>
              <w:bottom w:val="thinThickSmallGap" w:sz="18" w:space="0" w:color="auto"/>
            </w:tcBorders>
          </w:tcPr>
          <w:p w:rsidR="00B603E6" w:rsidRPr="00C72502" w:rsidRDefault="00B603E6" w:rsidP="008E4582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18"/>
              </w:rPr>
            </w:pPr>
            <w:r w:rsidRPr="00C72502">
              <w:rPr>
                <w:rFonts w:asciiTheme="minorHAnsi" w:hAnsiTheme="minorHAnsi" w:cs="Arial"/>
                <w:b/>
                <w:sz w:val="20"/>
                <w:szCs w:val="18"/>
              </w:rPr>
              <w:lastRenderedPageBreak/>
              <w:t xml:space="preserve">7. </w:t>
            </w:r>
            <w:r w:rsidR="00473470" w:rsidRPr="00C72502">
              <w:rPr>
                <w:rFonts w:asciiTheme="minorHAnsi" w:hAnsiTheme="minorHAnsi" w:cs="Arial"/>
                <w:b/>
                <w:sz w:val="20"/>
                <w:szCs w:val="18"/>
              </w:rPr>
              <w:t>Foreign Trade Exchange and Investment</w:t>
            </w:r>
            <w:r w:rsidR="00133462">
              <w:rPr>
                <w:rFonts w:asciiTheme="minorHAnsi" w:hAnsiTheme="minorHAnsi" w:cs="Arial"/>
                <w:b/>
                <w:sz w:val="20"/>
                <w:szCs w:val="18"/>
              </w:rPr>
              <w:t>s</w:t>
            </w:r>
          </w:p>
          <w:p w:rsidR="00DB721D" w:rsidRPr="00C72502" w:rsidRDefault="0050767C" w:rsidP="00026185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cs="Arial"/>
              </w:rPr>
            </w:pPr>
            <w:r w:rsidRPr="00C72502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="00133462">
              <w:rPr>
                <w:rFonts w:cstheme="minorHAnsi"/>
                <w:b/>
                <w:sz w:val="20"/>
                <w:szCs w:val="20"/>
              </w:rPr>
              <w:t>visible</w:t>
            </w:r>
            <w:r w:rsidRPr="00C72502">
              <w:rPr>
                <w:rFonts w:cstheme="minorHAnsi"/>
                <w:b/>
                <w:sz w:val="20"/>
                <w:szCs w:val="20"/>
              </w:rPr>
              <w:t xml:space="preserve"> trade amounted to </w:t>
            </w:r>
            <w:r w:rsidR="00B603E6" w:rsidRPr="00C72502">
              <w:rPr>
                <w:rFonts w:cstheme="minorHAnsi"/>
                <w:b/>
                <w:sz w:val="20"/>
                <w:szCs w:val="20"/>
              </w:rPr>
              <w:t>2.148</w:t>
            </w:r>
            <w:r w:rsidRPr="00C72502">
              <w:rPr>
                <w:rFonts w:cstheme="minorHAnsi"/>
                <w:b/>
                <w:sz w:val="20"/>
                <w:szCs w:val="20"/>
              </w:rPr>
              <w:t>.</w:t>
            </w:r>
            <w:r w:rsidR="00B603E6" w:rsidRPr="00C72502">
              <w:rPr>
                <w:rFonts w:cstheme="minorHAnsi"/>
                <w:b/>
                <w:sz w:val="20"/>
                <w:szCs w:val="20"/>
              </w:rPr>
              <w:t>8 mil</w:t>
            </w:r>
            <w:r w:rsidRPr="00C72502">
              <w:rPr>
                <w:rFonts w:cstheme="minorHAnsi"/>
                <w:b/>
                <w:sz w:val="20"/>
                <w:szCs w:val="20"/>
              </w:rPr>
              <w:t xml:space="preserve">lion </w:t>
            </w:r>
            <w:r w:rsidR="00B603E6" w:rsidRPr="00C72502">
              <w:rPr>
                <w:rFonts w:cstheme="minorHAnsi"/>
                <w:b/>
                <w:sz w:val="20"/>
                <w:szCs w:val="20"/>
              </w:rPr>
              <w:t>€</w:t>
            </w:r>
            <w:r w:rsidRPr="00C72502">
              <w:rPr>
                <w:rFonts w:cstheme="minorHAnsi"/>
                <w:b/>
                <w:sz w:val="20"/>
                <w:szCs w:val="20"/>
              </w:rPr>
              <w:t xml:space="preserve"> in 2013, which resulted in y-o-y decline of </w:t>
            </w:r>
            <w:r w:rsidR="00B603E6" w:rsidRPr="00C72502">
              <w:rPr>
                <w:rFonts w:cstheme="minorHAnsi"/>
                <w:b/>
                <w:sz w:val="20"/>
                <w:szCs w:val="20"/>
              </w:rPr>
              <w:t>1</w:t>
            </w:r>
            <w:r w:rsidRPr="00C72502">
              <w:rPr>
                <w:rFonts w:cstheme="minorHAnsi"/>
                <w:b/>
                <w:sz w:val="20"/>
                <w:szCs w:val="20"/>
              </w:rPr>
              <w:t>.</w:t>
            </w:r>
            <w:r w:rsidR="00B603E6" w:rsidRPr="00C72502">
              <w:rPr>
                <w:rFonts w:cstheme="minorHAnsi"/>
                <w:b/>
                <w:sz w:val="20"/>
                <w:szCs w:val="20"/>
              </w:rPr>
              <w:t>8%</w:t>
            </w:r>
            <w:r w:rsidRPr="00C72502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C72502">
              <w:rPr>
                <w:rFonts w:cstheme="minorHAnsi"/>
                <w:sz w:val="20"/>
                <w:szCs w:val="20"/>
              </w:rPr>
              <w:t xml:space="preserve">Export of </w:t>
            </w:r>
            <w:r w:rsidRPr="00C72502">
              <w:rPr>
                <w:color w:val="000000"/>
                <w:sz w:val="20"/>
                <w:szCs w:val="20"/>
              </w:rPr>
              <w:t xml:space="preserve">goods amounted to </w:t>
            </w:r>
            <w:r w:rsidRPr="00C72502">
              <w:rPr>
                <w:sz w:val="20"/>
                <w:szCs w:val="20"/>
              </w:rPr>
              <w:t>375.5</w:t>
            </w:r>
            <w:r w:rsidR="00133462">
              <w:rPr>
                <w:sz w:val="20"/>
                <w:szCs w:val="20"/>
              </w:rPr>
              <w:t xml:space="preserve"> </w:t>
            </w:r>
            <w:r w:rsidRPr="00C72502">
              <w:rPr>
                <w:sz w:val="20"/>
                <w:szCs w:val="20"/>
              </w:rPr>
              <w:t xml:space="preserve">million € or it increased by 2.4%, while </w:t>
            </w:r>
            <w:r w:rsidRPr="00C72502">
              <w:rPr>
                <w:b/>
                <w:sz w:val="20"/>
                <w:szCs w:val="20"/>
              </w:rPr>
              <w:t>import</w:t>
            </w:r>
            <w:r w:rsidR="00B54061">
              <w:rPr>
                <w:b/>
                <w:sz w:val="20"/>
                <w:szCs w:val="20"/>
              </w:rPr>
              <w:t>s</w:t>
            </w:r>
            <w:r w:rsidRPr="00C72502">
              <w:rPr>
                <w:b/>
                <w:sz w:val="20"/>
                <w:szCs w:val="20"/>
              </w:rPr>
              <w:t xml:space="preserve"> </w:t>
            </w:r>
            <w:r w:rsidRPr="00C72502">
              <w:rPr>
                <w:sz w:val="20"/>
                <w:szCs w:val="20"/>
              </w:rPr>
              <w:t xml:space="preserve">amounted to </w:t>
            </w:r>
            <w:r w:rsidR="00B603E6" w:rsidRPr="00C72502">
              <w:rPr>
                <w:sz w:val="20"/>
                <w:szCs w:val="20"/>
              </w:rPr>
              <w:t>1.773</w:t>
            </w:r>
            <w:r w:rsidRPr="00C72502">
              <w:rPr>
                <w:sz w:val="20"/>
                <w:szCs w:val="20"/>
              </w:rPr>
              <w:t>.</w:t>
            </w:r>
            <w:r w:rsidR="00B603E6" w:rsidRPr="00C72502">
              <w:rPr>
                <w:sz w:val="20"/>
                <w:szCs w:val="20"/>
              </w:rPr>
              <w:t>2 mil</w:t>
            </w:r>
            <w:r w:rsidRPr="00C72502">
              <w:rPr>
                <w:sz w:val="20"/>
                <w:szCs w:val="20"/>
              </w:rPr>
              <w:t xml:space="preserve">lion </w:t>
            </w:r>
            <w:r w:rsidR="00B603E6" w:rsidRPr="00C72502">
              <w:rPr>
                <w:sz w:val="20"/>
                <w:szCs w:val="20"/>
              </w:rPr>
              <w:t>€</w:t>
            </w:r>
            <w:r w:rsidRPr="00C72502">
              <w:rPr>
                <w:sz w:val="20"/>
                <w:szCs w:val="20"/>
              </w:rPr>
              <w:t xml:space="preserve">, </w:t>
            </w:r>
            <w:r w:rsidR="00133462">
              <w:rPr>
                <w:sz w:val="20"/>
                <w:szCs w:val="20"/>
              </w:rPr>
              <w:t>and it</w:t>
            </w:r>
            <w:r w:rsidRPr="00C72502">
              <w:rPr>
                <w:sz w:val="20"/>
                <w:szCs w:val="20"/>
              </w:rPr>
              <w:t xml:space="preserve"> decreased by </w:t>
            </w:r>
            <w:r w:rsidR="00B603E6" w:rsidRPr="00C72502">
              <w:rPr>
                <w:sz w:val="20"/>
                <w:szCs w:val="20"/>
              </w:rPr>
              <w:t>2</w:t>
            </w:r>
            <w:r w:rsidRPr="00C72502">
              <w:rPr>
                <w:sz w:val="20"/>
                <w:szCs w:val="20"/>
              </w:rPr>
              <w:t>.</w:t>
            </w:r>
            <w:r w:rsidR="00B603E6" w:rsidRPr="00C72502">
              <w:rPr>
                <w:sz w:val="20"/>
                <w:szCs w:val="20"/>
              </w:rPr>
              <w:t xml:space="preserve">6%. </w:t>
            </w:r>
            <w:r w:rsidR="00133462">
              <w:rPr>
                <w:sz w:val="20"/>
                <w:szCs w:val="20"/>
              </w:rPr>
              <w:t xml:space="preserve">Goods </w:t>
            </w:r>
            <w:r w:rsidR="00133462" w:rsidRPr="00C72502">
              <w:rPr>
                <w:sz w:val="20"/>
                <w:szCs w:val="20"/>
              </w:rPr>
              <w:t>deficit</w:t>
            </w:r>
            <w:r w:rsidRPr="00C72502">
              <w:rPr>
                <w:sz w:val="20"/>
                <w:szCs w:val="20"/>
              </w:rPr>
              <w:t xml:space="preserve"> amounted to </w:t>
            </w:r>
            <w:r w:rsidR="00B603E6" w:rsidRPr="00C72502">
              <w:rPr>
                <w:sz w:val="20"/>
                <w:szCs w:val="20"/>
              </w:rPr>
              <w:t>1.397</w:t>
            </w:r>
            <w:r w:rsidRPr="00C72502">
              <w:rPr>
                <w:sz w:val="20"/>
                <w:szCs w:val="20"/>
              </w:rPr>
              <w:t>.</w:t>
            </w:r>
            <w:r w:rsidR="00B603E6" w:rsidRPr="00C72502">
              <w:rPr>
                <w:sz w:val="20"/>
                <w:szCs w:val="20"/>
              </w:rPr>
              <w:t>7</w:t>
            </w:r>
            <w:r w:rsidR="00133462">
              <w:rPr>
                <w:sz w:val="20"/>
                <w:szCs w:val="20"/>
              </w:rPr>
              <w:t xml:space="preserve"> </w:t>
            </w:r>
            <w:r w:rsidR="00B603E6" w:rsidRPr="00C72502">
              <w:rPr>
                <w:sz w:val="20"/>
                <w:szCs w:val="20"/>
              </w:rPr>
              <w:t>mil</w:t>
            </w:r>
            <w:r w:rsidRPr="00C72502">
              <w:rPr>
                <w:sz w:val="20"/>
                <w:szCs w:val="20"/>
              </w:rPr>
              <w:t xml:space="preserve">lion </w:t>
            </w:r>
            <w:r w:rsidR="00B603E6" w:rsidRPr="00C72502">
              <w:rPr>
                <w:sz w:val="20"/>
                <w:szCs w:val="20"/>
              </w:rPr>
              <w:t xml:space="preserve">€ </w:t>
            </w:r>
            <w:r w:rsidRPr="00C72502">
              <w:rPr>
                <w:sz w:val="20"/>
                <w:szCs w:val="20"/>
              </w:rPr>
              <w:t xml:space="preserve">and it declined by </w:t>
            </w:r>
            <w:r w:rsidR="00B603E6" w:rsidRPr="00C72502">
              <w:rPr>
                <w:sz w:val="20"/>
                <w:szCs w:val="20"/>
              </w:rPr>
              <w:t>3</w:t>
            </w:r>
            <w:r w:rsidRPr="00C72502">
              <w:rPr>
                <w:sz w:val="20"/>
                <w:szCs w:val="20"/>
              </w:rPr>
              <w:t>.</w:t>
            </w:r>
            <w:r w:rsidR="00B603E6" w:rsidRPr="00C72502">
              <w:rPr>
                <w:sz w:val="20"/>
                <w:szCs w:val="20"/>
              </w:rPr>
              <w:t xml:space="preserve">9%, </w:t>
            </w:r>
            <w:r w:rsidRPr="00C72502">
              <w:rPr>
                <w:sz w:val="20"/>
                <w:szCs w:val="20"/>
              </w:rPr>
              <w:t xml:space="preserve">while import-export coverage increased by </w:t>
            </w:r>
            <w:r w:rsidR="00B603E6" w:rsidRPr="00C72502">
              <w:rPr>
                <w:sz w:val="20"/>
                <w:szCs w:val="20"/>
              </w:rPr>
              <w:t>1</w:t>
            </w:r>
            <w:r w:rsidRPr="00C72502">
              <w:rPr>
                <w:sz w:val="20"/>
                <w:szCs w:val="20"/>
              </w:rPr>
              <w:t>.</w:t>
            </w:r>
            <w:r w:rsidR="00B603E6" w:rsidRPr="00C72502">
              <w:rPr>
                <w:sz w:val="20"/>
                <w:szCs w:val="20"/>
              </w:rPr>
              <w:t>0 p</w:t>
            </w:r>
            <w:r w:rsidRPr="00C72502">
              <w:rPr>
                <w:sz w:val="20"/>
                <w:szCs w:val="20"/>
              </w:rPr>
              <w:t>ercentage points relative to 2012. Quarterly analysis indicates to high export growth rates</w:t>
            </w:r>
            <w:r w:rsidR="00133462">
              <w:rPr>
                <w:sz w:val="20"/>
                <w:szCs w:val="20"/>
              </w:rPr>
              <w:t>, where</w:t>
            </w:r>
            <w:r w:rsidRPr="00C72502">
              <w:rPr>
                <w:sz w:val="20"/>
                <w:szCs w:val="20"/>
              </w:rPr>
              <w:t xml:space="preserve"> the highest amplitude</w:t>
            </w:r>
            <w:r w:rsidR="00133462" w:rsidRPr="00C72502">
              <w:rPr>
                <w:sz w:val="20"/>
                <w:szCs w:val="20"/>
              </w:rPr>
              <w:t xml:space="preserve"> of 9.4% </w:t>
            </w:r>
            <w:r w:rsidR="00133462">
              <w:rPr>
                <w:sz w:val="20"/>
                <w:szCs w:val="20"/>
              </w:rPr>
              <w:t>was recorded</w:t>
            </w:r>
            <w:r w:rsidRPr="00C72502">
              <w:rPr>
                <w:sz w:val="20"/>
                <w:szCs w:val="20"/>
              </w:rPr>
              <w:t xml:space="preserve"> in Q2</w:t>
            </w:r>
            <w:r w:rsidR="00133462">
              <w:rPr>
                <w:sz w:val="20"/>
                <w:szCs w:val="20"/>
              </w:rPr>
              <w:t xml:space="preserve"> 2013</w:t>
            </w:r>
            <w:r w:rsidRPr="00C72502">
              <w:rPr>
                <w:sz w:val="20"/>
                <w:szCs w:val="20"/>
              </w:rPr>
              <w:t xml:space="preserve"> relative to Q2 </w:t>
            </w:r>
            <w:r w:rsidR="00642F40" w:rsidRPr="00C72502">
              <w:rPr>
                <w:sz w:val="20"/>
                <w:szCs w:val="20"/>
              </w:rPr>
              <w:t>2012.</w:t>
            </w:r>
            <w:r w:rsidR="00133462">
              <w:rPr>
                <w:sz w:val="20"/>
                <w:szCs w:val="20"/>
              </w:rPr>
              <w:t xml:space="preserve"> </w:t>
            </w:r>
            <w:r w:rsidR="008B26A3" w:rsidRPr="00C72502">
              <w:rPr>
                <w:sz w:val="20"/>
                <w:szCs w:val="20"/>
              </w:rPr>
              <w:t>A declining quarter dynamics of import</w:t>
            </w:r>
            <w:r w:rsidR="00133462">
              <w:rPr>
                <w:sz w:val="20"/>
                <w:szCs w:val="20"/>
              </w:rPr>
              <w:t>s</w:t>
            </w:r>
            <w:r w:rsidR="008B26A3" w:rsidRPr="00C72502">
              <w:rPr>
                <w:sz w:val="20"/>
                <w:szCs w:val="20"/>
              </w:rPr>
              <w:t xml:space="preserve"> show</w:t>
            </w:r>
            <w:r w:rsidR="00133462">
              <w:rPr>
                <w:sz w:val="20"/>
                <w:szCs w:val="20"/>
              </w:rPr>
              <w:t>s</w:t>
            </w:r>
            <w:r w:rsidR="008B26A3" w:rsidRPr="00C72502">
              <w:rPr>
                <w:sz w:val="20"/>
                <w:szCs w:val="20"/>
              </w:rPr>
              <w:t xml:space="preserve"> that the highest fall </w:t>
            </w:r>
            <w:r w:rsidR="00B54061" w:rsidRPr="00C72502">
              <w:rPr>
                <w:sz w:val="20"/>
                <w:szCs w:val="20"/>
              </w:rPr>
              <w:t xml:space="preserve">of 8.8% </w:t>
            </w:r>
            <w:r w:rsidR="008B26A3" w:rsidRPr="00C72502">
              <w:rPr>
                <w:sz w:val="20"/>
                <w:szCs w:val="20"/>
              </w:rPr>
              <w:t>was recorded in Q1</w:t>
            </w:r>
            <w:r w:rsidR="00B54061">
              <w:rPr>
                <w:sz w:val="20"/>
                <w:szCs w:val="20"/>
              </w:rPr>
              <w:t xml:space="preserve"> 2013</w:t>
            </w:r>
            <w:r w:rsidR="008B26A3" w:rsidRPr="00C72502">
              <w:rPr>
                <w:sz w:val="20"/>
                <w:szCs w:val="20"/>
              </w:rPr>
              <w:t xml:space="preserve"> compared to Q1</w:t>
            </w:r>
            <w:r w:rsidR="008B58DE" w:rsidRPr="00C72502">
              <w:rPr>
                <w:sz w:val="20"/>
                <w:szCs w:val="20"/>
              </w:rPr>
              <w:t xml:space="preserve"> 2012. </w:t>
            </w:r>
            <w:r w:rsidR="008B26A3" w:rsidRPr="00C72502">
              <w:rPr>
                <w:sz w:val="20"/>
                <w:szCs w:val="20"/>
              </w:rPr>
              <w:t xml:space="preserve">Electricity export increased by </w:t>
            </w:r>
            <w:r w:rsidR="00B603E6" w:rsidRPr="00C72502">
              <w:rPr>
                <w:rFonts w:cstheme="minorHAnsi"/>
                <w:sz w:val="20"/>
                <w:szCs w:val="20"/>
              </w:rPr>
              <w:t>57</w:t>
            </w:r>
            <w:r w:rsidR="008B26A3" w:rsidRPr="00C72502">
              <w:rPr>
                <w:rFonts w:cstheme="minorHAnsi"/>
                <w:sz w:val="20"/>
                <w:szCs w:val="20"/>
              </w:rPr>
              <w:t>.</w:t>
            </w:r>
            <w:r w:rsidR="00B603E6" w:rsidRPr="00C72502">
              <w:rPr>
                <w:rFonts w:cstheme="minorHAnsi"/>
                <w:sz w:val="20"/>
                <w:szCs w:val="20"/>
              </w:rPr>
              <w:t>3</w:t>
            </w:r>
            <w:r w:rsidR="00B54061">
              <w:rPr>
                <w:rFonts w:cstheme="minorHAnsi"/>
                <w:sz w:val="20"/>
                <w:szCs w:val="20"/>
              </w:rPr>
              <w:t xml:space="preserve"> </w:t>
            </w:r>
            <w:r w:rsidR="00B603E6" w:rsidRPr="00C72502">
              <w:rPr>
                <w:rFonts w:cstheme="minorHAnsi"/>
                <w:sz w:val="20"/>
                <w:szCs w:val="20"/>
              </w:rPr>
              <w:t>mil</w:t>
            </w:r>
            <w:r w:rsidR="008B26A3" w:rsidRPr="00C72502">
              <w:rPr>
                <w:rFonts w:cstheme="minorHAnsi"/>
                <w:sz w:val="20"/>
                <w:szCs w:val="20"/>
              </w:rPr>
              <w:t xml:space="preserve">lion </w:t>
            </w:r>
            <w:r w:rsidR="00B603E6" w:rsidRPr="00C72502">
              <w:rPr>
                <w:rFonts w:cstheme="minorHAnsi"/>
                <w:sz w:val="20"/>
                <w:szCs w:val="20"/>
              </w:rPr>
              <w:t xml:space="preserve">€, </w:t>
            </w:r>
            <w:r w:rsidR="008B26A3" w:rsidRPr="00C72502">
              <w:rPr>
                <w:rFonts w:cstheme="minorHAnsi"/>
                <w:sz w:val="20"/>
                <w:szCs w:val="20"/>
              </w:rPr>
              <w:t xml:space="preserve">while imports declined by </w:t>
            </w:r>
            <w:r w:rsidR="00B603E6" w:rsidRPr="00C72502">
              <w:rPr>
                <w:rFonts w:cstheme="minorHAnsi"/>
                <w:sz w:val="20"/>
                <w:szCs w:val="20"/>
              </w:rPr>
              <w:t>52</w:t>
            </w:r>
            <w:r w:rsidR="008B26A3" w:rsidRPr="00C72502">
              <w:rPr>
                <w:rFonts w:cstheme="minorHAnsi"/>
                <w:sz w:val="20"/>
                <w:szCs w:val="20"/>
              </w:rPr>
              <w:t>.</w:t>
            </w:r>
            <w:r w:rsidR="00B603E6" w:rsidRPr="00C72502">
              <w:rPr>
                <w:rFonts w:cstheme="minorHAnsi"/>
                <w:sz w:val="20"/>
                <w:szCs w:val="20"/>
              </w:rPr>
              <w:t>0</w:t>
            </w:r>
            <w:r w:rsidR="00B54061">
              <w:rPr>
                <w:rFonts w:cstheme="minorHAnsi"/>
                <w:sz w:val="20"/>
                <w:szCs w:val="20"/>
              </w:rPr>
              <w:t xml:space="preserve"> </w:t>
            </w:r>
            <w:r w:rsidR="00B603E6" w:rsidRPr="00C72502">
              <w:rPr>
                <w:rFonts w:cstheme="minorHAnsi"/>
                <w:sz w:val="20"/>
                <w:szCs w:val="20"/>
              </w:rPr>
              <w:t>mil</w:t>
            </w:r>
            <w:r w:rsidR="008B26A3" w:rsidRPr="00C72502">
              <w:rPr>
                <w:rFonts w:cstheme="minorHAnsi"/>
                <w:sz w:val="20"/>
                <w:szCs w:val="20"/>
              </w:rPr>
              <w:t xml:space="preserve">lion </w:t>
            </w:r>
            <w:r w:rsidR="00B603E6" w:rsidRPr="00C72502">
              <w:rPr>
                <w:rFonts w:cstheme="minorHAnsi"/>
                <w:sz w:val="20"/>
                <w:szCs w:val="20"/>
              </w:rPr>
              <w:t>€</w:t>
            </w:r>
            <w:r w:rsidR="008B26A3" w:rsidRPr="00C72502">
              <w:rPr>
                <w:rFonts w:cstheme="minorHAnsi"/>
                <w:sz w:val="20"/>
                <w:szCs w:val="20"/>
              </w:rPr>
              <w:t xml:space="preserve"> due to an increase in the volume of electricity production by </w:t>
            </w:r>
            <w:r w:rsidR="00B603E6" w:rsidRPr="00C72502">
              <w:rPr>
                <w:rFonts w:cstheme="minorHAnsi"/>
                <w:sz w:val="20"/>
                <w:szCs w:val="20"/>
              </w:rPr>
              <w:t>40</w:t>
            </w:r>
            <w:r w:rsidR="008B26A3" w:rsidRPr="00C72502">
              <w:rPr>
                <w:rFonts w:cstheme="minorHAnsi"/>
                <w:sz w:val="20"/>
                <w:szCs w:val="20"/>
              </w:rPr>
              <w:t>.</w:t>
            </w:r>
            <w:r w:rsidR="00B603E6" w:rsidRPr="00C72502">
              <w:rPr>
                <w:rFonts w:cstheme="minorHAnsi"/>
                <w:sz w:val="20"/>
                <w:szCs w:val="20"/>
              </w:rPr>
              <w:t xml:space="preserve">3% </w:t>
            </w:r>
            <w:r w:rsidR="008B26A3" w:rsidRPr="00C72502">
              <w:rPr>
                <w:rFonts w:cstheme="minorHAnsi"/>
                <w:sz w:val="20"/>
                <w:szCs w:val="20"/>
              </w:rPr>
              <w:t xml:space="preserve">and decline in </w:t>
            </w:r>
            <w:r w:rsidR="008317E4">
              <w:rPr>
                <w:rFonts w:cstheme="minorHAnsi"/>
                <w:sz w:val="20"/>
                <w:szCs w:val="20"/>
              </w:rPr>
              <w:t xml:space="preserve">the </w:t>
            </w:r>
            <w:r w:rsidR="008317E4" w:rsidRPr="00C72502">
              <w:rPr>
                <w:rFonts w:cstheme="minorHAnsi"/>
                <w:sz w:val="20"/>
                <w:szCs w:val="20"/>
              </w:rPr>
              <w:t>consumption</w:t>
            </w:r>
            <w:r w:rsidR="008317E4" w:rsidRPr="00C72502">
              <w:rPr>
                <w:rFonts w:cstheme="minorHAnsi"/>
                <w:sz w:val="20"/>
                <w:szCs w:val="20"/>
              </w:rPr>
              <w:t xml:space="preserve"> </w:t>
            </w:r>
            <w:r w:rsidR="008317E4">
              <w:rPr>
                <w:rFonts w:cstheme="minorHAnsi"/>
                <w:sz w:val="20"/>
                <w:szCs w:val="20"/>
              </w:rPr>
              <w:t xml:space="preserve">of </w:t>
            </w:r>
            <w:r w:rsidR="008B26A3" w:rsidRPr="00C72502">
              <w:rPr>
                <w:rFonts w:cstheme="minorHAnsi"/>
                <w:sz w:val="20"/>
                <w:szCs w:val="20"/>
              </w:rPr>
              <w:t>KAP</w:t>
            </w:r>
            <w:r w:rsidR="008317E4">
              <w:rPr>
                <w:rFonts w:cstheme="minorHAnsi"/>
                <w:sz w:val="20"/>
                <w:szCs w:val="20"/>
              </w:rPr>
              <w:t xml:space="preserve"> </w:t>
            </w:r>
            <w:r w:rsidR="008B26A3" w:rsidRPr="00C72502">
              <w:rPr>
                <w:rFonts w:cstheme="minorHAnsi"/>
                <w:sz w:val="20"/>
                <w:szCs w:val="20"/>
              </w:rPr>
              <w:t>as the largest consumer</w:t>
            </w:r>
            <w:r w:rsidR="00B603E6" w:rsidRPr="00C72502">
              <w:rPr>
                <w:rFonts w:cstheme="minorHAnsi"/>
                <w:sz w:val="20"/>
                <w:szCs w:val="20"/>
              </w:rPr>
              <w:t xml:space="preserve">. </w:t>
            </w:r>
            <w:r w:rsidR="008B26A3" w:rsidRPr="00C72502">
              <w:rPr>
                <w:rFonts w:cstheme="minorHAnsi"/>
                <w:sz w:val="20"/>
                <w:szCs w:val="20"/>
              </w:rPr>
              <w:t xml:space="preserve">Export of aluminium, and iron and steel declined by </w:t>
            </w:r>
            <w:r w:rsidR="00B603E6" w:rsidRPr="00C72502">
              <w:rPr>
                <w:rFonts w:cstheme="minorHAnsi"/>
                <w:sz w:val="20"/>
                <w:szCs w:val="20"/>
              </w:rPr>
              <w:t>38</w:t>
            </w:r>
            <w:r w:rsidR="008B26A3" w:rsidRPr="00C72502">
              <w:rPr>
                <w:rFonts w:cstheme="minorHAnsi"/>
                <w:sz w:val="20"/>
                <w:szCs w:val="20"/>
              </w:rPr>
              <w:t>.</w:t>
            </w:r>
            <w:r w:rsidR="00B603E6" w:rsidRPr="00C72502">
              <w:rPr>
                <w:rFonts w:cstheme="minorHAnsi"/>
                <w:sz w:val="20"/>
                <w:szCs w:val="20"/>
              </w:rPr>
              <w:t xml:space="preserve">0% </w:t>
            </w:r>
            <w:r w:rsidR="008B26A3" w:rsidRPr="00C72502">
              <w:rPr>
                <w:rFonts w:cstheme="minorHAnsi"/>
                <w:sz w:val="20"/>
                <w:szCs w:val="20"/>
              </w:rPr>
              <w:t>and</w:t>
            </w:r>
            <w:r w:rsidR="00B603E6" w:rsidRPr="00C72502">
              <w:rPr>
                <w:rFonts w:cstheme="minorHAnsi"/>
                <w:sz w:val="20"/>
                <w:szCs w:val="20"/>
              </w:rPr>
              <w:t xml:space="preserve"> 25</w:t>
            </w:r>
            <w:r w:rsidR="008B26A3" w:rsidRPr="00C72502">
              <w:rPr>
                <w:rFonts w:cstheme="minorHAnsi"/>
                <w:sz w:val="20"/>
                <w:szCs w:val="20"/>
              </w:rPr>
              <w:t>.</w:t>
            </w:r>
            <w:r w:rsidR="00B603E6" w:rsidRPr="00C72502">
              <w:rPr>
                <w:rFonts w:cstheme="minorHAnsi"/>
                <w:sz w:val="20"/>
                <w:szCs w:val="20"/>
              </w:rPr>
              <w:t>0%, respe</w:t>
            </w:r>
            <w:r w:rsidR="008B26A3" w:rsidRPr="00C72502">
              <w:rPr>
                <w:rFonts w:cstheme="minorHAnsi"/>
                <w:sz w:val="20"/>
                <w:szCs w:val="20"/>
              </w:rPr>
              <w:t xml:space="preserve">ctively. The largest foreign trade partner was CEFTA countries which accounted for </w:t>
            </w:r>
            <w:r w:rsidR="00B603E6" w:rsidRPr="00C72502">
              <w:rPr>
                <w:sz w:val="20"/>
                <w:szCs w:val="20"/>
              </w:rPr>
              <w:t>49</w:t>
            </w:r>
            <w:r w:rsidR="008B26A3" w:rsidRPr="00C72502">
              <w:rPr>
                <w:sz w:val="20"/>
                <w:szCs w:val="20"/>
              </w:rPr>
              <w:t>.</w:t>
            </w:r>
            <w:r w:rsidR="00B603E6" w:rsidRPr="00C72502">
              <w:rPr>
                <w:sz w:val="20"/>
                <w:szCs w:val="20"/>
              </w:rPr>
              <w:t xml:space="preserve">5% </w:t>
            </w:r>
            <w:r w:rsidR="008B26A3" w:rsidRPr="00C72502">
              <w:rPr>
                <w:sz w:val="20"/>
                <w:szCs w:val="20"/>
              </w:rPr>
              <w:t xml:space="preserve">of total exports and </w:t>
            </w:r>
            <w:r w:rsidR="00B603E6" w:rsidRPr="00C72502">
              <w:rPr>
                <w:sz w:val="20"/>
                <w:szCs w:val="20"/>
              </w:rPr>
              <w:t>38</w:t>
            </w:r>
            <w:r w:rsidR="008B26A3" w:rsidRPr="00C72502">
              <w:rPr>
                <w:sz w:val="20"/>
                <w:szCs w:val="20"/>
              </w:rPr>
              <w:t>.</w:t>
            </w:r>
            <w:r w:rsidR="00B603E6" w:rsidRPr="00C72502">
              <w:rPr>
                <w:sz w:val="20"/>
                <w:szCs w:val="20"/>
              </w:rPr>
              <w:t xml:space="preserve">7% </w:t>
            </w:r>
            <w:r w:rsidR="008B26A3" w:rsidRPr="00C72502">
              <w:rPr>
                <w:sz w:val="20"/>
                <w:szCs w:val="20"/>
              </w:rPr>
              <w:t>of total imports, while export</w:t>
            </w:r>
            <w:r w:rsidR="00B54061">
              <w:rPr>
                <w:sz w:val="20"/>
                <w:szCs w:val="20"/>
              </w:rPr>
              <w:t>s</w:t>
            </w:r>
            <w:r w:rsidR="008B26A3" w:rsidRPr="00C72502">
              <w:rPr>
                <w:sz w:val="20"/>
                <w:szCs w:val="20"/>
              </w:rPr>
              <w:t xml:space="preserve"> in EU-28 countries declined</w:t>
            </w:r>
            <w:r w:rsidR="00B54061">
              <w:rPr>
                <w:sz w:val="20"/>
                <w:szCs w:val="20"/>
              </w:rPr>
              <w:t xml:space="preserve"> by</w:t>
            </w:r>
            <w:r w:rsidR="008B26A3" w:rsidRPr="00C72502">
              <w:rPr>
                <w:sz w:val="20"/>
                <w:szCs w:val="20"/>
              </w:rPr>
              <w:t xml:space="preserve"> </w:t>
            </w:r>
            <w:r w:rsidR="00B603E6" w:rsidRPr="00C72502">
              <w:rPr>
                <w:sz w:val="20"/>
                <w:szCs w:val="20"/>
              </w:rPr>
              <w:t>17</w:t>
            </w:r>
            <w:r w:rsidR="008B26A3" w:rsidRPr="00C72502">
              <w:rPr>
                <w:sz w:val="20"/>
                <w:szCs w:val="20"/>
              </w:rPr>
              <w:t>.</w:t>
            </w:r>
            <w:r w:rsidR="00B603E6" w:rsidRPr="00C72502">
              <w:rPr>
                <w:sz w:val="20"/>
                <w:szCs w:val="20"/>
              </w:rPr>
              <w:t>6%.</w:t>
            </w:r>
            <w:r w:rsidR="00B54061">
              <w:rPr>
                <w:sz w:val="20"/>
                <w:szCs w:val="20"/>
              </w:rPr>
              <w:t xml:space="preserve"> </w:t>
            </w:r>
            <w:r w:rsidR="00AD0892" w:rsidRPr="00C72502">
              <w:rPr>
                <w:sz w:val="20"/>
                <w:szCs w:val="20"/>
              </w:rPr>
              <w:t>Net</w:t>
            </w:r>
            <w:r w:rsidR="008B26A3" w:rsidRPr="00C72502">
              <w:rPr>
                <w:sz w:val="20"/>
                <w:szCs w:val="20"/>
              </w:rPr>
              <w:t xml:space="preserve"> FDI inflow</w:t>
            </w:r>
            <w:r w:rsidR="009B4D6B">
              <w:rPr>
                <w:sz w:val="20"/>
                <w:szCs w:val="20"/>
              </w:rPr>
              <w:t>s</w:t>
            </w:r>
            <w:r w:rsidR="008B26A3" w:rsidRPr="00C72502">
              <w:rPr>
                <w:sz w:val="20"/>
                <w:szCs w:val="20"/>
              </w:rPr>
              <w:t xml:space="preserve"> amounted to</w:t>
            </w:r>
            <w:r w:rsidR="00AD0892" w:rsidRPr="00C72502">
              <w:rPr>
                <w:sz w:val="20"/>
                <w:szCs w:val="20"/>
              </w:rPr>
              <w:t xml:space="preserve"> 268</w:t>
            </w:r>
            <w:r w:rsidR="008B26A3" w:rsidRPr="00C72502">
              <w:rPr>
                <w:sz w:val="20"/>
                <w:szCs w:val="20"/>
              </w:rPr>
              <w:t>.</w:t>
            </w:r>
            <w:r w:rsidR="00AD0892" w:rsidRPr="00C72502">
              <w:rPr>
                <w:sz w:val="20"/>
                <w:szCs w:val="20"/>
              </w:rPr>
              <w:t>4 mil</w:t>
            </w:r>
            <w:r w:rsidR="008B26A3" w:rsidRPr="00C72502">
              <w:rPr>
                <w:sz w:val="20"/>
                <w:szCs w:val="20"/>
              </w:rPr>
              <w:t xml:space="preserve">lion </w:t>
            </w:r>
            <w:r w:rsidR="00B54061">
              <w:rPr>
                <w:sz w:val="20"/>
                <w:szCs w:val="20"/>
              </w:rPr>
              <w:t>€</w:t>
            </w:r>
            <w:r w:rsidR="008317E4">
              <w:rPr>
                <w:sz w:val="20"/>
                <w:szCs w:val="20"/>
              </w:rPr>
              <w:t xml:space="preserve"> </w:t>
            </w:r>
            <w:r w:rsidR="00B54061">
              <w:rPr>
                <w:sz w:val="20"/>
                <w:szCs w:val="20"/>
              </w:rPr>
              <w:t>in period</w:t>
            </w:r>
            <w:r w:rsidR="00B54061" w:rsidRPr="00C72502">
              <w:rPr>
                <w:sz w:val="20"/>
                <w:szCs w:val="20"/>
              </w:rPr>
              <w:t xml:space="preserve"> January – November 2013</w:t>
            </w:r>
            <w:r w:rsidR="00B54061">
              <w:rPr>
                <w:sz w:val="20"/>
                <w:szCs w:val="20"/>
              </w:rPr>
              <w:t>,</w:t>
            </w:r>
            <w:r w:rsidR="00B54061" w:rsidRPr="00C72502">
              <w:rPr>
                <w:sz w:val="20"/>
                <w:szCs w:val="20"/>
              </w:rPr>
              <w:t xml:space="preserve"> </w:t>
            </w:r>
            <w:r w:rsidR="00026185">
              <w:rPr>
                <w:sz w:val="20"/>
                <w:szCs w:val="20"/>
              </w:rPr>
              <w:t>and it</w:t>
            </w:r>
            <w:r w:rsidR="008B26A3" w:rsidRPr="00C72502">
              <w:rPr>
                <w:sz w:val="20"/>
                <w:szCs w:val="20"/>
              </w:rPr>
              <w:t xml:space="preserve"> recorded decline of </w:t>
            </w:r>
            <w:r w:rsidR="00AD0892" w:rsidRPr="00C72502">
              <w:rPr>
                <w:sz w:val="20"/>
                <w:szCs w:val="20"/>
              </w:rPr>
              <w:t>36</w:t>
            </w:r>
            <w:r w:rsidR="008B26A3" w:rsidRPr="00C72502">
              <w:rPr>
                <w:sz w:val="20"/>
                <w:szCs w:val="20"/>
              </w:rPr>
              <w:t>.</w:t>
            </w:r>
            <w:r w:rsidR="00AD0892" w:rsidRPr="00C72502">
              <w:rPr>
                <w:sz w:val="20"/>
                <w:szCs w:val="20"/>
              </w:rPr>
              <w:t>3%</w:t>
            </w:r>
            <w:r w:rsidR="00026185">
              <w:rPr>
                <w:sz w:val="20"/>
                <w:szCs w:val="20"/>
              </w:rPr>
              <w:t xml:space="preserve"> compared to the same period 2012</w:t>
            </w:r>
            <w:r w:rsidR="00AD0892" w:rsidRPr="00C72502">
              <w:rPr>
                <w:sz w:val="20"/>
                <w:szCs w:val="20"/>
              </w:rPr>
              <w:t xml:space="preserve">. </w:t>
            </w:r>
            <w:r w:rsidR="008B26A3" w:rsidRPr="00C72502">
              <w:rPr>
                <w:sz w:val="20"/>
                <w:szCs w:val="20"/>
              </w:rPr>
              <w:t>Total FDI inflow</w:t>
            </w:r>
            <w:r w:rsidR="009B4D6B">
              <w:rPr>
                <w:sz w:val="20"/>
                <w:szCs w:val="20"/>
              </w:rPr>
              <w:t>s</w:t>
            </w:r>
            <w:r w:rsidR="008B26A3" w:rsidRPr="00C72502">
              <w:rPr>
                <w:sz w:val="20"/>
                <w:szCs w:val="20"/>
              </w:rPr>
              <w:t xml:space="preserve"> amounted to </w:t>
            </w:r>
            <w:r w:rsidR="007A73EE" w:rsidRPr="00C72502">
              <w:rPr>
                <w:sz w:val="20"/>
                <w:szCs w:val="20"/>
              </w:rPr>
              <w:t>406</w:t>
            </w:r>
            <w:r w:rsidR="008B26A3" w:rsidRPr="00C72502">
              <w:rPr>
                <w:sz w:val="20"/>
                <w:szCs w:val="20"/>
              </w:rPr>
              <w:t>.</w:t>
            </w:r>
            <w:r w:rsidR="007A73EE" w:rsidRPr="00C72502">
              <w:rPr>
                <w:sz w:val="20"/>
                <w:szCs w:val="20"/>
              </w:rPr>
              <w:t>3</w:t>
            </w:r>
            <w:r w:rsidR="00B54061">
              <w:rPr>
                <w:sz w:val="20"/>
                <w:szCs w:val="20"/>
              </w:rPr>
              <w:t xml:space="preserve"> </w:t>
            </w:r>
            <w:r w:rsidR="007A73EE" w:rsidRPr="00C72502">
              <w:rPr>
                <w:sz w:val="20"/>
                <w:szCs w:val="20"/>
              </w:rPr>
              <w:t>mil</w:t>
            </w:r>
            <w:r w:rsidR="008B26A3" w:rsidRPr="00C72502">
              <w:rPr>
                <w:sz w:val="20"/>
                <w:szCs w:val="20"/>
              </w:rPr>
              <w:t xml:space="preserve">lion </w:t>
            </w:r>
            <w:r w:rsidR="007A73EE" w:rsidRPr="00C72502">
              <w:rPr>
                <w:sz w:val="20"/>
                <w:szCs w:val="20"/>
              </w:rPr>
              <w:t xml:space="preserve">€. </w:t>
            </w:r>
            <w:r w:rsidR="008B26A3" w:rsidRPr="00C72502">
              <w:rPr>
                <w:sz w:val="20"/>
                <w:szCs w:val="20"/>
              </w:rPr>
              <w:t>With regard to the structure of total FDI</w:t>
            </w:r>
            <w:r w:rsidR="009B4D6B">
              <w:rPr>
                <w:sz w:val="20"/>
                <w:szCs w:val="20"/>
              </w:rPr>
              <w:t>s</w:t>
            </w:r>
            <w:r w:rsidR="00A3121D" w:rsidRPr="00C72502">
              <w:rPr>
                <w:sz w:val="20"/>
                <w:szCs w:val="20"/>
              </w:rPr>
              <w:t>,</w:t>
            </w:r>
            <w:r w:rsidR="00B54061">
              <w:rPr>
                <w:sz w:val="20"/>
                <w:szCs w:val="20"/>
              </w:rPr>
              <w:t xml:space="preserve"> </w:t>
            </w:r>
            <w:r w:rsidR="008B26A3" w:rsidRPr="00C72502">
              <w:rPr>
                <w:sz w:val="20"/>
                <w:szCs w:val="20"/>
              </w:rPr>
              <w:t>equity investment</w:t>
            </w:r>
            <w:r w:rsidR="00B54061">
              <w:rPr>
                <w:sz w:val="20"/>
                <w:szCs w:val="20"/>
              </w:rPr>
              <w:t>s</w:t>
            </w:r>
            <w:r w:rsidR="008B26A3" w:rsidRPr="00C72502">
              <w:rPr>
                <w:sz w:val="20"/>
                <w:szCs w:val="20"/>
              </w:rPr>
              <w:t xml:space="preserve"> accounted for </w:t>
            </w:r>
            <w:r w:rsidR="002F579B" w:rsidRPr="00C72502">
              <w:rPr>
                <w:sz w:val="20"/>
                <w:szCs w:val="20"/>
              </w:rPr>
              <w:t>56</w:t>
            </w:r>
            <w:r w:rsidR="008B26A3" w:rsidRPr="00C72502">
              <w:rPr>
                <w:sz w:val="20"/>
                <w:szCs w:val="20"/>
              </w:rPr>
              <w:t>.</w:t>
            </w:r>
            <w:r w:rsidR="002F579B" w:rsidRPr="00C72502">
              <w:rPr>
                <w:sz w:val="20"/>
                <w:szCs w:val="20"/>
              </w:rPr>
              <w:t>1% (</w:t>
            </w:r>
            <w:r w:rsidR="008B26A3" w:rsidRPr="00C72502">
              <w:rPr>
                <w:sz w:val="20"/>
                <w:szCs w:val="20"/>
              </w:rPr>
              <w:t>investment</w:t>
            </w:r>
            <w:r w:rsidR="00B54061">
              <w:rPr>
                <w:sz w:val="20"/>
                <w:szCs w:val="20"/>
              </w:rPr>
              <w:t>s</w:t>
            </w:r>
            <w:r w:rsidR="008B26A3" w:rsidRPr="00C72502">
              <w:rPr>
                <w:sz w:val="20"/>
                <w:szCs w:val="20"/>
              </w:rPr>
              <w:t xml:space="preserve"> in companies and banks </w:t>
            </w:r>
            <w:r w:rsidR="00026185">
              <w:rPr>
                <w:sz w:val="20"/>
                <w:szCs w:val="20"/>
              </w:rPr>
              <w:t>made up</w:t>
            </w:r>
            <w:r w:rsidR="00B54061">
              <w:rPr>
                <w:sz w:val="20"/>
                <w:szCs w:val="20"/>
              </w:rPr>
              <w:t xml:space="preserve"> </w:t>
            </w:r>
            <w:r w:rsidR="002F579B" w:rsidRPr="00C72502">
              <w:rPr>
                <w:sz w:val="20"/>
                <w:szCs w:val="20"/>
              </w:rPr>
              <w:t>11</w:t>
            </w:r>
            <w:r w:rsidR="008B26A3" w:rsidRPr="00C72502">
              <w:rPr>
                <w:sz w:val="20"/>
                <w:szCs w:val="20"/>
              </w:rPr>
              <w:t>.</w:t>
            </w:r>
            <w:r w:rsidR="002F579B" w:rsidRPr="00C72502">
              <w:rPr>
                <w:sz w:val="20"/>
                <w:szCs w:val="20"/>
              </w:rPr>
              <w:t>5% (67%</w:t>
            </w:r>
            <w:r w:rsidR="00B54061">
              <w:rPr>
                <w:sz w:val="20"/>
                <w:szCs w:val="20"/>
              </w:rPr>
              <w:t xml:space="preserve"> decline</w:t>
            </w:r>
            <w:r w:rsidR="002F579B" w:rsidRPr="00C72502">
              <w:rPr>
                <w:sz w:val="20"/>
                <w:szCs w:val="20"/>
              </w:rPr>
              <w:t>)</w:t>
            </w:r>
            <w:r w:rsidR="003A4E89" w:rsidRPr="00C72502">
              <w:rPr>
                <w:sz w:val="20"/>
                <w:szCs w:val="20"/>
              </w:rPr>
              <w:t xml:space="preserve"> and investment</w:t>
            </w:r>
            <w:r w:rsidR="00B54061">
              <w:rPr>
                <w:sz w:val="20"/>
                <w:szCs w:val="20"/>
              </w:rPr>
              <w:t>s</w:t>
            </w:r>
            <w:r w:rsidR="003A4E89" w:rsidRPr="00C72502">
              <w:rPr>
                <w:sz w:val="20"/>
                <w:szCs w:val="20"/>
              </w:rPr>
              <w:t xml:space="preserve"> in real estate</w:t>
            </w:r>
            <w:r w:rsidR="00B54061">
              <w:rPr>
                <w:sz w:val="20"/>
                <w:szCs w:val="20"/>
              </w:rPr>
              <w:t xml:space="preserve"> </w:t>
            </w:r>
            <w:r w:rsidR="00026185">
              <w:rPr>
                <w:sz w:val="20"/>
                <w:szCs w:val="20"/>
              </w:rPr>
              <w:t xml:space="preserve">made up </w:t>
            </w:r>
            <w:r w:rsidR="002F579B" w:rsidRPr="00C72502">
              <w:rPr>
                <w:sz w:val="20"/>
                <w:szCs w:val="20"/>
              </w:rPr>
              <w:t>44</w:t>
            </w:r>
            <w:r w:rsidR="008B26A3" w:rsidRPr="00C72502">
              <w:rPr>
                <w:sz w:val="20"/>
                <w:szCs w:val="20"/>
              </w:rPr>
              <w:t>.</w:t>
            </w:r>
            <w:r w:rsidR="002F579B" w:rsidRPr="00C72502">
              <w:rPr>
                <w:sz w:val="20"/>
                <w:szCs w:val="20"/>
              </w:rPr>
              <w:t>5% (13</w:t>
            </w:r>
            <w:r w:rsidR="008B26A3" w:rsidRPr="00C72502">
              <w:rPr>
                <w:sz w:val="20"/>
                <w:szCs w:val="20"/>
              </w:rPr>
              <w:t>.</w:t>
            </w:r>
            <w:r w:rsidR="002F579B" w:rsidRPr="00C72502">
              <w:rPr>
                <w:sz w:val="20"/>
                <w:szCs w:val="20"/>
              </w:rPr>
              <w:t>0%</w:t>
            </w:r>
            <w:r w:rsidR="00B54061">
              <w:rPr>
                <w:sz w:val="20"/>
                <w:szCs w:val="20"/>
              </w:rPr>
              <w:t xml:space="preserve"> decline</w:t>
            </w:r>
            <w:r w:rsidR="002F579B" w:rsidRPr="00C72502">
              <w:rPr>
                <w:sz w:val="20"/>
                <w:szCs w:val="20"/>
              </w:rPr>
              <w:t xml:space="preserve">), </w:t>
            </w:r>
            <w:r w:rsidR="008B26A3" w:rsidRPr="00C72502">
              <w:rPr>
                <w:sz w:val="20"/>
                <w:szCs w:val="20"/>
              </w:rPr>
              <w:t>intercompany debt</w:t>
            </w:r>
            <w:r w:rsidR="00B54061">
              <w:rPr>
                <w:sz w:val="20"/>
                <w:szCs w:val="20"/>
              </w:rPr>
              <w:t xml:space="preserve"> </w:t>
            </w:r>
            <w:r w:rsidR="00026185">
              <w:rPr>
                <w:sz w:val="20"/>
                <w:szCs w:val="20"/>
              </w:rPr>
              <w:t>was</w:t>
            </w:r>
            <w:r w:rsidR="002F579B" w:rsidRPr="00C72502">
              <w:rPr>
                <w:sz w:val="20"/>
                <w:szCs w:val="20"/>
              </w:rPr>
              <w:t xml:space="preserve"> 41</w:t>
            </w:r>
            <w:r w:rsidR="008B26A3" w:rsidRPr="00C72502">
              <w:rPr>
                <w:sz w:val="20"/>
                <w:szCs w:val="20"/>
              </w:rPr>
              <w:t>.</w:t>
            </w:r>
            <w:r w:rsidR="002F579B" w:rsidRPr="00C72502">
              <w:rPr>
                <w:sz w:val="20"/>
                <w:szCs w:val="20"/>
              </w:rPr>
              <w:t xml:space="preserve">3% </w:t>
            </w:r>
            <w:r w:rsidR="008B26A3" w:rsidRPr="00C72502">
              <w:rPr>
                <w:sz w:val="20"/>
                <w:szCs w:val="20"/>
              </w:rPr>
              <w:t>and other</w:t>
            </w:r>
            <w:r w:rsidR="00B54061">
              <w:rPr>
                <w:sz w:val="20"/>
                <w:szCs w:val="20"/>
              </w:rPr>
              <w:t xml:space="preserve"> </w:t>
            </w:r>
            <w:r w:rsidR="00026185">
              <w:rPr>
                <w:sz w:val="20"/>
                <w:szCs w:val="20"/>
              </w:rPr>
              <w:t>was</w:t>
            </w:r>
            <w:r w:rsidR="002F579B" w:rsidRPr="00C72502">
              <w:rPr>
                <w:sz w:val="20"/>
                <w:szCs w:val="20"/>
              </w:rPr>
              <w:t xml:space="preserve"> 2</w:t>
            </w:r>
            <w:r w:rsidR="008B26A3" w:rsidRPr="00C72502">
              <w:rPr>
                <w:sz w:val="20"/>
                <w:szCs w:val="20"/>
              </w:rPr>
              <w:t>.</w:t>
            </w:r>
            <w:r w:rsidR="002F579B" w:rsidRPr="00C72502">
              <w:rPr>
                <w:sz w:val="20"/>
                <w:szCs w:val="20"/>
              </w:rPr>
              <w:t>6% (66</w:t>
            </w:r>
            <w:r w:rsidR="008B26A3" w:rsidRPr="00C72502">
              <w:rPr>
                <w:sz w:val="20"/>
                <w:szCs w:val="20"/>
              </w:rPr>
              <w:t>.</w:t>
            </w:r>
            <w:r w:rsidR="002F579B" w:rsidRPr="00C72502">
              <w:rPr>
                <w:sz w:val="20"/>
                <w:szCs w:val="20"/>
              </w:rPr>
              <w:t>5%</w:t>
            </w:r>
            <w:r w:rsidR="00B54061">
              <w:rPr>
                <w:sz w:val="20"/>
                <w:szCs w:val="20"/>
              </w:rPr>
              <w:t xml:space="preserve"> decline</w:t>
            </w:r>
            <w:r w:rsidR="002F579B" w:rsidRPr="00C72502">
              <w:rPr>
                <w:sz w:val="20"/>
                <w:szCs w:val="20"/>
              </w:rPr>
              <w:t xml:space="preserve">). </w:t>
            </w:r>
            <w:r w:rsidR="008B26A3" w:rsidRPr="00C72502">
              <w:rPr>
                <w:sz w:val="20"/>
                <w:szCs w:val="20"/>
              </w:rPr>
              <w:t>Small</w:t>
            </w:r>
            <w:r w:rsidR="00B54061">
              <w:rPr>
                <w:sz w:val="20"/>
                <w:szCs w:val="20"/>
              </w:rPr>
              <w:t>er</w:t>
            </w:r>
            <w:r w:rsidR="008B26A3" w:rsidRPr="00C72502">
              <w:rPr>
                <w:sz w:val="20"/>
                <w:szCs w:val="20"/>
              </w:rPr>
              <w:t xml:space="preserve"> inflow was recorded base</w:t>
            </w:r>
            <w:r w:rsidR="00B54061">
              <w:rPr>
                <w:sz w:val="20"/>
                <w:szCs w:val="20"/>
              </w:rPr>
              <w:t>d</w:t>
            </w:r>
            <w:r w:rsidR="008B26A3" w:rsidRPr="00C72502">
              <w:rPr>
                <w:sz w:val="20"/>
                <w:szCs w:val="20"/>
              </w:rPr>
              <w:t xml:space="preserve"> on equity investment</w:t>
            </w:r>
            <w:r w:rsidR="00F45B15" w:rsidRPr="00C72502">
              <w:rPr>
                <w:sz w:val="20"/>
                <w:szCs w:val="20"/>
              </w:rPr>
              <w:t>s</w:t>
            </w:r>
            <w:r w:rsidR="00B54061">
              <w:rPr>
                <w:sz w:val="20"/>
                <w:szCs w:val="20"/>
              </w:rPr>
              <w:t xml:space="preserve"> </w:t>
            </w:r>
            <w:r w:rsidR="002F579B" w:rsidRPr="00C72502">
              <w:rPr>
                <w:sz w:val="20"/>
                <w:szCs w:val="20"/>
              </w:rPr>
              <w:t>(34</w:t>
            </w:r>
            <w:r w:rsidR="008B26A3" w:rsidRPr="00C72502">
              <w:rPr>
                <w:sz w:val="20"/>
                <w:szCs w:val="20"/>
              </w:rPr>
              <w:t>.</w:t>
            </w:r>
            <w:r w:rsidR="002F579B" w:rsidRPr="00C72502">
              <w:rPr>
                <w:sz w:val="20"/>
                <w:szCs w:val="20"/>
              </w:rPr>
              <w:t>9%</w:t>
            </w:r>
            <w:r w:rsidR="008B26A3" w:rsidRPr="00C72502">
              <w:rPr>
                <w:sz w:val="20"/>
                <w:szCs w:val="20"/>
              </w:rPr>
              <w:t xml:space="preserve"> fall</w:t>
            </w:r>
            <w:r w:rsidR="002F579B" w:rsidRPr="00C72502">
              <w:rPr>
                <w:sz w:val="20"/>
                <w:szCs w:val="20"/>
              </w:rPr>
              <w:t>)</w:t>
            </w:r>
            <w:r w:rsidR="00AD0892" w:rsidRPr="00C72502">
              <w:rPr>
                <w:sz w:val="20"/>
                <w:szCs w:val="20"/>
              </w:rPr>
              <w:t>,</w:t>
            </w:r>
            <w:r w:rsidR="008B26A3" w:rsidRPr="00C72502">
              <w:rPr>
                <w:sz w:val="20"/>
                <w:szCs w:val="20"/>
              </w:rPr>
              <w:t xml:space="preserve"> while an increase of inflow based on</w:t>
            </w:r>
            <w:r w:rsidR="00F45B15" w:rsidRPr="00C72502">
              <w:rPr>
                <w:sz w:val="20"/>
                <w:szCs w:val="20"/>
              </w:rPr>
              <w:t xml:space="preserve"> intercompany</w:t>
            </w:r>
            <w:r w:rsidR="008B26A3" w:rsidRPr="00C72502">
              <w:rPr>
                <w:sz w:val="20"/>
                <w:szCs w:val="20"/>
              </w:rPr>
              <w:t xml:space="preserve"> loans</w:t>
            </w:r>
            <w:r w:rsidR="00B54061">
              <w:rPr>
                <w:sz w:val="20"/>
                <w:szCs w:val="20"/>
              </w:rPr>
              <w:t xml:space="preserve"> was recorded</w:t>
            </w:r>
            <w:r w:rsidR="008B26A3" w:rsidRPr="00C72502">
              <w:rPr>
                <w:sz w:val="20"/>
                <w:szCs w:val="20"/>
              </w:rPr>
              <w:t xml:space="preserve"> </w:t>
            </w:r>
            <w:r w:rsidR="002F579B" w:rsidRPr="00C72502">
              <w:rPr>
                <w:sz w:val="20"/>
                <w:szCs w:val="20"/>
              </w:rPr>
              <w:t>(15</w:t>
            </w:r>
            <w:r w:rsidR="008B26A3" w:rsidRPr="00C72502">
              <w:rPr>
                <w:sz w:val="20"/>
                <w:szCs w:val="20"/>
              </w:rPr>
              <w:t>.</w:t>
            </w:r>
            <w:r w:rsidR="002F579B" w:rsidRPr="00C72502">
              <w:rPr>
                <w:sz w:val="20"/>
                <w:szCs w:val="20"/>
              </w:rPr>
              <w:t>8%)</w:t>
            </w:r>
            <w:r w:rsidR="00AD0892" w:rsidRPr="00C72502">
              <w:rPr>
                <w:sz w:val="20"/>
                <w:szCs w:val="20"/>
              </w:rPr>
              <w:t xml:space="preserve">. </w:t>
            </w:r>
            <w:r w:rsidR="003A4E89" w:rsidRPr="00C72502">
              <w:rPr>
                <w:sz w:val="20"/>
                <w:szCs w:val="20"/>
              </w:rPr>
              <w:t>Total FDI outflow</w:t>
            </w:r>
            <w:r w:rsidR="009B4D6B">
              <w:rPr>
                <w:sz w:val="20"/>
                <w:szCs w:val="20"/>
              </w:rPr>
              <w:t>s</w:t>
            </w:r>
            <w:r w:rsidR="003A4E89" w:rsidRPr="00C72502">
              <w:rPr>
                <w:sz w:val="20"/>
                <w:szCs w:val="20"/>
              </w:rPr>
              <w:t xml:space="preserve"> amounted to </w:t>
            </w:r>
            <w:r w:rsidR="00AD0892" w:rsidRPr="00C72502">
              <w:rPr>
                <w:sz w:val="20"/>
                <w:szCs w:val="20"/>
              </w:rPr>
              <w:t>137</w:t>
            </w:r>
            <w:r w:rsidR="003A4E89" w:rsidRPr="00C72502">
              <w:rPr>
                <w:sz w:val="20"/>
                <w:szCs w:val="20"/>
              </w:rPr>
              <w:t>.</w:t>
            </w:r>
            <w:r w:rsidR="00AD0892" w:rsidRPr="00C72502">
              <w:rPr>
                <w:sz w:val="20"/>
                <w:szCs w:val="20"/>
              </w:rPr>
              <w:t>9 mil</w:t>
            </w:r>
            <w:r w:rsidR="003A4E89" w:rsidRPr="00C72502">
              <w:rPr>
                <w:sz w:val="20"/>
                <w:szCs w:val="20"/>
              </w:rPr>
              <w:t xml:space="preserve">lion </w:t>
            </w:r>
            <w:r w:rsidR="00AD0892" w:rsidRPr="00C72502">
              <w:rPr>
                <w:sz w:val="20"/>
                <w:szCs w:val="20"/>
              </w:rPr>
              <w:t xml:space="preserve">€ </w:t>
            </w:r>
            <w:r w:rsidR="003A4E89" w:rsidRPr="00C72502">
              <w:rPr>
                <w:sz w:val="20"/>
                <w:szCs w:val="20"/>
              </w:rPr>
              <w:t>or it increased y-o-y by 31.</w:t>
            </w:r>
            <w:r w:rsidR="00AD0892" w:rsidRPr="00C72502">
              <w:rPr>
                <w:sz w:val="20"/>
                <w:szCs w:val="20"/>
              </w:rPr>
              <w:t xml:space="preserve">1%. </w:t>
            </w:r>
            <w:r w:rsidR="003A4E89" w:rsidRPr="00C72502">
              <w:rPr>
                <w:sz w:val="20"/>
                <w:szCs w:val="20"/>
              </w:rPr>
              <w:t xml:space="preserve">With regard to the structure of outflows, the largest portion referred to the decline in </w:t>
            </w:r>
            <w:r w:rsidR="00D16B7A" w:rsidRPr="00C72502">
              <w:rPr>
                <w:sz w:val="20"/>
                <w:szCs w:val="20"/>
              </w:rPr>
              <w:t>liabilities</w:t>
            </w:r>
            <w:r w:rsidR="003A4E89" w:rsidRPr="00C72502">
              <w:rPr>
                <w:sz w:val="20"/>
                <w:szCs w:val="20"/>
              </w:rPr>
              <w:t xml:space="preserve"> based on intercompany debt (</w:t>
            </w:r>
            <w:r w:rsidR="00AD0892" w:rsidRPr="00C72502">
              <w:rPr>
                <w:sz w:val="20"/>
                <w:szCs w:val="20"/>
              </w:rPr>
              <w:t>85</w:t>
            </w:r>
            <w:r w:rsidR="003A4E89" w:rsidRPr="00C72502">
              <w:rPr>
                <w:sz w:val="20"/>
                <w:szCs w:val="20"/>
              </w:rPr>
              <w:t>.</w:t>
            </w:r>
            <w:r w:rsidR="00AD0892" w:rsidRPr="00C72502">
              <w:rPr>
                <w:sz w:val="20"/>
                <w:szCs w:val="20"/>
              </w:rPr>
              <w:t>4%</w:t>
            </w:r>
            <w:r w:rsidR="003A4E89" w:rsidRPr="00C72502">
              <w:rPr>
                <w:sz w:val="20"/>
                <w:szCs w:val="20"/>
              </w:rPr>
              <w:t>)</w:t>
            </w:r>
            <w:r w:rsidR="00AD0892" w:rsidRPr="00C72502">
              <w:rPr>
                <w:sz w:val="20"/>
                <w:szCs w:val="20"/>
              </w:rPr>
              <w:t xml:space="preserve">, </w:t>
            </w:r>
            <w:r w:rsidR="003A4E89" w:rsidRPr="00C72502">
              <w:rPr>
                <w:sz w:val="20"/>
                <w:szCs w:val="20"/>
              </w:rPr>
              <w:t xml:space="preserve">while investments of residents </w:t>
            </w:r>
            <w:r w:rsidR="00CC64C7">
              <w:rPr>
                <w:sz w:val="20"/>
                <w:szCs w:val="20"/>
              </w:rPr>
              <w:t xml:space="preserve">abroad </w:t>
            </w:r>
            <w:r w:rsidR="003A4E89" w:rsidRPr="00C72502">
              <w:rPr>
                <w:sz w:val="20"/>
                <w:szCs w:val="20"/>
              </w:rPr>
              <w:t xml:space="preserve">accounted for </w:t>
            </w:r>
            <w:r w:rsidR="00AD0892" w:rsidRPr="00C72502">
              <w:rPr>
                <w:sz w:val="20"/>
                <w:szCs w:val="20"/>
              </w:rPr>
              <w:t>14</w:t>
            </w:r>
            <w:r w:rsidR="003A4E89" w:rsidRPr="00C72502">
              <w:rPr>
                <w:sz w:val="20"/>
                <w:szCs w:val="20"/>
              </w:rPr>
              <w:t>.</w:t>
            </w:r>
            <w:r w:rsidR="00AD0892" w:rsidRPr="00C72502">
              <w:rPr>
                <w:sz w:val="20"/>
                <w:szCs w:val="20"/>
              </w:rPr>
              <w:t>6 %.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B721D" w:rsidRPr="00C72502" w:rsidRDefault="00CA6E7C" w:rsidP="00DB721D">
            <w:pPr>
              <w:jc w:val="center"/>
              <w:rPr>
                <w:sz w:val="17"/>
                <w:szCs w:val="17"/>
              </w:rPr>
            </w:pPr>
            <w:r w:rsidRPr="00C72502">
              <w:rPr>
                <w:noProof/>
                <w:sz w:val="17"/>
                <w:szCs w:val="17"/>
                <w:lang w:val="en-US"/>
              </w:rPr>
              <w:drawing>
                <wp:inline distT="0" distB="0" distL="0" distR="0" wp14:anchorId="3BA1F7FF" wp14:editId="4FB3D165">
                  <wp:extent cx="2419350" cy="2019300"/>
                  <wp:effectExtent l="0" t="0" r="0" b="0"/>
                  <wp:docPr id="16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82570B" w:rsidRPr="00C72502" w:rsidRDefault="0082570B" w:rsidP="00D51C00">
      <w:pPr>
        <w:sectPr w:rsidR="0082570B" w:rsidRPr="00C72502" w:rsidSect="008D4618">
          <w:pgSz w:w="11907" w:h="16839" w:code="9"/>
          <w:pgMar w:top="720" w:right="720" w:bottom="567" w:left="720" w:header="720" w:footer="720" w:gutter="0"/>
          <w:cols w:space="720"/>
          <w:rtlGutter/>
          <w:docGrid w:linePitch="360"/>
        </w:sectPr>
      </w:pPr>
    </w:p>
    <w:p w:rsidR="002A1639" w:rsidRPr="00C72502" w:rsidRDefault="003A4E89" w:rsidP="00332574">
      <w:pPr>
        <w:jc w:val="center"/>
        <w:outlineLvl w:val="0"/>
        <w:rPr>
          <w:sz w:val="17"/>
          <w:szCs w:val="16"/>
        </w:rPr>
      </w:pPr>
      <w:r w:rsidRPr="00C72502">
        <w:rPr>
          <w:sz w:val="17"/>
          <w:szCs w:val="16"/>
        </w:rPr>
        <w:lastRenderedPageBreak/>
        <w:t xml:space="preserve">Table 1: </w:t>
      </w:r>
      <w:r w:rsidRPr="00C72502">
        <w:rPr>
          <w:b/>
          <w:bCs/>
          <w:sz w:val="17"/>
          <w:szCs w:val="16"/>
        </w:rPr>
        <w:t>MACROECONOMIC INDICATORS</w:t>
      </w:r>
      <w:r w:rsidR="0082570B" w:rsidRPr="00C72502">
        <w:rPr>
          <w:sz w:val="17"/>
          <w:szCs w:val="16"/>
        </w:rPr>
        <w:t xml:space="preserve">– </w:t>
      </w:r>
      <w:r w:rsidRPr="00C72502">
        <w:rPr>
          <w:sz w:val="17"/>
          <w:szCs w:val="16"/>
        </w:rPr>
        <w:t>December</w:t>
      </w:r>
      <w:r w:rsidR="0082570B" w:rsidRPr="00C72502">
        <w:rPr>
          <w:sz w:val="17"/>
          <w:szCs w:val="16"/>
        </w:rPr>
        <w:t xml:space="preserve"> 201</w:t>
      </w:r>
      <w:r w:rsidR="00191F90" w:rsidRPr="00C72502">
        <w:rPr>
          <w:sz w:val="17"/>
          <w:szCs w:val="16"/>
        </w:rPr>
        <w:t>3</w:t>
      </w:r>
    </w:p>
    <w:p w:rsidR="0082570B" w:rsidRPr="00C72502" w:rsidRDefault="0082570B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784DAE" w:rsidRPr="00C72502" w:rsidRDefault="00784DAE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3A4E89" w:rsidRPr="00C72502" w:rsidRDefault="003A4E89" w:rsidP="003A4E89">
      <w:pPr>
        <w:spacing w:after="0"/>
        <w:ind w:firstLine="142"/>
        <w:rPr>
          <w:i/>
          <w:iCs/>
          <w:sz w:val="14"/>
          <w:szCs w:val="14"/>
        </w:rPr>
      </w:pPr>
      <w:r w:rsidRPr="00C72502">
        <w:rPr>
          <w:b/>
          <w:bCs/>
          <w:i/>
          <w:iCs/>
          <w:sz w:val="14"/>
          <w:szCs w:val="14"/>
        </w:rPr>
        <w:t xml:space="preserve">Source: </w:t>
      </w:r>
      <w:proofErr w:type="spellStart"/>
      <w:r w:rsidRPr="00C72502">
        <w:rPr>
          <w:b/>
          <w:bCs/>
          <w:i/>
          <w:iCs/>
          <w:sz w:val="14"/>
          <w:szCs w:val="14"/>
        </w:rPr>
        <w:t>Monstat</w:t>
      </w:r>
      <w:proofErr w:type="spellEnd"/>
      <w:r w:rsidRPr="00C72502">
        <w:rPr>
          <w:b/>
          <w:bCs/>
          <w:i/>
          <w:iCs/>
          <w:sz w:val="14"/>
          <w:szCs w:val="14"/>
        </w:rPr>
        <w:t>, Central bank, Employment Bureau</w:t>
      </w:r>
      <w:r w:rsidR="00B54061">
        <w:rPr>
          <w:b/>
          <w:bCs/>
          <w:i/>
          <w:iCs/>
          <w:sz w:val="14"/>
          <w:szCs w:val="14"/>
        </w:rPr>
        <w:t xml:space="preserve"> </w:t>
      </w:r>
      <w:r w:rsidRPr="00C72502">
        <w:rPr>
          <w:b/>
          <w:bCs/>
          <w:i/>
          <w:iCs/>
          <w:sz w:val="14"/>
          <w:szCs w:val="14"/>
        </w:rPr>
        <w:t>of Montenegro</w:t>
      </w:r>
    </w:p>
    <w:p w:rsidR="003A4E89" w:rsidRPr="00C72502" w:rsidRDefault="003A4E89" w:rsidP="003A4E89">
      <w:pPr>
        <w:spacing w:after="0"/>
        <w:ind w:firstLine="142"/>
        <w:rPr>
          <w:i/>
          <w:iCs/>
          <w:sz w:val="12"/>
          <w:szCs w:val="12"/>
        </w:rPr>
      </w:pPr>
      <w:r w:rsidRPr="00C72502">
        <w:rPr>
          <w:i/>
          <w:iCs/>
          <w:sz w:val="12"/>
          <w:szCs w:val="12"/>
        </w:rPr>
        <w:t xml:space="preserve">All indicators are presented as annual growth rates (indicators’ change rate of the observed month in comparison to the same month of previous year in %) unless differently stated in title </w:t>
      </w:r>
    </w:p>
    <w:p w:rsidR="003A4E89" w:rsidRPr="00C72502" w:rsidRDefault="003A4E89" w:rsidP="003A4E89">
      <w:pPr>
        <w:spacing w:after="0" w:line="240" w:lineRule="auto"/>
        <w:ind w:firstLine="142"/>
        <w:jc w:val="both"/>
        <w:rPr>
          <w:i/>
          <w:iCs/>
          <w:sz w:val="12"/>
          <w:szCs w:val="12"/>
        </w:rPr>
      </w:pPr>
      <w:r w:rsidRPr="00C72502">
        <w:rPr>
          <w:i/>
          <w:iCs/>
          <w:sz w:val="12"/>
          <w:szCs w:val="12"/>
        </w:rPr>
        <w:t>M-n-M stand for monthly change (indicators’ change rate of the observed month in comparison to the previous month in %)</w:t>
      </w:r>
    </w:p>
    <w:p w:rsidR="00025AC0" w:rsidRPr="00C72502" w:rsidRDefault="00025AC0" w:rsidP="00025AC0">
      <w:pPr>
        <w:pStyle w:val="Caption"/>
        <w:keepNext/>
      </w:pPr>
      <w:r w:rsidRPr="00C72502">
        <w:t>Tab</w:t>
      </w:r>
      <w:r w:rsidR="003A4E89" w:rsidRPr="00C72502">
        <w:t>le</w:t>
      </w:r>
      <w:r w:rsidR="00B54061">
        <w:t xml:space="preserve"> </w:t>
      </w:r>
      <w:r w:rsidR="00986392" w:rsidRPr="00C72502">
        <w:fldChar w:fldCharType="begin"/>
      </w:r>
      <w:r w:rsidR="001C43B5" w:rsidRPr="00C72502">
        <w:instrText xml:space="preserve"> SEQ Tabela \* ARABIC </w:instrText>
      </w:r>
      <w:r w:rsidR="00986392" w:rsidRPr="00C72502">
        <w:fldChar w:fldCharType="separate"/>
      </w:r>
      <w:r w:rsidR="00A30E95" w:rsidRPr="00C72502">
        <w:t>1</w:t>
      </w:r>
      <w:r w:rsidR="00986392" w:rsidRPr="00C72502"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607"/>
        <w:gridCol w:w="61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  <w:gridCol w:w="650"/>
        <w:gridCol w:w="873"/>
        <w:gridCol w:w="692"/>
        <w:gridCol w:w="631"/>
        <w:gridCol w:w="812"/>
        <w:gridCol w:w="863"/>
      </w:tblGrid>
      <w:tr w:rsidR="00025AC0" w:rsidRPr="00C72502" w:rsidTr="002E294A">
        <w:trPr>
          <w:divId w:val="2019498786"/>
          <w:trHeight w:val="676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3A4E89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Indi</w:t>
            </w:r>
            <w:r w:rsidR="003A4E89"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c</w:t>
            </w: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ator</w:t>
            </w:r>
            <w:r w:rsidR="003A4E89"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s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XI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XII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2013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II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III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IV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VI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VII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VIII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IX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XI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XII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4"/>
                <w:szCs w:val="16"/>
                <w:lang w:eastAsia="sr-Latn-CS"/>
              </w:rPr>
              <w:t>M-n-M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B54061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4"/>
                <w:szCs w:val="16"/>
                <w:lang w:eastAsia="sr-Latn-CS"/>
              </w:rPr>
              <w:t>Dec</w:t>
            </w:r>
            <w:r w:rsidRPr="00C72502">
              <w:rPr>
                <w:rFonts w:cs="Calibri"/>
                <w:b/>
                <w:bCs/>
                <w:sz w:val="14"/>
                <w:szCs w:val="16"/>
                <w:lang w:eastAsia="sr-Latn-CS"/>
              </w:rPr>
              <w:t xml:space="preserve"> 2013 / </w:t>
            </w:r>
            <w:r>
              <w:rPr>
                <w:rFonts w:cs="Calibri"/>
                <w:b/>
                <w:bCs/>
                <w:sz w:val="14"/>
                <w:szCs w:val="16"/>
                <w:lang w:eastAsia="sr-Latn-CS"/>
              </w:rPr>
              <w:t>Dec</w:t>
            </w:r>
            <w:r w:rsidRPr="00C72502">
              <w:rPr>
                <w:rFonts w:cs="Calibri"/>
                <w:b/>
                <w:bCs/>
                <w:sz w:val="14"/>
                <w:szCs w:val="16"/>
                <w:lang w:eastAsia="sr-Latn-CS"/>
              </w:rPr>
              <w:t xml:space="preserve"> 2012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B54061" w:rsidP="00025AC0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4"/>
                <w:szCs w:val="16"/>
                <w:lang w:eastAsia="sr-Latn-CS"/>
              </w:rPr>
              <w:t>J</w:t>
            </w:r>
            <w:r w:rsidRPr="00C72502">
              <w:rPr>
                <w:rFonts w:cs="Calibri"/>
                <w:b/>
                <w:bCs/>
                <w:sz w:val="14"/>
                <w:szCs w:val="16"/>
                <w:lang w:eastAsia="sr-Latn-CS"/>
              </w:rPr>
              <w:t xml:space="preserve">an - </w:t>
            </w:r>
            <w:r>
              <w:rPr>
                <w:rFonts w:cs="Calibri"/>
                <w:b/>
                <w:bCs/>
                <w:sz w:val="14"/>
                <w:szCs w:val="16"/>
                <w:lang w:eastAsia="sr-Latn-CS"/>
              </w:rPr>
              <w:t>Dec 2013 / Ja</w:t>
            </w:r>
            <w:r w:rsidRPr="00C72502">
              <w:rPr>
                <w:rFonts w:cs="Calibri"/>
                <w:b/>
                <w:bCs/>
                <w:sz w:val="14"/>
                <w:szCs w:val="16"/>
                <w:lang w:eastAsia="sr-Latn-CS"/>
              </w:rPr>
              <w:t xml:space="preserve">n - </w:t>
            </w:r>
            <w:r>
              <w:rPr>
                <w:rFonts w:cs="Calibri"/>
                <w:b/>
                <w:bCs/>
                <w:sz w:val="14"/>
                <w:szCs w:val="16"/>
                <w:lang w:eastAsia="sr-Latn-CS"/>
              </w:rPr>
              <w:t>D</w:t>
            </w:r>
            <w:r w:rsidRPr="00C72502">
              <w:rPr>
                <w:rFonts w:cs="Calibri"/>
                <w:b/>
                <w:bCs/>
                <w:sz w:val="14"/>
                <w:szCs w:val="16"/>
                <w:lang w:eastAsia="sr-Latn-CS"/>
              </w:rPr>
              <w:t>ec 2012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3A4E8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REAL</w:t>
            </w:r>
            <w:r w:rsidR="003A4E89"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 xml:space="preserve"> SECTOR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3A4E8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Industr</w:t>
            </w:r>
            <w:r w:rsidR="003A4E89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ial output (growth rate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-6,00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-3,00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22,40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19,00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5,10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10,50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21,40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8,7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14,5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10,6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3A4E89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Manufacturing industry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growth rate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-28,10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-20,30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-36,40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-32,80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-34,40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-28,20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-11,50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-11,10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11,70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6,50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22,70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28,20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48,80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15,2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48,8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-5,0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3A4E89" w:rsidP="003A4E8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Tourist overnights 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growth rate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1,80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-8,30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-3,60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30,30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30,30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22,10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-19,6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22,1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2,8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3A4E89" w:rsidP="00D16B7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Retail </w:t>
            </w:r>
            <w:r w:rsidR="00B54061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trade 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turnover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growth rate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12,10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8,20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6,60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7,80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12,80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10,1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11,3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3A4E89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Value of works in construction industry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growth rate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-28,2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5,7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3,8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color w:val="993300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color w:val="9933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color w:val="993300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color w:val="9933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color w:val="993300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color w:val="993300"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025AC0" w:rsidP="003A4E8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INFLA</w:t>
            </w:r>
            <w:r w:rsidR="003A4E89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TION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3A4E89" w:rsidP="003A4E8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Consumer Price Index /CPI/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growth rate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2,2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3A4E89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HCIP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growth rate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1,8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3A4E89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Producers Price Index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growth rate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1,6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3A4E89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EMPLOYMENT AND WAGES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400790" w:rsidRPr="00C72502" w:rsidTr="000D7C1B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790" w:rsidRPr="00C72502" w:rsidRDefault="00400790" w:rsidP="000D7C1B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Employed (number, end of period)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168.589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167.484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167.370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167.379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167.738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170.302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174.369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179.861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178.815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176.588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169.044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169.044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167.607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167.173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2,8</w:t>
            </w:r>
          </w:p>
        </w:tc>
      </w:tr>
      <w:tr w:rsidR="00400790" w:rsidRPr="00C72502" w:rsidTr="000D7C1B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790" w:rsidRPr="00C72502" w:rsidRDefault="00400790" w:rsidP="000D7C1B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Unemployed (number, end of period)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30.718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31.232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31.890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32.648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32.986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32.624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31.363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30.337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30.102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30.947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33.271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33.271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34.680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34.514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10,5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7,3</w:t>
            </w:r>
          </w:p>
        </w:tc>
      </w:tr>
      <w:tr w:rsidR="00400790" w:rsidRPr="00C72502" w:rsidTr="000D7C1B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790" w:rsidRPr="00C72502" w:rsidRDefault="00400790" w:rsidP="000D7C1B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Unemployment rate (%)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15,0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10,4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8,1</w:t>
            </w:r>
          </w:p>
        </w:tc>
      </w:tr>
      <w:tr w:rsidR="00400790" w:rsidRPr="00C72502" w:rsidTr="000D7C1B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790" w:rsidRPr="00C72502" w:rsidRDefault="00400790" w:rsidP="000D7C1B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Unemployment rate (LFS) (%)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20,6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21,5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19,3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17,8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400790" w:rsidRPr="00C72502" w:rsidTr="000D7C1B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790" w:rsidRPr="00C72502" w:rsidRDefault="00400790" w:rsidP="000D7C1B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Vacancies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2.766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972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583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1.182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2.826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1.719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1.430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853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1.495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796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648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>
            <w:pPr>
              <w:jc w:val="right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1130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>
            <w:pPr>
              <w:jc w:val="right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74,4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>
            <w:pPr>
              <w:jc w:val="right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16,3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>
            <w:pPr>
              <w:jc w:val="right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-40,1</w:t>
            </w:r>
          </w:p>
        </w:tc>
      </w:tr>
      <w:tr w:rsidR="00400790" w:rsidRPr="00C72502" w:rsidTr="000D7C1B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790" w:rsidRPr="00C72502" w:rsidRDefault="00400790" w:rsidP="000D7C1B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Average monthly gross wage (€)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741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-0,2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40079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Average monthly net wage (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478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497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490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485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476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477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481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469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475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486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-2,2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-1,7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MONETARY SECTOR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40079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Total loans (cumulative, million 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2.338,1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2.342,0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2.482,8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2.507,6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2.490,7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2.466,7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2.477,6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2.457,5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2.505,8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2.538,3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2.474,5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2.474,5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2.463,9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2.411,9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-2,1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3,0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40079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N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on-performing loans /NPL/ (cumulative, million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329,4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327,8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457,1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455,7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465,3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480,8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492,9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441,3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447,0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441,9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438,6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438,6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428,3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-2,3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30,0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40079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NPL to total loans 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(%)</w:t>
            </w:r>
            <w:r w:rsidR="00A30E95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*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18,4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18,2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19,5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18,0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Total deposits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cumulative, million</w:t>
            </w:r>
            <w:r w:rsidR="00B54061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1.982,9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1.980,7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1.969,8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1.990,1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1.999,3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1.951,5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1.974,4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2.009,7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2.075,0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2.144,3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2.104,3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2.104,3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2.084,9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2.098,6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D16B7A" w:rsidP="00D16B7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Corporate l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oans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cumulative, million</w:t>
            </w:r>
            <w:r w:rsidR="00B54061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936,6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930,4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1.013,2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1.019,0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1.026,5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1.029,1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1.027,9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990,5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970,2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947,6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951,1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951,1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955,2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948,4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D16B7A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Household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loans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cumulative, million</w:t>
            </w:r>
            <w:r w:rsidR="00B54061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818,1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809,2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857,4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861,1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865,8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872,5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875,1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880,9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882,5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880,6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886,8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886,8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887,1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881,3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8,9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Corporate deposits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cumulative, million</w:t>
            </w:r>
            <w:r w:rsidR="00B54061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546,4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526,5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507,8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518,7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525,4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489,8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509,8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539,3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576,2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612,3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572,8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572,8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553,9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554,8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5,4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Individual savings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cumulative, million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1.134,7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1.146,8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1.150,4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1.158,7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1.165,0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1.165,1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1.162,4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1.164,7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1.192,9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1.218,1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1.218,1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1.218,1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1.221,0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1.237,7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7,9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Interest rate for loans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9,49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9,47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9,45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9,43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9,36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0,03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Interest rate for deposits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3,06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2,99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2,93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2,83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2,67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2,55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-0,68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EXTERNAL SECTOR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40079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90" w:rsidRPr="00C72502" w:rsidRDefault="00026185" w:rsidP="000D7C1B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Export of goods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(mil</w:t>
            </w:r>
            <w:r w:rsidR="00B54061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32,4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28,0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31,3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36,9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39,4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30,6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28,4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24,6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24,6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31,2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34,5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10,7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6,4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1,2</w:t>
            </w:r>
          </w:p>
        </w:tc>
      </w:tr>
      <w:tr w:rsidR="0040079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90" w:rsidRPr="00C72502" w:rsidRDefault="00026185" w:rsidP="000D7C1B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Import of goods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(mil</w:t>
            </w:r>
            <w:r w:rsidR="00B54061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136,6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139,5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110,2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113,9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138,8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152,3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161,4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161,4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130,7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148,9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13,9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6,7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-1,8</w:t>
            </w:r>
          </w:p>
        </w:tc>
      </w:tr>
      <w:tr w:rsidR="0040079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90" w:rsidRPr="00C72502" w:rsidRDefault="00400790" w:rsidP="000D7C1B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Foreign Trade Exchange Balance (mil</w:t>
            </w:r>
            <w:r w:rsidR="00B54061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-104,3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-107,0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-82,2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-82,7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-108,9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-125,5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-112,9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-139,9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-140,8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-136,5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-136,9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-136,9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-99,5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-114,3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14,9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6,8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-2,5</w:t>
            </w:r>
          </w:p>
        </w:tc>
      </w:tr>
      <w:tr w:rsidR="0040079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90" w:rsidRPr="00C72502" w:rsidRDefault="00400790" w:rsidP="000D7C1B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Foreign Direct Investment (mil</w:t>
            </w:r>
            <w:r w:rsidR="00B54061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€)*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77,3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40,1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6,6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19,5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39,5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17,1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33,7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38,8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30,7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-19,8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-19,8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12,6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n/p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-163,6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-83,8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00790" w:rsidRPr="00C72502" w:rsidRDefault="0040079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-54,5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INTERNATIONAL ENVIRONMENT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i/>
                <w:sz w:val="16"/>
                <w:szCs w:val="16"/>
                <w:lang w:eastAsia="sr-Latn-CS"/>
              </w:rPr>
              <w:t> 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Brent crude oil (USD/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barrel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108,2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111,3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116,8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107,7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115,7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105,9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105,9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111,5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107,8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-3,3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-3,1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-2,8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Alumini</w:t>
            </w:r>
            <w:r w:rsidR="00025AC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um (USD/T)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1.948,8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2.086,8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2.037,6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2.053,6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1.911,3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1.861,0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1.832,6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1.814,5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1.769,6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1.816,2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1.814,6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1.814,6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1.748,0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1.739,8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-16,6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-8,5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025AC0" w:rsidP="0040079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proofErr w:type="spellStart"/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Euribor</w:t>
            </w:r>
            <w:proofErr w:type="spellEnd"/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(12 </w:t>
            </w:r>
            <w:r w:rsidR="00400790"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months</w:t>
            </w: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0,62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0,62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0,48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-0,64</w:t>
            </w:r>
          </w:p>
        </w:tc>
      </w:tr>
      <w:tr w:rsidR="00025AC0" w:rsidRPr="00C72502" w:rsidTr="002E294A">
        <w:trPr>
          <w:divId w:val="2019498786"/>
          <w:trHeight w:hRule="exact" w:val="2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C0" w:rsidRPr="00C72502" w:rsidRDefault="00400790" w:rsidP="00025A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Inflation in Euro area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-1,4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025AC0" w:rsidRPr="00C72502" w:rsidRDefault="00025AC0" w:rsidP="00025AC0">
            <w:pPr>
              <w:spacing w:after="0" w:line="240" w:lineRule="auto"/>
              <w:jc w:val="right"/>
              <w:rPr>
                <w:rFonts w:cs="Calibri"/>
                <w:i/>
                <w:sz w:val="16"/>
                <w:szCs w:val="16"/>
                <w:lang w:eastAsia="sr-Latn-CS"/>
              </w:rPr>
            </w:pPr>
            <w:r w:rsidRPr="00C72502">
              <w:rPr>
                <w:rFonts w:cs="Calibri"/>
                <w:i/>
                <w:sz w:val="16"/>
                <w:szCs w:val="16"/>
                <w:lang w:eastAsia="sr-Latn-CS"/>
              </w:rPr>
              <w:t>-1,2</w:t>
            </w:r>
          </w:p>
        </w:tc>
      </w:tr>
    </w:tbl>
    <w:p w:rsidR="00784DAE" w:rsidRPr="00C72502" w:rsidRDefault="00A30E95" w:rsidP="00A30E95">
      <w:pPr>
        <w:pStyle w:val="ListParagraph"/>
        <w:spacing w:after="0" w:line="240" w:lineRule="auto"/>
        <w:ind w:left="502"/>
        <w:rPr>
          <w:i/>
          <w:iCs/>
          <w:sz w:val="16"/>
          <w:szCs w:val="16"/>
        </w:rPr>
      </w:pPr>
      <w:r w:rsidRPr="00C72502">
        <w:rPr>
          <w:i/>
          <w:iCs/>
          <w:sz w:val="16"/>
          <w:szCs w:val="16"/>
        </w:rPr>
        <w:t>*</w:t>
      </w:r>
      <w:r w:rsidR="00400790" w:rsidRPr="00C72502">
        <w:rPr>
          <w:i/>
          <w:iCs/>
          <w:sz w:val="16"/>
          <w:szCs w:val="16"/>
        </w:rPr>
        <w:t>Data refers to November 2013</w:t>
      </w:r>
    </w:p>
    <w:p w:rsidR="00A30E95" w:rsidRPr="00C72502" w:rsidRDefault="00A30E95" w:rsidP="00A30E95">
      <w:pPr>
        <w:pStyle w:val="ListParagraph"/>
        <w:spacing w:after="0" w:line="240" w:lineRule="auto"/>
        <w:ind w:left="502"/>
        <w:rPr>
          <w:i/>
          <w:iCs/>
          <w:sz w:val="16"/>
          <w:szCs w:val="16"/>
        </w:rPr>
      </w:pPr>
    </w:p>
    <w:p w:rsidR="00A30E95" w:rsidRPr="00C72502" w:rsidRDefault="00A30E95" w:rsidP="00A30E95">
      <w:pPr>
        <w:pStyle w:val="ListParagraph"/>
        <w:spacing w:after="0" w:line="240" w:lineRule="auto"/>
        <w:ind w:left="502"/>
        <w:rPr>
          <w:i/>
          <w:iCs/>
          <w:sz w:val="16"/>
          <w:szCs w:val="16"/>
        </w:rPr>
      </w:pPr>
    </w:p>
    <w:p w:rsidR="00A30E95" w:rsidRPr="00C72502" w:rsidRDefault="00A30E95" w:rsidP="00784DAE">
      <w:pPr>
        <w:spacing w:after="0" w:line="240" w:lineRule="auto"/>
        <w:ind w:firstLine="142"/>
        <w:jc w:val="center"/>
        <w:rPr>
          <w:sz w:val="17"/>
          <w:szCs w:val="16"/>
        </w:rPr>
      </w:pPr>
    </w:p>
    <w:p w:rsidR="00A30E95" w:rsidRPr="00C72502" w:rsidRDefault="00A30E95" w:rsidP="00784DAE">
      <w:pPr>
        <w:spacing w:after="0" w:line="240" w:lineRule="auto"/>
        <w:ind w:firstLine="142"/>
        <w:jc w:val="center"/>
        <w:rPr>
          <w:sz w:val="17"/>
          <w:szCs w:val="16"/>
        </w:rPr>
      </w:pPr>
    </w:p>
    <w:p w:rsidR="00CD707C" w:rsidRPr="00C72502" w:rsidRDefault="00400790" w:rsidP="00784DAE">
      <w:pPr>
        <w:spacing w:after="0" w:line="240" w:lineRule="auto"/>
        <w:ind w:firstLine="142"/>
        <w:jc w:val="center"/>
        <w:rPr>
          <w:sz w:val="17"/>
          <w:szCs w:val="16"/>
        </w:rPr>
      </w:pPr>
      <w:r w:rsidRPr="00C72502">
        <w:rPr>
          <w:sz w:val="17"/>
          <w:szCs w:val="16"/>
        </w:rPr>
        <w:t xml:space="preserve">Table 2: </w:t>
      </w:r>
      <w:r w:rsidRPr="00C72502">
        <w:rPr>
          <w:b/>
          <w:bCs/>
          <w:sz w:val="17"/>
          <w:szCs w:val="16"/>
        </w:rPr>
        <w:t>BUDGET OF MONTENEGRO</w:t>
      </w:r>
      <w:r w:rsidR="00784DAE" w:rsidRPr="00C72502">
        <w:rPr>
          <w:sz w:val="17"/>
          <w:szCs w:val="16"/>
        </w:rPr>
        <w:t>–</w:t>
      </w:r>
      <w:r w:rsidR="006D2B20" w:rsidRPr="00C72502">
        <w:rPr>
          <w:sz w:val="17"/>
          <w:szCs w:val="16"/>
        </w:rPr>
        <w:t>Decemb</w:t>
      </w:r>
      <w:r w:rsidRPr="00C72502">
        <w:rPr>
          <w:sz w:val="17"/>
          <w:szCs w:val="16"/>
        </w:rPr>
        <w:t>e</w:t>
      </w:r>
      <w:r w:rsidR="006D2B20" w:rsidRPr="00C72502">
        <w:rPr>
          <w:sz w:val="17"/>
          <w:szCs w:val="16"/>
        </w:rPr>
        <w:t>r</w:t>
      </w:r>
      <w:r w:rsidR="00784DAE" w:rsidRPr="00C72502">
        <w:rPr>
          <w:sz w:val="17"/>
          <w:szCs w:val="16"/>
        </w:rPr>
        <w:t xml:space="preserve"> 2013</w:t>
      </w:r>
    </w:p>
    <w:p w:rsidR="00CD707C" w:rsidRPr="00C72502" w:rsidRDefault="00CD707C" w:rsidP="00784DAE">
      <w:pPr>
        <w:spacing w:after="0" w:line="240" w:lineRule="auto"/>
        <w:ind w:firstLine="142"/>
        <w:jc w:val="center"/>
        <w:rPr>
          <w:i/>
          <w:iCs/>
          <w:sz w:val="12"/>
          <w:szCs w:val="12"/>
        </w:rPr>
      </w:pPr>
    </w:p>
    <w:p w:rsidR="00332574" w:rsidRPr="00C72502" w:rsidRDefault="00400790" w:rsidP="00332574">
      <w:pPr>
        <w:outlineLvl w:val="0"/>
        <w:rPr>
          <w:b/>
          <w:i/>
          <w:sz w:val="16"/>
          <w:szCs w:val="16"/>
        </w:rPr>
      </w:pPr>
      <w:r w:rsidRPr="00C72502">
        <w:rPr>
          <w:b/>
          <w:i/>
          <w:sz w:val="16"/>
          <w:szCs w:val="16"/>
        </w:rPr>
        <w:t>Source</w:t>
      </w:r>
      <w:r w:rsidR="00332574" w:rsidRPr="00C72502">
        <w:rPr>
          <w:b/>
          <w:i/>
          <w:sz w:val="16"/>
          <w:szCs w:val="16"/>
        </w:rPr>
        <w:t xml:space="preserve">: </w:t>
      </w:r>
      <w:r w:rsidRPr="00C72502">
        <w:rPr>
          <w:b/>
          <w:i/>
          <w:sz w:val="16"/>
          <w:szCs w:val="16"/>
        </w:rPr>
        <w:t xml:space="preserve">Ministry of Finance of Montenegro </w:t>
      </w:r>
    </w:p>
    <w:tbl>
      <w:tblPr>
        <w:tblW w:w="15773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662"/>
        <w:gridCol w:w="662"/>
        <w:gridCol w:w="663"/>
        <w:gridCol w:w="662"/>
        <w:gridCol w:w="662"/>
        <w:gridCol w:w="662"/>
        <w:gridCol w:w="663"/>
        <w:gridCol w:w="662"/>
        <w:gridCol w:w="662"/>
        <w:gridCol w:w="663"/>
        <w:gridCol w:w="743"/>
        <w:gridCol w:w="743"/>
        <w:gridCol w:w="743"/>
        <w:gridCol w:w="743"/>
        <w:gridCol w:w="743"/>
        <w:gridCol w:w="663"/>
        <w:gridCol w:w="848"/>
        <w:gridCol w:w="1140"/>
        <w:gridCol w:w="848"/>
      </w:tblGrid>
      <w:tr w:rsidR="00A30E95" w:rsidRPr="00C72502" w:rsidTr="00A30E95">
        <w:trPr>
          <w:trHeight w:val="435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A30E95" w:rsidRPr="00C72502" w:rsidRDefault="00A30E95" w:rsidP="00A30E9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351" w:type="dxa"/>
            <w:gridSpan w:val="12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2013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2013 plan</w:t>
            </w:r>
          </w:p>
        </w:tc>
        <w:tc>
          <w:tcPr>
            <w:tcW w:w="2530" w:type="dxa"/>
            <w:gridSpan w:val="3"/>
            <w:shd w:val="clear" w:color="000000" w:fill="FFFFFF"/>
            <w:noWrap/>
            <w:vAlign w:val="center"/>
            <w:hideMark/>
          </w:tcPr>
          <w:p w:rsidR="00A30E95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Breakdown - December</w:t>
            </w:r>
            <w:r w:rsidR="00A30E95" w:rsidRPr="00C72502">
              <w:rPr>
                <w:rFonts w:cs="Calibri"/>
                <w:sz w:val="16"/>
                <w:szCs w:val="16"/>
              </w:rPr>
              <w:t xml:space="preserve"> 2013</w:t>
            </w:r>
          </w:p>
        </w:tc>
      </w:tr>
      <w:tr w:rsidR="00A30E95" w:rsidRPr="00C72502" w:rsidTr="00A30E95">
        <w:trPr>
          <w:trHeight w:val="630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A30E95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i/>
                <w:sz w:val="17"/>
                <w:szCs w:val="16"/>
              </w:rPr>
              <w:t>BUDGET OF MONTENEGRO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XI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XII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II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III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IV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V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VI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VII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VIII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IX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XI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XII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XII</w:t>
            </w:r>
          </w:p>
        </w:tc>
        <w:tc>
          <w:tcPr>
            <w:tcW w:w="834" w:type="dxa"/>
            <w:shd w:val="clear" w:color="000000" w:fill="FFFFFF"/>
            <w:vAlign w:val="center"/>
            <w:hideMark/>
          </w:tcPr>
          <w:p w:rsidR="00A30E95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</w:t>
            </w:r>
            <w:r w:rsidRPr="00C72502">
              <w:rPr>
                <w:rFonts w:cs="Calibri"/>
                <w:sz w:val="16"/>
                <w:szCs w:val="16"/>
              </w:rPr>
              <w:t>ec 2013/</w:t>
            </w:r>
            <w:r>
              <w:rPr>
                <w:rFonts w:cs="Calibri"/>
                <w:sz w:val="16"/>
                <w:szCs w:val="16"/>
              </w:rPr>
              <w:t>D</w:t>
            </w:r>
            <w:r w:rsidRPr="00C72502">
              <w:rPr>
                <w:rFonts w:cs="Calibri"/>
                <w:sz w:val="16"/>
                <w:szCs w:val="16"/>
              </w:rPr>
              <w:t>ec 2012 (%)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:rsidR="00A30E95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Jan-Dec</w:t>
            </w:r>
            <w:r w:rsidRPr="00C72502">
              <w:rPr>
                <w:rFonts w:cs="Calibri"/>
                <w:sz w:val="16"/>
                <w:szCs w:val="16"/>
              </w:rPr>
              <w:t xml:space="preserve"> 2013/</w:t>
            </w:r>
            <w:r>
              <w:rPr>
                <w:rFonts w:cs="Calibri"/>
                <w:sz w:val="16"/>
                <w:szCs w:val="16"/>
              </w:rPr>
              <w:t>Jan=Dec</w:t>
            </w:r>
            <w:r w:rsidRPr="00C72502">
              <w:rPr>
                <w:rFonts w:cs="Calibri"/>
                <w:sz w:val="16"/>
                <w:szCs w:val="16"/>
              </w:rPr>
              <w:t xml:space="preserve"> 2012 (%)</w:t>
            </w:r>
          </w:p>
        </w:tc>
        <w:tc>
          <w:tcPr>
            <w:tcW w:w="834" w:type="dxa"/>
            <w:shd w:val="clear" w:color="000000" w:fill="FFFFFF"/>
            <w:vAlign w:val="center"/>
            <w:hideMark/>
          </w:tcPr>
          <w:p w:rsidR="00A30E95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</w:t>
            </w:r>
            <w:r w:rsidRPr="00C72502">
              <w:rPr>
                <w:rFonts w:cs="Calibri"/>
                <w:sz w:val="16"/>
                <w:szCs w:val="16"/>
              </w:rPr>
              <w:t>ec 2013/</w:t>
            </w:r>
            <w:r>
              <w:rPr>
                <w:rFonts w:cs="Calibri"/>
                <w:sz w:val="16"/>
                <w:szCs w:val="16"/>
              </w:rPr>
              <w:t>D</w:t>
            </w:r>
            <w:r w:rsidRPr="00C72502">
              <w:rPr>
                <w:rFonts w:cs="Calibri"/>
                <w:sz w:val="16"/>
                <w:szCs w:val="16"/>
              </w:rPr>
              <w:t>ec 2013 plan (%)</w:t>
            </w:r>
          </w:p>
        </w:tc>
      </w:tr>
      <w:tr w:rsidR="00A30E95" w:rsidRPr="00C72502" w:rsidTr="00A30E95">
        <w:trPr>
          <w:trHeight w:val="33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A30E95" w:rsidRPr="00C72502" w:rsidRDefault="00400790" w:rsidP="0040079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CURRENT REVENUES, out of which</w:t>
            </w:r>
            <w:r w:rsidR="00A30E95" w:rsidRPr="00C72502">
              <w:rPr>
                <w:rFonts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99,23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85,31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126,94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54,76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75,68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88,30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103,95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94,00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99,56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122,02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125,05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116,34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117,28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95,78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142,43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121,53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12,21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10,18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17,19</w:t>
            </w:r>
          </w:p>
        </w:tc>
      </w:tr>
      <w:tr w:rsidR="00A30E95" w:rsidRPr="00C72502" w:rsidTr="00A30E95">
        <w:trPr>
          <w:trHeight w:val="330"/>
          <w:jc w:val="center"/>
        </w:trPr>
        <w:tc>
          <w:tcPr>
            <w:tcW w:w="2242" w:type="dxa"/>
            <w:shd w:val="clear" w:color="000000" w:fill="FFFFFF"/>
            <w:noWrap/>
            <w:vAlign w:val="bottom"/>
            <w:hideMark/>
          </w:tcPr>
          <w:p w:rsidR="00A30E95" w:rsidRPr="00C72502" w:rsidRDefault="00B54061" w:rsidP="00B54061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Wage t</w:t>
            </w:r>
            <w:r w:rsidR="00400790" w:rsidRPr="00C72502">
              <w:rPr>
                <w:rFonts w:cs="Calibri"/>
                <w:i/>
                <w:iCs/>
                <w:sz w:val="16"/>
                <w:szCs w:val="16"/>
              </w:rPr>
              <w:t xml:space="preserve">axes and contributions  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42,82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35,50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60,40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14,21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34,57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35,60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34,16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36,35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39,09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40,63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44,81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47,38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54,03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37,52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75,77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63,73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25,46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11,16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18,91</w:t>
            </w:r>
          </w:p>
        </w:tc>
      </w:tr>
      <w:tr w:rsidR="00400790" w:rsidRPr="00C72502" w:rsidTr="000D7C1B">
        <w:trPr>
          <w:trHeight w:val="315"/>
          <w:jc w:val="center"/>
        </w:trPr>
        <w:tc>
          <w:tcPr>
            <w:tcW w:w="2242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0D7C1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 xml:space="preserve">Corporate </w:t>
            </w:r>
            <w:r w:rsidR="00D16B7A" w:rsidRPr="00C72502">
              <w:rPr>
                <w:rFonts w:cs="Calibri"/>
                <w:i/>
                <w:iCs/>
                <w:sz w:val="16"/>
                <w:szCs w:val="16"/>
              </w:rPr>
              <w:t xml:space="preserve">Income </w:t>
            </w:r>
            <w:r w:rsidRPr="00C72502">
              <w:rPr>
                <w:rFonts w:cs="Calibri"/>
                <w:i/>
                <w:iCs/>
                <w:sz w:val="16"/>
                <w:szCs w:val="16"/>
              </w:rPr>
              <w:t>Tax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1,54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0,79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1,82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0,50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1,06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5,09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14,80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3,06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2,87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-42,89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-36,51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-63,73</w:t>
            </w:r>
          </w:p>
        </w:tc>
      </w:tr>
      <w:tr w:rsidR="00400790" w:rsidRPr="00C72502" w:rsidTr="000D7C1B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0D7C1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Value Added Tax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33,88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29,08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25,78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24,86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24,75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29,49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33,76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34,16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35,87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47,18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47,07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40,69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37,65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33,51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40,19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27,02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55,91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48,75</w:t>
            </w:r>
          </w:p>
        </w:tc>
      </w:tr>
      <w:tr w:rsidR="00400790" w:rsidRPr="00C72502" w:rsidTr="000D7C1B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0D7C1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Excises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11,83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12,45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17,89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9,26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8,99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10,36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12,32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12,03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13,03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16,43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20,98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17,25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13,08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13,19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13,33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-26,28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6,38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-1,06</w:t>
            </w:r>
          </w:p>
        </w:tc>
      </w:tr>
      <w:tr w:rsidR="00400790" w:rsidRPr="00C72502" w:rsidTr="000D7C1B">
        <w:trPr>
          <w:trHeight w:val="315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0D7C1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International Trade and Transaction Tax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2,27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1,69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1,86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1,10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1,31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1,86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2,09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1,99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1,99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-8,88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-23,12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400790" w:rsidRPr="00C72502" w:rsidRDefault="0040079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-15,14</w:t>
            </w:r>
          </w:p>
        </w:tc>
      </w:tr>
      <w:tr w:rsidR="00A30E95" w:rsidRPr="00C72502" w:rsidTr="00A30E95">
        <w:trPr>
          <w:trHeight w:val="330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A30E95" w:rsidRPr="00C72502" w:rsidRDefault="00400790" w:rsidP="0040079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BUDGET EXPENDITURES, out of which</w:t>
            </w:r>
            <w:r w:rsidR="00A30E95" w:rsidRPr="00C72502">
              <w:rPr>
                <w:rFonts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105,79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110,82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187,15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80,79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94,64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103,84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119,84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95,54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100,17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160,33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141,28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119,00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99,42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98,49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150,13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106,01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-19,78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41,63</w:t>
            </w:r>
          </w:p>
        </w:tc>
      </w:tr>
      <w:tr w:rsidR="00A30E95" w:rsidRPr="00C72502" w:rsidTr="00A30E95">
        <w:trPr>
          <w:trHeight w:val="420"/>
          <w:jc w:val="center"/>
        </w:trPr>
        <w:tc>
          <w:tcPr>
            <w:tcW w:w="2242" w:type="dxa"/>
            <w:shd w:val="clear" w:color="auto" w:fill="auto"/>
            <w:vAlign w:val="center"/>
            <w:hideMark/>
          </w:tcPr>
          <w:p w:rsidR="00A30E95" w:rsidRPr="00C72502" w:rsidRDefault="00400790" w:rsidP="00CD772F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 xml:space="preserve">Gross </w:t>
            </w:r>
            <w:r w:rsidR="00CD772F">
              <w:rPr>
                <w:rFonts w:cs="Calibri"/>
                <w:i/>
                <w:iCs/>
                <w:sz w:val="16"/>
                <w:szCs w:val="16"/>
              </w:rPr>
              <w:t>wages and c</w:t>
            </w:r>
            <w:r w:rsidRPr="00C72502">
              <w:rPr>
                <w:rFonts w:cs="Calibri"/>
                <w:i/>
                <w:iCs/>
                <w:sz w:val="16"/>
                <w:szCs w:val="16"/>
              </w:rPr>
              <w:t>ontributions against employers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31,27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40,13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46,25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30,97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31,35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30,53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30,64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31,06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31,12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30,26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29,27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30,77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30,66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30,67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28,82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31,01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-37,68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-2,28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-7,05</w:t>
            </w:r>
          </w:p>
        </w:tc>
      </w:tr>
      <w:tr w:rsidR="00A30E95" w:rsidRPr="00C72502" w:rsidTr="00A30E95">
        <w:trPr>
          <w:trHeight w:val="315"/>
          <w:jc w:val="center"/>
        </w:trPr>
        <w:tc>
          <w:tcPr>
            <w:tcW w:w="2242" w:type="dxa"/>
            <w:shd w:val="clear" w:color="auto" w:fill="auto"/>
            <w:vAlign w:val="bottom"/>
            <w:hideMark/>
          </w:tcPr>
          <w:p w:rsidR="00A30E95" w:rsidRPr="00C72502" w:rsidRDefault="00FB4A20" w:rsidP="00A30E95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Material and services expenditures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12,98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12,16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20,57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3,53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6,33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8,06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7,47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5,58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6,44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6,99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17,95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8,03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-12,76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-39,90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123,60</w:t>
            </w:r>
          </w:p>
        </w:tc>
      </w:tr>
      <w:tr w:rsidR="00FB4A20" w:rsidRPr="00C72502" w:rsidTr="000D7C1B">
        <w:trPr>
          <w:trHeight w:val="300"/>
          <w:jc w:val="center"/>
        </w:trPr>
        <w:tc>
          <w:tcPr>
            <w:tcW w:w="2242" w:type="dxa"/>
            <w:shd w:val="clear" w:color="auto" w:fill="auto"/>
            <w:vAlign w:val="center"/>
            <w:hideMark/>
          </w:tcPr>
          <w:p w:rsidR="00FB4A20" w:rsidRPr="00C72502" w:rsidRDefault="00B54061" w:rsidP="000D7C1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Interest rates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0,79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0,80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4,02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0,55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1,76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2,14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24,83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1,13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5,74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18,71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5,12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5,87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27,44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18,59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-12,65</w:t>
            </w:r>
          </w:p>
        </w:tc>
      </w:tr>
      <w:tr w:rsidR="00FB4A20" w:rsidRPr="00C72502" w:rsidTr="000D7C1B">
        <w:trPr>
          <w:trHeight w:val="300"/>
          <w:jc w:val="center"/>
        </w:trPr>
        <w:tc>
          <w:tcPr>
            <w:tcW w:w="2242" w:type="dxa"/>
            <w:shd w:val="clear" w:color="auto" w:fill="auto"/>
            <w:vAlign w:val="center"/>
            <w:hideMark/>
          </w:tcPr>
          <w:p w:rsidR="00FB4A20" w:rsidRPr="00C72502" w:rsidRDefault="00B54061" w:rsidP="000D7C1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Social Security Transfers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40,56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40,34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42,46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38,15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42,30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40,50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40,45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39,92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39,87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39,18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40,14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39,83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43,05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41,49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FB4A20" w:rsidRPr="00C72502" w:rsidRDefault="00FB4A20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3,77</w:t>
            </w:r>
          </w:p>
        </w:tc>
      </w:tr>
      <w:tr w:rsidR="00B54061" w:rsidRPr="00C72502" w:rsidTr="00A30E95">
        <w:trPr>
          <w:trHeight w:val="360"/>
          <w:jc w:val="center"/>
        </w:trPr>
        <w:tc>
          <w:tcPr>
            <w:tcW w:w="2242" w:type="dxa"/>
            <w:shd w:val="clear" w:color="auto" w:fill="auto"/>
            <w:vAlign w:val="center"/>
            <w:hideMark/>
          </w:tcPr>
          <w:p w:rsidR="00B54061" w:rsidRPr="00C72502" w:rsidRDefault="00B54061" w:rsidP="00292DA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Transfers to Instit</w:t>
            </w:r>
            <w:r>
              <w:rPr>
                <w:rFonts w:cs="Calibri"/>
                <w:i/>
                <w:iCs/>
                <w:sz w:val="16"/>
                <w:szCs w:val="16"/>
              </w:rPr>
              <w:t>utions</w:t>
            </w:r>
            <w:r w:rsidRPr="00C72502">
              <w:rPr>
                <w:rFonts w:cs="Calibri"/>
                <w:i/>
                <w:iCs/>
                <w:sz w:val="16"/>
                <w:szCs w:val="16"/>
              </w:rPr>
              <w:t>, Individ</w:t>
            </w:r>
            <w:r>
              <w:rPr>
                <w:rFonts w:cs="Calibri"/>
                <w:i/>
                <w:iCs/>
                <w:sz w:val="16"/>
                <w:szCs w:val="16"/>
              </w:rPr>
              <w:t>uals</w:t>
            </w:r>
            <w:r w:rsidRPr="00C72502">
              <w:rPr>
                <w:rFonts w:cs="Calibri"/>
                <w:i/>
                <w:iCs/>
                <w:sz w:val="16"/>
                <w:szCs w:val="16"/>
              </w:rPr>
              <w:t xml:space="preserve"> and NGOs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2,97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2,03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6,24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4,77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7,18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8,95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5,88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7,42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7,06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5,86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9,04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17,85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7,62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186,11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199,27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134,34</w:t>
            </w:r>
          </w:p>
        </w:tc>
      </w:tr>
      <w:tr w:rsidR="00B54061" w:rsidRPr="00C72502" w:rsidTr="000D7C1B">
        <w:trPr>
          <w:trHeight w:val="315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292DA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Capital expenditures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6,90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6,87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13,94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0,30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2,12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4,94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4,90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4,93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5,21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6,36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58,86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-9,86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B54061" w:rsidRPr="00C72502" w:rsidRDefault="00B54061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248,10</w:t>
            </w:r>
          </w:p>
        </w:tc>
      </w:tr>
      <w:tr w:rsidR="00A30E95" w:rsidRPr="00C72502" w:rsidTr="00A30E95">
        <w:trPr>
          <w:trHeight w:val="330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A30E95" w:rsidRPr="00C72502" w:rsidRDefault="00FB4A20" w:rsidP="00FB4A2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 xml:space="preserve">Budget Surplus </w:t>
            </w:r>
            <w:r w:rsidR="00A30E95" w:rsidRPr="00C72502">
              <w:rPr>
                <w:rFonts w:cs="Calibri"/>
                <w:b/>
                <w:bCs/>
                <w:sz w:val="16"/>
                <w:szCs w:val="16"/>
              </w:rPr>
              <w:t xml:space="preserve">/ Deficit 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-6,57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-25,50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-60,21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-26,03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-18,96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-15,54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-15,89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-1,54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-0,61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-38,31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-16,22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-2,66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17,86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-2,71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-7,70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15,53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-87,21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-39,72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-149,61</w:t>
            </w:r>
          </w:p>
        </w:tc>
        <w:bookmarkStart w:id="0" w:name="_GoBack"/>
        <w:bookmarkEnd w:id="0"/>
      </w:tr>
      <w:tr w:rsidR="00A30E95" w:rsidRPr="00C72502" w:rsidTr="00A30E95">
        <w:trPr>
          <w:trHeight w:val="330"/>
          <w:jc w:val="center"/>
        </w:trPr>
        <w:tc>
          <w:tcPr>
            <w:tcW w:w="2242" w:type="dxa"/>
            <w:shd w:val="clear" w:color="auto" w:fill="auto"/>
            <w:vAlign w:val="bottom"/>
            <w:hideMark/>
          </w:tcPr>
          <w:p w:rsidR="00A30E95" w:rsidRPr="00C72502" w:rsidRDefault="00A30E95" w:rsidP="00FB4A2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Primar</w:t>
            </w:r>
            <w:r w:rsidR="00FB4A20" w:rsidRPr="00C72502">
              <w:rPr>
                <w:rFonts w:cs="Calibri"/>
                <w:i/>
                <w:iCs/>
                <w:sz w:val="16"/>
                <w:szCs w:val="16"/>
              </w:rPr>
              <w:t>y</w:t>
            </w:r>
            <w:r w:rsidRPr="00C72502">
              <w:rPr>
                <w:rFonts w:cs="Calibri"/>
                <w:i/>
                <w:iCs/>
                <w:sz w:val="16"/>
                <w:szCs w:val="16"/>
              </w:rPr>
              <w:t xml:space="preserve"> deficit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-5,77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-24,70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-56,19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-25,48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-17,20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-13,40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8,94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-0,42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-32,57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-14,12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16,06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18,66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-1,96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-2,58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21,39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-95,41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-60,97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-112,05</w:t>
            </w:r>
          </w:p>
        </w:tc>
      </w:tr>
      <w:tr w:rsidR="00A30E95" w:rsidRPr="00C72502" w:rsidTr="00A30E95">
        <w:trPr>
          <w:trHeight w:val="330"/>
          <w:jc w:val="center"/>
        </w:trPr>
        <w:tc>
          <w:tcPr>
            <w:tcW w:w="2242" w:type="dxa"/>
            <w:shd w:val="clear" w:color="auto" w:fill="auto"/>
            <w:vAlign w:val="bottom"/>
            <w:hideMark/>
          </w:tcPr>
          <w:p w:rsidR="00A30E95" w:rsidRPr="00C72502" w:rsidRDefault="00FB4A20" w:rsidP="00A30E95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Debt repayment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2,49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3,41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12,53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16,06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7,38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7,93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7,18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5,57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18,47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34,60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16,98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24,39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17,57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color w:val="000000"/>
                <w:sz w:val="16"/>
                <w:szCs w:val="16"/>
              </w:rPr>
              <w:t>71,64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17,16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471,82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104,66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317,58</w:t>
            </w:r>
          </w:p>
        </w:tc>
      </w:tr>
      <w:tr w:rsidR="00A30E95" w:rsidRPr="00C72502" w:rsidTr="00A30E95">
        <w:trPr>
          <w:trHeight w:val="330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A30E95" w:rsidRPr="00C72502" w:rsidRDefault="00FB4A20" w:rsidP="00FB4A2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C72502">
              <w:rPr>
                <w:rFonts w:cs="Calibri"/>
                <w:b/>
                <w:bCs/>
                <w:sz w:val="16"/>
                <w:szCs w:val="16"/>
              </w:rPr>
              <w:t>Government debt</w:t>
            </w:r>
            <w:r w:rsidR="00A30E95" w:rsidRPr="00C72502">
              <w:rPr>
                <w:rFonts w:cs="Calibri"/>
                <w:b/>
                <w:bCs/>
                <w:sz w:val="16"/>
                <w:szCs w:val="16"/>
              </w:rPr>
              <w:t xml:space="preserve"> (</w:t>
            </w:r>
            <w:r w:rsidRPr="00C72502">
              <w:rPr>
                <w:rFonts w:cs="Calibri"/>
                <w:b/>
                <w:bCs/>
                <w:sz w:val="16"/>
                <w:szCs w:val="16"/>
              </w:rPr>
              <w:t>debt balance</w:t>
            </w:r>
            <w:r w:rsidR="00A30E95" w:rsidRPr="00C72502">
              <w:rPr>
                <w:rFonts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1709,4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1700,2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1699,5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1726,6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1732,7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1755,7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1764,2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1767,1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1760,9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1810,4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1844,90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1846,50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1832,00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1886,30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1873,15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10,22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9,71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30E95" w:rsidRPr="00C72502" w:rsidTr="00A30E95">
        <w:trPr>
          <w:trHeight w:val="330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A30E95" w:rsidRPr="00C72502" w:rsidRDefault="00FB4A20" w:rsidP="00A30E95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Internal debt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401,3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393,1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404,5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394,0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396,7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420,3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431,7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436,0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442,7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442,8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433,80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471,70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440,40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440,13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8,81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30E95" w:rsidRPr="00C72502" w:rsidTr="00A30E95">
        <w:trPr>
          <w:trHeight w:val="330"/>
          <w:jc w:val="center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A30E95" w:rsidRPr="00C72502" w:rsidRDefault="00FB4A20" w:rsidP="00FB4A2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sz w:val="16"/>
                <w:szCs w:val="16"/>
              </w:rPr>
              <w:t>Foreign debt</w:t>
            </w:r>
          </w:p>
        </w:tc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1308,1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1307,1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1295,0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1332,6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1336,0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1335,4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1332,5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1331,1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1318,2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1367,6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1411,10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1365,60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1360,30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1445,90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color w:val="000000"/>
                <w:sz w:val="16"/>
                <w:szCs w:val="16"/>
              </w:rPr>
              <w:t>1433,02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72502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10,66</w:t>
            </w:r>
          </w:p>
        </w:tc>
        <w:tc>
          <w:tcPr>
            <w:tcW w:w="862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11,15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:rsidR="00A30E95" w:rsidRPr="00C72502" w:rsidRDefault="00A30E95" w:rsidP="00A30E9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C72502">
              <w:rPr>
                <w:rFonts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A30E95" w:rsidRPr="00C72502" w:rsidRDefault="00A30E95" w:rsidP="00332574">
      <w:pPr>
        <w:outlineLvl w:val="0"/>
        <w:rPr>
          <w:b/>
          <w:i/>
          <w:sz w:val="16"/>
          <w:szCs w:val="16"/>
        </w:rPr>
      </w:pPr>
    </w:p>
    <w:p w:rsidR="0082570B" w:rsidRPr="00C72502" w:rsidRDefault="0082570B" w:rsidP="005025EC">
      <w:pPr>
        <w:ind w:left="-142"/>
        <w:jc w:val="both"/>
        <w:rPr>
          <w:sz w:val="14"/>
          <w:szCs w:val="14"/>
        </w:rPr>
      </w:pPr>
    </w:p>
    <w:sectPr w:rsidR="0082570B" w:rsidRPr="00C72502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AC" w:rsidRDefault="00292DAC" w:rsidP="00965FCD">
      <w:pPr>
        <w:spacing w:after="0" w:line="240" w:lineRule="auto"/>
      </w:pPr>
      <w:r>
        <w:separator/>
      </w:r>
    </w:p>
  </w:endnote>
  <w:endnote w:type="continuationSeparator" w:id="0">
    <w:p w:rsidR="00292DAC" w:rsidRDefault="00292DAC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AC" w:rsidRDefault="00292DAC" w:rsidP="00965FCD">
      <w:pPr>
        <w:spacing w:after="0" w:line="240" w:lineRule="auto"/>
      </w:pPr>
      <w:r>
        <w:separator/>
      </w:r>
    </w:p>
  </w:footnote>
  <w:footnote w:type="continuationSeparator" w:id="0">
    <w:p w:rsidR="00292DAC" w:rsidRDefault="00292DAC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2"/>
  </w:num>
  <w:num w:numId="9">
    <w:abstractNumId w:val="0"/>
  </w:num>
  <w:num w:numId="10">
    <w:abstractNumId w:val="16"/>
  </w:num>
  <w:num w:numId="11">
    <w:abstractNumId w:val="1"/>
  </w:num>
  <w:num w:numId="12">
    <w:abstractNumId w:val="15"/>
  </w:num>
  <w:num w:numId="13">
    <w:abstractNumId w:val="13"/>
  </w:num>
  <w:num w:numId="14">
    <w:abstractNumId w:val="5"/>
  </w:num>
  <w:num w:numId="15">
    <w:abstractNumId w:val="3"/>
  </w:num>
  <w:num w:numId="16">
    <w:abstractNumId w:val="9"/>
  </w:num>
  <w:num w:numId="17">
    <w:abstractNumId w:val="7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1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692"/>
    <w:rsid w:val="000000CB"/>
    <w:rsid w:val="000009E1"/>
    <w:rsid w:val="000010A3"/>
    <w:rsid w:val="00002CC6"/>
    <w:rsid w:val="00003D78"/>
    <w:rsid w:val="00004B56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1033"/>
    <w:rsid w:val="000224B4"/>
    <w:rsid w:val="00022789"/>
    <w:rsid w:val="0002327A"/>
    <w:rsid w:val="00024DC9"/>
    <w:rsid w:val="0002564B"/>
    <w:rsid w:val="00025AC0"/>
    <w:rsid w:val="00026185"/>
    <w:rsid w:val="000263A4"/>
    <w:rsid w:val="000314E5"/>
    <w:rsid w:val="00031722"/>
    <w:rsid w:val="00031FAD"/>
    <w:rsid w:val="00032524"/>
    <w:rsid w:val="000341DE"/>
    <w:rsid w:val="00034923"/>
    <w:rsid w:val="0003497A"/>
    <w:rsid w:val="00034D42"/>
    <w:rsid w:val="00034F07"/>
    <w:rsid w:val="0003544A"/>
    <w:rsid w:val="000369E1"/>
    <w:rsid w:val="00037B58"/>
    <w:rsid w:val="0004205C"/>
    <w:rsid w:val="000421A3"/>
    <w:rsid w:val="00043DED"/>
    <w:rsid w:val="000449CD"/>
    <w:rsid w:val="00044CB0"/>
    <w:rsid w:val="00045654"/>
    <w:rsid w:val="00045D59"/>
    <w:rsid w:val="00046C9E"/>
    <w:rsid w:val="00050EAB"/>
    <w:rsid w:val="00052DC4"/>
    <w:rsid w:val="00053725"/>
    <w:rsid w:val="00054068"/>
    <w:rsid w:val="00055E5C"/>
    <w:rsid w:val="00055F78"/>
    <w:rsid w:val="00056750"/>
    <w:rsid w:val="00056E43"/>
    <w:rsid w:val="000572EC"/>
    <w:rsid w:val="0005797E"/>
    <w:rsid w:val="000601A4"/>
    <w:rsid w:val="00061391"/>
    <w:rsid w:val="000624EE"/>
    <w:rsid w:val="000645F3"/>
    <w:rsid w:val="00067726"/>
    <w:rsid w:val="00070965"/>
    <w:rsid w:val="000734AF"/>
    <w:rsid w:val="00073786"/>
    <w:rsid w:val="00074378"/>
    <w:rsid w:val="000746C7"/>
    <w:rsid w:val="000747AC"/>
    <w:rsid w:val="00074C3E"/>
    <w:rsid w:val="00074D69"/>
    <w:rsid w:val="0007530C"/>
    <w:rsid w:val="0007555E"/>
    <w:rsid w:val="00080AEE"/>
    <w:rsid w:val="000812E2"/>
    <w:rsid w:val="0008138F"/>
    <w:rsid w:val="00082D87"/>
    <w:rsid w:val="000839D6"/>
    <w:rsid w:val="00085B67"/>
    <w:rsid w:val="00090FDD"/>
    <w:rsid w:val="00091154"/>
    <w:rsid w:val="000915D3"/>
    <w:rsid w:val="000917D8"/>
    <w:rsid w:val="000924C0"/>
    <w:rsid w:val="000925F7"/>
    <w:rsid w:val="00094311"/>
    <w:rsid w:val="000945C9"/>
    <w:rsid w:val="0009505C"/>
    <w:rsid w:val="0009548F"/>
    <w:rsid w:val="000956EB"/>
    <w:rsid w:val="00097E38"/>
    <w:rsid w:val="000A1159"/>
    <w:rsid w:val="000A2350"/>
    <w:rsid w:val="000A2F52"/>
    <w:rsid w:val="000A33CB"/>
    <w:rsid w:val="000A43CE"/>
    <w:rsid w:val="000A47FF"/>
    <w:rsid w:val="000A4E37"/>
    <w:rsid w:val="000A787A"/>
    <w:rsid w:val="000B19D0"/>
    <w:rsid w:val="000B1DD7"/>
    <w:rsid w:val="000B45AB"/>
    <w:rsid w:val="000B48EE"/>
    <w:rsid w:val="000B502D"/>
    <w:rsid w:val="000B54A3"/>
    <w:rsid w:val="000B5DD4"/>
    <w:rsid w:val="000B6252"/>
    <w:rsid w:val="000B67B1"/>
    <w:rsid w:val="000B69BF"/>
    <w:rsid w:val="000B788B"/>
    <w:rsid w:val="000B7AE2"/>
    <w:rsid w:val="000C06C5"/>
    <w:rsid w:val="000C0B0A"/>
    <w:rsid w:val="000C108E"/>
    <w:rsid w:val="000C1965"/>
    <w:rsid w:val="000C36DB"/>
    <w:rsid w:val="000C5764"/>
    <w:rsid w:val="000C6818"/>
    <w:rsid w:val="000C72DD"/>
    <w:rsid w:val="000D0368"/>
    <w:rsid w:val="000D0374"/>
    <w:rsid w:val="000D09EB"/>
    <w:rsid w:val="000D52CF"/>
    <w:rsid w:val="000D588E"/>
    <w:rsid w:val="000D5D48"/>
    <w:rsid w:val="000D5ED7"/>
    <w:rsid w:val="000D6CD4"/>
    <w:rsid w:val="000D6DF1"/>
    <w:rsid w:val="000D765B"/>
    <w:rsid w:val="000D7C1B"/>
    <w:rsid w:val="000D7C5C"/>
    <w:rsid w:val="000E13EB"/>
    <w:rsid w:val="000E2251"/>
    <w:rsid w:val="000E2351"/>
    <w:rsid w:val="000E3987"/>
    <w:rsid w:val="000E40CC"/>
    <w:rsid w:val="000E6096"/>
    <w:rsid w:val="000E77A4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30CC"/>
    <w:rsid w:val="0010339D"/>
    <w:rsid w:val="00103CA9"/>
    <w:rsid w:val="0010452C"/>
    <w:rsid w:val="00106446"/>
    <w:rsid w:val="00107128"/>
    <w:rsid w:val="00107647"/>
    <w:rsid w:val="00107A07"/>
    <w:rsid w:val="00112853"/>
    <w:rsid w:val="00112E23"/>
    <w:rsid w:val="00114109"/>
    <w:rsid w:val="00114378"/>
    <w:rsid w:val="00115519"/>
    <w:rsid w:val="00115C83"/>
    <w:rsid w:val="00115DBD"/>
    <w:rsid w:val="00116365"/>
    <w:rsid w:val="001164A1"/>
    <w:rsid w:val="00116A8F"/>
    <w:rsid w:val="00117AB0"/>
    <w:rsid w:val="00120A3A"/>
    <w:rsid w:val="00123CBD"/>
    <w:rsid w:val="00124730"/>
    <w:rsid w:val="001251D5"/>
    <w:rsid w:val="001276C7"/>
    <w:rsid w:val="00131185"/>
    <w:rsid w:val="001326B7"/>
    <w:rsid w:val="00133462"/>
    <w:rsid w:val="00134816"/>
    <w:rsid w:val="00134A21"/>
    <w:rsid w:val="00134C6C"/>
    <w:rsid w:val="00136E70"/>
    <w:rsid w:val="00141FDD"/>
    <w:rsid w:val="00143FCB"/>
    <w:rsid w:val="00144C86"/>
    <w:rsid w:val="0014607D"/>
    <w:rsid w:val="00147278"/>
    <w:rsid w:val="00150707"/>
    <w:rsid w:val="00152409"/>
    <w:rsid w:val="00152E4F"/>
    <w:rsid w:val="001530CE"/>
    <w:rsid w:val="0015322D"/>
    <w:rsid w:val="00153490"/>
    <w:rsid w:val="00154145"/>
    <w:rsid w:val="0015515C"/>
    <w:rsid w:val="00156E33"/>
    <w:rsid w:val="00157601"/>
    <w:rsid w:val="001577A1"/>
    <w:rsid w:val="00160183"/>
    <w:rsid w:val="001610BD"/>
    <w:rsid w:val="001613FC"/>
    <w:rsid w:val="001627A3"/>
    <w:rsid w:val="00163041"/>
    <w:rsid w:val="00163A7B"/>
    <w:rsid w:val="001644C7"/>
    <w:rsid w:val="00165DE6"/>
    <w:rsid w:val="001678F1"/>
    <w:rsid w:val="00170C82"/>
    <w:rsid w:val="00170CCE"/>
    <w:rsid w:val="00172816"/>
    <w:rsid w:val="00172D59"/>
    <w:rsid w:val="001730BE"/>
    <w:rsid w:val="00174836"/>
    <w:rsid w:val="0017540F"/>
    <w:rsid w:val="00181309"/>
    <w:rsid w:val="001824C2"/>
    <w:rsid w:val="0018289E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42BA"/>
    <w:rsid w:val="001971A8"/>
    <w:rsid w:val="001A2829"/>
    <w:rsid w:val="001A2F7A"/>
    <w:rsid w:val="001A392F"/>
    <w:rsid w:val="001A594D"/>
    <w:rsid w:val="001A5B99"/>
    <w:rsid w:val="001A65F4"/>
    <w:rsid w:val="001A7319"/>
    <w:rsid w:val="001B0396"/>
    <w:rsid w:val="001B25FF"/>
    <w:rsid w:val="001B3267"/>
    <w:rsid w:val="001B3BE3"/>
    <w:rsid w:val="001B4CB9"/>
    <w:rsid w:val="001B4F99"/>
    <w:rsid w:val="001B7AD0"/>
    <w:rsid w:val="001C1490"/>
    <w:rsid w:val="001C1928"/>
    <w:rsid w:val="001C1F7E"/>
    <w:rsid w:val="001C22CB"/>
    <w:rsid w:val="001C23DD"/>
    <w:rsid w:val="001C264C"/>
    <w:rsid w:val="001C2751"/>
    <w:rsid w:val="001C43B5"/>
    <w:rsid w:val="001C51EC"/>
    <w:rsid w:val="001C5CE9"/>
    <w:rsid w:val="001C6698"/>
    <w:rsid w:val="001C6750"/>
    <w:rsid w:val="001C70BA"/>
    <w:rsid w:val="001D0226"/>
    <w:rsid w:val="001D0A32"/>
    <w:rsid w:val="001D37FD"/>
    <w:rsid w:val="001D4E81"/>
    <w:rsid w:val="001E2403"/>
    <w:rsid w:val="001E29C8"/>
    <w:rsid w:val="001E29D1"/>
    <w:rsid w:val="001E2BC7"/>
    <w:rsid w:val="001E33FE"/>
    <w:rsid w:val="001E4EAE"/>
    <w:rsid w:val="001E5BE3"/>
    <w:rsid w:val="001F1378"/>
    <w:rsid w:val="001F19CC"/>
    <w:rsid w:val="001F27F8"/>
    <w:rsid w:val="001F2B57"/>
    <w:rsid w:val="001F4C02"/>
    <w:rsid w:val="001F69DD"/>
    <w:rsid w:val="001F7445"/>
    <w:rsid w:val="001F7C33"/>
    <w:rsid w:val="001F7C4B"/>
    <w:rsid w:val="002000E5"/>
    <w:rsid w:val="00200A3F"/>
    <w:rsid w:val="0020246C"/>
    <w:rsid w:val="00203447"/>
    <w:rsid w:val="002049C0"/>
    <w:rsid w:val="00205D15"/>
    <w:rsid w:val="00206062"/>
    <w:rsid w:val="0020648A"/>
    <w:rsid w:val="00207613"/>
    <w:rsid w:val="00207B53"/>
    <w:rsid w:val="0021042E"/>
    <w:rsid w:val="00212126"/>
    <w:rsid w:val="00212633"/>
    <w:rsid w:val="002128D8"/>
    <w:rsid w:val="00212CDE"/>
    <w:rsid w:val="002135A2"/>
    <w:rsid w:val="0021614C"/>
    <w:rsid w:val="00220834"/>
    <w:rsid w:val="002210E9"/>
    <w:rsid w:val="00222175"/>
    <w:rsid w:val="00223E45"/>
    <w:rsid w:val="00224AD0"/>
    <w:rsid w:val="002251C3"/>
    <w:rsid w:val="00225F74"/>
    <w:rsid w:val="002263B3"/>
    <w:rsid w:val="0022695C"/>
    <w:rsid w:val="00227682"/>
    <w:rsid w:val="00227D75"/>
    <w:rsid w:val="00230DE8"/>
    <w:rsid w:val="00230FA2"/>
    <w:rsid w:val="00231268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5023"/>
    <w:rsid w:val="002650CF"/>
    <w:rsid w:val="00265406"/>
    <w:rsid w:val="00265A3D"/>
    <w:rsid w:val="002662BE"/>
    <w:rsid w:val="002668AA"/>
    <w:rsid w:val="00270FD9"/>
    <w:rsid w:val="002717A8"/>
    <w:rsid w:val="002723A7"/>
    <w:rsid w:val="002723D9"/>
    <w:rsid w:val="00274EBC"/>
    <w:rsid w:val="00275609"/>
    <w:rsid w:val="00282488"/>
    <w:rsid w:val="00282DBE"/>
    <w:rsid w:val="00283704"/>
    <w:rsid w:val="00287A18"/>
    <w:rsid w:val="00292DAC"/>
    <w:rsid w:val="00292EC3"/>
    <w:rsid w:val="00294586"/>
    <w:rsid w:val="00294DE0"/>
    <w:rsid w:val="00296127"/>
    <w:rsid w:val="00296B08"/>
    <w:rsid w:val="00297AC4"/>
    <w:rsid w:val="002A046A"/>
    <w:rsid w:val="002A0CAC"/>
    <w:rsid w:val="002A0D49"/>
    <w:rsid w:val="002A10A8"/>
    <w:rsid w:val="002A1639"/>
    <w:rsid w:val="002A1B2B"/>
    <w:rsid w:val="002A1DC4"/>
    <w:rsid w:val="002A235B"/>
    <w:rsid w:val="002A2CED"/>
    <w:rsid w:val="002A4910"/>
    <w:rsid w:val="002A5C73"/>
    <w:rsid w:val="002A68B8"/>
    <w:rsid w:val="002B10AE"/>
    <w:rsid w:val="002B318C"/>
    <w:rsid w:val="002B552A"/>
    <w:rsid w:val="002B74C5"/>
    <w:rsid w:val="002C159D"/>
    <w:rsid w:val="002C1A52"/>
    <w:rsid w:val="002C1FBF"/>
    <w:rsid w:val="002C25C6"/>
    <w:rsid w:val="002C47B8"/>
    <w:rsid w:val="002C4A81"/>
    <w:rsid w:val="002C6888"/>
    <w:rsid w:val="002C78FB"/>
    <w:rsid w:val="002D0F81"/>
    <w:rsid w:val="002D170B"/>
    <w:rsid w:val="002D175D"/>
    <w:rsid w:val="002D2E80"/>
    <w:rsid w:val="002D3B0F"/>
    <w:rsid w:val="002D4073"/>
    <w:rsid w:val="002D447A"/>
    <w:rsid w:val="002D5865"/>
    <w:rsid w:val="002E294A"/>
    <w:rsid w:val="002E4D6D"/>
    <w:rsid w:val="002E6CB0"/>
    <w:rsid w:val="002F03B5"/>
    <w:rsid w:val="002F184C"/>
    <w:rsid w:val="002F19E7"/>
    <w:rsid w:val="002F2166"/>
    <w:rsid w:val="002F323A"/>
    <w:rsid w:val="002F3B70"/>
    <w:rsid w:val="002F5002"/>
    <w:rsid w:val="002F567B"/>
    <w:rsid w:val="002F579B"/>
    <w:rsid w:val="002F6AB2"/>
    <w:rsid w:val="002F7C7C"/>
    <w:rsid w:val="003004B8"/>
    <w:rsid w:val="003022A7"/>
    <w:rsid w:val="00303D85"/>
    <w:rsid w:val="00307F4D"/>
    <w:rsid w:val="0031098B"/>
    <w:rsid w:val="00311A9D"/>
    <w:rsid w:val="00312994"/>
    <w:rsid w:val="00313CA3"/>
    <w:rsid w:val="0031558E"/>
    <w:rsid w:val="00315B94"/>
    <w:rsid w:val="003165E5"/>
    <w:rsid w:val="003201BC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6A"/>
    <w:rsid w:val="0033283B"/>
    <w:rsid w:val="00333C49"/>
    <w:rsid w:val="00336033"/>
    <w:rsid w:val="00337648"/>
    <w:rsid w:val="00340752"/>
    <w:rsid w:val="003409C9"/>
    <w:rsid w:val="00341583"/>
    <w:rsid w:val="00341F7C"/>
    <w:rsid w:val="00344581"/>
    <w:rsid w:val="00344DF2"/>
    <w:rsid w:val="0034655C"/>
    <w:rsid w:val="00346FFA"/>
    <w:rsid w:val="00350CFE"/>
    <w:rsid w:val="0035139C"/>
    <w:rsid w:val="003524FD"/>
    <w:rsid w:val="003568F4"/>
    <w:rsid w:val="00357182"/>
    <w:rsid w:val="00357B8D"/>
    <w:rsid w:val="00357E66"/>
    <w:rsid w:val="00360100"/>
    <w:rsid w:val="00360197"/>
    <w:rsid w:val="003625F1"/>
    <w:rsid w:val="003638CF"/>
    <w:rsid w:val="00363C84"/>
    <w:rsid w:val="00364D14"/>
    <w:rsid w:val="00365311"/>
    <w:rsid w:val="003655B6"/>
    <w:rsid w:val="00365E46"/>
    <w:rsid w:val="00366F41"/>
    <w:rsid w:val="0037726C"/>
    <w:rsid w:val="00377697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0732"/>
    <w:rsid w:val="0039257B"/>
    <w:rsid w:val="0039441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4E89"/>
    <w:rsid w:val="003A5C77"/>
    <w:rsid w:val="003A5EB6"/>
    <w:rsid w:val="003A785D"/>
    <w:rsid w:val="003A7A69"/>
    <w:rsid w:val="003B04DA"/>
    <w:rsid w:val="003B0E7A"/>
    <w:rsid w:val="003B15C8"/>
    <w:rsid w:val="003B1992"/>
    <w:rsid w:val="003B1A29"/>
    <w:rsid w:val="003B1C22"/>
    <w:rsid w:val="003B1D25"/>
    <w:rsid w:val="003B2900"/>
    <w:rsid w:val="003B3299"/>
    <w:rsid w:val="003B436A"/>
    <w:rsid w:val="003B48D5"/>
    <w:rsid w:val="003B4F8C"/>
    <w:rsid w:val="003B62EC"/>
    <w:rsid w:val="003B6749"/>
    <w:rsid w:val="003B6844"/>
    <w:rsid w:val="003B75FC"/>
    <w:rsid w:val="003C14C9"/>
    <w:rsid w:val="003C15EF"/>
    <w:rsid w:val="003C1D23"/>
    <w:rsid w:val="003C4817"/>
    <w:rsid w:val="003C6A22"/>
    <w:rsid w:val="003C79AC"/>
    <w:rsid w:val="003D1EDB"/>
    <w:rsid w:val="003D4359"/>
    <w:rsid w:val="003D4739"/>
    <w:rsid w:val="003D56FD"/>
    <w:rsid w:val="003D75A1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757E"/>
    <w:rsid w:val="003F0052"/>
    <w:rsid w:val="003F0CAE"/>
    <w:rsid w:val="003F0EA8"/>
    <w:rsid w:val="003F5183"/>
    <w:rsid w:val="003F56BD"/>
    <w:rsid w:val="003F5A35"/>
    <w:rsid w:val="003F7085"/>
    <w:rsid w:val="00400790"/>
    <w:rsid w:val="00400C11"/>
    <w:rsid w:val="004010A8"/>
    <w:rsid w:val="00401DED"/>
    <w:rsid w:val="00404546"/>
    <w:rsid w:val="00406097"/>
    <w:rsid w:val="00406C7B"/>
    <w:rsid w:val="00407182"/>
    <w:rsid w:val="004078E5"/>
    <w:rsid w:val="00407FE4"/>
    <w:rsid w:val="0041311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CD5"/>
    <w:rsid w:val="00421E9D"/>
    <w:rsid w:val="00422784"/>
    <w:rsid w:val="00423EE9"/>
    <w:rsid w:val="00425EC2"/>
    <w:rsid w:val="00427696"/>
    <w:rsid w:val="00435D37"/>
    <w:rsid w:val="00436469"/>
    <w:rsid w:val="004379FA"/>
    <w:rsid w:val="00442E20"/>
    <w:rsid w:val="0044465C"/>
    <w:rsid w:val="0044550D"/>
    <w:rsid w:val="004471B9"/>
    <w:rsid w:val="00447221"/>
    <w:rsid w:val="004509F6"/>
    <w:rsid w:val="00453CE3"/>
    <w:rsid w:val="00454093"/>
    <w:rsid w:val="00454C7D"/>
    <w:rsid w:val="00455227"/>
    <w:rsid w:val="004574D9"/>
    <w:rsid w:val="0046000A"/>
    <w:rsid w:val="00461324"/>
    <w:rsid w:val="0046148B"/>
    <w:rsid w:val="00461657"/>
    <w:rsid w:val="004634E4"/>
    <w:rsid w:val="004639A5"/>
    <w:rsid w:val="004655E7"/>
    <w:rsid w:val="00466A02"/>
    <w:rsid w:val="00466E96"/>
    <w:rsid w:val="00466F15"/>
    <w:rsid w:val="004725CB"/>
    <w:rsid w:val="0047278D"/>
    <w:rsid w:val="00473470"/>
    <w:rsid w:val="00475763"/>
    <w:rsid w:val="00475BE2"/>
    <w:rsid w:val="00475D3B"/>
    <w:rsid w:val="00480082"/>
    <w:rsid w:val="00483B9D"/>
    <w:rsid w:val="0048470D"/>
    <w:rsid w:val="004848E8"/>
    <w:rsid w:val="00484EA7"/>
    <w:rsid w:val="004865CE"/>
    <w:rsid w:val="004868F5"/>
    <w:rsid w:val="00487296"/>
    <w:rsid w:val="0049070F"/>
    <w:rsid w:val="004932C1"/>
    <w:rsid w:val="00493B63"/>
    <w:rsid w:val="004940E0"/>
    <w:rsid w:val="00496861"/>
    <w:rsid w:val="004A1113"/>
    <w:rsid w:val="004A1F71"/>
    <w:rsid w:val="004A2665"/>
    <w:rsid w:val="004A3449"/>
    <w:rsid w:val="004A350C"/>
    <w:rsid w:val="004A382B"/>
    <w:rsid w:val="004A3894"/>
    <w:rsid w:val="004A38D1"/>
    <w:rsid w:val="004A55B1"/>
    <w:rsid w:val="004A56BE"/>
    <w:rsid w:val="004A5717"/>
    <w:rsid w:val="004A61E8"/>
    <w:rsid w:val="004A62DA"/>
    <w:rsid w:val="004B1C2A"/>
    <w:rsid w:val="004B1ECF"/>
    <w:rsid w:val="004B41B2"/>
    <w:rsid w:val="004B5F63"/>
    <w:rsid w:val="004B7800"/>
    <w:rsid w:val="004B7883"/>
    <w:rsid w:val="004C0135"/>
    <w:rsid w:val="004C0541"/>
    <w:rsid w:val="004C16F3"/>
    <w:rsid w:val="004C373F"/>
    <w:rsid w:val="004C3C31"/>
    <w:rsid w:val="004C659C"/>
    <w:rsid w:val="004D41FF"/>
    <w:rsid w:val="004D49A0"/>
    <w:rsid w:val="004D4E0F"/>
    <w:rsid w:val="004E02D3"/>
    <w:rsid w:val="004E28B9"/>
    <w:rsid w:val="004E4063"/>
    <w:rsid w:val="004E475F"/>
    <w:rsid w:val="004E4B54"/>
    <w:rsid w:val="004E6C21"/>
    <w:rsid w:val="004E7676"/>
    <w:rsid w:val="004F17AF"/>
    <w:rsid w:val="004F288B"/>
    <w:rsid w:val="004F3817"/>
    <w:rsid w:val="004F4CFC"/>
    <w:rsid w:val="004F50B8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67C"/>
    <w:rsid w:val="005078B9"/>
    <w:rsid w:val="0051201B"/>
    <w:rsid w:val="0051345D"/>
    <w:rsid w:val="00516264"/>
    <w:rsid w:val="00517175"/>
    <w:rsid w:val="00521DE6"/>
    <w:rsid w:val="005221F4"/>
    <w:rsid w:val="00522282"/>
    <w:rsid w:val="00524587"/>
    <w:rsid w:val="0052511E"/>
    <w:rsid w:val="0052531F"/>
    <w:rsid w:val="005253D1"/>
    <w:rsid w:val="0052630A"/>
    <w:rsid w:val="005264EC"/>
    <w:rsid w:val="00530AE6"/>
    <w:rsid w:val="00532B88"/>
    <w:rsid w:val="005331B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6E2"/>
    <w:rsid w:val="00543A1F"/>
    <w:rsid w:val="00543D0A"/>
    <w:rsid w:val="005468F5"/>
    <w:rsid w:val="00546967"/>
    <w:rsid w:val="00547212"/>
    <w:rsid w:val="005479C8"/>
    <w:rsid w:val="00547B34"/>
    <w:rsid w:val="005523CF"/>
    <w:rsid w:val="0055364A"/>
    <w:rsid w:val="00553E61"/>
    <w:rsid w:val="0055409D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80172"/>
    <w:rsid w:val="00580859"/>
    <w:rsid w:val="00581749"/>
    <w:rsid w:val="005818A8"/>
    <w:rsid w:val="005829D9"/>
    <w:rsid w:val="00583591"/>
    <w:rsid w:val="005852DA"/>
    <w:rsid w:val="005858DC"/>
    <w:rsid w:val="00585B6B"/>
    <w:rsid w:val="00585F7B"/>
    <w:rsid w:val="0058776D"/>
    <w:rsid w:val="00590ABD"/>
    <w:rsid w:val="00590B7B"/>
    <w:rsid w:val="005916D5"/>
    <w:rsid w:val="00592DF3"/>
    <w:rsid w:val="00593B25"/>
    <w:rsid w:val="00595DA2"/>
    <w:rsid w:val="00596079"/>
    <w:rsid w:val="005966E6"/>
    <w:rsid w:val="005A13E6"/>
    <w:rsid w:val="005A1C61"/>
    <w:rsid w:val="005A4AB8"/>
    <w:rsid w:val="005A5064"/>
    <w:rsid w:val="005A5229"/>
    <w:rsid w:val="005B0DB1"/>
    <w:rsid w:val="005B18F4"/>
    <w:rsid w:val="005B25F8"/>
    <w:rsid w:val="005B2BF5"/>
    <w:rsid w:val="005B5CB7"/>
    <w:rsid w:val="005B7040"/>
    <w:rsid w:val="005C19AB"/>
    <w:rsid w:val="005C3915"/>
    <w:rsid w:val="005C3D3E"/>
    <w:rsid w:val="005C4CBE"/>
    <w:rsid w:val="005C4DBD"/>
    <w:rsid w:val="005C5F38"/>
    <w:rsid w:val="005D0E14"/>
    <w:rsid w:val="005D48D4"/>
    <w:rsid w:val="005D4BC4"/>
    <w:rsid w:val="005D5D14"/>
    <w:rsid w:val="005D5DF7"/>
    <w:rsid w:val="005D6EEB"/>
    <w:rsid w:val="005D751B"/>
    <w:rsid w:val="005E0358"/>
    <w:rsid w:val="005E038B"/>
    <w:rsid w:val="005E150E"/>
    <w:rsid w:val="005E2852"/>
    <w:rsid w:val="005E2B06"/>
    <w:rsid w:val="005E35C9"/>
    <w:rsid w:val="005E4CD1"/>
    <w:rsid w:val="005E5941"/>
    <w:rsid w:val="005E6D35"/>
    <w:rsid w:val="005F13D5"/>
    <w:rsid w:val="005F50EA"/>
    <w:rsid w:val="005F568D"/>
    <w:rsid w:val="006006C6"/>
    <w:rsid w:val="006050EA"/>
    <w:rsid w:val="006070E0"/>
    <w:rsid w:val="006071F2"/>
    <w:rsid w:val="00607217"/>
    <w:rsid w:val="00607500"/>
    <w:rsid w:val="00607541"/>
    <w:rsid w:val="0061084D"/>
    <w:rsid w:val="006127E9"/>
    <w:rsid w:val="00612A74"/>
    <w:rsid w:val="00612F5E"/>
    <w:rsid w:val="00613676"/>
    <w:rsid w:val="006139C9"/>
    <w:rsid w:val="006152FB"/>
    <w:rsid w:val="0061569F"/>
    <w:rsid w:val="00616B6E"/>
    <w:rsid w:val="00617CA0"/>
    <w:rsid w:val="00620FA4"/>
    <w:rsid w:val="00621B53"/>
    <w:rsid w:val="0062271A"/>
    <w:rsid w:val="00622F10"/>
    <w:rsid w:val="00622FAC"/>
    <w:rsid w:val="00623BC4"/>
    <w:rsid w:val="00624C12"/>
    <w:rsid w:val="006304FD"/>
    <w:rsid w:val="00632692"/>
    <w:rsid w:val="00634B74"/>
    <w:rsid w:val="006357BA"/>
    <w:rsid w:val="0063610A"/>
    <w:rsid w:val="00642A13"/>
    <w:rsid w:val="00642F40"/>
    <w:rsid w:val="006435D8"/>
    <w:rsid w:val="00645ED4"/>
    <w:rsid w:val="00647463"/>
    <w:rsid w:val="00647B12"/>
    <w:rsid w:val="006509EE"/>
    <w:rsid w:val="00651027"/>
    <w:rsid w:val="0065108A"/>
    <w:rsid w:val="006534C5"/>
    <w:rsid w:val="00653CF3"/>
    <w:rsid w:val="00654A8A"/>
    <w:rsid w:val="0065518C"/>
    <w:rsid w:val="0065775B"/>
    <w:rsid w:val="00657F58"/>
    <w:rsid w:val="00661339"/>
    <w:rsid w:val="00661C7E"/>
    <w:rsid w:val="00663690"/>
    <w:rsid w:val="00664DEB"/>
    <w:rsid w:val="00666EFC"/>
    <w:rsid w:val="0066756D"/>
    <w:rsid w:val="00670373"/>
    <w:rsid w:val="006705D4"/>
    <w:rsid w:val="00670C5E"/>
    <w:rsid w:val="00670C6E"/>
    <w:rsid w:val="00671844"/>
    <w:rsid w:val="00671961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C8B"/>
    <w:rsid w:val="00681351"/>
    <w:rsid w:val="00681A9E"/>
    <w:rsid w:val="00682718"/>
    <w:rsid w:val="0068334D"/>
    <w:rsid w:val="00684818"/>
    <w:rsid w:val="00684902"/>
    <w:rsid w:val="00685393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5C83"/>
    <w:rsid w:val="006971AF"/>
    <w:rsid w:val="00697A91"/>
    <w:rsid w:val="006A0B4A"/>
    <w:rsid w:val="006A144B"/>
    <w:rsid w:val="006A1C8D"/>
    <w:rsid w:val="006A290B"/>
    <w:rsid w:val="006A478E"/>
    <w:rsid w:val="006A4801"/>
    <w:rsid w:val="006A5DE6"/>
    <w:rsid w:val="006A6C58"/>
    <w:rsid w:val="006B159D"/>
    <w:rsid w:val="006B22E5"/>
    <w:rsid w:val="006B2866"/>
    <w:rsid w:val="006B3579"/>
    <w:rsid w:val="006B4777"/>
    <w:rsid w:val="006B5211"/>
    <w:rsid w:val="006B5863"/>
    <w:rsid w:val="006B729D"/>
    <w:rsid w:val="006B7725"/>
    <w:rsid w:val="006C15C6"/>
    <w:rsid w:val="006C27EC"/>
    <w:rsid w:val="006C2906"/>
    <w:rsid w:val="006C3C84"/>
    <w:rsid w:val="006C5096"/>
    <w:rsid w:val="006C5F17"/>
    <w:rsid w:val="006C6B7E"/>
    <w:rsid w:val="006C6BF9"/>
    <w:rsid w:val="006C6C06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74DB"/>
    <w:rsid w:val="006E11AC"/>
    <w:rsid w:val="006E4746"/>
    <w:rsid w:val="006E4B91"/>
    <w:rsid w:val="006E6751"/>
    <w:rsid w:val="006E7282"/>
    <w:rsid w:val="006F1525"/>
    <w:rsid w:val="006F1AFE"/>
    <w:rsid w:val="006F2861"/>
    <w:rsid w:val="006F4309"/>
    <w:rsid w:val="006F4C84"/>
    <w:rsid w:val="006F5E1B"/>
    <w:rsid w:val="006F6B2B"/>
    <w:rsid w:val="006F6D5E"/>
    <w:rsid w:val="006F7C03"/>
    <w:rsid w:val="00701093"/>
    <w:rsid w:val="007027D1"/>
    <w:rsid w:val="00703B0B"/>
    <w:rsid w:val="00703DE7"/>
    <w:rsid w:val="00705089"/>
    <w:rsid w:val="007055C9"/>
    <w:rsid w:val="007067B2"/>
    <w:rsid w:val="00706A33"/>
    <w:rsid w:val="00706CF0"/>
    <w:rsid w:val="00710BC7"/>
    <w:rsid w:val="00712271"/>
    <w:rsid w:val="00712C9A"/>
    <w:rsid w:val="00712CC4"/>
    <w:rsid w:val="00713AA0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2A8B"/>
    <w:rsid w:val="007234B4"/>
    <w:rsid w:val="00725D07"/>
    <w:rsid w:val="00727967"/>
    <w:rsid w:val="007307C9"/>
    <w:rsid w:val="007319C8"/>
    <w:rsid w:val="00733BCB"/>
    <w:rsid w:val="0073431B"/>
    <w:rsid w:val="00734688"/>
    <w:rsid w:val="00734729"/>
    <w:rsid w:val="00736E76"/>
    <w:rsid w:val="0073706D"/>
    <w:rsid w:val="00737DB4"/>
    <w:rsid w:val="007406F2"/>
    <w:rsid w:val="00742C04"/>
    <w:rsid w:val="00743684"/>
    <w:rsid w:val="007452A1"/>
    <w:rsid w:val="00745BCE"/>
    <w:rsid w:val="00746132"/>
    <w:rsid w:val="007469F9"/>
    <w:rsid w:val="00747828"/>
    <w:rsid w:val="007515DA"/>
    <w:rsid w:val="007534AA"/>
    <w:rsid w:val="00753C0A"/>
    <w:rsid w:val="00753E85"/>
    <w:rsid w:val="00754D46"/>
    <w:rsid w:val="00754F86"/>
    <w:rsid w:val="0075551E"/>
    <w:rsid w:val="00755DB9"/>
    <w:rsid w:val="0075626E"/>
    <w:rsid w:val="00756761"/>
    <w:rsid w:val="007579F4"/>
    <w:rsid w:val="00757A6C"/>
    <w:rsid w:val="0076100C"/>
    <w:rsid w:val="00761287"/>
    <w:rsid w:val="0076182F"/>
    <w:rsid w:val="007618B8"/>
    <w:rsid w:val="00762622"/>
    <w:rsid w:val="0076413B"/>
    <w:rsid w:val="007652FD"/>
    <w:rsid w:val="0076645A"/>
    <w:rsid w:val="00771538"/>
    <w:rsid w:val="00771D94"/>
    <w:rsid w:val="007722BC"/>
    <w:rsid w:val="00772A01"/>
    <w:rsid w:val="00772F45"/>
    <w:rsid w:val="00773C65"/>
    <w:rsid w:val="00775529"/>
    <w:rsid w:val="00776A67"/>
    <w:rsid w:val="00776DE5"/>
    <w:rsid w:val="00777134"/>
    <w:rsid w:val="00781377"/>
    <w:rsid w:val="00783810"/>
    <w:rsid w:val="00783A9F"/>
    <w:rsid w:val="00784166"/>
    <w:rsid w:val="0078476D"/>
    <w:rsid w:val="00784BF8"/>
    <w:rsid w:val="00784DAE"/>
    <w:rsid w:val="00784E09"/>
    <w:rsid w:val="00785339"/>
    <w:rsid w:val="00786F50"/>
    <w:rsid w:val="00787E88"/>
    <w:rsid w:val="00791DC2"/>
    <w:rsid w:val="00793F4D"/>
    <w:rsid w:val="007941BB"/>
    <w:rsid w:val="00794B8C"/>
    <w:rsid w:val="00796ED1"/>
    <w:rsid w:val="007978AC"/>
    <w:rsid w:val="00797B66"/>
    <w:rsid w:val="00797BA2"/>
    <w:rsid w:val="007A0816"/>
    <w:rsid w:val="007A1882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B0888"/>
    <w:rsid w:val="007B41C4"/>
    <w:rsid w:val="007B5A1B"/>
    <w:rsid w:val="007B5C2E"/>
    <w:rsid w:val="007B7DBE"/>
    <w:rsid w:val="007B7EED"/>
    <w:rsid w:val="007C1EE8"/>
    <w:rsid w:val="007C2107"/>
    <w:rsid w:val="007C2827"/>
    <w:rsid w:val="007C43BE"/>
    <w:rsid w:val="007C49FF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E0203"/>
    <w:rsid w:val="007E056C"/>
    <w:rsid w:val="007E0761"/>
    <w:rsid w:val="007E081D"/>
    <w:rsid w:val="007E1AB8"/>
    <w:rsid w:val="007E293C"/>
    <w:rsid w:val="007E36EB"/>
    <w:rsid w:val="007E5CC1"/>
    <w:rsid w:val="007E7DDD"/>
    <w:rsid w:val="007F182C"/>
    <w:rsid w:val="007F33E9"/>
    <w:rsid w:val="007F388B"/>
    <w:rsid w:val="007F4D55"/>
    <w:rsid w:val="007F61AF"/>
    <w:rsid w:val="007F775F"/>
    <w:rsid w:val="007F7F34"/>
    <w:rsid w:val="0080031F"/>
    <w:rsid w:val="00801DB8"/>
    <w:rsid w:val="0080291E"/>
    <w:rsid w:val="00802B7F"/>
    <w:rsid w:val="00804F0B"/>
    <w:rsid w:val="00804FB1"/>
    <w:rsid w:val="00805844"/>
    <w:rsid w:val="00805F78"/>
    <w:rsid w:val="00806B4B"/>
    <w:rsid w:val="00810837"/>
    <w:rsid w:val="00810CDD"/>
    <w:rsid w:val="00811332"/>
    <w:rsid w:val="0081184B"/>
    <w:rsid w:val="00811943"/>
    <w:rsid w:val="00811DF5"/>
    <w:rsid w:val="00812E0B"/>
    <w:rsid w:val="00813346"/>
    <w:rsid w:val="00813F13"/>
    <w:rsid w:val="00815A2F"/>
    <w:rsid w:val="00817A6A"/>
    <w:rsid w:val="0082070B"/>
    <w:rsid w:val="0082084A"/>
    <w:rsid w:val="00822F67"/>
    <w:rsid w:val="008251C2"/>
    <w:rsid w:val="0082570B"/>
    <w:rsid w:val="0082721B"/>
    <w:rsid w:val="008312F3"/>
    <w:rsid w:val="008317E4"/>
    <w:rsid w:val="008343BA"/>
    <w:rsid w:val="0083553F"/>
    <w:rsid w:val="008355A8"/>
    <w:rsid w:val="00836A00"/>
    <w:rsid w:val="00842AFE"/>
    <w:rsid w:val="00842FB5"/>
    <w:rsid w:val="00843DFF"/>
    <w:rsid w:val="00844B4B"/>
    <w:rsid w:val="00845320"/>
    <w:rsid w:val="00845675"/>
    <w:rsid w:val="0084680E"/>
    <w:rsid w:val="00847B5B"/>
    <w:rsid w:val="00847EBF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4891"/>
    <w:rsid w:val="00864D7E"/>
    <w:rsid w:val="008654E2"/>
    <w:rsid w:val="008656F4"/>
    <w:rsid w:val="00870795"/>
    <w:rsid w:val="00871ED5"/>
    <w:rsid w:val="008722E4"/>
    <w:rsid w:val="00873808"/>
    <w:rsid w:val="00873FD5"/>
    <w:rsid w:val="00874F31"/>
    <w:rsid w:val="0087527E"/>
    <w:rsid w:val="00875C4F"/>
    <w:rsid w:val="008770B1"/>
    <w:rsid w:val="00877642"/>
    <w:rsid w:val="00880646"/>
    <w:rsid w:val="00882650"/>
    <w:rsid w:val="00883754"/>
    <w:rsid w:val="008842AB"/>
    <w:rsid w:val="008844C7"/>
    <w:rsid w:val="008855BC"/>
    <w:rsid w:val="00886302"/>
    <w:rsid w:val="00886930"/>
    <w:rsid w:val="0089243B"/>
    <w:rsid w:val="00892AFB"/>
    <w:rsid w:val="0089368B"/>
    <w:rsid w:val="00893A0A"/>
    <w:rsid w:val="0089702D"/>
    <w:rsid w:val="008A1B88"/>
    <w:rsid w:val="008A1D16"/>
    <w:rsid w:val="008A1EA3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6A3"/>
    <w:rsid w:val="008B285E"/>
    <w:rsid w:val="008B2B3C"/>
    <w:rsid w:val="008B4A2E"/>
    <w:rsid w:val="008B58DE"/>
    <w:rsid w:val="008B599F"/>
    <w:rsid w:val="008B6202"/>
    <w:rsid w:val="008B6D0D"/>
    <w:rsid w:val="008C01EB"/>
    <w:rsid w:val="008C15C8"/>
    <w:rsid w:val="008C2299"/>
    <w:rsid w:val="008C34B7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30AF"/>
    <w:rsid w:val="008D3CDF"/>
    <w:rsid w:val="008D4618"/>
    <w:rsid w:val="008D5823"/>
    <w:rsid w:val="008D6E96"/>
    <w:rsid w:val="008D6F6A"/>
    <w:rsid w:val="008D6F78"/>
    <w:rsid w:val="008D7D8C"/>
    <w:rsid w:val="008E0886"/>
    <w:rsid w:val="008E0E90"/>
    <w:rsid w:val="008E10D6"/>
    <w:rsid w:val="008E27E6"/>
    <w:rsid w:val="008E2B58"/>
    <w:rsid w:val="008E3805"/>
    <w:rsid w:val="008E3D20"/>
    <w:rsid w:val="008E4582"/>
    <w:rsid w:val="008E462B"/>
    <w:rsid w:val="008E5EDA"/>
    <w:rsid w:val="008E6D00"/>
    <w:rsid w:val="008E7183"/>
    <w:rsid w:val="008E77D5"/>
    <w:rsid w:val="008F0415"/>
    <w:rsid w:val="008F195C"/>
    <w:rsid w:val="008F34CB"/>
    <w:rsid w:val="008F3986"/>
    <w:rsid w:val="008F4F59"/>
    <w:rsid w:val="008F6653"/>
    <w:rsid w:val="008F7755"/>
    <w:rsid w:val="00900F62"/>
    <w:rsid w:val="0090210D"/>
    <w:rsid w:val="00902289"/>
    <w:rsid w:val="009022BB"/>
    <w:rsid w:val="009045B3"/>
    <w:rsid w:val="0090493D"/>
    <w:rsid w:val="00904C72"/>
    <w:rsid w:val="00904F52"/>
    <w:rsid w:val="00905430"/>
    <w:rsid w:val="00905BF5"/>
    <w:rsid w:val="00905F6A"/>
    <w:rsid w:val="00907FE0"/>
    <w:rsid w:val="00910CBD"/>
    <w:rsid w:val="0091144B"/>
    <w:rsid w:val="009126D6"/>
    <w:rsid w:val="00915576"/>
    <w:rsid w:val="0091631F"/>
    <w:rsid w:val="00916A0F"/>
    <w:rsid w:val="00920528"/>
    <w:rsid w:val="00922BF8"/>
    <w:rsid w:val="0092368D"/>
    <w:rsid w:val="0092403C"/>
    <w:rsid w:val="0092474C"/>
    <w:rsid w:val="00925448"/>
    <w:rsid w:val="00925536"/>
    <w:rsid w:val="00925FF2"/>
    <w:rsid w:val="009271A2"/>
    <w:rsid w:val="009329C9"/>
    <w:rsid w:val="00933305"/>
    <w:rsid w:val="0093378D"/>
    <w:rsid w:val="0093484E"/>
    <w:rsid w:val="00935A48"/>
    <w:rsid w:val="00937C0F"/>
    <w:rsid w:val="009404CE"/>
    <w:rsid w:val="00940D56"/>
    <w:rsid w:val="00941BFF"/>
    <w:rsid w:val="00941C71"/>
    <w:rsid w:val="00941E99"/>
    <w:rsid w:val="0094299F"/>
    <w:rsid w:val="009472A1"/>
    <w:rsid w:val="00947B02"/>
    <w:rsid w:val="00947E4E"/>
    <w:rsid w:val="009508FA"/>
    <w:rsid w:val="00951A56"/>
    <w:rsid w:val="009543FD"/>
    <w:rsid w:val="009545F5"/>
    <w:rsid w:val="009553DE"/>
    <w:rsid w:val="00955421"/>
    <w:rsid w:val="0095549B"/>
    <w:rsid w:val="00956F1D"/>
    <w:rsid w:val="0095708D"/>
    <w:rsid w:val="009570EC"/>
    <w:rsid w:val="00957325"/>
    <w:rsid w:val="00961D65"/>
    <w:rsid w:val="00962341"/>
    <w:rsid w:val="009636C3"/>
    <w:rsid w:val="009637F1"/>
    <w:rsid w:val="009647DB"/>
    <w:rsid w:val="00965B35"/>
    <w:rsid w:val="00965E55"/>
    <w:rsid w:val="00965FCD"/>
    <w:rsid w:val="009667E4"/>
    <w:rsid w:val="00966CC3"/>
    <w:rsid w:val="009674E4"/>
    <w:rsid w:val="00967750"/>
    <w:rsid w:val="009707F3"/>
    <w:rsid w:val="00970817"/>
    <w:rsid w:val="00972F5D"/>
    <w:rsid w:val="00973022"/>
    <w:rsid w:val="0097377E"/>
    <w:rsid w:val="00974320"/>
    <w:rsid w:val="00974AD2"/>
    <w:rsid w:val="00974F42"/>
    <w:rsid w:val="00975511"/>
    <w:rsid w:val="0098296F"/>
    <w:rsid w:val="00982E62"/>
    <w:rsid w:val="009836D7"/>
    <w:rsid w:val="0098562F"/>
    <w:rsid w:val="00985C9B"/>
    <w:rsid w:val="009860B5"/>
    <w:rsid w:val="00986392"/>
    <w:rsid w:val="00992B90"/>
    <w:rsid w:val="00994D96"/>
    <w:rsid w:val="009A0736"/>
    <w:rsid w:val="009A1376"/>
    <w:rsid w:val="009A24E1"/>
    <w:rsid w:val="009A2EA5"/>
    <w:rsid w:val="009A4C61"/>
    <w:rsid w:val="009A63D0"/>
    <w:rsid w:val="009A6D2F"/>
    <w:rsid w:val="009A74A7"/>
    <w:rsid w:val="009A792A"/>
    <w:rsid w:val="009B1C0A"/>
    <w:rsid w:val="009B320B"/>
    <w:rsid w:val="009B4D6B"/>
    <w:rsid w:val="009B5779"/>
    <w:rsid w:val="009B65AF"/>
    <w:rsid w:val="009B6603"/>
    <w:rsid w:val="009B6985"/>
    <w:rsid w:val="009C0493"/>
    <w:rsid w:val="009C162D"/>
    <w:rsid w:val="009C1D43"/>
    <w:rsid w:val="009C42D7"/>
    <w:rsid w:val="009C5462"/>
    <w:rsid w:val="009C62C0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510B"/>
    <w:rsid w:val="009E58AC"/>
    <w:rsid w:val="009E5D48"/>
    <w:rsid w:val="009E70C1"/>
    <w:rsid w:val="009E7177"/>
    <w:rsid w:val="009F0EB0"/>
    <w:rsid w:val="009F1090"/>
    <w:rsid w:val="009F18E0"/>
    <w:rsid w:val="009F3035"/>
    <w:rsid w:val="009F3089"/>
    <w:rsid w:val="009F35DF"/>
    <w:rsid w:val="009F3C6F"/>
    <w:rsid w:val="009F3CF9"/>
    <w:rsid w:val="009F3DA9"/>
    <w:rsid w:val="009F4195"/>
    <w:rsid w:val="009F4E29"/>
    <w:rsid w:val="00A00218"/>
    <w:rsid w:val="00A0035B"/>
    <w:rsid w:val="00A01261"/>
    <w:rsid w:val="00A0226B"/>
    <w:rsid w:val="00A040F6"/>
    <w:rsid w:val="00A060B3"/>
    <w:rsid w:val="00A06C70"/>
    <w:rsid w:val="00A07539"/>
    <w:rsid w:val="00A10CF5"/>
    <w:rsid w:val="00A119B4"/>
    <w:rsid w:val="00A11B66"/>
    <w:rsid w:val="00A11CDE"/>
    <w:rsid w:val="00A11E17"/>
    <w:rsid w:val="00A14996"/>
    <w:rsid w:val="00A16685"/>
    <w:rsid w:val="00A16C9B"/>
    <w:rsid w:val="00A17447"/>
    <w:rsid w:val="00A20571"/>
    <w:rsid w:val="00A2097F"/>
    <w:rsid w:val="00A209F6"/>
    <w:rsid w:val="00A22776"/>
    <w:rsid w:val="00A22911"/>
    <w:rsid w:val="00A233F2"/>
    <w:rsid w:val="00A2480A"/>
    <w:rsid w:val="00A2559B"/>
    <w:rsid w:val="00A25D5F"/>
    <w:rsid w:val="00A30660"/>
    <w:rsid w:val="00A30E95"/>
    <w:rsid w:val="00A3121D"/>
    <w:rsid w:val="00A33860"/>
    <w:rsid w:val="00A34E49"/>
    <w:rsid w:val="00A34E9D"/>
    <w:rsid w:val="00A35C10"/>
    <w:rsid w:val="00A360C2"/>
    <w:rsid w:val="00A36F39"/>
    <w:rsid w:val="00A37526"/>
    <w:rsid w:val="00A4133A"/>
    <w:rsid w:val="00A419CE"/>
    <w:rsid w:val="00A423C3"/>
    <w:rsid w:val="00A429F2"/>
    <w:rsid w:val="00A4482B"/>
    <w:rsid w:val="00A44F1D"/>
    <w:rsid w:val="00A44F75"/>
    <w:rsid w:val="00A451E5"/>
    <w:rsid w:val="00A45F99"/>
    <w:rsid w:val="00A4692E"/>
    <w:rsid w:val="00A46C9C"/>
    <w:rsid w:val="00A46DEF"/>
    <w:rsid w:val="00A52BC0"/>
    <w:rsid w:val="00A55764"/>
    <w:rsid w:val="00A55823"/>
    <w:rsid w:val="00A559ED"/>
    <w:rsid w:val="00A55AB0"/>
    <w:rsid w:val="00A5642C"/>
    <w:rsid w:val="00A56F16"/>
    <w:rsid w:val="00A57868"/>
    <w:rsid w:val="00A57CDB"/>
    <w:rsid w:val="00A6220E"/>
    <w:rsid w:val="00A62711"/>
    <w:rsid w:val="00A63167"/>
    <w:rsid w:val="00A66994"/>
    <w:rsid w:val="00A66BEC"/>
    <w:rsid w:val="00A67103"/>
    <w:rsid w:val="00A67F78"/>
    <w:rsid w:val="00A719D1"/>
    <w:rsid w:val="00A73828"/>
    <w:rsid w:val="00A74590"/>
    <w:rsid w:val="00A75004"/>
    <w:rsid w:val="00A76BD3"/>
    <w:rsid w:val="00A80523"/>
    <w:rsid w:val="00A8105B"/>
    <w:rsid w:val="00A81A72"/>
    <w:rsid w:val="00A84EF6"/>
    <w:rsid w:val="00A85320"/>
    <w:rsid w:val="00A85322"/>
    <w:rsid w:val="00A862EE"/>
    <w:rsid w:val="00A86AE2"/>
    <w:rsid w:val="00A919D2"/>
    <w:rsid w:val="00A92C88"/>
    <w:rsid w:val="00A93193"/>
    <w:rsid w:val="00A94105"/>
    <w:rsid w:val="00A9414F"/>
    <w:rsid w:val="00A94444"/>
    <w:rsid w:val="00A944B7"/>
    <w:rsid w:val="00A965E6"/>
    <w:rsid w:val="00A96B95"/>
    <w:rsid w:val="00AA1568"/>
    <w:rsid w:val="00AA4229"/>
    <w:rsid w:val="00AA4C9B"/>
    <w:rsid w:val="00AA53FC"/>
    <w:rsid w:val="00AA57C2"/>
    <w:rsid w:val="00AA6372"/>
    <w:rsid w:val="00AB08DE"/>
    <w:rsid w:val="00AB1AAD"/>
    <w:rsid w:val="00AB3700"/>
    <w:rsid w:val="00AB47EB"/>
    <w:rsid w:val="00AB4C24"/>
    <w:rsid w:val="00AB4C79"/>
    <w:rsid w:val="00AB517A"/>
    <w:rsid w:val="00AB7198"/>
    <w:rsid w:val="00AC2EF2"/>
    <w:rsid w:val="00AC33D0"/>
    <w:rsid w:val="00AC41A8"/>
    <w:rsid w:val="00AC4D78"/>
    <w:rsid w:val="00AC4E44"/>
    <w:rsid w:val="00AC7CE7"/>
    <w:rsid w:val="00AD02E0"/>
    <w:rsid w:val="00AD0474"/>
    <w:rsid w:val="00AD0892"/>
    <w:rsid w:val="00AD0FC1"/>
    <w:rsid w:val="00AD1B16"/>
    <w:rsid w:val="00AD1CF2"/>
    <w:rsid w:val="00AD308A"/>
    <w:rsid w:val="00AD4978"/>
    <w:rsid w:val="00AD5FD2"/>
    <w:rsid w:val="00AD677F"/>
    <w:rsid w:val="00AD69AC"/>
    <w:rsid w:val="00AD6C85"/>
    <w:rsid w:val="00AD6E0C"/>
    <w:rsid w:val="00AD71D3"/>
    <w:rsid w:val="00AD725A"/>
    <w:rsid w:val="00AE1A52"/>
    <w:rsid w:val="00AE2C4C"/>
    <w:rsid w:val="00AE2FC9"/>
    <w:rsid w:val="00AE3B29"/>
    <w:rsid w:val="00AE3EC8"/>
    <w:rsid w:val="00AE46D2"/>
    <w:rsid w:val="00AF16EF"/>
    <w:rsid w:val="00AF2A35"/>
    <w:rsid w:val="00AF39C0"/>
    <w:rsid w:val="00AF3F13"/>
    <w:rsid w:val="00AF6471"/>
    <w:rsid w:val="00AF71DC"/>
    <w:rsid w:val="00B022B2"/>
    <w:rsid w:val="00B02D66"/>
    <w:rsid w:val="00B039A4"/>
    <w:rsid w:val="00B0449D"/>
    <w:rsid w:val="00B063C0"/>
    <w:rsid w:val="00B10371"/>
    <w:rsid w:val="00B12463"/>
    <w:rsid w:val="00B12E31"/>
    <w:rsid w:val="00B12FFF"/>
    <w:rsid w:val="00B13932"/>
    <w:rsid w:val="00B1410C"/>
    <w:rsid w:val="00B144B8"/>
    <w:rsid w:val="00B14CA8"/>
    <w:rsid w:val="00B215A7"/>
    <w:rsid w:val="00B21B23"/>
    <w:rsid w:val="00B22227"/>
    <w:rsid w:val="00B2229B"/>
    <w:rsid w:val="00B2447D"/>
    <w:rsid w:val="00B2654F"/>
    <w:rsid w:val="00B27D61"/>
    <w:rsid w:val="00B30BC0"/>
    <w:rsid w:val="00B36D48"/>
    <w:rsid w:val="00B40133"/>
    <w:rsid w:val="00B41E7A"/>
    <w:rsid w:val="00B434CF"/>
    <w:rsid w:val="00B46ABF"/>
    <w:rsid w:val="00B47CAB"/>
    <w:rsid w:val="00B50021"/>
    <w:rsid w:val="00B50CF4"/>
    <w:rsid w:val="00B5154B"/>
    <w:rsid w:val="00B52271"/>
    <w:rsid w:val="00B53433"/>
    <w:rsid w:val="00B54061"/>
    <w:rsid w:val="00B57E89"/>
    <w:rsid w:val="00B600D9"/>
    <w:rsid w:val="00B603E6"/>
    <w:rsid w:val="00B62D9E"/>
    <w:rsid w:val="00B6394D"/>
    <w:rsid w:val="00B63FBA"/>
    <w:rsid w:val="00B6519A"/>
    <w:rsid w:val="00B663B8"/>
    <w:rsid w:val="00B70315"/>
    <w:rsid w:val="00B71665"/>
    <w:rsid w:val="00B71C0B"/>
    <w:rsid w:val="00B72332"/>
    <w:rsid w:val="00B74947"/>
    <w:rsid w:val="00B7591E"/>
    <w:rsid w:val="00B76838"/>
    <w:rsid w:val="00B77D13"/>
    <w:rsid w:val="00B81BD0"/>
    <w:rsid w:val="00B82794"/>
    <w:rsid w:val="00B82B9C"/>
    <w:rsid w:val="00B82F96"/>
    <w:rsid w:val="00B84CCB"/>
    <w:rsid w:val="00B862AF"/>
    <w:rsid w:val="00B90D97"/>
    <w:rsid w:val="00B91241"/>
    <w:rsid w:val="00B92746"/>
    <w:rsid w:val="00B92D47"/>
    <w:rsid w:val="00BA06C1"/>
    <w:rsid w:val="00BA0B65"/>
    <w:rsid w:val="00BA1E04"/>
    <w:rsid w:val="00BA1F78"/>
    <w:rsid w:val="00BA54D0"/>
    <w:rsid w:val="00BA6FEF"/>
    <w:rsid w:val="00BB24C2"/>
    <w:rsid w:val="00BB30FF"/>
    <w:rsid w:val="00BB40F6"/>
    <w:rsid w:val="00BB573E"/>
    <w:rsid w:val="00BB5FE7"/>
    <w:rsid w:val="00BB60B2"/>
    <w:rsid w:val="00BB785F"/>
    <w:rsid w:val="00BB7878"/>
    <w:rsid w:val="00BB7D3F"/>
    <w:rsid w:val="00BB7F73"/>
    <w:rsid w:val="00BC1BBF"/>
    <w:rsid w:val="00BC2E39"/>
    <w:rsid w:val="00BC4BB9"/>
    <w:rsid w:val="00BC6076"/>
    <w:rsid w:val="00BC6E86"/>
    <w:rsid w:val="00BC76FE"/>
    <w:rsid w:val="00BD0C9A"/>
    <w:rsid w:val="00BD18F0"/>
    <w:rsid w:val="00BD30D2"/>
    <w:rsid w:val="00BE1624"/>
    <w:rsid w:val="00BE20AC"/>
    <w:rsid w:val="00BE2E1E"/>
    <w:rsid w:val="00BE3C50"/>
    <w:rsid w:val="00BE3FF4"/>
    <w:rsid w:val="00BE47BD"/>
    <w:rsid w:val="00BE5B52"/>
    <w:rsid w:val="00BE6E6D"/>
    <w:rsid w:val="00BF0ACC"/>
    <w:rsid w:val="00BF0C5D"/>
    <w:rsid w:val="00BF1440"/>
    <w:rsid w:val="00BF1A0B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7170"/>
    <w:rsid w:val="00C077DA"/>
    <w:rsid w:val="00C0788A"/>
    <w:rsid w:val="00C07EBB"/>
    <w:rsid w:val="00C123A0"/>
    <w:rsid w:val="00C131FA"/>
    <w:rsid w:val="00C13F58"/>
    <w:rsid w:val="00C14571"/>
    <w:rsid w:val="00C1491F"/>
    <w:rsid w:val="00C157D1"/>
    <w:rsid w:val="00C20BFE"/>
    <w:rsid w:val="00C20E5A"/>
    <w:rsid w:val="00C22E55"/>
    <w:rsid w:val="00C23729"/>
    <w:rsid w:val="00C25367"/>
    <w:rsid w:val="00C26844"/>
    <w:rsid w:val="00C2734A"/>
    <w:rsid w:val="00C309B8"/>
    <w:rsid w:val="00C31D0E"/>
    <w:rsid w:val="00C321B7"/>
    <w:rsid w:val="00C34184"/>
    <w:rsid w:val="00C34787"/>
    <w:rsid w:val="00C34AC1"/>
    <w:rsid w:val="00C35CAA"/>
    <w:rsid w:val="00C37756"/>
    <w:rsid w:val="00C37B69"/>
    <w:rsid w:val="00C40651"/>
    <w:rsid w:val="00C40CFD"/>
    <w:rsid w:val="00C41BAB"/>
    <w:rsid w:val="00C41D78"/>
    <w:rsid w:val="00C42122"/>
    <w:rsid w:val="00C427B1"/>
    <w:rsid w:val="00C42838"/>
    <w:rsid w:val="00C42F1F"/>
    <w:rsid w:val="00C43371"/>
    <w:rsid w:val="00C45B6B"/>
    <w:rsid w:val="00C4601D"/>
    <w:rsid w:val="00C46235"/>
    <w:rsid w:val="00C47275"/>
    <w:rsid w:val="00C479E2"/>
    <w:rsid w:val="00C50494"/>
    <w:rsid w:val="00C51BC7"/>
    <w:rsid w:val="00C535A6"/>
    <w:rsid w:val="00C53A70"/>
    <w:rsid w:val="00C565D2"/>
    <w:rsid w:val="00C576EA"/>
    <w:rsid w:val="00C57CD2"/>
    <w:rsid w:val="00C603DE"/>
    <w:rsid w:val="00C6164F"/>
    <w:rsid w:val="00C62171"/>
    <w:rsid w:val="00C6348A"/>
    <w:rsid w:val="00C6406C"/>
    <w:rsid w:val="00C64636"/>
    <w:rsid w:val="00C646AC"/>
    <w:rsid w:val="00C652CE"/>
    <w:rsid w:val="00C6630B"/>
    <w:rsid w:val="00C701AF"/>
    <w:rsid w:val="00C72502"/>
    <w:rsid w:val="00C72651"/>
    <w:rsid w:val="00C72C89"/>
    <w:rsid w:val="00C73B10"/>
    <w:rsid w:val="00C74B05"/>
    <w:rsid w:val="00C75F0D"/>
    <w:rsid w:val="00C75F73"/>
    <w:rsid w:val="00C80520"/>
    <w:rsid w:val="00C81007"/>
    <w:rsid w:val="00C83BDD"/>
    <w:rsid w:val="00C84A12"/>
    <w:rsid w:val="00C85EA2"/>
    <w:rsid w:val="00C86D66"/>
    <w:rsid w:val="00C87E02"/>
    <w:rsid w:val="00C90367"/>
    <w:rsid w:val="00C907BB"/>
    <w:rsid w:val="00C909BF"/>
    <w:rsid w:val="00C9152B"/>
    <w:rsid w:val="00C9246F"/>
    <w:rsid w:val="00C93D87"/>
    <w:rsid w:val="00C93DA1"/>
    <w:rsid w:val="00C9626E"/>
    <w:rsid w:val="00C97975"/>
    <w:rsid w:val="00CA211C"/>
    <w:rsid w:val="00CA2C46"/>
    <w:rsid w:val="00CA2DC5"/>
    <w:rsid w:val="00CA44ED"/>
    <w:rsid w:val="00CA6E7C"/>
    <w:rsid w:val="00CA7C68"/>
    <w:rsid w:val="00CA7C77"/>
    <w:rsid w:val="00CB0013"/>
    <w:rsid w:val="00CB04AC"/>
    <w:rsid w:val="00CB0D35"/>
    <w:rsid w:val="00CB2C84"/>
    <w:rsid w:val="00CB311F"/>
    <w:rsid w:val="00CB407D"/>
    <w:rsid w:val="00CB4560"/>
    <w:rsid w:val="00CB47DE"/>
    <w:rsid w:val="00CB7966"/>
    <w:rsid w:val="00CC16C7"/>
    <w:rsid w:val="00CC199B"/>
    <w:rsid w:val="00CC53C4"/>
    <w:rsid w:val="00CC577F"/>
    <w:rsid w:val="00CC64C7"/>
    <w:rsid w:val="00CC67DD"/>
    <w:rsid w:val="00CC6A54"/>
    <w:rsid w:val="00CD019B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D772F"/>
    <w:rsid w:val="00CE0770"/>
    <w:rsid w:val="00CE0D08"/>
    <w:rsid w:val="00CE1254"/>
    <w:rsid w:val="00CE518B"/>
    <w:rsid w:val="00CE69B5"/>
    <w:rsid w:val="00CE6CFC"/>
    <w:rsid w:val="00CE7444"/>
    <w:rsid w:val="00CF0D75"/>
    <w:rsid w:val="00CF162C"/>
    <w:rsid w:val="00CF4E1E"/>
    <w:rsid w:val="00CF586D"/>
    <w:rsid w:val="00CF5FA3"/>
    <w:rsid w:val="00D004D6"/>
    <w:rsid w:val="00D00D24"/>
    <w:rsid w:val="00D0131E"/>
    <w:rsid w:val="00D01C27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6B7A"/>
    <w:rsid w:val="00D17067"/>
    <w:rsid w:val="00D20419"/>
    <w:rsid w:val="00D20CDA"/>
    <w:rsid w:val="00D21899"/>
    <w:rsid w:val="00D222E7"/>
    <w:rsid w:val="00D2271A"/>
    <w:rsid w:val="00D253F6"/>
    <w:rsid w:val="00D26B12"/>
    <w:rsid w:val="00D26EB8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4827"/>
    <w:rsid w:val="00D35983"/>
    <w:rsid w:val="00D3631D"/>
    <w:rsid w:val="00D4058D"/>
    <w:rsid w:val="00D40A23"/>
    <w:rsid w:val="00D44ED9"/>
    <w:rsid w:val="00D45256"/>
    <w:rsid w:val="00D47D6A"/>
    <w:rsid w:val="00D501DA"/>
    <w:rsid w:val="00D506A3"/>
    <w:rsid w:val="00D50FD4"/>
    <w:rsid w:val="00D51C00"/>
    <w:rsid w:val="00D51E0A"/>
    <w:rsid w:val="00D52AB9"/>
    <w:rsid w:val="00D5378F"/>
    <w:rsid w:val="00D542E5"/>
    <w:rsid w:val="00D55775"/>
    <w:rsid w:val="00D564C8"/>
    <w:rsid w:val="00D5714E"/>
    <w:rsid w:val="00D57413"/>
    <w:rsid w:val="00D60D35"/>
    <w:rsid w:val="00D61692"/>
    <w:rsid w:val="00D61837"/>
    <w:rsid w:val="00D64DD3"/>
    <w:rsid w:val="00D64F1F"/>
    <w:rsid w:val="00D64F6E"/>
    <w:rsid w:val="00D64FD3"/>
    <w:rsid w:val="00D66F3C"/>
    <w:rsid w:val="00D67D95"/>
    <w:rsid w:val="00D710FD"/>
    <w:rsid w:val="00D71690"/>
    <w:rsid w:val="00D719A0"/>
    <w:rsid w:val="00D733AC"/>
    <w:rsid w:val="00D73AA8"/>
    <w:rsid w:val="00D75F50"/>
    <w:rsid w:val="00D76A94"/>
    <w:rsid w:val="00D7718A"/>
    <w:rsid w:val="00D77F3E"/>
    <w:rsid w:val="00D803C1"/>
    <w:rsid w:val="00D848EE"/>
    <w:rsid w:val="00D85C94"/>
    <w:rsid w:val="00D85F1E"/>
    <w:rsid w:val="00D8651E"/>
    <w:rsid w:val="00D90D26"/>
    <w:rsid w:val="00D91904"/>
    <w:rsid w:val="00D92C91"/>
    <w:rsid w:val="00D94466"/>
    <w:rsid w:val="00D96B77"/>
    <w:rsid w:val="00D96CD3"/>
    <w:rsid w:val="00DA35C2"/>
    <w:rsid w:val="00DA372E"/>
    <w:rsid w:val="00DA6330"/>
    <w:rsid w:val="00DB0D61"/>
    <w:rsid w:val="00DB2EE2"/>
    <w:rsid w:val="00DB3E5E"/>
    <w:rsid w:val="00DB4A28"/>
    <w:rsid w:val="00DB51B0"/>
    <w:rsid w:val="00DB55E7"/>
    <w:rsid w:val="00DB561E"/>
    <w:rsid w:val="00DB6B8F"/>
    <w:rsid w:val="00DB721D"/>
    <w:rsid w:val="00DB7C5D"/>
    <w:rsid w:val="00DC006E"/>
    <w:rsid w:val="00DC0241"/>
    <w:rsid w:val="00DC1184"/>
    <w:rsid w:val="00DC19DD"/>
    <w:rsid w:val="00DC3690"/>
    <w:rsid w:val="00DC47F3"/>
    <w:rsid w:val="00DC48C0"/>
    <w:rsid w:val="00DC4AD1"/>
    <w:rsid w:val="00DC7E28"/>
    <w:rsid w:val="00DD230D"/>
    <w:rsid w:val="00DD2925"/>
    <w:rsid w:val="00DD351E"/>
    <w:rsid w:val="00DD5A8F"/>
    <w:rsid w:val="00DD6B2D"/>
    <w:rsid w:val="00DD756A"/>
    <w:rsid w:val="00DE0595"/>
    <w:rsid w:val="00DE1A7C"/>
    <w:rsid w:val="00DE2A1F"/>
    <w:rsid w:val="00DE2C31"/>
    <w:rsid w:val="00DE4794"/>
    <w:rsid w:val="00DE47FC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0EA3"/>
    <w:rsid w:val="00E00EAA"/>
    <w:rsid w:val="00E01B04"/>
    <w:rsid w:val="00E01F45"/>
    <w:rsid w:val="00E0269D"/>
    <w:rsid w:val="00E02E82"/>
    <w:rsid w:val="00E03367"/>
    <w:rsid w:val="00E04E50"/>
    <w:rsid w:val="00E05C49"/>
    <w:rsid w:val="00E06855"/>
    <w:rsid w:val="00E0706D"/>
    <w:rsid w:val="00E074E4"/>
    <w:rsid w:val="00E07C08"/>
    <w:rsid w:val="00E104E0"/>
    <w:rsid w:val="00E139E6"/>
    <w:rsid w:val="00E143F2"/>
    <w:rsid w:val="00E14901"/>
    <w:rsid w:val="00E157D0"/>
    <w:rsid w:val="00E16763"/>
    <w:rsid w:val="00E20800"/>
    <w:rsid w:val="00E2133B"/>
    <w:rsid w:val="00E237D9"/>
    <w:rsid w:val="00E249A9"/>
    <w:rsid w:val="00E25472"/>
    <w:rsid w:val="00E27F19"/>
    <w:rsid w:val="00E30184"/>
    <w:rsid w:val="00E3083C"/>
    <w:rsid w:val="00E30F05"/>
    <w:rsid w:val="00E318AD"/>
    <w:rsid w:val="00E32169"/>
    <w:rsid w:val="00E328B1"/>
    <w:rsid w:val="00E35767"/>
    <w:rsid w:val="00E35972"/>
    <w:rsid w:val="00E35BCC"/>
    <w:rsid w:val="00E36E18"/>
    <w:rsid w:val="00E37149"/>
    <w:rsid w:val="00E40915"/>
    <w:rsid w:val="00E41355"/>
    <w:rsid w:val="00E42290"/>
    <w:rsid w:val="00E43D7A"/>
    <w:rsid w:val="00E44BCC"/>
    <w:rsid w:val="00E453FC"/>
    <w:rsid w:val="00E456CD"/>
    <w:rsid w:val="00E4745C"/>
    <w:rsid w:val="00E50BCF"/>
    <w:rsid w:val="00E51282"/>
    <w:rsid w:val="00E523EF"/>
    <w:rsid w:val="00E5473E"/>
    <w:rsid w:val="00E54993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4AA5"/>
    <w:rsid w:val="00E64E93"/>
    <w:rsid w:val="00E660EE"/>
    <w:rsid w:val="00E72541"/>
    <w:rsid w:val="00E72808"/>
    <w:rsid w:val="00E72F93"/>
    <w:rsid w:val="00E734B7"/>
    <w:rsid w:val="00E73E27"/>
    <w:rsid w:val="00E75796"/>
    <w:rsid w:val="00E8093F"/>
    <w:rsid w:val="00E82901"/>
    <w:rsid w:val="00E82AAA"/>
    <w:rsid w:val="00E82C42"/>
    <w:rsid w:val="00E83DA8"/>
    <w:rsid w:val="00E83E92"/>
    <w:rsid w:val="00E842DE"/>
    <w:rsid w:val="00E84A41"/>
    <w:rsid w:val="00E8523D"/>
    <w:rsid w:val="00E87BA7"/>
    <w:rsid w:val="00E9031B"/>
    <w:rsid w:val="00E90B13"/>
    <w:rsid w:val="00E9108B"/>
    <w:rsid w:val="00E91311"/>
    <w:rsid w:val="00E92380"/>
    <w:rsid w:val="00E95A95"/>
    <w:rsid w:val="00EA0BE5"/>
    <w:rsid w:val="00EA2FB5"/>
    <w:rsid w:val="00EA43D5"/>
    <w:rsid w:val="00EA5738"/>
    <w:rsid w:val="00EA60A7"/>
    <w:rsid w:val="00EB250E"/>
    <w:rsid w:val="00EB32D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3691"/>
    <w:rsid w:val="00EC4680"/>
    <w:rsid w:val="00EC6854"/>
    <w:rsid w:val="00EC70BD"/>
    <w:rsid w:val="00ED05BC"/>
    <w:rsid w:val="00ED0E4C"/>
    <w:rsid w:val="00ED21BB"/>
    <w:rsid w:val="00ED2422"/>
    <w:rsid w:val="00ED3980"/>
    <w:rsid w:val="00ED3FE9"/>
    <w:rsid w:val="00ED4AD3"/>
    <w:rsid w:val="00ED4E43"/>
    <w:rsid w:val="00ED66A9"/>
    <w:rsid w:val="00EE0167"/>
    <w:rsid w:val="00EE0860"/>
    <w:rsid w:val="00EE096D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511"/>
    <w:rsid w:val="00EF490F"/>
    <w:rsid w:val="00EF5EA4"/>
    <w:rsid w:val="00EF668F"/>
    <w:rsid w:val="00EF6766"/>
    <w:rsid w:val="00EF6D1A"/>
    <w:rsid w:val="00EF737D"/>
    <w:rsid w:val="00F00B04"/>
    <w:rsid w:val="00F01200"/>
    <w:rsid w:val="00F02C33"/>
    <w:rsid w:val="00F03604"/>
    <w:rsid w:val="00F03B06"/>
    <w:rsid w:val="00F04386"/>
    <w:rsid w:val="00F048C2"/>
    <w:rsid w:val="00F04AF5"/>
    <w:rsid w:val="00F053FC"/>
    <w:rsid w:val="00F064DC"/>
    <w:rsid w:val="00F10750"/>
    <w:rsid w:val="00F10EBC"/>
    <w:rsid w:val="00F1178A"/>
    <w:rsid w:val="00F11F0D"/>
    <w:rsid w:val="00F1270D"/>
    <w:rsid w:val="00F13EE1"/>
    <w:rsid w:val="00F176FB"/>
    <w:rsid w:val="00F20B19"/>
    <w:rsid w:val="00F21847"/>
    <w:rsid w:val="00F21D60"/>
    <w:rsid w:val="00F22301"/>
    <w:rsid w:val="00F231BA"/>
    <w:rsid w:val="00F24232"/>
    <w:rsid w:val="00F24992"/>
    <w:rsid w:val="00F2525E"/>
    <w:rsid w:val="00F26EE8"/>
    <w:rsid w:val="00F27924"/>
    <w:rsid w:val="00F3219F"/>
    <w:rsid w:val="00F32E78"/>
    <w:rsid w:val="00F36375"/>
    <w:rsid w:val="00F37E59"/>
    <w:rsid w:val="00F37F75"/>
    <w:rsid w:val="00F40003"/>
    <w:rsid w:val="00F409E5"/>
    <w:rsid w:val="00F4195C"/>
    <w:rsid w:val="00F41ABF"/>
    <w:rsid w:val="00F44108"/>
    <w:rsid w:val="00F45B15"/>
    <w:rsid w:val="00F50434"/>
    <w:rsid w:val="00F52271"/>
    <w:rsid w:val="00F52987"/>
    <w:rsid w:val="00F54342"/>
    <w:rsid w:val="00F54BF8"/>
    <w:rsid w:val="00F550CB"/>
    <w:rsid w:val="00F5720E"/>
    <w:rsid w:val="00F5737B"/>
    <w:rsid w:val="00F619FF"/>
    <w:rsid w:val="00F6365F"/>
    <w:rsid w:val="00F653CD"/>
    <w:rsid w:val="00F65D2D"/>
    <w:rsid w:val="00F6620F"/>
    <w:rsid w:val="00F664A5"/>
    <w:rsid w:val="00F6696A"/>
    <w:rsid w:val="00F67252"/>
    <w:rsid w:val="00F67463"/>
    <w:rsid w:val="00F70CC9"/>
    <w:rsid w:val="00F72EE3"/>
    <w:rsid w:val="00F737D1"/>
    <w:rsid w:val="00F73FC6"/>
    <w:rsid w:val="00F74097"/>
    <w:rsid w:val="00F743B0"/>
    <w:rsid w:val="00F80192"/>
    <w:rsid w:val="00F81AF7"/>
    <w:rsid w:val="00F81F17"/>
    <w:rsid w:val="00F8300B"/>
    <w:rsid w:val="00F838C5"/>
    <w:rsid w:val="00F8680A"/>
    <w:rsid w:val="00F911BE"/>
    <w:rsid w:val="00F9185B"/>
    <w:rsid w:val="00F92BD8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495F"/>
    <w:rsid w:val="00FB4A20"/>
    <w:rsid w:val="00FB54D1"/>
    <w:rsid w:val="00FB6971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AB9"/>
    <w:rsid w:val="00FD2C51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1473"/>
    <o:shapelayout v:ext="edit">
      <o:idmap v:ext="edit" data="1"/>
      <o:rules v:ext="edit">
        <o:r id="V:Rule4" type="connector" idref="#AutoShape 9"/>
        <o:r id="V:Rule5" type="connector" idref="#AutoShape 8"/>
        <o:r id="V:Rule6" type="connector" idref="#AutoShape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adovan.zivkovic\Dropbox\MINISTARSTVO%20FINANSIJA%20(1)\SEP\02_MMI\Radni%20materijal\Valut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olja.tomanovic\Desktop\zaposl-nezap.Book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Dropbox\MINISTARSTVO%20FINANSIJA%20(1)\SEP\02_MMI\MMI%202014\MMI_2014_01\mmi-2014_0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-2014_0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Copy%20of%20mmi_sirovi%20podaci_2013%200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sr-Latn-CS"/>
            </a:pPr>
            <a:r>
              <a:rPr lang="en-US" sz="1000"/>
              <a:t>Exchange rates</a:t>
            </a:r>
            <a:r>
              <a:rPr lang="sr-Latn-CS" sz="600"/>
              <a:t>-</a:t>
            </a:r>
            <a:r>
              <a:rPr lang="en-US" sz="600"/>
              <a:t>Beginning</a:t>
            </a:r>
            <a:r>
              <a:rPr lang="en-US" sz="600" baseline="0"/>
              <a:t> of period</a:t>
            </a:r>
            <a:r>
              <a:rPr lang="sr-Latn-CS" sz="600"/>
              <a:t>=</a:t>
            </a:r>
            <a:r>
              <a:rPr lang="sr-Latn-CS" sz="600" baseline="0"/>
              <a:t> 100</a:t>
            </a:r>
            <a:endParaRPr lang="sr-Latn-CS" sz="600"/>
          </a:p>
        </c:rich>
      </c:tx>
      <c:layout>
        <c:manualLayout>
          <c:xMode val="edge"/>
          <c:yMode val="edge"/>
          <c:x val="0.31095009416196367"/>
          <c:y val="3.1498015873016552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861111111111141"/>
          <c:y val="0.14489087301587303"/>
          <c:w val="0.75561676082862528"/>
          <c:h val="0.57939632936507934"/>
        </c:manualLayout>
      </c:layout>
      <c:lineChart>
        <c:grouping val="standard"/>
        <c:varyColors val="0"/>
        <c:ser>
          <c:idx val="0"/>
          <c:order val="0"/>
          <c:tx>
            <c:v>Forinta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data!$A$3:$A$36</c:f>
              <c:numCache>
                <c:formatCode>d/m/yy</c:formatCode>
                <c:ptCount val="34"/>
                <c:pt idx="0">
                  <c:v>41640</c:v>
                </c:pt>
                <c:pt idx="1">
                  <c:v>41641</c:v>
                </c:pt>
                <c:pt idx="2">
                  <c:v>41642</c:v>
                </c:pt>
                <c:pt idx="3">
                  <c:v>41643</c:v>
                </c:pt>
                <c:pt idx="4">
                  <c:v>41644</c:v>
                </c:pt>
                <c:pt idx="5">
                  <c:v>41645</c:v>
                </c:pt>
                <c:pt idx="6">
                  <c:v>41646</c:v>
                </c:pt>
                <c:pt idx="7">
                  <c:v>41647</c:v>
                </c:pt>
                <c:pt idx="8">
                  <c:v>41648</c:v>
                </c:pt>
                <c:pt idx="9">
                  <c:v>41649</c:v>
                </c:pt>
                <c:pt idx="10">
                  <c:v>41650</c:v>
                </c:pt>
                <c:pt idx="11">
                  <c:v>41651</c:v>
                </c:pt>
                <c:pt idx="12">
                  <c:v>41652</c:v>
                </c:pt>
                <c:pt idx="13">
                  <c:v>41653</c:v>
                </c:pt>
                <c:pt idx="14">
                  <c:v>41654</c:v>
                </c:pt>
                <c:pt idx="15">
                  <c:v>41655</c:v>
                </c:pt>
                <c:pt idx="16">
                  <c:v>41656</c:v>
                </c:pt>
                <c:pt idx="17">
                  <c:v>41657</c:v>
                </c:pt>
                <c:pt idx="18">
                  <c:v>41658</c:v>
                </c:pt>
                <c:pt idx="19">
                  <c:v>41659</c:v>
                </c:pt>
                <c:pt idx="20">
                  <c:v>41660</c:v>
                </c:pt>
                <c:pt idx="21">
                  <c:v>41661</c:v>
                </c:pt>
                <c:pt idx="22">
                  <c:v>41662</c:v>
                </c:pt>
                <c:pt idx="23">
                  <c:v>41663</c:v>
                </c:pt>
                <c:pt idx="24">
                  <c:v>41664</c:v>
                </c:pt>
                <c:pt idx="25">
                  <c:v>41665</c:v>
                </c:pt>
                <c:pt idx="26">
                  <c:v>41666</c:v>
                </c:pt>
                <c:pt idx="27">
                  <c:v>41667</c:v>
                </c:pt>
                <c:pt idx="28">
                  <c:v>41668</c:v>
                </c:pt>
                <c:pt idx="29">
                  <c:v>41669</c:v>
                </c:pt>
                <c:pt idx="30">
                  <c:v>41670</c:v>
                </c:pt>
                <c:pt idx="31">
                  <c:v>41671</c:v>
                </c:pt>
                <c:pt idx="32">
                  <c:v>41672</c:v>
                </c:pt>
                <c:pt idx="33">
                  <c:v>41673</c:v>
                </c:pt>
              </c:numCache>
            </c:numRef>
          </c:cat>
          <c:val>
            <c:numRef>
              <c:f>data!$G$3:$G$36</c:f>
              <c:numCache>
                <c:formatCode>General</c:formatCode>
                <c:ptCount val="34"/>
                <c:pt idx="0">
                  <c:v>100</c:v>
                </c:pt>
                <c:pt idx="1">
                  <c:v>99.623284661743227</c:v>
                </c:pt>
                <c:pt idx="2">
                  <c:v>99.187925953214233</c:v>
                </c:pt>
                <c:pt idx="3">
                  <c:v>98.455044303204389</c:v>
                </c:pt>
                <c:pt idx="4">
                  <c:v>97.885475767952158</c:v>
                </c:pt>
                <c:pt idx="5">
                  <c:v>97.889701872384848</c:v>
                </c:pt>
                <c:pt idx="6">
                  <c:v>97.956032761686458</c:v>
                </c:pt>
                <c:pt idx="7">
                  <c:v>97.841679233969884</c:v>
                </c:pt>
                <c:pt idx="8">
                  <c:v>97.590552501081689</c:v>
                </c:pt>
                <c:pt idx="9">
                  <c:v>97.660463418670503</c:v>
                </c:pt>
                <c:pt idx="10">
                  <c:v>98.111080492020918</c:v>
                </c:pt>
                <c:pt idx="11">
                  <c:v>98.611677020908402</c:v>
                </c:pt>
                <c:pt idx="12">
                  <c:v>98.623190562420476</c:v>
                </c:pt>
                <c:pt idx="13">
                  <c:v>98.560237573383688</c:v>
                </c:pt>
                <c:pt idx="14">
                  <c:v>98.458419611553708</c:v>
                </c:pt>
                <c:pt idx="15">
                  <c:v>97.932205624600797</c:v>
                </c:pt>
                <c:pt idx="16">
                  <c:v>97.550332758919637</c:v>
                </c:pt>
                <c:pt idx="17">
                  <c:v>97.317182816052707</c:v>
                </c:pt>
                <c:pt idx="18">
                  <c:v>96.773273249662466</c:v>
                </c:pt>
                <c:pt idx="19">
                  <c:v>96.895383674167107</c:v>
                </c:pt>
                <c:pt idx="20">
                  <c:v>96.787840661439262</c:v>
                </c:pt>
                <c:pt idx="21">
                  <c:v>96.479385818552004</c:v>
                </c:pt>
                <c:pt idx="22">
                  <c:v>96.547496851173705</c:v>
                </c:pt>
                <c:pt idx="23">
                  <c:v>96.554854268833893</c:v>
                </c:pt>
                <c:pt idx="24">
                  <c:v>96.520024645719218</c:v>
                </c:pt>
                <c:pt idx="25">
                  <c:v>96.660795422673459</c:v>
                </c:pt>
                <c:pt idx="26">
                  <c:v>96.739589321644146</c:v>
                </c:pt>
                <c:pt idx="27">
                  <c:v>96.489110081798671</c:v>
                </c:pt>
                <c:pt idx="28">
                  <c:v>96.486300648851781</c:v>
                </c:pt>
                <c:pt idx="29">
                  <c:v>96.246805126096959</c:v>
                </c:pt>
                <c:pt idx="30">
                  <c:v>94.609914436811508</c:v>
                </c:pt>
                <c:pt idx="31">
                  <c:v>93.689349948891888</c:v>
                </c:pt>
                <c:pt idx="32">
                  <c:v>93.055099536877009</c:v>
                </c:pt>
                <c:pt idx="33">
                  <c:v>93.041634000056163</c:v>
                </c:pt>
              </c:numCache>
            </c:numRef>
          </c:val>
          <c:smooth val="0"/>
        </c:ser>
        <c:ser>
          <c:idx val="1"/>
          <c:order val="1"/>
          <c:tx>
            <c:v>Rand</c:v>
          </c:tx>
          <c:spPr>
            <a:ln w="22225">
              <a:prstDash val="dash"/>
            </a:ln>
          </c:spPr>
          <c:marker>
            <c:symbol val="none"/>
          </c:marker>
          <c:cat>
            <c:numRef>
              <c:f>data!$A$3:$A$36</c:f>
              <c:numCache>
                <c:formatCode>d/m/yy</c:formatCode>
                <c:ptCount val="34"/>
                <c:pt idx="0">
                  <c:v>41640</c:v>
                </c:pt>
                <c:pt idx="1">
                  <c:v>41641</c:v>
                </c:pt>
                <c:pt idx="2">
                  <c:v>41642</c:v>
                </c:pt>
                <c:pt idx="3">
                  <c:v>41643</c:v>
                </c:pt>
                <c:pt idx="4">
                  <c:v>41644</c:v>
                </c:pt>
                <c:pt idx="5">
                  <c:v>41645</c:v>
                </c:pt>
                <c:pt idx="6">
                  <c:v>41646</c:v>
                </c:pt>
                <c:pt idx="7">
                  <c:v>41647</c:v>
                </c:pt>
                <c:pt idx="8">
                  <c:v>41648</c:v>
                </c:pt>
                <c:pt idx="9">
                  <c:v>41649</c:v>
                </c:pt>
                <c:pt idx="10">
                  <c:v>41650</c:v>
                </c:pt>
                <c:pt idx="11">
                  <c:v>41651</c:v>
                </c:pt>
                <c:pt idx="12">
                  <c:v>41652</c:v>
                </c:pt>
                <c:pt idx="13">
                  <c:v>41653</c:v>
                </c:pt>
                <c:pt idx="14">
                  <c:v>41654</c:v>
                </c:pt>
                <c:pt idx="15">
                  <c:v>41655</c:v>
                </c:pt>
                <c:pt idx="16">
                  <c:v>41656</c:v>
                </c:pt>
                <c:pt idx="17">
                  <c:v>41657</c:v>
                </c:pt>
                <c:pt idx="18">
                  <c:v>41658</c:v>
                </c:pt>
                <c:pt idx="19">
                  <c:v>41659</c:v>
                </c:pt>
                <c:pt idx="20">
                  <c:v>41660</c:v>
                </c:pt>
                <c:pt idx="21">
                  <c:v>41661</c:v>
                </c:pt>
                <c:pt idx="22">
                  <c:v>41662</c:v>
                </c:pt>
                <c:pt idx="23">
                  <c:v>41663</c:v>
                </c:pt>
                <c:pt idx="24">
                  <c:v>41664</c:v>
                </c:pt>
                <c:pt idx="25">
                  <c:v>41665</c:v>
                </c:pt>
                <c:pt idx="26">
                  <c:v>41666</c:v>
                </c:pt>
                <c:pt idx="27">
                  <c:v>41667</c:v>
                </c:pt>
                <c:pt idx="28">
                  <c:v>41668</c:v>
                </c:pt>
                <c:pt idx="29">
                  <c:v>41669</c:v>
                </c:pt>
                <c:pt idx="30">
                  <c:v>41670</c:v>
                </c:pt>
                <c:pt idx="31">
                  <c:v>41671</c:v>
                </c:pt>
                <c:pt idx="32">
                  <c:v>41672</c:v>
                </c:pt>
                <c:pt idx="33">
                  <c:v>41673</c:v>
                </c:pt>
              </c:numCache>
            </c:numRef>
          </c:cat>
          <c:val>
            <c:numRef>
              <c:f>data!$H$3:$H$36</c:f>
              <c:numCache>
                <c:formatCode>General</c:formatCode>
                <c:ptCount val="34"/>
                <c:pt idx="0">
                  <c:v>100</c:v>
                </c:pt>
                <c:pt idx="1">
                  <c:v>99.580712788259959</c:v>
                </c:pt>
                <c:pt idx="2">
                  <c:v>98.951781970649819</c:v>
                </c:pt>
                <c:pt idx="3">
                  <c:v>98.427672955974842</c:v>
                </c:pt>
                <c:pt idx="4">
                  <c:v>97.903563941301798</c:v>
                </c:pt>
                <c:pt idx="5">
                  <c:v>97.798742138363139</c:v>
                </c:pt>
                <c:pt idx="6">
                  <c:v>98.113207547169779</c:v>
                </c:pt>
                <c:pt idx="7">
                  <c:v>98.427672955974842</c:v>
                </c:pt>
                <c:pt idx="8">
                  <c:v>98.113207547169779</c:v>
                </c:pt>
                <c:pt idx="9">
                  <c:v>97.169811320753141</c:v>
                </c:pt>
                <c:pt idx="10">
                  <c:v>97.379454926623126</c:v>
                </c:pt>
                <c:pt idx="11">
                  <c:v>98.427672955974842</c:v>
                </c:pt>
                <c:pt idx="12">
                  <c:v>98.427672955974842</c:v>
                </c:pt>
                <c:pt idx="13">
                  <c:v>97.798742138363139</c:v>
                </c:pt>
                <c:pt idx="14">
                  <c:v>96.750524109014663</c:v>
                </c:pt>
                <c:pt idx="15">
                  <c:v>96.331236897274579</c:v>
                </c:pt>
                <c:pt idx="16">
                  <c:v>96.016771488469558</c:v>
                </c:pt>
                <c:pt idx="17">
                  <c:v>96.331236897274579</c:v>
                </c:pt>
                <c:pt idx="18">
                  <c:v>96.436058700209642</c:v>
                </c:pt>
                <c:pt idx="19">
                  <c:v>96.436058700209642</c:v>
                </c:pt>
                <c:pt idx="20">
                  <c:v>96.436058700209642</c:v>
                </c:pt>
                <c:pt idx="21">
                  <c:v>96.645702306077965</c:v>
                </c:pt>
                <c:pt idx="22">
                  <c:v>96.645702306077965</c:v>
                </c:pt>
                <c:pt idx="23">
                  <c:v>95.807127882599559</c:v>
                </c:pt>
                <c:pt idx="24">
                  <c:v>94.758909853249449</c:v>
                </c:pt>
                <c:pt idx="25">
                  <c:v>94.339622641509436</c:v>
                </c:pt>
                <c:pt idx="26">
                  <c:v>94.339622641509436</c:v>
                </c:pt>
                <c:pt idx="27">
                  <c:v>94.025157232702739</c:v>
                </c:pt>
                <c:pt idx="28">
                  <c:v>94.654088050314158</c:v>
                </c:pt>
                <c:pt idx="29">
                  <c:v>94.549266247380658</c:v>
                </c:pt>
                <c:pt idx="30">
                  <c:v>93.081761006288858</c:v>
                </c:pt>
                <c:pt idx="31">
                  <c:v>93.501048218028558</c:v>
                </c:pt>
                <c:pt idx="32">
                  <c:v>94.025157232702739</c:v>
                </c:pt>
                <c:pt idx="33">
                  <c:v>94.025157232702739</c:v>
                </c:pt>
              </c:numCache>
            </c:numRef>
          </c:val>
          <c:smooth val="0"/>
        </c:ser>
        <c:ser>
          <c:idx val="2"/>
          <c:order val="2"/>
          <c:tx>
            <c:v>Argentinski pezo</c:v>
          </c:tx>
          <c:spPr>
            <a:ln w="38100"/>
          </c:spPr>
          <c:marker>
            <c:symbol val="none"/>
          </c:marker>
          <c:cat>
            <c:numRef>
              <c:f>data!$A$3:$A$36</c:f>
              <c:numCache>
                <c:formatCode>d/m/yy</c:formatCode>
                <c:ptCount val="34"/>
                <c:pt idx="0">
                  <c:v>41640</c:v>
                </c:pt>
                <c:pt idx="1">
                  <c:v>41641</c:v>
                </c:pt>
                <c:pt idx="2">
                  <c:v>41642</c:v>
                </c:pt>
                <c:pt idx="3">
                  <c:v>41643</c:v>
                </c:pt>
                <c:pt idx="4">
                  <c:v>41644</c:v>
                </c:pt>
                <c:pt idx="5">
                  <c:v>41645</c:v>
                </c:pt>
                <c:pt idx="6">
                  <c:v>41646</c:v>
                </c:pt>
                <c:pt idx="7">
                  <c:v>41647</c:v>
                </c:pt>
                <c:pt idx="8">
                  <c:v>41648</c:v>
                </c:pt>
                <c:pt idx="9">
                  <c:v>41649</c:v>
                </c:pt>
                <c:pt idx="10">
                  <c:v>41650</c:v>
                </c:pt>
                <c:pt idx="11">
                  <c:v>41651</c:v>
                </c:pt>
                <c:pt idx="12">
                  <c:v>41652</c:v>
                </c:pt>
                <c:pt idx="13">
                  <c:v>41653</c:v>
                </c:pt>
                <c:pt idx="14">
                  <c:v>41654</c:v>
                </c:pt>
                <c:pt idx="15">
                  <c:v>41655</c:v>
                </c:pt>
                <c:pt idx="16">
                  <c:v>41656</c:v>
                </c:pt>
                <c:pt idx="17">
                  <c:v>41657</c:v>
                </c:pt>
                <c:pt idx="18">
                  <c:v>41658</c:v>
                </c:pt>
                <c:pt idx="19">
                  <c:v>41659</c:v>
                </c:pt>
                <c:pt idx="20">
                  <c:v>41660</c:v>
                </c:pt>
                <c:pt idx="21">
                  <c:v>41661</c:v>
                </c:pt>
                <c:pt idx="22">
                  <c:v>41662</c:v>
                </c:pt>
                <c:pt idx="23">
                  <c:v>41663</c:v>
                </c:pt>
                <c:pt idx="24">
                  <c:v>41664</c:v>
                </c:pt>
                <c:pt idx="25">
                  <c:v>41665</c:v>
                </c:pt>
                <c:pt idx="26">
                  <c:v>41666</c:v>
                </c:pt>
                <c:pt idx="27">
                  <c:v>41667</c:v>
                </c:pt>
                <c:pt idx="28">
                  <c:v>41668</c:v>
                </c:pt>
                <c:pt idx="29">
                  <c:v>41669</c:v>
                </c:pt>
                <c:pt idx="30">
                  <c:v>41670</c:v>
                </c:pt>
                <c:pt idx="31">
                  <c:v>41671</c:v>
                </c:pt>
                <c:pt idx="32">
                  <c:v>41672</c:v>
                </c:pt>
                <c:pt idx="33">
                  <c:v>41673</c:v>
                </c:pt>
              </c:numCache>
            </c:numRef>
          </c:cat>
          <c:val>
            <c:numRef>
              <c:f>data!$I$3:$I$36</c:f>
              <c:numCache>
                <c:formatCode>General</c:formatCode>
                <c:ptCount val="34"/>
                <c:pt idx="0">
                  <c:v>100</c:v>
                </c:pt>
                <c:pt idx="1">
                  <c:v>100</c:v>
                </c:pt>
                <c:pt idx="2">
                  <c:v>99.934810951760127</c:v>
                </c:pt>
                <c:pt idx="3">
                  <c:v>99.543676662320721</c:v>
                </c:pt>
                <c:pt idx="4">
                  <c:v>99.478487614079341</c:v>
                </c:pt>
                <c:pt idx="5">
                  <c:v>99.282920469361727</c:v>
                </c:pt>
                <c:pt idx="6">
                  <c:v>99.282920469361727</c:v>
                </c:pt>
                <c:pt idx="7">
                  <c:v>98.826597131679918</c:v>
                </c:pt>
                <c:pt idx="8">
                  <c:v>98.76140808344195</c:v>
                </c:pt>
                <c:pt idx="9">
                  <c:v>98.631029986963227</c:v>
                </c:pt>
                <c:pt idx="10">
                  <c:v>98.239895697522812</c:v>
                </c:pt>
                <c:pt idx="11">
                  <c:v>97.913950456323334</c:v>
                </c:pt>
                <c:pt idx="12">
                  <c:v>98.956975228161653</c:v>
                </c:pt>
                <c:pt idx="13">
                  <c:v>97.913950456323334</c:v>
                </c:pt>
                <c:pt idx="14">
                  <c:v>97.327249022164253</c:v>
                </c:pt>
                <c:pt idx="15">
                  <c:v>97.131681877443185</c:v>
                </c:pt>
                <c:pt idx="16">
                  <c:v>96.936114732724889</c:v>
                </c:pt>
                <c:pt idx="17">
                  <c:v>96.153846153844327</c:v>
                </c:pt>
                <c:pt idx="18">
                  <c:v>95.958279009126457</c:v>
                </c:pt>
                <c:pt idx="19">
                  <c:v>95.89308996088657</c:v>
                </c:pt>
                <c:pt idx="20">
                  <c:v>95.762711864405958</c:v>
                </c:pt>
                <c:pt idx="21">
                  <c:v>95.241199478488127</c:v>
                </c:pt>
                <c:pt idx="22">
                  <c:v>94.524119947849627</c:v>
                </c:pt>
                <c:pt idx="23">
                  <c:v>94.524119947849627</c:v>
                </c:pt>
                <c:pt idx="24">
                  <c:v>82.138200782268584</c:v>
                </c:pt>
                <c:pt idx="25">
                  <c:v>82.007822685788796</c:v>
                </c:pt>
                <c:pt idx="26">
                  <c:v>82.203389830508158</c:v>
                </c:pt>
                <c:pt idx="27">
                  <c:v>81.681877444587755</c:v>
                </c:pt>
                <c:pt idx="28">
                  <c:v>81.551499348109502</c:v>
                </c:pt>
                <c:pt idx="29">
                  <c:v>81.355932203388079</c:v>
                </c:pt>
                <c:pt idx="30">
                  <c:v>81.486310299869615</c:v>
                </c:pt>
                <c:pt idx="31">
                  <c:v>81.421121251629728</c:v>
                </c:pt>
                <c:pt idx="32">
                  <c:v>81.29074315514994</c:v>
                </c:pt>
                <c:pt idx="33">
                  <c:v>81.095176010428347</c:v>
                </c:pt>
              </c:numCache>
            </c:numRef>
          </c:val>
          <c:smooth val="0"/>
        </c:ser>
        <c:ser>
          <c:idx val="3"/>
          <c:order val="3"/>
          <c:tx>
            <c:v>Turska lira</c:v>
          </c:tx>
          <c:spPr>
            <a:ln>
              <a:prstDash val="sysDot"/>
            </a:ln>
          </c:spPr>
          <c:marker>
            <c:symbol val="none"/>
          </c:marker>
          <c:cat>
            <c:numRef>
              <c:f>data!$A$3:$A$36</c:f>
              <c:numCache>
                <c:formatCode>d/m/yy</c:formatCode>
                <c:ptCount val="34"/>
                <c:pt idx="0">
                  <c:v>41640</c:v>
                </c:pt>
                <c:pt idx="1">
                  <c:v>41641</c:v>
                </c:pt>
                <c:pt idx="2">
                  <c:v>41642</c:v>
                </c:pt>
                <c:pt idx="3">
                  <c:v>41643</c:v>
                </c:pt>
                <c:pt idx="4">
                  <c:v>41644</c:v>
                </c:pt>
                <c:pt idx="5">
                  <c:v>41645</c:v>
                </c:pt>
                <c:pt idx="6">
                  <c:v>41646</c:v>
                </c:pt>
                <c:pt idx="7">
                  <c:v>41647</c:v>
                </c:pt>
                <c:pt idx="8">
                  <c:v>41648</c:v>
                </c:pt>
                <c:pt idx="9">
                  <c:v>41649</c:v>
                </c:pt>
                <c:pt idx="10">
                  <c:v>41650</c:v>
                </c:pt>
                <c:pt idx="11">
                  <c:v>41651</c:v>
                </c:pt>
                <c:pt idx="12">
                  <c:v>41652</c:v>
                </c:pt>
                <c:pt idx="13">
                  <c:v>41653</c:v>
                </c:pt>
                <c:pt idx="14">
                  <c:v>41654</c:v>
                </c:pt>
                <c:pt idx="15">
                  <c:v>41655</c:v>
                </c:pt>
                <c:pt idx="16">
                  <c:v>41656</c:v>
                </c:pt>
                <c:pt idx="17">
                  <c:v>41657</c:v>
                </c:pt>
                <c:pt idx="18">
                  <c:v>41658</c:v>
                </c:pt>
                <c:pt idx="19">
                  <c:v>41659</c:v>
                </c:pt>
                <c:pt idx="20">
                  <c:v>41660</c:v>
                </c:pt>
                <c:pt idx="21">
                  <c:v>41661</c:v>
                </c:pt>
                <c:pt idx="22">
                  <c:v>41662</c:v>
                </c:pt>
                <c:pt idx="23">
                  <c:v>41663</c:v>
                </c:pt>
                <c:pt idx="24">
                  <c:v>41664</c:v>
                </c:pt>
                <c:pt idx="25">
                  <c:v>41665</c:v>
                </c:pt>
                <c:pt idx="26">
                  <c:v>41666</c:v>
                </c:pt>
                <c:pt idx="27">
                  <c:v>41667</c:v>
                </c:pt>
                <c:pt idx="28">
                  <c:v>41668</c:v>
                </c:pt>
                <c:pt idx="29">
                  <c:v>41669</c:v>
                </c:pt>
                <c:pt idx="30">
                  <c:v>41670</c:v>
                </c:pt>
                <c:pt idx="31">
                  <c:v>41671</c:v>
                </c:pt>
                <c:pt idx="32">
                  <c:v>41672</c:v>
                </c:pt>
                <c:pt idx="33">
                  <c:v>41673</c:v>
                </c:pt>
              </c:numCache>
            </c:numRef>
          </c:cat>
          <c:val>
            <c:numRef>
              <c:f>data!$J$3:$J$36</c:f>
              <c:numCache>
                <c:formatCode>General</c:formatCode>
                <c:ptCount val="34"/>
                <c:pt idx="0">
                  <c:v>100</c:v>
                </c:pt>
                <c:pt idx="1">
                  <c:v>99.274744027303754</c:v>
                </c:pt>
                <c:pt idx="2">
                  <c:v>98.613481228668888</c:v>
                </c:pt>
                <c:pt idx="3">
                  <c:v>98.144197952218434</c:v>
                </c:pt>
                <c:pt idx="4">
                  <c:v>97.909556313993178</c:v>
                </c:pt>
                <c:pt idx="5">
                  <c:v>97.930887372013558</c:v>
                </c:pt>
                <c:pt idx="6">
                  <c:v>97.824232081911262</c:v>
                </c:pt>
                <c:pt idx="7">
                  <c:v>98.272184300341308</c:v>
                </c:pt>
                <c:pt idx="8">
                  <c:v>98.101535836177419</c:v>
                </c:pt>
                <c:pt idx="9">
                  <c:v>97.653583617747444</c:v>
                </c:pt>
                <c:pt idx="10">
                  <c:v>98.122866894197458</c:v>
                </c:pt>
                <c:pt idx="11">
                  <c:v>98.528156996585409</c:v>
                </c:pt>
                <c:pt idx="12">
                  <c:v>98.528156996585409</c:v>
                </c:pt>
                <c:pt idx="13">
                  <c:v>98.208191126279758</c:v>
                </c:pt>
                <c:pt idx="14">
                  <c:v>97.632252559725657</c:v>
                </c:pt>
                <c:pt idx="15">
                  <c:v>97.418941979522202</c:v>
                </c:pt>
                <c:pt idx="16">
                  <c:v>96.928327645051198</c:v>
                </c:pt>
                <c:pt idx="17">
                  <c:v>96.309726962457319</c:v>
                </c:pt>
                <c:pt idx="18">
                  <c:v>95.584470989761101</c:v>
                </c:pt>
                <c:pt idx="19">
                  <c:v>95.43515358361887</c:v>
                </c:pt>
                <c:pt idx="20">
                  <c:v>95.307167235494859</c:v>
                </c:pt>
                <c:pt idx="21">
                  <c:v>94.987201365188227</c:v>
                </c:pt>
                <c:pt idx="22">
                  <c:v>94.560580204778162</c:v>
                </c:pt>
                <c:pt idx="23">
                  <c:v>93.707337883958758</c:v>
                </c:pt>
                <c:pt idx="24">
                  <c:v>92.299488054607508</c:v>
                </c:pt>
                <c:pt idx="25">
                  <c:v>91.488907849829289</c:v>
                </c:pt>
                <c:pt idx="26">
                  <c:v>91.510238907849811</c:v>
                </c:pt>
                <c:pt idx="27">
                  <c:v>91.936860068259392</c:v>
                </c:pt>
                <c:pt idx="28">
                  <c:v>94.112627986348627</c:v>
                </c:pt>
                <c:pt idx="29">
                  <c:v>96.352389078496643</c:v>
                </c:pt>
                <c:pt idx="30">
                  <c:v>94.176621160408658</c:v>
                </c:pt>
                <c:pt idx="31">
                  <c:v>94.133959044368623</c:v>
                </c:pt>
                <c:pt idx="32">
                  <c:v>94.347269624574992</c:v>
                </c:pt>
                <c:pt idx="33">
                  <c:v>94.368600682593851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59264"/>
        <c:axId val="96860800"/>
      </c:lineChart>
      <c:dateAx>
        <c:axId val="96859264"/>
        <c:scaling>
          <c:orientation val="minMax"/>
        </c:scaling>
        <c:delete val="0"/>
        <c:axPos val="b"/>
        <c:numFmt formatCode="d/m/yy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6860800"/>
        <c:crosses val="autoZero"/>
        <c:auto val="1"/>
        <c:lblOffset val="100"/>
        <c:baseTimeUnit val="days"/>
      </c:dateAx>
      <c:valAx>
        <c:axId val="96860800"/>
        <c:scaling>
          <c:orientation val="minMax"/>
          <c:max val="105"/>
          <c:min val="80"/>
        </c:scaling>
        <c:delete val="0"/>
        <c:axPos val="l"/>
        <c:majorGridlines>
          <c:spPr>
            <a:ln>
              <a:prstDash val="sysDot"/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2">
                <a:lumMod val="20000"/>
                <a:lumOff val="80000"/>
              </a:schemeClr>
            </a:solidFill>
            <a:prstDash val="sysDot"/>
          </a:ln>
        </c:spPr>
        <c:txPr>
          <a:bodyPr/>
          <a:lstStyle/>
          <a:p>
            <a:pPr>
              <a:defRPr lang="sr-Latn-CS" sz="700"/>
            </a:pPr>
            <a:endParaRPr lang="en-US"/>
          </a:p>
        </c:txPr>
        <c:crossAx val="968592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8259985829105181"/>
          <c:w val="0.99291996233521651"/>
          <c:h val="9.1430391355958512E-2"/>
        </c:manualLayout>
      </c:layout>
      <c:overlay val="0"/>
      <c:txPr>
        <a:bodyPr/>
        <a:lstStyle/>
        <a:p>
          <a:pPr>
            <a:defRPr lang="sr-Latn-CS" sz="6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40860215053791"/>
          <c:y val="0.20983646953405041"/>
          <c:w val="0.75900179211470709"/>
          <c:h val="0.72757392473118276"/>
        </c:manualLayout>
      </c:layout>
      <c:lineChart>
        <c:grouping val="standard"/>
        <c:varyColors val="0"/>
        <c:ser>
          <c:idx val="0"/>
          <c:order val="0"/>
          <c:tx>
            <c:strRef>
              <c:f>'Makroekonomski indikatori'!$C$12</c:f>
              <c:strCache>
                <c:ptCount val="1"/>
                <c:pt idx="0">
                  <c:v>Industrijska proizvodnja (stopa rasta)</c:v>
                </c:pt>
              </c:strCache>
            </c:strRef>
          </c:tx>
          <c:spPr>
            <a:ln>
              <a:solidFill>
                <a:srgbClr val="002060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indikatori'!$AA$28:$AM$28</c:f>
              <c:strCache>
                <c:ptCount val="13"/>
                <c:pt idx="0">
                  <c:v>XII</c:v>
                </c:pt>
                <c:pt idx="1">
                  <c:v>2013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indikatori'!$AA$12:$AM$12</c:f>
              <c:numCache>
                <c:formatCode>0.0</c:formatCode>
                <c:ptCount val="13"/>
                <c:pt idx="0">
                  <c:v>17</c:v>
                </c:pt>
                <c:pt idx="1">
                  <c:v>1.7000000000000002</c:v>
                </c:pt>
                <c:pt idx="2">
                  <c:v>-3</c:v>
                </c:pt>
                <c:pt idx="3">
                  <c:v>10.4</c:v>
                </c:pt>
                <c:pt idx="4">
                  <c:v>14.2</c:v>
                </c:pt>
                <c:pt idx="5">
                  <c:v>22.4</c:v>
                </c:pt>
                <c:pt idx="6">
                  <c:v>19.600000000000001</c:v>
                </c:pt>
                <c:pt idx="7">
                  <c:v>5.0999999999999996</c:v>
                </c:pt>
                <c:pt idx="8">
                  <c:v>9</c:v>
                </c:pt>
                <c:pt idx="9">
                  <c:v>3</c:v>
                </c:pt>
                <c:pt idx="10">
                  <c:v>10.5</c:v>
                </c:pt>
                <c:pt idx="11">
                  <c:v>21.4</c:v>
                </c:pt>
                <c:pt idx="12">
                  <c:v>14.5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indikatori'!$C$16</c:f>
              <c:strCache>
                <c:ptCount val="1"/>
                <c:pt idx="0">
                  <c:v>Noćenja u turizmu (stopa rasta)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'Makroekonomski indikatori'!$AA$28:$AM$28</c:f>
              <c:strCache>
                <c:ptCount val="13"/>
                <c:pt idx="0">
                  <c:v>XII</c:v>
                </c:pt>
                <c:pt idx="1">
                  <c:v>2013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indikatori'!$AA$16:$AM$16</c:f>
              <c:numCache>
                <c:formatCode>0.0</c:formatCode>
                <c:ptCount val="13"/>
                <c:pt idx="0">
                  <c:v>4</c:v>
                </c:pt>
                <c:pt idx="1">
                  <c:v>-8.3000000000000007</c:v>
                </c:pt>
                <c:pt idx="2">
                  <c:v>4.2</c:v>
                </c:pt>
                <c:pt idx="3">
                  <c:v>-1.4</c:v>
                </c:pt>
                <c:pt idx="4">
                  <c:v>2.2999999999999998</c:v>
                </c:pt>
                <c:pt idx="5">
                  <c:v>7.3</c:v>
                </c:pt>
                <c:pt idx="6">
                  <c:v>4.5</c:v>
                </c:pt>
                <c:pt idx="7">
                  <c:v>-3.6</c:v>
                </c:pt>
                <c:pt idx="8">
                  <c:v>4.3</c:v>
                </c:pt>
                <c:pt idx="9">
                  <c:v>5.6</c:v>
                </c:pt>
                <c:pt idx="10">
                  <c:v>30.3</c:v>
                </c:pt>
                <c:pt idx="11">
                  <c:v>1.1000000000000001</c:v>
                </c:pt>
                <c:pt idx="12">
                  <c:v>22.1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'Makroekonomski indikatori'!$C$17</c:f>
              <c:strCache>
                <c:ptCount val="1"/>
                <c:pt idx="0">
                  <c:v>Promet u maloprodaji (stopa rasta)</c:v>
                </c:pt>
              </c:strCache>
            </c:strRef>
          </c:tx>
          <c:spPr>
            <a:ln cmpd="sng"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'Makroekonomski indikatori'!$AA$28:$AM$28</c:f>
              <c:strCache>
                <c:ptCount val="13"/>
                <c:pt idx="0">
                  <c:v>XII</c:v>
                </c:pt>
                <c:pt idx="1">
                  <c:v>2013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indikatori'!$AA$17:$AM$17</c:f>
              <c:numCache>
                <c:formatCode>0.0</c:formatCode>
                <c:ptCount val="13"/>
                <c:pt idx="0">
                  <c:v>2.1</c:v>
                </c:pt>
                <c:pt idx="1">
                  <c:v>12.1</c:v>
                </c:pt>
                <c:pt idx="2">
                  <c:v>8.2000000000000011</c:v>
                </c:pt>
                <c:pt idx="3">
                  <c:v>6.6</c:v>
                </c:pt>
                <c:pt idx="4">
                  <c:v>7.8</c:v>
                </c:pt>
                <c:pt idx="5">
                  <c:v>8.6</c:v>
                </c:pt>
                <c:pt idx="6">
                  <c:v>10.3</c:v>
                </c:pt>
                <c:pt idx="7">
                  <c:v>11.5</c:v>
                </c:pt>
                <c:pt idx="8">
                  <c:v>14.4</c:v>
                </c:pt>
                <c:pt idx="9">
                  <c:v>11.5</c:v>
                </c:pt>
                <c:pt idx="10">
                  <c:v>16</c:v>
                </c:pt>
                <c:pt idx="11">
                  <c:v>12.8</c:v>
                </c:pt>
                <c:pt idx="12">
                  <c:v>14.2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55488"/>
        <c:axId val="97057024"/>
      </c:lineChart>
      <c:catAx>
        <c:axId val="970554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7057024"/>
        <c:crosses val="autoZero"/>
        <c:auto val="1"/>
        <c:lblAlgn val="ctr"/>
        <c:lblOffset val="100"/>
        <c:noMultiLvlLbl val="0"/>
      </c:catAx>
      <c:valAx>
        <c:axId val="97057024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70554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"/>
          <c:y val="3.4139784946236561E-2"/>
          <c:w val="1"/>
          <c:h val="0.14370116487455198"/>
        </c:manualLayout>
      </c:layout>
      <c:overlay val="0"/>
      <c:txPr>
        <a:bodyPr/>
        <a:lstStyle/>
        <a:p>
          <a:pPr>
            <a:defRPr lang="sr-Latn-CS" sz="7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CPI-Consumers Price Index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'Makroekonomski indikatori'!$C$20</c:f>
              <c:strCache>
                <c:ptCount val="1"/>
                <c:pt idx="0">
                  <c:v>Indeks potrošačkih cijena (stopa rasta)</c:v>
                </c:pt>
              </c:strCache>
            </c:strRef>
          </c:tx>
          <c:spPr>
            <a:ln>
              <a:solidFill>
                <a:schemeClr val="accent4">
                  <a:lumMod val="75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'Makroekonomski indikatori'!$AA$28:$AM$28</c:f>
              <c:strCache>
                <c:ptCount val="13"/>
                <c:pt idx="0">
                  <c:v>XII</c:v>
                </c:pt>
                <c:pt idx="1">
                  <c:v>2013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indikatori'!$AA$20:$AM$20</c:f>
              <c:numCache>
                <c:formatCode>0.0</c:formatCode>
                <c:ptCount val="13"/>
                <c:pt idx="0">
                  <c:v>5.0999999999999996</c:v>
                </c:pt>
                <c:pt idx="1">
                  <c:v>4.2</c:v>
                </c:pt>
                <c:pt idx="2">
                  <c:v>3.3</c:v>
                </c:pt>
                <c:pt idx="3">
                  <c:v>3.3</c:v>
                </c:pt>
                <c:pt idx="4">
                  <c:v>3.2</c:v>
                </c:pt>
                <c:pt idx="5">
                  <c:v>3</c:v>
                </c:pt>
                <c:pt idx="6">
                  <c:v>2.2000000000000002</c:v>
                </c:pt>
                <c:pt idx="7">
                  <c:v>2.7</c:v>
                </c:pt>
                <c:pt idx="8">
                  <c:v>2.2000000000000002</c:v>
                </c:pt>
                <c:pt idx="9">
                  <c:v>1.8</c:v>
                </c:pt>
                <c:pt idx="10">
                  <c:v>0.5</c:v>
                </c:pt>
                <c:pt idx="11">
                  <c:v>0</c:v>
                </c:pt>
                <c:pt idx="12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axId val="131610496"/>
        <c:axId val="131612032"/>
      </c:barChart>
      <c:catAx>
        <c:axId val="131610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31612032"/>
        <c:crosses val="autoZero"/>
        <c:auto val="1"/>
        <c:lblAlgn val="ctr"/>
        <c:lblOffset val="100"/>
        <c:noMultiLvlLbl val="0"/>
      </c:catAx>
      <c:valAx>
        <c:axId val="131612032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316104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543032786885246"/>
          <c:y val="0.11775106894913492"/>
          <c:w val="0.60256602914389801"/>
          <c:h val="0.66865689797859273"/>
        </c:manualLayout>
      </c:layout>
      <c:lineChart>
        <c:grouping val="standard"/>
        <c:varyColors val="0"/>
        <c:ser>
          <c:idx val="0"/>
          <c:order val="0"/>
          <c:tx>
            <c:strRef>
              <c:f>Sheet1!$F$51</c:f>
              <c:strCache>
                <c:ptCount val="1"/>
                <c:pt idx="0">
                  <c:v>zaposleni</c:v>
                </c:pt>
              </c:strCache>
            </c:strRef>
          </c:tx>
          <c:spPr>
            <a:ln cmpd="thinThick"/>
          </c:spPr>
          <c:marker>
            <c:symbol val="none"/>
          </c:marker>
          <c:dPt>
            <c:idx val="7"/>
            <c:bubble3D val="0"/>
            <c:spPr>
              <a:ln cmpd="thinThick">
                <a:prstDash val="dash"/>
              </a:ln>
            </c:spPr>
          </c:dPt>
          <c:cat>
            <c:strRef>
              <c:f>Sheet1!$E$52:$E$75</c:f>
              <c:strCache>
                <c:ptCount val="24"/>
                <c:pt idx="0">
                  <c:v>I-2012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I-2013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Sheet1!$F$52:$F$75</c:f>
              <c:numCache>
                <c:formatCode>General</c:formatCode>
                <c:ptCount val="24"/>
                <c:pt idx="0">
                  <c:v>160880</c:v>
                </c:pt>
                <c:pt idx="1">
                  <c:v>162035</c:v>
                </c:pt>
                <c:pt idx="2">
                  <c:v>162569</c:v>
                </c:pt>
                <c:pt idx="3">
                  <c:v>163744</c:v>
                </c:pt>
                <c:pt idx="4">
                  <c:v>165776</c:v>
                </c:pt>
                <c:pt idx="5">
                  <c:v>162567</c:v>
                </c:pt>
                <c:pt idx="6">
                  <c:v>173124</c:v>
                </c:pt>
                <c:pt idx="7">
                  <c:v>173024</c:v>
                </c:pt>
                <c:pt idx="8">
                  <c:v>169877</c:v>
                </c:pt>
                <c:pt idx="9">
                  <c:v>168701</c:v>
                </c:pt>
                <c:pt idx="10">
                  <c:v>168589</c:v>
                </c:pt>
                <c:pt idx="11">
                  <c:v>167484</c:v>
                </c:pt>
                <c:pt idx="12">
                  <c:v>167370</c:v>
                </c:pt>
                <c:pt idx="13">
                  <c:v>167379</c:v>
                </c:pt>
                <c:pt idx="14">
                  <c:v>167738</c:v>
                </c:pt>
                <c:pt idx="15">
                  <c:v>170302</c:v>
                </c:pt>
                <c:pt idx="16">
                  <c:v>174369</c:v>
                </c:pt>
                <c:pt idx="17">
                  <c:v>179861</c:v>
                </c:pt>
                <c:pt idx="18">
                  <c:v>178815</c:v>
                </c:pt>
                <c:pt idx="19">
                  <c:v>176588</c:v>
                </c:pt>
                <c:pt idx="20">
                  <c:v>171440</c:v>
                </c:pt>
                <c:pt idx="21">
                  <c:v>169044</c:v>
                </c:pt>
                <c:pt idx="22">
                  <c:v>167607</c:v>
                </c:pt>
                <c:pt idx="23">
                  <c:v>167173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643648"/>
        <c:axId val="131645440"/>
      </c:lineChart>
      <c:lineChart>
        <c:grouping val="standard"/>
        <c:varyColors val="0"/>
        <c:ser>
          <c:idx val="1"/>
          <c:order val="1"/>
          <c:tx>
            <c:strRef>
              <c:f>Sheet1!$G$51</c:f>
              <c:strCache>
                <c:ptCount val="1"/>
                <c:pt idx="0">
                  <c:v>nezaposleni</c:v>
                </c:pt>
              </c:strCache>
            </c:strRef>
          </c:tx>
          <c:spPr>
            <a:ln cmpd="dbl">
              <a:prstDash val="sysDash"/>
            </a:ln>
          </c:spPr>
          <c:marker>
            <c:symbol val="none"/>
          </c:marker>
          <c:cat>
            <c:strRef>
              <c:f>Sheet1!$E$52:$E$75</c:f>
              <c:strCache>
                <c:ptCount val="24"/>
                <c:pt idx="0">
                  <c:v>I-2012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I-2013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Sheet1!$G$52:$G$75</c:f>
              <c:numCache>
                <c:formatCode>General</c:formatCode>
                <c:ptCount val="24"/>
                <c:pt idx="0">
                  <c:v>31339</c:v>
                </c:pt>
                <c:pt idx="1">
                  <c:v>31495</c:v>
                </c:pt>
                <c:pt idx="2">
                  <c:v>31562</c:v>
                </c:pt>
                <c:pt idx="3">
                  <c:v>31320</c:v>
                </c:pt>
                <c:pt idx="4">
                  <c:v>30126</c:v>
                </c:pt>
                <c:pt idx="5">
                  <c:v>29411</c:v>
                </c:pt>
                <c:pt idx="6">
                  <c:v>28686</c:v>
                </c:pt>
                <c:pt idx="7">
                  <c:v>28549</c:v>
                </c:pt>
                <c:pt idx="8">
                  <c:v>28272</c:v>
                </c:pt>
                <c:pt idx="9">
                  <c:v>29540</c:v>
                </c:pt>
                <c:pt idx="10">
                  <c:v>30718</c:v>
                </c:pt>
                <c:pt idx="11">
                  <c:v>31232</c:v>
                </c:pt>
                <c:pt idx="12">
                  <c:v>31890</c:v>
                </c:pt>
                <c:pt idx="13">
                  <c:v>32648</c:v>
                </c:pt>
                <c:pt idx="14">
                  <c:v>32986</c:v>
                </c:pt>
                <c:pt idx="15">
                  <c:v>32624</c:v>
                </c:pt>
                <c:pt idx="16">
                  <c:v>31363</c:v>
                </c:pt>
                <c:pt idx="17">
                  <c:v>30337</c:v>
                </c:pt>
                <c:pt idx="18">
                  <c:v>30102</c:v>
                </c:pt>
                <c:pt idx="19">
                  <c:v>30947</c:v>
                </c:pt>
                <c:pt idx="20">
                  <c:v>30919</c:v>
                </c:pt>
                <c:pt idx="21">
                  <c:v>33271</c:v>
                </c:pt>
                <c:pt idx="22">
                  <c:v>34680</c:v>
                </c:pt>
                <c:pt idx="23">
                  <c:v>34514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648512"/>
        <c:axId val="131646976"/>
      </c:lineChart>
      <c:catAx>
        <c:axId val="1316436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31645440"/>
        <c:crosses val="autoZero"/>
        <c:auto val="1"/>
        <c:lblAlgn val="ctr"/>
        <c:lblOffset val="100"/>
        <c:noMultiLvlLbl val="0"/>
      </c:catAx>
      <c:valAx>
        <c:axId val="131645440"/>
        <c:scaling>
          <c:orientation val="minMax"/>
          <c:min val="16000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31643648"/>
        <c:crosses val="autoZero"/>
        <c:crossBetween val="between"/>
        <c:minorUnit val="2000"/>
      </c:valAx>
      <c:valAx>
        <c:axId val="131646976"/>
        <c:scaling>
          <c:orientation val="maxMin"/>
          <c:max val="35000"/>
          <c:min val="27000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31648512"/>
        <c:crosses val="max"/>
        <c:crossBetween val="between"/>
      </c:valAx>
      <c:catAx>
        <c:axId val="131648512"/>
        <c:scaling>
          <c:orientation val="minMax"/>
        </c:scaling>
        <c:delete val="1"/>
        <c:axPos val="t"/>
        <c:majorTickMark val="out"/>
        <c:minorTickMark val="none"/>
        <c:tickLblPos val="none"/>
        <c:crossAx val="131646976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8406193078324184E-3"/>
          <c:y val="5.2216679654823401E-3"/>
          <c:w val="0.98969353369763202"/>
          <c:h val="0.10038447686625512"/>
        </c:manualLayout>
      </c:layout>
      <c:overlay val="0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629019028871391"/>
          <c:y val="4.1424756844533513E-2"/>
          <c:w val="0.64460499846744757"/>
          <c:h val="0.71317252062958136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'Fiskalni indikatori  (2)'!$AX$30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invertIfNegative val="0"/>
          <c:cat>
            <c:strRef>
              <c:f>'Fiskalni indikatori  (2)'!$BW$5:$CG$5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'Fiskalni indikatori  (2)'!$BW$19:$CH$19</c:f>
              <c:numCache>
                <c:formatCode>0.00,,</c:formatCode>
                <c:ptCount val="12"/>
                <c:pt idx="0">
                  <c:v>-26030734.600000054</c:v>
                </c:pt>
                <c:pt idx="1">
                  <c:v>-18960347.565214217</c:v>
                </c:pt>
                <c:pt idx="2">
                  <c:v>-15539514.20428363</c:v>
                </c:pt>
                <c:pt idx="3">
                  <c:v>-15891365.313259348</c:v>
                </c:pt>
                <c:pt idx="4">
                  <c:v>-1544398.830167098</c:v>
                </c:pt>
                <c:pt idx="5">
                  <c:v>-607686.93338963401</c:v>
                </c:pt>
                <c:pt idx="6">
                  <c:v>-38312345.495714545</c:v>
                </c:pt>
                <c:pt idx="7">
                  <c:v>-16221972.00090231</c:v>
                </c:pt>
                <c:pt idx="8">
                  <c:v>-2657604.3090550057</c:v>
                </c:pt>
                <c:pt idx="9">
                  <c:v>17862496.387521476</c:v>
                </c:pt>
                <c:pt idx="10">
                  <c:v>-2710356.1671831482</c:v>
                </c:pt>
                <c:pt idx="11">
                  <c:v>-7703230.0812701583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60142848"/>
        <c:axId val="160141312"/>
      </c:barChart>
      <c:lineChart>
        <c:grouping val="standard"/>
        <c:varyColors val="0"/>
        <c:ser>
          <c:idx val="0"/>
          <c:order val="0"/>
          <c:tx>
            <c:strRef>
              <c:f>'Fiskalni indikatori  (2)'!$AX$28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cat>
            <c:strRef>
              <c:f>'Fiskalni indikatori  (2)'!$AH$5:$AS$5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'Fiskalni indikatori  (2)'!$BW$6:$CH$6</c:f>
              <c:numCache>
                <c:formatCode>0.00,,</c:formatCode>
                <c:ptCount val="12"/>
                <c:pt idx="0">
                  <c:v>54756357.980000004</c:v>
                </c:pt>
                <c:pt idx="1">
                  <c:v>75675730.060000002</c:v>
                </c:pt>
                <c:pt idx="2">
                  <c:v>88296245.580000013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99561632.659999892</c:v>
                </c:pt>
                <c:pt idx="6">
                  <c:v>122021331.04999998</c:v>
                </c:pt>
                <c:pt idx="7">
                  <c:v>125053427.64999999</c:v>
                </c:pt>
                <c:pt idx="8">
                  <c:v>116342017.78000002</c:v>
                </c:pt>
                <c:pt idx="9">
                  <c:v>117283627.60000001</c:v>
                </c:pt>
                <c:pt idx="10">
                  <c:v>95781753.159999892</c:v>
                </c:pt>
                <c:pt idx="11">
                  <c:v>142429369.22999999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  (2)'!$AX$29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  (2)'!$AH$5:$AS$5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'Fiskalni indikatori  (2)'!$BW$12:$CH$12</c:f>
              <c:numCache>
                <c:formatCode>0.00,,</c:formatCode>
                <c:ptCount val="12"/>
                <c:pt idx="0">
                  <c:v>80787092.580000043</c:v>
                </c:pt>
                <c:pt idx="1">
                  <c:v>94636077.625213578</c:v>
                </c:pt>
                <c:pt idx="2">
                  <c:v>103835759.78428364</c:v>
                </c:pt>
                <c:pt idx="3">
                  <c:v>119840203.31325933</c:v>
                </c:pt>
                <c:pt idx="4">
                  <c:v>95542228.430168048</c:v>
                </c:pt>
                <c:pt idx="5">
                  <c:v>100169319.59339049</c:v>
                </c:pt>
                <c:pt idx="6">
                  <c:v>160333676.54571453</c:v>
                </c:pt>
                <c:pt idx="7">
                  <c:v>141275399.6509023</c:v>
                </c:pt>
                <c:pt idx="8">
                  <c:v>118999622.08905503</c:v>
                </c:pt>
                <c:pt idx="9">
                  <c:v>99421131.2124798</c:v>
                </c:pt>
                <c:pt idx="10">
                  <c:v>98492109.327183142</c:v>
                </c:pt>
                <c:pt idx="11">
                  <c:v>150132599.31127015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137984"/>
        <c:axId val="160139520"/>
      </c:lineChart>
      <c:dateAx>
        <c:axId val="160137984"/>
        <c:scaling>
          <c:orientation val="minMax"/>
        </c:scaling>
        <c:delete val="0"/>
        <c:axPos val="b"/>
        <c:numFmt formatCode="#,##0.00" sourceLinked="0"/>
        <c:majorTickMark val="out"/>
        <c:min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60139520"/>
        <c:crosses val="autoZero"/>
        <c:auto val="0"/>
        <c:lblOffset val="100"/>
        <c:baseTimeUnit val="days"/>
      </c:dateAx>
      <c:valAx>
        <c:axId val="160139520"/>
        <c:scaling>
          <c:orientation val="minMax"/>
        </c:scaling>
        <c:delete val="0"/>
        <c:axPos val="l"/>
        <c:numFmt formatCode="0.0,," sourceLinked="0"/>
        <c:majorTickMark val="out"/>
        <c:min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60137984"/>
        <c:crosses val="autoZero"/>
        <c:crossBetween val="between"/>
      </c:valAx>
      <c:valAx>
        <c:axId val="160141312"/>
        <c:scaling>
          <c:orientation val="minMax"/>
          <c:max val="130000000"/>
          <c:min val="-50000000"/>
        </c:scaling>
        <c:delete val="0"/>
        <c:axPos val="r"/>
        <c:numFmt formatCode="0.0,," sourceLinked="0"/>
        <c:majorTickMark val="out"/>
        <c:min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60142848"/>
        <c:crosses val="max"/>
        <c:crossBetween val="between"/>
        <c:majorUnit val="20000000"/>
      </c:valAx>
      <c:catAx>
        <c:axId val="1601428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60141312"/>
        <c:crosses val="autoZero"/>
        <c:auto val="1"/>
        <c:lblAlgn val="ctr"/>
        <c:lblOffset val="100"/>
        <c:noMultiLvlLbl val="0"/>
      </c:catAx>
    </c:plotArea>
    <c:legend>
      <c:legendPos val="b"/>
      <c:legendEntry>
        <c:idx val="2"/>
        <c:txPr>
          <a:bodyPr/>
          <a:lstStyle/>
          <a:p>
            <a:pPr algn="just">
              <a:defRPr lang="sr-Latn-CS"/>
            </a:pPr>
            <a:endParaRPr lang="en-US"/>
          </a:p>
        </c:txPr>
      </c:legendEntry>
      <c:layout>
        <c:manualLayout>
          <c:xMode val="edge"/>
          <c:yMode val="edge"/>
          <c:x val="2.3006868822248287E-2"/>
          <c:y val="0.85754166817042365"/>
          <c:w val="0.97668085106383506"/>
          <c:h val="0.11010459766942685"/>
        </c:manualLayout>
      </c:layout>
      <c:overlay val="0"/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  <c:showDLblsOverMax val="0"/>
  </c:chart>
  <c:spPr>
    <a:ln w="6350">
      <a:noFill/>
      <a:prstDash val="sysDot"/>
    </a:ln>
  </c:spPr>
  <c:txPr>
    <a:bodyPr/>
    <a:lstStyle/>
    <a:p>
      <a:pPr>
        <a:defRPr sz="700" baseline="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ukupni krediti</c:v>
          </c:tx>
          <c:spPr>
            <a:solidFill>
              <a:schemeClr val="accent5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'Database za makro'!$AD$9:$AP$9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'Database za makro'!$AD$29:$AP$29</c:f>
              <c:numCache>
                <c:formatCode>#,##0</c:formatCode>
                <c:ptCount val="13"/>
                <c:pt idx="0">
                  <c:v>2341978000</c:v>
                </c:pt>
                <c:pt idx="1">
                  <c:v>2482799000</c:v>
                </c:pt>
                <c:pt idx="2">
                  <c:v>2507595000</c:v>
                </c:pt>
                <c:pt idx="3">
                  <c:v>2490722000</c:v>
                </c:pt>
                <c:pt idx="4">
                  <c:v>2466654000</c:v>
                </c:pt>
                <c:pt idx="5">
                  <c:v>2477642000</c:v>
                </c:pt>
                <c:pt idx="6">
                  <c:v>2457470000</c:v>
                </c:pt>
                <c:pt idx="7">
                  <c:v>2505785000</c:v>
                </c:pt>
                <c:pt idx="8">
                  <c:v>2538251000</c:v>
                </c:pt>
                <c:pt idx="9">
                  <c:v>2536234000</c:v>
                </c:pt>
                <c:pt idx="10">
                  <c:v>2474546000</c:v>
                </c:pt>
                <c:pt idx="11">
                  <c:v>2463859000</c:v>
                </c:pt>
                <c:pt idx="12">
                  <c:v>2411873000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60173440"/>
        <c:axId val="160183424"/>
      </c:barChart>
      <c:lineChart>
        <c:grouping val="standard"/>
        <c:varyColors val="0"/>
        <c:ser>
          <c:idx val="1"/>
          <c:order val="1"/>
          <c:tx>
            <c:v>nekvalitetni krediti</c:v>
          </c:tx>
          <c:marker>
            <c:symbol val="none"/>
          </c:marker>
          <c:cat>
            <c:strRef>
              <c:f>'Database za makro'!$AD$9:$AP$9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'Database za makro'!$AD$32:$AP$32</c:f>
              <c:numCache>
                <c:formatCode>#,##0</c:formatCode>
                <c:ptCount val="13"/>
                <c:pt idx="0">
                  <c:v>327846000</c:v>
                </c:pt>
                <c:pt idx="1">
                  <c:v>457106000</c:v>
                </c:pt>
                <c:pt idx="2">
                  <c:v>455661000</c:v>
                </c:pt>
                <c:pt idx="3">
                  <c:v>465341000</c:v>
                </c:pt>
                <c:pt idx="4">
                  <c:v>480789000</c:v>
                </c:pt>
                <c:pt idx="5">
                  <c:v>492911000</c:v>
                </c:pt>
                <c:pt idx="6">
                  <c:v>441259000</c:v>
                </c:pt>
                <c:pt idx="7">
                  <c:v>446982000</c:v>
                </c:pt>
                <c:pt idx="8">
                  <c:v>441884000</c:v>
                </c:pt>
                <c:pt idx="9">
                  <c:v>441280000</c:v>
                </c:pt>
                <c:pt idx="10">
                  <c:v>438560000</c:v>
                </c:pt>
                <c:pt idx="11">
                  <c:v>428297000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187520"/>
        <c:axId val="160185344"/>
      </c:lineChart>
      <c:catAx>
        <c:axId val="1601734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6018342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160183424"/>
        <c:scaling>
          <c:orientation val="minMax"/>
          <c:max val="2550000000"/>
          <c:min val="2300000000"/>
        </c:scaling>
        <c:delete val="0"/>
        <c:axPos val="l"/>
        <c:numFmt formatCode="#,##0;[Red]#,##0" sourceLinked="0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60173440"/>
        <c:crosses val="autoZero"/>
        <c:crossBetween val="between"/>
        <c:dispUnits>
          <c:builtInUnit val="millions"/>
        </c:dispUnits>
      </c:valAx>
      <c:valAx>
        <c:axId val="160185344"/>
        <c:scaling>
          <c:orientation val="minMax"/>
          <c:max val="500000000"/>
          <c:min val="300000000"/>
        </c:scaling>
        <c:delete val="0"/>
        <c:axPos val="r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60187520"/>
        <c:crosses val="max"/>
        <c:crossBetween val="between"/>
        <c:dispUnits>
          <c:builtInUnit val="millions"/>
        </c:dispUnits>
      </c:valAx>
      <c:catAx>
        <c:axId val="160187520"/>
        <c:scaling>
          <c:orientation val="minMax"/>
        </c:scaling>
        <c:delete val="1"/>
        <c:axPos val="b"/>
        <c:majorTickMark val="out"/>
        <c:minorTickMark val="none"/>
        <c:tickLblPos val="none"/>
        <c:crossAx val="160185344"/>
        <c:crosses val="autoZero"/>
        <c:auto val="1"/>
        <c:lblAlgn val="ctr"/>
        <c:lblOffset val="100"/>
        <c:noMultiLvlLbl val="0"/>
      </c:catAx>
    </c:plotArea>
    <c:legend>
      <c:legendPos val="t"/>
      <c:layout>
        <c:manualLayout>
          <c:xMode val="edge"/>
          <c:yMode val="edge"/>
          <c:x val="1.1909953563496873E-2"/>
          <c:y val="4.5033092230964224E-2"/>
          <c:w val="0.98643609933373344"/>
          <c:h val="0.10256907290337566"/>
        </c:manualLayout>
      </c:layout>
      <c:overlay val="0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sr-Latn-CS"/>
            </a:pPr>
            <a:r>
              <a:rPr lang="en-US" sz="800"/>
              <a:t>Foreign trade</a:t>
            </a:r>
            <a:r>
              <a:rPr lang="en-US" sz="800" baseline="0"/>
              <a:t> exchange in </a:t>
            </a:r>
            <a:r>
              <a:rPr lang="sr-Latn-CS" sz="800"/>
              <a:t>2013 (mil</a:t>
            </a:r>
            <a:r>
              <a:rPr lang="en-US" sz="800"/>
              <a:t>lion </a:t>
            </a:r>
            <a:r>
              <a:rPr lang="sr-Latn-CS" sz="800"/>
              <a:t>€)</a:t>
            </a:r>
            <a:endParaRPr lang="en-US" sz="800"/>
          </a:p>
        </c:rich>
      </c:tx>
      <c:layout>
        <c:manualLayout>
          <c:xMode val="edge"/>
          <c:yMode val="edge"/>
          <c:x val="0.11252564798780394"/>
          <c:y val="3.144654088050314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'Makroekonomski indikatori'!$AW$95</c:f>
              <c:strCache>
                <c:ptCount val="1"/>
                <c:pt idx="0">
                  <c:v>Izvoz</c:v>
                </c:pt>
              </c:strCache>
            </c:strRef>
          </c:tx>
          <c:invertIfNegative val="0"/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'Makroekonomski indikatori'!$AX$94:$BA$94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'Makroekonomski indikatori'!$AX$95:$BA$95</c:f>
              <c:numCache>
                <c:formatCode>#,##0.00</c:formatCode>
                <c:ptCount val="4"/>
                <c:pt idx="0">
                  <c:v>89.194999999999993</c:v>
                </c:pt>
                <c:pt idx="1">
                  <c:v>106.91200000000002</c:v>
                </c:pt>
                <c:pt idx="2">
                  <c:v>89.178999999999988</c:v>
                </c:pt>
                <c:pt idx="3">
                  <c:v>90.25</c:v>
                </c:pt>
              </c:numCache>
            </c:numRef>
          </c:val>
        </c:ser>
        <c:ser>
          <c:idx val="1"/>
          <c:order val="1"/>
          <c:tx>
            <c:strRef>
              <c:f>'Makroekonomski indikatori'!$AW$96</c:f>
              <c:strCache>
                <c:ptCount val="1"/>
                <c:pt idx="0">
                  <c:v>Uvoz</c:v>
                </c:pt>
              </c:strCache>
            </c:strRef>
          </c:tx>
          <c:invertIfNegative val="0"/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'Makroekonomski indikatori'!$AX$94:$BA$94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'Makroekonomski indikatori'!$AX$96:$BA$96</c:f>
              <c:numCache>
                <c:formatCode>#,##0.00</c:formatCode>
                <c:ptCount val="4"/>
                <c:pt idx="0">
                  <c:v>362.96999999999969</c:v>
                </c:pt>
                <c:pt idx="1">
                  <c:v>485.17399999999969</c:v>
                </c:pt>
                <c:pt idx="2">
                  <c:v>484.09199999999697</c:v>
                </c:pt>
                <c:pt idx="3">
                  <c:v>449.97899999999697</c:v>
                </c:pt>
              </c:numCache>
            </c:numRef>
          </c:val>
        </c:ser>
        <c:ser>
          <c:idx val="2"/>
          <c:order val="2"/>
          <c:tx>
            <c:strRef>
              <c:f>'Makroekonomski indikatori'!$AW$98</c:f>
              <c:strCache>
                <c:ptCount val="1"/>
                <c:pt idx="0">
                  <c:v>Trgovinski bilans</c:v>
                </c:pt>
              </c:strCache>
            </c:strRef>
          </c:tx>
          <c:invertIfNegative val="0"/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'Makroekonomski indikatori'!$AX$94:$BA$94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'Makroekonomski indikatori'!$AX$98:$BA$98</c:f>
              <c:numCache>
                <c:formatCode>#,##0.00</c:formatCode>
                <c:ptCount val="4"/>
                <c:pt idx="0">
                  <c:v>-273.77500000000003</c:v>
                </c:pt>
                <c:pt idx="1">
                  <c:v>-378.26199999999869</c:v>
                </c:pt>
                <c:pt idx="2">
                  <c:v>-394.91299999999899</c:v>
                </c:pt>
                <c:pt idx="3">
                  <c:v>-359.72899999999697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1353728"/>
        <c:axId val="161355264"/>
      </c:barChart>
      <c:catAx>
        <c:axId val="161353728"/>
        <c:scaling>
          <c:orientation val="minMax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/>
          <a:lstStyle/>
          <a:p>
            <a:pPr>
              <a:defRPr lang="en-US" sz="800" b="1"/>
            </a:pPr>
            <a:endParaRPr lang="en-US"/>
          </a:p>
        </c:txPr>
        <c:crossAx val="161355264"/>
        <c:crosses val="autoZero"/>
        <c:auto val="0"/>
        <c:lblAlgn val="ctr"/>
        <c:lblOffset val="100"/>
        <c:noMultiLvlLbl val="0"/>
      </c:catAx>
      <c:valAx>
        <c:axId val="161355264"/>
        <c:scaling>
          <c:orientation val="minMax"/>
        </c:scaling>
        <c:delete val="0"/>
        <c:axPos val="l"/>
        <c:numFmt formatCode="0.0" sourceLinked="0"/>
        <c:majorTickMark val="none"/>
        <c:minorTickMark val="none"/>
        <c:tickLblPos val="nextTo"/>
        <c:txPr>
          <a:bodyPr/>
          <a:lstStyle/>
          <a:p>
            <a:pPr>
              <a:defRPr lang="x-none" sz="600"/>
            </a:pPr>
            <a:endParaRPr lang="en-US"/>
          </a:p>
        </c:txPr>
        <c:crossAx val="161353728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lang="x-none" sz="800"/>
          </a:pPr>
          <a:endParaRPr lang="en-US"/>
        </a:p>
      </c:txPr>
    </c:legend>
    <c:plotVisOnly val="0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0.17552</cdr:x>
      <cdr:y>0.24781</cdr:y>
    </cdr:from>
    <cdr:to>
      <cdr:x>0.2067</cdr:x>
      <cdr:y>0.27975</cdr:y>
    </cdr:to>
    <cdr:sp macro="" textlink="">
      <cdr:nvSpPr>
        <cdr:cNvPr id="2" name="Oval 1"/>
        <cdr:cNvSpPr/>
      </cdr:nvSpPr>
      <cdr:spPr>
        <a:xfrm xmlns:a="http://schemas.openxmlformats.org/drawingml/2006/main">
          <a:off x="372799" y="499591"/>
          <a:ext cx="66234" cy="64390"/>
        </a:xfrm>
        <a:prstGeom xmlns:a="http://schemas.openxmlformats.org/drawingml/2006/main" prst="ellipse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sr-Latn-C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9429B-F355-49AD-9468-216188D1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2768</Words>
  <Characters>14285</Characters>
  <Application>Microsoft Office Word</Application>
  <DocSecurity>0</DocSecurity>
  <Lines>1428</Lines>
  <Paragraphs>1218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milos.popovic;Iva Radovan</dc:creator>
  <cp:lastModifiedBy>Milena Ljumovic</cp:lastModifiedBy>
  <cp:revision>18</cp:revision>
  <cp:lastPrinted>2014-01-16T09:51:00Z</cp:lastPrinted>
  <dcterms:created xsi:type="dcterms:W3CDTF">2014-04-28T07:25:00Z</dcterms:created>
  <dcterms:modified xsi:type="dcterms:W3CDTF">2014-04-30T08:28:00Z</dcterms:modified>
</cp:coreProperties>
</file>