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0B" w:rsidRPr="0020440D" w:rsidRDefault="007B41C4" w:rsidP="00D61692">
      <w:pPr>
        <w:spacing w:after="0" w:line="240" w:lineRule="auto"/>
        <w:jc w:val="center"/>
        <w:rPr>
          <w:rFonts w:ascii="Cambria" w:hAnsi="Cambria" w:cs="Cambria"/>
          <w:b/>
          <w:bCs/>
          <w:noProof/>
          <w:sz w:val="28"/>
          <w:szCs w:val="28"/>
        </w:rPr>
      </w:pPr>
      <w:r w:rsidRPr="0020440D">
        <w:rPr>
          <w:rFonts w:ascii="Cambria" w:hAnsi="Cambria" w:cs="Cambria"/>
          <w:noProof/>
        </w:rPr>
        <w:drawing>
          <wp:inline distT="0" distB="0" distL="0" distR="0">
            <wp:extent cx="675640" cy="8121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70B" w:rsidRPr="0020440D" w:rsidRDefault="0082570B" w:rsidP="0002564B">
      <w:pPr>
        <w:pStyle w:val="NoSpacing"/>
        <w:jc w:val="center"/>
        <w:outlineLvl w:val="0"/>
        <w:rPr>
          <w:b/>
          <w:bCs/>
          <w:noProof/>
          <w:sz w:val="28"/>
          <w:szCs w:val="28"/>
        </w:rPr>
      </w:pPr>
      <w:r w:rsidRPr="0020440D">
        <w:rPr>
          <w:b/>
          <w:bCs/>
          <w:noProof/>
          <w:sz w:val="28"/>
          <w:szCs w:val="28"/>
        </w:rPr>
        <w:t>CRNA GORA</w:t>
      </w:r>
    </w:p>
    <w:p w:rsidR="0082570B" w:rsidRPr="0020440D" w:rsidRDefault="0082570B" w:rsidP="0002564B">
      <w:pPr>
        <w:pStyle w:val="NoSpacing"/>
        <w:jc w:val="center"/>
        <w:outlineLvl w:val="0"/>
        <w:rPr>
          <w:b/>
          <w:bCs/>
          <w:noProof/>
          <w:sz w:val="28"/>
          <w:szCs w:val="28"/>
        </w:rPr>
      </w:pPr>
      <w:r w:rsidRPr="0020440D">
        <w:rPr>
          <w:b/>
          <w:bCs/>
          <w:noProof/>
          <w:sz w:val="28"/>
          <w:szCs w:val="28"/>
        </w:rPr>
        <w:t>MINISTARSTVO FINANSIJA</w:t>
      </w:r>
    </w:p>
    <w:p w:rsidR="0082570B" w:rsidRPr="0020440D" w:rsidRDefault="00DC4AD1" w:rsidP="0002564B">
      <w:pPr>
        <w:pStyle w:val="NoSpacing"/>
        <w:jc w:val="center"/>
        <w:outlineLvl w:val="0"/>
        <w:rPr>
          <w:b/>
          <w:bCs/>
          <w:noProof/>
          <w:sz w:val="28"/>
          <w:szCs w:val="28"/>
        </w:rPr>
      </w:pPr>
      <w:r w:rsidRPr="0020440D">
        <w:rPr>
          <w:b/>
          <w:bCs/>
          <w:noProof/>
          <w:sz w:val="28"/>
          <w:szCs w:val="28"/>
        </w:rPr>
        <w:t>Direktorat</w:t>
      </w:r>
      <w:r w:rsidR="0082570B" w:rsidRPr="0020440D">
        <w:rPr>
          <w:b/>
          <w:bCs/>
          <w:noProof/>
          <w:sz w:val="28"/>
          <w:szCs w:val="28"/>
        </w:rPr>
        <w:t xml:space="preserve"> za ekonomsku politiku i razvoj</w:t>
      </w:r>
    </w:p>
    <w:p w:rsidR="0082570B" w:rsidRPr="0020440D" w:rsidRDefault="0082570B" w:rsidP="00D61692">
      <w:pPr>
        <w:rPr>
          <w:rFonts w:cs="Calibri"/>
          <w:noProof/>
        </w:rPr>
      </w:pPr>
    </w:p>
    <w:p w:rsidR="0082570B" w:rsidRPr="0020440D" w:rsidRDefault="0082570B" w:rsidP="00D61692">
      <w:pPr>
        <w:jc w:val="center"/>
        <w:rPr>
          <w:rFonts w:cs="Calibri"/>
          <w:b/>
          <w:bCs/>
          <w:i/>
          <w:iCs/>
          <w:noProof/>
          <w:sz w:val="36"/>
          <w:szCs w:val="36"/>
        </w:rPr>
      </w:pPr>
    </w:p>
    <w:p w:rsidR="0082570B" w:rsidRPr="0020440D" w:rsidRDefault="0082570B" w:rsidP="000F756E">
      <w:pPr>
        <w:rPr>
          <w:rFonts w:cs="Calibri"/>
          <w:b/>
          <w:bCs/>
          <w:i/>
          <w:iCs/>
          <w:noProof/>
          <w:sz w:val="36"/>
          <w:szCs w:val="36"/>
        </w:rPr>
      </w:pPr>
    </w:p>
    <w:p w:rsidR="0082570B" w:rsidRPr="0020440D" w:rsidRDefault="0082570B" w:rsidP="000F756E">
      <w:pPr>
        <w:rPr>
          <w:rFonts w:cs="Calibri"/>
          <w:b/>
          <w:bCs/>
          <w:i/>
          <w:iCs/>
          <w:noProof/>
          <w:sz w:val="36"/>
          <w:szCs w:val="36"/>
        </w:rPr>
      </w:pPr>
    </w:p>
    <w:p w:rsidR="0082570B" w:rsidRPr="0020440D" w:rsidRDefault="0082570B" w:rsidP="0002564B">
      <w:pPr>
        <w:spacing w:line="240" w:lineRule="auto"/>
        <w:jc w:val="center"/>
        <w:outlineLvl w:val="0"/>
        <w:rPr>
          <w:rFonts w:cs="Calibri"/>
          <w:b/>
          <w:bCs/>
          <w:iCs/>
          <w:noProof/>
          <w:sz w:val="52"/>
          <w:szCs w:val="52"/>
        </w:rPr>
      </w:pPr>
      <w:r w:rsidRPr="0020440D">
        <w:rPr>
          <w:rFonts w:cs="Calibri"/>
          <w:b/>
          <w:bCs/>
          <w:iCs/>
          <w:noProof/>
          <w:sz w:val="52"/>
          <w:szCs w:val="52"/>
        </w:rPr>
        <w:t>MJESEČNI MAKROEKONOMSKI INDIKATORI</w:t>
      </w:r>
    </w:p>
    <w:p w:rsidR="0082570B" w:rsidRPr="0020440D" w:rsidRDefault="00871B65" w:rsidP="005D48A0">
      <w:pPr>
        <w:spacing w:line="240" w:lineRule="auto"/>
        <w:ind w:firstLine="720"/>
        <w:jc w:val="center"/>
        <w:outlineLvl w:val="0"/>
        <w:rPr>
          <w:rFonts w:cs="Calibri"/>
          <w:b/>
          <w:bCs/>
          <w:noProof/>
          <w:sz w:val="32"/>
          <w:szCs w:val="32"/>
        </w:rPr>
      </w:pPr>
      <w:r>
        <w:rPr>
          <w:rFonts w:cs="Calibri"/>
          <w:b/>
          <w:bCs/>
          <w:noProof/>
          <w:sz w:val="32"/>
          <w:szCs w:val="32"/>
        </w:rPr>
        <w:t>Jun</w:t>
      </w:r>
      <w:r w:rsidR="005612C5">
        <w:rPr>
          <w:rFonts w:cs="Calibri"/>
          <w:b/>
          <w:bCs/>
          <w:noProof/>
          <w:sz w:val="32"/>
          <w:szCs w:val="32"/>
        </w:rPr>
        <w:t xml:space="preserve"> </w:t>
      </w:r>
      <w:r w:rsidR="00C45B95">
        <w:rPr>
          <w:rFonts w:cs="Calibri"/>
          <w:b/>
          <w:bCs/>
          <w:noProof/>
          <w:sz w:val="32"/>
          <w:szCs w:val="32"/>
        </w:rPr>
        <w:t>2015</w:t>
      </w:r>
      <w:r w:rsidR="0082570B" w:rsidRPr="0020440D">
        <w:rPr>
          <w:rFonts w:cs="Calibri"/>
          <w:b/>
          <w:bCs/>
          <w:noProof/>
          <w:sz w:val="32"/>
          <w:szCs w:val="32"/>
        </w:rPr>
        <w:t>.</w:t>
      </w:r>
    </w:p>
    <w:p w:rsidR="0082570B" w:rsidRPr="0020440D" w:rsidRDefault="0082570B" w:rsidP="00D61692">
      <w:pPr>
        <w:spacing w:after="0" w:line="240" w:lineRule="auto"/>
        <w:rPr>
          <w:rFonts w:cs="Calibri"/>
          <w:b/>
          <w:bCs/>
          <w:noProof/>
          <w:sz w:val="28"/>
          <w:szCs w:val="28"/>
        </w:rPr>
      </w:pPr>
    </w:p>
    <w:p w:rsidR="0082570B" w:rsidRDefault="0082570B" w:rsidP="00D61692">
      <w:pPr>
        <w:spacing w:after="0" w:line="240" w:lineRule="auto"/>
        <w:rPr>
          <w:rFonts w:cs="Calibri"/>
          <w:b/>
          <w:bCs/>
          <w:noProof/>
          <w:sz w:val="28"/>
          <w:szCs w:val="28"/>
        </w:rPr>
      </w:pPr>
    </w:p>
    <w:p w:rsidR="009F74C6" w:rsidRPr="0020440D" w:rsidRDefault="009F74C6" w:rsidP="00D61692">
      <w:pPr>
        <w:spacing w:after="0" w:line="240" w:lineRule="auto"/>
        <w:rPr>
          <w:rFonts w:cs="Calibri"/>
          <w:b/>
          <w:bCs/>
          <w:noProof/>
          <w:sz w:val="28"/>
          <w:szCs w:val="28"/>
        </w:rPr>
      </w:pPr>
    </w:p>
    <w:p w:rsidR="0082570B" w:rsidRPr="0020440D" w:rsidRDefault="0081095D" w:rsidP="00D20CDA">
      <w:pPr>
        <w:spacing w:after="0" w:line="240" w:lineRule="auto"/>
        <w:rPr>
          <w:rFonts w:cs="Calibri"/>
          <w:bCs/>
          <w:noProof/>
          <w:sz w:val="28"/>
          <w:szCs w:val="28"/>
        </w:rPr>
      </w:pPr>
      <w:r w:rsidRPr="0081095D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margin-left:2.1pt;margin-top:5in;width:252.6pt;height:338pt;rotation:-360;z-index:-251658240;mso-position-horizontal-relative:margin;mso-position-vertical-relative:margin" wrapcoords="1315 -107 900 -53 -138 587 -138 20747 277 21227 277 21333 1038 21653 1246 21653 20285 21653 20423 21653 21392 21227 21738 20480 21738 1440 21669 587 20769 0 20285 -107 1315 -107" o:allowincell="f" adj="1739" fillcolor="#943634" strokecolor="#848484 [1951]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B056E1" w:rsidRDefault="00B056E1" w:rsidP="00E876BD">
                  <w:pPr>
                    <w:pStyle w:val="NoSpacing"/>
                    <w:jc w:val="center"/>
                    <w:rPr>
                      <w:b/>
                      <w:bCs/>
                      <w:color w:val="000000"/>
                      <w:sz w:val="40"/>
                      <w:szCs w:val="40"/>
                      <w:lang w:val="pl-PL"/>
                    </w:rPr>
                  </w:pPr>
                  <w:r w:rsidRPr="003A5C77">
                    <w:rPr>
                      <w:b/>
                      <w:bCs/>
                      <w:color w:val="000000"/>
                      <w:sz w:val="40"/>
                      <w:szCs w:val="40"/>
                      <w:lang w:val="pl-PL"/>
                    </w:rPr>
                    <w:t>KLJUČNE PORUKE</w:t>
                  </w:r>
                </w:p>
                <w:p w:rsidR="00B056E1" w:rsidRDefault="00B056E1" w:rsidP="00DF3850">
                  <w:pPr>
                    <w:pStyle w:val="NoSpacing"/>
                    <w:ind w:left="1080"/>
                    <w:rPr>
                      <w:b/>
                      <w:bCs/>
                      <w:color w:val="000000"/>
                      <w:sz w:val="24"/>
                      <w:szCs w:val="40"/>
                      <w:lang w:val="pl-PL"/>
                    </w:rPr>
                  </w:pPr>
                </w:p>
                <w:p w:rsidR="00B056E1" w:rsidRDefault="00B056E1" w:rsidP="00DF3850">
                  <w:pPr>
                    <w:pStyle w:val="NoSpacing"/>
                    <w:ind w:left="1080"/>
                    <w:rPr>
                      <w:b/>
                      <w:bCs/>
                      <w:color w:val="000000"/>
                      <w:sz w:val="24"/>
                      <w:szCs w:val="40"/>
                      <w:lang w:val="pl-PL"/>
                    </w:rPr>
                  </w:pPr>
                </w:p>
                <w:p w:rsidR="00B056E1" w:rsidRPr="004B0052" w:rsidRDefault="004B0052" w:rsidP="00ED7BD7">
                  <w:pPr>
                    <w:pStyle w:val="NoSpacing"/>
                    <w:numPr>
                      <w:ilvl w:val="0"/>
                      <w:numId w:val="41"/>
                    </w:numPr>
                    <w:spacing w:after="240"/>
                    <w:ind w:left="1077" w:hanging="357"/>
                    <w:jc w:val="both"/>
                  </w:pPr>
                  <w:r>
                    <w:rPr>
                      <w:b/>
                      <w:sz w:val="20"/>
                      <w:szCs w:val="20"/>
                    </w:rPr>
                    <w:t xml:space="preserve">Grčka krize </w:t>
                  </w:r>
                  <w:r w:rsidR="005F3F2A">
                    <w:rPr>
                      <w:b/>
                      <w:sz w:val="20"/>
                      <w:szCs w:val="20"/>
                    </w:rPr>
                    <w:t xml:space="preserve"> krajem juna kulmin</w:t>
                  </w:r>
                  <w:r w:rsidR="00B056E1" w:rsidRPr="009D1048">
                    <w:rPr>
                      <w:b/>
                      <w:sz w:val="20"/>
                      <w:szCs w:val="20"/>
                    </w:rPr>
                    <w:t>irala</w:t>
                  </w:r>
                </w:p>
                <w:p w:rsidR="004B0052" w:rsidRPr="004B0052" w:rsidRDefault="004B0052" w:rsidP="00ED7BD7">
                  <w:pPr>
                    <w:pStyle w:val="NoSpacing"/>
                    <w:numPr>
                      <w:ilvl w:val="0"/>
                      <w:numId w:val="41"/>
                    </w:numPr>
                    <w:spacing w:after="240"/>
                    <w:ind w:left="1077" w:hanging="357"/>
                    <w:jc w:val="both"/>
                  </w:pPr>
                  <w:r>
                    <w:rPr>
                      <w:b/>
                      <w:sz w:val="20"/>
                      <w:szCs w:val="20"/>
                    </w:rPr>
                    <w:t>Turistički promet u maju bilježi značajne stope rasta po svim parametrima</w:t>
                  </w:r>
                </w:p>
                <w:p w:rsidR="004B0052" w:rsidRPr="004B0052" w:rsidRDefault="004B0052" w:rsidP="00ED7BD7">
                  <w:pPr>
                    <w:pStyle w:val="NoSpacing"/>
                    <w:numPr>
                      <w:ilvl w:val="0"/>
                      <w:numId w:val="41"/>
                    </w:numPr>
                    <w:spacing w:after="240"/>
                    <w:ind w:left="1077" w:hanging="357"/>
                    <w:jc w:val="both"/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Nastavlja se trend rasta potrošačkih cijena, podstaknut rastom cijena hrane</w:t>
                  </w:r>
                </w:p>
                <w:p w:rsidR="004B0052" w:rsidRPr="004B0052" w:rsidRDefault="004B0052" w:rsidP="00ED7BD7">
                  <w:pPr>
                    <w:pStyle w:val="NoSpacing"/>
                    <w:numPr>
                      <w:ilvl w:val="0"/>
                      <w:numId w:val="41"/>
                    </w:numPr>
                    <w:spacing w:after="240"/>
                    <w:ind w:left="1077" w:hanging="357"/>
                    <w:jc w:val="both"/>
                  </w:pPr>
                  <w:r w:rsidRPr="002C582E">
                    <w:rPr>
                      <w:b/>
                      <w:sz w:val="20"/>
                      <w:szCs w:val="20"/>
                      <w:lang w:val="sr-Latn-CS"/>
                    </w:rPr>
                    <w:t xml:space="preserve">Na tržištu rada u </w:t>
                  </w:r>
                  <w:r>
                    <w:rPr>
                      <w:b/>
                      <w:sz w:val="20"/>
                      <w:szCs w:val="20"/>
                      <w:lang w:val="sr-Latn-CS"/>
                    </w:rPr>
                    <w:t xml:space="preserve">maju 2015. došlo </w:t>
                  </w:r>
                  <w:r w:rsidRPr="002C582E">
                    <w:rPr>
                      <w:b/>
                      <w:sz w:val="20"/>
                      <w:szCs w:val="20"/>
                      <w:lang w:val="sr-Latn-CS"/>
                    </w:rPr>
                    <w:t xml:space="preserve">do povećanja zaposlenosti i </w:t>
                  </w:r>
                  <w:r>
                    <w:rPr>
                      <w:b/>
                      <w:sz w:val="20"/>
                      <w:szCs w:val="20"/>
                      <w:lang w:val="sr-Latn-CS"/>
                    </w:rPr>
                    <w:t>smanjenja nezaposlenosti.</w:t>
                  </w:r>
                </w:p>
                <w:p w:rsidR="004B0052" w:rsidRPr="004B0052" w:rsidRDefault="004B0052" w:rsidP="00ED7BD7">
                  <w:pPr>
                    <w:pStyle w:val="NoSpacing"/>
                    <w:numPr>
                      <w:ilvl w:val="0"/>
                      <w:numId w:val="41"/>
                    </w:numPr>
                    <w:spacing w:after="240"/>
                    <w:ind w:left="1077" w:hanging="357"/>
                    <w:jc w:val="both"/>
                  </w:pPr>
                  <w:r>
                    <w:rPr>
                      <w:b/>
                      <w:noProof/>
                      <w:sz w:val="20"/>
                      <w:szCs w:val="20"/>
                    </w:rPr>
                    <w:t>U maju</w:t>
                  </w:r>
                  <w:r w:rsidR="005F3F2A">
                    <w:rPr>
                      <w:b/>
                      <w:noProof/>
                      <w:sz w:val="20"/>
                      <w:szCs w:val="20"/>
                    </w:rPr>
                    <w:t xml:space="preserve"> ostvaren 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 xml:space="preserve"> rast kreditne aktivnosti na mjesečnom i godišnjem nivou</w:t>
                  </w:r>
                </w:p>
                <w:p w:rsidR="004B0052" w:rsidRDefault="004B0052" w:rsidP="00ED7BD7">
                  <w:pPr>
                    <w:pStyle w:val="NoSpacing"/>
                    <w:numPr>
                      <w:ilvl w:val="0"/>
                      <w:numId w:val="41"/>
                    </w:numPr>
                    <w:spacing w:after="240"/>
                    <w:ind w:left="1077" w:hanging="357"/>
                    <w:jc w:val="both"/>
                  </w:pPr>
                  <w:r w:rsidRPr="00053B0C">
                    <w:rPr>
                      <w:b/>
                      <w:noProof/>
                      <w:sz w:val="20"/>
                      <w:szCs w:val="20"/>
                    </w:rPr>
                    <w:t>U periodu januar</w:t>
                  </w:r>
                  <w:r w:rsidR="005852D2">
                    <w:rPr>
                      <w:b/>
                      <w:noProof/>
                      <w:sz w:val="20"/>
                      <w:szCs w:val="20"/>
                    </w:rPr>
                    <w:t xml:space="preserve"> </w:t>
                  </w:r>
                  <w:r w:rsidRPr="00053B0C">
                    <w:rPr>
                      <w:b/>
                      <w:noProof/>
                      <w:sz w:val="20"/>
                      <w:szCs w:val="20"/>
                    </w:rPr>
                    <w:t xml:space="preserve">- april 2015. zabilježen </w:t>
                  </w:r>
                  <w:r w:rsidRPr="00053B0C">
                    <w:rPr>
                      <w:b/>
                      <w:noProof/>
                      <w:sz w:val="20"/>
                      <w:szCs w:val="20"/>
                      <w:lang w:val="sr-Latn-CS"/>
                    </w:rPr>
                    <w:t xml:space="preserve">rast </w:t>
                  </w:r>
                  <w:r w:rsidRPr="00053B0C">
                    <w:rPr>
                      <w:b/>
                      <w:noProof/>
                      <w:sz w:val="20"/>
                      <w:szCs w:val="20"/>
                    </w:rPr>
                    <w:t>neto SDI u odnosu na predhodnu godinu</w:t>
                  </w:r>
                  <w:r>
                    <w:rPr>
                      <w:noProof/>
                      <w:sz w:val="20"/>
                      <w:szCs w:val="20"/>
                    </w:rPr>
                    <w:t>.</w:t>
                  </w:r>
                </w:p>
              </w:txbxContent>
            </v:textbox>
            <w10:wrap type="tight" anchorx="margin" anchory="margin"/>
          </v:shape>
        </w:pict>
      </w:r>
    </w:p>
    <w:p w:rsidR="0082570B" w:rsidRPr="0020440D" w:rsidRDefault="0082570B" w:rsidP="00D20CDA">
      <w:pPr>
        <w:spacing w:after="0" w:line="240" w:lineRule="auto"/>
        <w:rPr>
          <w:rFonts w:cs="Calibri"/>
          <w:bCs/>
          <w:iCs/>
          <w:noProof/>
          <w:sz w:val="26"/>
          <w:szCs w:val="26"/>
        </w:rPr>
      </w:pPr>
    </w:p>
    <w:p w:rsidR="0082570B" w:rsidRPr="0020440D" w:rsidRDefault="0082570B" w:rsidP="00D61692">
      <w:pPr>
        <w:pStyle w:val="NoSpacing"/>
        <w:rPr>
          <w:bCs/>
          <w:iCs/>
          <w:noProof/>
          <w:sz w:val="26"/>
          <w:szCs w:val="26"/>
        </w:rPr>
      </w:pPr>
    </w:p>
    <w:p w:rsidR="0082570B" w:rsidRPr="0020440D" w:rsidRDefault="0085138D" w:rsidP="00694445">
      <w:pPr>
        <w:pStyle w:val="NoSpacing"/>
        <w:rPr>
          <w:bCs/>
          <w:noProof/>
          <w:sz w:val="28"/>
          <w:szCs w:val="20"/>
        </w:rPr>
      </w:pPr>
      <w:r w:rsidRPr="0020440D">
        <w:rPr>
          <w:bCs/>
          <w:noProof/>
          <w:sz w:val="28"/>
          <w:szCs w:val="20"/>
          <w:lang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912495</wp:posOffset>
            </wp:positionH>
            <wp:positionV relativeFrom="paragraph">
              <wp:posOffset>136525</wp:posOffset>
            </wp:positionV>
            <wp:extent cx="2238375" cy="2644140"/>
            <wp:effectExtent l="19050" t="0" r="9525" b="0"/>
            <wp:wrapSquare wrapText="bothSides"/>
            <wp:docPr id="13" name="Picture 1" descr="C:\Users\radovan.zivkovic\Desktop\push-to-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ovan.zivkovic\Desktop\push-to-vertical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64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570B" w:rsidRPr="0020440D" w:rsidRDefault="0082570B" w:rsidP="003324D9">
      <w:pPr>
        <w:pStyle w:val="NoSpacing"/>
        <w:rPr>
          <w:noProof/>
          <w:sz w:val="32"/>
        </w:rPr>
      </w:pPr>
    </w:p>
    <w:p w:rsidR="0082570B" w:rsidRPr="0020440D" w:rsidRDefault="0082570B" w:rsidP="003324D9">
      <w:pPr>
        <w:pStyle w:val="NoSpacing"/>
        <w:rPr>
          <w:noProof/>
          <w:sz w:val="32"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82570B" w:rsidRPr="0020440D" w:rsidRDefault="0082570B" w:rsidP="003324D9">
      <w:pPr>
        <w:pStyle w:val="NoSpacing"/>
        <w:rPr>
          <w:noProof/>
        </w:rPr>
      </w:pPr>
    </w:p>
    <w:p w:rsidR="009F74C6" w:rsidRDefault="009F74C6" w:rsidP="00A423C3">
      <w:pPr>
        <w:pStyle w:val="NoSpacing"/>
        <w:outlineLvl w:val="0"/>
        <w:rPr>
          <w:b/>
          <w:bCs/>
          <w:noProof/>
          <w:color w:val="000000"/>
          <w:sz w:val="16"/>
          <w:szCs w:val="16"/>
        </w:rPr>
      </w:pPr>
    </w:p>
    <w:p w:rsidR="009F74C6" w:rsidRDefault="009F74C6" w:rsidP="00A423C3">
      <w:pPr>
        <w:pStyle w:val="NoSpacing"/>
        <w:outlineLvl w:val="0"/>
        <w:rPr>
          <w:b/>
          <w:bCs/>
          <w:noProof/>
          <w:color w:val="000000"/>
          <w:sz w:val="16"/>
          <w:szCs w:val="16"/>
        </w:rPr>
      </w:pPr>
    </w:p>
    <w:p w:rsidR="009F74C6" w:rsidRDefault="009F74C6" w:rsidP="00A423C3">
      <w:pPr>
        <w:pStyle w:val="NoSpacing"/>
        <w:outlineLvl w:val="0"/>
        <w:rPr>
          <w:b/>
          <w:bCs/>
          <w:noProof/>
          <w:color w:val="000000"/>
          <w:sz w:val="16"/>
          <w:szCs w:val="16"/>
        </w:rPr>
      </w:pPr>
    </w:p>
    <w:p w:rsidR="009F74C6" w:rsidRDefault="009F74C6" w:rsidP="00A423C3">
      <w:pPr>
        <w:pStyle w:val="NoSpacing"/>
        <w:outlineLvl w:val="0"/>
        <w:rPr>
          <w:b/>
          <w:bCs/>
          <w:noProof/>
          <w:color w:val="000000"/>
          <w:sz w:val="16"/>
          <w:szCs w:val="16"/>
        </w:rPr>
      </w:pPr>
    </w:p>
    <w:p w:rsidR="009F74C6" w:rsidRDefault="009F74C6" w:rsidP="00A423C3">
      <w:pPr>
        <w:pStyle w:val="NoSpacing"/>
        <w:outlineLvl w:val="0"/>
        <w:rPr>
          <w:b/>
          <w:bCs/>
          <w:noProof/>
          <w:color w:val="000000"/>
          <w:sz w:val="16"/>
          <w:szCs w:val="16"/>
        </w:rPr>
      </w:pPr>
    </w:p>
    <w:p w:rsidR="009F74C6" w:rsidRDefault="0082570B" w:rsidP="00A423C3">
      <w:pPr>
        <w:pStyle w:val="NoSpacing"/>
        <w:outlineLvl w:val="0"/>
        <w:rPr>
          <w:bCs/>
          <w:noProof/>
          <w:color w:val="000000"/>
          <w:sz w:val="16"/>
          <w:szCs w:val="16"/>
        </w:rPr>
      </w:pPr>
      <w:r w:rsidRPr="0020440D">
        <w:rPr>
          <w:b/>
          <w:bCs/>
          <w:noProof/>
          <w:color w:val="000000"/>
          <w:sz w:val="16"/>
          <w:szCs w:val="16"/>
        </w:rPr>
        <w:t xml:space="preserve">Autori priloga: </w:t>
      </w:r>
      <w:r w:rsidR="00423EE9" w:rsidRPr="0020440D">
        <w:rPr>
          <w:bCs/>
          <w:noProof/>
          <w:color w:val="000000"/>
          <w:sz w:val="16"/>
          <w:szCs w:val="16"/>
        </w:rPr>
        <w:t>Radovan Živković</w:t>
      </w:r>
      <w:r w:rsidR="002A2CED" w:rsidRPr="0020440D">
        <w:rPr>
          <w:bCs/>
          <w:noProof/>
          <w:color w:val="000000"/>
          <w:sz w:val="16"/>
          <w:szCs w:val="16"/>
        </w:rPr>
        <w:t>, Radojka Martinović</w:t>
      </w:r>
      <w:r w:rsidR="00423EE9" w:rsidRPr="0020440D">
        <w:rPr>
          <w:bCs/>
          <w:noProof/>
          <w:color w:val="000000"/>
          <w:sz w:val="16"/>
          <w:szCs w:val="16"/>
        </w:rPr>
        <w:t xml:space="preserve">, Olja Tomanović, </w:t>
      </w:r>
      <w:r w:rsidR="004B5F63" w:rsidRPr="0020440D">
        <w:rPr>
          <w:bCs/>
          <w:noProof/>
          <w:color w:val="000000"/>
          <w:sz w:val="16"/>
          <w:szCs w:val="16"/>
        </w:rPr>
        <w:t>Marija Novosel</w:t>
      </w:r>
      <w:r w:rsidR="00A423C3" w:rsidRPr="0020440D">
        <w:rPr>
          <w:bCs/>
          <w:noProof/>
          <w:color w:val="000000"/>
          <w:sz w:val="16"/>
          <w:szCs w:val="16"/>
        </w:rPr>
        <w:t>,</w:t>
      </w:r>
      <w:r w:rsidR="002A2CED" w:rsidRPr="0020440D">
        <w:rPr>
          <w:bCs/>
          <w:noProof/>
          <w:color w:val="000000"/>
          <w:sz w:val="16"/>
          <w:szCs w:val="16"/>
        </w:rPr>
        <w:t xml:space="preserve"> ZdenkaDabović</w:t>
      </w:r>
      <w:r w:rsidR="00E2362B" w:rsidRPr="0020440D">
        <w:rPr>
          <w:bCs/>
          <w:noProof/>
          <w:color w:val="000000"/>
          <w:sz w:val="16"/>
          <w:szCs w:val="16"/>
        </w:rPr>
        <w:t>, Milanka Jovanović</w:t>
      </w:r>
      <w:r w:rsidR="00A73F8B" w:rsidRPr="0020440D">
        <w:rPr>
          <w:bCs/>
          <w:noProof/>
          <w:color w:val="000000"/>
          <w:sz w:val="16"/>
          <w:szCs w:val="16"/>
        </w:rPr>
        <w:t>,</w:t>
      </w:r>
      <w:r w:rsidR="006D2C44">
        <w:rPr>
          <w:bCs/>
          <w:noProof/>
          <w:color w:val="000000"/>
          <w:sz w:val="16"/>
          <w:szCs w:val="16"/>
        </w:rPr>
        <w:t xml:space="preserve"> </w:t>
      </w:r>
      <w:r w:rsidR="00A73F8B" w:rsidRPr="0020440D">
        <w:rPr>
          <w:bCs/>
          <w:noProof/>
          <w:color w:val="000000"/>
          <w:sz w:val="16"/>
          <w:szCs w:val="16"/>
        </w:rPr>
        <w:t>Vesna Obradović</w:t>
      </w:r>
      <w:r w:rsidR="00625243">
        <w:rPr>
          <w:bCs/>
          <w:noProof/>
          <w:color w:val="000000"/>
          <w:sz w:val="16"/>
          <w:szCs w:val="16"/>
        </w:rPr>
        <w:t>.</w:t>
      </w:r>
    </w:p>
    <w:tbl>
      <w:tblPr>
        <w:tblpPr w:leftFromText="141" w:rightFromText="141" w:horzAnchor="margin" w:tblpX="108" w:tblpY="420"/>
        <w:tblW w:w="4936" w:type="pct"/>
        <w:tblBorders>
          <w:bottom w:val="threeDEmboss" w:sz="12" w:space="0" w:color="auto"/>
          <w:insideH w:val="threeDEmboss" w:sz="12" w:space="0" w:color="auto"/>
        </w:tblBorders>
        <w:tblLook w:val="04A0"/>
      </w:tblPr>
      <w:tblGrid>
        <w:gridCol w:w="7081"/>
        <w:gridCol w:w="4326"/>
      </w:tblGrid>
      <w:tr w:rsidR="00C45B95" w:rsidRPr="00D05BDB" w:rsidTr="00053B0C">
        <w:trPr>
          <w:trHeight w:hRule="exact" w:val="3752"/>
        </w:trPr>
        <w:tc>
          <w:tcPr>
            <w:tcW w:w="3104" w:type="pct"/>
          </w:tcPr>
          <w:p w:rsidR="001B7C2A" w:rsidRPr="007917BF" w:rsidRDefault="001B7C2A" w:rsidP="00464A12">
            <w:pPr>
              <w:pStyle w:val="ListParagraph"/>
              <w:numPr>
                <w:ilvl w:val="0"/>
                <w:numId w:val="36"/>
              </w:num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17B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Međunarodno okruženje</w:t>
            </w:r>
          </w:p>
          <w:p w:rsidR="00C45B95" w:rsidRPr="007917BF" w:rsidRDefault="00AF4AA6" w:rsidP="005F3F2A">
            <w:pPr>
              <w:pBdr>
                <w:top w:val="single" w:sz="4" w:space="1" w:color="auto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D1048">
              <w:rPr>
                <w:b/>
                <w:sz w:val="20"/>
                <w:szCs w:val="20"/>
              </w:rPr>
              <w:t>Grčka krize je krajem juna kulnimirala</w:t>
            </w:r>
            <w:r>
              <w:rPr>
                <w:sz w:val="20"/>
                <w:szCs w:val="20"/>
              </w:rPr>
              <w:t>, jer se Grci i njihovi kreditori nisu uspjeli dogovoriti oko neophodnih reformi zahtijevanih od strane MMF-a</w:t>
            </w:r>
            <w:r w:rsidR="001137C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E</w:t>
            </w:r>
            <w:r w:rsidR="001137C1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 xml:space="preserve"> i </w:t>
            </w:r>
            <w:r w:rsidR="00901BA5">
              <w:rPr>
                <w:sz w:val="20"/>
                <w:szCs w:val="20"/>
              </w:rPr>
              <w:t>ECB</w:t>
            </w:r>
            <w:r w:rsidR="00737297">
              <w:rPr>
                <w:sz w:val="20"/>
                <w:szCs w:val="20"/>
              </w:rPr>
              <w:t>, kao uslov za otpuštanje preostalih sredstava drugog paketa pomoći</w:t>
            </w:r>
            <w:r>
              <w:rPr>
                <w:sz w:val="20"/>
                <w:szCs w:val="20"/>
              </w:rPr>
              <w:t xml:space="preserve">. </w:t>
            </w:r>
            <w:r w:rsidR="00901B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Grčka na kraju juna nije platila dospjeli dug MMF-u u vrijednost</w:t>
            </w:r>
            <w:r w:rsidR="009D1048">
              <w:rPr>
                <w:sz w:val="20"/>
                <w:szCs w:val="20"/>
              </w:rPr>
              <w:t>i od 1,6</w:t>
            </w:r>
            <w:r w:rsidR="00901BA5">
              <w:rPr>
                <w:sz w:val="20"/>
                <w:szCs w:val="20"/>
              </w:rPr>
              <w:t xml:space="preserve"> mlrd.€. </w:t>
            </w:r>
            <w:r>
              <w:rPr>
                <w:sz w:val="20"/>
                <w:szCs w:val="20"/>
              </w:rPr>
              <w:t>Iako se u žargonu MMF-a ovo naziva neizmirenim obavezama, u suštini je</w:t>
            </w:r>
            <w:r w:rsidR="001137C1">
              <w:rPr>
                <w:sz w:val="20"/>
                <w:szCs w:val="20"/>
              </w:rPr>
              <w:t xml:space="preserve">  to </w:t>
            </w:r>
            <w:r>
              <w:rPr>
                <w:sz w:val="20"/>
                <w:szCs w:val="20"/>
              </w:rPr>
              <w:t>suvereni bankrot. Posljedice ovog neplaćanja</w:t>
            </w:r>
            <w:r w:rsidR="009D1048">
              <w:rPr>
                <w:sz w:val="20"/>
                <w:szCs w:val="20"/>
              </w:rPr>
              <w:t xml:space="preserve"> su ozbiljne, a odnose se na</w:t>
            </w:r>
            <w:r w:rsidR="005F3F2A">
              <w:rPr>
                <w:sz w:val="20"/>
                <w:szCs w:val="20"/>
              </w:rPr>
              <w:t xml:space="preserve"> prekid dalje pomoći MMF-a i</w:t>
            </w:r>
            <w:r>
              <w:rPr>
                <w:sz w:val="20"/>
                <w:szCs w:val="20"/>
              </w:rPr>
              <w:t xml:space="preserve"> pot</w:t>
            </w:r>
            <w:r w:rsidR="009D1048">
              <w:rPr>
                <w:sz w:val="20"/>
                <w:szCs w:val="20"/>
              </w:rPr>
              <w:t>encijalno gubljenje prava glasa</w:t>
            </w:r>
            <w:r>
              <w:rPr>
                <w:sz w:val="20"/>
                <w:szCs w:val="20"/>
              </w:rPr>
              <w:t>. Grčka je prva od razvijenih ekonomija koja je</w:t>
            </w:r>
            <w:r w:rsidR="009D1048">
              <w:rPr>
                <w:sz w:val="20"/>
                <w:szCs w:val="20"/>
              </w:rPr>
              <w:t xml:space="preserve"> bankrotirala u 71-godišnjoj istoriji MMF-a.</w:t>
            </w:r>
            <w:r>
              <w:rPr>
                <w:sz w:val="20"/>
                <w:szCs w:val="20"/>
              </w:rPr>
              <w:t xml:space="preserve"> </w:t>
            </w:r>
            <w:r w:rsidR="00053B0C">
              <w:rPr>
                <w:sz w:val="20"/>
                <w:szCs w:val="20"/>
              </w:rPr>
              <w:t>Bez obzira na to da li Grčka ostaje u eurozoni ili izlazi iz nje, čekaju je bolne re</w:t>
            </w:r>
            <w:r w:rsidR="00B16191">
              <w:rPr>
                <w:sz w:val="20"/>
                <w:szCs w:val="20"/>
              </w:rPr>
              <w:t>forme</w:t>
            </w:r>
            <w:r w:rsidR="00053B0C">
              <w:rPr>
                <w:sz w:val="20"/>
                <w:szCs w:val="20"/>
              </w:rPr>
              <w:t>, uz dalji pad životnog standard</w:t>
            </w:r>
            <w:r w:rsidR="005F3F2A">
              <w:rPr>
                <w:sz w:val="20"/>
                <w:szCs w:val="20"/>
              </w:rPr>
              <w:t>a</w:t>
            </w:r>
            <w:r w:rsidR="00053B0C">
              <w:rPr>
                <w:sz w:val="20"/>
                <w:szCs w:val="20"/>
              </w:rPr>
              <w:t xml:space="preserve"> i povećana politička nestabilnost</w:t>
            </w:r>
            <w:r w:rsidR="00F04E73">
              <w:rPr>
                <w:sz w:val="20"/>
                <w:szCs w:val="20"/>
              </w:rPr>
              <w:t>.</w:t>
            </w:r>
            <w:r w:rsidR="0071713F">
              <w:rPr>
                <w:sz w:val="20"/>
                <w:szCs w:val="20"/>
              </w:rPr>
              <w:t xml:space="preserve"> </w:t>
            </w:r>
            <w:r w:rsidR="001137C1">
              <w:rPr>
                <w:sz w:val="20"/>
                <w:szCs w:val="20"/>
              </w:rPr>
              <w:t xml:space="preserve">Na </w:t>
            </w:r>
            <w:r w:rsidR="00053B0C">
              <w:rPr>
                <w:sz w:val="20"/>
                <w:szCs w:val="20"/>
              </w:rPr>
              <w:t xml:space="preserve">finansijskim tržištima </w:t>
            </w:r>
            <w:r w:rsidR="001137C1">
              <w:rPr>
                <w:sz w:val="20"/>
                <w:szCs w:val="20"/>
              </w:rPr>
              <w:t xml:space="preserve"> nije došlo do značajnih kolebanja, jer su kamate na suvereni rast perifernih zemalja blago porasle, dok su pale kamate njemačkog suverenog duga.</w:t>
            </w:r>
            <w:r w:rsidR="00901BA5">
              <w:rPr>
                <w:sz w:val="20"/>
                <w:szCs w:val="20"/>
              </w:rPr>
              <w:t xml:space="preserve"> (“sigurne luke</w:t>
            </w:r>
            <w:r w:rsidR="001137C1">
              <w:rPr>
                <w:sz w:val="20"/>
                <w:szCs w:val="20"/>
              </w:rPr>
              <w:t>”)</w:t>
            </w:r>
            <w:r w:rsidR="00053B0C">
              <w:rPr>
                <w:sz w:val="20"/>
                <w:szCs w:val="20"/>
              </w:rPr>
              <w:t>.</w:t>
            </w:r>
          </w:p>
        </w:tc>
        <w:tc>
          <w:tcPr>
            <w:tcW w:w="1896" w:type="pct"/>
            <w:vAlign w:val="center"/>
          </w:tcPr>
          <w:p w:rsidR="00C45B95" w:rsidRPr="00400626" w:rsidRDefault="00400626" w:rsidP="00400626">
            <w:r w:rsidRPr="00400626">
              <w:rPr>
                <w:noProof/>
              </w:rPr>
              <w:drawing>
                <wp:inline distT="0" distB="0" distL="0" distR="0">
                  <wp:extent cx="2376000" cy="2304000"/>
                  <wp:effectExtent l="0" t="0" r="0" b="0"/>
                  <wp:docPr id="3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C45B95" w:rsidRPr="00D05BDB" w:rsidTr="00053B0C">
        <w:trPr>
          <w:trHeight w:hRule="exact" w:val="3960"/>
        </w:trPr>
        <w:tc>
          <w:tcPr>
            <w:tcW w:w="3104" w:type="pct"/>
          </w:tcPr>
          <w:p w:rsidR="00000106" w:rsidRPr="00D05BDB" w:rsidRDefault="003D49BD" w:rsidP="00464A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05BDB">
              <w:rPr>
                <w:rFonts w:asciiTheme="minorHAnsi" w:hAnsiTheme="minorHAnsi" w:cstheme="minorHAnsi"/>
                <w:b/>
                <w:sz w:val="20"/>
              </w:rPr>
              <w:t>Realni sek</w:t>
            </w:r>
            <w:r w:rsidR="00000106" w:rsidRPr="00D05BDB">
              <w:rPr>
                <w:rFonts w:asciiTheme="minorHAnsi" w:hAnsiTheme="minorHAnsi" w:cstheme="minorHAnsi"/>
                <w:b/>
                <w:sz w:val="20"/>
              </w:rPr>
              <w:t>tor</w:t>
            </w:r>
          </w:p>
          <w:p w:rsidR="00E752D0" w:rsidRPr="00475B52" w:rsidRDefault="00E752D0" w:rsidP="00CC0F31">
            <w:pPr>
              <w:pBdr>
                <w:top w:val="single" w:sz="4" w:space="1" w:color="auto"/>
              </w:pBd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Turistički promet u maju bilježi značajne stope rasta po svim parametrima. </w:t>
            </w:r>
            <w:r w:rsidRPr="006A6202">
              <w:rPr>
                <w:sz w:val="20"/>
                <w:szCs w:val="20"/>
              </w:rPr>
              <w:t>Crnu Goru je u maju posjetilo 9,5% više turista i ostvareno 8,3% više noćenja g-n-g, dok je u periodu januar-maj rast dolazaka i noćenja iznosio 14,6 i 11,1%, respektivno.</w:t>
            </w:r>
            <w:r>
              <w:rPr>
                <w:sz w:val="20"/>
                <w:szCs w:val="20"/>
              </w:rPr>
              <w:t xml:space="preserve"> Str</w:t>
            </w:r>
            <w:r w:rsidR="003C42D1">
              <w:rPr>
                <w:sz w:val="20"/>
                <w:szCs w:val="20"/>
              </w:rPr>
              <w:t>ani turisti za pet mjeseci</w:t>
            </w:r>
            <w:r>
              <w:rPr>
                <w:sz w:val="20"/>
                <w:szCs w:val="20"/>
              </w:rPr>
              <w:t xml:space="preserve"> bilježe rast noćenja od 11,9%, pri čemu su najveći rast ostvarili turisti iz Njemačke (61,8% ili 14,4 hilj.noćenja više), Albanije (46,8% ili 11.8 </w:t>
            </w:r>
            <w:r w:rsidR="003C42D1">
              <w:rPr>
                <w:sz w:val="20"/>
                <w:szCs w:val="20"/>
              </w:rPr>
              <w:t xml:space="preserve">hilj.noćenja više) i </w:t>
            </w:r>
            <w:r>
              <w:rPr>
                <w:sz w:val="20"/>
                <w:szCs w:val="20"/>
              </w:rPr>
              <w:t>Rusije (8</w:t>
            </w:r>
            <w:r w:rsidR="003C42D1">
              <w:rPr>
                <w:sz w:val="20"/>
                <w:szCs w:val="20"/>
              </w:rPr>
              <w:t>,1% ili 11,3 hilj.noćenja više).</w:t>
            </w:r>
            <w:r>
              <w:rPr>
                <w:sz w:val="20"/>
                <w:szCs w:val="20"/>
              </w:rPr>
              <w:t xml:space="preserve"> Industrijska proizvodnja u maju bilježi nultu stopu rasta g-n-g, dok je u periodu januar-maj ostvaren rast od 6,7%.</w:t>
            </w:r>
            <w:r w:rsidR="00A76B8B">
              <w:rPr>
                <w:sz w:val="20"/>
                <w:szCs w:val="20"/>
              </w:rPr>
              <w:t xml:space="preserve"> R</w:t>
            </w:r>
            <w:r>
              <w:rPr>
                <w:sz w:val="20"/>
                <w:szCs w:val="20"/>
              </w:rPr>
              <w:t xml:space="preserve">ast je ostvaren samo u sektoru „prerađivačka industrija“ ( godišnji rast 16,7% i rast od 13,5% u periodu januar-maj g-n-g). Godišnji rast prerađivačke industrije rezultat je rasta u metalskom sektoru (osnovni metali 24,0%; mašine i oprema na drugom mjestu nepomenute 32,3%) i povećane proizvodnje farmaceutskih proizvoda 16,6%. Promet u trgovini na malo (tekuće cijene) u maju bilježi rast od 0,8%, dok je za pet mjeseci rast iznosio 1,8%. </w:t>
            </w:r>
          </w:p>
          <w:p w:rsidR="00E752D0" w:rsidRDefault="00E752D0" w:rsidP="00E752D0">
            <w:pPr>
              <w:jc w:val="both"/>
              <w:rPr>
                <w:sz w:val="20"/>
                <w:szCs w:val="20"/>
              </w:rPr>
            </w:pPr>
          </w:p>
          <w:p w:rsidR="00C45B95" w:rsidRPr="00D05BDB" w:rsidRDefault="00C45B95" w:rsidP="00464A12">
            <w:pPr>
              <w:pBdr>
                <w:top w:val="single" w:sz="4" w:space="1" w:color="auto"/>
              </w:pBd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96" w:type="pct"/>
            <w:vAlign w:val="center"/>
          </w:tcPr>
          <w:p w:rsidR="00000106" w:rsidRPr="00D05BDB" w:rsidRDefault="00E752D0" w:rsidP="00464A1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752D0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2232000" cy="2232000"/>
                  <wp:effectExtent l="0" t="0" r="0" b="0"/>
                  <wp:docPr id="4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C45B95" w:rsidRPr="00D05BDB" w:rsidTr="00053B0C">
        <w:trPr>
          <w:trHeight w:hRule="exact" w:val="3690"/>
        </w:trPr>
        <w:tc>
          <w:tcPr>
            <w:tcW w:w="3104" w:type="pct"/>
          </w:tcPr>
          <w:p w:rsidR="00561716" w:rsidRPr="00D05BDB" w:rsidRDefault="00000106" w:rsidP="00464A12">
            <w:pPr>
              <w:pStyle w:val="ListParagraph"/>
              <w:numPr>
                <w:ilvl w:val="0"/>
                <w:numId w:val="36"/>
              </w:numPr>
              <w:spacing w:after="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05BDB">
              <w:rPr>
                <w:rFonts w:asciiTheme="minorHAnsi" w:hAnsiTheme="minorHAnsi" w:cstheme="minorHAnsi"/>
                <w:b/>
                <w:sz w:val="20"/>
              </w:rPr>
              <w:t>Inflacija</w:t>
            </w:r>
          </w:p>
          <w:p w:rsidR="00A76B8B" w:rsidRPr="00CF4446" w:rsidRDefault="00A76B8B" w:rsidP="00CC0F31">
            <w:pPr>
              <w:pBdr>
                <w:top w:val="single" w:sz="4" w:space="1" w:color="auto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Nastavlja se trend rasta potrošačkih cijena, podstaknut rastom cijena hrane. </w:t>
            </w:r>
            <w:r w:rsidRPr="007A67BD">
              <w:rPr>
                <w:rFonts w:asciiTheme="minorHAnsi" w:hAnsiTheme="minorHAnsi"/>
                <w:sz w:val="20"/>
                <w:szCs w:val="20"/>
              </w:rPr>
              <w:t>Peti mjesec zaredom inflacija (CPI)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u Crnoj Gori</w:t>
            </w:r>
            <w:r w:rsidRPr="007A67BD">
              <w:rPr>
                <w:rFonts w:asciiTheme="minorHAnsi" w:hAnsiTheme="minorHAnsi"/>
                <w:sz w:val="20"/>
                <w:szCs w:val="20"/>
              </w:rPr>
              <w:t xml:space="preserve"> bilježi pozitivne stope rasta i u maju je iznosila 2,3%.</w:t>
            </w:r>
            <w:r w:rsidRPr="00D36BCC">
              <w:rPr>
                <w:rFonts w:asciiTheme="minorHAnsi" w:hAnsiTheme="minorHAnsi"/>
                <w:sz w:val="20"/>
                <w:szCs w:val="20"/>
              </w:rPr>
              <w:t xml:space="preserve"> Najveći uticaj na </w:t>
            </w:r>
            <w:r>
              <w:rPr>
                <w:rFonts w:asciiTheme="minorHAnsi" w:hAnsiTheme="minorHAnsi"/>
                <w:sz w:val="20"/>
                <w:szCs w:val="20"/>
              </w:rPr>
              <w:t>godišnju stopu inflacije imale su cijene iz oblasti „hrana i bezalkoholna pić</w:t>
            </w:r>
            <w:r w:rsidR="005F3F2A">
              <w:rPr>
                <w:rFonts w:asciiTheme="minorHAnsi" w:hAnsiTheme="minorHAnsi"/>
                <w:sz w:val="20"/>
                <w:szCs w:val="20"/>
              </w:rPr>
              <w:t>a“ (rast 3,8% i uticaj 1,47 p.p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), „stanovanje, voda, struja i gas“ (rast 2,8% i uticaj 0,44 p.p) i „odjeća i obuća“ (rast 3,2% i uticaj 0,23 p.p),  dok cijene iz oblasti „prevoz“ u maju bilježe nešto blaži pad nego prethodnih mjeseci (pad 1,0% i uticaj -0,10 p.p). Inflacija mjerena HICP-om u maju bilježi godišnji rast od 1,6%, pri čemu je najveći godišnji rast zabilježen kod cijena iz oblasti „alkoholna pića i duvan“ (4,1%) i „hrana i bezalkoholna pića“ (3,8%). Cijene proizvođača industrijskih proizvoda u maju bilježe rast 0,5% g-n-g, i rast od 0,5% u periodu januar-maj g-n-g. Cijene industrijskih proizvoda iz uvoza niže su maju za 1,7% g-n-g, dok su cijene industrijskih proizvoda za </w:t>
            </w:r>
            <w:r w:rsidR="002330B6">
              <w:rPr>
                <w:rFonts w:asciiTheme="minorHAnsi" w:hAnsiTheme="minorHAnsi"/>
                <w:sz w:val="20"/>
                <w:szCs w:val="20"/>
              </w:rPr>
              <w:t xml:space="preserve">izvoz u maju bile veće za 5,1% </w:t>
            </w:r>
            <w:r>
              <w:rPr>
                <w:rFonts w:asciiTheme="minorHAnsi" w:hAnsiTheme="minorHAnsi"/>
                <w:sz w:val="20"/>
                <w:szCs w:val="20"/>
              </w:rPr>
              <w:t>g-n-g</w:t>
            </w:r>
            <w:r w:rsidR="00B5542E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A76B8B" w:rsidRDefault="00A76B8B" w:rsidP="00A76B8B"/>
          <w:p w:rsidR="00A76B8B" w:rsidRDefault="00A76B8B" w:rsidP="00A76B8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C45B95" w:rsidRPr="00D05BDB" w:rsidRDefault="00C45B95" w:rsidP="00464A12">
            <w:pPr>
              <w:pBdr>
                <w:top w:val="single" w:sz="4" w:space="1" w:color="auto"/>
              </w:pBd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96" w:type="pct"/>
            <w:vAlign w:val="center"/>
          </w:tcPr>
          <w:p w:rsidR="00C45B95" w:rsidRPr="00D05BDB" w:rsidRDefault="00A76B8B" w:rsidP="00464A12">
            <w:pPr>
              <w:rPr>
                <w:rFonts w:asciiTheme="minorHAnsi" w:hAnsiTheme="minorHAnsi" w:cstheme="minorHAnsi"/>
              </w:rPr>
            </w:pPr>
            <w:r w:rsidRPr="00A76B8B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2232000" cy="2232000"/>
                  <wp:effectExtent l="0" t="0" r="0" b="0"/>
                  <wp:docPr id="5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C45B95" w:rsidRPr="00D05BDB" w:rsidTr="00053B0C">
        <w:trPr>
          <w:trHeight w:hRule="exact" w:val="4096"/>
        </w:trPr>
        <w:tc>
          <w:tcPr>
            <w:tcW w:w="3104" w:type="pct"/>
          </w:tcPr>
          <w:p w:rsidR="00000106" w:rsidRPr="00D05BDB" w:rsidRDefault="00000106" w:rsidP="00464A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05BDB">
              <w:rPr>
                <w:rFonts w:asciiTheme="minorHAnsi" w:hAnsiTheme="minorHAnsi" w:cstheme="minorHAnsi"/>
                <w:b/>
                <w:sz w:val="20"/>
              </w:rPr>
              <w:t>Zaposlenost i zarade</w:t>
            </w:r>
          </w:p>
          <w:p w:rsidR="00C80E94" w:rsidRDefault="00C80E94" w:rsidP="00CC0F31">
            <w:pPr>
              <w:pBdr>
                <w:top w:val="single" w:sz="4" w:space="1" w:color="auto"/>
              </w:pBdr>
              <w:jc w:val="both"/>
              <w:rPr>
                <w:sz w:val="20"/>
                <w:szCs w:val="20"/>
                <w:lang w:val="sr-Latn-CS"/>
              </w:rPr>
            </w:pPr>
            <w:r w:rsidRPr="002C582E">
              <w:rPr>
                <w:b/>
                <w:sz w:val="20"/>
                <w:szCs w:val="20"/>
                <w:lang w:val="sr-Latn-CS"/>
              </w:rPr>
              <w:t xml:space="preserve">Na tržištu rada u </w:t>
            </w:r>
            <w:r>
              <w:rPr>
                <w:b/>
                <w:sz w:val="20"/>
                <w:szCs w:val="20"/>
                <w:lang w:val="sr-Latn-CS"/>
              </w:rPr>
              <w:t xml:space="preserve">maju 2015. u odnosu na april 2015. je došlo </w:t>
            </w:r>
            <w:r w:rsidRPr="002C582E">
              <w:rPr>
                <w:b/>
                <w:sz w:val="20"/>
                <w:szCs w:val="20"/>
                <w:lang w:val="sr-Latn-CS"/>
              </w:rPr>
              <w:t>do povećanja zaposlenosti</w:t>
            </w:r>
            <w:r>
              <w:rPr>
                <w:b/>
                <w:sz w:val="20"/>
                <w:szCs w:val="20"/>
                <w:lang w:val="sr-Latn-CS"/>
              </w:rPr>
              <w:t xml:space="preserve"> (2,1%)</w:t>
            </w:r>
            <w:r w:rsidRPr="002C582E">
              <w:rPr>
                <w:b/>
                <w:sz w:val="20"/>
                <w:szCs w:val="20"/>
                <w:lang w:val="sr-Latn-CS"/>
              </w:rPr>
              <w:t xml:space="preserve">, ali i do </w:t>
            </w:r>
            <w:r>
              <w:rPr>
                <w:b/>
                <w:sz w:val="20"/>
                <w:szCs w:val="20"/>
                <w:lang w:val="sr-Latn-CS"/>
              </w:rPr>
              <w:t>značajnog smanjenja nezaposlenosti (4,8), što je uglavnom rezultat sezonskih kretanja</w:t>
            </w:r>
            <w:r w:rsidRPr="002C582E">
              <w:rPr>
                <w:b/>
                <w:sz w:val="20"/>
                <w:szCs w:val="20"/>
                <w:lang w:val="sr-Latn-CS"/>
              </w:rPr>
              <w:t>.</w:t>
            </w:r>
            <w:r>
              <w:rPr>
                <w:b/>
                <w:sz w:val="20"/>
                <w:szCs w:val="20"/>
                <w:lang w:val="sr-Latn-CS"/>
              </w:rPr>
              <w:t xml:space="preserve"> </w:t>
            </w:r>
            <w:r w:rsidRPr="00133C4C">
              <w:rPr>
                <w:sz w:val="20"/>
                <w:szCs w:val="20"/>
                <w:lang w:val="sr-Latn-CS"/>
              </w:rPr>
              <w:t>Broj zaposlenih u</w:t>
            </w:r>
            <w:r>
              <w:rPr>
                <w:b/>
                <w:sz w:val="20"/>
                <w:szCs w:val="20"/>
                <w:lang w:val="sr-Latn-CS"/>
              </w:rPr>
              <w:t xml:space="preserve"> </w:t>
            </w:r>
            <w:r w:rsidRPr="00133C4C">
              <w:rPr>
                <w:sz w:val="20"/>
                <w:szCs w:val="20"/>
                <w:lang w:val="sr-Latn-CS"/>
              </w:rPr>
              <w:t xml:space="preserve">maju </w:t>
            </w:r>
            <w:r>
              <w:rPr>
                <w:sz w:val="20"/>
                <w:szCs w:val="20"/>
                <w:lang w:val="sr-Latn-CS"/>
              </w:rPr>
              <w:t xml:space="preserve">2015. </w:t>
            </w:r>
            <w:r w:rsidRPr="00133C4C">
              <w:rPr>
                <w:sz w:val="20"/>
                <w:szCs w:val="20"/>
                <w:lang w:val="sr-Latn-CS"/>
              </w:rPr>
              <w:t>je iznosio</w:t>
            </w:r>
            <w:r>
              <w:rPr>
                <w:b/>
                <w:sz w:val="20"/>
                <w:szCs w:val="20"/>
                <w:lang w:val="sr-Latn-CS"/>
              </w:rPr>
              <w:t xml:space="preserve"> </w:t>
            </w:r>
            <w:r>
              <w:rPr>
                <w:sz w:val="20"/>
                <w:szCs w:val="20"/>
                <w:lang w:val="sr-Latn-CS"/>
              </w:rPr>
              <w:t>177.165, a za period januar-maj 2015. u odnosu na isti period 2014. je povećan 1,2%. Broj nezaposlenih je iznosio 32.347, a povećan je za 0,4%</w:t>
            </w:r>
            <w:r w:rsidR="005F3F2A">
              <w:rPr>
                <w:sz w:val="20"/>
                <w:szCs w:val="20"/>
                <w:lang w:val="sr-Latn-CS"/>
              </w:rPr>
              <w:t xml:space="preserve"> g-n-g</w:t>
            </w:r>
            <w:r>
              <w:rPr>
                <w:sz w:val="20"/>
                <w:szCs w:val="20"/>
                <w:lang w:val="sr-Latn-CS"/>
              </w:rPr>
              <w:t>. Broj lica koja prvi put traže zaposlenje u maju 2015. je iznosio 9</w:t>
            </w:r>
            <w:r w:rsidR="005F3F2A">
              <w:rPr>
                <w:sz w:val="20"/>
                <w:szCs w:val="20"/>
                <w:lang w:val="sr-Latn-CS"/>
              </w:rPr>
              <w:t>.</w:t>
            </w:r>
            <w:r>
              <w:rPr>
                <w:sz w:val="20"/>
                <w:szCs w:val="20"/>
                <w:lang w:val="sr-Latn-CS"/>
              </w:rPr>
              <w:t>950, a smanjen je u odnosu na april 3,9% ili. 5,7%</w:t>
            </w:r>
            <w:r w:rsidR="005F3F2A">
              <w:rPr>
                <w:sz w:val="20"/>
                <w:szCs w:val="20"/>
                <w:lang w:val="sr-Latn-CS"/>
              </w:rPr>
              <w:t xml:space="preserve"> g-n-g</w:t>
            </w:r>
            <w:r>
              <w:rPr>
                <w:sz w:val="20"/>
                <w:szCs w:val="20"/>
                <w:lang w:val="sr-Latn-CS"/>
              </w:rPr>
              <w:t xml:space="preserve">. U periodu januar-maj 2015. oglašeno je 18.967 slobodnih radnih mjesta ili 22,1% više nego u petomjesečnom periodu prethodne godine. Prosječna zarada u maju 2015. je iznosila 726€, a u odnosu na april povećana je 0,4%, dok je povećana </w:t>
            </w:r>
            <w:r w:rsidR="005F3F2A">
              <w:rPr>
                <w:sz w:val="20"/>
                <w:szCs w:val="20"/>
                <w:lang w:val="sr-Latn-CS"/>
              </w:rPr>
              <w:t xml:space="preserve">za </w:t>
            </w:r>
            <w:r>
              <w:rPr>
                <w:sz w:val="20"/>
                <w:szCs w:val="20"/>
                <w:lang w:val="sr-Latn-CS"/>
              </w:rPr>
              <w:t>0,3%</w:t>
            </w:r>
            <w:r w:rsidR="005F3F2A">
              <w:rPr>
                <w:sz w:val="20"/>
                <w:szCs w:val="20"/>
                <w:lang w:val="sr-Latn-CS"/>
              </w:rPr>
              <w:t xml:space="preserve"> g-n-g</w:t>
            </w:r>
            <w:r>
              <w:rPr>
                <w:sz w:val="20"/>
                <w:szCs w:val="20"/>
                <w:lang w:val="sr-Latn-CS"/>
              </w:rPr>
              <w:t xml:space="preserve">. Prosječna neto zarada u maju 2015. je iznosila 480€ ili 0,4% više nego u aprilu, a 0,6% više posmatrano p. na p. Realne neto zarade su u maju 2015. u odnosu na april smanjene 0,2%, </w:t>
            </w:r>
            <w:r w:rsidR="005F3F2A">
              <w:rPr>
                <w:sz w:val="20"/>
                <w:szCs w:val="20"/>
                <w:lang w:val="sr-Latn-CS"/>
              </w:rPr>
              <w:t>i</w:t>
            </w:r>
            <w:r>
              <w:rPr>
                <w:sz w:val="20"/>
                <w:szCs w:val="20"/>
                <w:lang w:val="sr-Latn-CS"/>
              </w:rPr>
              <w:t xml:space="preserve"> 0,8%</w:t>
            </w:r>
            <w:r w:rsidR="005F3F2A">
              <w:rPr>
                <w:sz w:val="20"/>
                <w:szCs w:val="20"/>
                <w:lang w:val="sr-Latn-CS"/>
              </w:rPr>
              <w:t xml:space="preserve"> g-n-g</w:t>
            </w:r>
            <w:r>
              <w:rPr>
                <w:sz w:val="20"/>
                <w:szCs w:val="20"/>
                <w:lang w:val="sr-Latn-CS"/>
              </w:rPr>
              <w:t>.</w:t>
            </w:r>
          </w:p>
          <w:p w:rsidR="00306ADD" w:rsidRDefault="00306ADD" w:rsidP="00C80E94">
            <w:pPr>
              <w:jc w:val="both"/>
              <w:rPr>
                <w:sz w:val="20"/>
                <w:szCs w:val="20"/>
                <w:lang w:val="sr-Latn-CS"/>
              </w:rPr>
            </w:pPr>
          </w:p>
          <w:p w:rsidR="00306ADD" w:rsidRDefault="00306ADD" w:rsidP="00C80E94">
            <w:pPr>
              <w:jc w:val="both"/>
              <w:rPr>
                <w:sz w:val="20"/>
                <w:szCs w:val="20"/>
                <w:lang w:val="sr-Latn-CS"/>
              </w:rPr>
            </w:pPr>
          </w:p>
          <w:p w:rsidR="00306ADD" w:rsidRDefault="00306ADD" w:rsidP="00C80E94">
            <w:pPr>
              <w:jc w:val="both"/>
              <w:rPr>
                <w:sz w:val="20"/>
                <w:szCs w:val="20"/>
                <w:lang w:val="sr-Latn-CS"/>
              </w:rPr>
            </w:pPr>
          </w:p>
          <w:p w:rsidR="00306ADD" w:rsidRDefault="00306ADD" w:rsidP="00C80E94">
            <w:pPr>
              <w:jc w:val="both"/>
              <w:rPr>
                <w:sz w:val="20"/>
                <w:szCs w:val="20"/>
                <w:lang w:val="sr-Latn-CS"/>
              </w:rPr>
            </w:pPr>
          </w:p>
          <w:p w:rsidR="00306ADD" w:rsidRPr="00133C4C" w:rsidRDefault="00306ADD" w:rsidP="00C80E94">
            <w:pPr>
              <w:jc w:val="both"/>
              <w:rPr>
                <w:sz w:val="20"/>
                <w:szCs w:val="20"/>
                <w:lang w:val="sr-Latn-CS"/>
              </w:rPr>
            </w:pPr>
          </w:p>
          <w:p w:rsidR="00F55DC8" w:rsidRPr="008E1957" w:rsidRDefault="00F55DC8" w:rsidP="00464A12">
            <w:pPr>
              <w:pBdr>
                <w:top w:val="single" w:sz="4" w:space="1" w:color="auto"/>
              </w:pBd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  <w:p w:rsidR="007F5F68" w:rsidRPr="00D05BDB" w:rsidRDefault="007F5F68" w:rsidP="00464A12">
            <w:pPr>
              <w:pBdr>
                <w:top w:val="single" w:sz="4" w:space="1" w:color="auto"/>
              </w:pBdr>
              <w:spacing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96" w:type="pct"/>
            <w:vAlign w:val="center"/>
          </w:tcPr>
          <w:p w:rsidR="00C45B95" w:rsidRPr="00D05BDB" w:rsidRDefault="00BB7720" w:rsidP="00464A12">
            <w:pPr>
              <w:jc w:val="center"/>
              <w:rPr>
                <w:rFonts w:asciiTheme="minorHAnsi" w:hAnsiTheme="minorHAnsi" w:cstheme="minorHAnsi"/>
              </w:rPr>
            </w:pPr>
            <w:r w:rsidRPr="00BB7720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793875" cy="1828800"/>
                  <wp:effectExtent l="0" t="0" r="0" b="0"/>
                  <wp:docPr id="6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  <w:r w:rsidR="0081095D" w:rsidRPr="0081095D">
              <w:rPr>
                <w:rFonts w:asciiTheme="minorHAnsi" w:hAnsiTheme="minorHAnsi" w:cstheme="minorHAnsi"/>
                <w:noProof/>
                <w:lang w:val="sr-Latn-CS" w:eastAsia="sr-Latn-C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57.8pt;margin-top:8.6pt;width:73.85pt;height:13.65pt;z-index:251659264;mso-position-horizontal-relative:text;mso-position-vertical-relative:text;v-text-anchor:middle" strokecolor="white [3212]">
                  <v:textbox style="mso-next-textbox:#_x0000_s1027" inset="1mm,.3mm,1mm,.3mm">
                    <w:txbxContent>
                      <w:p w:rsidR="00B056E1" w:rsidRPr="00306ADD" w:rsidRDefault="00B056E1" w:rsidP="00306ADD"/>
                    </w:txbxContent>
                  </v:textbox>
                </v:shape>
              </w:pict>
            </w:r>
          </w:p>
        </w:tc>
      </w:tr>
      <w:tr w:rsidR="00C45B95" w:rsidRPr="00D05BDB" w:rsidTr="00053B0C">
        <w:trPr>
          <w:trHeight w:hRule="exact" w:val="3463"/>
        </w:trPr>
        <w:tc>
          <w:tcPr>
            <w:tcW w:w="3104" w:type="pct"/>
          </w:tcPr>
          <w:p w:rsidR="00FF2790" w:rsidRPr="00F17D5B" w:rsidRDefault="00FF2790" w:rsidP="00464A12">
            <w:pPr>
              <w:pStyle w:val="ListParagraph"/>
              <w:numPr>
                <w:ilvl w:val="0"/>
                <w:numId w:val="36"/>
              </w:numPr>
              <w:spacing w:after="0"/>
              <w:ind w:left="0" w:hanging="11"/>
              <w:jc w:val="both"/>
              <w:rPr>
                <w:rFonts w:asciiTheme="minorHAnsi" w:eastAsia="Times New Roman" w:hAnsiTheme="minorHAnsi" w:cstheme="minorHAnsi"/>
                <w:b/>
                <w:noProof/>
                <w:color w:val="000000"/>
                <w:sz w:val="20"/>
                <w:szCs w:val="20"/>
              </w:rPr>
            </w:pPr>
            <w:r w:rsidRPr="00F17D5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Javne finansije</w:t>
            </w:r>
          </w:p>
          <w:p w:rsidR="00F17D5B" w:rsidRDefault="00F17D5B" w:rsidP="0028074A">
            <w:pPr>
              <w:pStyle w:val="ListParagraph"/>
              <w:pBdr>
                <w:top w:val="single" w:sz="4" w:space="1" w:color="auto"/>
              </w:pBdr>
              <w:spacing w:after="0"/>
              <w:ind w:left="0" w:hanging="11"/>
              <w:jc w:val="both"/>
              <w:rPr>
                <w:b/>
                <w:bCs/>
                <w:sz w:val="20"/>
                <w:szCs w:val="20"/>
                <w:lang w:val="sr-Latn-CS"/>
              </w:rPr>
            </w:pPr>
          </w:p>
          <w:p w:rsidR="0028074A" w:rsidRPr="00F17D5B" w:rsidRDefault="0028074A" w:rsidP="0028074A">
            <w:pPr>
              <w:pStyle w:val="ListParagraph"/>
              <w:pBdr>
                <w:top w:val="single" w:sz="4" w:space="1" w:color="auto"/>
              </w:pBdr>
              <w:spacing w:after="0"/>
              <w:ind w:left="0" w:hanging="11"/>
              <w:jc w:val="both"/>
              <w:rPr>
                <w:sz w:val="20"/>
                <w:szCs w:val="20"/>
              </w:rPr>
            </w:pPr>
            <w:r w:rsidRPr="00F17D5B">
              <w:rPr>
                <w:b/>
                <w:bCs/>
                <w:sz w:val="20"/>
                <w:szCs w:val="20"/>
                <w:lang w:val="sr-Latn-CS"/>
              </w:rPr>
              <w:t xml:space="preserve">Izvorni prihodi </w:t>
            </w:r>
            <w:r w:rsidRPr="00F17D5B">
              <w:rPr>
                <w:bCs/>
                <w:sz w:val="20"/>
                <w:szCs w:val="20"/>
                <w:lang w:val="sr-Latn-CS"/>
              </w:rPr>
              <w:t>budžeta Crne Gore u maju 2015. godine iznosili su 99,8 mil. € i  niži su za 2,2 % u odnosu na maj 2014. godine</w:t>
            </w:r>
            <w:r w:rsidRPr="00F17D5B">
              <w:rPr>
                <w:sz w:val="20"/>
                <w:szCs w:val="20"/>
              </w:rPr>
              <w:t>. Bolju naplatu u odnosu na isti mjesec prošle godine bilježi naplata poreza na dodatu vrijednost 15,8% i akciza 2,1% što je rezultat intenzivne borbe protiv sive ekonomije posebno na tržištu akciznih proizvoda, a samim tim porasta poreske discipline.</w:t>
            </w:r>
            <w:r w:rsidR="000B31EE" w:rsidRPr="00F17D5B">
              <w:rPr>
                <w:sz w:val="20"/>
                <w:szCs w:val="20"/>
              </w:rPr>
              <w:t xml:space="preserve"> </w:t>
            </w:r>
            <w:r w:rsidRPr="00F17D5B">
              <w:rPr>
                <w:b/>
                <w:sz w:val="20"/>
                <w:szCs w:val="20"/>
              </w:rPr>
              <w:t>Izdaci budžeta</w:t>
            </w:r>
            <w:r w:rsidRPr="00F17D5B">
              <w:rPr>
                <w:sz w:val="20"/>
                <w:szCs w:val="20"/>
              </w:rPr>
              <w:t xml:space="preserve"> u maj</w:t>
            </w:r>
            <w:r w:rsidR="005E184E">
              <w:rPr>
                <w:sz w:val="20"/>
                <w:szCs w:val="20"/>
              </w:rPr>
              <w:t>u 2015.  iznosili su 113,2 mil.</w:t>
            </w:r>
            <w:r w:rsidRPr="00F17D5B">
              <w:rPr>
                <w:sz w:val="20"/>
                <w:szCs w:val="20"/>
              </w:rPr>
              <w:t>€ i povećani su u odnosu na isti mjesec 2014.godine za 5,2% .</w:t>
            </w:r>
            <w:r w:rsidRPr="00F17D5B">
              <w:rPr>
                <w:b/>
                <w:sz w:val="20"/>
                <w:szCs w:val="20"/>
              </w:rPr>
              <w:t>Deficit budžeta</w:t>
            </w:r>
            <w:r w:rsidRPr="00F17D5B">
              <w:rPr>
                <w:sz w:val="20"/>
                <w:szCs w:val="20"/>
              </w:rPr>
              <w:t xml:space="preserve"> u maju 2015. iznosio je 13,4 mil</w:t>
            </w:r>
            <w:r w:rsidR="005E184E">
              <w:rPr>
                <w:sz w:val="20"/>
                <w:szCs w:val="20"/>
              </w:rPr>
              <w:t>.</w:t>
            </w:r>
            <w:r w:rsidRPr="00F17D5B">
              <w:rPr>
                <w:sz w:val="20"/>
                <w:szCs w:val="20"/>
              </w:rPr>
              <w:t xml:space="preserve">€. </w:t>
            </w:r>
            <w:r w:rsidRPr="00F17D5B">
              <w:rPr>
                <w:b/>
                <w:sz w:val="20"/>
                <w:szCs w:val="20"/>
              </w:rPr>
              <w:t>Državni dug</w:t>
            </w:r>
            <w:r w:rsidRPr="00F17D5B">
              <w:rPr>
                <w:sz w:val="20"/>
                <w:szCs w:val="20"/>
              </w:rPr>
              <w:t xml:space="preserve"> na kraju marta</w:t>
            </w:r>
            <w:r w:rsidR="000B31EE" w:rsidRPr="00F17D5B">
              <w:rPr>
                <w:sz w:val="20"/>
                <w:szCs w:val="20"/>
              </w:rPr>
              <w:t xml:space="preserve"> </w:t>
            </w:r>
            <w:r w:rsidRPr="00F17D5B">
              <w:rPr>
                <w:sz w:val="20"/>
                <w:szCs w:val="20"/>
              </w:rPr>
              <w:t>2015.</w:t>
            </w:r>
            <w:r w:rsidR="000B31EE" w:rsidRPr="00F17D5B">
              <w:rPr>
                <w:sz w:val="20"/>
                <w:szCs w:val="20"/>
              </w:rPr>
              <w:t>godine</w:t>
            </w:r>
            <w:r w:rsidR="00946247">
              <w:rPr>
                <w:sz w:val="20"/>
                <w:szCs w:val="20"/>
              </w:rPr>
              <w:t xml:space="preserve"> iznosio je 1.961,9 mil.</w:t>
            </w:r>
            <w:r w:rsidRPr="00F17D5B">
              <w:rPr>
                <w:sz w:val="20"/>
                <w:szCs w:val="20"/>
              </w:rPr>
              <w:t>€, što predstavlja 57,8 % procijenjenog BDP-a, od čega se na spoljni dug odnosi oko 80</w:t>
            </w:r>
            <w:r w:rsidR="000B31EE" w:rsidRPr="00F17D5B">
              <w:rPr>
                <w:sz w:val="20"/>
                <w:szCs w:val="20"/>
              </w:rPr>
              <w:t xml:space="preserve"> </w:t>
            </w:r>
            <w:r w:rsidRPr="00F17D5B">
              <w:rPr>
                <w:sz w:val="20"/>
                <w:szCs w:val="20"/>
              </w:rPr>
              <w:t>% ukupnog državnog duga.</w:t>
            </w:r>
          </w:p>
          <w:p w:rsidR="00C45B95" w:rsidRPr="00354656" w:rsidRDefault="00C45B95" w:rsidP="003001BB">
            <w:pPr>
              <w:pStyle w:val="ListParagraph"/>
              <w:pBdr>
                <w:top w:val="single" w:sz="4" w:space="1" w:color="auto"/>
              </w:pBdr>
              <w:spacing w:after="0"/>
              <w:ind w:left="0" w:hanging="1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96" w:type="pct"/>
            <w:vAlign w:val="center"/>
          </w:tcPr>
          <w:p w:rsidR="00C45B95" w:rsidRPr="00D05BDB" w:rsidRDefault="0028074A" w:rsidP="00464A12">
            <w:pPr>
              <w:rPr>
                <w:rFonts w:asciiTheme="minorHAnsi" w:hAnsiTheme="minorHAnsi" w:cstheme="minorHAnsi"/>
              </w:rPr>
            </w:pPr>
            <w:r w:rsidRPr="0028074A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2174098" cy="1720096"/>
                  <wp:effectExtent l="0" t="0" r="0" b="0"/>
                  <wp:docPr id="2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C45B95" w:rsidRPr="00D05BDB" w:rsidTr="00380869">
        <w:trPr>
          <w:trHeight w:hRule="exact" w:val="4812"/>
        </w:trPr>
        <w:tc>
          <w:tcPr>
            <w:tcW w:w="3104" w:type="pct"/>
          </w:tcPr>
          <w:p w:rsidR="006E7A12" w:rsidRPr="00D05BDB" w:rsidRDefault="006E7A12" w:rsidP="00464A1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</w:rPr>
            </w:pPr>
            <w:r w:rsidRPr="00D05BDB">
              <w:rPr>
                <w:rFonts w:asciiTheme="minorHAnsi" w:hAnsiTheme="minorHAnsi" w:cstheme="minorHAnsi"/>
                <w:b/>
                <w:noProof/>
                <w:sz w:val="20"/>
              </w:rPr>
              <w:t>Monetarni sektor</w:t>
            </w:r>
          </w:p>
          <w:p w:rsidR="00C45B95" w:rsidRPr="00D05BDB" w:rsidRDefault="00F522B8" w:rsidP="00380869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b/>
                <w:noProof/>
                <w:sz w:val="20"/>
                <w:szCs w:val="20"/>
              </w:rPr>
              <w:t>Poslije dugog perioda stagnacije i negativnih kretanja, ostvaren je rast kreditne aktivnosti na mjesečnom i godišnjem nivou.</w:t>
            </w:r>
            <w:r w:rsidR="00380869">
              <w:rPr>
                <w:b/>
                <w:noProof/>
                <w:sz w:val="20"/>
                <w:szCs w:val="20"/>
              </w:rPr>
              <w:t xml:space="preserve"> </w:t>
            </w:r>
            <w:r w:rsidRPr="00C20FA8">
              <w:rPr>
                <w:noProof/>
                <w:sz w:val="20"/>
                <w:szCs w:val="20"/>
              </w:rPr>
              <w:t xml:space="preserve">Ukupno odobreni </w:t>
            </w:r>
            <w:r w:rsidRPr="00C20FA8">
              <w:rPr>
                <w:b/>
                <w:noProof/>
                <w:sz w:val="20"/>
                <w:szCs w:val="20"/>
              </w:rPr>
              <w:t>krediti</w:t>
            </w:r>
            <w:r w:rsidRPr="00C20FA8">
              <w:rPr>
                <w:noProof/>
                <w:sz w:val="20"/>
                <w:szCs w:val="20"/>
              </w:rPr>
              <w:t xml:space="preserve"> su krajem </w:t>
            </w:r>
            <w:r>
              <w:rPr>
                <w:noProof/>
                <w:sz w:val="20"/>
                <w:szCs w:val="20"/>
              </w:rPr>
              <w:t>maja</w:t>
            </w:r>
            <w:r w:rsidRPr="00C20FA8">
              <w:rPr>
                <w:noProof/>
                <w:sz w:val="20"/>
                <w:szCs w:val="20"/>
              </w:rPr>
              <w:t xml:space="preserve"> iznosili </w:t>
            </w:r>
            <w:r>
              <w:rPr>
                <w:noProof/>
                <w:sz w:val="20"/>
                <w:szCs w:val="20"/>
              </w:rPr>
              <w:t>2.408,1</w:t>
            </w:r>
            <w:r w:rsidRPr="00C20FA8">
              <w:rPr>
                <w:noProof/>
                <w:sz w:val="20"/>
                <w:szCs w:val="20"/>
              </w:rPr>
              <w:t xml:space="preserve"> mil.€</w:t>
            </w:r>
            <w:r w:rsidR="00946247">
              <w:rPr>
                <w:noProof/>
                <w:sz w:val="20"/>
                <w:szCs w:val="20"/>
              </w:rPr>
              <w:t>, što je za 41,4 mil.</w:t>
            </w:r>
            <w:r>
              <w:rPr>
                <w:noProof/>
                <w:sz w:val="20"/>
                <w:szCs w:val="20"/>
              </w:rPr>
              <w:t xml:space="preserve">€ ili 1,7% više </w:t>
            </w:r>
            <w:r w:rsidR="00CC0F31">
              <w:rPr>
                <w:noProof/>
                <w:sz w:val="20"/>
                <w:szCs w:val="20"/>
              </w:rPr>
              <w:t>m-n-m</w:t>
            </w:r>
            <w:r>
              <w:rPr>
                <w:noProof/>
                <w:sz w:val="20"/>
                <w:szCs w:val="20"/>
              </w:rPr>
              <w:t>, dok rast na godišnjem nivou iznosi 1,0% ili 25,0 mil.€.</w:t>
            </w:r>
            <w:r w:rsidR="00CC0F31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Od ukupnog iznosa kredita najveći dio od 40,2% je odobren sektoru privrede,</w:t>
            </w:r>
            <w:r w:rsidR="00CC0F31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zatim slijedi sektor stanovništva sa 37,9%, finansijske institucije sa 14,7% i Vlada 4,2%.</w:t>
            </w:r>
            <w:r w:rsidR="00591D48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Banke su tokom prvih pet mjeseci odobrile ukupno 352,2</w:t>
            </w:r>
            <w:r w:rsidR="00380869">
              <w:rPr>
                <w:noProof/>
                <w:sz w:val="20"/>
                <w:szCs w:val="20"/>
              </w:rPr>
              <w:t xml:space="preserve"> mil.€ novih kreditnih plasmana</w:t>
            </w:r>
            <w:r>
              <w:rPr>
                <w:noProof/>
                <w:sz w:val="20"/>
                <w:szCs w:val="20"/>
              </w:rPr>
              <w:t xml:space="preserve">, što govori o pojačanoj kreditnoj aktivnosti. Na to ukazuje podatak da je odobreno 49,7 mil.€ ili 16 4% više kredita </w:t>
            </w:r>
            <w:r w:rsidR="00591D48">
              <w:rPr>
                <w:noProof/>
                <w:sz w:val="20"/>
                <w:szCs w:val="20"/>
              </w:rPr>
              <w:t>g-n-g</w:t>
            </w:r>
            <w:r>
              <w:rPr>
                <w:noProof/>
                <w:sz w:val="20"/>
                <w:szCs w:val="20"/>
              </w:rPr>
              <w:t>.</w:t>
            </w:r>
            <w:r w:rsidR="00591D48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 xml:space="preserve">Tendencija rasta ukupnih </w:t>
            </w:r>
            <w:r w:rsidRPr="000C422D">
              <w:rPr>
                <w:b/>
                <w:noProof/>
                <w:sz w:val="20"/>
                <w:szCs w:val="20"/>
              </w:rPr>
              <w:t>depozita</w:t>
            </w:r>
            <w:r>
              <w:rPr>
                <w:noProof/>
                <w:sz w:val="20"/>
                <w:szCs w:val="20"/>
              </w:rPr>
              <w:t xml:space="preserve"> je nastavljena i u maju, tako da je na mjesečnom nivou ostvaren rast od 1,7% i na godišnjem nivou od 12,4%.</w:t>
            </w:r>
            <w:r w:rsidR="00591D48">
              <w:rPr>
                <w:noProof/>
                <w:sz w:val="20"/>
                <w:szCs w:val="20"/>
              </w:rPr>
              <w:t xml:space="preserve"> </w:t>
            </w:r>
            <w:r w:rsidRPr="00C20FA8">
              <w:rPr>
                <w:noProof/>
                <w:sz w:val="20"/>
                <w:szCs w:val="20"/>
              </w:rPr>
              <w:t>Najznačajniji deponenti banaka su fizička lica</w:t>
            </w:r>
            <w:r>
              <w:rPr>
                <w:noProof/>
                <w:sz w:val="20"/>
                <w:szCs w:val="20"/>
              </w:rPr>
              <w:t>, koja sa iznosom od 1.361,4 mil.€ čine 57,3% ukupnih depozita, dok se na privredu odnosi</w:t>
            </w:r>
            <w:r w:rsidRPr="00C20FA8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 xml:space="preserve">28,1%. Nastavljeno je smanjenje </w:t>
            </w:r>
            <w:r w:rsidRPr="001B2AC8">
              <w:rPr>
                <w:b/>
                <w:noProof/>
                <w:sz w:val="20"/>
                <w:szCs w:val="20"/>
              </w:rPr>
              <w:t>kamatnih stopa</w:t>
            </w:r>
            <w:r>
              <w:rPr>
                <w:noProof/>
                <w:sz w:val="20"/>
                <w:szCs w:val="20"/>
              </w:rPr>
              <w:t>,</w:t>
            </w:r>
            <w:r w:rsidR="00380869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tako da je prosječno ponderisana kamatna stopa na ukupne kredite iznosila 8,99%, što predstavlja pad od 0,52</w:t>
            </w:r>
            <w:r w:rsidR="00380869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p.p.na godišnjem nivo</w:t>
            </w:r>
            <w:r w:rsidR="00380869">
              <w:rPr>
                <w:noProof/>
                <w:sz w:val="20"/>
                <w:szCs w:val="20"/>
              </w:rPr>
              <w:t>u</w:t>
            </w:r>
            <w:r>
              <w:rPr>
                <w:noProof/>
                <w:sz w:val="20"/>
                <w:szCs w:val="20"/>
              </w:rPr>
              <w:t>. Krajem maja, od 73.157 pravnih lica</w:t>
            </w:r>
            <w:r w:rsidR="0070085D">
              <w:rPr>
                <w:noProof/>
                <w:sz w:val="20"/>
                <w:szCs w:val="20"/>
              </w:rPr>
              <w:t xml:space="preserve">, </w:t>
            </w:r>
            <w:r>
              <w:rPr>
                <w:noProof/>
                <w:sz w:val="20"/>
                <w:szCs w:val="20"/>
              </w:rPr>
              <w:t xml:space="preserve">njih 14.435 ili 19,7% je bilo u </w:t>
            </w:r>
            <w:r w:rsidRPr="000C422D">
              <w:rPr>
                <w:b/>
                <w:noProof/>
                <w:sz w:val="20"/>
                <w:szCs w:val="20"/>
              </w:rPr>
              <w:t>blokadi</w:t>
            </w:r>
            <w:r w:rsidR="0070085D">
              <w:rPr>
                <w:b/>
                <w:noProof/>
                <w:sz w:val="20"/>
                <w:szCs w:val="20"/>
              </w:rPr>
              <w:t>,</w:t>
            </w:r>
            <w:r w:rsidRPr="00C20FA8">
              <w:rPr>
                <w:noProof/>
                <w:sz w:val="20"/>
                <w:szCs w:val="20"/>
              </w:rPr>
              <w:t xml:space="preserve"> što na mjesečnom nivou predstavlja povećanje od </w:t>
            </w:r>
            <w:r>
              <w:rPr>
                <w:noProof/>
                <w:sz w:val="20"/>
                <w:szCs w:val="20"/>
              </w:rPr>
              <w:t>0,83</w:t>
            </w:r>
            <w:r w:rsidRPr="00C20FA8">
              <w:rPr>
                <w:noProof/>
                <w:sz w:val="20"/>
                <w:szCs w:val="20"/>
              </w:rPr>
              <w:t xml:space="preserve">%. Pri tome, ukupan iznos duga, po osnovu koga je izvršeno blokiranje računa, je iznosio </w:t>
            </w:r>
            <w:r>
              <w:rPr>
                <w:noProof/>
                <w:sz w:val="20"/>
                <w:szCs w:val="20"/>
              </w:rPr>
              <w:t>516,4</w:t>
            </w:r>
            <w:r w:rsidRPr="00C20FA8">
              <w:rPr>
                <w:noProof/>
                <w:sz w:val="20"/>
                <w:szCs w:val="20"/>
              </w:rPr>
              <w:t xml:space="preserve"> mil.€ i povećan je za </w:t>
            </w:r>
            <w:r>
              <w:rPr>
                <w:noProof/>
                <w:sz w:val="20"/>
                <w:szCs w:val="20"/>
              </w:rPr>
              <w:t xml:space="preserve"> 1,2</w:t>
            </w:r>
            <w:r w:rsidRPr="00C20FA8">
              <w:rPr>
                <w:noProof/>
                <w:sz w:val="20"/>
                <w:szCs w:val="20"/>
              </w:rPr>
              <w:t xml:space="preserve">% </w:t>
            </w:r>
            <w:r w:rsidR="00CC0F31">
              <w:rPr>
                <w:noProof/>
                <w:sz w:val="20"/>
                <w:szCs w:val="20"/>
              </w:rPr>
              <w:t>m-n-m</w:t>
            </w:r>
            <w:r w:rsidR="0032080D"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1896" w:type="pct"/>
            <w:vAlign w:val="center"/>
          </w:tcPr>
          <w:p w:rsidR="00C45B95" w:rsidRPr="00D05BDB" w:rsidRDefault="000370CF" w:rsidP="00464A12">
            <w:pPr>
              <w:rPr>
                <w:rFonts w:asciiTheme="minorHAnsi" w:hAnsiTheme="minorHAnsi" w:cstheme="minorHAnsi"/>
              </w:rPr>
            </w:pPr>
            <w:r w:rsidRPr="000370CF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2401570" cy="2105025"/>
                  <wp:effectExtent l="0" t="0" r="0" b="0"/>
                  <wp:docPr id="7" name="Chart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E013C2" w:rsidRPr="00D05BDB" w:rsidTr="00053B0C">
        <w:trPr>
          <w:trHeight w:hRule="exact" w:val="7802"/>
        </w:trPr>
        <w:tc>
          <w:tcPr>
            <w:tcW w:w="3104" w:type="pct"/>
          </w:tcPr>
          <w:p w:rsidR="00E013C2" w:rsidRPr="00E013C2" w:rsidRDefault="00E013C2" w:rsidP="00E013C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</w:rPr>
            </w:pPr>
            <w:r w:rsidRPr="00E013C2">
              <w:rPr>
                <w:rFonts w:asciiTheme="minorHAnsi" w:hAnsiTheme="minorHAnsi" w:cstheme="minorHAnsi"/>
                <w:b/>
                <w:noProof/>
                <w:sz w:val="20"/>
              </w:rPr>
              <w:t>Spoljnotrgovinska razmjena</w:t>
            </w:r>
          </w:p>
          <w:p w:rsidR="00591D48" w:rsidRDefault="00360F21" w:rsidP="00053B0C">
            <w:pPr>
              <w:pBdr>
                <w:top w:val="single" w:sz="4" w:space="1" w:color="auto"/>
              </w:pBd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360F21">
              <w:rPr>
                <w:b/>
                <w:sz w:val="20"/>
                <w:szCs w:val="20"/>
              </w:rPr>
              <w:t>Spoljnotrgovinska razmjena u period</w:t>
            </w:r>
            <w:r>
              <w:rPr>
                <w:b/>
                <w:sz w:val="20"/>
                <w:szCs w:val="20"/>
              </w:rPr>
              <w:t>u</w:t>
            </w:r>
            <w:r w:rsidRPr="00360F21">
              <w:rPr>
                <w:b/>
                <w:sz w:val="20"/>
                <w:szCs w:val="20"/>
              </w:rPr>
              <w:t xml:space="preserve"> januar – maj 2015. iznosila je 772,1 mil.€ i bilježi minimalnu negativnu stopu rasta od 0,5%, pod uticajem pada izvoza roba, uz istu nominalnu vrijednost uvoza. </w:t>
            </w:r>
            <w:r w:rsidRPr="00360F21">
              <w:rPr>
                <w:sz w:val="20"/>
                <w:szCs w:val="20"/>
              </w:rPr>
              <w:t>Robni deficit u vrijednosti od 554,9 mil.€ i njegov rast za 2,8% je pod uticajem smanjenja  izvoza roba, uz zadržavanje uvoza na nivou prošle godine. Pokrivenost uvoza izvozom roba ostvarila je pad od 1,6 p.p i iznosila 16,4%. Izvoz je o</w:t>
            </w:r>
            <w:r w:rsidRPr="00360F21">
              <w:rPr>
                <w:sz w:val="20"/>
                <w:szCs w:val="20"/>
                <w:lang w:val="pl-PL"/>
              </w:rPr>
              <w:t>stvaren u vrijednosti od 108,6mil.</w:t>
            </w:r>
            <w:r w:rsidR="00D03ED3">
              <w:rPr>
                <w:sz w:val="20"/>
                <w:szCs w:val="20"/>
                <w:lang w:val="pl-PL"/>
              </w:rPr>
              <w:t xml:space="preserve">€, što je za 8,2% manje g-n-g. </w:t>
            </w:r>
            <w:r w:rsidRPr="00360F21">
              <w:rPr>
                <w:sz w:val="20"/>
                <w:szCs w:val="20"/>
                <w:lang w:val="pl-PL"/>
              </w:rPr>
              <w:t>Smanjenje vrijednosti izvoza uglavnom je generisano padom i</w:t>
            </w:r>
            <w:r w:rsidRPr="00360F21">
              <w:rPr>
                <w:sz w:val="20"/>
                <w:szCs w:val="20"/>
              </w:rPr>
              <w:t>zvoza aluminijuma, električne energije i hrane.</w:t>
            </w:r>
            <w:r w:rsidRPr="00360F21">
              <w:rPr>
                <w:b/>
                <w:sz w:val="20"/>
                <w:szCs w:val="20"/>
              </w:rPr>
              <w:t xml:space="preserve"> </w:t>
            </w:r>
            <w:r w:rsidRPr="00360F21">
              <w:rPr>
                <w:sz w:val="20"/>
                <w:szCs w:val="20"/>
              </w:rPr>
              <w:t xml:space="preserve"> Aluminijuma je izvezeno u vrijednosti od 22,0 mil.€ ili 22,4% manje. Izvoz električne energije je smanjen za 7,5mil.€. ili 34,2%</w:t>
            </w:r>
            <w:r w:rsidRPr="00360F21">
              <w:rPr>
                <w:rFonts w:cstheme="minorHAnsi"/>
                <w:sz w:val="20"/>
                <w:szCs w:val="20"/>
              </w:rPr>
              <w:t>(pad izvoznih cijena električne energije 13,4%).</w:t>
            </w:r>
            <w:r w:rsidRPr="00360F21">
              <w:rPr>
                <w:sz w:val="20"/>
                <w:szCs w:val="20"/>
              </w:rPr>
              <w:t xml:space="preserve"> Smanjenje izvoza hrane</w:t>
            </w:r>
            <w:r w:rsidRPr="00360F21">
              <w:rPr>
                <w:rFonts w:cstheme="minorHAnsi"/>
                <w:sz w:val="20"/>
                <w:szCs w:val="20"/>
              </w:rPr>
              <w:t xml:space="preserve"> za 24,6%, opredijeljeno je visokom bazom iz prethodne. Ukupan uvoz roba vrijedio je 663,5 mil.€, što je za 0,9% više g-n-g. U strukturi uvoza najveće učešće mašine i transportni uređaji (140,1mil.€); hrana i žive životinje (136,3 mil.€) i razni industrijski proizvodi (112,8 mil.€), na koje se odnosi  58,7% ukupnog uvoza. </w:t>
            </w:r>
          </w:p>
          <w:p w:rsidR="00043BF6" w:rsidRDefault="00591D48" w:rsidP="00053B0C">
            <w:pPr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</w:rPr>
            </w:pPr>
            <w:r w:rsidRPr="00053B0C">
              <w:rPr>
                <w:b/>
                <w:noProof/>
                <w:sz w:val="20"/>
                <w:szCs w:val="20"/>
              </w:rPr>
              <w:t xml:space="preserve">U periodu januar- april 2015. zabilježen je </w:t>
            </w:r>
            <w:r w:rsidRPr="00053B0C">
              <w:rPr>
                <w:b/>
                <w:noProof/>
                <w:sz w:val="20"/>
                <w:szCs w:val="20"/>
                <w:lang w:val="sr-Latn-CS"/>
              </w:rPr>
              <w:t xml:space="preserve">rast </w:t>
            </w:r>
            <w:r w:rsidRPr="00053B0C">
              <w:rPr>
                <w:b/>
                <w:noProof/>
                <w:sz w:val="20"/>
                <w:szCs w:val="20"/>
              </w:rPr>
              <w:t>neto SDI u odnosu na predhodnu godinu</w:t>
            </w:r>
            <w:r>
              <w:rPr>
                <w:noProof/>
                <w:sz w:val="20"/>
                <w:szCs w:val="20"/>
              </w:rPr>
              <w:t xml:space="preserve">. Neto SDI  su iznosile </w:t>
            </w:r>
            <w:r w:rsidRPr="00043BF6">
              <w:rPr>
                <w:noProof/>
                <w:sz w:val="20"/>
                <w:szCs w:val="20"/>
              </w:rPr>
              <w:t xml:space="preserve">111,8 mil.€, što  je za 30,6% više nego u istom periodu 2014. (85,6 mil.€). Ukupan priliv SDI iznosio je 134,8 mil.€, </w:t>
            </w:r>
            <w:r w:rsidRPr="00043BF6">
              <w:rPr>
                <w:noProof/>
                <w:sz w:val="20"/>
                <w:szCs w:val="20"/>
                <w:lang w:val="sr-Latn-CS"/>
              </w:rPr>
              <w:t xml:space="preserve">što je za </w:t>
            </w:r>
            <w:r w:rsidRPr="00043BF6">
              <w:rPr>
                <w:noProof/>
                <w:sz w:val="20"/>
                <w:szCs w:val="20"/>
              </w:rPr>
              <w:t>0,3% manje nego u 2014.</w:t>
            </w:r>
            <w:r w:rsidRPr="00043BF6">
              <w:rPr>
                <w:noProof/>
                <w:sz w:val="20"/>
                <w:szCs w:val="20"/>
                <w:lang w:val="sr-Latn-CS"/>
              </w:rPr>
              <w:t xml:space="preserve">(135,2 mil.€). </w:t>
            </w:r>
            <w:r w:rsidRPr="00043BF6">
              <w:rPr>
                <w:noProof/>
                <w:sz w:val="20"/>
                <w:szCs w:val="20"/>
              </w:rPr>
              <w:t>Priliv po osnovu vlasničkih ulaganja u periodu januar-april 2015. čin</w:t>
            </w:r>
            <w:r>
              <w:rPr>
                <w:noProof/>
                <w:sz w:val="20"/>
                <w:szCs w:val="20"/>
              </w:rPr>
              <w:t>io je 52,7% ukupnog priliva, tj.</w:t>
            </w:r>
            <w:r w:rsidRPr="00043BF6">
              <w:rPr>
                <w:noProof/>
                <w:sz w:val="20"/>
                <w:szCs w:val="20"/>
              </w:rPr>
              <w:t xml:space="preserve"> 71,0 mil.€, (13,8 % više nego u 2014). Struktura ukupnog priliva SDI: investicije u preduzeća i banke 18,0%, (123,4% više) i investic</w:t>
            </w:r>
            <w:r>
              <w:rPr>
                <w:noProof/>
                <w:sz w:val="20"/>
                <w:szCs w:val="20"/>
              </w:rPr>
              <w:t xml:space="preserve">ije u nekretnine 34,7% (9,4% </w:t>
            </w:r>
            <w:r w:rsidRPr="00043BF6">
              <w:rPr>
                <w:noProof/>
                <w:sz w:val="20"/>
                <w:szCs w:val="20"/>
              </w:rPr>
              <w:t>manje). Ostvareni priliv po osnovu interkompanijskog duga, sa učešćem od 45,6%, ukazuje na pad od 12,9% u odnosu na uporedni period 2014, dok su ostale investicije  učestvovale sa 1,7% ( 7,2% više). Ukupan odliv SDI iznosio je</w:t>
            </w:r>
            <w:r>
              <w:rPr>
                <w:noProof/>
                <w:sz w:val="20"/>
                <w:szCs w:val="20"/>
              </w:rPr>
              <w:t xml:space="preserve"> oko</w:t>
            </w:r>
            <w:r w:rsidRPr="00043BF6">
              <w:rPr>
                <w:noProof/>
                <w:sz w:val="20"/>
                <w:szCs w:val="20"/>
              </w:rPr>
              <w:t xml:space="preserve"> 23,0 mil.€, što je za 53,6% man</w:t>
            </w:r>
            <w:r>
              <w:rPr>
                <w:noProof/>
                <w:sz w:val="20"/>
                <w:szCs w:val="20"/>
              </w:rPr>
              <w:t xml:space="preserve">je nego u 2014. Odliv po osnovu </w:t>
            </w:r>
            <w:r w:rsidRPr="00043BF6">
              <w:rPr>
                <w:noProof/>
                <w:sz w:val="20"/>
                <w:szCs w:val="20"/>
              </w:rPr>
              <w:t>ula</w:t>
            </w:r>
            <w:r>
              <w:rPr>
                <w:noProof/>
                <w:sz w:val="20"/>
                <w:szCs w:val="20"/>
              </w:rPr>
              <w:t>ganja rezidenata u inostranstvu iznosio je 6,9 mil.€ (30</w:t>
            </w:r>
            <w:r w:rsidRPr="00043BF6">
              <w:rPr>
                <w:noProof/>
                <w:sz w:val="20"/>
                <w:szCs w:val="20"/>
              </w:rPr>
              <w:t>%), dok je povlačenje sredstava nerezidenata u našu zemlju iznosilo 16,1 mil.€ ( 70%).</w:t>
            </w:r>
          </w:p>
          <w:p w:rsidR="00043BF6" w:rsidRPr="00E013C2" w:rsidRDefault="00043BF6" w:rsidP="003001BB">
            <w:pPr>
              <w:pBdr>
                <w:top w:val="single" w:sz="4" w:space="1" w:color="auto"/>
              </w:pBdr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</w:rPr>
            </w:pPr>
          </w:p>
        </w:tc>
        <w:tc>
          <w:tcPr>
            <w:tcW w:w="1896" w:type="pct"/>
            <w:vAlign w:val="center"/>
          </w:tcPr>
          <w:p w:rsidR="00E013C2" w:rsidRPr="00132E99" w:rsidRDefault="005626A9" w:rsidP="00464A12">
            <w:pPr>
              <w:rPr>
                <w:rFonts w:asciiTheme="minorHAnsi" w:hAnsiTheme="minorHAnsi" w:cstheme="minorHAnsi"/>
                <w:noProof/>
                <w:lang w:val="sr-Latn-CS" w:eastAsia="sr-Latn-CS"/>
              </w:rPr>
            </w:pPr>
            <w:r w:rsidRPr="005626A9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2124000" cy="1656000"/>
                  <wp:effectExtent l="0" t="0" r="0" b="0"/>
                  <wp:docPr id="8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053B0C" w:rsidRDefault="00053B0C" w:rsidP="00C45B95">
      <w:pPr>
        <w:spacing w:after="0"/>
        <w:jc w:val="center"/>
        <w:outlineLvl w:val="0"/>
        <w:rPr>
          <w:noProof/>
          <w:sz w:val="17"/>
          <w:szCs w:val="16"/>
        </w:rPr>
        <w:sectPr w:rsidR="00053B0C" w:rsidSect="00053B0C">
          <w:pgSz w:w="11907" w:h="16839" w:code="9"/>
          <w:pgMar w:top="426" w:right="284" w:bottom="254" w:left="284" w:header="720" w:footer="720" w:gutter="0"/>
          <w:cols w:space="720"/>
          <w:docGrid w:linePitch="360"/>
        </w:sectPr>
      </w:pPr>
    </w:p>
    <w:p w:rsidR="00E013C2" w:rsidRDefault="00E013C2" w:rsidP="00C45B95">
      <w:pPr>
        <w:spacing w:after="0"/>
        <w:jc w:val="center"/>
        <w:outlineLvl w:val="0"/>
        <w:rPr>
          <w:noProof/>
          <w:sz w:val="17"/>
          <w:szCs w:val="16"/>
        </w:rPr>
      </w:pPr>
    </w:p>
    <w:p w:rsidR="00C45B95" w:rsidRDefault="00C45B95" w:rsidP="00C45B95">
      <w:pPr>
        <w:spacing w:after="0"/>
        <w:jc w:val="center"/>
        <w:outlineLvl w:val="0"/>
        <w:rPr>
          <w:noProof/>
          <w:sz w:val="17"/>
          <w:szCs w:val="16"/>
        </w:rPr>
      </w:pPr>
      <w:r w:rsidRPr="0020440D">
        <w:rPr>
          <w:noProof/>
          <w:sz w:val="17"/>
          <w:szCs w:val="16"/>
        </w:rPr>
        <w:t xml:space="preserve">Tabela 1: </w:t>
      </w:r>
      <w:r w:rsidRPr="0020440D">
        <w:rPr>
          <w:b/>
          <w:bCs/>
          <w:noProof/>
          <w:sz w:val="17"/>
          <w:szCs w:val="16"/>
        </w:rPr>
        <w:t>MAKROEKONOMSKI INDIKATORI</w:t>
      </w:r>
      <w:r w:rsidRPr="0020440D">
        <w:rPr>
          <w:noProof/>
          <w:sz w:val="17"/>
          <w:szCs w:val="16"/>
        </w:rPr>
        <w:t xml:space="preserve"> –</w:t>
      </w:r>
      <w:r w:rsidR="003001BB">
        <w:rPr>
          <w:noProof/>
          <w:sz w:val="17"/>
          <w:szCs w:val="16"/>
        </w:rPr>
        <w:t xml:space="preserve">maj </w:t>
      </w:r>
      <w:r w:rsidR="00745D7B">
        <w:rPr>
          <w:noProof/>
          <w:sz w:val="17"/>
          <w:szCs w:val="16"/>
        </w:rPr>
        <w:t>2015</w:t>
      </w:r>
      <w:r w:rsidRPr="0020440D">
        <w:rPr>
          <w:noProof/>
          <w:sz w:val="17"/>
          <w:szCs w:val="16"/>
        </w:rPr>
        <w:t>.</w:t>
      </w:r>
    </w:p>
    <w:p w:rsidR="00782553" w:rsidRDefault="00782553" w:rsidP="00C45B95">
      <w:pPr>
        <w:spacing w:after="0"/>
        <w:jc w:val="center"/>
        <w:outlineLvl w:val="0"/>
        <w:rPr>
          <w:noProof/>
          <w:sz w:val="17"/>
          <w:szCs w:val="16"/>
        </w:rPr>
      </w:pPr>
    </w:p>
    <w:p w:rsidR="00C45B95" w:rsidRPr="0020440D" w:rsidRDefault="00C45B95" w:rsidP="00C45B95">
      <w:pPr>
        <w:spacing w:after="0"/>
        <w:outlineLvl w:val="0"/>
        <w:rPr>
          <w:b/>
          <w:i/>
          <w:noProof/>
          <w:sz w:val="16"/>
          <w:szCs w:val="16"/>
        </w:rPr>
      </w:pPr>
      <w:r w:rsidRPr="0020440D">
        <w:rPr>
          <w:b/>
          <w:i/>
          <w:noProof/>
          <w:sz w:val="16"/>
          <w:szCs w:val="16"/>
        </w:rPr>
        <w:t>Izvor: MONSTAT, Centralna Banka, Zavod za zapošljavanje Crne Gore</w:t>
      </w:r>
    </w:p>
    <w:p w:rsidR="00C45B95" w:rsidRPr="0020440D" w:rsidRDefault="00C45B95" w:rsidP="00C45B95">
      <w:pPr>
        <w:spacing w:after="0"/>
        <w:ind w:firstLine="142"/>
        <w:rPr>
          <w:i/>
          <w:iCs/>
          <w:noProof/>
          <w:sz w:val="12"/>
          <w:szCs w:val="12"/>
        </w:rPr>
      </w:pPr>
      <w:r w:rsidRPr="0020440D">
        <w:rPr>
          <w:i/>
          <w:iCs/>
          <w:noProof/>
          <w:sz w:val="12"/>
          <w:szCs w:val="12"/>
        </w:rPr>
        <w:t>Svi indikatori su prikazani kao godišnje stope rasta (stopa promjene indikatora u posmatranom mjesecu u odnosu na isti mjesec prethodne godine u %) ukoliko nije drugačije naznačeno u nazivu</w:t>
      </w:r>
    </w:p>
    <w:p w:rsidR="00C45B95" w:rsidRDefault="00C45B95" w:rsidP="00C45B95">
      <w:pPr>
        <w:spacing w:after="0" w:line="240" w:lineRule="auto"/>
        <w:ind w:firstLine="142"/>
        <w:rPr>
          <w:i/>
          <w:iCs/>
          <w:noProof/>
          <w:sz w:val="12"/>
          <w:szCs w:val="12"/>
        </w:rPr>
      </w:pPr>
      <w:r w:rsidRPr="0020440D">
        <w:rPr>
          <w:i/>
          <w:iCs/>
          <w:noProof/>
          <w:sz w:val="12"/>
          <w:szCs w:val="12"/>
        </w:rPr>
        <w:t>M-n-M označava mjesečnu promjenu (stopa promjene indikatora u posmatranom mjesecu u odnosu na prethodni mjesec u %)g-n-g označava godišnju promjenu (stopa promjene indikatora u posmatranom mjesecuili periodu  u odnosu na isti mmjesec ili periodprethodne godine u %)</w:t>
      </w:r>
      <w:r w:rsidR="00BF2D81">
        <w:rPr>
          <w:i/>
          <w:iCs/>
          <w:noProof/>
          <w:sz w:val="12"/>
          <w:szCs w:val="12"/>
        </w:rPr>
        <w:t>.</w:t>
      </w:r>
    </w:p>
    <w:p w:rsidR="00745D7B" w:rsidRDefault="00745D7B" w:rsidP="00C45B95">
      <w:pPr>
        <w:spacing w:after="0" w:line="240" w:lineRule="auto"/>
        <w:ind w:firstLine="142"/>
        <w:rPr>
          <w:i/>
          <w:iCs/>
          <w:noProof/>
          <w:sz w:val="12"/>
          <w:szCs w:val="1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95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5"/>
        <w:gridCol w:w="745"/>
        <w:gridCol w:w="758"/>
        <w:gridCol w:w="758"/>
        <w:gridCol w:w="745"/>
        <w:gridCol w:w="887"/>
        <w:gridCol w:w="796"/>
      </w:tblGrid>
      <w:tr w:rsidR="00E955E1" w:rsidRPr="00E955E1" w:rsidTr="00E955E1">
        <w:trPr>
          <w:divId w:val="1324819322"/>
          <w:trHeight w:val="480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Indikatori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IV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V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VI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VII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VIII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IX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X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XI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XII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2015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II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III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IV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V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  <w:t>M-n-M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  <w:t>maj 2015/maj2014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6"/>
                <w:lang w:val="sr-Latn-CS" w:eastAsia="sr-Latn-CS"/>
              </w:rPr>
              <w:t>jan-maj2015/jan-maj2014</w:t>
            </w:r>
          </w:p>
        </w:tc>
      </w:tr>
      <w:tr w:rsidR="00E955E1" w:rsidRPr="00E955E1" w:rsidTr="00E955E1">
        <w:trPr>
          <w:divId w:val="1324819322"/>
          <w:trHeight w:val="208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81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REALNI SEKTOR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E955E1" w:rsidRPr="00E955E1" w:rsidTr="00CD4CE6">
        <w:trPr>
          <w:divId w:val="1324819322"/>
          <w:trHeight w:val="208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Industrijska proizvodnja (stopa rasta)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-27,90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-23,40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-26,40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-16,30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-12,70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7,50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8,20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-19,80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-7,00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-3,40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5,90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19,30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11,40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-24,3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6,7</w:t>
            </w:r>
          </w:p>
        </w:tc>
      </w:tr>
      <w:tr w:rsidR="00E955E1" w:rsidRPr="00E955E1" w:rsidTr="00CD4CE6">
        <w:trPr>
          <w:divId w:val="1324819322"/>
          <w:trHeight w:val="208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Prerađivačka industrija (stopa rasta)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-44,90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-10,90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-5,00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-24,60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-19,70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-3,20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-18,10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-20,50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-13,20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13,80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9,20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40,50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16,70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-10,5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16,7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13,5</w:t>
            </w:r>
          </w:p>
        </w:tc>
      </w:tr>
      <w:tr w:rsidR="00E955E1" w:rsidRPr="00E955E1" w:rsidTr="00CD4CE6">
        <w:trPr>
          <w:divId w:val="1324819322"/>
          <w:trHeight w:val="208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Noćenja u turizmu (stopa rasta)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2,10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-4,20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-1,30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2,40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1,90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4,20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12,80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7,30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28,30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21,00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5,10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11,10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8,30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202,0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8,3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11,1</w:t>
            </w:r>
          </w:p>
        </w:tc>
      </w:tr>
      <w:tr w:rsidR="00E955E1" w:rsidRPr="00E955E1" w:rsidTr="00CD4CE6">
        <w:trPr>
          <w:divId w:val="1324819322"/>
          <w:trHeight w:val="208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Promet u maloprodaji (stopa rasta)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3,10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2,60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3,90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3,50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4,30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3,50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-0,60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1,40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2,90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2,80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1,10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5,7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1,8</w:t>
            </w:r>
          </w:p>
        </w:tc>
      </w:tr>
      <w:tr w:rsidR="00E955E1" w:rsidRPr="00E955E1" w:rsidTr="00CD4CE6">
        <w:trPr>
          <w:divId w:val="1324819322"/>
          <w:trHeight w:val="208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Vrijednost</w:t>
            </w:r>
            <w:r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 xml:space="preserve"> radova u gradjevinarstvu ( rast</w:t>
            </w: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)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center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3,3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center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-5,5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center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-6,9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9,6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color w:val="993300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color w:val="993300"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color w:val="993300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color w:val="993300"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color w:val="993300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color w:val="993300"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E955E1" w:rsidRPr="00E955E1" w:rsidTr="00CD4CE6">
        <w:trPr>
          <w:divId w:val="1324819322"/>
          <w:trHeight w:val="208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INFLACIJA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E955E1" w:rsidRPr="00E955E1" w:rsidTr="00CD4CE6">
        <w:trPr>
          <w:divId w:val="1324819322"/>
          <w:trHeight w:val="208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Indeks potrošačkih cijena ( rast</w:t>
            </w: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-1,4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-1,3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-0,1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-1,2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-1,1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-0,7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-0,5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-0,3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1,6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2,1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1,4</w:t>
            </w:r>
          </w:p>
        </w:tc>
      </w:tr>
      <w:tr w:rsidR="00E955E1" w:rsidRPr="00E955E1" w:rsidTr="00CD4CE6">
        <w:trPr>
          <w:divId w:val="1324819322"/>
          <w:trHeight w:val="208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 xml:space="preserve">Harmonizovani indeks potrošačkih cijena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-0,8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-0,7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-0,9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-0,7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-0,9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-0,8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-0,3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-0,6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-0,4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-0,1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1,3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n/p</w:t>
            </w:r>
          </w:p>
        </w:tc>
      </w:tr>
      <w:tr w:rsidR="00E955E1" w:rsidRPr="00E955E1" w:rsidTr="00CD4CE6">
        <w:trPr>
          <w:divId w:val="1324819322"/>
          <w:trHeight w:val="208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Indeks proizvodjačkih cijena (stopa rasta)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-0,2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-0,1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0,5</w:t>
            </w:r>
          </w:p>
        </w:tc>
      </w:tr>
      <w:tr w:rsidR="00E955E1" w:rsidRPr="00E955E1" w:rsidTr="00CD4CE6">
        <w:trPr>
          <w:divId w:val="1324819322"/>
          <w:trHeight w:val="208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ZAPOSLENOST I ZARADE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E955E1" w:rsidRPr="00E955E1" w:rsidTr="00CD4CE6">
        <w:trPr>
          <w:divId w:val="1324819322"/>
          <w:trHeight w:val="208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Zaposlenost (broj, kraj perioda)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172.202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174.917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179.774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181.408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178.558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173.942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172.306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172.273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171.158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169.719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170.486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171.855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174.208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177.865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2,1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1,2</w:t>
            </w:r>
          </w:p>
        </w:tc>
      </w:tr>
      <w:tr w:rsidR="00E955E1" w:rsidRPr="00E955E1" w:rsidTr="00CD4CE6">
        <w:trPr>
          <w:divId w:val="1324819322"/>
          <w:trHeight w:val="208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Broj nezaposlenih (broj, kraj perioda)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33.906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32.763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31.548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31.115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31.163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31.548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33.744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34.733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34.687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35.152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35.172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34.903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33.975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32.347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-4,8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-1,3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0,4</w:t>
            </w:r>
          </w:p>
        </w:tc>
      </w:tr>
      <w:tr w:rsidR="00E955E1" w:rsidRPr="00E955E1" w:rsidTr="00CD4CE6">
        <w:trPr>
          <w:divId w:val="1324819322"/>
          <w:trHeight w:val="208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Stopa nezaposlenosti (%)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14,6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14,1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13,6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13,4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13,4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13,6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14,5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15,0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14,9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15,1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15,2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15,0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14,6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13,9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-4,8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-1,4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0,4</w:t>
            </w:r>
          </w:p>
        </w:tc>
      </w:tr>
      <w:tr w:rsidR="00E955E1" w:rsidRPr="00E955E1" w:rsidTr="00CD4CE6">
        <w:trPr>
          <w:divId w:val="1324819322"/>
          <w:trHeight w:val="208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Stopa nezaposlenosti (ARS) (%)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18,5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16,4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18,1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E955E1" w:rsidRPr="00E955E1" w:rsidTr="00CD4CE6">
        <w:trPr>
          <w:divId w:val="1324819322"/>
          <w:trHeight w:val="208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Oglašena radna mjesta (broj)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5.399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4.984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2.605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3.616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2.235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2.605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2.563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2.434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2.098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3.735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2.343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4.946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4.529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3.414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-24,6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-31,5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22,1</w:t>
            </w:r>
          </w:p>
        </w:tc>
      </w:tr>
      <w:tr w:rsidR="00E955E1" w:rsidRPr="00E955E1" w:rsidTr="00CD4CE6">
        <w:trPr>
          <w:divId w:val="1324819322"/>
          <w:trHeight w:val="208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Prosječna mjesečna bruto zarada (u €)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720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726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725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713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718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722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724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723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734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731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732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721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723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726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0,3</w:t>
            </w:r>
          </w:p>
        </w:tc>
      </w:tr>
      <w:tr w:rsidR="00E955E1" w:rsidRPr="00E955E1" w:rsidTr="00CD4CE6">
        <w:trPr>
          <w:divId w:val="1324819322"/>
          <w:trHeight w:val="208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Prosječna mjesečna neto zarada (u €)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474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478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478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470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473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476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478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477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484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482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483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476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478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480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0,6</w:t>
            </w:r>
          </w:p>
        </w:tc>
      </w:tr>
      <w:tr w:rsidR="00E955E1" w:rsidRPr="00E955E1" w:rsidTr="00CD4CE6">
        <w:trPr>
          <w:divId w:val="1324819322"/>
          <w:trHeight w:val="208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MONETARNI SEKTOR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E955E1" w:rsidRPr="00E955E1" w:rsidTr="00CD4CE6">
        <w:trPr>
          <w:divId w:val="1324819322"/>
          <w:trHeight w:val="208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Ukupni krediti (kumulativ, mil. €)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2.386,6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2.383,1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2.376,2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2.402,7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2.453,0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2.443,2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2.424,1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2.426,5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2.367,2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2.355,3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2.375,2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2.340,8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2.366,7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2.408,1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1,7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E955E1" w:rsidRPr="00E955E1" w:rsidTr="00CD4CE6">
        <w:trPr>
          <w:divId w:val="1324819322"/>
          <w:trHeight w:val="208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 xml:space="preserve">Ukupni krediti (stopa rasta)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-3,2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-3,8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-3,3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-4,1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-3,4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-1,3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-2,0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-1,5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-1,9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-2,2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-1,6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-2,7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-0,8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1,7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E955E1" w:rsidRPr="00E955E1" w:rsidTr="00CD4CE6">
        <w:trPr>
          <w:divId w:val="1324819322"/>
          <w:trHeight w:val="208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 xml:space="preserve">Krediti u kašnjenju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494,1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562,6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512,2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533,1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524,8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469,1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489,2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464,3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444,9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481,1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458,4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492,2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453,6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530,9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17,0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-5,7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E955E1" w:rsidRPr="00E955E1" w:rsidTr="00CD4CE6">
        <w:trPr>
          <w:divId w:val="1324819322"/>
          <w:trHeight w:val="208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 xml:space="preserve">Udio kredita u kašnjenju u ukupnim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20,7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23,6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21,6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22,2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21,4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19,2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20,2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19,1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18,8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20,4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19,3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21,0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19,2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22,0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17,0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-5,7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E955E1" w:rsidRPr="00E955E1" w:rsidTr="00CD4CE6">
        <w:trPr>
          <w:divId w:val="1324819322"/>
          <w:trHeight w:val="208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Nekvalitetni krediti (kumulativ, mil €)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406,1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417,6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402,6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417,2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422,4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400,2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398,9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391,8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375,6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389,7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388,4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369,4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385,5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389,6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1,1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-6,7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E955E1" w:rsidRPr="00E955E1" w:rsidTr="00CD4CE6">
        <w:trPr>
          <w:divId w:val="1324819322"/>
          <w:trHeight w:val="208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 xml:space="preserve">Udio nekvalitetnih kredita u ukupnim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17,0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17,5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16,9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17,4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17,2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16,4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16,5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16,1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15,9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16,5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16,4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15,8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16,3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16,2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-0,7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-7,7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E955E1" w:rsidRPr="00E955E1" w:rsidTr="00CD4CE6">
        <w:trPr>
          <w:divId w:val="1324819322"/>
          <w:trHeight w:val="208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Ukupni depoziti (kumulativ, mil €)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2.094,8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2.114,3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2.146,4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2.188,2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2.254,5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2.268,0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2.251,5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2.274,9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2.308,1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2.311,3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2.295,4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2.314,6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2.337,5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2.376,6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1,7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12,4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E955E1" w:rsidRPr="00E955E1" w:rsidTr="00CD4CE6">
        <w:trPr>
          <w:divId w:val="1324819322"/>
          <w:trHeight w:val="208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Ukupni depoziti (stopa rasta)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7,3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7,1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6,8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5,5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5,1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7,8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7,0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9,1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10,2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9,2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11,6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12,4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1,7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75,1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E955E1" w:rsidRPr="00E955E1" w:rsidTr="00CD4CE6">
        <w:trPr>
          <w:divId w:val="1324819322"/>
          <w:trHeight w:val="208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Krediti privredi (kumulativ, u mil €)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958,5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959,8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950,4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932,3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911,3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900,9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890,4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898,1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917,9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917,7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925,6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938,3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953,7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967,7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1,5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E955E1" w:rsidRPr="00E955E1" w:rsidTr="00CD4CE6">
        <w:trPr>
          <w:divId w:val="1324819322"/>
          <w:trHeight w:val="208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Krediti domaćinstvima (kumulativ, u mil €)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887,4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890,7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891,5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893,6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893,0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892,7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893,0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895,4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893,8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897,5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899,2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904,6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907,9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913,0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E955E1" w:rsidRPr="00E955E1" w:rsidTr="00CD4CE6">
        <w:trPr>
          <w:divId w:val="1324819322"/>
          <w:trHeight w:val="208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Depoziti privrede (kumulativ, u mil €)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533,0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551,7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576,4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596,1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639,4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633,5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634,2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647,5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640,7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635,0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624,6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635,1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644,1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667,8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3,7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21,0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E955E1" w:rsidRPr="00E955E1" w:rsidTr="00CD4CE6">
        <w:trPr>
          <w:divId w:val="1324819322"/>
          <w:trHeight w:val="208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Lična štednja (kumulativ, u mil €)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1.247,8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28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1.245,5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1.244,5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1.270,1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1.288,5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1.300,0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1.299,3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1.305,9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1.331,7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1.334,5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1.335,9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1.352,7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1.363,6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1.361,4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-0,2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9,3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E955E1" w:rsidRPr="00E955E1" w:rsidTr="00CD4CE6">
        <w:trPr>
          <w:divId w:val="1324819322"/>
          <w:trHeight w:val="208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Kamatna stopa na kredite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9,45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9,51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9,54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9,55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9,31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9,57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9,28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9,28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9,22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9,20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9,17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9,11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9,3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9,3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>
              <w:rPr>
                <w:rFonts w:cs="Calibri"/>
                <w:sz w:val="14"/>
                <w:szCs w:val="14"/>
                <w:lang w:val="sr-Latn-CS" w:eastAsia="sr-Latn-CS"/>
              </w:rPr>
              <w:t>-0</w:t>
            </w: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E955E1" w:rsidRPr="00E955E1" w:rsidTr="00CD4CE6">
        <w:trPr>
          <w:divId w:val="1324819322"/>
          <w:trHeight w:val="208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Kamatna stopa na depozite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2,31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2,25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2,19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2,08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2,01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1,96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1,93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1,89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1,83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1,77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1,73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1,66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1,59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1,50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-0,1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>
              <w:rPr>
                <w:rFonts w:cs="Calibri"/>
                <w:sz w:val="14"/>
                <w:szCs w:val="14"/>
                <w:lang w:val="sr-Latn-CS" w:eastAsia="sr-Latn-CS"/>
              </w:rPr>
              <w:t>-0</w:t>
            </w: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,</w:t>
            </w:r>
            <w:r>
              <w:rPr>
                <w:rFonts w:cs="Calibri"/>
                <w:sz w:val="14"/>
                <w:szCs w:val="14"/>
                <w:lang w:val="sr-Latn-CS" w:eastAsia="sr-Latn-CS"/>
              </w:rPr>
              <w:t>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E955E1" w:rsidRPr="00E955E1" w:rsidTr="00CD4CE6">
        <w:trPr>
          <w:divId w:val="1324819322"/>
          <w:trHeight w:val="208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EKSTERNI SEKTOR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E955E1" w:rsidRPr="00E955E1" w:rsidTr="00CD4CE6">
        <w:trPr>
          <w:divId w:val="1324819322"/>
          <w:trHeight w:val="208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Izvoz roba (u mil. €)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23,1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25,7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28,2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31,5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27,1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34,3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31,8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33,9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28,1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26,0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23,2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25,3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17,5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16,6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-4,8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-35,3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-8,2</w:t>
            </w:r>
          </w:p>
        </w:tc>
      </w:tr>
      <w:tr w:rsidR="00E955E1" w:rsidRPr="00E955E1" w:rsidTr="00CD4CE6">
        <w:trPr>
          <w:divId w:val="1324819322"/>
          <w:trHeight w:val="208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Uvoz roba (u mil. €)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158,4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158,0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172,0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184,3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164,4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154,7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158,5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132,7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159,7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86,0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121,4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149,5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154,2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152,4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-1,2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-3,5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0,8</w:t>
            </w:r>
          </w:p>
        </w:tc>
      </w:tr>
      <w:tr w:rsidR="00E955E1" w:rsidRPr="00E955E1" w:rsidTr="00CD4CE6">
        <w:trPr>
          <w:divId w:val="1324819322"/>
          <w:trHeight w:val="208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Spoljnotrgovinski bilans (u mil €)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-135,3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-132,2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-143,8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-152,8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-137,3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-120,4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-126,7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-98,8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-131,6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-60,0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-98,2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-124,2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-136,7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-135,7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-0,7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2,8</w:t>
            </w:r>
          </w:p>
        </w:tc>
      </w:tr>
      <w:tr w:rsidR="00E955E1" w:rsidRPr="00E955E1" w:rsidTr="00CD4CE6">
        <w:trPr>
          <w:divId w:val="1324819322"/>
          <w:trHeight w:val="208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Strane direktne investicije (mil.€)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6,7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29,7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40,4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27,4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27,2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50,8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31,4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26,5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34,8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25,6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26,2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34,4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25,6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n.p.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-25,5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283,8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30,7</w:t>
            </w:r>
          </w:p>
        </w:tc>
      </w:tr>
      <w:tr w:rsidR="00E955E1" w:rsidRPr="00E955E1" w:rsidTr="00CD4CE6">
        <w:trPr>
          <w:divId w:val="1324819322"/>
          <w:trHeight w:val="208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MEĐUNARODNO OKRUŽENJE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1"/>
              <w:jc w:val="right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E955E1" w:rsidRPr="00E955E1" w:rsidTr="00CD4CE6">
        <w:trPr>
          <w:divId w:val="1324819322"/>
          <w:trHeight w:val="208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Brent crude oil (USD/barel)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108,0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109,6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112,5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105,6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103,0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94,8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85,9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70,2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58,0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55,0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60,0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56,7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66,3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64,9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-2,2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-40,8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-44,3</w:t>
            </w:r>
          </w:p>
        </w:tc>
      </w:tr>
      <w:tr w:rsidR="00E955E1" w:rsidRPr="00E955E1" w:rsidTr="00CD4CE6">
        <w:trPr>
          <w:divId w:val="1324819322"/>
          <w:trHeight w:val="208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Aluminijum (USD/T)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1.810,7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1.751,1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1.839,0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1.948,3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2.030,5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1.990,4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1.946,2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2.055,6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1.909,5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1.814,7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1.817,8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1.773,9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1.819,2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CD4CE6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1.804,0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-0,8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3,0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3,8</w:t>
            </w:r>
          </w:p>
        </w:tc>
      </w:tr>
      <w:tr w:rsidR="00E955E1" w:rsidRPr="00E955E1" w:rsidTr="00CD4CE6">
        <w:trPr>
          <w:divId w:val="1324819322"/>
          <w:trHeight w:val="208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Euribor (12 mjeseci)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0,61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0,57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0,49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0,49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0,43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0,34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0,34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0,33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0,32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0,27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0,23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0,17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0,16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-0,4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-0,4</w:t>
            </w:r>
          </w:p>
        </w:tc>
      </w:tr>
      <w:tr w:rsidR="00E955E1" w:rsidRPr="00E955E1" w:rsidTr="00CD4CE6">
        <w:trPr>
          <w:divId w:val="1324819322"/>
          <w:trHeight w:val="208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61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E955E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Inflacija u Eurozoni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1" w:type="dxa"/>
              <w:bottom w:w="0" w:type="dxa"/>
              <w:right w:w="57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-0,2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-0,6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-0,3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-0,1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0,3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-0,2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5E1" w:rsidRPr="00E955E1" w:rsidRDefault="00E955E1" w:rsidP="00E955E1">
            <w:pPr>
              <w:spacing w:after="0" w:line="240" w:lineRule="auto"/>
              <w:ind w:firstLineChars="100" w:firstLine="140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E955E1">
              <w:rPr>
                <w:rFonts w:cs="Calibri"/>
                <w:sz w:val="14"/>
                <w:szCs w:val="14"/>
                <w:lang w:val="sr-Latn-CS" w:eastAsia="sr-Latn-CS"/>
              </w:rPr>
              <w:t>-0,8</w:t>
            </w:r>
          </w:p>
        </w:tc>
      </w:tr>
    </w:tbl>
    <w:p w:rsidR="00561716" w:rsidRDefault="00561716" w:rsidP="00C45B95">
      <w:pPr>
        <w:spacing w:after="0" w:line="240" w:lineRule="auto"/>
        <w:ind w:firstLine="142"/>
        <w:rPr>
          <w:i/>
          <w:iCs/>
          <w:noProof/>
          <w:sz w:val="12"/>
          <w:szCs w:val="12"/>
        </w:rPr>
      </w:pPr>
    </w:p>
    <w:p w:rsidR="00DD48CB" w:rsidRDefault="00DD48CB" w:rsidP="00C45B95">
      <w:pPr>
        <w:spacing w:after="0" w:line="240" w:lineRule="auto"/>
        <w:ind w:firstLine="142"/>
        <w:rPr>
          <w:i/>
          <w:iCs/>
          <w:noProof/>
          <w:sz w:val="12"/>
          <w:szCs w:val="12"/>
        </w:rPr>
      </w:pPr>
    </w:p>
    <w:p w:rsidR="00A90070" w:rsidRDefault="00A3689A" w:rsidP="00355F01">
      <w:pPr>
        <w:spacing w:after="0"/>
        <w:jc w:val="center"/>
        <w:outlineLvl w:val="0"/>
        <w:rPr>
          <w:noProof/>
          <w:sz w:val="17"/>
          <w:szCs w:val="16"/>
        </w:rPr>
      </w:pPr>
      <w:r>
        <w:rPr>
          <w:noProof/>
          <w:sz w:val="17"/>
          <w:szCs w:val="16"/>
        </w:rPr>
        <w:t>T</w:t>
      </w:r>
      <w:r w:rsidR="00A90070" w:rsidRPr="00355F01">
        <w:rPr>
          <w:noProof/>
          <w:sz w:val="17"/>
          <w:szCs w:val="16"/>
        </w:rPr>
        <w:t xml:space="preserve">abela </w:t>
      </w:r>
      <w:r w:rsidR="0081095D" w:rsidRPr="00355F01">
        <w:rPr>
          <w:noProof/>
          <w:sz w:val="17"/>
          <w:szCs w:val="16"/>
        </w:rPr>
        <w:fldChar w:fldCharType="begin"/>
      </w:r>
      <w:r w:rsidR="003A12AD" w:rsidRPr="00355F01">
        <w:rPr>
          <w:noProof/>
          <w:sz w:val="17"/>
          <w:szCs w:val="16"/>
        </w:rPr>
        <w:instrText xml:space="preserve"> SEQ Tabela \* ARABIC </w:instrText>
      </w:r>
      <w:r w:rsidR="0081095D" w:rsidRPr="00355F01">
        <w:rPr>
          <w:noProof/>
          <w:sz w:val="17"/>
          <w:szCs w:val="16"/>
        </w:rPr>
        <w:fldChar w:fldCharType="separate"/>
      </w:r>
      <w:r w:rsidR="006A112F">
        <w:rPr>
          <w:noProof/>
          <w:sz w:val="17"/>
          <w:szCs w:val="16"/>
        </w:rPr>
        <w:t>1</w:t>
      </w:r>
      <w:r w:rsidR="0081095D" w:rsidRPr="00355F01">
        <w:rPr>
          <w:noProof/>
          <w:sz w:val="17"/>
          <w:szCs w:val="16"/>
        </w:rPr>
        <w:fldChar w:fldCharType="end"/>
      </w:r>
      <w:r w:rsidR="00D52F3D">
        <w:rPr>
          <w:noProof/>
          <w:sz w:val="17"/>
          <w:szCs w:val="16"/>
        </w:rPr>
        <w:t xml:space="preserve">: </w:t>
      </w:r>
      <w:r w:rsidR="006D6A98" w:rsidRPr="00355F01">
        <w:rPr>
          <w:b/>
          <w:noProof/>
          <w:sz w:val="20"/>
          <w:szCs w:val="16"/>
        </w:rPr>
        <w:t>Fiskalni indikatori</w:t>
      </w:r>
      <w:r w:rsidR="006D6A98" w:rsidRPr="00355F01">
        <w:rPr>
          <w:noProof/>
          <w:sz w:val="17"/>
          <w:szCs w:val="16"/>
        </w:rPr>
        <w:t>–</w:t>
      </w:r>
      <w:r w:rsidR="004C4C0D">
        <w:rPr>
          <w:noProof/>
          <w:sz w:val="17"/>
          <w:szCs w:val="16"/>
        </w:rPr>
        <w:t xml:space="preserve">maj </w:t>
      </w:r>
      <w:r w:rsidR="00745D7B" w:rsidRPr="00355F01">
        <w:rPr>
          <w:noProof/>
          <w:sz w:val="17"/>
          <w:szCs w:val="16"/>
        </w:rPr>
        <w:t>2015</w:t>
      </w:r>
      <w:r w:rsidR="006D6A98" w:rsidRPr="00355F01">
        <w:rPr>
          <w:noProof/>
          <w:sz w:val="17"/>
          <w:szCs w:val="16"/>
        </w:rPr>
        <w:t xml:space="preserve">. </w:t>
      </w:r>
    </w:p>
    <w:p w:rsidR="00782553" w:rsidRDefault="004C4C0D" w:rsidP="004C4C0D">
      <w:pPr>
        <w:tabs>
          <w:tab w:val="left" w:pos="2152"/>
        </w:tabs>
        <w:spacing w:after="0"/>
        <w:outlineLvl w:val="0"/>
        <w:rPr>
          <w:noProof/>
          <w:sz w:val="17"/>
          <w:szCs w:val="16"/>
        </w:rPr>
      </w:pPr>
      <w:r>
        <w:rPr>
          <w:noProof/>
          <w:sz w:val="17"/>
          <w:szCs w:val="16"/>
        </w:rPr>
        <w:tab/>
      </w:r>
    </w:p>
    <w:tbl>
      <w:tblPr>
        <w:tblW w:w="5000" w:type="pct"/>
        <w:tblLook w:val="04A0"/>
      </w:tblPr>
      <w:tblGrid>
        <w:gridCol w:w="3209"/>
        <w:gridCol w:w="787"/>
        <w:gridCol w:w="787"/>
        <w:gridCol w:w="787"/>
        <w:gridCol w:w="787"/>
        <w:gridCol w:w="787"/>
        <w:gridCol w:w="787"/>
        <w:gridCol w:w="787"/>
        <w:gridCol w:w="787"/>
        <w:gridCol w:w="688"/>
        <w:gridCol w:w="744"/>
        <w:gridCol w:w="744"/>
        <w:gridCol w:w="715"/>
        <w:gridCol w:w="715"/>
        <w:gridCol w:w="793"/>
        <w:gridCol w:w="767"/>
        <w:gridCol w:w="793"/>
        <w:gridCol w:w="911"/>
      </w:tblGrid>
      <w:tr w:rsidR="00830962" w:rsidRPr="00830962" w:rsidTr="00053B0C">
        <w:trPr>
          <w:trHeight w:val="315"/>
        </w:trPr>
        <w:tc>
          <w:tcPr>
            <w:tcW w:w="983" w:type="pct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0962">
              <w:rPr>
                <w:b/>
                <w:bCs/>
                <w:sz w:val="16"/>
                <w:szCs w:val="16"/>
              </w:rPr>
              <w:t>BUDŽET CRNE GORE</w:t>
            </w:r>
          </w:p>
        </w:tc>
        <w:tc>
          <w:tcPr>
            <w:tcW w:w="1902" w:type="pct"/>
            <w:gridSpan w:val="8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0962">
              <w:rPr>
                <w:sz w:val="16"/>
                <w:szCs w:val="16"/>
              </w:rPr>
              <w:t>2014</w:t>
            </w:r>
          </w:p>
        </w:tc>
        <w:tc>
          <w:tcPr>
            <w:tcW w:w="443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0962">
              <w:rPr>
                <w:sz w:val="16"/>
                <w:szCs w:val="16"/>
              </w:rPr>
              <w:t>2015</w:t>
            </w:r>
          </w:p>
        </w:tc>
        <w:tc>
          <w:tcPr>
            <w:tcW w:w="225" w:type="pct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</w:rPr>
            </w:pPr>
            <w:r w:rsidRPr="00830962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</w:rPr>
            </w:pPr>
            <w:r w:rsidRPr="00830962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</w:rPr>
            </w:pPr>
            <w:r w:rsidRPr="00830962">
              <w:rPr>
                <w:color w:val="000000"/>
              </w:rPr>
              <w:t> </w:t>
            </w:r>
          </w:p>
        </w:tc>
        <w:tc>
          <w:tcPr>
            <w:tcW w:w="245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0962">
              <w:rPr>
                <w:sz w:val="16"/>
                <w:szCs w:val="16"/>
              </w:rPr>
              <w:t>plan 2015</w:t>
            </w:r>
          </w:p>
        </w:tc>
        <w:tc>
          <w:tcPr>
            <w:tcW w:w="759" w:type="pct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EEECE1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0962">
              <w:rPr>
                <w:sz w:val="16"/>
                <w:szCs w:val="16"/>
              </w:rPr>
              <w:t>Analitika-Maj</w:t>
            </w:r>
          </w:p>
        </w:tc>
      </w:tr>
      <w:tr w:rsidR="00830962" w:rsidRPr="00830962" w:rsidTr="00053B0C">
        <w:trPr>
          <w:trHeight w:val="735"/>
        </w:trPr>
        <w:tc>
          <w:tcPr>
            <w:tcW w:w="983" w:type="pct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30962">
              <w:rPr>
                <w:sz w:val="14"/>
                <w:szCs w:val="14"/>
              </w:rPr>
              <w:t>V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30962">
              <w:rPr>
                <w:sz w:val="14"/>
                <w:szCs w:val="14"/>
              </w:rPr>
              <w:t>VI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30962">
              <w:rPr>
                <w:sz w:val="14"/>
                <w:szCs w:val="14"/>
              </w:rPr>
              <w:t>VII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30962">
              <w:rPr>
                <w:sz w:val="14"/>
                <w:szCs w:val="14"/>
              </w:rPr>
              <w:t>VIII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30962">
              <w:rPr>
                <w:sz w:val="14"/>
                <w:szCs w:val="14"/>
              </w:rPr>
              <w:t>IX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30962">
              <w:rPr>
                <w:sz w:val="14"/>
                <w:szCs w:val="14"/>
              </w:rPr>
              <w:t>X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30962">
              <w:rPr>
                <w:sz w:val="14"/>
                <w:szCs w:val="14"/>
              </w:rPr>
              <w:t>XI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30962">
              <w:rPr>
                <w:sz w:val="14"/>
                <w:szCs w:val="14"/>
              </w:rPr>
              <w:t>XII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30962">
              <w:rPr>
                <w:sz w:val="14"/>
                <w:szCs w:val="14"/>
              </w:rPr>
              <w:t>I</w:t>
            </w:r>
          </w:p>
        </w:tc>
        <w:tc>
          <w:tcPr>
            <w:tcW w:w="22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30962">
              <w:rPr>
                <w:sz w:val="14"/>
                <w:szCs w:val="14"/>
              </w:rPr>
              <w:t>II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30962">
              <w:rPr>
                <w:sz w:val="14"/>
                <w:szCs w:val="14"/>
              </w:rPr>
              <w:t>III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30962">
              <w:rPr>
                <w:sz w:val="14"/>
                <w:szCs w:val="14"/>
              </w:rPr>
              <w:t>IV</w:t>
            </w:r>
          </w:p>
        </w:tc>
        <w:tc>
          <w:tcPr>
            <w:tcW w:w="22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30962">
              <w:rPr>
                <w:sz w:val="14"/>
                <w:szCs w:val="14"/>
              </w:rPr>
              <w:t>V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30962">
              <w:rPr>
                <w:sz w:val="14"/>
                <w:szCs w:val="14"/>
              </w:rPr>
              <w:t>V</w:t>
            </w:r>
          </w:p>
        </w:tc>
        <w:tc>
          <w:tcPr>
            <w:tcW w:w="23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30962">
              <w:rPr>
                <w:sz w:val="14"/>
                <w:szCs w:val="14"/>
              </w:rPr>
              <w:t>maj2015/ maj 2014 (%)</w:t>
            </w:r>
          </w:p>
        </w:tc>
        <w:tc>
          <w:tcPr>
            <w:tcW w:w="24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30962">
              <w:rPr>
                <w:sz w:val="14"/>
                <w:szCs w:val="14"/>
              </w:rPr>
              <w:t>jan-maj 2015 / jan-maj 2014(%)</w:t>
            </w:r>
          </w:p>
        </w:tc>
        <w:tc>
          <w:tcPr>
            <w:tcW w:w="28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EECE1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30962">
              <w:rPr>
                <w:sz w:val="14"/>
                <w:szCs w:val="14"/>
              </w:rPr>
              <w:t>maj 2015/maj 2015plan (%)</w:t>
            </w:r>
          </w:p>
        </w:tc>
      </w:tr>
      <w:tr w:rsidR="00830962" w:rsidRPr="00830962" w:rsidTr="00053B0C">
        <w:trPr>
          <w:trHeight w:val="330"/>
        </w:trPr>
        <w:tc>
          <w:tcPr>
            <w:tcW w:w="98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30962">
              <w:rPr>
                <w:b/>
                <w:bCs/>
                <w:sz w:val="16"/>
                <w:szCs w:val="16"/>
              </w:rPr>
              <w:t>IZVORNI PRIHODI, od čega:</w:t>
            </w:r>
          </w:p>
        </w:tc>
        <w:tc>
          <w:tcPr>
            <w:tcW w:w="238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102,08</w:t>
            </w:r>
          </w:p>
        </w:tc>
        <w:tc>
          <w:tcPr>
            <w:tcW w:w="238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109,93</w:t>
            </w:r>
          </w:p>
        </w:tc>
        <w:tc>
          <w:tcPr>
            <w:tcW w:w="238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120,72</w:t>
            </w:r>
          </w:p>
        </w:tc>
        <w:tc>
          <w:tcPr>
            <w:tcW w:w="238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126,56</w:t>
            </w:r>
          </w:p>
        </w:tc>
        <w:tc>
          <w:tcPr>
            <w:tcW w:w="238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117,90</w:t>
            </w:r>
          </w:p>
        </w:tc>
        <w:tc>
          <w:tcPr>
            <w:tcW w:w="238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158,21</w:t>
            </w:r>
          </w:p>
        </w:tc>
        <w:tc>
          <w:tcPr>
            <w:tcW w:w="238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98,50</w:t>
            </w:r>
          </w:p>
        </w:tc>
        <w:tc>
          <w:tcPr>
            <w:tcW w:w="238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155,25</w:t>
            </w:r>
          </w:p>
        </w:tc>
        <w:tc>
          <w:tcPr>
            <w:tcW w:w="213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71,18</w:t>
            </w:r>
          </w:p>
        </w:tc>
        <w:tc>
          <w:tcPr>
            <w:tcW w:w="22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86,77</w:t>
            </w:r>
          </w:p>
        </w:tc>
        <w:tc>
          <w:tcPr>
            <w:tcW w:w="225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100,28</w:t>
            </w:r>
          </w:p>
        </w:tc>
        <w:tc>
          <w:tcPr>
            <w:tcW w:w="22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111,52</w:t>
            </w:r>
          </w:p>
        </w:tc>
        <w:tc>
          <w:tcPr>
            <w:tcW w:w="22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99,80</w:t>
            </w:r>
          </w:p>
        </w:tc>
        <w:tc>
          <w:tcPr>
            <w:tcW w:w="24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0962">
              <w:rPr>
                <w:b/>
                <w:bCs/>
                <w:sz w:val="16"/>
                <w:szCs w:val="16"/>
              </w:rPr>
              <w:t>103,94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0962">
              <w:rPr>
                <w:b/>
                <w:bCs/>
                <w:sz w:val="16"/>
                <w:szCs w:val="16"/>
              </w:rPr>
              <w:t>-2,23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i/>
                <w:iCs/>
                <w:color w:val="000000"/>
                <w:sz w:val="16"/>
                <w:szCs w:val="16"/>
              </w:rPr>
              <w:t>1,03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0962">
              <w:rPr>
                <w:b/>
                <w:bCs/>
                <w:sz w:val="16"/>
                <w:szCs w:val="16"/>
              </w:rPr>
              <w:t>-3,98</w:t>
            </w:r>
          </w:p>
        </w:tc>
      </w:tr>
      <w:tr w:rsidR="00830962" w:rsidRPr="00830962" w:rsidTr="00053B0C">
        <w:trPr>
          <w:trHeight w:val="315"/>
        </w:trPr>
        <w:tc>
          <w:tcPr>
            <w:tcW w:w="983" w:type="pct"/>
            <w:tcBorders>
              <w:top w:val="nil"/>
              <w:left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rPr>
                <w:sz w:val="16"/>
                <w:szCs w:val="16"/>
              </w:rPr>
            </w:pPr>
            <w:r w:rsidRPr="00830962">
              <w:rPr>
                <w:sz w:val="16"/>
                <w:szCs w:val="16"/>
              </w:rPr>
              <w:t>Porezi i doprinosi na  zarade</w:t>
            </w:r>
          </w:p>
        </w:tc>
        <w:tc>
          <w:tcPr>
            <w:tcW w:w="238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45,74</w:t>
            </w:r>
          </w:p>
        </w:tc>
        <w:tc>
          <w:tcPr>
            <w:tcW w:w="238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45,71</w:t>
            </w:r>
          </w:p>
        </w:tc>
        <w:tc>
          <w:tcPr>
            <w:tcW w:w="238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44,52</w:t>
            </w:r>
          </w:p>
        </w:tc>
        <w:tc>
          <w:tcPr>
            <w:tcW w:w="238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45,43</w:t>
            </w:r>
          </w:p>
        </w:tc>
        <w:tc>
          <w:tcPr>
            <w:tcW w:w="238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40,40</w:t>
            </w:r>
          </w:p>
        </w:tc>
        <w:tc>
          <w:tcPr>
            <w:tcW w:w="238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59,14</w:t>
            </w:r>
          </w:p>
        </w:tc>
        <w:tc>
          <w:tcPr>
            <w:tcW w:w="238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43,27</w:t>
            </w:r>
          </w:p>
        </w:tc>
        <w:tc>
          <w:tcPr>
            <w:tcW w:w="23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90,80</w:t>
            </w:r>
          </w:p>
        </w:tc>
        <w:tc>
          <w:tcPr>
            <w:tcW w:w="21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23,46</w:t>
            </w:r>
          </w:p>
        </w:tc>
        <w:tc>
          <w:tcPr>
            <w:tcW w:w="22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36,14</w:t>
            </w:r>
          </w:p>
        </w:tc>
        <w:tc>
          <w:tcPr>
            <w:tcW w:w="22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42,09</w:t>
            </w:r>
          </w:p>
        </w:tc>
        <w:tc>
          <w:tcPr>
            <w:tcW w:w="2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221" w:type="pct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37,81</w:t>
            </w:r>
          </w:p>
        </w:tc>
        <w:tc>
          <w:tcPr>
            <w:tcW w:w="24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0962">
              <w:rPr>
                <w:sz w:val="16"/>
                <w:szCs w:val="16"/>
              </w:rPr>
              <w:t>44,12</w:t>
            </w:r>
          </w:p>
        </w:tc>
        <w:tc>
          <w:tcPr>
            <w:tcW w:w="232" w:type="pc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0962">
              <w:rPr>
                <w:b/>
                <w:bCs/>
                <w:sz w:val="16"/>
                <w:szCs w:val="16"/>
              </w:rPr>
              <w:t>-17,33</w:t>
            </w:r>
          </w:p>
        </w:tc>
        <w:tc>
          <w:tcPr>
            <w:tcW w:w="245" w:type="pc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i/>
                <w:iCs/>
                <w:color w:val="000000"/>
                <w:sz w:val="16"/>
                <w:szCs w:val="16"/>
              </w:rPr>
              <w:t>2,15</w:t>
            </w:r>
          </w:p>
        </w:tc>
        <w:tc>
          <w:tcPr>
            <w:tcW w:w="283" w:type="pc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0962">
              <w:rPr>
                <w:b/>
                <w:bCs/>
                <w:sz w:val="16"/>
                <w:szCs w:val="16"/>
              </w:rPr>
              <w:t>-14,30</w:t>
            </w:r>
          </w:p>
        </w:tc>
      </w:tr>
      <w:tr w:rsidR="00830962" w:rsidRPr="00830962" w:rsidTr="00053B0C">
        <w:trPr>
          <w:trHeight w:val="300"/>
        </w:trPr>
        <w:tc>
          <w:tcPr>
            <w:tcW w:w="983" w:type="pct"/>
            <w:tcBorders>
              <w:top w:val="nil"/>
              <w:left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rPr>
                <w:sz w:val="16"/>
                <w:szCs w:val="16"/>
              </w:rPr>
            </w:pPr>
            <w:r w:rsidRPr="00830962">
              <w:rPr>
                <w:sz w:val="16"/>
                <w:szCs w:val="16"/>
              </w:rPr>
              <w:t>Porez na dobit pravnih lica</w:t>
            </w:r>
          </w:p>
        </w:tc>
        <w:tc>
          <w:tcPr>
            <w:tcW w:w="238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2,49</w:t>
            </w:r>
          </w:p>
        </w:tc>
        <w:tc>
          <w:tcPr>
            <w:tcW w:w="238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2,38</w:t>
            </w:r>
          </w:p>
        </w:tc>
        <w:tc>
          <w:tcPr>
            <w:tcW w:w="238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5,92</w:t>
            </w:r>
          </w:p>
        </w:tc>
        <w:tc>
          <w:tcPr>
            <w:tcW w:w="238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238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2,05</w:t>
            </w:r>
          </w:p>
        </w:tc>
        <w:tc>
          <w:tcPr>
            <w:tcW w:w="238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1,76</w:t>
            </w:r>
          </w:p>
        </w:tc>
        <w:tc>
          <w:tcPr>
            <w:tcW w:w="238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23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1,48</w:t>
            </w:r>
          </w:p>
        </w:tc>
        <w:tc>
          <w:tcPr>
            <w:tcW w:w="21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22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22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9,85</w:t>
            </w:r>
          </w:p>
        </w:tc>
        <w:tc>
          <w:tcPr>
            <w:tcW w:w="2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15,15</w:t>
            </w:r>
          </w:p>
        </w:tc>
        <w:tc>
          <w:tcPr>
            <w:tcW w:w="221" w:type="pct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2,28</w:t>
            </w:r>
          </w:p>
        </w:tc>
        <w:tc>
          <w:tcPr>
            <w:tcW w:w="24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0962">
              <w:rPr>
                <w:sz w:val="16"/>
                <w:szCs w:val="16"/>
              </w:rPr>
              <w:t>2,67</w:t>
            </w:r>
          </w:p>
        </w:tc>
        <w:tc>
          <w:tcPr>
            <w:tcW w:w="23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0962">
              <w:rPr>
                <w:b/>
                <w:bCs/>
                <w:sz w:val="16"/>
                <w:szCs w:val="16"/>
              </w:rPr>
              <w:t>-8,62</w:t>
            </w:r>
          </w:p>
        </w:tc>
        <w:tc>
          <w:tcPr>
            <w:tcW w:w="24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i/>
                <w:iCs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283" w:type="pc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0962">
              <w:rPr>
                <w:b/>
                <w:bCs/>
                <w:sz w:val="16"/>
                <w:szCs w:val="16"/>
              </w:rPr>
              <w:t>-14,80</w:t>
            </w:r>
          </w:p>
        </w:tc>
      </w:tr>
      <w:tr w:rsidR="00830962" w:rsidRPr="00830962" w:rsidTr="00053B0C">
        <w:trPr>
          <w:trHeight w:val="300"/>
        </w:trPr>
        <w:tc>
          <w:tcPr>
            <w:tcW w:w="983" w:type="pct"/>
            <w:tcBorders>
              <w:top w:val="nil"/>
              <w:left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rPr>
                <w:sz w:val="16"/>
                <w:szCs w:val="16"/>
              </w:rPr>
            </w:pPr>
            <w:r w:rsidRPr="00830962">
              <w:rPr>
                <w:sz w:val="16"/>
                <w:szCs w:val="16"/>
              </w:rPr>
              <w:t>Porez na dodatu vrijednost</w:t>
            </w:r>
          </w:p>
        </w:tc>
        <w:tc>
          <w:tcPr>
            <w:tcW w:w="238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33,08</w:t>
            </w:r>
          </w:p>
        </w:tc>
        <w:tc>
          <w:tcPr>
            <w:tcW w:w="238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37,06</w:t>
            </w:r>
          </w:p>
        </w:tc>
        <w:tc>
          <w:tcPr>
            <w:tcW w:w="238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45,61</w:t>
            </w:r>
          </w:p>
        </w:tc>
        <w:tc>
          <w:tcPr>
            <w:tcW w:w="238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49,64</w:t>
            </w:r>
          </w:p>
        </w:tc>
        <w:tc>
          <w:tcPr>
            <w:tcW w:w="238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49,31</w:t>
            </w:r>
          </w:p>
        </w:tc>
        <w:tc>
          <w:tcPr>
            <w:tcW w:w="238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74,54</w:t>
            </w:r>
          </w:p>
        </w:tc>
        <w:tc>
          <w:tcPr>
            <w:tcW w:w="238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33,89</w:t>
            </w:r>
          </w:p>
        </w:tc>
        <w:tc>
          <w:tcPr>
            <w:tcW w:w="23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37,18</w:t>
            </w:r>
          </w:p>
        </w:tc>
        <w:tc>
          <w:tcPr>
            <w:tcW w:w="21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31,20</w:t>
            </w:r>
          </w:p>
        </w:tc>
        <w:tc>
          <w:tcPr>
            <w:tcW w:w="22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32,50</w:t>
            </w:r>
          </w:p>
        </w:tc>
        <w:tc>
          <w:tcPr>
            <w:tcW w:w="22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29,67</w:t>
            </w:r>
          </w:p>
        </w:tc>
        <w:tc>
          <w:tcPr>
            <w:tcW w:w="2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33,29</w:t>
            </w:r>
          </w:p>
        </w:tc>
        <w:tc>
          <w:tcPr>
            <w:tcW w:w="221" w:type="pct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38,31</w:t>
            </w:r>
          </w:p>
        </w:tc>
        <w:tc>
          <w:tcPr>
            <w:tcW w:w="24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0962">
              <w:rPr>
                <w:sz w:val="16"/>
                <w:szCs w:val="16"/>
              </w:rPr>
              <w:t>34,50</w:t>
            </w:r>
          </w:p>
        </w:tc>
        <w:tc>
          <w:tcPr>
            <w:tcW w:w="23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0962">
              <w:rPr>
                <w:b/>
                <w:bCs/>
                <w:sz w:val="16"/>
                <w:szCs w:val="16"/>
              </w:rPr>
              <w:t>15,80</w:t>
            </w:r>
          </w:p>
        </w:tc>
        <w:tc>
          <w:tcPr>
            <w:tcW w:w="24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i/>
                <w:iCs/>
                <w:color w:val="000000"/>
                <w:sz w:val="16"/>
                <w:szCs w:val="16"/>
              </w:rPr>
              <w:t>-3,16</w:t>
            </w:r>
          </w:p>
        </w:tc>
        <w:tc>
          <w:tcPr>
            <w:tcW w:w="283" w:type="pc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0962">
              <w:rPr>
                <w:b/>
                <w:bCs/>
                <w:sz w:val="16"/>
                <w:szCs w:val="16"/>
              </w:rPr>
              <w:t>11,04</w:t>
            </w:r>
          </w:p>
        </w:tc>
      </w:tr>
      <w:tr w:rsidR="00830962" w:rsidRPr="00830962" w:rsidTr="00053B0C">
        <w:trPr>
          <w:trHeight w:val="300"/>
        </w:trPr>
        <w:tc>
          <w:tcPr>
            <w:tcW w:w="983" w:type="pct"/>
            <w:tcBorders>
              <w:top w:val="nil"/>
              <w:left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rPr>
                <w:sz w:val="16"/>
                <w:szCs w:val="16"/>
              </w:rPr>
            </w:pPr>
            <w:r w:rsidRPr="00830962">
              <w:rPr>
                <w:sz w:val="16"/>
                <w:szCs w:val="16"/>
              </w:rPr>
              <w:t>Akcize</w:t>
            </w:r>
          </w:p>
        </w:tc>
        <w:tc>
          <w:tcPr>
            <w:tcW w:w="238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12,29</w:t>
            </w:r>
          </w:p>
        </w:tc>
        <w:tc>
          <w:tcPr>
            <w:tcW w:w="238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14,55</w:t>
            </w:r>
          </w:p>
        </w:tc>
        <w:tc>
          <w:tcPr>
            <w:tcW w:w="238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15,75</w:t>
            </w:r>
          </w:p>
        </w:tc>
        <w:tc>
          <w:tcPr>
            <w:tcW w:w="238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19,49</w:t>
            </w:r>
          </w:p>
        </w:tc>
        <w:tc>
          <w:tcPr>
            <w:tcW w:w="238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17,28</w:t>
            </w:r>
          </w:p>
        </w:tc>
        <w:tc>
          <w:tcPr>
            <w:tcW w:w="238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13,40</w:t>
            </w:r>
          </w:p>
        </w:tc>
        <w:tc>
          <w:tcPr>
            <w:tcW w:w="238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12,18</w:t>
            </w:r>
          </w:p>
        </w:tc>
        <w:tc>
          <w:tcPr>
            <w:tcW w:w="23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13,10</w:t>
            </w:r>
          </w:p>
        </w:tc>
        <w:tc>
          <w:tcPr>
            <w:tcW w:w="21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11,28</w:t>
            </w:r>
          </w:p>
        </w:tc>
        <w:tc>
          <w:tcPr>
            <w:tcW w:w="22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9,93</w:t>
            </w:r>
          </w:p>
        </w:tc>
        <w:tc>
          <w:tcPr>
            <w:tcW w:w="22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10,88</w:t>
            </w:r>
          </w:p>
        </w:tc>
        <w:tc>
          <w:tcPr>
            <w:tcW w:w="2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11,00</w:t>
            </w:r>
          </w:p>
        </w:tc>
        <w:tc>
          <w:tcPr>
            <w:tcW w:w="221" w:type="pct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12,79</w:t>
            </w:r>
          </w:p>
        </w:tc>
        <w:tc>
          <w:tcPr>
            <w:tcW w:w="24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0962">
              <w:rPr>
                <w:sz w:val="16"/>
                <w:szCs w:val="16"/>
              </w:rPr>
              <w:t>13,19</w:t>
            </w:r>
          </w:p>
        </w:tc>
        <w:tc>
          <w:tcPr>
            <w:tcW w:w="23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0962">
              <w:rPr>
                <w:b/>
                <w:bCs/>
                <w:sz w:val="16"/>
                <w:szCs w:val="16"/>
              </w:rPr>
              <w:t>4,02</w:t>
            </w:r>
          </w:p>
        </w:tc>
        <w:tc>
          <w:tcPr>
            <w:tcW w:w="24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i/>
                <w:iCs/>
                <w:color w:val="000000"/>
                <w:sz w:val="16"/>
                <w:szCs w:val="16"/>
              </w:rPr>
              <w:t>10,18</w:t>
            </w:r>
          </w:p>
        </w:tc>
        <w:tc>
          <w:tcPr>
            <w:tcW w:w="283" w:type="pc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0962">
              <w:rPr>
                <w:b/>
                <w:bCs/>
                <w:sz w:val="16"/>
                <w:szCs w:val="16"/>
              </w:rPr>
              <w:t>-3,06</w:t>
            </w:r>
          </w:p>
        </w:tc>
      </w:tr>
      <w:tr w:rsidR="00830962" w:rsidRPr="00830962" w:rsidTr="00053B0C">
        <w:trPr>
          <w:trHeight w:val="315"/>
        </w:trPr>
        <w:tc>
          <w:tcPr>
            <w:tcW w:w="983" w:type="pct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rPr>
                <w:sz w:val="16"/>
                <w:szCs w:val="16"/>
              </w:rPr>
            </w:pPr>
            <w:r w:rsidRPr="00830962">
              <w:rPr>
                <w:sz w:val="16"/>
                <w:szCs w:val="16"/>
              </w:rPr>
              <w:t>Porez na medj trgovinu i transak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1,87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2,14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2,58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2,35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2,20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1,43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1,97</w:t>
            </w:r>
          </w:p>
        </w:tc>
        <w:tc>
          <w:tcPr>
            <w:tcW w:w="21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1,07</w:t>
            </w:r>
          </w:p>
        </w:tc>
        <w:tc>
          <w:tcPr>
            <w:tcW w:w="22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1,44</w:t>
            </w:r>
          </w:p>
        </w:tc>
        <w:tc>
          <w:tcPr>
            <w:tcW w:w="22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22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1,82</w:t>
            </w:r>
          </w:p>
        </w:tc>
        <w:tc>
          <w:tcPr>
            <w:tcW w:w="22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1,87</w:t>
            </w:r>
          </w:p>
        </w:tc>
        <w:tc>
          <w:tcPr>
            <w:tcW w:w="24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0962">
              <w:rPr>
                <w:sz w:val="16"/>
                <w:szCs w:val="16"/>
              </w:rPr>
              <w:t>1,96</w:t>
            </w:r>
          </w:p>
        </w:tc>
        <w:tc>
          <w:tcPr>
            <w:tcW w:w="23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096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i/>
                <w:iCs/>
                <w:color w:val="000000"/>
                <w:sz w:val="16"/>
                <w:szCs w:val="16"/>
              </w:rPr>
              <w:t>8,96</w:t>
            </w:r>
          </w:p>
        </w:tc>
        <w:tc>
          <w:tcPr>
            <w:tcW w:w="28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0962">
              <w:rPr>
                <w:b/>
                <w:bCs/>
                <w:sz w:val="16"/>
                <w:szCs w:val="16"/>
              </w:rPr>
              <w:t>-4,33</w:t>
            </w:r>
          </w:p>
        </w:tc>
      </w:tr>
      <w:tr w:rsidR="00830962" w:rsidRPr="00830962" w:rsidTr="00053B0C">
        <w:trPr>
          <w:trHeight w:val="330"/>
        </w:trPr>
        <w:tc>
          <w:tcPr>
            <w:tcW w:w="983" w:type="pct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30962">
              <w:rPr>
                <w:b/>
                <w:bCs/>
                <w:sz w:val="16"/>
                <w:szCs w:val="16"/>
              </w:rPr>
              <w:t>IZDACI BUDŽETA, od čega :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107,60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115,30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118,22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116,09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122,09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159,65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111,38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173,92</w:t>
            </w:r>
          </w:p>
        </w:tc>
        <w:tc>
          <w:tcPr>
            <w:tcW w:w="21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93,12</w:t>
            </w:r>
          </w:p>
        </w:tc>
        <w:tc>
          <w:tcPr>
            <w:tcW w:w="22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108,06</w:t>
            </w:r>
          </w:p>
        </w:tc>
        <w:tc>
          <w:tcPr>
            <w:tcW w:w="22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111,31</w:t>
            </w:r>
          </w:p>
        </w:tc>
        <w:tc>
          <w:tcPr>
            <w:tcW w:w="22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140,74</w:t>
            </w:r>
          </w:p>
        </w:tc>
        <w:tc>
          <w:tcPr>
            <w:tcW w:w="22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113,25</w:t>
            </w:r>
          </w:p>
        </w:tc>
        <w:tc>
          <w:tcPr>
            <w:tcW w:w="24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0962">
              <w:rPr>
                <w:b/>
                <w:bCs/>
                <w:sz w:val="16"/>
                <w:szCs w:val="16"/>
              </w:rPr>
              <w:t>130,41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0962">
              <w:rPr>
                <w:b/>
                <w:bCs/>
                <w:sz w:val="16"/>
                <w:szCs w:val="16"/>
              </w:rPr>
              <w:t>5,25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i/>
                <w:iCs/>
                <w:color w:val="000000"/>
                <w:sz w:val="16"/>
                <w:szCs w:val="16"/>
              </w:rPr>
              <w:t>5,34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0962">
              <w:rPr>
                <w:b/>
                <w:bCs/>
                <w:sz w:val="16"/>
                <w:szCs w:val="16"/>
              </w:rPr>
              <w:t>-13,16</w:t>
            </w:r>
          </w:p>
        </w:tc>
      </w:tr>
      <w:tr w:rsidR="00830962" w:rsidRPr="00830962" w:rsidTr="00053B0C">
        <w:trPr>
          <w:trHeight w:val="315"/>
        </w:trPr>
        <w:tc>
          <w:tcPr>
            <w:tcW w:w="983" w:type="pc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rPr>
                <w:sz w:val="16"/>
                <w:szCs w:val="16"/>
              </w:rPr>
            </w:pPr>
            <w:r w:rsidRPr="00830962">
              <w:rPr>
                <w:sz w:val="16"/>
                <w:szCs w:val="16"/>
              </w:rPr>
              <w:t>Bruto zarade i doprinosi na teret poslodavca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33,99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29,16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31,64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33,57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32,19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28,62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36,53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35,56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31,42</w:t>
            </w:r>
          </w:p>
        </w:tc>
        <w:tc>
          <w:tcPr>
            <w:tcW w:w="229" w:type="pc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31,71</w:t>
            </w:r>
          </w:p>
        </w:tc>
        <w:tc>
          <w:tcPr>
            <w:tcW w:w="225" w:type="pc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31,10</w:t>
            </w:r>
          </w:p>
        </w:tc>
        <w:tc>
          <w:tcPr>
            <w:tcW w:w="221" w:type="pc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29,75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30,71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0962">
              <w:rPr>
                <w:sz w:val="16"/>
                <w:szCs w:val="16"/>
              </w:rPr>
              <w:t>31,61</w:t>
            </w:r>
          </w:p>
        </w:tc>
        <w:tc>
          <w:tcPr>
            <w:tcW w:w="232" w:type="pct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0962">
              <w:rPr>
                <w:b/>
                <w:bCs/>
                <w:sz w:val="16"/>
                <w:szCs w:val="16"/>
              </w:rPr>
              <w:t>-9,64</w:t>
            </w:r>
          </w:p>
        </w:tc>
        <w:tc>
          <w:tcPr>
            <w:tcW w:w="245" w:type="pct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i/>
                <w:iCs/>
                <w:color w:val="000000"/>
                <w:sz w:val="16"/>
                <w:szCs w:val="16"/>
              </w:rPr>
              <w:t>-3,37</w:t>
            </w:r>
          </w:p>
        </w:tc>
        <w:tc>
          <w:tcPr>
            <w:tcW w:w="283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0962">
              <w:rPr>
                <w:b/>
                <w:bCs/>
                <w:sz w:val="16"/>
                <w:szCs w:val="16"/>
              </w:rPr>
              <w:t>-2,85</w:t>
            </w:r>
          </w:p>
        </w:tc>
      </w:tr>
      <w:tr w:rsidR="00830962" w:rsidRPr="00830962" w:rsidTr="00053B0C">
        <w:trPr>
          <w:trHeight w:val="300"/>
        </w:trPr>
        <w:tc>
          <w:tcPr>
            <w:tcW w:w="983" w:type="pc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rPr>
                <w:sz w:val="16"/>
                <w:szCs w:val="16"/>
              </w:rPr>
            </w:pPr>
            <w:r w:rsidRPr="00830962">
              <w:rPr>
                <w:sz w:val="16"/>
                <w:szCs w:val="16"/>
              </w:rPr>
              <w:t>Rashodi za materijal i usluge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6,28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6,62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5,96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5,94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5,30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8,69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6,36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16,15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2,31</w:t>
            </w:r>
          </w:p>
        </w:tc>
        <w:tc>
          <w:tcPr>
            <w:tcW w:w="229" w:type="pc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5,50</w:t>
            </w:r>
          </w:p>
        </w:tc>
        <w:tc>
          <w:tcPr>
            <w:tcW w:w="225" w:type="pc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5,91</w:t>
            </w:r>
          </w:p>
        </w:tc>
        <w:tc>
          <w:tcPr>
            <w:tcW w:w="221" w:type="pc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6,32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5,41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0962">
              <w:rPr>
                <w:sz w:val="16"/>
                <w:szCs w:val="16"/>
              </w:rPr>
              <w:t>5,91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0962">
              <w:rPr>
                <w:b/>
                <w:bCs/>
                <w:sz w:val="16"/>
                <w:szCs w:val="16"/>
              </w:rPr>
              <w:t>-13,87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i/>
                <w:iCs/>
                <w:color w:val="000000"/>
                <w:sz w:val="16"/>
                <w:szCs w:val="16"/>
              </w:rPr>
              <w:t>-0,09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0962">
              <w:rPr>
                <w:b/>
                <w:bCs/>
                <w:sz w:val="16"/>
                <w:szCs w:val="16"/>
              </w:rPr>
              <w:t>-8,56</w:t>
            </w:r>
          </w:p>
        </w:tc>
      </w:tr>
      <w:tr w:rsidR="00830962" w:rsidRPr="00830962" w:rsidTr="00053B0C">
        <w:trPr>
          <w:trHeight w:val="300"/>
        </w:trPr>
        <w:tc>
          <w:tcPr>
            <w:tcW w:w="983" w:type="pc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rPr>
                <w:sz w:val="16"/>
                <w:szCs w:val="16"/>
              </w:rPr>
            </w:pPr>
            <w:r w:rsidRPr="00830962">
              <w:rPr>
                <w:sz w:val="16"/>
                <w:szCs w:val="16"/>
              </w:rPr>
              <w:t>Kamate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4,72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5,61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6,41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1,25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17,46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0,59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0,55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5,68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2,23</w:t>
            </w:r>
          </w:p>
        </w:tc>
        <w:tc>
          <w:tcPr>
            <w:tcW w:w="229" w:type="pc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2,89</w:t>
            </w:r>
          </w:p>
        </w:tc>
        <w:tc>
          <w:tcPr>
            <w:tcW w:w="225" w:type="pc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5,04</w:t>
            </w:r>
          </w:p>
        </w:tc>
        <w:tc>
          <w:tcPr>
            <w:tcW w:w="221" w:type="pc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19,07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15,98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0962">
              <w:rPr>
                <w:sz w:val="16"/>
                <w:szCs w:val="16"/>
              </w:rPr>
              <w:t>6,31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0962">
              <w:rPr>
                <w:b/>
                <w:bCs/>
                <w:sz w:val="16"/>
                <w:szCs w:val="16"/>
              </w:rPr>
              <w:t>238,25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i/>
                <w:iCs/>
                <w:color w:val="000000"/>
                <w:sz w:val="16"/>
                <w:szCs w:val="16"/>
              </w:rPr>
              <w:t>20,78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0962">
              <w:rPr>
                <w:b/>
                <w:bCs/>
                <w:sz w:val="16"/>
                <w:szCs w:val="16"/>
              </w:rPr>
              <w:t>153,04</w:t>
            </w:r>
          </w:p>
        </w:tc>
      </w:tr>
      <w:tr w:rsidR="00830962" w:rsidRPr="00830962" w:rsidTr="00053B0C">
        <w:trPr>
          <w:trHeight w:val="300"/>
        </w:trPr>
        <w:tc>
          <w:tcPr>
            <w:tcW w:w="983" w:type="pc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rPr>
                <w:sz w:val="16"/>
                <w:szCs w:val="16"/>
              </w:rPr>
            </w:pPr>
            <w:r w:rsidRPr="00830962">
              <w:rPr>
                <w:sz w:val="16"/>
                <w:szCs w:val="16"/>
              </w:rPr>
              <w:t>Transferi za socijalnu zaštitu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40,51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40,39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42,65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41,82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39,29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40,46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40,89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42,84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39,79</w:t>
            </w:r>
          </w:p>
        </w:tc>
        <w:tc>
          <w:tcPr>
            <w:tcW w:w="229" w:type="pc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40,07</w:t>
            </w:r>
          </w:p>
        </w:tc>
        <w:tc>
          <w:tcPr>
            <w:tcW w:w="225" w:type="pc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40,86</w:t>
            </w:r>
          </w:p>
        </w:tc>
        <w:tc>
          <w:tcPr>
            <w:tcW w:w="221" w:type="pc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40,50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40,97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0962">
              <w:rPr>
                <w:sz w:val="16"/>
                <w:szCs w:val="16"/>
              </w:rPr>
              <w:t>42,07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0962">
              <w:rPr>
                <w:b/>
                <w:bCs/>
                <w:sz w:val="16"/>
                <w:szCs w:val="16"/>
              </w:rPr>
              <w:t>1,15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i/>
                <w:iCs/>
                <w:color w:val="000000"/>
                <w:sz w:val="16"/>
                <w:szCs w:val="16"/>
              </w:rPr>
              <w:t>-0,80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0962">
              <w:rPr>
                <w:b/>
                <w:bCs/>
                <w:sz w:val="16"/>
                <w:szCs w:val="16"/>
              </w:rPr>
              <w:t>-2,61</w:t>
            </w:r>
          </w:p>
        </w:tc>
      </w:tr>
      <w:tr w:rsidR="00830962" w:rsidRPr="00830962" w:rsidTr="00053B0C">
        <w:trPr>
          <w:trHeight w:val="300"/>
        </w:trPr>
        <w:tc>
          <w:tcPr>
            <w:tcW w:w="983" w:type="pc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rPr>
                <w:sz w:val="16"/>
                <w:szCs w:val="16"/>
              </w:rPr>
            </w:pPr>
            <w:r w:rsidRPr="00830962">
              <w:rPr>
                <w:sz w:val="16"/>
                <w:szCs w:val="16"/>
              </w:rPr>
              <w:t>Transferi instit, pojed i NVO sektoru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7,96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8,71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7,34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8,85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7,11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13,73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4,71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11,50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11,46</w:t>
            </w:r>
          </w:p>
        </w:tc>
        <w:tc>
          <w:tcPr>
            <w:tcW w:w="229" w:type="pc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6,75</w:t>
            </w:r>
          </w:p>
        </w:tc>
        <w:tc>
          <w:tcPr>
            <w:tcW w:w="225" w:type="pc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11,42</w:t>
            </w:r>
          </w:p>
        </w:tc>
        <w:tc>
          <w:tcPr>
            <w:tcW w:w="221" w:type="pc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7,59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0962">
              <w:rPr>
                <w:sz w:val="16"/>
                <w:szCs w:val="16"/>
              </w:rPr>
              <w:t>10,69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0962">
              <w:rPr>
                <w:b/>
                <w:bCs/>
                <w:sz w:val="16"/>
                <w:szCs w:val="16"/>
              </w:rPr>
              <w:t>-4,59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i/>
                <w:iCs/>
                <w:color w:val="000000"/>
                <w:sz w:val="16"/>
                <w:szCs w:val="16"/>
              </w:rPr>
              <w:t>40,76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0962">
              <w:rPr>
                <w:b/>
                <w:bCs/>
                <w:sz w:val="16"/>
                <w:szCs w:val="16"/>
              </w:rPr>
              <w:t>-28,97</w:t>
            </w:r>
          </w:p>
        </w:tc>
      </w:tr>
      <w:tr w:rsidR="00830962" w:rsidRPr="00830962" w:rsidTr="00053B0C">
        <w:trPr>
          <w:trHeight w:val="315"/>
        </w:trPr>
        <w:tc>
          <w:tcPr>
            <w:tcW w:w="983" w:type="pct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rPr>
                <w:sz w:val="16"/>
                <w:szCs w:val="16"/>
              </w:rPr>
            </w:pPr>
            <w:r w:rsidRPr="00830962">
              <w:rPr>
                <w:sz w:val="16"/>
                <w:szCs w:val="16"/>
              </w:rPr>
              <w:t>Kapitalni izdaci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6,72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6,75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6,63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9,38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5,21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56,13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10,75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24,72</w:t>
            </w:r>
          </w:p>
        </w:tc>
        <w:tc>
          <w:tcPr>
            <w:tcW w:w="21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0,27</w:t>
            </w:r>
          </w:p>
        </w:tc>
        <w:tc>
          <w:tcPr>
            <w:tcW w:w="22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13,35</w:t>
            </w:r>
          </w:p>
        </w:tc>
        <w:tc>
          <w:tcPr>
            <w:tcW w:w="22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5,04</w:t>
            </w:r>
          </w:p>
        </w:tc>
        <w:tc>
          <w:tcPr>
            <w:tcW w:w="221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16,63</w:t>
            </w:r>
          </w:p>
        </w:tc>
        <w:tc>
          <w:tcPr>
            <w:tcW w:w="22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3,53</w:t>
            </w:r>
          </w:p>
        </w:tc>
        <w:tc>
          <w:tcPr>
            <w:tcW w:w="24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0962">
              <w:rPr>
                <w:sz w:val="16"/>
                <w:szCs w:val="16"/>
              </w:rPr>
              <w:t>24,88</w:t>
            </w:r>
          </w:p>
        </w:tc>
        <w:tc>
          <w:tcPr>
            <w:tcW w:w="23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0962">
              <w:rPr>
                <w:b/>
                <w:bCs/>
                <w:sz w:val="16"/>
                <w:szCs w:val="16"/>
              </w:rPr>
              <w:t>-47,49</w:t>
            </w:r>
          </w:p>
        </w:tc>
        <w:tc>
          <w:tcPr>
            <w:tcW w:w="24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i/>
                <w:iCs/>
                <w:color w:val="000000"/>
                <w:sz w:val="16"/>
                <w:szCs w:val="16"/>
              </w:rPr>
              <w:t>94,68</w:t>
            </w:r>
          </w:p>
        </w:tc>
        <w:tc>
          <w:tcPr>
            <w:tcW w:w="28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0962">
              <w:rPr>
                <w:b/>
                <w:bCs/>
                <w:sz w:val="16"/>
                <w:szCs w:val="16"/>
              </w:rPr>
              <w:t>-85,82</w:t>
            </w:r>
          </w:p>
        </w:tc>
      </w:tr>
      <w:tr w:rsidR="00830962" w:rsidRPr="00830962" w:rsidTr="00053B0C">
        <w:trPr>
          <w:trHeight w:val="330"/>
        </w:trPr>
        <w:tc>
          <w:tcPr>
            <w:tcW w:w="983" w:type="pct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30962">
              <w:rPr>
                <w:b/>
                <w:bCs/>
                <w:sz w:val="16"/>
                <w:szCs w:val="16"/>
              </w:rPr>
              <w:t>Suficit / Deficit budžeta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-5,52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-5,36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10,46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-4,19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-1,44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-12,89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-18,67</w:t>
            </w:r>
          </w:p>
        </w:tc>
        <w:tc>
          <w:tcPr>
            <w:tcW w:w="21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-21,94</w:t>
            </w:r>
          </w:p>
        </w:tc>
        <w:tc>
          <w:tcPr>
            <w:tcW w:w="22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-21,31</w:t>
            </w:r>
          </w:p>
        </w:tc>
        <w:tc>
          <w:tcPr>
            <w:tcW w:w="22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-10,98</w:t>
            </w:r>
          </w:p>
        </w:tc>
        <w:tc>
          <w:tcPr>
            <w:tcW w:w="22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-29,19</w:t>
            </w:r>
          </w:p>
        </w:tc>
        <w:tc>
          <w:tcPr>
            <w:tcW w:w="22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-13,44</w:t>
            </w:r>
          </w:p>
        </w:tc>
        <w:tc>
          <w:tcPr>
            <w:tcW w:w="24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0962">
              <w:rPr>
                <w:b/>
                <w:bCs/>
                <w:sz w:val="16"/>
                <w:szCs w:val="16"/>
              </w:rPr>
              <w:t>-26,47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0962">
              <w:rPr>
                <w:b/>
                <w:bCs/>
                <w:sz w:val="16"/>
                <w:szCs w:val="16"/>
              </w:rPr>
              <w:t>143,67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i/>
                <w:iCs/>
                <w:color w:val="000000"/>
                <w:sz w:val="16"/>
                <w:szCs w:val="16"/>
              </w:rPr>
              <w:t>32,69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0962">
              <w:rPr>
                <w:b/>
                <w:bCs/>
                <w:sz w:val="16"/>
                <w:szCs w:val="16"/>
              </w:rPr>
              <w:t>-49,22</w:t>
            </w:r>
          </w:p>
        </w:tc>
      </w:tr>
      <w:tr w:rsidR="00830962" w:rsidRPr="00830962" w:rsidTr="00053B0C">
        <w:trPr>
          <w:trHeight w:val="315"/>
        </w:trPr>
        <w:tc>
          <w:tcPr>
            <w:tcW w:w="983" w:type="pc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rPr>
                <w:sz w:val="16"/>
                <w:szCs w:val="16"/>
              </w:rPr>
            </w:pPr>
            <w:r w:rsidRPr="00830962">
              <w:rPr>
                <w:sz w:val="16"/>
                <w:szCs w:val="16"/>
              </w:rPr>
              <w:t>Primarni bilans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-0,79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0,25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8,91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11,71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13,27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-0,85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-12,33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-12,99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-19,73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-18,42</w:t>
            </w:r>
          </w:p>
        </w:tc>
        <w:tc>
          <w:tcPr>
            <w:tcW w:w="225" w:type="pc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-5,94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-10,11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2,53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0962">
              <w:rPr>
                <w:sz w:val="16"/>
                <w:szCs w:val="16"/>
              </w:rPr>
              <w:t>-20,16</w:t>
            </w:r>
          </w:p>
        </w:tc>
        <w:tc>
          <w:tcPr>
            <w:tcW w:w="232" w:type="pct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0962">
              <w:rPr>
                <w:b/>
                <w:bCs/>
                <w:sz w:val="16"/>
                <w:szCs w:val="16"/>
              </w:rPr>
              <w:t>-419,02</w:t>
            </w:r>
          </w:p>
        </w:tc>
        <w:tc>
          <w:tcPr>
            <w:tcW w:w="245" w:type="pct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i/>
                <w:iCs/>
                <w:color w:val="000000"/>
                <w:sz w:val="16"/>
                <w:szCs w:val="16"/>
              </w:rPr>
              <w:t>45,28</w:t>
            </w:r>
          </w:p>
        </w:tc>
        <w:tc>
          <w:tcPr>
            <w:tcW w:w="283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0962">
              <w:rPr>
                <w:b/>
                <w:bCs/>
                <w:sz w:val="16"/>
                <w:szCs w:val="16"/>
              </w:rPr>
              <w:t>-112,56</w:t>
            </w:r>
          </w:p>
        </w:tc>
      </w:tr>
      <w:tr w:rsidR="00830962" w:rsidRPr="00830962" w:rsidTr="00053B0C">
        <w:trPr>
          <w:trHeight w:val="315"/>
        </w:trPr>
        <w:tc>
          <w:tcPr>
            <w:tcW w:w="983" w:type="pct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rPr>
                <w:sz w:val="16"/>
                <w:szCs w:val="16"/>
              </w:rPr>
            </w:pPr>
            <w:r w:rsidRPr="00830962">
              <w:rPr>
                <w:sz w:val="16"/>
                <w:szCs w:val="16"/>
              </w:rPr>
              <w:t>Otplata dugova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9,65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51,08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31,42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4,55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14,57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10,15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5,47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31,22</w:t>
            </w:r>
          </w:p>
        </w:tc>
        <w:tc>
          <w:tcPr>
            <w:tcW w:w="21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17,04</w:t>
            </w:r>
          </w:p>
        </w:tc>
        <w:tc>
          <w:tcPr>
            <w:tcW w:w="22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1,93</w:t>
            </w:r>
          </w:p>
        </w:tc>
        <w:tc>
          <w:tcPr>
            <w:tcW w:w="225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30,82</w:t>
            </w:r>
          </w:p>
        </w:tc>
        <w:tc>
          <w:tcPr>
            <w:tcW w:w="22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39,72</w:t>
            </w:r>
          </w:p>
        </w:tc>
        <w:tc>
          <w:tcPr>
            <w:tcW w:w="22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5,17</w:t>
            </w:r>
          </w:p>
        </w:tc>
        <w:tc>
          <w:tcPr>
            <w:tcW w:w="24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0962">
              <w:rPr>
                <w:sz w:val="16"/>
                <w:szCs w:val="16"/>
              </w:rPr>
              <w:t>33,19</w:t>
            </w:r>
          </w:p>
        </w:tc>
        <w:tc>
          <w:tcPr>
            <w:tcW w:w="23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0962">
              <w:rPr>
                <w:b/>
                <w:bCs/>
                <w:sz w:val="16"/>
                <w:szCs w:val="16"/>
              </w:rPr>
              <w:t>-46,48</w:t>
            </w:r>
          </w:p>
        </w:tc>
        <w:tc>
          <w:tcPr>
            <w:tcW w:w="24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i/>
                <w:iCs/>
                <w:color w:val="000000"/>
                <w:sz w:val="16"/>
                <w:szCs w:val="16"/>
              </w:rPr>
              <w:t>54,45</w:t>
            </w:r>
          </w:p>
        </w:tc>
        <w:tc>
          <w:tcPr>
            <w:tcW w:w="28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0962">
              <w:rPr>
                <w:b/>
                <w:bCs/>
                <w:sz w:val="16"/>
                <w:szCs w:val="16"/>
              </w:rPr>
              <w:t>-84,44</w:t>
            </w:r>
          </w:p>
        </w:tc>
      </w:tr>
      <w:tr w:rsidR="00830962" w:rsidRPr="00830962" w:rsidTr="00053B0C">
        <w:trPr>
          <w:trHeight w:val="330"/>
        </w:trPr>
        <w:tc>
          <w:tcPr>
            <w:tcW w:w="983" w:type="pct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30962">
              <w:rPr>
                <w:b/>
                <w:bCs/>
                <w:sz w:val="16"/>
                <w:szCs w:val="16"/>
              </w:rPr>
              <w:t>Državni dug (stanje duga)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2.180,50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2.022,10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1.985,20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1.982,50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1.969,53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1.964,90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1.961,90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1.893,40</w:t>
            </w:r>
          </w:p>
        </w:tc>
        <w:tc>
          <w:tcPr>
            <w:tcW w:w="21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1938,00</w:t>
            </w:r>
          </w:p>
        </w:tc>
        <w:tc>
          <w:tcPr>
            <w:tcW w:w="22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096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096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0962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830962" w:rsidRPr="00830962" w:rsidTr="00053B0C">
        <w:trPr>
          <w:trHeight w:val="315"/>
        </w:trPr>
        <w:tc>
          <w:tcPr>
            <w:tcW w:w="983" w:type="pc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rPr>
                <w:sz w:val="16"/>
                <w:szCs w:val="16"/>
              </w:rPr>
            </w:pPr>
            <w:r w:rsidRPr="00830962">
              <w:rPr>
                <w:sz w:val="16"/>
                <w:szCs w:val="16"/>
              </w:rPr>
              <w:t>Domaći dug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583,30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438,30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412,10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406,90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394,93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392,20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389,80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381,20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395,90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0962">
              <w:rPr>
                <w:sz w:val="16"/>
                <w:szCs w:val="16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0962">
              <w:rPr>
                <w:sz w:val="16"/>
                <w:szCs w:val="16"/>
              </w:rP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0962">
              <w:rPr>
                <w:sz w:val="16"/>
                <w:szCs w:val="16"/>
              </w:rPr>
              <w:t>-</w:t>
            </w:r>
          </w:p>
        </w:tc>
      </w:tr>
      <w:tr w:rsidR="00830962" w:rsidRPr="00830962" w:rsidTr="00053B0C">
        <w:trPr>
          <w:trHeight w:val="300"/>
        </w:trPr>
        <w:tc>
          <w:tcPr>
            <w:tcW w:w="983" w:type="pc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rPr>
                <w:sz w:val="16"/>
                <w:szCs w:val="16"/>
              </w:rPr>
            </w:pPr>
            <w:r w:rsidRPr="00830962">
              <w:rPr>
                <w:sz w:val="16"/>
                <w:szCs w:val="16"/>
              </w:rPr>
              <w:t>Inostrani dug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1.597,20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1.583,80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1.573,10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1.575,60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1.574,60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1.572,70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1.572,10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1.561,70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2047,70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0962">
              <w:rPr>
                <w:sz w:val="16"/>
                <w:szCs w:val="16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0962">
              <w:rPr>
                <w:sz w:val="16"/>
                <w:szCs w:val="16"/>
              </w:rP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0962">
              <w:rPr>
                <w:sz w:val="16"/>
                <w:szCs w:val="16"/>
              </w:rPr>
              <w:t>-</w:t>
            </w:r>
          </w:p>
        </w:tc>
      </w:tr>
      <w:tr w:rsidR="00830962" w:rsidRPr="00830962" w:rsidTr="00053B0C">
        <w:trPr>
          <w:trHeight w:val="480"/>
        </w:trPr>
        <w:tc>
          <w:tcPr>
            <w:tcW w:w="983" w:type="pct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830962" w:rsidRPr="00830962" w:rsidRDefault="00830962" w:rsidP="0083096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30962">
              <w:rPr>
                <w:color w:val="000000"/>
                <w:sz w:val="16"/>
                <w:szCs w:val="16"/>
              </w:rPr>
              <w:t>Depoziti*     (U skladu sa Zakonom o budžetu i fiskalnoj odgovornosti)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962" w:rsidRPr="00830962" w:rsidRDefault="00830962" w:rsidP="00830962">
            <w:pPr>
              <w:spacing w:after="0" w:line="240" w:lineRule="auto"/>
              <w:rPr>
                <w:color w:val="000000"/>
              </w:rPr>
            </w:pPr>
            <w:r w:rsidRPr="00830962">
              <w:rPr>
                <w:color w:val="000000"/>
              </w:rP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962" w:rsidRPr="00830962" w:rsidRDefault="00830962" w:rsidP="00830962">
            <w:pPr>
              <w:spacing w:after="0" w:line="240" w:lineRule="auto"/>
              <w:rPr>
                <w:color w:val="000000"/>
              </w:rPr>
            </w:pPr>
            <w:r w:rsidRPr="00830962">
              <w:rPr>
                <w:color w:val="000000"/>
              </w:rP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962" w:rsidRPr="00830962" w:rsidRDefault="00830962" w:rsidP="00830962">
            <w:pPr>
              <w:spacing w:after="0" w:line="240" w:lineRule="auto"/>
              <w:rPr>
                <w:color w:val="000000"/>
              </w:rPr>
            </w:pPr>
            <w:r w:rsidRPr="00830962">
              <w:rPr>
                <w:color w:val="000000"/>
              </w:rP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962" w:rsidRPr="00830962" w:rsidRDefault="00830962" w:rsidP="00830962">
            <w:pPr>
              <w:spacing w:after="0" w:line="240" w:lineRule="auto"/>
              <w:rPr>
                <w:color w:val="000000"/>
              </w:rPr>
            </w:pPr>
            <w:r w:rsidRPr="00830962">
              <w:rPr>
                <w:color w:val="000000"/>
              </w:rP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962" w:rsidRPr="00830962" w:rsidRDefault="00830962" w:rsidP="00830962">
            <w:pPr>
              <w:spacing w:after="0" w:line="240" w:lineRule="auto"/>
              <w:rPr>
                <w:color w:val="000000"/>
              </w:rPr>
            </w:pPr>
            <w:r w:rsidRPr="00830962">
              <w:rPr>
                <w:color w:val="000000"/>
              </w:rP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962" w:rsidRPr="00830962" w:rsidRDefault="00830962" w:rsidP="00830962">
            <w:pPr>
              <w:spacing w:after="0" w:line="240" w:lineRule="auto"/>
              <w:rPr>
                <w:color w:val="000000"/>
              </w:rPr>
            </w:pPr>
            <w:r w:rsidRPr="00830962">
              <w:rPr>
                <w:color w:val="000000"/>
              </w:rP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962" w:rsidRPr="00830962" w:rsidRDefault="00830962" w:rsidP="00830962">
            <w:pPr>
              <w:spacing w:after="0" w:line="240" w:lineRule="auto"/>
              <w:rPr>
                <w:color w:val="000000"/>
              </w:rPr>
            </w:pPr>
            <w:r w:rsidRPr="00830962">
              <w:rPr>
                <w:color w:val="000000"/>
              </w:rP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49,50</w:t>
            </w:r>
          </w:p>
        </w:tc>
        <w:tc>
          <w:tcPr>
            <w:tcW w:w="2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962" w:rsidRPr="00830962" w:rsidRDefault="00830962" w:rsidP="00830962">
            <w:pPr>
              <w:spacing w:after="0" w:line="240" w:lineRule="auto"/>
              <w:rPr>
                <w:color w:val="000000"/>
              </w:rPr>
            </w:pPr>
            <w:r w:rsidRPr="00830962">
              <w:rPr>
                <w:color w:val="000000"/>
              </w:rPr>
              <w:t xml:space="preserve">       -</w:t>
            </w:r>
          </w:p>
        </w:tc>
        <w:tc>
          <w:tcPr>
            <w:tcW w:w="22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962" w:rsidRPr="00830962" w:rsidRDefault="00830962" w:rsidP="00830962">
            <w:pPr>
              <w:spacing w:after="0" w:line="240" w:lineRule="auto"/>
              <w:rPr>
                <w:color w:val="000000"/>
              </w:rPr>
            </w:pPr>
            <w:r w:rsidRPr="00830962">
              <w:rPr>
                <w:color w:val="000000"/>
              </w:rPr>
              <w:t xml:space="preserve">      -</w:t>
            </w:r>
          </w:p>
        </w:tc>
        <w:tc>
          <w:tcPr>
            <w:tcW w:w="22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505,60</w:t>
            </w:r>
          </w:p>
        </w:tc>
        <w:tc>
          <w:tcPr>
            <w:tcW w:w="22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62" w:rsidRPr="00830962" w:rsidRDefault="00830962" w:rsidP="0083096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096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4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962" w:rsidRPr="00830962" w:rsidRDefault="00830962" w:rsidP="00830962">
            <w:pPr>
              <w:spacing w:after="0" w:line="240" w:lineRule="auto"/>
              <w:rPr>
                <w:color w:val="000000"/>
              </w:rPr>
            </w:pPr>
            <w:r w:rsidRPr="00830962">
              <w:rPr>
                <w:color w:val="000000"/>
              </w:rPr>
              <w:t xml:space="preserve">       -</w:t>
            </w:r>
          </w:p>
        </w:tc>
        <w:tc>
          <w:tcPr>
            <w:tcW w:w="23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962" w:rsidRPr="00830962" w:rsidRDefault="00830962" w:rsidP="00830962">
            <w:pPr>
              <w:spacing w:after="0" w:line="240" w:lineRule="auto"/>
              <w:rPr>
                <w:color w:val="000000"/>
              </w:rPr>
            </w:pPr>
            <w:r w:rsidRPr="00830962">
              <w:rPr>
                <w:color w:val="000000"/>
              </w:rPr>
              <w:t xml:space="preserve">      -</w:t>
            </w:r>
          </w:p>
        </w:tc>
        <w:tc>
          <w:tcPr>
            <w:tcW w:w="24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962" w:rsidRPr="00830962" w:rsidRDefault="00830962" w:rsidP="00830962">
            <w:pPr>
              <w:spacing w:after="0" w:line="240" w:lineRule="auto"/>
              <w:rPr>
                <w:color w:val="000000"/>
              </w:rPr>
            </w:pPr>
            <w:r w:rsidRPr="00830962">
              <w:rPr>
                <w:color w:val="000000"/>
              </w:rPr>
              <w:t xml:space="preserve">       -</w:t>
            </w:r>
          </w:p>
        </w:tc>
        <w:tc>
          <w:tcPr>
            <w:tcW w:w="28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30962" w:rsidRPr="00830962" w:rsidRDefault="00830962" w:rsidP="00830962">
            <w:pPr>
              <w:spacing w:after="0" w:line="240" w:lineRule="auto"/>
              <w:rPr>
                <w:color w:val="000000"/>
              </w:rPr>
            </w:pPr>
            <w:r w:rsidRPr="00830962">
              <w:rPr>
                <w:color w:val="000000"/>
              </w:rPr>
              <w:t xml:space="preserve">      -</w:t>
            </w:r>
          </w:p>
        </w:tc>
      </w:tr>
    </w:tbl>
    <w:p w:rsidR="004C4C0D" w:rsidRDefault="004C4C0D" w:rsidP="004C4C0D">
      <w:pPr>
        <w:tabs>
          <w:tab w:val="left" w:pos="2152"/>
        </w:tabs>
        <w:spacing w:after="0"/>
        <w:outlineLvl w:val="0"/>
        <w:rPr>
          <w:noProof/>
          <w:sz w:val="17"/>
          <w:szCs w:val="16"/>
        </w:rPr>
      </w:pPr>
    </w:p>
    <w:p w:rsidR="00830962" w:rsidRPr="006A50FA" w:rsidRDefault="00830962" w:rsidP="00830962">
      <w:pPr>
        <w:spacing w:after="0" w:line="240" w:lineRule="auto"/>
        <w:rPr>
          <w:i/>
          <w:iCs/>
          <w:sz w:val="16"/>
          <w:szCs w:val="16"/>
        </w:rPr>
      </w:pPr>
      <w:r w:rsidRPr="006A50FA">
        <w:rPr>
          <w:i/>
          <w:iCs/>
          <w:sz w:val="16"/>
          <w:szCs w:val="16"/>
        </w:rPr>
        <w:t>Izvor: Ministarstvo finansija Crne Gore</w:t>
      </w:r>
    </w:p>
    <w:p w:rsidR="004C4C0D" w:rsidRDefault="004C4C0D" w:rsidP="004C4C0D">
      <w:pPr>
        <w:tabs>
          <w:tab w:val="left" w:pos="2152"/>
        </w:tabs>
        <w:spacing w:after="0"/>
        <w:outlineLvl w:val="0"/>
        <w:rPr>
          <w:noProof/>
          <w:sz w:val="17"/>
          <w:szCs w:val="16"/>
        </w:rPr>
      </w:pPr>
    </w:p>
    <w:p w:rsidR="004C4C0D" w:rsidRDefault="004C4C0D" w:rsidP="004C4C0D">
      <w:pPr>
        <w:tabs>
          <w:tab w:val="left" w:pos="2152"/>
        </w:tabs>
        <w:spacing w:after="0"/>
        <w:outlineLvl w:val="0"/>
        <w:rPr>
          <w:noProof/>
          <w:sz w:val="17"/>
          <w:szCs w:val="16"/>
        </w:rPr>
      </w:pPr>
    </w:p>
    <w:p w:rsidR="004C4C0D" w:rsidRDefault="004C4C0D" w:rsidP="004C4C0D">
      <w:pPr>
        <w:tabs>
          <w:tab w:val="left" w:pos="2152"/>
        </w:tabs>
        <w:spacing w:after="0"/>
        <w:outlineLvl w:val="0"/>
        <w:rPr>
          <w:noProof/>
          <w:sz w:val="17"/>
          <w:szCs w:val="16"/>
        </w:rPr>
      </w:pPr>
    </w:p>
    <w:p w:rsidR="004C4C0D" w:rsidRDefault="004C4C0D" w:rsidP="004C4C0D">
      <w:pPr>
        <w:tabs>
          <w:tab w:val="left" w:pos="2152"/>
        </w:tabs>
        <w:spacing w:after="0"/>
        <w:outlineLvl w:val="0"/>
        <w:rPr>
          <w:noProof/>
          <w:sz w:val="17"/>
          <w:szCs w:val="16"/>
        </w:rPr>
      </w:pPr>
    </w:p>
    <w:p w:rsidR="004C4C0D" w:rsidRDefault="004C4C0D" w:rsidP="004C4C0D">
      <w:pPr>
        <w:tabs>
          <w:tab w:val="left" w:pos="2152"/>
        </w:tabs>
        <w:spacing w:after="0"/>
        <w:outlineLvl w:val="0"/>
        <w:rPr>
          <w:noProof/>
          <w:sz w:val="17"/>
          <w:szCs w:val="16"/>
        </w:rPr>
      </w:pPr>
    </w:p>
    <w:p w:rsidR="004C4C0D" w:rsidRDefault="004C4C0D" w:rsidP="004C4C0D">
      <w:pPr>
        <w:tabs>
          <w:tab w:val="left" w:pos="2152"/>
        </w:tabs>
        <w:spacing w:after="0"/>
        <w:outlineLvl w:val="0"/>
        <w:rPr>
          <w:noProof/>
          <w:sz w:val="17"/>
          <w:szCs w:val="16"/>
        </w:rPr>
      </w:pPr>
    </w:p>
    <w:p w:rsidR="004C4C0D" w:rsidRDefault="004C4C0D" w:rsidP="004C4C0D">
      <w:pPr>
        <w:tabs>
          <w:tab w:val="left" w:pos="2152"/>
        </w:tabs>
        <w:spacing w:after="0"/>
        <w:outlineLvl w:val="0"/>
        <w:rPr>
          <w:noProof/>
          <w:sz w:val="17"/>
          <w:szCs w:val="16"/>
        </w:rPr>
      </w:pPr>
    </w:p>
    <w:sectPr w:rsidR="004C4C0D" w:rsidSect="00053B0C">
      <w:pgSz w:w="16839" w:h="11907" w:orient="landscape" w:code="9"/>
      <w:pgMar w:top="284" w:right="254" w:bottom="284" w:left="426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B8634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9CF" w:rsidRDefault="007B39CF" w:rsidP="00965FCD">
      <w:pPr>
        <w:spacing w:after="0" w:line="240" w:lineRule="auto"/>
      </w:pPr>
      <w:r>
        <w:separator/>
      </w:r>
    </w:p>
  </w:endnote>
  <w:endnote w:type="continuationSeparator" w:id="1">
    <w:p w:rsidR="007B39CF" w:rsidRDefault="007B39CF" w:rsidP="0096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9CF" w:rsidRDefault="007B39CF" w:rsidP="00965FCD">
      <w:pPr>
        <w:spacing w:after="0" w:line="240" w:lineRule="auto"/>
      </w:pPr>
      <w:r>
        <w:separator/>
      </w:r>
    </w:p>
  </w:footnote>
  <w:footnote w:type="continuationSeparator" w:id="1">
    <w:p w:rsidR="007B39CF" w:rsidRDefault="007B39CF" w:rsidP="00965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C1A"/>
    <w:multiLevelType w:val="hybridMultilevel"/>
    <w:tmpl w:val="30AA2F4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47929"/>
    <w:multiLevelType w:val="hybridMultilevel"/>
    <w:tmpl w:val="91FAB53C"/>
    <w:lvl w:ilvl="0" w:tplc="72EA05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416C16"/>
    <w:multiLevelType w:val="hybridMultilevel"/>
    <w:tmpl w:val="A8881E4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B535E"/>
    <w:multiLevelType w:val="hybridMultilevel"/>
    <w:tmpl w:val="23CE0FC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44420"/>
    <w:multiLevelType w:val="hybridMultilevel"/>
    <w:tmpl w:val="6D141CC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A7F5D"/>
    <w:multiLevelType w:val="hybridMultilevel"/>
    <w:tmpl w:val="D5861986"/>
    <w:lvl w:ilvl="0" w:tplc="08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6B83CB2"/>
    <w:multiLevelType w:val="hybridMultilevel"/>
    <w:tmpl w:val="6DF487A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F455C5"/>
    <w:multiLevelType w:val="hybridMultilevel"/>
    <w:tmpl w:val="A3349FA2"/>
    <w:lvl w:ilvl="0" w:tplc="0D8ACA5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2"/>
      </w:rPr>
    </w:lvl>
    <w:lvl w:ilvl="1" w:tplc="08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AD75D1E"/>
    <w:multiLevelType w:val="hybridMultilevel"/>
    <w:tmpl w:val="D1FE9B4C"/>
    <w:lvl w:ilvl="0" w:tplc="3CB0BA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15614F"/>
    <w:multiLevelType w:val="hybridMultilevel"/>
    <w:tmpl w:val="9BF2355E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E6489D"/>
    <w:multiLevelType w:val="hybridMultilevel"/>
    <w:tmpl w:val="FE768E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3D37D0"/>
    <w:multiLevelType w:val="hybridMultilevel"/>
    <w:tmpl w:val="D4C08A40"/>
    <w:lvl w:ilvl="0" w:tplc="08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8"/>
      </w:rPr>
    </w:lvl>
    <w:lvl w:ilvl="1" w:tplc="081A0019" w:tentative="1">
      <w:start w:val="1"/>
      <w:numFmt w:val="lowerLetter"/>
      <w:lvlText w:val="%2."/>
      <w:lvlJc w:val="left"/>
      <w:pPr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03C509B"/>
    <w:multiLevelType w:val="hybridMultilevel"/>
    <w:tmpl w:val="C694C4E4"/>
    <w:lvl w:ilvl="0" w:tplc="103E7AA0">
      <w:numFmt w:val="bullet"/>
      <w:lvlText w:val="*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8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21B54940"/>
    <w:multiLevelType w:val="hybridMultilevel"/>
    <w:tmpl w:val="E408973A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40F0C99"/>
    <w:multiLevelType w:val="hybridMultilevel"/>
    <w:tmpl w:val="B010D436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668F7"/>
    <w:multiLevelType w:val="hybridMultilevel"/>
    <w:tmpl w:val="B6A42554"/>
    <w:lvl w:ilvl="0" w:tplc="85244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35C14"/>
    <w:multiLevelType w:val="hybridMultilevel"/>
    <w:tmpl w:val="8EEEE808"/>
    <w:lvl w:ilvl="0" w:tplc="5F662FB4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03CE7"/>
    <w:multiLevelType w:val="hybridMultilevel"/>
    <w:tmpl w:val="9FECAB34"/>
    <w:lvl w:ilvl="0" w:tplc="7DA6C83E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  <w:sz w:val="20"/>
      </w:rPr>
    </w:lvl>
    <w:lvl w:ilvl="1" w:tplc="08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F76453A"/>
    <w:multiLevelType w:val="hybridMultilevel"/>
    <w:tmpl w:val="C51085F4"/>
    <w:lvl w:ilvl="0" w:tplc="58DA0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FD6A9E"/>
    <w:multiLevelType w:val="hybridMultilevel"/>
    <w:tmpl w:val="7FB84D4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02C45"/>
    <w:multiLevelType w:val="hybridMultilevel"/>
    <w:tmpl w:val="1324B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B60745"/>
    <w:multiLevelType w:val="hybridMultilevel"/>
    <w:tmpl w:val="1E52891C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301141A"/>
    <w:multiLevelType w:val="hybridMultilevel"/>
    <w:tmpl w:val="D0A8692C"/>
    <w:lvl w:ilvl="0" w:tplc="08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499401B"/>
    <w:multiLevelType w:val="hybridMultilevel"/>
    <w:tmpl w:val="31A4DA1E"/>
    <w:lvl w:ilvl="0" w:tplc="901E34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5BA0AB7"/>
    <w:multiLevelType w:val="hybridMultilevel"/>
    <w:tmpl w:val="75E8BCEE"/>
    <w:lvl w:ilvl="0" w:tplc="08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6A37EC6"/>
    <w:multiLevelType w:val="hybridMultilevel"/>
    <w:tmpl w:val="B78AAF86"/>
    <w:lvl w:ilvl="0" w:tplc="213C6408">
      <w:start w:val="1"/>
      <w:numFmt w:val="decimal"/>
      <w:lvlText w:val="%1."/>
      <w:lvlJc w:val="left"/>
      <w:pPr>
        <w:ind w:left="1800" w:hanging="360"/>
      </w:pPr>
      <w:rPr>
        <w:sz w:val="28"/>
      </w:rPr>
    </w:lvl>
    <w:lvl w:ilvl="1" w:tplc="081A0019" w:tentative="1">
      <w:start w:val="1"/>
      <w:numFmt w:val="lowerLetter"/>
      <w:lvlText w:val="%2."/>
      <w:lvlJc w:val="left"/>
      <w:pPr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8C121CD"/>
    <w:multiLevelType w:val="hybridMultilevel"/>
    <w:tmpl w:val="F1943F8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1D6498"/>
    <w:multiLevelType w:val="hybridMultilevel"/>
    <w:tmpl w:val="D71CF91A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1D2112"/>
    <w:multiLevelType w:val="hybridMultilevel"/>
    <w:tmpl w:val="B8425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6E7D4B"/>
    <w:multiLevelType w:val="hybridMultilevel"/>
    <w:tmpl w:val="31A4DA1E"/>
    <w:lvl w:ilvl="0" w:tplc="901E34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ECC0A8D"/>
    <w:multiLevelType w:val="hybridMultilevel"/>
    <w:tmpl w:val="0A4EB86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097970"/>
    <w:multiLevelType w:val="hybridMultilevel"/>
    <w:tmpl w:val="31A4DA1E"/>
    <w:lvl w:ilvl="0" w:tplc="901E34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61246544"/>
    <w:multiLevelType w:val="hybridMultilevel"/>
    <w:tmpl w:val="3D148D9E"/>
    <w:lvl w:ilvl="0" w:tplc="B564503E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934FA9"/>
    <w:multiLevelType w:val="hybridMultilevel"/>
    <w:tmpl w:val="28C6A5DE"/>
    <w:lvl w:ilvl="0" w:tplc="A99EAD8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66417E"/>
    <w:multiLevelType w:val="hybridMultilevel"/>
    <w:tmpl w:val="62A2514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E58CA"/>
    <w:multiLevelType w:val="hybridMultilevel"/>
    <w:tmpl w:val="F788E09E"/>
    <w:lvl w:ilvl="0" w:tplc="72EA05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215A22"/>
    <w:multiLevelType w:val="hybridMultilevel"/>
    <w:tmpl w:val="018EDD7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2292"/>
    <w:multiLevelType w:val="hybridMultilevel"/>
    <w:tmpl w:val="C1E0685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>
    <w:nsid w:val="7D7715E1"/>
    <w:multiLevelType w:val="hybridMultilevel"/>
    <w:tmpl w:val="0016A4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9"/>
  </w:num>
  <w:num w:numId="3">
    <w:abstractNumId w:val="38"/>
  </w:num>
  <w:num w:numId="4">
    <w:abstractNumId w:val="26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8"/>
  </w:num>
  <w:num w:numId="8">
    <w:abstractNumId w:val="3"/>
  </w:num>
  <w:num w:numId="9">
    <w:abstractNumId w:val="0"/>
  </w:num>
  <w:num w:numId="10">
    <w:abstractNumId w:val="36"/>
  </w:num>
  <w:num w:numId="11">
    <w:abstractNumId w:val="2"/>
  </w:num>
  <w:num w:numId="12">
    <w:abstractNumId w:val="34"/>
  </w:num>
  <w:num w:numId="13">
    <w:abstractNumId w:val="30"/>
  </w:num>
  <w:num w:numId="14">
    <w:abstractNumId w:val="10"/>
  </w:num>
  <w:num w:numId="15">
    <w:abstractNumId w:val="8"/>
  </w:num>
  <w:num w:numId="16">
    <w:abstractNumId w:val="21"/>
  </w:num>
  <w:num w:numId="17">
    <w:abstractNumId w:val="12"/>
  </w:num>
  <w:num w:numId="18">
    <w:abstractNumId w:val="25"/>
  </w:num>
  <w:num w:numId="19">
    <w:abstractNumId w:val="11"/>
  </w:num>
  <w:num w:numId="20">
    <w:abstractNumId w:val="22"/>
  </w:num>
  <w:num w:numId="21">
    <w:abstractNumId w:val="24"/>
  </w:num>
  <w:num w:numId="22">
    <w:abstractNumId w:val="17"/>
  </w:num>
  <w:num w:numId="23">
    <w:abstractNumId w:val="16"/>
  </w:num>
  <w:num w:numId="24">
    <w:abstractNumId w:val="32"/>
  </w:num>
  <w:num w:numId="25">
    <w:abstractNumId w:val="6"/>
  </w:num>
  <w:num w:numId="26">
    <w:abstractNumId w:val="13"/>
  </w:num>
  <w:num w:numId="27">
    <w:abstractNumId w:val="29"/>
  </w:num>
  <w:num w:numId="28">
    <w:abstractNumId w:val="5"/>
  </w:num>
  <w:num w:numId="29">
    <w:abstractNumId w:val="7"/>
  </w:num>
  <w:num w:numId="30">
    <w:abstractNumId w:val="23"/>
  </w:num>
  <w:num w:numId="31">
    <w:abstractNumId w:val="33"/>
  </w:num>
  <w:num w:numId="32">
    <w:abstractNumId w:val="19"/>
  </w:num>
  <w:num w:numId="33">
    <w:abstractNumId w:val="37"/>
  </w:num>
  <w:num w:numId="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4"/>
  </w:num>
  <w:num w:numId="37">
    <w:abstractNumId w:val="27"/>
  </w:num>
  <w:num w:numId="38">
    <w:abstractNumId w:val="18"/>
  </w:num>
  <w:num w:numId="39">
    <w:abstractNumId w:val="4"/>
  </w:num>
  <w:num w:numId="40">
    <w:abstractNumId w:val="1"/>
  </w:num>
  <w:num w:numId="41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4866"/>
  </w:hdrShapeDefaults>
  <w:footnotePr>
    <w:footnote w:id="0"/>
    <w:footnote w:id="1"/>
  </w:footnotePr>
  <w:endnotePr>
    <w:endnote w:id="0"/>
    <w:endnote w:id="1"/>
  </w:endnotePr>
  <w:compat/>
  <w:rsids>
    <w:rsidRoot w:val="00D61692"/>
    <w:rsid w:val="000000CB"/>
    <w:rsid w:val="00000106"/>
    <w:rsid w:val="000009E1"/>
    <w:rsid w:val="000010A3"/>
    <w:rsid w:val="00003D78"/>
    <w:rsid w:val="000040B3"/>
    <w:rsid w:val="000049D6"/>
    <w:rsid w:val="00004B56"/>
    <w:rsid w:val="00005AD2"/>
    <w:rsid w:val="00005D5A"/>
    <w:rsid w:val="00007424"/>
    <w:rsid w:val="00012F84"/>
    <w:rsid w:val="0001302D"/>
    <w:rsid w:val="000130FF"/>
    <w:rsid w:val="0001459D"/>
    <w:rsid w:val="000147A0"/>
    <w:rsid w:val="00014AAB"/>
    <w:rsid w:val="00014D0B"/>
    <w:rsid w:val="00014E6A"/>
    <w:rsid w:val="0001641E"/>
    <w:rsid w:val="0001692A"/>
    <w:rsid w:val="00017070"/>
    <w:rsid w:val="00017AE3"/>
    <w:rsid w:val="0002071C"/>
    <w:rsid w:val="00021033"/>
    <w:rsid w:val="000211E4"/>
    <w:rsid w:val="000216CA"/>
    <w:rsid w:val="000224B4"/>
    <w:rsid w:val="00022789"/>
    <w:rsid w:val="00022F81"/>
    <w:rsid w:val="0002327A"/>
    <w:rsid w:val="00024DC9"/>
    <w:rsid w:val="0002564B"/>
    <w:rsid w:val="00025AC0"/>
    <w:rsid w:val="000263A4"/>
    <w:rsid w:val="00026971"/>
    <w:rsid w:val="0002713B"/>
    <w:rsid w:val="00027D5E"/>
    <w:rsid w:val="000300F0"/>
    <w:rsid w:val="00030DAB"/>
    <w:rsid w:val="000314E5"/>
    <w:rsid w:val="00031722"/>
    <w:rsid w:val="00031FAD"/>
    <w:rsid w:val="00032524"/>
    <w:rsid w:val="00032D34"/>
    <w:rsid w:val="0003370D"/>
    <w:rsid w:val="000341DE"/>
    <w:rsid w:val="000347DB"/>
    <w:rsid w:val="00034923"/>
    <w:rsid w:val="0003497A"/>
    <w:rsid w:val="00034D42"/>
    <w:rsid w:val="00034F07"/>
    <w:rsid w:val="0003544A"/>
    <w:rsid w:val="0003620F"/>
    <w:rsid w:val="00036822"/>
    <w:rsid w:val="000369E1"/>
    <w:rsid w:val="000370CF"/>
    <w:rsid w:val="00037558"/>
    <w:rsid w:val="00037B58"/>
    <w:rsid w:val="0004205C"/>
    <w:rsid w:val="000421A3"/>
    <w:rsid w:val="00042CE6"/>
    <w:rsid w:val="00043BF6"/>
    <w:rsid w:val="00043DED"/>
    <w:rsid w:val="000449CD"/>
    <w:rsid w:val="00044CB0"/>
    <w:rsid w:val="00045654"/>
    <w:rsid w:val="00045D59"/>
    <w:rsid w:val="00046C9E"/>
    <w:rsid w:val="00050101"/>
    <w:rsid w:val="00050D3F"/>
    <w:rsid w:val="00050EAB"/>
    <w:rsid w:val="000525B8"/>
    <w:rsid w:val="00052732"/>
    <w:rsid w:val="00052BB7"/>
    <w:rsid w:val="00052DC4"/>
    <w:rsid w:val="00053B0C"/>
    <w:rsid w:val="00054068"/>
    <w:rsid w:val="000547A1"/>
    <w:rsid w:val="00054837"/>
    <w:rsid w:val="00055E5C"/>
    <w:rsid w:val="00055F78"/>
    <w:rsid w:val="0005630C"/>
    <w:rsid w:val="00056750"/>
    <w:rsid w:val="00056E43"/>
    <w:rsid w:val="000572EC"/>
    <w:rsid w:val="0005797E"/>
    <w:rsid w:val="000601A4"/>
    <w:rsid w:val="00060976"/>
    <w:rsid w:val="00061391"/>
    <w:rsid w:val="000624EE"/>
    <w:rsid w:val="00064395"/>
    <w:rsid w:val="000645F3"/>
    <w:rsid w:val="00065B6F"/>
    <w:rsid w:val="00066C17"/>
    <w:rsid w:val="00067726"/>
    <w:rsid w:val="00067FD6"/>
    <w:rsid w:val="00070965"/>
    <w:rsid w:val="000712B9"/>
    <w:rsid w:val="0007229B"/>
    <w:rsid w:val="00072932"/>
    <w:rsid w:val="000734AF"/>
    <w:rsid w:val="00073786"/>
    <w:rsid w:val="0007424D"/>
    <w:rsid w:val="00074378"/>
    <w:rsid w:val="000746C7"/>
    <w:rsid w:val="000747AC"/>
    <w:rsid w:val="00074C3E"/>
    <w:rsid w:val="00074D69"/>
    <w:rsid w:val="0007530C"/>
    <w:rsid w:val="0007555E"/>
    <w:rsid w:val="000771F2"/>
    <w:rsid w:val="00077211"/>
    <w:rsid w:val="00080AEE"/>
    <w:rsid w:val="000812E2"/>
    <w:rsid w:val="0008138F"/>
    <w:rsid w:val="00082395"/>
    <w:rsid w:val="00082D87"/>
    <w:rsid w:val="000831EE"/>
    <w:rsid w:val="00083320"/>
    <w:rsid w:val="00083D05"/>
    <w:rsid w:val="00084C03"/>
    <w:rsid w:val="00085B67"/>
    <w:rsid w:val="0008654B"/>
    <w:rsid w:val="00087B90"/>
    <w:rsid w:val="00090FDD"/>
    <w:rsid w:val="00091154"/>
    <w:rsid w:val="00091539"/>
    <w:rsid w:val="000915D3"/>
    <w:rsid w:val="000917D8"/>
    <w:rsid w:val="000924C0"/>
    <w:rsid w:val="000925F7"/>
    <w:rsid w:val="00094311"/>
    <w:rsid w:val="000945C9"/>
    <w:rsid w:val="000947A0"/>
    <w:rsid w:val="0009505C"/>
    <w:rsid w:val="0009548F"/>
    <w:rsid w:val="000956EB"/>
    <w:rsid w:val="000963A6"/>
    <w:rsid w:val="000963C2"/>
    <w:rsid w:val="00097527"/>
    <w:rsid w:val="00097E38"/>
    <w:rsid w:val="000A01B0"/>
    <w:rsid w:val="000A0BBC"/>
    <w:rsid w:val="000A1159"/>
    <w:rsid w:val="000A1459"/>
    <w:rsid w:val="000A14DA"/>
    <w:rsid w:val="000A2350"/>
    <w:rsid w:val="000A2E85"/>
    <w:rsid w:val="000A2F52"/>
    <w:rsid w:val="000A33CB"/>
    <w:rsid w:val="000A3D69"/>
    <w:rsid w:val="000A4226"/>
    <w:rsid w:val="000A42FE"/>
    <w:rsid w:val="000A43CE"/>
    <w:rsid w:val="000A47FF"/>
    <w:rsid w:val="000A4E37"/>
    <w:rsid w:val="000A5E23"/>
    <w:rsid w:val="000A787A"/>
    <w:rsid w:val="000A7FBB"/>
    <w:rsid w:val="000B19D0"/>
    <w:rsid w:val="000B1DD7"/>
    <w:rsid w:val="000B28FC"/>
    <w:rsid w:val="000B2B16"/>
    <w:rsid w:val="000B31EE"/>
    <w:rsid w:val="000B34E4"/>
    <w:rsid w:val="000B37A3"/>
    <w:rsid w:val="000B40A4"/>
    <w:rsid w:val="000B45AB"/>
    <w:rsid w:val="000B4800"/>
    <w:rsid w:val="000B48EE"/>
    <w:rsid w:val="000B502D"/>
    <w:rsid w:val="000B54A3"/>
    <w:rsid w:val="000B5DD4"/>
    <w:rsid w:val="000B6252"/>
    <w:rsid w:val="000B62D3"/>
    <w:rsid w:val="000B67B1"/>
    <w:rsid w:val="000B69BF"/>
    <w:rsid w:val="000B788B"/>
    <w:rsid w:val="000B7AE2"/>
    <w:rsid w:val="000C06C5"/>
    <w:rsid w:val="000C0B0A"/>
    <w:rsid w:val="000C108E"/>
    <w:rsid w:val="000C1965"/>
    <w:rsid w:val="000C26C8"/>
    <w:rsid w:val="000C2FAD"/>
    <w:rsid w:val="000C3655"/>
    <w:rsid w:val="000C36DB"/>
    <w:rsid w:val="000C4998"/>
    <w:rsid w:val="000C5764"/>
    <w:rsid w:val="000C5FBB"/>
    <w:rsid w:val="000C64EF"/>
    <w:rsid w:val="000C65A2"/>
    <w:rsid w:val="000C6818"/>
    <w:rsid w:val="000C7278"/>
    <w:rsid w:val="000C72DD"/>
    <w:rsid w:val="000D0368"/>
    <w:rsid w:val="000D0374"/>
    <w:rsid w:val="000D09EB"/>
    <w:rsid w:val="000D0BE6"/>
    <w:rsid w:val="000D1AA8"/>
    <w:rsid w:val="000D2DFE"/>
    <w:rsid w:val="000D52CF"/>
    <w:rsid w:val="000D588E"/>
    <w:rsid w:val="000D5D48"/>
    <w:rsid w:val="000D5ED7"/>
    <w:rsid w:val="000D6CD4"/>
    <w:rsid w:val="000D6DF1"/>
    <w:rsid w:val="000D75EE"/>
    <w:rsid w:val="000D765B"/>
    <w:rsid w:val="000D7A66"/>
    <w:rsid w:val="000E13EB"/>
    <w:rsid w:val="000E2251"/>
    <w:rsid w:val="000E2351"/>
    <w:rsid w:val="000E294A"/>
    <w:rsid w:val="000E3987"/>
    <w:rsid w:val="000E3AEE"/>
    <w:rsid w:val="000E40CC"/>
    <w:rsid w:val="000E4DD4"/>
    <w:rsid w:val="000E5336"/>
    <w:rsid w:val="000E5DCB"/>
    <w:rsid w:val="000E6096"/>
    <w:rsid w:val="000E621C"/>
    <w:rsid w:val="000E77A4"/>
    <w:rsid w:val="000E7A16"/>
    <w:rsid w:val="000E7E9D"/>
    <w:rsid w:val="000F1010"/>
    <w:rsid w:val="000F1186"/>
    <w:rsid w:val="000F1AA9"/>
    <w:rsid w:val="000F260E"/>
    <w:rsid w:val="000F4D73"/>
    <w:rsid w:val="000F595D"/>
    <w:rsid w:val="000F5B09"/>
    <w:rsid w:val="000F6577"/>
    <w:rsid w:val="000F6B64"/>
    <w:rsid w:val="000F6C6B"/>
    <w:rsid w:val="000F756E"/>
    <w:rsid w:val="000F7DDF"/>
    <w:rsid w:val="00100371"/>
    <w:rsid w:val="001021CB"/>
    <w:rsid w:val="00102786"/>
    <w:rsid w:val="001030CC"/>
    <w:rsid w:val="0010339D"/>
    <w:rsid w:val="00103CA9"/>
    <w:rsid w:val="00103FF0"/>
    <w:rsid w:val="001040F3"/>
    <w:rsid w:val="0010452C"/>
    <w:rsid w:val="00105AEF"/>
    <w:rsid w:val="00106446"/>
    <w:rsid w:val="0010656B"/>
    <w:rsid w:val="00106632"/>
    <w:rsid w:val="00107128"/>
    <w:rsid w:val="00107647"/>
    <w:rsid w:val="00107A07"/>
    <w:rsid w:val="00110756"/>
    <w:rsid w:val="001119DE"/>
    <w:rsid w:val="00111A0E"/>
    <w:rsid w:val="00111C8A"/>
    <w:rsid w:val="001124C4"/>
    <w:rsid w:val="001124FF"/>
    <w:rsid w:val="00112853"/>
    <w:rsid w:val="00112E23"/>
    <w:rsid w:val="001137C1"/>
    <w:rsid w:val="00114109"/>
    <w:rsid w:val="001141E2"/>
    <w:rsid w:val="00114378"/>
    <w:rsid w:val="00115519"/>
    <w:rsid w:val="00115C83"/>
    <w:rsid w:val="00116365"/>
    <w:rsid w:val="001164A1"/>
    <w:rsid w:val="00116545"/>
    <w:rsid w:val="00116A8F"/>
    <w:rsid w:val="00117393"/>
    <w:rsid w:val="00117AB0"/>
    <w:rsid w:val="001209D0"/>
    <w:rsid w:val="00120A3A"/>
    <w:rsid w:val="0012343E"/>
    <w:rsid w:val="00123850"/>
    <w:rsid w:val="00123909"/>
    <w:rsid w:val="00123BF5"/>
    <w:rsid w:val="00123CBD"/>
    <w:rsid w:val="00124730"/>
    <w:rsid w:val="001251D5"/>
    <w:rsid w:val="0012708A"/>
    <w:rsid w:val="0012719F"/>
    <w:rsid w:val="001276C7"/>
    <w:rsid w:val="00127B5A"/>
    <w:rsid w:val="00130DCC"/>
    <w:rsid w:val="00131185"/>
    <w:rsid w:val="001321AB"/>
    <w:rsid w:val="001326B7"/>
    <w:rsid w:val="00132999"/>
    <w:rsid w:val="00132A0C"/>
    <w:rsid w:val="00132E99"/>
    <w:rsid w:val="00133348"/>
    <w:rsid w:val="00134645"/>
    <w:rsid w:val="00134816"/>
    <w:rsid w:val="00134A21"/>
    <w:rsid w:val="00134C6C"/>
    <w:rsid w:val="00136C72"/>
    <w:rsid w:val="00136E70"/>
    <w:rsid w:val="00141D67"/>
    <w:rsid w:val="00141FDD"/>
    <w:rsid w:val="00143FCB"/>
    <w:rsid w:val="00144C86"/>
    <w:rsid w:val="00144E08"/>
    <w:rsid w:val="00144EE5"/>
    <w:rsid w:val="0014607D"/>
    <w:rsid w:val="00147278"/>
    <w:rsid w:val="00150230"/>
    <w:rsid w:val="00150707"/>
    <w:rsid w:val="00151155"/>
    <w:rsid w:val="00152409"/>
    <w:rsid w:val="00152E4F"/>
    <w:rsid w:val="001530CE"/>
    <w:rsid w:val="0015322D"/>
    <w:rsid w:val="00153490"/>
    <w:rsid w:val="00154145"/>
    <w:rsid w:val="0015515C"/>
    <w:rsid w:val="00156A83"/>
    <w:rsid w:val="00156C2D"/>
    <w:rsid w:val="00156E33"/>
    <w:rsid w:val="001575F1"/>
    <w:rsid w:val="00157601"/>
    <w:rsid w:val="001577A1"/>
    <w:rsid w:val="00160183"/>
    <w:rsid w:val="00160A29"/>
    <w:rsid w:val="001610BD"/>
    <w:rsid w:val="001613FC"/>
    <w:rsid w:val="001627A3"/>
    <w:rsid w:val="00163041"/>
    <w:rsid w:val="00163A7B"/>
    <w:rsid w:val="00163AF0"/>
    <w:rsid w:val="001644C7"/>
    <w:rsid w:val="001646BA"/>
    <w:rsid w:val="00165773"/>
    <w:rsid w:val="00165DE6"/>
    <w:rsid w:val="00167281"/>
    <w:rsid w:val="001672AB"/>
    <w:rsid w:val="001678F1"/>
    <w:rsid w:val="001708D0"/>
    <w:rsid w:val="00170C82"/>
    <w:rsid w:val="00170CCE"/>
    <w:rsid w:val="00172053"/>
    <w:rsid w:val="00172816"/>
    <w:rsid w:val="00172D59"/>
    <w:rsid w:val="00172F78"/>
    <w:rsid w:val="001730BE"/>
    <w:rsid w:val="00174836"/>
    <w:rsid w:val="00174FD6"/>
    <w:rsid w:val="00175115"/>
    <w:rsid w:val="0017540F"/>
    <w:rsid w:val="001754F5"/>
    <w:rsid w:val="0017563A"/>
    <w:rsid w:val="00175718"/>
    <w:rsid w:val="00177AD9"/>
    <w:rsid w:val="00181309"/>
    <w:rsid w:val="0018179A"/>
    <w:rsid w:val="001824C2"/>
    <w:rsid w:val="00182872"/>
    <w:rsid w:val="0018289E"/>
    <w:rsid w:val="0018331D"/>
    <w:rsid w:val="00184FDC"/>
    <w:rsid w:val="0018592D"/>
    <w:rsid w:val="0018626E"/>
    <w:rsid w:val="0018666E"/>
    <w:rsid w:val="00186BEF"/>
    <w:rsid w:val="00186F09"/>
    <w:rsid w:val="0018739E"/>
    <w:rsid w:val="0018794A"/>
    <w:rsid w:val="00187C66"/>
    <w:rsid w:val="00190285"/>
    <w:rsid w:val="00191F90"/>
    <w:rsid w:val="00192506"/>
    <w:rsid w:val="00192F1E"/>
    <w:rsid w:val="00193080"/>
    <w:rsid w:val="001931C2"/>
    <w:rsid w:val="00193785"/>
    <w:rsid w:val="001942BA"/>
    <w:rsid w:val="001971A8"/>
    <w:rsid w:val="001A0035"/>
    <w:rsid w:val="001A02DD"/>
    <w:rsid w:val="001A0A6C"/>
    <w:rsid w:val="001A2829"/>
    <w:rsid w:val="001A2F7A"/>
    <w:rsid w:val="001A392F"/>
    <w:rsid w:val="001A4F8D"/>
    <w:rsid w:val="001A594D"/>
    <w:rsid w:val="001A5B99"/>
    <w:rsid w:val="001A65F4"/>
    <w:rsid w:val="001A7319"/>
    <w:rsid w:val="001A783E"/>
    <w:rsid w:val="001B0396"/>
    <w:rsid w:val="001B0D03"/>
    <w:rsid w:val="001B17AD"/>
    <w:rsid w:val="001B1D1D"/>
    <w:rsid w:val="001B259F"/>
    <w:rsid w:val="001B25FF"/>
    <w:rsid w:val="001B3267"/>
    <w:rsid w:val="001B399F"/>
    <w:rsid w:val="001B3BE3"/>
    <w:rsid w:val="001B4CB9"/>
    <w:rsid w:val="001B4F99"/>
    <w:rsid w:val="001B6D24"/>
    <w:rsid w:val="001B725A"/>
    <w:rsid w:val="001B7AD0"/>
    <w:rsid w:val="001B7C2A"/>
    <w:rsid w:val="001B7D00"/>
    <w:rsid w:val="001C0237"/>
    <w:rsid w:val="001C0AB4"/>
    <w:rsid w:val="001C1490"/>
    <w:rsid w:val="001C1928"/>
    <w:rsid w:val="001C1F7E"/>
    <w:rsid w:val="001C2278"/>
    <w:rsid w:val="001C22CB"/>
    <w:rsid w:val="001C237D"/>
    <w:rsid w:val="001C23DD"/>
    <w:rsid w:val="001C264C"/>
    <w:rsid w:val="001C2751"/>
    <w:rsid w:val="001C2855"/>
    <w:rsid w:val="001C51EC"/>
    <w:rsid w:val="001C5CE9"/>
    <w:rsid w:val="001C6120"/>
    <w:rsid w:val="001C6698"/>
    <w:rsid w:val="001C6750"/>
    <w:rsid w:val="001C6781"/>
    <w:rsid w:val="001C6817"/>
    <w:rsid w:val="001C6D1F"/>
    <w:rsid w:val="001C70BA"/>
    <w:rsid w:val="001D0226"/>
    <w:rsid w:val="001D0A32"/>
    <w:rsid w:val="001D21BD"/>
    <w:rsid w:val="001D37FD"/>
    <w:rsid w:val="001D4E81"/>
    <w:rsid w:val="001D7822"/>
    <w:rsid w:val="001E2403"/>
    <w:rsid w:val="001E29C8"/>
    <w:rsid w:val="001E29D1"/>
    <w:rsid w:val="001E2BC7"/>
    <w:rsid w:val="001E33FE"/>
    <w:rsid w:val="001E4EAE"/>
    <w:rsid w:val="001E53D5"/>
    <w:rsid w:val="001E5BE3"/>
    <w:rsid w:val="001E5E69"/>
    <w:rsid w:val="001E698E"/>
    <w:rsid w:val="001F1378"/>
    <w:rsid w:val="001F181F"/>
    <w:rsid w:val="001F19CC"/>
    <w:rsid w:val="001F27F8"/>
    <w:rsid w:val="001F2B57"/>
    <w:rsid w:val="001F3E69"/>
    <w:rsid w:val="001F4118"/>
    <w:rsid w:val="001F4C02"/>
    <w:rsid w:val="001F69DD"/>
    <w:rsid w:val="001F7445"/>
    <w:rsid w:val="001F7741"/>
    <w:rsid w:val="001F7C33"/>
    <w:rsid w:val="001F7C4B"/>
    <w:rsid w:val="002000E5"/>
    <w:rsid w:val="00200602"/>
    <w:rsid w:val="00200A3F"/>
    <w:rsid w:val="002010F0"/>
    <w:rsid w:val="00201AEB"/>
    <w:rsid w:val="00202423"/>
    <w:rsid w:val="0020246C"/>
    <w:rsid w:val="00203447"/>
    <w:rsid w:val="0020440D"/>
    <w:rsid w:val="002049C0"/>
    <w:rsid w:val="00205D15"/>
    <w:rsid w:val="00205E88"/>
    <w:rsid w:val="00206062"/>
    <w:rsid w:val="0020648A"/>
    <w:rsid w:val="00207613"/>
    <w:rsid w:val="00207B53"/>
    <w:rsid w:val="0021042E"/>
    <w:rsid w:val="00212126"/>
    <w:rsid w:val="00212633"/>
    <w:rsid w:val="002127F9"/>
    <w:rsid w:val="002128D8"/>
    <w:rsid w:val="002129D4"/>
    <w:rsid w:val="00212CDE"/>
    <w:rsid w:val="00213269"/>
    <w:rsid w:val="002135A2"/>
    <w:rsid w:val="002135B1"/>
    <w:rsid w:val="002138EC"/>
    <w:rsid w:val="0021614C"/>
    <w:rsid w:val="002167C4"/>
    <w:rsid w:val="00216A75"/>
    <w:rsid w:val="00216C6D"/>
    <w:rsid w:val="00220834"/>
    <w:rsid w:val="00220B59"/>
    <w:rsid w:val="002210E9"/>
    <w:rsid w:val="00222175"/>
    <w:rsid w:val="0022227F"/>
    <w:rsid w:val="00223E45"/>
    <w:rsid w:val="00224AD0"/>
    <w:rsid w:val="00224D43"/>
    <w:rsid w:val="002251C3"/>
    <w:rsid w:val="00225534"/>
    <w:rsid w:val="00225F74"/>
    <w:rsid w:val="002260FD"/>
    <w:rsid w:val="002263B3"/>
    <w:rsid w:val="0022695C"/>
    <w:rsid w:val="0022764C"/>
    <w:rsid w:val="00227682"/>
    <w:rsid w:val="00227D75"/>
    <w:rsid w:val="0023090D"/>
    <w:rsid w:val="00230C34"/>
    <w:rsid w:val="00230DE8"/>
    <w:rsid w:val="00230FA2"/>
    <w:rsid w:val="00231268"/>
    <w:rsid w:val="00232185"/>
    <w:rsid w:val="00232A05"/>
    <w:rsid w:val="002330B6"/>
    <w:rsid w:val="00233D4D"/>
    <w:rsid w:val="0023443E"/>
    <w:rsid w:val="00234902"/>
    <w:rsid w:val="00235857"/>
    <w:rsid w:val="00236B99"/>
    <w:rsid w:val="00237066"/>
    <w:rsid w:val="00237CC5"/>
    <w:rsid w:val="00240136"/>
    <w:rsid w:val="002402CA"/>
    <w:rsid w:val="00240CF4"/>
    <w:rsid w:val="002417C5"/>
    <w:rsid w:val="00242535"/>
    <w:rsid w:val="002427AE"/>
    <w:rsid w:val="00243419"/>
    <w:rsid w:val="00245A6C"/>
    <w:rsid w:val="00245B04"/>
    <w:rsid w:val="00247F1B"/>
    <w:rsid w:val="002503CE"/>
    <w:rsid w:val="0025102C"/>
    <w:rsid w:val="0025137D"/>
    <w:rsid w:val="00252FF6"/>
    <w:rsid w:val="002537BD"/>
    <w:rsid w:val="00253ECF"/>
    <w:rsid w:val="00253F71"/>
    <w:rsid w:val="00256550"/>
    <w:rsid w:val="0025660E"/>
    <w:rsid w:val="0025713F"/>
    <w:rsid w:val="0025757E"/>
    <w:rsid w:val="00257D9D"/>
    <w:rsid w:val="00257EFB"/>
    <w:rsid w:val="00260066"/>
    <w:rsid w:val="00260465"/>
    <w:rsid w:val="00260688"/>
    <w:rsid w:val="00260976"/>
    <w:rsid w:val="00260EF0"/>
    <w:rsid w:val="002611D1"/>
    <w:rsid w:val="0026475B"/>
    <w:rsid w:val="0026489F"/>
    <w:rsid w:val="00265023"/>
    <w:rsid w:val="002650CF"/>
    <w:rsid w:val="00265406"/>
    <w:rsid w:val="00265A3D"/>
    <w:rsid w:val="002662BE"/>
    <w:rsid w:val="002668AA"/>
    <w:rsid w:val="0026780C"/>
    <w:rsid w:val="002679BB"/>
    <w:rsid w:val="0027004E"/>
    <w:rsid w:val="00270FD9"/>
    <w:rsid w:val="002717A8"/>
    <w:rsid w:val="0027226D"/>
    <w:rsid w:val="002723A7"/>
    <w:rsid w:val="002723D9"/>
    <w:rsid w:val="00273280"/>
    <w:rsid w:val="00273D6D"/>
    <w:rsid w:val="0027442C"/>
    <w:rsid w:val="00274EBC"/>
    <w:rsid w:val="00275609"/>
    <w:rsid w:val="0027672F"/>
    <w:rsid w:val="0027697B"/>
    <w:rsid w:val="00277445"/>
    <w:rsid w:val="0027775D"/>
    <w:rsid w:val="00277D24"/>
    <w:rsid w:val="00280105"/>
    <w:rsid w:val="0028074A"/>
    <w:rsid w:val="00281E75"/>
    <w:rsid w:val="0028233F"/>
    <w:rsid w:val="002823F9"/>
    <w:rsid w:val="00282488"/>
    <w:rsid w:val="00282B2B"/>
    <w:rsid w:val="00282DBE"/>
    <w:rsid w:val="00283704"/>
    <w:rsid w:val="00283DB5"/>
    <w:rsid w:val="002843B8"/>
    <w:rsid w:val="00284B2C"/>
    <w:rsid w:val="00285B0F"/>
    <w:rsid w:val="00287019"/>
    <w:rsid w:val="00287A18"/>
    <w:rsid w:val="00290CF1"/>
    <w:rsid w:val="002916F7"/>
    <w:rsid w:val="0029214C"/>
    <w:rsid w:val="00292EC3"/>
    <w:rsid w:val="00294586"/>
    <w:rsid w:val="00294DE0"/>
    <w:rsid w:val="00296127"/>
    <w:rsid w:val="002961DB"/>
    <w:rsid w:val="00296B08"/>
    <w:rsid w:val="002977E4"/>
    <w:rsid w:val="00297AC4"/>
    <w:rsid w:val="002A046A"/>
    <w:rsid w:val="002A08D7"/>
    <w:rsid w:val="002A0CAC"/>
    <w:rsid w:val="002A0D49"/>
    <w:rsid w:val="002A10A8"/>
    <w:rsid w:val="002A1639"/>
    <w:rsid w:val="002A1B2B"/>
    <w:rsid w:val="002A1CC2"/>
    <w:rsid w:val="002A1DC4"/>
    <w:rsid w:val="002A235B"/>
    <w:rsid w:val="002A2BD6"/>
    <w:rsid w:val="002A2CED"/>
    <w:rsid w:val="002A4910"/>
    <w:rsid w:val="002A5A8C"/>
    <w:rsid w:val="002A5C73"/>
    <w:rsid w:val="002A68B8"/>
    <w:rsid w:val="002B0705"/>
    <w:rsid w:val="002B0DED"/>
    <w:rsid w:val="002B10AE"/>
    <w:rsid w:val="002B210C"/>
    <w:rsid w:val="002B318C"/>
    <w:rsid w:val="002B3824"/>
    <w:rsid w:val="002B5129"/>
    <w:rsid w:val="002B552A"/>
    <w:rsid w:val="002B74C5"/>
    <w:rsid w:val="002B77D8"/>
    <w:rsid w:val="002B7CC9"/>
    <w:rsid w:val="002C010C"/>
    <w:rsid w:val="002C095E"/>
    <w:rsid w:val="002C1A52"/>
    <w:rsid w:val="002C1FBF"/>
    <w:rsid w:val="002C25C6"/>
    <w:rsid w:val="002C2DFD"/>
    <w:rsid w:val="002C3F24"/>
    <w:rsid w:val="002C454A"/>
    <w:rsid w:val="002C4737"/>
    <w:rsid w:val="002C47B8"/>
    <w:rsid w:val="002C4845"/>
    <w:rsid w:val="002C4A81"/>
    <w:rsid w:val="002C6888"/>
    <w:rsid w:val="002C75B9"/>
    <w:rsid w:val="002C78FB"/>
    <w:rsid w:val="002C7BD3"/>
    <w:rsid w:val="002D0814"/>
    <w:rsid w:val="002D0F81"/>
    <w:rsid w:val="002D170B"/>
    <w:rsid w:val="002D175D"/>
    <w:rsid w:val="002D2E80"/>
    <w:rsid w:val="002D3579"/>
    <w:rsid w:val="002D3B0F"/>
    <w:rsid w:val="002D4073"/>
    <w:rsid w:val="002D447A"/>
    <w:rsid w:val="002D48AA"/>
    <w:rsid w:val="002D4C71"/>
    <w:rsid w:val="002D4C76"/>
    <w:rsid w:val="002D4CDE"/>
    <w:rsid w:val="002D5187"/>
    <w:rsid w:val="002D54A4"/>
    <w:rsid w:val="002D5865"/>
    <w:rsid w:val="002D6027"/>
    <w:rsid w:val="002D6F60"/>
    <w:rsid w:val="002D77A7"/>
    <w:rsid w:val="002D7BA6"/>
    <w:rsid w:val="002E068D"/>
    <w:rsid w:val="002E294A"/>
    <w:rsid w:val="002E3693"/>
    <w:rsid w:val="002E4D6D"/>
    <w:rsid w:val="002E6CB0"/>
    <w:rsid w:val="002F03B5"/>
    <w:rsid w:val="002F184C"/>
    <w:rsid w:val="002F19E7"/>
    <w:rsid w:val="002F2166"/>
    <w:rsid w:val="002F323A"/>
    <w:rsid w:val="002F3B70"/>
    <w:rsid w:val="002F47D9"/>
    <w:rsid w:val="002F5002"/>
    <w:rsid w:val="002F567B"/>
    <w:rsid w:val="002F579B"/>
    <w:rsid w:val="002F58BF"/>
    <w:rsid w:val="002F58EC"/>
    <w:rsid w:val="002F5EEC"/>
    <w:rsid w:val="002F6AB2"/>
    <w:rsid w:val="002F707E"/>
    <w:rsid w:val="002F7C7C"/>
    <w:rsid w:val="002F7DB2"/>
    <w:rsid w:val="003001BB"/>
    <w:rsid w:val="003004B8"/>
    <w:rsid w:val="003022A7"/>
    <w:rsid w:val="0030254B"/>
    <w:rsid w:val="00303173"/>
    <w:rsid w:val="00303D85"/>
    <w:rsid w:val="00303F02"/>
    <w:rsid w:val="0030680B"/>
    <w:rsid w:val="00306ADD"/>
    <w:rsid w:val="00306B1D"/>
    <w:rsid w:val="00307430"/>
    <w:rsid w:val="00307512"/>
    <w:rsid w:val="00307F4D"/>
    <w:rsid w:val="0031098B"/>
    <w:rsid w:val="00311A9D"/>
    <w:rsid w:val="00312994"/>
    <w:rsid w:val="0031387C"/>
    <w:rsid w:val="00313CA3"/>
    <w:rsid w:val="00314EC3"/>
    <w:rsid w:val="0031558E"/>
    <w:rsid w:val="00315780"/>
    <w:rsid w:val="00315B94"/>
    <w:rsid w:val="003165E5"/>
    <w:rsid w:val="003201BC"/>
    <w:rsid w:val="00320293"/>
    <w:rsid w:val="0032080D"/>
    <w:rsid w:val="003212E4"/>
    <w:rsid w:val="003217C9"/>
    <w:rsid w:val="00321CA6"/>
    <w:rsid w:val="00322238"/>
    <w:rsid w:val="00322DF3"/>
    <w:rsid w:val="00323E6A"/>
    <w:rsid w:val="00325C96"/>
    <w:rsid w:val="00326769"/>
    <w:rsid w:val="00327AC3"/>
    <w:rsid w:val="00327BFC"/>
    <w:rsid w:val="00330832"/>
    <w:rsid w:val="00330C13"/>
    <w:rsid w:val="00331520"/>
    <w:rsid w:val="00331B5C"/>
    <w:rsid w:val="00331C0E"/>
    <w:rsid w:val="00331D9F"/>
    <w:rsid w:val="003324D9"/>
    <w:rsid w:val="00332574"/>
    <w:rsid w:val="0033273E"/>
    <w:rsid w:val="0033276A"/>
    <w:rsid w:val="0033283B"/>
    <w:rsid w:val="00333719"/>
    <w:rsid w:val="00333C49"/>
    <w:rsid w:val="00336033"/>
    <w:rsid w:val="0033636B"/>
    <w:rsid w:val="00337362"/>
    <w:rsid w:val="00337648"/>
    <w:rsid w:val="00340752"/>
    <w:rsid w:val="00340909"/>
    <w:rsid w:val="003409C9"/>
    <w:rsid w:val="00341583"/>
    <w:rsid w:val="00341F7C"/>
    <w:rsid w:val="00344581"/>
    <w:rsid w:val="00344DF2"/>
    <w:rsid w:val="003454A9"/>
    <w:rsid w:val="00345ADD"/>
    <w:rsid w:val="0034655C"/>
    <w:rsid w:val="00346A8A"/>
    <w:rsid w:val="00346FFA"/>
    <w:rsid w:val="00347594"/>
    <w:rsid w:val="00350496"/>
    <w:rsid w:val="00350CFE"/>
    <w:rsid w:val="0035139C"/>
    <w:rsid w:val="003524FD"/>
    <w:rsid w:val="00353B78"/>
    <w:rsid w:val="00354656"/>
    <w:rsid w:val="00354DDA"/>
    <w:rsid w:val="00355F01"/>
    <w:rsid w:val="003561B8"/>
    <w:rsid w:val="003568F4"/>
    <w:rsid w:val="00357182"/>
    <w:rsid w:val="00357B8D"/>
    <w:rsid w:val="00357E66"/>
    <w:rsid w:val="00360100"/>
    <w:rsid w:val="00360197"/>
    <w:rsid w:val="00360F21"/>
    <w:rsid w:val="00361309"/>
    <w:rsid w:val="003616DB"/>
    <w:rsid w:val="00361C27"/>
    <w:rsid w:val="003625F1"/>
    <w:rsid w:val="00362CC0"/>
    <w:rsid w:val="003634DC"/>
    <w:rsid w:val="003638CF"/>
    <w:rsid w:val="00363A53"/>
    <w:rsid w:val="00363C84"/>
    <w:rsid w:val="00364D14"/>
    <w:rsid w:val="00365311"/>
    <w:rsid w:val="003655B6"/>
    <w:rsid w:val="00365E46"/>
    <w:rsid w:val="00366100"/>
    <w:rsid w:val="003667BB"/>
    <w:rsid w:val="00366F41"/>
    <w:rsid w:val="00367D77"/>
    <w:rsid w:val="003724C4"/>
    <w:rsid w:val="00375E12"/>
    <w:rsid w:val="003764BE"/>
    <w:rsid w:val="00376523"/>
    <w:rsid w:val="0037726C"/>
    <w:rsid w:val="00377697"/>
    <w:rsid w:val="00377A53"/>
    <w:rsid w:val="003804E7"/>
    <w:rsid w:val="00380869"/>
    <w:rsid w:val="003809F3"/>
    <w:rsid w:val="0038117E"/>
    <w:rsid w:val="0038135E"/>
    <w:rsid w:val="003813A6"/>
    <w:rsid w:val="00381900"/>
    <w:rsid w:val="00381B03"/>
    <w:rsid w:val="0038259A"/>
    <w:rsid w:val="00382F01"/>
    <w:rsid w:val="00384476"/>
    <w:rsid w:val="003846BE"/>
    <w:rsid w:val="00384DC2"/>
    <w:rsid w:val="003873E1"/>
    <w:rsid w:val="00387C29"/>
    <w:rsid w:val="00387DAD"/>
    <w:rsid w:val="0039047F"/>
    <w:rsid w:val="00390732"/>
    <w:rsid w:val="00391CC7"/>
    <w:rsid w:val="0039257B"/>
    <w:rsid w:val="003935B1"/>
    <w:rsid w:val="0039441A"/>
    <w:rsid w:val="00395C18"/>
    <w:rsid w:val="003965DA"/>
    <w:rsid w:val="00396D7E"/>
    <w:rsid w:val="00396FDF"/>
    <w:rsid w:val="00397760"/>
    <w:rsid w:val="003A0325"/>
    <w:rsid w:val="003A0776"/>
    <w:rsid w:val="003A0C23"/>
    <w:rsid w:val="003A0F73"/>
    <w:rsid w:val="003A1150"/>
    <w:rsid w:val="003A12AD"/>
    <w:rsid w:val="003A1E5E"/>
    <w:rsid w:val="003A2AF5"/>
    <w:rsid w:val="003A5C77"/>
    <w:rsid w:val="003A5EB6"/>
    <w:rsid w:val="003A68AE"/>
    <w:rsid w:val="003A6A2F"/>
    <w:rsid w:val="003A6F63"/>
    <w:rsid w:val="003A785D"/>
    <w:rsid w:val="003A7A69"/>
    <w:rsid w:val="003B04DA"/>
    <w:rsid w:val="003B0E7A"/>
    <w:rsid w:val="003B15C8"/>
    <w:rsid w:val="003B17BB"/>
    <w:rsid w:val="003B1992"/>
    <w:rsid w:val="003B19FC"/>
    <w:rsid w:val="003B1A29"/>
    <w:rsid w:val="003B1C22"/>
    <w:rsid w:val="003B1D25"/>
    <w:rsid w:val="003B2900"/>
    <w:rsid w:val="003B2B30"/>
    <w:rsid w:val="003B2CAA"/>
    <w:rsid w:val="003B30D8"/>
    <w:rsid w:val="003B31EF"/>
    <w:rsid w:val="003B3299"/>
    <w:rsid w:val="003B3EDA"/>
    <w:rsid w:val="003B436A"/>
    <w:rsid w:val="003B450F"/>
    <w:rsid w:val="003B48D5"/>
    <w:rsid w:val="003B4F8C"/>
    <w:rsid w:val="003B51CD"/>
    <w:rsid w:val="003B5512"/>
    <w:rsid w:val="003B62EC"/>
    <w:rsid w:val="003B6749"/>
    <w:rsid w:val="003B6844"/>
    <w:rsid w:val="003B6B3A"/>
    <w:rsid w:val="003B75FC"/>
    <w:rsid w:val="003B7F5E"/>
    <w:rsid w:val="003C0B90"/>
    <w:rsid w:val="003C1215"/>
    <w:rsid w:val="003C14C9"/>
    <w:rsid w:val="003C15EF"/>
    <w:rsid w:val="003C1D23"/>
    <w:rsid w:val="003C2670"/>
    <w:rsid w:val="003C3A57"/>
    <w:rsid w:val="003C42D1"/>
    <w:rsid w:val="003C4817"/>
    <w:rsid w:val="003C5E7B"/>
    <w:rsid w:val="003C6A22"/>
    <w:rsid w:val="003C7870"/>
    <w:rsid w:val="003C7961"/>
    <w:rsid w:val="003C79AC"/>
    <w:rsid w:val="003D1EDB"/>
    <w:rsid w:val="003D3260"/>
    <w:rsid w:val="003D4359"/>
    <w:rsid w:val="003D4739"/>
    <w:rsid w:val="003D49BD"/>
    <w:rsid w:val="003D4D5D"/>
    <w:rsid w:val="003D56FD"/>
    <w:rsid w:val="003D6440"/>
    <w:rsid w:val="003D7546"/>
    <w:rsid w:val="003D75A1"/>
    <w:rsid w:val="003D78F3"/>
    <w:rsid w:val="003D7D58"/>
    <w:rsid w:val="003E0266"/>
    <w:rsid w:val="003E0C4A"/>
    <w:rsid w:val="003E151E"/>
    <w:rsid w:val="003E221F"/>
    <w:rsid w:val="003E3296"/>
    <w:rsid w:val="003E3C65"/>
    <w:rsid w:val="003E3F0E"/>
    <w:rsid w:val="003E4749"/>
    <w:rsid w:val="003E4CC0"/>
    <w:rsid w:val="003E51DE"/>
    <w:rsid w:val="003E5B35"/>
    <w:rsid w:val="003E5D3F"/>
    <w:rsid w:val="003E60D1"/>
    <w:rsid w:val="003E6360"/>
    <w:rsid w:val="003E719B"/>
    <w:rsid w:val="003E757E"/>
    <w:rsid w:val="003F0052"/>
    <w:rsid w:val="003F0CAE"/>
    <w:rsid w:val="003F0EA8"/>
    <w:rsid w:val="003F250B"/>
    <w:rsid w:val="003F3687"/>
    <w:rsid w:val="003F5183"/>
    <w:rsid w:val="003F56BD"/>
    <w:rsid w:val="003F5A35"/>
    <w:rsid w:val="003F7085"/>
    <w:rsid w:val="0040060E"/>
    <w:rsid w:val="00400626"/>
    <w:rsid w:val="00400871"/>
    <w:rsid w:val="00400C11"/>
    <w:rsid w:val="004010A8"/>
    <w:rsid w:val="00401DED"/>
    <w:rsid w:val="00402680"/>
    <w:rsid w:val="00402C40"/>
    <w:rsid w:val="00404325"/>
    <w:rsid w:val="00404546"/>
    <w:rsid w:val="00406097"/>
    <w:rsid w:val="00406C7B"/>
    <w:rsid w:val="00407182"/>
    <w:rsid w:val="004078E5"/>
    <w:rsid w:val="00407FE4"/>
    <w:rsid w:val="00412F68"/>
    <w:rsid w:val="0041311D"/>
    <w:rsid w:val="00413243"/>
    <w:rsid w:val="00413CAA"/>
    <w:rsid w:val="00413FFD"/>
    <w:rsid w:val="004149B0"/>
    <w:rsid w:val="00415784"/>
    <w:rsid w:val="00415806"/>
    <w:rsid w:val="004159BE"/>
    <w:rsid w:val="004168B3"/>
    <w:rsid w:val="0041784C"/>
    <w:rsid w:val="00417DAC"/>
    <w:rsid w:val="00417E13"/>
    <w:rsid w:val="0042010A"/>
    <w:rsid w:val="00420CBC"/>
    <w:rsid w:val="00421432"/>
    <w:rsid w:val="00421732"/>
    <w:rsid w:val="00421CD5"/>
    <w:rsid w:val="00421E9D"/>
    <w:rsid w:val="00422784"/>
    <w:rsid w:val="00423A12"/>
    <w:rsid w:val="00423EE9"/>
    <w:rsid w:val="004258FE"/>
    <w:rsid w:val="00425998"/>
    <w:rsid w:val="00425EC2"/>
    <w:rsid w:val="00427187"/>
    <w:rsid w:val="00427696"/>
    <w:rsid w:val="00427FB8"/>
    <w:rsid w:val="004306A4"/>
    <w:rsid w:val="00431253"/>
    <w:rsid w:val="00431CDE"/>
    <w:rsid w:val="00432066"/>
    <w:rsid w:val="004330BE"/>
    <w:rsid w:val="00435D37"/>
    <w:rsid w:val="00436469"/>
    <w:rsid w:val="00436FB4"/>
    <w:rsid w:val="004375C6"/>
    <w:rsid w:val="004379FA"/>
    <w:rsid w:val="0044041E"/>
    <w:rsid w:val="00442E20"/>
    <w:rsid w:val="0044465C"/>
    <w:rsid w:val="0044519A"/>
    <w:rsid w:val="004453B9"/>
    <w:rsid w:val="0044550D"/>
    <w:rsid w:val="00445736"/>
    <w:rsid w:val="00446DA9"/>
    <w:rsid w:val="004471B9"/>
    <w:rsid w:val="00447221"/>
    <w:rsid w:val="004509F6"/>
    <w:rsid w:val="0045207A"/>
    <w:rsid w:val="00452E5F"/>
    <w:rsid w:val="00453CE3"/>
    <w:rsid w:val="00454093"/>
    <w:rsid w:val="00454C7D"/>
    <w:rsid w:val="00455227"/>
    <w:rsid w:val="004553F5"/>
    <w:rsid w:val="00455A56"/>
    <w:rsid w:val="00456193"/>
    <w:rsid w:val="00456F4F"/>
    <w:rsid w:val="004574D9"/>
    <w:rsid w:val="0045758B"/>
    <w:rsid w:val="00461324"/>
    <w:rsid w:val="0046148B"/>
    <w:rsid w:val="00461657"/>
    <w:rsid w:val="00461995"/>
    <w:rsid w:val="00461BB0"/>
    <w:rsid w:val="004620F4"/>
    <w:rsid w:val="00462BC8"/>
    <w:rsid w:val="00463225"/>
    <w:rsid w:val="004634E4"/>
    <w:rsid w:val="00463506"/>
    <w:rsid w:val="004639A5"/>
    <w:rsid w:val="004647F3"/>
    <w:rsid w:val="00464A12"/>
    <w:rsid w:val="004655E7"/>
    <w:rsid w:val="0046659C"/>
    <w:rsid w:val="00466A02"/>
    <w:rsid w:val="00466E96"/>
    <w:rsid w:val="00466F15"/>
    <w:rsid w:val="00467156"/>
    <w:rsid w:val="00467511"/>
    <w:rsid w:val="0047022C"/>
    <w:rsid w:val="00470C83"/>
    <w:rsid w:val="00470C90"/>
    <w:rsid w:val="00471E2A"/>
    <w:rsid w:val="004725CB"/>
    <w:rsid w:val="0047278D"/>
    <w:rsid w:val="00472CF3"/>
    <w:rsid w:val="004732BC"/>
    <w:rsid w:val="00473CD4"/>
    <w:rsid w:val="00475763"/>
    <w:rsid w:val="00475BE2"/>
    <w:rsid w:val="00480082"/>
    <w:rsid w:val="004807ED"/>
    <w:rsid w:val="00483B9D"/>
    <w:rsid w:val="0048470D"/>
    <w:rsid w:val="004848E8"/>
    <w:rsid w:val="00484EA7"/>
    <w:rsid w:val="004864AA"/>
    <w:rsid w:val="004865CE"/>
    <w:rsid w:val="004868F5"/>
    <w:rsid w:val="0048699B"/>
    <w:rsid w:val="00487296"/>
    <w:rsid w:val="0049070F"/>
    <w:rsid w:val="00491368"/>
    <w:rsid w:val="0049250B"/>
    <w:rsid w:val="00492B70"/>
    <w:rsid w:val="00492CE5"/>
    <w:rsid w:val="004932C1"/>
    <w:rsid w:val="00493B63"/>
    <w:rsid w:val="00493F77"/>
    <w:rsid w:val="004940E0"/>
    <w:rsid w:val="00496006"/>
    <w:rsid w:val="00496861"/>
    <w:rsid w:val="004A1113"/>
    <w:rsid w:val="004A2665"/>
    <w:rsid w:val="004A3449"/>
    <w:rsid w:val="004A3489"/>
    <w:rsid w:val="004A350C"/>
    <w:rsid w:val="004A382B"/>
    <w:rsid w:val="004A3894"/>
    <w:rsid w:val="004A38D1"/>
    <w:rsid w:val="004A3B47"/>
    <w:rsid w:val="004A55B1"/>
    <w:rsid w:val="004A56BE"/>
    <w:rsid w:val="004A5717"/>
    <w:rsid w:val="004A61E8"/>
    <w:rsid w:val="004A62DA"/>
    <w:rsid w:val="004B0052"/>
    <w:rsid w:val="004B0B47"/>
    <w:rsid w:val="004B1C2A"/>
    <w:rsid w:val="004B1ECF"/>
    <w:rsid w:val="004B32A5"/>
    <w:rsid w:val="004B378C"/>
    <w:rsid w:val="004B41B2"/>
    <w:rsid w:val="004B50C6"/>
    <w:rsid w:val="004B533B"/>
    <w:rsid w:val="004B5F63"/>
    <w:rsid w:val="004B7800"/>
    <w:rsid w:val="004B7883"/>
    <w:rsid w:val="004B7C4B"/>
    <w:rsid w:val="004C0135"/>
    <w:rsid w:val="004C0176"/>
    <w:rsid w:val="004C0541"/>
    <w:rsid w:val="004C0F79"/>
    <w:rsid w:val="004C16F3"/>
    <w:rsid w:val="004C1D3E"/>
    <w:rsid w:val="004C206D"/>
    <w:rsid w:val="004C2EA5"/>
    <w:rsid w:val="004C373F"/>
    <w:rsid w:val="004C3C31"/>
    <w:rsid w:val="004C4C0D"/>
    <w:rsid w:val="004C659C"/>
    <w:rsid w:val="004D1FE9"/>
    <w:rsid w:val="004D40C6"/>
    <w:rsid w:val="004D49A0"/>
    <w:rsid w:val="004D4E0F"/>
    <w:rsid w:val="004D6472"/>
    <w:rsid w:val="004D7775"/>
    <w:rsid w:val="004E02D3"/>
    <w:rsid w:val="004E0DE7"/>
    <w:rsid w:val="004E12DB"/>
    <w:rsid w:val="004E277A"/>
    <w:rsid w:val="004E28B9"/>
    <w:rsid w:val="004E366C"/>
    <w:rsid w:val="004E4063"/>
    <w:rsid w:val="004E40DA"/>
    <w:rsid w:val="004E475F"/>
    <w:rsid w:val="004E5F03"/>
    <w:rsid w:val="004E6169"/>
    <w:rsid w:val="004E6ACE"/>
    <w:rsid w:val="004E6C21"/>
    <w:rsid w:val="004E6F45"/>
    <w:rsid w:val="004E7335"/>
    <w:rsid w:val="004E7676"/>
    <w:rsid w:val="004F17AF"/>
    <w:rsid w:val="004F2797"/>
    <w:rsid w:val="004F288B"/>
    <w:rsid w:val="004F31D0"/>
    <w:rsid w:val="004F3817"/>
    <w:rsid w:val="004F4CFC"/>
    <w:rsid w:val="004F50B8"/>
    <w:rsid w:val="004F5C17"/>
    <w:rsid w:val="004F5DA8"/>
    <w:rsid w:val="004F62C2"/>
    <w:rsid w:val="004F731B"/>
    <w:rsid w:val="004F7808"/>
    <w:rsid w:val="004F7D2D"/>
    <w:rsid w:val="004F7F54"/>
    <w:rsid w:val="004F7F71"/>
    <w:rsid w:val="005025EC"/>
    <w:rsid w:val="005027D6"/>
    <w:rsid w:val="0050365D"/>
    <w:rsid w:val="005065E6"/>
    <w:rsid w:val="005070CF"/>
    <w:rsid w:val="005078B9"/>
    <w:rsid w:val="00507D4D"/>
    <w:rsid w:val="00507FBA"/>
    <w:rsid w:val="00511F1F"/>
    <w:rsid w:val="0051201B"/>
    <w:rsid w:val="0051345D"/>
    <w:rsid w:val="005157FF"/>
    <w:rsid w:val="005161CB"/>
    <w:rsid w:val="00516264"/>
    <w:rsid w:val="00516511"/>
    <w:rsid w:val="00517175"/>
    <w:rsid w:val="00517590"/>
    <w:rsid w:val="00517B19"/>
    <w:rsid w:val="00521DE6"/>
    <w:rsid w:val="005221F4"/>
    <w:rsid w:val="00522282"/>
    <w:rsid w:val="00522A1E"/>
    <w:rsid w:val="00524587"/>
    <w:rsid w:val="0052511E"/>
    <w:rsid w:val="0052531F"/>
    <w:rsid w:val="005253C0"/>
    <w:rsid w:val="005253D1"/>
    <w:rsid w:val="005264EC"/>
    <w:rsid w:val="00526611"/>
    <w:rsid w:val="00526AFB"/>
    <w:rsid w:val="0053016A"/>
    <w:rsid w:val="005308B0"/>
    <w:rsid w:val="005309A7"/>
    <w:rsid w:val="00530AE6"/>
    <w:rsid w:val="00531684"/>
    <w:rsid w:val="00532B88"/>
    <w:rsid w:val="005331BD"/>
    <w:rsid w:val="0053330B"/>
    <w:rsid w:val="005337B0"/>
    <w:rsid w:val="00533C4D"/>
    <w:rsid w:val="005340BA"/>
    <w:rsid w:val="005343F8"/>
    <w:rsid w:val="00534ED3"/>
    <w:rsid w:val="0053502A"/>
    <w:rsid w:val="0053621B"/>
    <w:rsid w:val="00536525"/>
    <w:rsid w:val="0053722D"/>
    <w:rsid w:val="005374C9"/>
    <w:rsid w:val="00540842"/>
    <w:rsid w:val="00540D55"/>
    <w:rsid w:val="00541131"/>
    <w:rsid w:val="00541314"/>
    <w:rsid w:val="00541453"/>
    <w:rsid w:val="00541D70"/>
    <w:rsid w:val="005426C0"/>
    <w:rsid w:val="005429A2"/>
    <w:rsid w:val="005436E2"/>
    <w:rsid w:val="00543A1F"/>
    <w:rsid w:val="00543F14"/>
    <w:rsid w:val="00543F2D"/>
    <w:rsid w:val="00544E2A"/>
    <w:rsid w:val="00544EC8"/>
    <w:rsid w:val="00545372"/>
    <w:rsid w:val="005468F5"/>
    <w:rsid w:val="00546967"/>
    <w:rsid w:val="00547212"/>
    <w:rsid w:val="0054739E"/>
    <w:rsid w:val="005479C8"/>
    <w:rsid w:val="00547B34"/>
    <w:rsid w:val="00547C53"/>
    <w:rsid w:val="005523CF"/>
    <w:rsid w:val="00552402"/>
    <w:rsid w:val="00552F77"/>
    <w:rsid w:val="0055364A"/>
    <w:rsid w:val="00553E61"/>
    <w:rsid w:val="0055409D"/>
    <w:rsid w:val="0055411D"/>
    <w:rsid w:val="00554387"/>
    <w:rsid w:val="00555066"/>
    <w:rsid w:val="0055507E"/>
    <w:rsid w:val="00555A5E"/>
    <w:rsid w:val="005562D6"/>
    <w:rsid w:val="005568D7"/>
    <w:rsid w:val="0055713F"/>
    <w:rsid w:val="00557DB0"/>
    <w:rsid w:val="00560113"/>
    <w:rsid w:val="00560529"/>
    <w:rsid w:val="00560667"/>
    <w:rsid w:val="005612C5"/>
    <w:rsid w:val="00561716"/>
    <w:rsid w:val="00561992"/>
    <w:rsid w:val="00562086"/>
    <w:rsid w:val="005626A9"/>
    <w:rsid w:val="005636A8"/>
    <w:rsid w:val="00564436"/>
    <w:rsid w:val="005644BB"/>
    <w:rsid w:val="0056509E"/>
    <w:rsid w:val="00565662"/>
    <w:rsid w:val="00565D84"/>
    <w:rsid w:val="00566BFA"/>
    <w:rsid w:val="005700F4"/>
    <w:rsid w:val="00570C9B"/>
    <w:rsid w:val="00570EEF"/>
    <w:rsid w:val="005715D6"/>
    <w:rsid w:val="00571A37"/>
    <w:rsid w:val="0057438A"/>
    <w:rsid w:val="00575B7D"/>
    <w:rsid w:val="00575E14"/>
    <w:rsid w:val="00575E37"/>
    <w:rsid w:val="005764FB"/>
    <w:rsid w:val="00580172"/>
    <w:rsid w:val="00580203"/>
    <w:rsid w:val="00580859"/>
    <w:rsid w:val="00581749"/>
    <w:rsid w:val="005818A8"/>
    <w:rsid w:val="00581CFE"/>
    <w:rsid w:val="00581D4E"/>
    <w:rsid w:val="005829D9"/>
    <w:rsid w:val="00583591"/>
    <w:rsid w:val="005838F0"/>
    <w:rsid w:val="0058458E"/>
    <w:rsid w:val="00584669"/>
    <w:rsid w:val="005852D2"/>
    <w:rsid w:val="005852DA"/>
    <w:rsid w:val="005858DC"/>
    <w:rsid w:val="00585B6B"/>
    <w:rsid w:val="00585F7B"/>
    <w:rsid w:val="005874DD"/>
    <w:rsid w:val="0058776D"/>
    <w:rsid w:val="00590ABD"/>
    <w:rsid w:val="00590B7B"/>
    <w:rsid w:val="005916D5"/>
    <w:rsid w:val="00591720"/>
    <w:rsid w:val="00591D48"/>
    <w:rsid w:val="00592A7D"/>
    <w:rsid w:val="00592DF3"/>
    <w:rsid w:val="00593B25"/>
    <w:rsid w:val="00595DA2"/>
    <w:rsid w:val="00596079"/>
    <w:rsid w:val="005966E6"/>
    <w:rsid w:val="005A0061"/>
    <w:rsid w:val="005A054F"/>
    <w:rsid w:val="005A0B3D"/>
    <w:rsid w:val="005A13E6"/>
    <w:rsid w:val="005A17DE"/>
    <w:rsid w:val="005A1C61"/>
    <w:rsid w:val="005A2BD0"/>
    <w:rsid w:val="005A2CA1"/>
    <w:rsid w:val="005A47F5"/>
    <w:rsid w:val="005A4AB8"/>
    <w:rsid w:val="005A5064"/>
    <w:rsid w:val="005A5229"/>
    <w:rsid w:val="005B0DB1"/>
    <w:rsid w:val="005B155D"/>
    <w:rsid w:val="005B18F4"/>
    <w:rsid w:val="005B25F8"/>
    <w:rsid w:val="005B2BF5"/>
    <w:rsid w:val="005B2E65"/>
    <w:rsid w:val="005B2F26"/>
    <w:rsid w:val="005B32A9"/>
    <w:rsid w:val="005B5CB7"/>
    <w:rsid w:val="005B5F21"/>
    <w:rsid w:val="005B7040"/>
    <w:rsid w:val="005C19AB"/>
    <w:rsid w:val="005C2D8D"/>
    <w:rsid w:val="005C363C"/>
    <w:rsid w:val="005C3727"/>
    <w:rsid w:val="005C3915"/>
    <w:rsid w:val="005C3D3E"/>
    <w:rsid w:val="005C4379"/>
    <w:rsid w:val="005C4CBE"/>
    <w:rsid w:val="005C4DBD"/>
    <w:rsid w:val="005C4E87"/>
    <w:rsid w:val="005C5F38"/>
    <w:rsid w:val="005C7637"/>
    <w:rsid w:val="005C7786"/>
    <w:rsid w:val="005D07D1"/>
    <w:rsid w:val="005D0E14"/>
    <w:rsid w:val="005D2F3D"/>
    <w:rsid w:val="005D483A"/>
    <w:rsid w:val="005D48A0"/>
    <w:rsid w:val="005D4BC4"/>
    <w:rsid w:val="005D5D14"/>
    <w:rsid w:val="005D5E2D"/>
    <w:rsid w:val="005D6EEB"/>
    <w:rsid w:val="005D751B"/>
    <w:rsid w:val="005D7FE7"/>
    <w:rsid w:val="005E0358"/>
    <w:rsid w:val="005E038B"/>
    <w:rsid w:val="005E150E"/>
    <w:rsid w:val="005E184E"/>
    <w:rsid w:val="005E199C"/>
    <w:rsid w:val="005E2852"/>
    <w:rsid w:val="005E2B06"/>
    <w:rsid w:val="005E2EE9"/>
    <w:rsid w:val="005E35C9"/>
    <w:rsid w:val="005E4CD1"/>
    <w:rsid w:val="005E55DD"/>
    <w:rsid w:val="005E5941"/>
    <w:rsid w:val="005E6D35"/>
    <w:rsid w:val="005F060E"/>
    <w:rsid w:val="005F13D5"/>
    <w:rsid w:val="005F38AB"/>
    <w:rsid w:val="005F3F2A"/>
    <w:rsid w:val="005F50EA"/>
    <w:rsid w:val="005F568D"/>
    <w:rsid w:val="005F599A"/>
    <w:rsid w:val="005F6253"/>
    <w:rsid w:val="005F66B5"/>
    <w:rsid w:val="005F7FD7"/>
    <w:rsid w:val="006006C6"/>
    <w:rsid w:val="0060487F"/>
    <w:rsid w:val="0060509D"/>
    <w:rsid w:val="006050EA"/>
    <w:rsid w:val="00605707"/>
    <w:rsid w:val="0060648E"/>
    <w:rsid w:val="006070E0"/>
    <w:rsid w:val="006071F2"/>
    <w:rsid w:val="00607217"/>
    <w:rsid w:val="00607500"/>
    <w:rsid w:val="00607541"/>
    <w:rsid w:val="0061084D"/>
    <w:rsid w:val="00610DDD"/>
    <w:rsid w:val="006113DD"/>
    <w:rsid w:val="00611BC2"/>
    <w:rsid w:val="006127E9"/>
    <w:rsid w:val="00612945"/>
    <w:rsid w:val="00612A53"/>
    <w:rsid w:val="00612A74"/>
    <w:rsid w:val="00612DDA"/>
    <w:rsid w:val="00612F5E"/>
    <w:rsid w:val="00613445"/>
    <w:rsid w:val="00613676"/>
    <w:rsid w:val="006139C9"/>
    <w:rsid w:val="006142D5"/>
    <w:rsid w:val="006152FB"/>
    <w:rsid w:val="0061569F"/>
    <w:rsid w:val="00616B6E"/>
    <w:rsid w:val="00617CA0"/>
    <w:rsid w:val="0062060B"/>
    <w:rsid w:val="00620ACF"/>
    <w:rsid w:val="00620FA4"/>
    <w:rsid w:val="0062188F"/>
    <w:rsid w:val="00621B53"/>
    <w:rsid w:val="0062271A"/>
    <w:rsid w:val="00622F10"/>
    <w:rsid w:val="00622FAC"/>
    <w:rsid w:val="0062363A"/>
    <w:rsid w:val="00623BC4"/>
    <w:rsid w:val="00624C12"/>
    <w:rsid w:val="00625243"/>
    <w:rsid w:val="00630010"/>
    <w:rsid w:val="006304FD"/>
    <w:rsid w:val="00632692"/>
    <w:rsid w:val="006332DD"/>
    <w:rsid w:val="00634B74"/>
    <w:rsid w:val="006357BA"/>
    <w:rsid w:val="0063610A"/>
    <w:rsid w:val="006364A1"/>
    <w:rsid w:val="00642A13"/>
    <w:rsid w:val="00642F40"/>
    <w:rsid w:val="006435D8"/>
    <w:rsid w:val="006442DC"/>
    <w:rsid w:val="0064542D"/>
    <w:rsid w:val="00645ED4"/>
    <w:rsid w:val="00647463"/>
    <w:rsid w:val="00647B12"/>
    <w:rsid w:val="006509EE"/>
    <w:rsid w:val="00650AC3"/>
    <w:rsid w:val="00650FF3"/>
    <w:rsid w:val="00651027"/>
    <w:rsid w:val="0065108A"/>
    <w:rsid w:val="00651454"/>
    <w:rsid w:val="006526F3"/>
    <w:rsid w:val="006534C5"/>
    <w:rsid w:val="0065398C"/>
    <w:rsid w:val="00653CF3"/>
    <w:rsid w:val="0065416C"/>
    <w:rsid w:val="00654A8A"/>
    <w:rsid w:val="0065518C"/>
    <w:rsid w:val="0065597E"/>
    <w:rsid w:val="00655E97"/>
    <w:rsid w:val="0065608E"/>
    <w:rsid w:val="0065775B"/>
    <w:rsid w:val="00657F58"/>
    <w:rsid w:val="00661339"/>
    <w:rsid w:val="00661C7E"/>
    <w:rsid w:val="00661E40"/>
    <w:rsid w:val="00662030"/>
    <w:rsid w:val="00663690"/>
    <w:rsid w:val="00663FF0"/>
    <w:rsid w:val="00664211"/>
    <w:rsid w:val="00664DEB"/>
    <w:rsid w:val="00665DCB"/>
    <w:rsid w:val="00666EFC"/>
    <w:rsid w:val="0066756D"/>
    <w:rsid w:val="00670373"/>
    <w:rsid w:val="006705D4"/>
    <w:rsid w:val="00670C5E"/>
    <w:rsid w:val="00670C6E"/>
    <w:rsid w:val="00671200"/>
    <w:rsid w:val="006717A8"/>
    <w:rsid w:val="00671844"/>
    <w:rsid w:val="00671961"/>
    <w:rsid w:val="006719B2"/>
    <w:rsid w:val="00671C11"/>
    <w:rsid w:val="006723F0"/>
    <w:rsid w:val="00672DCB"/>
    <w:rsid w:val="00673787"/>
    <w:rsid w:val="00674A73"/>
    <w:rsid w:val="006751BF"/>
    <w:rsid w:val="006752C1"/>
    <w:rsid w:val="006754D2"/>
    <w:rsid w:val="006756E9"/>
    <w:rsid w:val="006759B4"/>
    <w:rsid w:val="00675DCF"/>
    <w:rsid w:val="006760A4"/>
    <w:rsid w:val="00676256"/>
    <w:rsid w:val="00676A4B"/>
    <w:rsid w:val="00676BD4"/>
    <w:rsid w:val="00676C8B"/>
    <w:rsid w:val="0067730D"/>
    <w:rsid w:val="00677E65"/>
    <w:rsid w:val="006807FE"/>
    <w:rsid w:val="00680A78"/>
    <w:rsid w:val="00680F03"/>
    <w:rsid w:val="00681351"/>
    <w:rsid w:val="006817D4"/>
    <w:rsid w:val="00681A9E"/>
    <w:rsid w:val="00682718"/>
    <w:rsid w:val="00684818"/>
    <w:rsid w:val="00684902"/>
    <w:rsid w:val="00685393"/>
    <w:rsid w:val="006900D2"/>
    <w:rsid w:val="0069095E"/>
    <w:rsid w:val="00690A2B"/>
    <w:rsid w:val="00690D87"/>
    <w:rsid w:val="00690EA9"/>
    <w:rsid w:val="006910F4"/>
    <w:rsid w:val="00691EB2"/>
    <w:rsid w:val="00692810"/>
    <w:rsid w:val="0069434B"/>
    <w:rsid w:val="00694445"/>
    <w:rsid w:val="00694991"/>
    <w:rsid w:val="00695141"/>
    <w:rsid w:val="00695A2D"/>
    <w:rsid w:val="00695AC5"/>
    <w:rsid w:val="006966E3"/>
    <w:rsid w:val="00696D67"/>
    <w:rsid w:val="006971AF"/>
    <w:rsid w:val="00697A91"/>
    <w:rsid w:val="00697FE4"/>
    <w:rsid w:val="006A0B4A"/>
    <w:rsid w:val="006A112F"/>
    <w:rsid w:val="006A144B"/>
    <w:rsid w:val="006A174E"/>
    <w:rsid w:val="006A1C8D"/>
    <w:rsid w:val="006A2893"/>
    <w:rsid w:val="006A290B"/>
    <w:rsid w:val="006A469E"/>
    <w:rsid w:val="006A478E"/>
    <w:rsid w:val="006A4801"/>
    <w:rsid w:val="006A50FA"/>
    <w:rsid w:val="006A5B6C"/>
    <w:rsid w:val="006A5DE6"/>
    <w:rsid w:val="006A5F7F"/>
    <w:rsid w:val="006A69AD"/>
    <w:rsid w:val="006A6C58"/>
    <w:rsid w:val="006A6FB2"/>
    <w:rsid w:val="006A7052"/>
    <w:rsid w:val="006B159D"/>
    <w:rsid w:val="006B21AB"/>
    <w:rsid w:val="006B22E5"/>
    <w:rsid w:val="006B2866"/>
    <w:rsid w:val="006B325D"/>
    <w:rsid w:val="006B3579"/>
    <w:rsid w:val="006B3C53"/>
    <w:rsid w:val="006B4656"/>
    <w:rsid w:val="006B4777"/>
    <w:rsid w:val="006B48BD"/>
    <w:rsid w:val="006B5211"/>
    <w:rsid w:val="006B5863"/>
    <w:rsid w:val="006B5B1D"/>
    <w:rsid w:val="006B729D"/>
    <w:rsid w:val="006B7725"/>
    <w:rsid w:val="006C1458"/>
    <w:rsid w:val="006C15C6"/>
    <w:rsid w:val="006C1751"/>
    <w:rsid w:val="006C1C26"/>
    <w:rsid w:val="006C27EC"/>
    <w:rsid w:val="006C28CF"/>
    <w:rsid w:val="006C2906"/>
    <w:rsid w:val="006C2EF6"/>
    <w:rsid w:val="006C3C84"/>
    <w:rsid w:val="006C4D99"/>
    <w:rsid w:val="006C4E28"/>
    <w:rsid w:val="006C5096"/>
    <w:rsid w:val="006C5919"/>
    <w:rsid w:val="006C5F17"/>
    <w:rsid w:val="006C6303"/>
    <w:rsid w:val="006C6B7E"/>
    <w:rsid w:val="006C6BF9"/>
    <w:rsid w:val="006C6C06"/>
    <w:rsid w:val="006C6CA3"/>
    <w:rsid w:val="006C7BA4"/>
    <w:rsid w:val="006C7EA3"/>
    <w:rsid w:val="006D1A57"/>
    <w:rsid w:val="006D1BC2"/>
    <w:rsid w:val="006D2608"/>
    <w:rsid w:val="006D2A9C"/>
    <w:rsid w:val="006D2B20"/>
    <w:rsid w:val="006D2C44"/>
    <w:rsid w:val="006D2D6C"/>
    <w:rsid w:val="006D3720"/>
    <w:rsid w:val="006D3727"/>
    <w:rsid w:val="006D3763"/>
    <w:rsid w:val="006D42F8"/>
    <w:rsid w:val="006D4A5C"/>
    <w:rsid w:val="006D53D7"/>
    <w:rsid w:val="006D5B24"/>
    <w:rsid w:val="006D6988"/>
    <w:rsid w:val="006D6A98"/>
    <w:rsid w:val="006D7398"/>
    <w:rsid w:val="006D74DB"/>
    <w:rsid w:val="006E11AC"/>
    <w:rsid w:val="006E11E0"/>
    <w:rsid w:val="006E2834"/>
    <w:rsid w:val="006E4128"/>
    <w:rsid w:val="006E4746"/>
    <w:rsid w:val="006E4A03"/>
    <w:rsid w:val="006E4B91"/>
    <w:rsid w:val="006E5637"/>
    <w:rsid w:val="006E63E7"/>
    <w:rsid w:val="006E6751"/>
    <w:rsid w:val="006E7282"/>
    <w:rsid w:val="006E7A12"/>
    <w:rsid w:val="006F0752"/>
    <w:rsid w:val="006F1525"/>
    <w:rsid w:val="006F1AFE"/>
    <w:rsid w:val="006F2861"/>
    <w:rsid w:val="006F4259"/>
    <w:rsid w:val="006F4309"/>
    <w:rsid w:val="006F4C84"/>
    <w:rsid w:val="006F5E1B"/>
    <w:rsid w:val="006F6B2B"/>
    <w:rsid w:val="006F6D5E"/>
    <w:rsid w:val="006F7123"/>
    <w:rsid w:val="006F7162"/>
    <w:rsid w:val="006F7C03"/>
    <w:rsid w:val="0070085D"/>
    <w:rsid w:val="00701093"/>
    <w:rsid w:val="007027D1"/>
    <w:rsid w:val="00703505"/>
    <w:rsid w:val="00703B0B"/>
    <w:rsid w:val="00703D19"/>
    <w:rsid w:val="00705089"/>
    <w:rsid w:val="007055C9"/>
    <w:rsid w:val="00705D44"/>
    <w:rsid w:val="007067B2"/>
    <w:rsid w:val="00706A33"/>
    <w:rsid w:val="00706CF0"/>
    <w:rsid w:val="00707D50"/>
    <w:rsid w:val="00707E96"/>
    <w:rsid w:val="007107A8"/>
    <w:rsid w:val="00710BC7"/>
    <w:rsid w:val="00711947"/>
    <w:rsid w:val="00712271"/>
    <w:rsid w:val="00712C9A"/>
    <w:rsid w:val="00712CC4"/>
    <w:rsid w:val="00713AA0"/>
    <w:rsid w:val="00715429"/>
    <w:rsid w:val="00715597"/>
    <w:rsid w:val="00715DEB"/>
    <w:rsid w:val="00716A7D"/>
    <w:rsid w:val="00716B14"/>
    <w:rsid w:val="0071713F"/>
    <w:rsid w:val="0071757A"/>
    <w:rsid w:val="00717FE8"/>
    <w:rsid w:val="0072060F"/>
    <w:rsid w:val="00720A33"/>
    <w:rsid w:val="00721947"/>
    <w:rsid w:val="00721DCD"/>
    <w:rsid w:val="007227E1"/>
    <w:rsid w:val="00722A4C"/>
    <w:rsid w:val="007234B4"/>
    <w:rsid w:val="007249F7"/>
    <w:rsid w:val="00725D07"/>
    <w:rsid w:val="00725E16"/>
    <w:rsid w:val="00727967"/>
    <w:rsid w:val="00727BED"/>
    <w:rsid w:val="007307C9"/>
    <w:rsid w:val="0073095F"/>
    <w:rsid w:val="007319C8"/>
    <w:rsid w:val="00731BF4"/>
    <w:rsid w:val="007326D7"/>
    <w:rsid w:val="007335DB"/>
    <w:rsid w:val="00733BCB"/>
    <w:rsid w:val="0073431B"/>
    <w:rsid w:val="00734688"/>
    <w:rsid w:val="00734729"/>
    <w:rsid w:val="0073530B"/>
    <w:rsid w:val="007358B7"/>
    <w:rsid w:val="00736A98"/>
    <w:rsid w:val="00736C15"/>
    <w:rsid w:val="00736E76"/>
    <w:rsid w:val="0073706D"/>
    <w:rsid w:val="00737297"/>
    <w:rsid w:val="007375FD"/>
    <w:rsid w:val="00737DB4"/>
    <w:rsid w:val="007406F2"/>
    <w:rsid w:val="007409AF"/>
    <w:rsid w:val="00742C04"/>
    <w:rsid w:val="00742D3D"/>
    <w:rsid w:val="00743684"/>
    <w:rsid w:val="007452A1"/>
    <w:rsid w:val="007457A9"/>
    <w:rsid w:val="00745BCE"/>
    <w:rsid w:val="00745D7B"/>
    <w:rsid w:val="00745F91"/>
    <w:rsid w:val="00746132"/>
    <w:rsid w:val="007469F9"/>
    <w:rsid w:val="00746E03"/>
    <w:rsid w:val="00747828"/>
    <w:rsid w:val="00750866"/>
    <w:rsid w:val="00750F18"/>
    <w:rsid w:val="007515DA"/>
    <w:rsid w:val="007516B8"/>
    <w:rsid w:val="007534AA"/>
    <w:rsid w:val="00753C0A"/>
    <w:rsid w:val="00753E85"/>
    <w:rsid w:val="00754027"/>
    <w:rsid w:val="007548EE"/>
    <w:rsid w:val="00754D46"/>
    <w:rsid w:val="00754F86"/>
    <w:rsid w:val="0075551E"/>
    <w:rsid w:val="00755DB9"/>
    <w:rsid w:val="00755FB7"/>
    <w:rsid w:val="0075626E"/>
    <w:rsid w:val="00756761"/>
    <w:rsid w:val="00756F11"/>
    <w:rsid w:val="00756F80"/>
    <w:rsid w:val="00757942"/>
    <w:rsid w:val="007579F4"/>
    <w:rsid w:val="00757A6C"/>
    <w:rsid w:val="00760D2A"/>
    <w:rsid w:val="0076100C"/>
    <w:rsid w:val="00761287"/>
    <w:rsid w:val="0076182F"/>
    <w:rsid w:val="007618B8"/>
    <w:rsid w:val="00762622"/>
    <w:rsid w:val="007631E2"/>
    <w:rsid w:val="0076365D"/>
    <w:rsid w:val="0076413B"/>
    <w:rsid w:val="00764D09"/>
    <w:rsid w:val="007652FD"/>
    <w:rsid w:val="0076645A"/>
    <w:rsid w:val="00766605"/>
    <w:rsid w:val="007675AF"/>
    <w:rsid w:val="00767AC1"/>
    <w:rsid w:val="00770772"/>
    <w:rsid w:val="00770DAB"/>
    <w:rsid w:val="00771538"/>
    <w:rsid w:val="00771892"/>
    <w:rsid w:val="00771D94"/>
    <w:rsid w:val="007720D7"/>
    <w:rsid w:val="007722BC"/>
    <w:rsid w:val="00772523"/>
    <w:rsid w:val="00772A01"/>
    <w:rsid w:val="00772F45"/>
    <w:rsid w:val="00773C65"/>
    <w:rsid w:val="00775529"/>
    <w:rsid w:val="007759BD"/>
    <w:rsid w:val="00776710"/>
    <w:rsid w:val="00776A67"/>
    <w:rsid w:val="00776DE5"/>
    <w:rsid w:val="00777134"/>
    <w:rsid w:val="0077741A"/>
    <w:rsid w:val="00781377"/>
    <w:rsid w:val="00781FAF"/>
    <w:rsid w:val="00782553"/>
    <w:rsid w:val="00783810"/>
    <w:rsid w:val="00783A9F"/>
    <w:rsid w:val="00784166"/>
    <w:rsid w:val="0078476D"/>
    <w:rsid w:val="007847FB"/>
    <w:rsid w:val="00784B89"/>
    <w:rsid w:val="00784BF8"/>
    <w:rsid w:val="00784DAE"/>
    <w:rsid w:val="00784E09"/>
    <w:rsid w:val="00785339"/>
    <w:rsid w:val="00786F50"/>
    <w:rsid w:val="00787851"/>
    <w:rsid w:val="00787A25"/>
    <w:rsid w:val="00787E88"/>
    <w:rsid w:val="0079169B"/>
    <w:rsid w:val="007917BF"/>
    <w:rsid w:val="00791DC2"/>
    <w:rsid w:val="007922B1"/>
    <w:rsid w:val="00793784"/>
    <w:rsid w:val="00793A27"/>
    <w:rsid w:val="00793F4D"/>
    <w:rsid w:val="007941BB"/>
    <w:rsid w:val="007946DB"/>
    <w:rsid w:val="00794B8C"/>
    <w:rsid w:val="00796ED1"/>
    <w:rsid w:val="00797420"/>
    <w:rsid w:val="007978AC"/>
    <w:rsid w:val="00797B66"/>
    <w:rsid w:val="00797B6A"/>
    <w:rsid w:val="00797BA2"/>
    <w:rsid w:val="007A0816"/>
    <w:rsid w:val="007A0AF4"/>
    <w:rsid w:val="007A1882"/>
    <w:rsid w:val="007A1CFE"/>
    <w:rsid w:val="007A2091"/>
    <w:rsid w:val="007A2838"/>
    <w:rsid w:val="007A299E"/>
    <w:rsid w:val="007A2D7A"/>
    <w:rsid w:val="007A33EE"/>
    <w:rsid w:val="007A3B09"/>
    <w:rsid w:val="007A56A8"/>
    <w:rsid w:val="007A5A5D"/>
    <w:rsid w:val="007A67CB"/>
    <w:rsid w:val="007A6A82"/>
    <w:rsid w:val="007A73EE"/>
    <w:rsid w:val="007A7E1A"/>
    <w:rsid w:val="007B0888"/>
    <w:rsid w:val="007B0B93"/>
    <w:rsid w:val="007B0DD9"/>
    <w:rsid w:val="007B0E60"/>
    <w:rsid w:val="007B3427"/>
    <w:rsid w:val="007B39CF"/>
    <w:rsid w:val="007B41C4"/>
    <w:rsid w:val="007B5A1B"/>
    <w:rsid w:val="007B5C2E"/>
    <w:rsid w:val="007B66B6"/>
    <w:rsid w:val="007B6FB1"/>
    <w:rsid w:val="007B7DBE"/>
    <w:rsid w:val="007B7EED"/>
    <w:rsid w:val="007C0AE4"/>
    <w:rsid w:val="007C1EE8"/>
    <w:rsid w:val="007C2107"/>
    <w:rsid w:val="007C2827"/>
    <w:rsid w:val="007C2B1C"/>
    <w:rsid w:val="007C37A1"/>
    <w:rsid w:val="007C43BE"/>
    <w:rsid w:val="007C49FF"/>
    <w:rsid w:val="007C5F96"/>
    <w:rsid w:val="007C601C"/>
    <w:rsid w:val="007C650B"/>
    <w:rsid w:val="007C7AE8"/>
    <w:rsid w:val="007C7E17"/>
    <w:rsid w:val="007D0106"/>
    <w:rsid w:val="007D033B"/>
    <w:rsid w:val="007D0956"/>
    <w:rsid w:val="007D2BA5"/>
    <w:rsid w:val="007D39CD"/>
    <w:rsid w:val="007D410B"/>
    <w:rsid w:val="007D48C4"/>
    <w:rsid w:val="007D4C9D"/>
    <w:rsid w:val="007D4EE7"/>
    <w:rsid w:val="007D5AB1"/>
    <w:rsid w:val="007D6AA1"/>
    <w:rsid w:val="007D7888"/>
    <w:rsid w:val="007D78E3"/>
    <w:rsid w:val="007E01F2"/>
    <w:rsid w:val="007E0203"/>
    <w:rsid w:val="007E056C"/>
    <w:rsid w:val="007E0761"/>
    <w:rsid w:val="007E081D"/>
    <w:rsid w:val="007E1AB8"/>
    <w:rsid w:val="007E26A8"/>
    <w:rsid w:val="007E293C"/>
    <w:rsid w:val="007E36EB"/>
    <w:rsid w:val="007E380A"/>
    <w:rsid w:val="007E5CC1"/>
    <w:rsid w:val="007E5D5E"/>
    <w:rsid w:val="007E7DDD"/>
    <w:rsid w:val="007E7F7C"/>
    <w:rsid w:val="007F182C"/>
    <w:rsid w:val="007F2376"/>
    <w:rsid w:val="007F2783"/>
    <w:rsid w:val="007F33E9"/>
    <w:rsid w:val="007F388B"/>
    <w:rsid w:val="007F4571"/>
    <w:rsid w:val="007F4D55"/>
    <w:rsid w:val="007F589D"/>
    <w:rsid w:val="007F5F68"/>
    <w:rsid w:val="007F5FD8"/>
    <w:rsid w:val="007F61AF"/>
    <w:rsid w:val="007F775F"/>
    <w:rsid w:val="007F7F34"/>
    <w:rsid w:val="0080031F"/>
    <w:rsid w:val="00801411"/>
    <w:rsid w:val="00801C17"/>
    <w:rsid w:val="00801DB8"/>
    <w:rsid w:val="0080291E"/>
    <w:rsid w:val="00802B7F"/>
    <w:rsid w:val="00804F0B"/>
    <w:rsid w:val="00805844"/>
    <w:rsid w:val="00805AF2"/>
    <w:rsid w:val="00805F78"/>
    <w:rsid w:val="00806B4B"/>
    <w:rsid w:val="00807AE7"/>
    <w:rsid w:val="00810837"/>
    <w:rsid w:val="0081095D"/>
    <w:rsid w:val="00810CC6"/>
    <w:rsid w:val="00810CDD"/>
    <w:rsid w:val="00811332"/>
    <w:rsid w:val="0081184B"/>
    <w:rsid w:val="00811943"/>
    <w:rsid w:val="00811DF5"/>
    <w:rsid w:val="00812862"/>
    <w:rsid w:val="00812E0B"/>
    <w:rsid w:val="00812E7C"/>
    <w:rsid w:val="00813346"/>
    <w:rsid w:val="00813F13"/>
    <w:rsid w:val="00814063"/>
    <w:rsid w:val="00814309"/>
    <w:rsid w:val="00815A2F"/>
    <w:rsid w:val="00815E6D"/>
    <w:rsid w:val="00817A6A"/>
    <w:rsid w:val="0082070B"/>
    <w:rsid w:val="0082084A"/>
    <w:rsid w:val="0082159B"/>
    <w:rsid w:val="00822F67"/>
    <w:rsid w:val="008239BC"/>
    <w:rsid w:val="008251C2"/>
    <w:rsid w:val="0082570B"/>
    <w:rsid w:val="008269CE"/>
    <w:rsid w:val="0082721B"/>
    <w:rsid w:val="0083011C"/>
    <w:rsid w:val="00830962"/>
    <w:rsid w:val="00830A88"/>
    <w:rsid w:val="008312F3"/>
    <w:rsid w:val="008343BA"/>
    <w:rsid w:val="00834A2C"/>
    <w:rsid w:val="0083553F"/>
    <w:rsid w:val="008355A8"/>
    <w:rsid w:val="00835BC9"/>
    <w:rsid w:val="00836A00"/>
    <w:rsid w:val="00840621"/>
    <w:rsid w:val="00841315"/>
    <w:rsid w:val="00842AFE"/>
    <w:rsid w:val="00842C5E"/>
    <w:rsid w:val="00842FB5"/>
    <w:rsid w:val="00843DFF"/>
    <w:rsid w:val="00844116"/>
    <w:rsid w:val="00844B4B"/>
    <w:rsid w:val="00845320"/>
    <w:rsid w:val="00845675"/>
    <w:rsid w:val="0084587D"/>
    <w:rsid w:val="0084680E"/>
    <w:rsid w:val="0084696A"/>
    <w:rsid w:val="00846DA4"/>
    <w:rsid w:val="00847B5B"/>
    <w:rsid w:val="00847C9F"/>
    <w:rsid w:val="00847EBF"/>
    <w:rsid w:val="0085098F"/>
    <w:rsid w:val="0085138D"/>
    <w:rsid w:val="00854098"/>
    <w:rsid w:val="0085497E"/>
    <w:rsid w:val="00854FBC"/>
    <w:rsid w:val="00855ED0"/>
    <w:rsid w:val="00856102"/>
    <w:rsid w:val="0085673A"/>
    <w:rsid w:val="00856B6A"/>
    <w:rsid w:val="00856DE2"/>
    <w:rsid w:val="008573C7"/>
    <w:rsid w:val="00857B59"/>
    <w:rsid w:val="00860423"/>
    <w:rsid w:val="00860BDB"/>
    <w:rsid w:val="00861096"/>
    <w:rsid w:val="008617B7"/>
    <w:rsid w:val="00861D85"/>
    <w:rsid w:val="00861F52"/>
    <w:rsid w:val="00862A4F"/>
    <w:rsid w:val="00863019"/>
    <w:rsid w:val="008632BF"/>
    <w:rsid w:val="00864891"/>
    <w:rsid w:val="00864D7E"/>
    <w:rsid w:val="008654E2"/>
    <w:rsid w:val="008656F4"/>
    <w:rsid w:val="00865ABB"/>
    <w:rsid w:val="00865DAA"/>
    <w:rsid w:val="00866008"/>
    <w:rsid w:val="00866364"/>
    <w:rsid w:val="00870795"/>
    <w:rsid w:val="00871B65"/>
    <w:rsid w:val="00871ED5"/>
    <w:rsid w:val="008722E4"/>
    <w:rsid w:val="00873808"/>
    <w:rsid w:val="00873FD5"/>
    <w:rsid w:val="00874F31"/>
    <w:rsid w:val="0087527E"/>
    <w:rsid w:val="00875C4F"/>
    <w:rsid w:val="00876420"/>
    <w:rsid w:val="008770B1"/>
    <w:rsid w:val="00877642"/>
    <w:rsid w:val="00877FE9"/>
    <w:rsid w:val="00880646"/>
    <w:rsid w:val="00881C0B"/>
    <w:rsid w:val="00881E8E"/>
    <w:rsid w:val="00882650"/>
    <w:rsid w:val="00882703"/>
    <w:rsid w:val="00882CDA"/>
    <w:rsid w:val="008832BD"/>
    <w:rsid w:val="00883754"/>
    <w:rsid w:val="008842AB"/>
    <w:rsid w:val="008844C7"/>
    <w:rsid w:val="008855BC"/>
    <w:rsid w:val="00886294"/>
    <w:rsid w:val="00886302"/>
    <w:rsid w:val="00886930"/>
    <w:rsid w:val="00886A95"/>
    <w:rsid w:val="00886F12"/>
    <w:rsid w:val="008902D3"/>
    <w:rsid w:val="00890605"/>
    <w:rsid w:val="00890A93"/>
    <w:rsid w:val="0089194A"/>
    <w:rsid w:val="00891D49"/>
    <w:rsid w:val="0089243B"/>
    <w:rsid w:val="00892AFB"/>
    <w:rsid w:val="0089368B"/>
    <w:rsid w:val="00893A0A"/>
    <w:rsid w:val="0089561D"/>
    <w:rsid w:val="0089702D"/>
    <w:rsid w:val="00897403"/>
    <w:rsid w:val="00897789"/>
    <w:rsid w:val="008A11A0"/>
    <w:rsid w:val="008A1A51"/>
    <w:rsid w:val="008A1B88"/>
    <w:rsid w:val="008A1D16"/>
    <w:rsid w:val="008A1FE3"/>
    <w:rsid w:val="008A20BC"/>
    <w:rsid w:val="008A280E"/>
    <w:rsid w:val="008A30DD"/>
    <w:rsid w:val="008A31C0"/>
    <w:rsid w:val="008A3BC7"/>
    <w:rsid w:val="008A3F44"/>
    <w:rsid w:val="008A466B"/>
    <w:rsid w:val="008A4E4C"/>
    <w:rsid w:val="008A5F69"/>
    <w:rsid w:val="008A68EC"/>
    <w:rsid w:val="008A73B0"/>
    <w:rsid w:val="008B24DD"/>
    <w:rsid w:val="008B285E"/>
    <w:rsid w:val="008B2B3C"/>
    <w:rsid w:val="008B4A2E"/>
    <w:rsid w:val="008B58DE"/>
    <w:rsid w:val="008B599F"/>
    <w:rsid w:val="008B6202"/>
    <w:rsid w:val="008B649D"/>
    <w:rsid w:val="008B665D"/>
    <w:rsid w:val="008B6D0D"/>
    <w:rsid w:val="008B6F16"/>
    <w:rsid w:val="008C01EB"/>
    <w:rsid w:val="008C15C8"/>
    <w:rsid w:val="008C215C"/>
    <w:rsid w:val="008C2299"/>
    <w:rsid w:val="008C2443"/>
    <w:rsid w:val="008C2522"/>
    <w:rsid w:val="008C2CD3"/>
    <w:rsid w:val="008C2FA8"/>
    <w:rsid w:val="008C34B7"/>
    <w:rsid w:val="008C37A2"/>
    <w:rsid w:val="008C3941"/>
    <w:rsid w:val="008C4151"/>
    <w:rsid w:val="008C5163"/>
    <w:rsid w:val="008C5984"/>
    <w:rsid w:val="008C5E67"/>
    <w:rsid w:val="008C604B"/>
    <w:rsid w:val="008C730F"/>
    <w:rsid w:val="008C7C7F"/>
    <w:rsid w:val="008D0308"/>
    <w:rsid w:val="008D0998"/>
    <w:rsid w:val="008D1539"/>
    <w:rsid w:val="008D20A3"/>
    <w:rsid w:val="008D270D"/>
    <w:rsid w:val="008D27EB"/>
    <w:rsid w:val="008D2C8B"/>
    <w:rsid w:val="008D30AF"/>
    <w:rsid w:val="008D3CDF"/>
    <w:rsid w:val="008D4618"/>
    <w:rsid w:val="008D47EA"/>
    <w:rsid w:val="008D5823"/>
    <w:rsid w:val="008D644F"/>
    <w:rsid w:val="008D6A5D"/>
    <w:rsid w:val="008D6E5C"/>
    <w:rsid w:val="008D6E96"/>
    <w:rsid w:val="008D6F6A"/>
    <w:rsid w:val="008D6F78"/>
    <w:rsid w:val="008D76BE"/>
    <w:rsid w:val="008E0886"/>
    <w:rsid w:val="008E0E90"/>
    <w:rsid w:val="008E10D6"/>
    <w:rsid w:val="008E1957"/>
    <w:rsid w:val="008E27E6"/>
    <w:rsid w:val="008E2B58"/>
    <w:rsid w:val="008E33EA"/>
    <w:rsid w:val="008E3805"/>
    <w:rsid w:val="008E3D20"/>
    <w:rsid w:val="008E4582"/>
    <w:rsid w:val="008E462B"/>
    <w:rsid w:val="008E58D2"/>
    <w:rsid w:val="008E5901"/>
    <w:rsid w:val="008E5EDA"/>
    <w:rsid w:val="008E636B"/>
    <w:rsid w:val="008E6D00"/>
    <w:rsid w:val="008E6EC2"/>
    <w:rsid w:val="008E6F6E"/>
    <w:rsid w:val="008E7183"/>
    <w:rsid w:val="008E77D5"/>
    <w:rsid w:val="008F0415"/>
    <w:rsid w:val="008F0BE5"/>
    <w:rsid w:val="008F195C"/>
    <w:rsid w:val="008F2E0B"/>
    <w:rsid w:val="008F34CB"/>
    <w:rsid w:val="008F3986"/>
    <w:rsid w:val="008F4F59"/>
    <w:rsid w:val="008F5461"/>
    <w:rsid w:val="008F56AC"/>
    <w:rsid w:val="008F6653"/>
    <w:rsid w:val="008F6C10"/>
    <w:rsid w:val="008F71E6"/>
    <w:rsid w:val="008F7755"/>
    <w:rsid w:val="00900139"/>
    <w:rsid w:val="009008A2"/>
    <w:rsid w:val="00900B2B"/>
    <w:rsid w:val="00900F62"/>
    <w:rsid w:val="009019D1"/>
    <w:rsid w:val="00901BA5"/>
    <w:rsid w:val="0090210D"/>
    <w:rsid w:val="0090227C"/>
    <w:rsid w:val="00902289"/>
    <w:rsid w:val="009022BB"/>
    <w:rsid w:val="00902FD4"/>
    <w:rsid w:val="009045B3"/>
    <w:rsid w:val="0090493D"/>
    <w:rsid w:val="00904C72"/>
    <w:rsid w:val="00904D4B"/>
    <w:rsid w:val="00904F52"/>
    <w:rsid w:val="009050F4"/>
    <w:rsid w:val="00905430"/>
    <w:rsid w:val="00905BF5"/>
    <w:rsid w:val="00905F6A"/>
    <w:rsid w:val="00906F67"/>
    <w:rsid w:val="00907FE0"/>
    <w:rsid w:val="00910CBD"/>
    <w:rsid w:val="0091144B"/>
    <w:rsid w:val="00912260"/>
    <w:rsid w:val="009126D6"/>
    <w:rsid w:val="0091298D"/>
    <w:rsid w:val="00912ADF"/>
    <w:rsid w:val="00912CF8"/>
    <w:rsid w:val="00914124"/>
    <w:rsid w:val="00915488"/>
    <w:rsid w:val="00915576"/>
    <w:rsid w:val="00915B6A"/>
    <w:rsid w:val="0091631F"/>
    <w:rsid w:val="00916A0F"/>
    <w:rsid w:val="00917A7F"/>
    <w:rsid w:val="00920528"/>
    <w:rsid w:val="00922BF8"/>
    <w:rsid w:val="0092368D"/>
    <w:rsid w:val="0092378E"/>
    <w:rsid w:val="0092403C"/>
    <w:rsid w:val="009241C9"/>
    <w:rsid w:val="00924234"/>
    <w:rsid w:val="0092474C"/>
    <w:rsid w:val="00925116"/>
    <w:rsid w:val="00925448"/>
    <w:rsid w:val="00925536"/>
    <w:rsid w:val="00925FF2"/>
    <w:rsid w:val="009271A2"/>
    <w:rsid w:val="009309A2"/>
    <w:rsid w:val="00930CF7"/>
    <w:rsid w:val="00930D10"/>
    <w:rsid w:val="009329C9"/>
    <w:rsid w:val="00933305"/>
    <w:rsid w:val="0093378D"/>
    <w:rsid w:val="0093484E"/>
    <w:rsid w:val="00935A21"/>
    <w:rsid w:val="00935A48"/>
    <w:rsid w:val="009377BC"/>
    <w:rsid w:val="00937C0F"/>
    <w:rsid w:val="00940467"/>
    <w:rsid w:val="009404CE"/>
    <w:rsid w:val="00940D56"/>
    <w:rsid w:val="00941319"/>
    <w:rsid w:val="00941C71"/>
    <w:rsid w:val="00941E99"/>
    <w:rsid w:val="0094299F"/>
    <w:rsid w:val="00942C49"/>
    <w:rsid w:val="00944E9D"/>
    <w:rsid w:val="00946247"/>
    <w:rsid w:val="009472A1"/>
    <w:rsid w:val="00947A04"/>
    <w:rsid w:val="00947B02"/>
    <w:rsid w:val="00947E4E"/>
    <w:rsid w:val="009508FA"/>
    <w:rsid w:val="009519B0"/>
    <w:rsid w:val="00951A56"/>
    <w:rsid w:val="00952833"/>
    <w:rsid w:val="00953595"/>
    <w:rsid w:val="009543FD"/>
    <w:rsid w:val="009545F5"/>
    <w:rsid w:val="00954BAD"/>
    <w:rsid w:val="009553DE"/>
    <w:rsid w:val="00955421"/>
    <w:rsid w:val="0095549B"/>
    <w:rsid w:val="00956F1D"/>
    <w:rsid w:val="0095708D"/>
    <w:rsid w:val="009570EC"/>
    <w:rsid w:val="009571D8"/>
    <w:rsid w:val="00957325"/>
    <w:rsid w:val="00960DB5"/>
    <w:rsid w:val="009611F6"/>
    <w:rsid w:val="00961D65"/>
    <w:rsid w:val="00961F4C"/>
    <w:rsid w:val="00962311"/>
    <w:rsid w:val="00962341"/>
    <w:rsid w:val="00962426"/>
    <w:rsid w:val="009636C3"/>
    <w:rsid w:val="00963732"/>
    <w:rsid w:val="009637F1"/>
    <w:rsid w:val="009647DB"/>
    <w:rsid w:val="00965B35"/>
    <w:rsid w:val="00965C70"/>
    <w:rsid w:val="00965E55"/>
    <w:rsid w:val="00965FCD"/>
    <w:rsid w:val="009667E4"/>
    <w:rsid w:val="00966C86"/>
    <w:rsid w:val="00966CC3"/>
    <w:rsid w:val="009674E4"/>
    <w:rsid w:val="00967750"/>
    <w:rsid w:val="00967D5B"/>
    <w:rsid w:val="009707F3"/>
    <w:rsid w:val="00970817"/>
    <w:rsid w:val="0097121E"/>
    <w:rsid w:val="009729C4"/>
    <w:rsid w:val="00972CD2"/>
    <w:rsid w:val="00972F5D"/>
    <w:rsid w:val="00973022"/>
    <w:rsid w:val="0097377E"/>
    <w:rsid w:val="0097384A"/>
    <w:rsid w:val="00974320"/>
    <w:rsid w:val="00974AD2"/>
    <w:rsid w:val="00974F42"/>
    <w:rsid w:val="00975511"/>
    <w:rsid w:val="0097614F"/>
    <w:rsid w:val="00976263"/>
    <w:rsid w:val="00980D4F"/>
    <w:rsid w:val="0098296F"/>
    <w:rsid w:val="00982E62"/>
    <w:rsid w:val="009836D7"/>
    <w:rsid w:val="0098375C"/>
    <w:rsid w:val="00983E2A"/>
    <w:rsid w:val="009842D5"/>
    <w:rsid w:val="00984FFD"/>
    <w:rsid w:val="009851E4"/>
    <w:rsid w:val="0098562F"/>
    <w:rsid w:val="00985BF6"/>
    <w:rsid w:val="00985C9B"/>
    <w:rsid w:val="009860B5"/>
    <w:rsid w:val="009869DC"/>
    <w:rsid w:val="009869F0"/>
    <w:rsid w:val="00991300"/>
    <w:rsid w:val="00991897"/>
    <w:rsid w:val="00991AE1"/>
    <w:rsid w:val="00992030"/>
    <w:rsid w:val="00992420"/>
    <w:rsid w:val="00992B90"/>
    <w:rsid w:val="00993C8B"/>
    <w:rsid w:val="00993E5A"/>
    <w:rsid w:val="00994161"/>
    <w:rsid w:val="0099417D"/>
    <w:rsid w:val="00994D96"/>
    <w:rsid w:val="009960CD"/>
    <w:rsid w:val="00997454"/>
    <w:rsid w:val="00997BAB"/>
    <w:rsid w:val="009A0736"/>
    <w:rsid w:val="009A077D"/>
    <w:rsid w:val="009A1376"/>
    <w:rsid w:val="009A19E2"/>
    <w:rsid w:val="009A24E1"/>
    <w:rsid w:val="009A2EA5"/>
    <w:rsid w:val="009A4C61"/>
    <w:rsid w:val="009A4CA6"/>
    <w:rsid w:val="009A5015"/>
    <w:rsid w:val="009A547A"/>
    <w:rsid w:val="009A5640"/>
    <w:rsid w:val="009A63D0"/>
    <w:rsid w:val="009A66BD"/>
    <w:rsid w:val="009A6AC7"/>
    <w:rsid w:val="009A6D2F"/>
    <w:rsid w:val="009A74A7"/>
    <w:rsid w:val="009A792A"/>
    <w:rsid w:val="009A7E4A"/>
    <w:rsid w:val="009B07AA"/>
    <w:rsid w:val="009B1049"/>
    <w:rsid w:val="009B159E"/>
    <w:rsid w:val="009B1B81"/>
    <w:rsid w:val="009B1C0A"/>
    <w:rsid w:val="009B2EE8"/>
    <w:rsid w:val="009B320B"/>
    <w:rsid w:val="009B37AE"/>
    <w:rsid w:val="009B43DB"/>
    <w:rsid w:val="009B5779"/>
    <w:rsid w:val="009B65AF"/>
    <w:rsid w:val="009B6603"/>
    <w:rsid w:val="009B6985"/>
    <w:rsid w:val="009B6EE0"/>
    <w:rsid w:val="009B75F3"/>
    <w:rsid w:val="009C0493"/>
    <w:rsid w:val="009C162D"/>
    <w:rsid w:val="009C1ADE"/>
    <w:rsid w:val="009C1D43"/>
    <w:rsid w:val="009C1DC4"/>
    <w:rsid w:val="009C2C4A"/>
    <w:rsid w:val="009C406B"/>
    <w:rsid w:val="009C41DE"/>
    <w:rsid w:val="009C42D7"/>
    <w:rsid w:val="009C4652"/>
    <w:rsid w:val="009C4D32"/>
    <w:rsid w:val="009C4EAF"/>
    <w:rsid w:val="009C5011"/>
    <w:rsid w:val="009C5462"/>
    <w:rsid w:val="009C5A68"/>
    <w:rsid w:val="009C62C0"/>
    <w:rsid w:val="009C6D28"/>
    <w:rsid w:val="009C6DF3"/>
    <w:rsid w:val="009C7459"/>
    <w:rsid w:val="009C756D"/>
    <w:rsid w:val="009D04AF"/>
    <w:rsid w:val="009D1048"/>
    <w:rsid w:val="009D198A"/>
    <w:rsid w:val="009D2F97"/>
    <w:rsid w:val="009D36B4"/>
    <w:rsid w:val="009D3AEA"/>
    <w:rsid w:val="009D3E8D"/>
    <w:rsid w:val="009D45FA"/>
    <w:rsid w:val="009D64D9"/>
    <w:rsid w:val="009D6D64"/>
    <w:rsid w:val="009D7885"/>
    <w:rsid w:val="009E04A3"/>
    <w:rsid w:val="009E21B0"/>
    <w:rsid w:val="009E36CD"/>
    <w:rsid w:val="009E386A"/>
    <w:rsid w:val="009E3E79"/>
    <w:rsid w:val="009E510B"/>
    <w:rsid w:val="009E51BC"/>
    <w:rsid w:val="009E58AC"/>
    <w:rsid w:val="009E5D48"/>
    <w:rsid w:val="009E6747"/>
    <w:rsid w:val="009E70C1"/>
    <w:rsid w:val="009E7177"/>
    <w:rsid w:val="009F0EB0"/>
    <w:rsid w:val="009F1090"/>
    <w:rsid w:val="009F150B"/>
    <w:rsid w:val="009F17D9"/>
    <w:rsid w:val="009F18E0"/>
    <w:rsid w:val="009F216B"/>
    <w:rsid w:val="009F2C2B"/>
    <w:rsid w:val="009F3035"/>
    <w:rsid w:val="009F3089"/>
    <w:rsid w:val="009F327D"/>
    <w:rsid w:val="009F35DF"/>
    <w:rsid w:val="009F3C6F"/>
    <w:rsid w:val="009F3CF9"/>
    <w:rsid w:val="009F3DA9"/>
    <w:rsid w:val="009F4195"/>
    <w:rsid w:val="009F4261"/>
    <w:rsid w:val="009F4E29"/>
    <w:rsid w:val="009F52DD"/>
    <w:rsid w:val="009F74C6"/>
    <w:rsid w:val="00A00218"/>
    <w:rsid w:val="00A0022E"/>
    <w:rsid w:val="00A0035B"/>
    <w:rsid w:val="00A01261"/>
    <w:rsid w:val="00A0131C"/>
    <w:rsid w:val="00A01975"/>
    <w:rsid w:val="00A0226B"/>
    <w:rsid w:val="00A02609"/>
    <w:rsid w:val="00A040F6"/>
    <w:rsid w:val="00A049F4"/>
    <w:rsid w:val="00A04FBF"/>
    <w:rsid w:val="00A060B3"/>
    <w:rsid w:val="00A06C70"/>
    <w:rsid w:val="00A06E10"/>
    <w:rsid w:val="00A07539"/>
    <w:rsid w:val="00A105A7"/>
    <w:rsid w:val="00A10CF5"/>
    <w:rsid w:val="00A119B4"/>
    <w:rsid w:val="00A119F1"/>
    <w:rsid w:val="00A11CDE"/>
    <w:rsid w:val="00A11E17"/>
    <w:rsid w:val="00A1221E"/>
    <w:rsid w:val="00A145D0"/>
    <w:rsid w:val="00A14996"/>
    <w:rsid w:val="00A16685"/>
    <w:rsid w:val="00A16C9B"/>
    <w:rsid w:val="00A1707D"/>
    <w:rsid w:val="00A17447"/>
    <w:rsid w:val="00A178C8"/>
    <w:rsid w:val="00A20571"/>
    <w:rsid w:val="00A2097F"/>
    <w:rsid w:val="00A209F6"/>
    <w:rsid w:val="00A20D1B"/>
    <w:rsid w:val="00A223E6"/>
    <w:rsid w:val="00A22776"/>
    <w:rsid w:val="00A22911"/>
    <w:rsid w:val="00A22FCE"/>
    <w:rsid w:val="00A233F2"/>
    <w:rsid w:val="00A23A9A"/>
    <w:rsid w:val="00A23C7E"/>
    <w:rsid w:val="00A2480A"/>
    <w:rsid w:val="00A24849"/>
    <w:rsid w:val="00A2559B"/>
    <w:rsid w:val="00A25D5F"/>
    <w:rsid w:val="00A3033D"/>
    <w:rsid w:val="00A30660"/>
    <w:rsid w:val="00A30E95"/>
    <w:rsid w:val="00A3121D"/>
    <w:rsid w:val="00A319E4"/>
    <w:rsid w:val="00A31B1A"/>
    <w:rsid w:val="00A324D0"/>
    <w:rsid w:val="00A324F2"/>
    <w:rsid w:val="00A32588"/>
    <w:rsid w:val="00A33860"/>
    <w:rsid w:val="00A339DF"/>
    <w:rsid w:val="00A34BB6"/>
    <w:rsid w:val="00A34CEB"/>
    <w:rsid w:val="00A34E49"/>
    <w:rsid w:val="00A34E8F"/>
    <w:rsid w:val="00A34E9D"/>
    <w:rsid w:val="00A35125"/>
    <w:rsid w:val="00A3560C"/>
    <w:rsid w:val="00A35630"/>
    <w:rsid w:val="00A358F6"/>
    <w:rsid w:val="00A35C10"/>
    <w:rsid w:val="00A360C2"/>
    <w:rsid w:val="00A36406"/>
    <w:rsid w:val="00A3654F"/>
    <w:rsid w:val="00A3689A"/>
    <w:rsid w:val="00A36D77"/>
    <w:rsid w:val="00A36F39"/>
    <w:rsid w:val="00A37526"/>
    <w:rsid w:val="00A3777A"/>
    <w:rsid w:val="00A40D24"/>
    <w:rsid w:val="00A4133A"/>
    <w:rsid w:val="00A419CE"/>
    <w:rsid w:val="00A423C3"/>
    <w:rsid w:val="00A423CC"/>
    <w:rsid w:val="00A429F2"/>
    <w:rsid w:val="00A4482B"/>
    <w:rsid w:val="00A44F75"/>
    <w:rsid w:val="00A451B1"/>
    <w:rsid w:val="00A451E5"/>
    <w:rsid w:val="00A45934"/>
    <w:rsid w:val="00A459FF"/>
    <w:rsid w:val="00A45F99"/>
    <w:rsid w:val="00A468B1"/>
    <w:rsid w:val="00A4692E"/>
    <w:rsid w:val="00A4692F"/>
    <w:rsid w:val="00A46C9C"/>
    <w:rsid w:val="00A46DEF"/>
    <w:rsid w:val="00A46E75"/>
    <w:rsid w:val="00A478AD"/>
    <w:rsid w:val="00A50BD2"/>
    <w:rsid w:val="00A52288"/>
    <w:rsid w:val="00A524E5"/>
    <w:rsid w:val="00A52BC0"/>
    <w:rsid w:val="00A52EA8"/>
    <w:rsid w:val="00A5443B"/>
    <w:rsid w:val="00A55077"/>
    <w:rsid w:val="00A55764"/>
    <w:rsid w:val="00A55823"/>
    <w:rsid w:val="00A559ED"/>
    <w:rsid w:val="00A55A6E"/>
    <w:rsid w:val="00A55AB0"/>
    <w:rsid w:val="00A5642C"/>
    <w:rsid w:val="00A56F16"/>
    <w:rsid w:val="00A57868"/>
    <w:rsid w:val="00A57AE3"/>
    <w:rsid w:val="00A57CDB"/>
    <w:rsid w:val="00A57F2F"/>
    <w:rsid w:val="00A60C49"/>
    <w:rsid w:val="00A6119A"/>
    <w:rsid w:val="00A6220E"/>
    <w:rsid w:val="00A6246A"/>
    <w:rsid w:val="00A62711"/>
    <w:rsid w:val="00A63167"/>
    <w:rsid w:val="00A63DB2"/>
    <w:rsid w:val="00A664C8"/>
    <w:rsid w:val="00A66869"/>
    <w:rsid w:val="00A66994"/>
    <w:rsid w:val="00A66BEC"/>
    <w:rsid w:val="00A67103"/>
    <w:rsid w:val="00A67F78"/>
    <w:rsid w:val="00A719D1"/>
    <w:rsid w:val="00A71AEE"/>
    <w:rsid w:val="00A72B22"/>
    <w:rsid w:val="00A73828"/>
    <w:rsid w:val="00A738C7"/>
    <w:rsid w:val="00A73F8B"/>
    <w:rsid w:val="00A74590"/>
    <w:rsid w:val="00A75004"/>
    <w:rsid w:val="00A76078"/>
    <w:rsid w:val="00A76B8B"/>
    <w:rsid w:val="00A76BD3"/>
    <w:rsid w:val="00A80523"/>
    <w:rsid w:val="00A8105B"/>
    <w:rsid w:val="00A8196A"/>
    <w:rsid w:val="00A81A72"/>
    <w:rsid w:val="00A81DD8"/>
    <w:rsid w:val="00A81F5E"/>
    <w:rsid w:val="00A82E03"/>
    <w:rsid w:val="00A84EF6"/>
    <w:rsid w:val="00A85168"/>
    <w:rsid w:val="00A85320"/>
    <w:rsid w:val="00A85322"/>
    <w:rsid w:val="00A862EE"/>
    <w:rsid w:val="00A86AE2"/>
    <w:rsid w:val="00A87A73"/>
    <w:rsid w:val="00A90070"/>
    <w:rsid w:val="00A90134"/>
    <w:rsid w:val="00A919D2"/>
    <w:rsid w:val="00A91C99"/>
    <w:rsid w:val="00A92A57"/>
    <w:rsid w:val="00A92C88"/>
    <w:rsid w:val="00A93193"/>
    <w:rsid w:val="00A9408A"/>
    <w:rsid w:val="00A94105"/>
    <w:rsid w:val="00A9414F"/>
    <w:rsid w:val="00A94444"/>
    <w:rsid w:val="00A944B7"/>
    <w:rsid w:val="00A95390"/>
    <w:rsid w:val="00A95F41"/>
    <w:rsid w:val="00A96249"/>
    <w:rsid w:val="00A965E6"/>
    <w:rsid w:val="00A96B95"/>
    <w:rsid w:val="00A975A4"/>
    <w:rsid w:val="00AA1568"/>
    <w:rsid w:val="00AA15ED"/>
    <w:rsid w:val="00AA4229"/>
    <w:rsid w:val="00AA4C9B"/>
    <w:rsid w:val="00AA53FC"/>
    <w:rsid w:val="00AA57C2"/>
    <w:rsid w:val="00AA6286"/>
    <w:rsid w:val="00AA6372"/>
    <w:rsid w:val="00AA728A"/>
    <w:rsid w:val="00AB0576"/>
    <w:rsid w:val="00AB08DE"/>
    <w:rsid w:val="00AB0D58"/>
    <w:rsid w:val="00AB1AAD"/>
    <w:rsid w:val="00AB356D"/>
    <w:rsid w:val="00AB3700"/>
    <w:rsid w:val="00AB4336"/>
    <w:rsid w:val="00AB47EB"/>
    <w:rsid w:val="00AB4C24"/>
    <w:rsid w:val="00AB4C79"/>
    <w:rsid w:val="00AB517A"/>
    <w:rsid w:val="00AB7198"/>
    <w:rsid w:val="00AC28E1"/>
    <w:rsid w:val="00AC2EF2"/>
    <w:rsid w:val="00AC32CE"/>
    <w:rsid w:val="00AC33D0"/>
    <w:rsid w:val="00AC41A8"/>
    <w:rsid w:val="00AC4773"/>
    <w:rsid w:val="00AC4D78"/>
    <w:rsid w:val="00AC4E44"/>
    <w:rsid w:val="00AC5FC3"/>
    <w:rsid w:val="00AC7151"/>
    <w:rsid w:val="00AC717C"/>
    <w:rsid w:val="00AC7CE7"/>
    <w:rsid w:val="00AD02E0"/>
    <w:rsid w:val="00AD0474"/>
    <w:rsid w:val="00AD0892"/>
    <w:rsid w:val="00AD0FC1"/>
    <w:rsid w:val="00AD1B16"/>
    <w:rsid w:val="00AD1CF2"/>
    <w:rsid w:val="00AD20A3"/>
    <w:rsid w:val="00AD2612"/>
    <w:rsid w:val="00AD2C28"/>
    <w:rsid w:val="00AD308A"/>
    <w:rsid w:val="00AD314C"/>
    <w:rsid w:val="00AD45B8"/>
    <w:rsid w:val="00AD4978"/>
    <w:rsid w:val="00AD5FD2"/>
    <w:rsid w:val="00AD677F"/>
    <w:rsid w:val="00AD69AC"/>
    <w:rsid w:val="00AD6C85"/>
    <w:rsid w:val="00AD6E0C"/>
    <w:rsid w:val="00AD71D3"/>
    <w:rsid w:val="00AD725A"/>
    <w:rsid w:val="00AD7672"/>
    <w:rsid w:val="00AE1A52"/>
    <w:rsid w:val="00AE2ACA"/>
    <w:rsid w:val="00AE2C4C"/>
    <w:rsid w:val="00AE2FC9"/>
    <w:rsid w:val="00AE332A"/>
    <w:rsid w:val="00AE3B29"/>
    <w:rsid w:val="00AE3EC8"/>
    <w:rsid w:val="00AE46D2"/>
    <w:rsid w:val="00AE4C36"/>
    <w:rsid w:val="00AE5E64"/>
    <w:rsid w:val="00AE745C"/>
    <w:rsid w:val="00AF16EF"/>
    <w:rsid w:val="00AF2879"/>
    <w:rsid w:val="00AF29C0"/>
    <w:rsid w:val="00AF2A35"/>
    <w:rsid w:val="00AF2BEB"/>
    <w:rsid w:val="00AF39C0"/>
    <w:rsid w:val="00AF3F13"/>
    <w:rsid w:val="00AF4AA6"/>
    <w:rsid w:val="00AF62DF"/>
    <w:rsid w:val="00AF6471"/>
    <w:rsid w:val="00AF71DC"/>
    <w:rsid w:val="00AF7929"/>
    <w:rsid w:val="00AF7AA0"/>
    <w:rsid w:val="00AF7CF3"/>
    <w:rsid w:val="00AF7E83"/>
    <w:rsid w:val="00B012FF"/>
    <w:rsid w:val="00B0177D"/>
    <w:rsid w:val="00B022B2"/>
    <w:rsid w:val="00B02D66"/>
    <w:rsid w:val="00B0313B"/>
    <w:rsid w:val="00B03435"/>
    <w:rsid w:val="00B039A4"/>
    <w:rsid w:val="00B0449D"/>
    <w:rsid w:val="00B056E1"/>
    <w:rsid w:val="00B063C0"/>
    <w:rsid w:val="00B06824"/>
    <w:rsid w:val="00B07EB9"/>
    <w:rsid w:val="00B10371"/>
    <w:rsid w:val="00B1225C"/>
    <w:rsid w:val="00B12463"/>
    <w:rsid w:val="00B12E31"/>
    <w:rsid w:val="00B12FFF"/>
    <w:rsid w:val="00B13932"/>
    <w:rsid w:val="00B1410C"/>
    <w:rsid w:val="00B144B8"/>
    <w:rsid w:val="00B14916"/>
    <w:rsid w:val="00B14CA8"/>
    <w:rsid w:val="00B15B7B"/>
    <w:rsid w:val="00B16191"/>
    <w:rsid w:val="00B16764"/>
    <w:rsid w:val="00B16A6B"/>
    <w:rsid w:val="00B1724F"/>
    <w:rsid w:val="00B17E2D"/>
    <w:rsid w:val="00B20DEE"/>
    <w:rsid w:val="00B215A7"/>
    <w:rsid w:val="00B21B23"/>
    <w:rsid w:val="00B22227"/>
    <w:rsid w:val="00B2229B"/>
    <w:rsid w:val="00B2262C"/>
    <w:rsid w:val="00B2447D"/>
    <w:rsid w:val="00B2654F"/>
    <w:rsid w:val="00B26E5B"/>
    <w:rsid w:val="00B271CF"/>
    <w:rsid w:val="00B27D61"/>
    <w:rsid w:val="00B27F43"/>
    <w:rsid w:val="00B30BC0"/>
    <w:rsid w:val="00B3132A"/>
    <w:rsid w:val="00B31F68"/>
    <w:rsid w:val="00B323C3"/>
    <w:rsid w:val="00B336D1"/>
    <w:rsid w:val="00B351C1"/>
    <w:rsid w:val="00B355D6"/>
    <w:rsid w:val="00B36D48"/>
    <w:rsid w:val="00B40133"/>
    <w:rsid w:val="00B41E7A"/>
    <w:rsid w:val="00B421ED"/>
    <w:rsid w:val="00B42AAB"/>
    <w:rsid w:val="00B4327B"/>
    <w:rsid w:val="00B434CF"/>
    <w:rsid w:val="00B43B1F"/>
    <w:rsid w:val="00B44688"/>
    <w:rsid w:val="00B45BDC"/>
    <w:rsid w:val="00B46ABF"/>
    <w:rsid w:val="00B47CAB"/>
    <w:rsid w:val="00B50021"/>
    <w:rsid w:val="00B507D3"/>
    <w:rsid w:val="00B50CF4"/>
    <w:rsid w:val="00B5154B"/>
    <w:rsid w:val="00B51806"/>
    <w:rsid w:val="00B52271"/>
    <w:rsid w:val="00B5329A"/>
    <w:rsid w:val="00B53433"/>
    <w:rsid w:val="00B5542E"/>
    <w:rsid w:val="00B554D3"/>
    <w:rsid w:val="00B5629A"/>
    <w:rsid w:val="00B57358"/>
    <w:rsid w:val="00B57E89"/>
    <w:rsid w:val="00B600D9"/>
    <w:rsid w:val="00B603E6"/>
    <w:rsid w:val="00B604B2"/>
    <w:rsid w:val="00B62D9E"/>
    <w:rsid w:val="00B6394D"/>
    <w:rsid w:val="00B63FBA"/>
    <w:rsid w:val="00B64606"/>
    <w:rsid w:val="00B6467B"/>
    <w:rsid w:val="00B6519A"/>
    <w:rsid w:val="00B663B8"/>
    <w:rsid w:val="00B669C4"/>
    <w:rsid w:val="00B66E0F"/>
    <w:rsid w:val="00B67014"/>
    <w:rsid w:val="00B70E56"/>
    <w:rsid w:val="00B7138A"/>
    <w:rsid w:val="00B71665"/>
    <w:rsid w:val="00B71C0B"/>
    <w:rsid w:val="00B72332"/>
    <w:rsid w:val="00B72446"/>
    <w:rsid w:val="00B73D36"/>
    <w:rsid w:val="00B73FD4"/>
    <w:rsid w:val="00B74693"/>
    <w:rsid w:val="00B74947"/>
    <w:rsid w:val="00B7548F"/>
    <w:rsid w:val="00B7591E"/>
    <w:rsid w:val="00B75991"/>
    <w:rsid w:val="00B760A2"/>
    <w:rsid w:val="00B76838"/>
    <w:rsid w:val="00B77D13"/>
    <w:rsid w:val="00B801BF"/>
    <w:rsid w:val="00B80711"/>
    <w:rsid w:val="00B810E2"/>
    <w:rsid w:val="00B81BD0"/>
    <w:rsid w:val="00B820AC"/>
    <w:rsid w:val="00B82794"/>
    <w:rsid w:val="00B82B9C"/>
    <w:rsid w:val="00B82F96"/>
    <w:rsid w:val="00B84CCB"/>
    <w:rsid w:val="00B862AF"/>
    <w:rsid w:val="00B86637"/>
    <w:rsid w:val="00B86906"/>
    <w:rsid w:val="00B86E20"/>
    <w:rsid w:val="00B87E79"/>
    <w:rsid w:val="00B90D97"/>
    <w:rsid w:val="00B91241"/>
    <w:rsid w:val="00B91D36"/>
    <w:rsid w:val="00B92746"/>
    <w:rsid w:val="00B92D47"/>
    <w:rsid w:val="00B93048"/>
    <w:rsid w:val="00B96894"/>
    <w:rsid w:val="00B969AC"/>
    <w:rsid w:val="00B9719C"/>
    <w:rsid w:val="00BA06C1"/>
    <w:rsid w:val="00BA0B65"/>
    <w:rsid w:val="00BA1E04"/>
    <w:rsid w:val="00BA1F78"/>
    <w:rsid w:val="00BA2E14"/>
    <w:rsid w:val="00BA4E3C"/>
    <w:rsid w:val="00BA54D0"/>
    <w:rsid w:val="00BA6C18"/>
    <w:rsid w:val="00BA6F69"/>
    <w:rsid w:val="00BA6FEF"/>
    <w:rsid w:val="00BB058C"/>
    <w:rsid w:val="00BB24C2"/>
    <w:rsid w:val="00BB2CF5"/>
    <w:rsid w:val="00BB30FF"/>
    <w:rsid w:val="00BB360B"/>
    <w:rsid w:val="00BB40F6"/>
    <w:rsid w:val="00BB4C6C"/>
    <w:rsid w:val="00BB573E"/>
    <w:rsid w:val="00BB5FE7"/>
    <w:rsid w:val="00BB60B2"/>
    <w:rsid w:val="00BB68A6"/>
    <w:rsid w:val="00BB6C77"/>
    <w:rsid w:val="00BB7001"/>
    <w:rsid w:val="00BB7720"/>
    <w:rsid w:val="00BB785F"/>
    <w:rsid w:val="00BB7878"/>
    <w:rsid w:val="00BB7D3F"/>
    <w:rsid w:val="00BB7F73"/>
    <w:rsid w:val="00BC05DD"/>
    <w:rsid w:val="00BC188E"/>
    <w:rsid w:val="00BC1B61"/>
    <w:rsid w:val="00BC1BBF"/>
    <w:rsid w:val="00BC2E39"/>
    <w:rsid w:val="00BC3FB6"/>
    <w:rsid w:val="00BC4BB9"/>
    <w:rsid w:val="00BC5779"/>
    <w:rsid w:val="00BC6076"/>
    <w:rsid w:val="00BC6DA1"/>
    <w:rsid w:val="00BC6E86"/>
    <w:rsid w:val="00BC73F7"/>
    <w:rsid w:val="00BC76FE"/>
    <w:rsid w:val="00BD040F"/>
    <w:rsid w:val="00BD0972"/>
    <w:rsid w:val="00BD09FF"/>
    <w:rsid w:val="00BD0C9A"/>
    <w:rsid w:val="00BD0F4E"/>
    <w:rsid w:val="00BD18F0"/>
    <w:rsid w:val="00BD251F"/>
    <w:rsid w:val="00BD2B67"/>
    <w:rsid w:val="00BD30D2"/>
    <w:rsid w:val="00BE1624"/>
    <w:rsid w:val="00BE20AC"/>
    <w:rsid w:val="00BE2ABD"/>
    <w:rsid w:val="00BE2E1E"/>
    <w:rsid w:val="00BE3029"/>
    <w:rsid w:val="00BE3C50"/>
    <w:rsid w:val="00BE3FF4"/>
    <w:rsid w:val="00BE47BD"/>
    <w:rsid w:val="00BE5B52"/>
    <w:rsid w:val="00BE6311"/>
    <w:rsid w:val="00BE6BEE"/>
    <w:rsid w:val="00BE6E6D"/>
    <w:rsid w:val="00BF0ACC"/>
    <w:rsid w:val="00BF0C5D"/>
    <w:rsid w:val="00BF1440"/>
    <w:rsid w:val="00BF1786"/>
    <w:rsid w:val="00BF1A0B"/>
    <w:rsid w:val="00BF1CB0"/>
    <w:rsid w:val="00BF1F70"/>
    <w:rsid w:val="00BF2B93"/>
    <w:rsid w:val="00BF2D81"/>
    <w:rsid w:val="00BF2DC6"/>
    <w:rsid w:val="00BF301B"/>
    <w:rsid w:val="00BF3436"/>
    <w:rsid w:val="00BF43FA"/>
    <w:rsid w:val="00BF4AE7"/>
    <w:rsid w:val="00BF6AAD"/>
    <w:rsid w:val="00BF7150"/>
    <w:rsid w:val="00BF72CE"/>
    <w:rsid w:val="00C00142"/>
    <w:rsid w:val="00C00FED"/>
    <w:rsid w:val="00C0135E"/>
    <w:rsid w:val="00C01F4F"/>
    <w:rsid w:val="00C025D3"/>
    <w:rsid w:val="00C0337D"/>
    <w:rsid w:val="00C06AB7"/>
    <w:rsid w:val="00C07170"/>
    <w:rsid w:val="00C077DA"/>
    <w:rsid w:val="00C0788A"/>
    <w:rsid w:val="00C07EBB"/>
    <w:rsid w:val="00C11266"/>
    <w:rsid w:val="00C123A0"/>
    <w:rsid w:val="00C12B00"/>
    <w:rsid w:val="00C12BC9"/>
    <w:rsid w:val="00C131FA"/>
    <w:rsid w:val="00C13F58"/>
    <w:rsid w:val="00C13F76"/>
    <w:rsid w:val="00C14571"/>
    <w:rsid w:val="00C1491F"/>
    <w:rsid w:val="00C14ED8"/>
    <w:rsid w:val="00C15137"/>
    <w:rsid w:val="00C15748"/>
    <w:rsid w:val="00C157D1"/>
    <w:rsid w:val="00C15E22"/>
    <w:rsid w:val="00C15F7A"/>
    <w:rsid w:val="00C16FE2"/>
    <w:rsid w:val="00C20050"/>
    <w:rsid w:val="00C20226"/>
    <w:rsid w:val="00C20BFE"/>
    <w:rsid w:val="00C20D61"/>
    <w:rsid w:val="00C20E5A"/>
    <w:rsid w:val="00C22E55"/>
    <w:rsid w:val="00C23729"/>
    <w:rsid w:val="00C237D7"/>
    <w:rsid w:val="00C25367"/>
    <w:rsid w:val="00C2679E"/>
    <w:rsid w:val="00C26844"/>
    <w:rsid w:val="00C26B0A"/>
    <w:rsid w:val="00C2734A"/>
    <w:rsid w:val="00C278F8"/>
    <w:rsid w:val="00C309B8"/>
    <w:rsid w:val="00C31ABA"/>
    <w:rsid w:val="00C31D0E"/>
    <w:rsid w:val="00C321B7"/>
    <w:rsid w:val="00C32335"/>
    <w:rsid w:val="00C32B54"/>
    <w:rsid w:val="00C32DED"/>
    <w:rsid w:val="00C32ECA"/>
    <w:rsid w:val="00C34184"/>
    <w:rsid w:val="00C34787"/>
    <w:rsid w:val="00C34A4A"/>
    <w:rsid w:val="00C34AC1"/>
    <w:rsid w:val="00C34C00"/>
    <w:rsid w:val="00C35CAA"/>
    <w:rsid w:val="00C36610"/>
    <w:rsid w:val="00C37756"/>
    <w:rsid w:val="00C37AF3"/>
    <w:rsid w:val="00C37B69"/>
    <w:rsid w:val="00C40651"/>
    <w:rsid w:val="00C40CFD"/>
    <w:rsid w:val="00C411FB"/>
    <w:rsid w:val="00C41B46"/>
    <w:rsid w:val="00C41BAB"/>
    <w:rsid w:val="00C41D78"/>
    <w:rsid w:val="00C41E2D"/>
    <w:rsid w:val="00C41E50"/>
    <w:rsid w:val="00C42122"/>
    <w:rsid w:val="00C427B1"/>
    <w:rsid w:val="00C42838"/>
    <w:rsid w:val="00C43371"/>
    <w:rsid w:val="00C43EA1"/>
    <w:rsid w:val="00C44313"/>
    <w:rsid w:val="00C45B6B"/>
    <w:rsid w:val="00C45B95"/>
    <w:rsid w:val="00C4601D"/>
    <w:rsid w:val="00C46235"/>
    <w:rsid w:val="00C47275"/>
    <w:rsid w:val="00C479E2"/>
    <w:rsid w:val="00C50494"/>
    <w:rsid w:val="00C51BC7"/>
    <w:rsid w:val="00C53291"/>
    <w:rsid w:val="00C535A6"/>
    <w:rsid w:val="00C53A70"/>
    <w:rsid w:val="00C549E0"/>
    <w:rsid w:val="00C54FAF"/>
    <w:rsid w:val="00C55D2F"/>
    <w:rsid w:val="00C565D2"/>
    <w:rsid w:val="00C56A3A"/>
    <w:rsid w:val="00C576EA"/>
    <w:rsid w:val="00C5774D"/>
    <w:rsid w:val="00C57CD2"/>
    <w:rsid w:val="00C603DE"/>
    <w:rsid w:val="00C6164F"/>
    <w:rsid w:val="00C62171"/>
    <w:rsid w:val="00C62E16"/>
    <w:rsid w:val="00C6348A"/>
    <w:rsid w:val="00C63916"/>
    <w:rsid w:val="00C63D3F"/>
    <w:rsid w:val="00C63FC1"/>
    <w:rsid w:val="00C6406C"/>
    <w:rsid w:val="00C64636"/>
    <w:rsid w:val="00C646AC"/>
    <w:rsid w:val="00C64C5D"/>
    <w:rsid w:val="00C652CE"/>
    <w:rsid w:val="00C6630B"/>
    <w:rsid w:val="00C663B6"/>
    <w:rsid w:val="00C672D1"/>
    <w:rsid w:val="00C701AF"/>
    <w:rsid w:val="00C7054F"/>
    <w:rsid w:val="00C70D2D"/>
    <w:rsid w:val="00C72651"/>
    <w:rsid w:val="00C72C89"/>
    <w:rsid w:val="00C73B10"/>
    <w:rsid w:val="00C74B05"/>
    <w:rsid w:val="00C75A66"/>
    <w:rsid w:val="00C75F0D"/>
    <w:rsid w:val="00C75F73"/>
    <w:rsid w:val="00C7630E"/>
    <w:rsid w:val="00C77503"/>
    <w:rsid w:val="00C80520"/>
    <w:rsid w:val="00C80E94"/>
    <w:rsid w:val="00C80EF3"/>
    <w:rsid w:val="00C81007"/>
    <w:rsid w:val="00C810AD"/>
    <w:rsid w:val="00C83BDD"/>
    <w:rsid w:val="00C83E8F"/>
    <w:rsid w:val="00C84A12"/>
    <w:rsid w:val="00C84D6D"/>
    <w:rsid w:val="00C84E32"/>
    <w:rsid w:val="00C85EA2"/>
    <w:rsid w:val="00C86D66"/>
    <w:rsid w:val="00C878C9"/>
    <w:rsid w:val="00C87996"/>
    <w:rsid w:val="00C87E02"/>
    <w:rsid w:val="00C90367"/>
    <w:rsid w:val="00C907BB"/>
    <w:rsid w:val="00C909BF"/>
    <w:rsid w:val="00C9152B"/>
    <w:rsid w:val="00C91FD4"/>
    <w:rsid w:val="00C9246F"/>
    <w:rsid w:val="00C9290A"/>
    <w:rsid w:val="00C93342"/>
    <w:rsid w:val="00C93695"/>
    <w:rsid w:val="00C93D87"/>
    <w:rsid w:val="00C93DA1"/>
    <w:rsid w:val="00C94504"/>
    <w:rsid w:val="00C94C39"/>
    <w:rsid w:val="00C961DD"/>
    <w:rsid w:val="00C9626E"/>
    <w:rsid w:val="00C97975"/>
    <w:rsid w:val="00C97DB9"/>
    <w:rsid w:val="00CA1C2A"/>
    <w:rsid w:val="00CA211C"/>
    <w:rsid w:val="00CA2C46"/>
    <w:rsid w:val="00CA2DC5"/>
    <w:rsid w:val="00CA3070"/>
    <w:rsid w:val="00CA3D81"/>
    <w:rsid w:val="00CA3FDD"/>
    <w:rsid w:val="00CA4127"/>
    <w:rsid w:val="00CA44ED"/>
    <w:rsid w:val="00CA5469"/>
    <w:rsid w:val="00CA621E"/>
    <w:rsid w:val="00CA6A3E"/>
    <w:rsid w:val="00CA6E7C"/>
    <w:rsid w:val="00CA7058"/>
    <w:rsid w:val="00CA7C68"/>
    <w:rsid w:val="00CA7C77"/>
    <w:rsid w:val="00CB0013"/>
    <w:rsid w:val="00CB01AB"/>
    <w:rsid w:val="00CB04AC"/>
    <w:rsid w:val="00CB0D35"/>
    <w:rsid w:val="00CB1B20"/>
    <w:rsid w:val="00CB1EA7"/>
    <w:rsid w:val="00CB25D4"/>
    <w:rsid w:val="00CB2C84"/>
    <w:rsid w:val="00CB311F"/>
    <w:rsid w:val="00CB3B77"/>
    <w:rsid w:val="00CB407D"/>
    <w:rsid w:val="00CB4560"/>
    <w:rsid w:val="00CB47DE"/>
    <w:rsid w:val="00CB776C"/>
    <w:rsid w:val="00CB7966"/>
    <w:rsid w:val="00CB7EB3"/>
    <w:rsid w:val="00CC0F31"/>
    <w:rsid w:val="00CC16C7"/>
    <w:rsid w:val="00CC199B"/>
    <w:rsid w:val="00CC2AAE"/>
    <w:rsid w:val="00CC49F8"/>
    <w:rsid w:val="00CC504A"/>
    <w:rsid w:val="00CC51BF"/>
    <w:rsid w:val="00CC53C4"/>
    <w:rsid w:val="00CC577F"/>
    <w:rsid w:val="00CC5A14"/>
    <w:rsid w:val="00CC67DD"/>
    <w:rsid w:val="00CC6A54"/>
    <w:rsid w:val="00CC6EAC"/>
    <w:rsid w:val="00CC7595"/>
    <w:rsid w:val="00CC7811"/>
    <w:rsid w:val="00CD019B"/>
    <w:rsid w:val="00CD0FEF"/>
    <w:rsid w:val="00CD1303"/>
    <w:rsid w:val="00CD16E6"/>
    <w:rsid w:val="00CD1F78"/>
    <w:rsid w:val="00CD3371"/>
    <w:rsid w:val="00CD4B5D"/>
    <w:rsid w:val="00CD4CE6"/>
    <w:rsid w:val="00CD5943"/>
    <w:rsid w:val="00CD68CA"/>
    <w:rsid w:val="00CD699F"/>
    <w:rsid w:val="00CD707C"/>
    <w:rsid w:val="00CD769F"/>
    <w:rsid w:val="00CE0770"/>
    <w:rsid w:val="00CE0D08"/>
    <w:rsid w:val="00CE1254"/>
    <w:rsid w:val="00CE3C0D"/>
    <w:rsid w:val="00CE4165"/>
    <w:rsid w:val="00CE518B"/>
    <w:rsid w:val="00CE69B5"/>
    <w:rsid w:val="00CE6CFC"/>
    <w:rsid w:val="00CE7444"/>
    <w:rsid w:val="00CF0291"/>
    <w:rsid w:val="00CF0D75"/>
    <w:rsid w:val="00CF15D8"/>
    <w:rsid w:val="00CF162C"/>
    <w:rsid w:val="00CF1DF9"/>
    <w:rsid w:val="00CF2BBA"/>
    <w:rsid w:val="00CF3173"/>
    <w:rsid w:val="00CF4858"/>
    <w:rsid w:val="00CF4E1E"/>
    <w:rsid w:val="00CF586D"/>
    <w:rsid w:val="00CF5FA3"/>
    <w:rsid w:val="00CF7392"/>
    <w:rsid w:val="00CF76B6"/>
    <w:rsid w:val="00CF7D4E"/>
    <w:rsid w:val="00D00156"/>
    <w:rsid w:val="00D004D6"/>
    <w:rsid w:val="00D0057C"/>
    <w:rsid w:val="00D00D24"/>
    <w:rsid w:val="00D0131E"/>
    <w:rsid w:val="00D01C27"/>
    <w:rsid w:val="00D01E6B"/>
    <w:rsid w:val="00D02C61"/>
    <w:rsid w:val="00D0344E"/>
    <w:rsid w:val="00D03ED3"/>
    <w:rsid w:val="00D0409E"/>
    <w:rsid w:val="00D04EE0"/>
    <w:rsid w:val="00D050C1"/>
    <w:rsid w:val="00D05BDB"/>
    <w:rsid w:val="00D0655B"/>
    <w:rsid w:val="00D06D66"/>
    <w:rsid w:val="00D0711F"/>
    <w:rsid w:val="00D10F1E"/>
    <w:rsid w:val="00D134CD"/>
    <w:rsid w:val="00D14D13"/>
    <w:rsid w:val="00D15C59"/>
    <w:rsid w:val="00D17067"/>
    <w:rsid w:val="00D17EA4"/>
    <w:rsid w:val="00D20419"/>
    <w:rsid w:val="00D20CDA"/>
    <w:rsid w:val="00D21843"/>
    <w:rsid w:val="00D21899"/>
    <w:rsid w:val="00D222E7"/>
    <w:rsid w:val="00D2271A"/>
    <w:rsid w:val="00D2444D"/>
    <w:rsid w:val="00D24813"/>
    <w:rsid w:val="00D253F6"/>
    <w:rsid w:val="00D259D6"/>
    <w:rsid w:val="00D26913"/>
    <w:rsid w:val="00D26B12"/>
    <w:rsid w:val="00D26EB8"/>
    <w:rsid w:val="00D27200"/>
    <w:rsid w:val="00D30045"/>
    <w:rsid w:val="00D31577"/>
    <w:rsid w:val="00D31748"/>
    <w:rsid w:val="00D3212B"/>
    <w:rsid w:val="00D32131"/>
    <w:rsid w:val="00D322B0"/>
    <w:rsid w:val="00D32FC1"/>
    <w:rsid w:val="00D330DB"/>
    <w:rsid w:val="00D333BF"/>
    <w:rsid w:val="00D33EDE"/>
    <w:rsid w:val="00D3402D"/>
    <w:rsid w:val="00D34181"/>
    <w:rsid w:val="00D34827"/>
    <w:rsid w:val="00D35983"/>
    <w:rsid w:val="00D3631D"/>
    <w:rsid w:val="00D36486"/>
    <w:rsid w:val="00D3717C"/>
    <w:rsid w:val="00D4058D"/>
    <w:rsid w:val="00D40A23"/>
    <w:rsid w:val="00D41AE3"/>
    <w:rsid w:val="00D4280E"/>
    <w:rsid w:val="00D4336D"/>
    <w:rsid w:val="00D44469"/>
    <w:rsid w:val="00D44ED9"/>
    <w:rsid w:val="00D45256"/>
    <w:rsid w:val="00D47D6A"/>
    <w:rsid w:val="00D501DA"/>
    <w:rsid w:val="00D506A3"/>
    <w:rsid w:val="00D50FD4"/>
    <w:rsid w:val="00D51C00"/>
    <w:rsid w:val="00D51E0A"/>
    <w:rsid w:val="00D524A2"/>
    <w:rsid w:val="00D526DB"/>
    <w:rsid w:val="00D527AF"/>
    <w:rsid w:val="00D52AB9"/>
    <w:rsid w:val="00D52F3D"/>
    <w:rsid w:val="00D5331F"/>
    <w:rsid w:val="00D5378F"/>
    <w:rsid w:val="00D53E29"/>
    <w:rsid w:val="00D542E5"/>
    <w:rsid w:val="00D55775"/>
    <w:rsid w:val="00D55D3B"/>
    <w:rsid w:val="00D564C8"/>
    <w:rsid w:val="00D5705A"/>
    <w:rsid w:val="00D5714E"/>
    <w:rsid w:val="00D57413"/>
    <w:rsid w:val="00D60D35"/>
    <w:rsid w:val="00D61282"/>
    <w:rsid w:val="00D61692"/>
    <w:rsid w:val="00D61837"/>
    <w:rsid w:val="00D61B63"/>
    <w:rsid w:val="00D61E86"/>
    <w:rsid w:val="00D62029"/>
    <w:rsid w:val="00D6202D"/>
    <w:rsid w:val="00D621B2"/>
    <w:rsid w:val="00D63E78"/>
    <w:rsid w:val="00D64D69"/>
    <w:rsid w:val="00D64F6E"/>
    <w:rsid w:val="00D64FD3"/>
    <w:rsid w:val="00D66F3C"/>
    <w:rsid w:val="00D67D95"/>
    <w:rsid w:val="00D710FD"/>
    <w:rsid w:val="00D71690"/>
    <w:rsid w:val="00D719A0"/>
    <w:rsid w:val="00D733AC"/>
    <w:rsid w:val="00D736AA"/>
    <w:rsid w:val="00D737CD"/>
    <w:rsid w:val="00D73AA8"/>
    <w:rsid w:val="00D75F50"/>
    <w:rsid w:val="00D765A3"/>
    <w:rsid w:val="00D76A94"/>
    <w:rsid w:val="00D7718A"/>
    <w:rsid w:val="00D7738A"/>
    <w:rsid w:val="00D778E1"/>
    <w:rsid w:val="00D77F3E"/>
    <w:rsid w:val="00D800B5"/>
    <w:rsid w:val="00D8039D"/>
    <w:rsid w:val="00D803C1"/>
    <w:rsid w:val="00D80FC5"/>
    <w:rsid w:val="00D834E8"/>
    <w:rsid w:val="00D83936"/>
    <w:rsid w:val="00D848EE"/>
    <w:rsid w:val="00D85C94"/>
    <w:rsid w:val="00D85F1E"/>
    <w:rsid w:val="00D8651E"/>
    <w:rsid w:val="00D90631"/>
    <w:rsid w:val="00D90D26"/>
    <w:rsid w:val="00D91904"/>
    <w:rsid w:val="00D928AF"/>
    <w:rsid w:val="00D92C91"/>
    <w:rsid w:val="00D943CE"/>
    <w:rsid w:val="00D94466"/>
    <w:rsid w:val="00D95C48"/>
    <w:rsid w:val="00D96335"/>
    <w:rsid w:val="00D965EE"/>
    <w:rsid w:val="00D96B77"/>
    <w:rsid w:val="00D96CD3"/>
    <w:rsid w:val="00D97C9E"/>
    <w:rsid w:val="00DA1A1F"/>
    <w:rsid w:val="00DA2655"/>
    <w:rsid w:val="00DA2F0A"/>
    <w:rsid w:val="00DA35C2"/>
    <w:rsid w:val="00DA372E"/>
    <w:rsid w:val="00DA3BC4"/>
    <w:rsid w:val="00DA40A3"/>
    <w:rsid w:val="00DA4FC9"/>
    <w:rsid w:val="00DA6330"/>
    <w:rsid w:val="00DB00DC"/>
    <w:rsid w:val="00DB0D61"/>
    <w:rsid w:val="00DB2D7B"/>
    <w:rsid w:val="00DB2EE2"/>
    <w:rsid w:val="00DB3124"/>
    <w:rsid w:val="00DB3E5E"/>
    <w:rsid w:val="00DB3ED2"/>
    <w:rsid w:val="00DB3FE3"/>
    <w:rsid w:val="00DB4049"/>
    <w:rsid w:val="00DB4A28"/>
    <w:rsid w:val="00DB51B0"/>
    <w:rsid w:val="00DB55E7"/>
    <w:rsid w:val="00DB560E"/>
    <w:rsid w:val="00DB561E"/>
    <w:rsid w:val="00DB67E3"/>
    <w:rsid w:val="00DB6B8F"/>
    <w:rsid w:val="00DB6DB6"/>
    <w:rsid w:val="00DB721D"/>
    <w:rsid w:val="00DB7A55"/>
    <w:rsid w:val="00DB7C5D"/>
    <w:rsid w:val="00DC006E"/>
    <w:rsid w:val="00DC0241"/>
    <w:rsid w:val="00DC04AD"/>
    <w:rsid w:val="00DC1184"/>
    <w:rsid w:val="00DC19DD"/>
    <w:rsid w:val="00DC3690"/>
    <w:rsid w:val="00DC3FF1"/>
    <w:rsid w:val="00DC47E7"/>
    <w:rsid w:val="00DC47F3"/>
    <w:rsid w:val="00DC48C0"/>
    <w:rsid w:val="00DC4AD1"/>
    <w:rsid w:val="00DC4EE0"/>
    <w:rsid w:val="00DC6634"/>
    <w:rsid w:val="00DC718F"/>
    <w:rsid w:val="00DC74BC"/>
    <w:rsid w:val="00DC7E28"/>
    <w:rsid w:val="00DD0300"/>
    <w:rsid w:val="00DD1016"/>
    <w:rsid w:val="00DD1A3B"/>
    <w:rsid w:val="00DD230D"/>
    <w:rsid w:val="00DD2817"/>
    <w:rsid w:val="00DD2925"/>
    <w:rsid w:val="00DD2C83"/>
    <w:rsid w:val="00DD351E"/>
    <w:rsid w:val="00DD3C0D"/>
    <w:rsid w:val="00DD41DB"/>
    <w:rsid w:val="00DD48CB"/>
    <w:rsid w:val="00DD5A8F"/>
    <w:rsid w:val="00DD6AB8"/>
    <w:rsid w:val="00DD6B2D"/>
    <w:rsid w:val="00DD756A"/>
    <w:rsid w:val="00DD75DD"/>
    <w:rsid w:val="00DE0595"/>
    <w:rsid w:val="00DE1295"/>
    <w:rsid w:val="00DE1A7C"/>
    <w:rsid w:val="00DE2A1F"/>
    <w:rsid w:val="00DE2AD3"/>
    <w:rsid w:val="00DE2C31"/>
    <w:rsid w:val="00DE4794"/>
    <w:rsid w:val="00DE47FC"/>
    <w:rsid w:val="00DE495F"/>
    <w:rsid w:val="00DE4B55"/>
    <w:rsid w:val="00DE587D"/>
    <w:rsid w:val="00DE63E8"/>
    <w:rsid w:val="00DE7609"/>
    <w:rsid w:val="00DF1409"/>
    <w:rsid w:val="00DF1C86"/>
    <w:rsid w:val="00DF1ED1"/>
    <w:rsid w:val="00DF228E"/>
    <w:rsid w:val="00DF2695"/>
    <w:rsid w:val="00DF27B1"/>
    <w:rsid w:val="00DF2AA3"/>
    <w:rsid w:val="00DF2C31"/>
    <w:rsid w:val="00DF3850"/>
    <w:rsid w:val="00DF3A27"/>
    <w:rsid w:val="00DF4F9D"/>
    <w:rsid w:val="00DF5B2A"/>
    <w:rsid w:val="00DF698C"/>
    <w:rsid w:val="00DF6B9D"/>
    <w:rsid w:val="00DF7783"/>
    <w:rsid w:val="00E00EA3"/>
    <w:rsid w:val="00E00EAA"/>
    <w:rsid w:val="00E00F3A"/>
    <w:rsid w:val="00E013C2"/>
    <w:rsid w:val="00E01B04"/>
    <w:rsid w:val="00E01F45"/>
    <w:rsid w:val="00E0269D"/>
    <w:rsid w:val="00E0276A"/>
    <w:rsid w:val="00E02E82"/>
    <w:rsid w:val="00E03367"/>
    <w:rsid w:val="00E03F48"/>
    <w:rsid w:val="00E04E50"/>
    <w:rsid w:val="00E052EE"/>
    <w:rsid w:val="00E05647"/>
    <w:rsid w:val="00E0598B"/>
    <w:rsid w:val="00E05C49"/>
    <w:rsid w:val="00E06824"/>
    <w:rsid w:val="00E06855"/>
    <w:rsid w:val="00E0706D"/>
    <w:rsid w:val="00E072B7"/>
    <w:rsid w:val="00E074E4"/>
    <w:rsid w:val="00E07C08"/>
    <w:rsid w:val="00E10677"/>
    <w:rsid w:val="00E11F76"/>
    <w:rsid w:val="00E1390E"/>
    <w:rsid w:val="00E139E6"/>
    <w:rsid w:val="00E143F2"/>
    <w:rsid w:val="00E146CB"/>
    <w:rsid w:val="00E1484A"/>
    <w:rsid w:val="00E14901"/>
    <w:rsid w:val="00E157D0"/>
    <w:rsid w:val="00E16763"/>
    <w:rsid w:val="00E17454"/>
    <w:rsid w:val="00E20800"/>
    <w:rsid w:val="00E2133B"/>
    <w:rsid w:val="00E21DD8"/>
    <w:rsid w:val="00E22571"/>
    <w:rsid w:val="00E2307A"/>
    <w:rsid w:val="00E2362B"/>
    <w:rsid w:val="00E237D9"/>
    <w:rsid w:val="00E24884"/>
    <w:rsid w:val="00E249A9"/>
    <w:rsid w:val="00E25472"/>
    <w:rsid w:val="00E27740"/>
    <w:rsid w:val="00E27F19"/>
    <w:rsid w:val="00E30184"/>
    <w:rsid w:val="00E301CE"/>
    <w:rsid w:val="00E3083C"/>
    <w:rsid w:val="00E30F05"/>
    <w:rsid w:val="00E31062"/>
    <w:rsid w:val="00E313FC"/>
    <w:rsid w:val="00E318AD"/>
    <w:rsid w:val="00E32169"/>
    <w:rsid w:val="00E32881"/>
    <w:rsid w:val="00E328B1"/>
    <w:rsid w:val="00E33A62"/>
    <w:rsid w:val="00E34692"/>
    <w:rsid w:val="00E34A15"/>
    <w:rsid w:val="00E35767"/>
    <w:rsid w:val="00E35972"/>
    <w:rsid w:val="00E35BCC"/>
    <w:rsid w:val="00E35C9E"/>
    <w:rsid w:val="00E36E18"/>
    <w:rsid w:val="00E37149"/>
    <w:rsid w:val="00E37A47"/>
    <w:rsid w:val="00E40915"/>
    <w:rsid w:val="00E41355"/>
    <w:rsid w:val="00E42290"/>
    <w:rsid w:val="00E42CCB"/>
    <w:rsid w:val="00E43D7A"/>
    <w:rsid w:val="00E44BCC"/>
    <w:rsid w:val="00E44FC4"/>
    <w:rsid w:val="00E453FC"/>
    <w:rsid w:val="00E456CD"/>
    <w:rsid w:val="00E461A4"/>
    <w:rsid w:val="00E46823"/>
    <w:rsid w:val="00E4745C"/>
    <w:rsid w:val="00E474C1"/>
    <w:rsid w:val="00E50BCF"/>
    <w:rsid w:val="00E51282"/>
    <w:rsid w:val="00E523EF"/>
    <w:rsid w:val="00E527EE"/>
    <w:rsid w:val="00E53239"/>
    <w:rsid w:val="00E53719"/>
    <w:rsid w:val="00E5473E"/>
    <w:rsid w:val="00E54993"/>
    <w:rsid w:val="00E54D5C"/>
    <w:rsid w:val="00E54F87"/>
    <w:rsid w:val="00E565C1"/>
    <w:rsid w:val="00E56648"/>
    <w:rsid w:val="00E56972"/>
    <w:rsid w:val="00E56E69"/>
    <w:rsid w:val="00E57610"/>
    <w:rsid w:val="00E57695"/>
    <w:rsid w:val="00E57725"/>
    <w:rsid w:val="00E57C4B"/>
    <w:rsid w:val="00E610DC"/>
    <w:rsid w:val="00E62908"/>
    <w:rsid w:val="00E63CB1"/>
    <w:rsid w:val="00E64520"/>
    <w:rsid w:val="00E64AA5"/>
    <w:rsid w:val="00E64E93"/>
    <w:rsid w:val="00E65897"/>
    <w:rsid w:val="00E660EE"/>
    <w:rsid w:val="00E66286"/>
    <w:rsid w:val="00E671BD"/>
    <w:rsid w:val="00E70D2B"/>
    <w:rsid w:val="00E711CD"/>
    <w:rsid w:val="00E72541"/>
    <w:rsid w:val="00E72808"/>
    <w:rsid w:val="00E72ABE"/>
    <w:rsid w:val="00E72F93"/>
    <w:rsid w:val="00E734B7"/>
    <w:rsid w:val="00E73E27"/>
    <w:rsid w:val="00E740C2"/>
    <w:rsid w:val="00E752D0"/>
    <w:rsid w:val="00E75796"/>
    <w:rsid w:val="00E75F1B"/>
    <w:rsid w:val="00E802C5"/>
    <w:rsid w:val="00E8093F"/>
    <w:rsid w:val="00E81A2E"/>
    <w:rsid w:val="00E82901"/>
    <w:rsid w:val="00E82AAA"/>
    <w:rsid w:val="00E82C42"/>
    <w:rsid w:val="00E83DA8"/>
    <w:rsid w:val="00E83E92"/>
    <w:rsid w:val="00E842DE"/>
    <w:rsid w:val="00E84A41"/>
    <w:rsid w:val="00E8523D"/>
    <w:rsid w:val="00E85243"/>
    <w:rsid w:val="00E85E7A"/>
    <w:rsid w:val="00E867A9"/>
    <w:rsid w:val="00E86C6C"/>
    <w:rsid w:val="00E86FF2"/>
    <w:rsid w:val="00E8761C"/>
    <w:rsid w:val="00E876BD"/>
    <w:rsid w:val="00E87BA7"/>
    <w:rsid w:val="00E901F6"/>
    <w:rsid w:val="00E9031B"/>
    <w:rsid w:val="00E9050A"/>
    <w:rsid w:val="00E90903"/>
    <w:rsid w:val="00E90B13"/>
    <w:rsid w:val="00E9108B"/>
    <w:rsid w:val="00E91311"/>
    <w:rsid w:val="00E91ED3"/>
    <w:rsid w:val="00E92380"/>
    <w:rsid w:val="00E955E1"/>
    <w:rsid w:val="00E95A95"/>
    <w:rsid w:val="00E95F4E"/>
    <w:rsid w:val="00E979C0"/>
    <w:rsid w:val="00EA0BE5"/>
    <w:rsid w:val="00EA1B4B"/>
    <w:rsid w:val="00EA1B59"/>
    <w:rsid w:val="00EA262B"/>
    <w:rsid w:val="00EA2D02"/>
    <w:rsid w:val="00EA2FB5"/>
    <w:rsid w:val="00EA36C4"/>
    <w:rsid w:val="00EA43D5"/>
    <w:rsid w:val="00EA5738"/>
    <w:rsid w:val="00EA5E4B"/>
    <w:rsid w:val="00EA60A7"/>
    <w:rsid w:val="00EB250E"/>
    <w:rsid w:val="00EB2AA8"/>
    <w:rsid w:val="00EB32D7"/>
    <w:rsid w:val="00EB3658"/>
    <w:rsid w:val="00EB39B5"/>
    <w:rsid w:val="00EB39E1"/>
    <w:rsid w:val="00EB405A"/>
    <w:rsid w:val="00EB54F9"/>
    <w:rsid w:val="00EB568C"/>
    <w:rsid w:val="00EB5F0E"/>
    <w:rsid w:val="00EB6068"/>
    <w:rsid w:val="00EB64B9"/>
    <w:rsid w:val="00EB7CD3"/>
    <w:rsid w:val="00EB7CD9"/>
    <w:rsid w:val="00EC0C1D"/>
    <w:rsid w:val="00EC0D33"/>
    <w:rsid w:val="00EC1003"/>
    <w:rsid w:val="00EC128A"/>
    <w:rsid w:val="00EC2A70"/>
    <w:rsid w:val="00EC3691"/>
    <w:rsid w:val="00EC3842"/>
    <w:rsid w:val="00EC3B14"/>
    <w:rsid w:val="00EC4680"/>
    <w:rsid w:val="00EC6854"/>
    <w:rsid w:val="00EC70BD"/>
    <w:rsid w:val="00ED05BC"/>
    <w:rsid w:val="00ED0E4C"/>
    <w:rsid w:val="00ED19D2"/>
    <w:rsid w:val="00ED21BB"/>
    <w:rsid w:val="00ED2422"/>
    <w:rsid w:val="00ED2988"/>
    <w:rsid w:val="00ED301D"/>
    <w:rsid w:val="00ED3980"/>
    <w:rsid w:val="00ED3FE9"/>
    <w:rsid w:val="00ED4AD3"/>
    <w:rsid w:val="00ED4E43"/>
    <w:rsid w:val="00ED63EC"/>
    <w:rsid w:val="00ED66A9"/>
    <w:rsid w:val="00ED69B4"/>
    <w:rsid w:val="00ED7615"/>
    <w:rsid w:val="00ED7BD7"/>
    <w:rsid w:val="00EE0167"/>
    <w:rsid w:val="00EE0860"/>
    <w:rsid w:val="00EE096D"/>
    <w:rsid w:val="00EE0F98"/>
    <w:rsid w:val="00EE2019"/>
    <w:rsid w:val="00EE219A"/>
    <w:rsid w:val="00EE2426"/>
    <w:rsid w:val="00EE30BF"/>
    <w:rsid w:val="00EE337A"/>
    <w:rsid w:val="00EE400A"/>
    <w:rsid w:val="00EE4F3A"/>
    <w:rsid w:val="00EE5F9C"/>
    <w:rsid w:val="00EE725A"/>
    <w:rsid w:val="00EE7773"/>
    <w:rsid w:val="00EF0EF4"/>
    <w:rsid w:val="00EF10E3"/>
    <w:rsid w:val="00EF282D"/>
    <w:rsid w:val="00EF3CD5"/>
    <w:rsid w:val="00EF3CFD"/>
    <w:rsid w:val="00EF4511"/>
    <w:rsid w:val="00EF490F"/>
    <w:rsid w:val="00EF5EA4"/>
    <w:rsid w:val="00EF668F"/>
    <w:rsid w:val="00EF6766"/>
    <w:rsid w:val="00EF6D1A"/>
    <w:rsid w:val="00EF737D"/>
    <w:rsid w:val="00EF7691"/>
    <w:rsid w:val="00EF7D63"/>
    <w:rsid w:val="00F004F6"/>
    <w:rsid w:val="00F00B04"/>
    <w:rsid w:val="00F01200"/>
    <w:rsid w:val="00F01A24"/>
    <w:rsid w:val="00F02C33"/>
    <w:rsid w:val="00F032DD"/>
    <w:rsid w:val="00F03604"/>
    <w:rsid w:val="00F037C2"/>
    <w:rsid w:val="00F03B06"/>
    <w:rsid w:val="00F03CCF"/>
    <w:rsid w:val="00F04386"/>
    <w:rsid w:val="00F048C2"/>
    <w:rsid w:val="00F04AF5"/>
    <w:rsid w:val="00F04E73"/>
    <w:rsid w:val="00F053FC"/>
    <w:rsid w:val="00F05610"/>
    <w:rsid w:val="00F05776"/>
    <w:rsid w:val="00F061DD"/>
    <w:rsid w:val="00F063AE"/>
    <w:rsid w:val="00F064DC"/>
    <w:rsid w:val="00F076BD"/>
    <w:rsid w:val="00F07EA0"/>
    <w:rsid w:val="00F10750"/>
    <w:rsid w:val="00F10EBC"/>
    <w:rsid w:val="00F1178A"/>
    <w:rsid w:val="00F11F0D"/>
    <w:rsid w:val="00F1270D"/>
    <w:rsid w:val="00F13923"/>
    <w:rsid w:val="00F13EE1"/>
    <w:rsid w:val="00F1493B"/>
    <w:rsid w:val="00F16281"/>
    <w:rsid w:val="00F166B1"/>
    <w:rsid w:val="00F16D4D"/>
    <w:rsid w:val="00F16DB0"/>
    <w:rsid w:val="00F176FB"/>
    <w:rsid w:val="00F17D5B"/>
    <w:rsid w:val="00F17E2E"/>
    <w:rsid w:val="00F20B19"/>
    <w:rsid w:val="00F21847"/>
    <w:rsid w:val="00F21D60"/>
    <w:rsid w:val="00F21F03"/>
    <w:rsid w:val="00F22301"/>
    <w:rsid w:val="00F225BD"/>
    <w:rsid w:val="00F231BA"/>
    <w:rsid w:val="00F2366D"/>
    <w:rsid w:val="00F24232"/>
    <w:rsid w:val="00F24992"/>
    <w:rsid w:val="00F24A0A"/>
    <w:rsid w:val="00F25012"/>
    <w:rsid w:val="00F2525E"/>
    <w:rsid w:val="00F26EE8"/>
    <w:rsid w:val="00F27924"/>
    <w:rsid w:val="00F3219F"/>
    <w:rsid w:val="00F32946"/>
    <w:rsid w:val="00F32E78"/>
    <w:rsid w:val="00F34299"/>
    <w:rsid w:val="00F345C4"/>
    <w:rsid w:val="00F351EA"/>
    <w:rsid w:val="00F35863"/>
    <w:rsid w:val="00F36375"/>
    <w:rsid w:val="00F37361"/>
    <w:rsid w:val="00F37681"/>
    <w:rsid w:val="00F37E59"/>
    <w:rsid w:val="00F37F75"/>
    <w:rsid w:val="00F40003"/>
    <w:rsid w:val="00F409E5"/>
    <w:rsid w:val="00F41321"/>
    <w:rsid w:val="00F4195C"/>
    <w:rsid w:val="00F41ABF"/>
    <w:rsid w:val="00F42E77"/>
    <w:rsid w:val="00F43051"/>
    <w:rsid w:val="00F44108"/>
    <w:rsid w:val="00F44671"/>
    <w:rsid w:val="00F45FFE"/>
    <w:rsid w:val="00F4794F"/>
    <w:rsid w:val="00F500C1"/>
    <w:rsid w:val="00F52077"/>
    <w:rsid w:val="00F52271"/>
    <w:rsid w:val="00F522B8"/>
    <w:rsid w:val="00F522C9"/>
    <w:rsid w:val="00F52987"/>
    <w:rsid w:val="00F54342"/>
    <w:rsid w:val="00F54BF8"/>
    <w:rsid w:val="00F54EEB"/>
    <w:rsid w:val="00F550CB"/>
    <w:rsid w:val="00F55573"/>
    <w:rsid w:val="00F55921"/>
    <w:rsid w:val="00F55DC8"/>
    <w:rsid w:val="00F5720E"/>
    <w:rsid w:val="00F5737B"/>
    <w:rsid w:val="00F61509"/>
    <w:rsid w:val="00F619FF"/>
    <w:rsid w:val="00F63463"/>
    <w:rsid w:val="00F6365F"/>
    <w:rsid w:val="00F63D6B"/>
    <w:rsid w:val="00F65299"/>
    <w:rsid w:val="00F653CD"/>
    <w:rsid w:val="00F656E0"/>
    <w:rsid w:val="00F658A6"/>
    <w:rsid w:val="00F65D2D"/>
    <w:rsid w:val="00F6620F"/>
    <w:rsid w:val="00F664A5"/>
    <w:rsid w:val="00F6696A"/>
    <w:rsid w:val="00F67252"/>
    <w:rsid w:val="00F67463"/>
    <w:rsid w:val="00F6756A"/>
    <w:rsid w:val="00F70CC9"/>
    <w:rsid w:val="00F726F4"/>
    <w:rsid w:val="00F72EE3"/>
    <w:rsid w:val="00F737D1"/>
    <w:rsid w:val="00F737F3"/>
    <w:rsid w:val="00F73FC6"/>
    <w:rsid w:val="00F73FF2"/>
    <w:rsid w:val="00F74097"/>
    <w:rsid w:val="00F743B0"/>
    <w:rsid w:val="00F76762"/>
    <w:rsid w:val="00F80192"/>
    <w:rsid w:val="00F8076B"/>
    <w:rsid w:val="00F8107E"/>
    <w:rsid w:val="00F81AF7"/>
    <w:rsid w:val="00F81F17"/>
    <w:rsid w:val="00F8261B"/>
    <w:rsid w:val="00F8295C"/>
    <w:rsid w:val="00F82B84"/>
    <w:rsid w:val="00F8300B"/>
    <w:rsid w:val="00F838C5"/>
    <w:rsid w:val="00F83B3C"/>
    <w:rsid w:val="00F84966"/>
    <w:rsid w:val="00F84CEA"/>
    <w:rsid w:val="00F86085"/>
    <w:rsid w:val="00F8680A"/>
    <w:rsid w:val="00F8720A"/>
    <w:rsid w:val="00F911BE"/>
    <w:rsid w:val="00F9185B"/>
    <w:rsid w:val="00F91A17"/>
    <w:rsid w:val="00F91DF0"/>
    <w:rsid w:val="00F92862"/>
    <w:rsid w:val="00F92BD8"/>
    <w:rsid w:val="00F92E4D"/>
    <w:rsid w:val="00F92EB4"/>
    <w:rsid w:val="00F92FB6"/>
    <w:rsid w:val="00F93E6F"/>
    <w:rsid w:val="00F943E3"/>
    <w:rsid w:val="00F94653"/>
    <w:rsid w:val="00F94BEB"/>
    <w:rsid w:val="00F967FC"/>
    <w:rsid w:val="00F96C7B"/>
    <w:rsid w:val="00F96E71"/>
    <w:rsid w:val="00FA053C"/>
    <w:rsid w:val="00FA0AE5"/>
    <w:rsid w:val="00FA1BE2"/>
    <w:rsid w:val="00FA2AA4"/>
    <w:rsid w:val="00FA3278"/>
    <w:rsid w:val="00FA3780"/>
    <w:rsid w:val="00FA3E67"/>
    <w:rsid w:val="00FA739B"/>
    <w:rsid w:val="00FB0150"/>
    <w:rsid w:val="00FB03D2"/>
    <w:rsid w:val="00FB0828"/>
    <w:rsid w:val="00FB33C7"/>
    <w:rsid w:val="00FB33D1"/>
    <w:rsid w:val="00FB3CC6"/>
    <w:rsid w:val="00FB3D41"/>
    <w:rsid w:val="00FB42E2"/>
    <w:rsid w:val="00FB495F"/>
    <w:rsid w:val="00FB54D1"/>
    <w:rsid w:val="00FB55B2"/>
    <w:rsid w:val="00FB6971"/>
    <w:rsid w:val="00FB6B92"/>
    <w:rsid w:val="00FB73F7"/>
    <w:rsid w:val="00FC02E2"/>
    <w:rsid w:val="00FC08F4"/>
    <w:rsid w:val="00FC1555"/>
    <w:rsid w:val="00FC1EDA"/>
    <w:rsid w:val="00FC1FCF"/>
    <w:rsid w:val="00FC29EE"/>
    <w:rsid w:val="00FC2E1D"/>
    <w:rsid w:val="00FC39C8"/>
    <w:rsid w:val="00FC3AFD"/>
    <w:rsid w:val="00FC4259"/>
    <w:rsid w:val="00FC4C8A"/>
    <w:rsid w:val="00FC6E75"/>
    <w:rsid w:val="00FD004E"/>
    <w:rsid w:val="00FD0116"/>
    <w:rsid w:val="00FD0297"/>
    <w:rsid w:val="00FD06B2"/>
    <w:rsid w:val="00FD0AB9"/>
    <w:rsid w:val="00FD1B17"/>
    <w:rsid w:val="00FD1CBA"/>
    <w:rsid w:val="00FD1DE9"/>
    <w:rsid w:val="00FD2C51"/>
    <w:rsid w:val="00FD2F04"/>
    <w:rsid w:val="00FD40CE"/>
    <w:rsid w:val="00FD41E4"/>
    <w:rsid w:val="00FD4282"/>
    <w:rsid w:val="00FD6D73"/>
    <w:rsid w:val="00FE0243"/>
    <w:rsid w:val="00FE040C"/>
    <w:rsid w:val="00FE097A"/>
    <w:rsid w:val="00FE138A"/>
    <w:rsid w:val="00FE28DC"/>
    <w:rsid w:val="00FE337F"/>
    <w:rsid w:val="00FE3405"/>
    <w:rsid w:val="00FE4291"/>
    <w:rsid w:val="00FE4F88"/>
    <w:rsid w:val="00FE4F9D"/>
    <w:rsid w:val="00FE5A47"/>
    <w:rsid w:val="00FE5CB3"/>
    <w:rsid w:val="00FE6153"/>
    <w:rsid w:val="00FE641C"/>
    <w:rsid w:val="00FE6A48"/>
    <w:rsid w:val="00FE7290"/>
    <w:rsid w:val="00FE76FA"/>
    <w:rsid w:val="00FF0188"/>
    <w:rsid w:val="00FF068D"/>
    <w:rsid w:val="00FF13A2"/>
    <w:rsid w:val="00FF1463"/>
    <w:rsid w:val="00FF1471"/>
    <w:rsid w:val="00FF2790"/>
    <w:rsid w:val="00FF2BA5"/>
    <w:rsid w:val="00FF2D0B"/>
    <w:rsid w:val="00FF390E"/>
    <w:rsid w:val="00FF3DED"/>
    <w:rsid w:val="00FF4558"/>
    <w:rsid w:val="00FF5BDC"/>
    <w:rsid w:val="00FF5D0A"/>
    <w:rsid w:val="00FF614F"/>
    <w:rsid w:val="00FF6A0C"/>
    <w:rsid w:val="00FF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caption" w:locked="1" w:semiHidden="0" w:unhideWhenUsed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2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61692"/>
    <w:rPr>
      <w:rFonts w:eastAsia="PMingLiU" w:cs="Calibri"/>
      <w:lang w:eastAsia="zh-TW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61692"/>
    <w:rPr>
      <w:rFonts w:eastAsia="PMingLiU" w:cs="Calibri"/>
      <w:sz w:val="22"/>
      <w:szCs w:val="22"/>
      <w:lang w:val="en-US" w:eastAsia="zh-TW" w:bidi="ar-SA"/>
    </w:rPr>
  </w:style>
  <w:style w:type="paragraph" w:styleId="ListParagraph">
    <w:name w:val="List Paragraph"/>
    <w:basedOn w:val="Normal"/>
    <w:uiPriority w:val="34"/>
    <w:qFormat/>
    <w:rsid w:val="00D61692"/>
    <w:pPr>
      <w:ind w:left="720"/>
    </w:pPr>
    <w:rPr>
      <w:rFonts w:eastAsia="PMingLiU" w:cs="Calibri"/>
      <w:lang w:eastAsia="zh-TW"/>
    </w:rPr>
  </w:style>
  <w:style w:type="paragraph" w:styleId="Caption">
    <w:name w:val="caption"/>
    <w:basedOn w:val="Normal"/>
    <w:next w:val="Normal"/>
    <w:link w:val="CaptionChar"/>
    <w:uiPriority w:val="99"/>
    <w:qFormat/>
    <w:rsid w:val="00D61692"/>
    <w:rPr>
      <w:rFonts w:eastAsia="PMingLiU" w:cs="Calibri"/>
      <w:b/>
      <w:bCs/>
      <w:sz w:val="20"/>
      <w:szCs w:val="20"/>
      <w:lang w:eastAsia="zh-TW"/>
    </w:rPr>
  </w:style>
  <w:style w:type="character" w:customStyle="1" w:styleId="CaptionChar">
    <w:name w:val="Caption Char"/>
    <w:basedOn w:val="DefaultParagraphFont"/>
    <w:link w:val="Caption"/>
    <w:uiPriority w:val="99"/>
    <w:locked/>
    <w:rsid w:val="005253D1"/>
    <w:rPr>
      <w:rFonts w:ascii="Calibri" w:eastAsia="PMingLiU" w:hAnsi="Calibri" w:cs="Calibri"/>
      <w:b/>
      <w:bCs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D6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16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5C4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0421A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2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21A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42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21A3"/>
    <w:rPr>
      <w:rFonts w:cs="Times New Roman"/>
      <w:b/>
      <w:bCs/>
      <w:sz w:val="20"/>
      <w:szCs w:val="20"/>
    </w:rPr>
  </w:style>
  <w:style w:type="paragraph" w:customStyle="1" w:styleId="xmsonormal">
    <w:name w:val="x_msonormal"/>
    <w:basedOn w:val="Normal"/>
    <w:uiPriority w:val="99"/>
    <w:rsid w:val="006944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965F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5FC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65F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5FCD"/>
    <w:rPr>
      <w:rFonts w:cs="Times New Roman"/>
    </w:rPr>
  </w:style>
  <w:style w:type="paragraph" w:customStyle="1" w:styleId="msonospacing0">
    <w:name w:val="msonospacing"/>
    <w:uiPriority w:val="99"/>
    <w:rsid w:val="0055364A"/>
    <w:rPr>
      <w:rFonts w:ascii="PMingLiU" w:eastAsia="PMingLiU" w:hAnsi="Times New Roman"/>
      <w:lang w:eastAsia="zh-TW"/>
    </w:rPr>
  </w:style>
  <w:style w:type="table" w:styleId="TableGrid">
    <w:name w:val="Table Grid"/>
    <w:basedOn w:val="TableNormal"/>
    <w:uiPriority w:val="59"/>
    <w:rsid w:val="00CD130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84DC2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styleId="FootnoteText">
    <w:name w:val="footnote text"/>
    <w:basedOn w:val="Normal"/>
    <w:link w:val="FootnoteTextChar"/>
    <w:uiPriority w:val="99"/>
    <w:semiHidden/>
    <w:rsid w:val="007F61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F61AF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F61AF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02564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6630B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034D4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497A"/>
    <w:rPr>
      <w:color w:val="800080"/>
      <w:u w:val="single"/>
    </w:rPr>
  </w:style>
  <w:style w:type="paragraph" w:customStyle="1" w:styleId="xl170">
    <w:name w:val="xl170"/>
    <w:basedOn w:val="Normal"/>
    <w:rsid w:val="0003497A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  <w:lang w:val="sr-Latn-CS" w:eastAsia="sr-Latn-CS"/>
    </w:rPr>
  </w:style>
  <w:style w:type="paragraph" w:customStyle="1" w:styleId="xl171">
    <w:name w:val="xl171"/>
    <w:basedOn w:val="Normal"/>
    <w:rsid w:val="0003497A"/>
    <w:pPr>
      <w:spacing w:before="100" w:beforeAutospacing="1" w:after="100" w:afterAutospacing="1" w:line="240" w:lineRule="auto"/>
    </w:pPr>
    <w:rPr>
      <w:rFonts w:cs="Calibri"/>
      <w:color w:val="000000"/>
      <w:sz w:val="18"/>
      <w:szCs w:val="18"/>
      <w:lang w:val="sr-Latn-CS" w:eastAsia="sr-Latn-CS"/>
    </w:rPr>
  </w:style>
  <w:style w:type="paragraph" w:customStyle="1" w:styleId="xl172">
    <w:name w:val="xl17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173">
    <w:name w:val="xl17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4">
    <w:name w:val="xl17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5">
    <w:name w:val="xl17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6">
    <w:name w:val="xl17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7">
    <w:name w:val="xl17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8">
    <w:name w:val="xl17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9">
    <w:name w:val="xl17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0">
    <w:name w:val="xl18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1">
    <w:name w:val="xl18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2">
    <w:name w:val="xl18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3">
    <w:name w:val="xl18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4">
    <w:name w:val="xl18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5">
    <w:name w:val="xl18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6">
    <w:name w:val="xl18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7">
    <w:name w:val="xl18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8">
    <w:name w:val="xl18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color w:val="993300"/>
      <w:sz w:val="16"/>
      <w:szCs w:val="16"/>
      <w:lang w:val="sr-Latn-CS" w:eastAsia="sr-Latn-CS"/>
    </w:rPr>
  </w:style>
  <w:style w:type="paragraph" w:customStyle="1" w:styleId="xl189">
    <w:name w:val="xl18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0">
    <w:name w:val="xl19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1">
    <w:name w:val="xl19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2">
    <w:name w:val="xl19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3">
    <w:name w:val="xl19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4">
    <w:name w:val="xl19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5">
    <w:name w:val="xl19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6">
    <w:name w:val="xl19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7">
    <w:name w:val="xl19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8">
    <w:name w:val="xl19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9">
    <w:name w:val="xl19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00">
    <w:name w:val="xl20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1">
    <w:name w:val="xl20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2">
    <w:name w:val="xl20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3">
    <w:name w:val="xl20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4">
    <w:name w:val="xl20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5">
    <w:name w:val="xl20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6">
    <w:name w:val="xl20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7">
    <w:name w:val="xl20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8">
    <w:name w:val="xl20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9">
    <w:name w:val="xl20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10">
    <w:name w:val="xl21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1">
    <w:name w:val="xl21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2">
    <w:name w:val="xl21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3">
    <w:name w:val="xl21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4">
    <w:name w:val="xl21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5">
    <w:name w:val="xl21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6">
    <w:name w:val="xl216"/>
    <w:basedOn w:val="Normal"/>
    <w:rsid w:val="00034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7">
    <w:name w:val="xl21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character" w:customStyle="1" w:styleId="hps">
    <w:name w:val="hps"/>
    <w:basedOn w:val="DefaultParagraphFont"/>
    <w:rsid w:val="00172816"/>
  </w:style>
  <w:style w:type="character" w:customStyle="1" w:styleId="atn">
    <w:name w:val="atn"/>
    <w:basedOn w:val="DefaultParagraphFont"/>
    <w:rsid w:val="00172816"/>
  </w:style>
  <w:style w:type="paragraph" w:customStyle="1" w:styleId="xl230">
    <w:name w:val="xl230"/>
    <w:basedOn w:val="Normal"/>
    <w:rsid w:val="00842C5E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  <w:lang w:val="sr-Latn-CS" w:eastAsia="sr-Latn-CS"/>
    </w:rPr>
  </w:style>
  <w:style w:type="paragraph" w:customStyle="1" w:styleId="xl231">
    <w:name w:val="xl231"/>
    <w:basedOn w:val="Normal"/>
    <w:rsid w:val="00842C5E"/>
    <w:pPr>
      <w:spacing w:before="100" w:beforeAutospacing="1" w:after="100" w:afterAutospacing="1" w:line="240" w:lineRule="auto"/>
    </w:pPr>
    <w:rPr>
      <w:rFonts w:cs="Calibri"/>
      <w:color w:val="000000"/>
      <w:sz w:val="18"/>
      <w:szCs w:val="18"/>
      <w:lang w:val="sr-Latn-CS" w:eastAsia="sr-Latn-CS"/>
    </w:rPr>
  </w:style>
  <w:style w:type="paragraph" w:customStyle="1" w:styleId="xl232">
    <w:name w:val="xl23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33">
    <w:name w:val="xl233"/>
    <w:basedOn w:val="Normal"/>
    <w:rsid w:val="00842C5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34">
    <w:name w:val="xl234"/>
    <w:basedOn w:val="Normal"/>
    <w:rsid w:val="00842C5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35">
    <w:name w:val="xl235"/>
    <w:basedOn w:val="Normal"/>
    <w:rsid w:val="00842C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36">
    <w:name w:val="xl236"/>
    <w:basedOn w:val="Normal"/>
    <w:rsid w:val="00842C5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cs="Calibri"/>
      <w:b/>
      <w:bCs/>
      <w:color w:val="FF0000"/>
      <w:sz w:val="18"/>
      <w:szCs w:val="18"/>
      <w:lang w:val="sr-Latn-CS" w:eastAsia="sr-Latn-CS"/>
    </w:rPr>
  </w:style>
  <w:style w:type="paragraph" w:customStyle="1" w:styleId="xl237">
    <w:name w:val="xl237"/>
    <w:basedOn w:val="Normal"/>
    <w:rsid w:val="00842C5E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38">
    <w:name w:val="xl238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39">
    <w:name w:val="xl239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0">
    <w:name w:val="xl240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1">
    <w:name w:val="xl241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2">
    <w:name w:val="xl24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3">
    <w:name w:val="xl243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4">
    <w:name w:val="xl244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5">
    <w:name w:val="xl245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6">
    <w:name w:val="xl246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7">
    <w:name w:val="xl247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8">
    <w:name w:val="xl248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9">
    <w:name w:val="xl249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0">
    <w:name w:val="xl250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1">
    <w:name w:val="xl251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2">
    <w:name w:val="xl25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color w:val="993300"/>
      <w:sz w:val="16"/>
      <w:szCs w:val="16"/>
      <w:lang w:val="sr-Latn-CS" w:eastAsia="sr-Latn-CS"/>
    </w:rPr>
  </w:style>
  <w:style w:type="paragraph" w:customStyle="1" w:styleId="xl253">
    <w:name w:val="xl253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4">
    <w:name w:val="xl254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5">
    <w:name w:val="xl255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6">
    <w:name w:val="xl256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7">
    <w:name w:val="xl257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8">
    <w:name w:val="xl258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9">
    <w:name w:val="xl259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0">
    <w:name w:val="xl260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1">
    <w:name w:val="xl261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2">
    <w:name w:val="xl26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3">
    <w:name w:val="xl263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64">
    <w:name w:val="xl264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65">
    <w:name w:val="xl265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66">
    <w:name w:val="xl266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7">
    <w:name w:val="xl267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8">
    <w:name w:val="xl268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9">
    <w:name w:val="xl269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0">
    <w:name w:val="xl270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1">
    <w:name w:val="xl271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72">
    <w:name w:val="xl27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73">
    <w:name w:val="xl273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4">
    <w:name w:val="xl274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5">
    <w:name w:val="xl275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6">
    <w:name w:val="xl276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7">
    <w:name w:val="xl277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8">
    <w:name w:val="xl278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9">
    <w:name w:val="xl279"/>
    <w:basedOn w:val="Normal"/>
    <w:rsid w:val="00842C5E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  <w:lang w:val="sr-Latn-CS" w:eastAsia="sr-Latn-CS"/>
    </w:rPr>
  </w:style>
  <w:style w:type="paragraph" w:customStyle="1" w:styleId="xl280">
    <w:name w:val="xl280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1">
    <w:name w:val="xl281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2">
    <w:name w:val="xl28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3">
    <w:name w:val="xl283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4">
    <w:name w:val="xl284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5">
    <w:name w:val="xl285"/>
    <w:basedOn w:val="Normal"/>
    <w:rsid w:val="00842C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6">
    <w:name w:val="xl286"/>
    <w:basedOn w:val="Normal"/>
    <w:rsid w:val="00842C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7">
    <w:name w:val="xl287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8">
    <w:name w:val="xl288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9">
    <w:name w:val="xl289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90">
    <w:name w:val="xl290"/>
    <w:basedOn w:val="Normal"/>
    <w:rsid w:val="00CE3C0D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  <w:lang w:val="sr-Latn-CS" w:eastAsia="sr-Latn-CS"/>
    </w:rPr>
  </w:style>
  <w:style w:type="paragraph" w:customStyle="1" w:styleId="xl291">
    <w:name w:val="xl291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92">
    <w:name w:val="xl292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93">
    <w:name w:val="xl293"/>
    <w:basedOn w:val="Normal"/>
    <w:rsid w:val="00CE3C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color w:val="000000"/>
      <w:sz w:val="18"/>
      <w:szCs w:val="18"/>
      <w:lang w:val="sr-Latn-CS" w:eastAsia="sr-Latn-CS"/>
    </w:rPr>
  </w:style>
  <w:style w:type="paragraph" w:customStyle="1" w:styleId="xl294">
    <w:name w:val="xl294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cs="Calibri"/>
      <w:color w:val="000000"/>
      <w:sz w:val="18"/>
      <w:szCs w:val="18"/>
      <w:lang w:val="sr-Latn-CS" w:eastAsia="sr-Latn-CS"/>
    </w:rPr>
  </w:style>
  <w:style w:type="paragraph" w:customStyle="1" w:styleId="xl295">
    <w:name w:val="xl295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96">
    <w:name w:val="xl296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97">
    <w:name w:val="xl297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98">
    <w:name w:val="xl298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99">
    <w:name w:val="xl299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00">
    <w:name w:val="xl300"/>
    <w:basedOn w:val="Normal"/>
    <w:rsid w:val="00CE3C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01">
    <w:name w:val="xl301"/>
    <w:basedOn w:val="Normal"/>
    <w:rsid w:val="00CE3C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02">
    <w:name w:val="xl302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03">
    <w:name w:val="xl303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04">
    <w:name w:val="xl304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05">
    <w:name w:val="xl305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06">
    <w:name w:val="xl306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07">
    <w:name w:val="xl307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08">
    <w:name w:val="xl308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09">
    <w:name w:val="xl309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10">
    <w:name w:val="xl310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11">
    <w:name w:val="xl311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12">
    <w:name w:val="xl312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13">
    <w:name w:val="xl313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314">
    <w:name w:val="xl314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315">
    <w:name w:val="xl315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316">
    <w:name w:val="xl316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17">
    <w:name w:val="xl317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18">
    <w:name w:val="xl318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19">
    <w:name w:val="xl319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20">
    <w:name w:val="xl320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321">
    <w:name w:val="xl321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22">
    <w:name w:val="xl322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23">
    <w:name w:val="xl323"/>
    <w:basedOn w:val="Normal"/>
    <w:rsid w:val="00052BB7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  <w:lang w:val="sr-Latn-CS" w:eastAsia="sr-Latn-CS"/>
    </w:rPr>
  </w:style>
  <w:style w:type="paragraph" w:customStyle="1" w:styleId="xl324">
    <w:name w:val="xl324"/>
    <w:basedOn w:val="Normal"/>
    <w:rsid w:val="00052B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325">
    <w:name w:val="xl325"/>
    <w:basedOn w:val="Normal"/>
    <w:rsid w:val="00052B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326">
    <w:name w:val="xl326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27">
    <w:name w:val="xl327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28">
    <w:name w:val="xl328"/>
    <w:basedOn w:val="Normal"/>
    <w:rsid w:val="00052B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Calibri"/>
      <w:b/>
      <w:bCs/>
      <w:sz w:val="14"/>
      <w:szCs w:val="14"/>
      <w:lang w:val="sr-Latn-CS" w:eastAsia="sr-Latn-CS"/>
    </w:rPr>
  </w:style>
  <w:style w:type="paragraph" w:customStyle="1" w:styleId="xl329">
    <w:name w:val="xl329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color w:val="993300"/>
      <w:sz w:val="14"/>
      <w:szCs w:val="14"/>
      <w:lang w:val="sr-Latn-CS" w:eastAsia="sr-Latn-CS"/>
    </w:rPr>
  </w:style>
  <w:style w:type="paragraph" w:customStyle="1" w:styleId="xl330">
    <w:name w:val="xl330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4"/>
      <w:szCs w:val="14"/>
      <w:lang w:val="sr-Latn-CS" w:eastAsia="sr-Latn-CS"/>
    </w:rPr>
  </w:style>
  <w:style w:type="paragraph" w:customStyle="1" w:styleId="xl331">
    <w:name w:val="xl331"/>
    <w:basedOn w:val="Normal"/>
    <w:rsid w:val="00052BB7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cs="Calibri"/>
      <w:b/>
      <w:bCs/>
      <w:sz w:val="14"/>
      <w:szCs w:val="14"/>
      <w:lang w:val="sr-Latn-CS" w:eastAsia="sr-Latn-CS"/>
    </w:rPr>
  </w:style>
  <w:style w:type="paragraph" w:customStyle="1" w:styleId="xl332">
    <w:name w:val="xl332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33">
    <w:name w:val="xl333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34">
    <w:name w:val="xl334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35">
    <w:name w:val="xl335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36">
    <w:name w:val="xl336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37">
    <w:name w:val="xl337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38">
    <w:name w:val="xl338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39">
    <w:name w:val="xl339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40">
    <w:name w:val="xl340"/>
    <w:basedOn w:val="Normal"/>
    <w:rsid w:val="00052BB7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cs="Calibri"/>
      <w:b/>
      <w:bCs/>
      <w:color w:val="FF0000"/>
      <w:sz w:val="14"/>
      <w:szCs w:val="14"/>
      <w:lang w:val="sr-Latn-CS" w:eastAsia="sr-Latn-CS"/>
    </w:rPr>
  </w:style>
  <w:style w:type="paragraph" w:customStyle="1" w:styleId="xl341">
    <w:name w:val="xl341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42">
    <w:name w:val="xl342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43">
    <w:name w:val="xl343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44">
    <w:name w:val="xl344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45">
    <w:name w:val="xl345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46">
    <w:name w:val="xl346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47">
    <w:name w:val="xl347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48">
    <w:name w:val="xl348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49">
    <w:name w:val="xl349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50">
    <w:name w:val="xl350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51">
    <w:name w:val="xl351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52">
    <w:name w:val="xl352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53">
    <w:name w:val="xl353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54">
    <w:name w:val="xl354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55">
    <w:name w:val="xl355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56">
    <w:name w:val="xl356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57">
    <w:name w:val="xl357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58">
    <w:name w:val="xl358"/>
    <w:basedOn w:val="Normal"/>
    <w:rsid w:val="00052BB7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cs="Calibri"/>
      <w:b/>
      <w:bCs/>
      <w:sz w:val="14"/>
      <w:szCs w:val="14"/>
      <w:lang w:val="sr-Latn-CS" w:eastAsia="sr-Latn-CS"/>
    </w:rPr>
  </w:style>
  <w:style w:type="paragraph" w:customStyle="1" w:styleId="xl359">
    <w:name w:val="xl359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60">
    <w:name w:val="xl360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61">
    <w:name w:val="xl361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62">
    <w:name w:val="xl362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63">
    <w:name w:val="xl363"/>
    <w:basedOn w:val="Normal"/>
    <w:rsid w:val="00052B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64">
    <w:name w:val="xl364"/>
    <w:basedOn w:val="Normal"/>
    <w:rsid w:val="00052B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65">
    <w:name w:val="xl365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66">
    <w:name w:val="xl366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67">
    <w:name w:val="xl367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68">
    <w:name w:val="xl368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table" w:customStyle="1" w:styleId="LightShading-Accent11">
    <w:name w:val="Light Shading - Accent 11"/>
    <w:basedOn w:val="TableNormal"/>
    <w:uiPriority w:val="60"/>
    <w:rsid w:val="004F731B"/>
    <w:rPr>
      <w:color w:val="B35E06" w:themeColor="accent1" w:themeShade="BF"/>
    </w:rPr>
    <w:tblPr>
      <w:tblStyleRowBandSize w:val="1"/>
      <w:tblStyleColBandSize w:val="1"/>
      <w:tblInd w:w="0" w:type="dxa"/>
      <w:tblBorders>
        <w:top w:val="single" w:sz="8" w:space="0" w:color="F07F09" w:themeColor="accent1"/>
        <w:bottom w:val="single" w:sz="8" w:space="0" w:color="F07F0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9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9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38372">
                                      <w:marLeft w:val="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66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03605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Documents%20and%20Settings\radojka.martinovic\Desktop\mmi-sirovi%20podac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H:\Documents%20and%20Settings\radojka.martinovic\Desktop\mmi-sirovi%20podaci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olja.tomanovic\My%20Documents\Dropbox\MINISTARSTVO%20FINANSIJA\SEP\02_MMI\MMI_2015%2006\mmi%202015-06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sna.obradovic\Dropbox\MINISTARSTVO%20FINANSIJA\SEP\02_MMI\MMI_2015%2006\mmi%202015-06%20(Vesna%20Obradovi&#263;'s%20conflicted%20copy%202015-07-01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ja.novosel\Desktop\mmi%202015-06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zdenka.dabovic\Desktop\MMI\mmi_sirovi%20podaci_2015%200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sr-Latn-CS"/>
            </a:pPr>
            <a:r>
              <a:rPr lang="en-US" sz="1000"/>
              <a:t>Kamatne stope 10-godišnjih obveznica</a:t>
            </a:r>
          </a:p>
        </c:rich>
      </c:tx>
      <c:layout>
        <c:manualLayout>
          <c:xMode val="edge"/>
          <c:yMode val="edge"/>
          <c:x val="0.19010353535353433"/>
          <c:y val="0"/>
        </c:manualLayout>
      </c:layout>
      <c:overlay val="1"/>
    </c:title>
    <c:plotArea>
      <c:layout>
        <c:manualLayout>
          <c:layoutTarget val="inner"/>
          <c:xMode val="edge"/>
          <c:yMode val="edge"/>
          <c:x val="0.16899494949495147"/>
          <c:y val="0.14882812500000001"/>
          <c:w val="0.77220875420875834"/>
          <c:h val="0.65700000000000713"/>
        </c:manualLayout>
      </c:layout>
      <c:barChart>
        <c:barDir val="col"/>
        <c:grouping val="clustered"/>
        <c:ser>
          <c:idx val="0"/>
          <c:order val="0"/>
          <c:tx>
            <c:strRef>
              <c:f>Sheet1!$D$2</c:f>
              <c:strCache>
                <c:ptCount val="1"/>
                <c:pt idx="0">
                  <c:v>30.6.2014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cat>
            <c:strRef>
              <c:f>Sheet1!$C$3:$C$6</c:f>
              <c:strCache>
                <c:ptCount val="4"/>
                <c:pt idx="0">
                  <c:v>Njemačka</c:v>
                </c:pt>
                <c:pt idx="1">
                  <c:v>Grčka</c:v>
                </c:pt>
                <c:pt idx="2">
                  <c:v>Italija</c:v>
                </c:pt>
                <c:pt idx="3">
                  <c:v>Španija</c:v>
                </c:pt>
              </c:strCache>
            </c:strRef>
          </c:cat>
          <c:val>
            <c:numRef>
              <c:f>Sheet1!$D$3:$D$6</c:f>
              <c:numCache>
                <c:formatCode>General</c:formatCode>
                <c:ptCount val="4"/>
                <c:pt idx="0">
                  <c:v>1.25</c:v>
                </c:pt>
                <c:pt idx="1">
                  <c:v>5.98</c:v>
                </c:pt>
                <c:pt idx="2">
                  <c:v>2.73</c:v>
                </c:pt>
                <c:pt idx="3">
                  <c:v>2.67</c:v>
                </c:pt>
              </c:numCache>
            </c:numRef>
          </c:val>
        </c:ser>
        <c:ser>
          <c:idx val="1"/>
          <c:order val="1"/>
          <c:tx>
            <c:strRef>
              <c:f>Sheet1!$E$2</c:f>
              <c:strCache>
                <c:ptCount val="1"/>
                <c:pt idx="0">
                  <c:v>30.6.2015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  <a:ln>
              <a:solidFill>
                <a:schemeClr val="tx2">
                  <a:lumMod val="50000"/>
                </a:schemeClr>
              </a:solidFill>
            </a:ln>
          </c:spPr>
          <c:cat>
            <c:strRef>
              <c:f>Sheet1!$C$3:$C$6</c:f>
              <c:strCache>
                <c:ptCount val="4"/>
                <c:pt idx="0">
                  <c:v>Njemačka</c:v>
                </c:pt>
                <c:pt idx="1">
                  <c:v>Grčka</c:v>
                </c:pt>
                <c:pt idx="2">
                  <c:v>Italija</c:v>
                </c:pt>
                <c:pt idx="3">
                  <c:v>Španija</c:v>
                </c:pt>
              </c:strCache>
            </c:strRef>
          </c:cat>
          <c:val>
            <c:numRef>
              <c:f>Sheet1!$E$3:$E$6</c:f>
              <c:numCache>
                <c:formatCode>General</c:formatCode>
                <c:ptCount val="4"/>
                <c:pt idx="0">
                  <c:v>0.85000000000000064</c:v>
                </c:pt>
                <c:pt idx="1">
                  <c:v>15.16</c:v>
                </c:pt>
                <c:pt idx="2">
                  <c:v>2.34</c:v>
                </c:pt>
                <c:pt idx="3">
                  <c:v>2.3199999999999967</c:v>
                </c:pt>
              </c:numCache>
            </c:numRef>
          </c:val>
        </c:ser>
        <c:gapWidth val="30"/>
        <c:axId val="85937152"/>
        <c:axId val="86344448"/>
      </c:barChart>
      <c:catAx>
        <c:axId val="85937152"/>
        <c:scaling>
          <c:orientation val="minMax"/>
        </c:scaling>
        <c:axPos val="b"/>
        <c:tickLblPos val="nextTo"/>
        <c:txPr>
          <a:bodyPr/>
          <a:lstStyle/>
          <a:p>
            <a:pPr>
              <a:defRPr lang="sr-Latn-CS" sz="700"/>
            </a:pPr>
            <a:endParaRPr lang="en-US"/>
          </a:p>
        </c:txPr>
        <c:crossAx val="86344448"/>
        <c:crosses val="autoZero"/>
        <c:auto val="1"/>
        <c:lblAlgn val="ctr"/>
        <c:lblOffset val="100"/>
      </c:catAx>
      <c:valAx>
        <c:axId val="86344448"/>
        <c:scaling>
          <c:orientation val="minMax"/>
        </c:scaling>
        <c:axPos val="l"/>
        <c:majorGridlines>
          <c:spPr>
            <a:ln w="3175">
              <a:solidFill>
                <a:srgbClr val="1F497D">
                  <a:lumMod val="50000"/>
                </a:srgbClr>
              </a:solidFill>
              <a:prstDash val="sysDot"/>
            </a:ln>
          </c:spPr>
        </c:majorGridlines>
        <c:numFmt formatCode="#,##0.0" sourceLinked="0"/>
        <c:tickLblPos val="nextTo"/>
        <c:txPr>
          <a:bodyPr/>
          <a:lstStyle/>
          <a:p>
            <a:pPr>
              <a:defRPr lang="sr-Latn-CS" sz="700"/>
            </a:pPr>
            <a:endParaRPr lang="en-US"/>
          </a:p>
        </c:txPr>
        <c:crossAx val="859371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6863888888888887"/>
          <c:y val="0.90927300347222217"/>
          <c:w val="0.46272222222222231"/>
          <c:h val="7.9702690972223877E-2"/>
        </c:manualLayout>
      </c:layout>
      <c:txPr>
        <a:bodyPr/>
        <a:lstStyle/>
        <a:p>
          <a:pPr>
            <a:defRPr lang="sr-Latn-CS" sz="700"/>
          </a:pPr>
          <a:endParaRPr lang="en-US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sr-Latn-CS" sz="1000"/>
            </a:pPr>
            <a:r>
              <a:rPr lang="en-US" sz="1000"/>
              <a:t>Turizam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'Makroekonomski indikatori'!$C$17</c:f>
              <c:strCache>
                <c:ptCount val="1"/>
                <c:pt idx="0">
                  <c:v>Noćenja turista (stopa rasta)</c:v>
                </c:pt>
              </c:strCache>
            </c:strRef>
          </c:tx>
          <c:spPr>
            <a:ln>
              <a:solidFill>
                <a:srgbClr val="1E13F9"/>
              </a:solidFill>
            </a:ln>
          </c:spPr>
          <c:marker>
            <c:symbol val="none"/>
          </c:marker>
          <c:cat>
            <c:strRef>
              <c:f>'Makroekonomski indikatori'!$AS$36:$BE$36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2015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'Makroekonomski indikatori'!$AS$17:$BE$17</c:f>
              <c:numCache>
                <c:formatCode>General</c:formatCode>
                <c:ptCount val="13"/>
                <c:pt idx="0">
                  <c:v>-4.2</c:v>
                </c:pt>
                <c:pt idx="1">
                  <c:v>-1.3</c:v>
                </c:pt>
                <c:pt idx="2">
                  <c:v>0.9</c:v>
                </c:pt>
                <c:pt idx="3">
                  <c:v>2.4</c:v>
                </c:pt>
                <c:pt idx="4">
                  <c:v>1.9000000000000001</c:v>
                </c:pt>
                <c:pt idx="5">
                  <c:v>4.2</c:v>
                </c:pt>
                <c:pt idx="6">
                  <c:v>12.8</c:v>
                </c:pt>
                <c:pt idx="7">
                  <c:v>7.3</c:v>
                </c:pt>
                <c:pt idx="8" formatCode="0.0">
                  <c:v>28.3</c:v>
                </c:pt>
                <c:pt idx="9" formatCode="0.0">
                  <c:v>21</c:v>
                </c:pt>
                <c:pt idx="10">
                  <c:v>5.0999999999999996</c:v>
                </c:pt>
                <c:pt idx="11">
                  <c:v>11.1</c:v>
                </c:pt>
                <c:pt idx="12">
                  <c:v>8.3000000000000007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'Makroekonomski indikatori'!$C$18</c:f>
              <c:strCache>
                <c:ptCount val="1"/>
                <c:pt idx="0">
                  <c:v>Dolasci turista (stopa rasta)</c:v>
                </c:pt>
              </c:strCache>
            </c:strRef>
          </c:tx>
          <c:spPr>
            <a:ln>
              <a:solidFill>
                <a:srgbClr val="EC20A8"/>
              </a:solidFill>
            </a:ln>
          </c:spPr>
          <c:marker>
            <c:symbol val="none"/>
          </c:marker>
          <c:cat>
            <c:strRef>
              <c:f>'Makroekonomski indikatori'!$AS$36:$BE$36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2015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'Makroekonomski indikatori'!$AS$18:$BE$18</c:f>
              <c:numCache>
                <c:formatCode>General</c:formatCode>
                <c:ptCount val="13"/>
                <c:pt idx="0">
                  <c:v>2.4</c:v>
                </c:pt>
                <c:pt idx="1">
                  <c:v>-0.8</c:v>
                </c:pt>
                <c:pt idx="2">
                  <c:v>-1.3</c:v>
                </c:pt>
                <c:pt idx="3">
                  <c:v>2.5</c:v>
                </c:pt>
                <c:pt idx="4" formatCode="0.0">
                  <c:v>2</c:v>
                </c:pt>
                <c:pt idx="5">
                  <c:v>4.0999999999999996</c:v>
                </c:pt>
                <c:pt idx="6">
                  <c:v>21.1</c:v>
                </c:pt>
                <c:pt idx="7" formatCode="0.0">
                  <c:v>9</c:v>
                </c:pt>
                <c:pt idx="8" formatCode="0.0">
                  <c:v>22.8</c:v>
                </c:pt>
                <c:pt idx="9">
                  <c:v>25.6</c:v>
                </c:pt>
                <c:pt idx="10">
                  <c:v>11.7</c:v>
                </c:pt>
                <c:pt idx="11">
                  <c:v>20.399999999999999</c:v>
                </c:pt>
                <c:pt idx="12">
                  <c:v>9.5</c:v>
                </c:pt>
              </c:numCache>
            </c:numRef>
          </c:val>
          <c:smooth val="1"/>
        </c:ser>
        <c:marker val="1"/>
        <c:axId val="59230080"/>
        <c:axId val="59231616"/>
      </c:lineChart>
      <c:catAx>
        <c:axId val="59230080"/>
        <c:scaling>
          <c:orientation val="minMax"/>
        </c:scaling>
        <c:axPos val="b"/>
        <c:tickLblPos val="nextTo"/>
        <c:txPr>
          <a:bodyPr/>
          <a:lstStyle/>
          <a:p>
            <a:pPr>
              <a:defRPr lang="sr-Latn-CS" sz="700"/>
            </a:pPr>
            <a:endParaRPr lang="en-US"/>
          </a:p>
        </c:txPr>
        <c:crossAx val="59231616"/>
        <c:crosses val="autoZero"/>
        <c:auto val="1"/>
        <c:lblAlgn val="ctr"/>
        <c:lblOffset val="100"/>
      </c:catAx>
      <c:valAx>
        <c:axId val="59231616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lang="sr-Latn-CS" sz="700"/>
            </a:pPr>
            <a:endParaRPr lang="en-US"/>
          </a:p>
        </c:txPr>
        <c:crossAx val="59230080"/>
        <c:crosses val="autoZero"/>
        <c:crossBetween val="between"/>
      </c:valAx>
    </c:plotArea>
    <c:legend>
      <c:legendPos val="b"/>
      <c:txPr>
        <a:bodyPr/>
        <a:lstStyle/>
        <a:p>
          <a:pPr>
            <a:defRPr lang="sr-Latn-CS" sz="700"/>
          </a:pPr>
          <a:endParaRPr lang="en-US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sr-Latn-CS" sz="1000"/>
            </a:pPr>
            <a:r>
              <a:rPr lang="en-US" sz="1000"/>
              <a:t>Inflacija</a:t>
            </a:r>
          </a:p>
        </c:rich>
      </c:tx>
    </c:title>
    <c:plotArea>
      <c:layout>
        <c:manualLayout>
          <c:layoutTarget val="inner"/>
          <c:xMode val="edge"/>
          <c:yMode val="edge"/>
          <c:x val="0.17190322580645268"/>
          <c:y val="0.17186559139784943"/>
          <c:w val="0.76550716845878164"/>
          <c:h val="0.63775134408602163"/>
        </c:manualLayout>
      </c:layout>
      <c:lineChart>
        <c:grouping val="standard"/>
        <c:ser>
          <c:idx val="0"/>
          <c:order val="0"/>
          <c:tx>
            <c:v>CPI-ukupno</c:v>
          </c:tx>
          <c:spPr>
            <a:ln w="38100">
              <a:solidFill>
                <a:srgbClr val="5D11F5"/>
              </a:solidFill>
              <a:prstDash val="solid"/>
            </a:ln>
          </c:spPr>
          <c:marker>
            <c:symbol val="none"/>
          </c:marker>
          <c:cat>
            <c:strRef>
              <c:f>'Makroekonomski indikatori'!$AS$36:$BE$36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2015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'Makroekonomski indikatori'!$AS$24:$BE$24</c:f>
              <c:numCache>
                <c:formatCode>0.0</c:formatCode>
                <c:ptCount val="13"/>
                <c:pt idx="0">
                  <c:v>-1.3</c:v>
                </c:pt>
                <c:pt idx="1">
                  <c:v>-0.1</c:v>
                </c:pt>
                <c:pt idx="2">
                  <c:v>-1.2</c:v>
                </c:pt>
                <c:pt idx="3">
                  <c:v>-1.1000000000000001</c:v>
                </c:pt>
                <c:pt idx="4">
                  <c:v>-0.70000000000000062</c:v>
                </c:pt>
                <c:pt idx="5">
                  <c:v>-0.5</c:v>
                </c:pt>
                <c:pt idx="6">
                  <c:v>0</c:v>
                </c:pt>
                <c:pt idx="7">
                  <c:v>-0.30000000000000032</c:v>
                </c:pt>
                <c:pt idx="8">
                  <c:v>0.2</c:v>
                </c:pt>
                <c:pt idx="9">
                  <c:v>0.60000000000000064</c:v>
                </c:pt>
                <c:pt idx="10" formatCode="General">
                  <c:v>1.6</c:v>
                </c:pt>
                <c:pt idx="11" formatCode="General">
                  <c:v>2.1</c:v>
                </c:pt>
                <c:pt idx="12" formatCode="General">
                  <c:v>2.2999999999999998</c:v>
                </c:pt>
              </c:numCache>
            </c:numRef>
          </c:val>
          <c:smooth val="1"/>
        </c:ser>
        <c:ser>
          <c:idx val="1"/>
          <c:order val="1"/>
          <c:tx>
            <c:v>cijene hrane</c:v>
          </c:tx>
          <c:spPr>
            <a:ln w="28575">
              <a:solidFill>
                <a:srgbClr val="EA1CBE"/>
              </a:solidFill>
              <a:prstDash val="sysDash"/>
            </a:ln>
          </c:spPr>
          <c:marker>
            <c:symbol val="none"/>
          </c:marker>
          <c:cat>
            <c:strRef>
              <c:f>'Makroekonomski indikatori'!$AS$36:$BE$36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2015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'Makroekonomski indikatori'!$AS$26:$BE$26</c:f>
              <c:numCache>
                <c:formatCode>0.0</c:formatCode>
                <c:ptCount val="13"/>
                <c:pt idx="0">
                  <c:v>-3.6</c:v>
                </c:pt>
                <c:pt idx="1">
                  <c:v>-1.6</c:v>
                </c:pt>
                <c:pt idx="2">
                  <c:v>-3.2</c:v>
                </c:pt>
                <c:pt idx="3">
                  <c:v>-2.2999999999999998</c:v>
                </c:pt>
                <c:pt idx="4">
                  <c:v>-1</c:v>
                </c:pt>
                <c:pt idx="5">
                  <c:v>-0.2</c:v>
                </c:pt>
                <c:pt idx="6">
                  <c:v>1</c:v>
                </c:pt>
                <c:pt idx="7">
                  <c:v>0.8</c:v>
                </c:pt>
                <c:pt idx="8">
                  <c:v>1.8</c:v>
                </c:pt>
                <c:pt idx="9">
                  <c:v>2.1</c:v>
                </c:pt>
                <c:pt idx="10" formatCode="General">
                  <c:v>3.3</c:v>
                </c:pt>
                <c:pt idx="11" formatCode="General">
                  <c:v>4.0999999999999996</c:v>
                </c:pt>
                <c:pt idx="12" formatCode="General">
                  <c:v>3.8</c:v>
                </c:pt>
              </c:numCache>
            </c:numRef>
          </c:val>
          <c:smooth val="1"/>
        </c:ser>
        <c:marker val="1"/>
        <c:axId val="64974848"/>
        <c:axId val="64976384"/>
      </c:lineChart>
      <c:catAx>
        <c:axId val="64974848"/>
        <c:scaling>
          <c:orientation val="minMax"/>
        </c:scaling>
        <c:axPos val="b"/>
        <c:tickLblPos val="nextTo"/>
        <c:txPr>
          <a:bodyPr/>
          <a:lstStyle/>
          <a:p>
            <a:pPr>
              <a:defRPr lang="sr-Latn-CS" sz="700"/>
            </a:pPr>
            <a:endParaRPr lang="en-US"/>
          </a:p>
        </c:txPr>
        <c:crossAx val="64976384"/>
        <c:crosses val="autoZero"/>
        <c:auto val="1"/>
        <c:lblAlgn val="ctr"/>
        <c:lblOffset val="100"/>
      </c:catAx>
      <c:valAx>
        <c:axId val="64976384"/>
        <c:scaling>
          <c:orientation val="minMax"/>
        </c:scaling>
        <c:axPos val="l"/>
        <c:numFmt formatCode="0.0" sourceLinked="1"/>
        <c:tickLblPos val="nextTo"/>
        <c:txPr>
          <a:bodyPr/>
          <a:lstStyle/>
          <a:p>
            <a:pPr>
              <a:defRPr lang="sr-Latn-CS" sz="700"/>
            </a:pPr>
            <a:endParaRPr lang="en-US"/>
          </a:p>
        </c:txPr>
        <c:crossAx val="64974848"/>
        <c:crosses val="autoZero"/>
        <c:crossBetween val="between"/>
      </c:valAx>
    </c:plotArea>
    <c:legend>
      <c:legendPos val="b"/>
      <c:txPr>
        <a:bodyPr/>
        <a:lstStyle/>
        <a:p>
          <a:pPr>
            <a:defRPr lang="sr-Latn-CS" sz="700"/>
          </a:pPr>
          <a:endParaRPr lang="en-US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21782008222423524"/>
          <c:y val="9.4979496617749168E-2"/>
          <c:w val="0.57290386776832869"/>
          <c:h val="0.67950045204308163"/>
        </c:manualLayout>
      </c:layout>
      <c:lineChart>
        <c:grouping val="standard"/>
        <c:ser>
          <c:idx val="0"/>
          <c:order val="0"/>
          <c:marker>
            <c:symbol val="none"/>
          </c:marker>
          <c:cat>
            <c:strRef>
              <c:f>'Makroekonomski indikatori'!$AR$10:$BD$10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2015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'Makroekonomski indikatori'!$AR$22:$BD$22</c:f>
              <c:numCache>
                <c:formatCode>#,##0</c:formatCode>
                <c:ptCount val="13"/>
                <c:pt idx="0">
                  <c:v>174917</c:v>
                </c:pt>
                <c:pt idx="1">
                  <c:v>179774</c:v>
                </c:pt>
                <c:pt idx="2">
                  <c:v>181408</c:v>
                </c:pt>
                <c:pt idx="3">
                  <c:v>178558</c:v>
                </c:pt>
                <c:pt idx="4">
                  <c:v>173942</c:v>
                </c:pt>
                <c:pt idx="5">
                  <c:v>172306</c:v>
                </c:pt>
                <c:pt idx="6">
                  <c:v>172273</c:v>
                </c:pt>
                <c:pt idx="7">
                  <c:v>171158</c:v>
                </c:pt>
                <c:pt idx="8">
                  <c:v>169719</c:v>
                </c:pt>
                <c:pt idx="9">
                  <c:v>170486</c:v>
                </c:pt>
                <c:pt idx="10">
                  <c:v>171855</c:v>
                </c:pt>
                <c:pt idx="11">
                  <c:v>174208</c:v>
                </c:pt>
                <c:pt idx="12">
                  <c:v>177865</c:v>
                </c:pt>
              </c:numCache>
            </c:numRef>
          </c:val>
        </c:ser>
        <c:marker val="1"/>
        <c:axId val="65543168"/>
        <c:axId val="65557248"/>
      </c:lineChart>
      <c:lineChart>
        <c:grouping val="standard"/>
        <c:ser>
          <c:idx val="1"/>
          <c:order val="1"/>
          <c:marker>
            <c:symbol val="none"/>
          </c:marker>
          <c:cat>
            <c:strRef>
              <c:f>'Makroekonomski indikatori'!$AR$10:$BD$10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2015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'Makroekonomski indikatori'!$AR$23:$BD$23</c:f>
              <c:numCache>
                <c:formatCode>#,##0</c:formatCode>
                <c:ptCount val="13"/>
                <c:pt idx="0">
                  <c:v>32763</c:v>
                </c:pt>
                <c:pt idx="1">
                  <c:v>31548</c:v>
                </c:pt>
                <c:pt idx="2">
                  <c:v>31115</c:v>
                </c:pt>
                <c:pt idx="3">
                  <c:v>31163</c:v>
                </c:pt>
                <c:pt idx="4">
                  <c:v>31548</c:v>
                </c:pt>
                <c:pt idx="5">
                  <c:v>33744</c:v>
                </c:pt>
                <c:pt idx="6">
                  <c:v>34733</c:v>
                </c:pt>
                <c:pt idx="7">
                  <c:v>34687</c:v>
                </c:pt>
                <c:pt idx="8">
                  <c:v>35152</c:v>
                </c:pt>
                <c:pt idx="9">
                  <c:v>35172</c:v>
                </c:pt>
                <c:pt idx="10">
                  <c:v>34903</c:v>
                </c:pt>
                <c:pt idx="11">
                  <c:v>33975</c:v>
                </c:pt>
                <c:pt idx="12">
                  <c:v>32347</c:v>
                </c:pt>
              </c:numCache>
            </c:numRef>
          </c:val>
        </c:ser>
        <c:marker val="1"/>
        <c:axId val="65598208"/>
        <c:axId val="65559168"/>
      </c:lineChart>
      <c:catAx>
        <c:axId val="65543168"/>
        <c:scaling>
          <c:orientation val="minMax"/>
        </c:scaling>
        <c:axPos val="b"/>
        <c:tickLblPos val="nextTo"/>
        <c:txPr>
          <a:bodyPr/>
          <a:lstStyle/>
          <a:p>
            <a:pPr>
              <a:defRPr lang="sr-Latn-CS" sz="700"/>
            </a:pPr>
            <a:endParaRPr lang="en-US"/>
          </a:p>
        </c:txPr>
        <c:crossAx val="65557248"/>
        <c:crosses val="autoZero"/>
        <c:auto val="1"/>
        <c:lblAlgn val="ctr"/>
        <c:lblOffset val="100"/>
      </c:catAx>
      <c:valAx>
        <c:axId val="65557248"/>
        <c:scaling>
          <c:orientation val="minMax"/>
          <c:min val="164000"/>
        </c:scaling>
        <c:axPos val="l"/>
        <c:majorGridlines>
          <c:spPr>
            <a:ln>
              <a:solidFill>
                <a:schemeClr val="bg1">
                  <a:lumMod val="85000"/>
                </a:schemeClr>
              </a:solidFill>
              <a:prstDash val="sysDot"/>
            </a:ln>
          </c:spPr>
        </c:majorGridlines>
        <c:numFmt formatCode="#,##0.0" sourceLinked="0"/>
        <c:tickLblPos val="nextTo"/>
        <c:txPr>
          <a:bodyPr/>
          <a:lstStyle/>
          <a:p>
            <a:pPr>
              <a:defRPr lang="sr-Latn-CS" sz="700"/>
            </a:pPr>
            <a:endParaRPr lang="en-US"/>
          </a:p>
        </c:txPr>
        <c:crossAx val="65543168"/>
        <c:crosses val="autoZero"/>
        <c:crossBetween val="between"/>
        <c:dispUnits>
          <c:builtInUnit val="thousands"/>
        </c:dispUnits>
      </c:valAx>
      <c:valAx>
        <c:axId val="65559168"/>
        <c:scaling>
          <c:orientation val="maxMin"/>
          <c:max val="36000"/>
          <c:min val="27000"/>
        </c:scaling>
        <c:axPos val="r"/>
        <c:numFmt formatCode="#,##0.0" sourceLinked="0"/>
        <c:tickLblPos val="nextTo"/>
        <c:txPr>
          <a:bodyPr/>
          <a:lstStyle/>
          <a:p>
            <a:pPr>
              <a:defRPr lang="sr-Latn-CS" sz="700"/>
            </a:pPr>
            <a:endParaRPr lang="en-US"/>
          </a:p>
        </c:txPr>
        <c:crossAx val="65598208"/>
        <c:crosses val="max"/>
        <c:crossBetween val="between"/>
        <c:dispUnits>
          <c:builtInUnit val="thousands"/>
        </c:dispUnits>
      </c:valAx>
      <c:catAx>
        <c:axId val="65598208"/>
        <c:scaling>
          <c:orientation val="minMax"/>
        </c:scaling>
        <c:delete val="1"/>
        <c:axPos val="t"/>
        <c:tickLblPos val="none"/>
        <c:crossAx val="65559168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2116885389326336"/>
          <c:y val="5.1400554097404488E-2"/>
          <c:w val="0.77713429571303583"/>
          <c:h val="0.68233483635060665"/>
        </c:manualLayout>
      </c:layout>
      <c:barChart>
        <c:barDir val="col"/>
        <c:grouping val="clustered"/>
        <c:ser>
          <c:idx val="2"/>
          <c:order val="2"/>
          <c:tx>
            <c:v>suficit/deficit budžeta</c:v>
          </c:tx>
          <c:spPr>
            <a:solidFill>
              <a:schemeClr val="bg2"/>
            </a:solidFill>
            <a:ln>
              <a:solidFill>
                <a:srgbClr val="C00000"/>
              </a:solidFill>
            </a:ln>
          </c:spPr>
          <c:cat>
            <c:strRef>
              <c:f>'Fiskalni indikatori'!$AF$3:$AR$3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I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'Fiskalni indikatori'!$AF$17:$AR$17</c:f>
              <c:numCache>
                <c:formatCode>0.00,,</c:formatCode>
                <c:ptCount val="13"/>
                <c:pt idx="0">
                  <c:v>-5517055.7200000286</c:v>
                </c:pt>
                <c:pt idx="1">
                  <c:v>-5364283.7200000435</c:v>
                </c:pt>
                <c:pt idx="2">
                  <c:v>2502365.0199999809</c:v>
                </c:pt>
                <c:pt idx="3">
                  <c:v>10463853.719999975</c:v>
                </c:pt>
                <c:pt idx="4">
                  <c:v>-4187715.1499999911</c:v>
                </c:pt>
                <c:pt idx="5">
                  <c:v>-1436809.9499999583</c:v>
                </c:pt>
                <c:pt idx="6">
                  <c:v>-12887782.269999981</c:v>
                </c:pt>
                <c:pt idx="7">
                  <c:v>-18669590.289999932</c:v>
                </c:pt>
                <c:pt idx="8">
                  <c:v>-21938190.850000039</c:v>
                </c:pt>
                <c:pt idx="9">
                  <c:v>-21306460.860000044</c:v>
                </c:pt>
                <c:pt idx="10">
                  <c:v>-10982931.670000045</c:v>
                </c:pt>
                <c:pt idx="11">
                  <c:v>-29188750.890000001</c:v>
                </c:pt>
                <c:pt idx="12">
                  <c:v>-13443528.810000002</c:v>
                </c:pt>
              </c:numCache>
            </c:numRef>
          </c:val>
        </c:ser>
        <c:axId val="70111232"/>
        <c:axId val="70093056"/>
      </c:barChart>
      <c:lineChart>
        <c:grouping val="standard"/>
        <c:ser>
          <c:idx val="0"/>
          <c:order val="0"/>
          <c:tx>
            <c:v>prihodi budžeta</c:v>
          </c:tx>
          <c:spPr>
            <a:ln>
              <a:solidFill>
                <a:schemeClr val="tx2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'Fiskalni indikatori'!$AF$3:$AR$3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I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'Fiskalni indikatori'!$AF$4:$AR$4</c:f>
              <c:numCache>
                <c:formatCode>0.00,,</c:formatCode>
                <c:ptCount val="13"/>
                <c:pt idx="0">
                  <c:v>102078548.78</c:v>
                </c:pt>
                <c:pt idx="1">
                  <c:v>109931818.73999999</c:v>
                </c:pt>
                <c:pt idx="2">
                  <c:v>120720236.03</c:v>
                </c:pt>
                <c:pt idx="3">
                  <c:v>126556297.33</c:v>
                </c:pt>
                <c:pt idx="4">
                  <c:v>117901924.08</c:v>
                </c:pt>
                <c:pt idx="5">
                  <c:v>158210534.23999998</c:v>
                </c:pt>
                <c:pt idx="6">
                  <c:v>98496460.13000001</c:v>
                </c:pt>
                <c:pt idx="7">
                  <c:v>155249038.93000001</c:v>
                </c:pt>
                <c:pt idx="8">
                  <c:v>71181389.560000002</c:v>
                </c:pt>
                <c:pt idx="9">
                  <c:v>86772014.340000033</c:v>
                </c:pt>
                <c:pt idx="10">
                  <c:v>100279648.52</c:v>
                </c:pt>
                <c:pt idx="11">
                  <c:v>111515630.59</c:v>
                </c:pt>
                <c:pt idx="12">
                  <c:v>99802277.800000012</c:v>
                </c:pt>
              </c:numCache>
            </c:numRef>
          </c:val>
          <c:smooth val="1"/>
        </c:ser>
        <c:ser>
          <c:idx val="1"/>
          <c:order val="1"/>
          <c:tx>
            <c:v>rashodi budžeta</c:v>
          </c:tx>
          <c:spPr>
            <a:ln>
              <a:solidFill>
                <a:srgbClr val="C00000"/>
              </a:solidFill>
              <a:prstDash val="sysDot"/>
            </a:ln>
          </c:spPr>
          <c:marker>
            <c:symbol val="none"/>
          </c:marker>
          <c:cat>
            <c:strRef>
              <c:f>'Fiskalni indikatori'!$AF$3:$AR$3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I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'Fiskalni indikatori'!$AF$10:$AR$10</c:f>
              <c:numCache>
                <c:formatCode>0.00,,</c:formatCode>
                <c:ptCount val="13"/>
                <c:pt idx="0">
                  <c:v>107595604.50000003</c:v>
                </c:pt>
                <c:pt idx="1">
                  <c:v>115296102.46000005</c:v>
                </c:pt>
                <c:pt idx="2">
                  <c:v>118217871.01000002</c:v>
                </c:pt>
                <c:pt idx="3">
                  <c:v>116092443.61000001</c:v>
                </c:pt>
                <c:pt idx="4">
                  <c:v>122089639.22999999</c:v>
                </c:pt>
                <c:pt idx="5">
                  <c:v>159647344.19</c:v>
                </c:pt>
                <c:pt idx="6">
                  <c:v>111384242.39999999</c:v>
                </c:pt>
                <c:pt idx="7">
                  <c:v>173918629.21999988</c:v>
                </c:pt>
                <c:pt idx="8">
                  <c:v>93119537.460000023</c:v>
                </c:pt>
                <c:pt idx="9">
                  <c:v>108057426.51000005</c:v>
                </c:pt>
                <c:pt idx="10">
                  <c:v>111313688.47000001</c:v>
                </c:pt>
                <c:pt idx="11">
                  <c:v>140741896.49000001</c:v>
                </c:pt>
                <c:pt idx="12">
                  <c:v>113245806.61000001</c:v>
                </c:pt>
              </c:numCache>
            </c:numRef>
          </c:val>
          <c:smooth val="1"/>
        </c:ser>
        <c:marker val="1"/>
        <c:axId val="70073344"/>
        <c:axId val="70091520"/>
      </c:lineChart>
      <c:catAx>
        <c:axId val="7007334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lang="sr-Latn-CS" sz="800"/>
            </a:pPr>
            <a:endParaRPr lang="en-US"/>
          </a:p>
        </c:txPr>
        <c:crossAx val="70091520"/>
        <c:crosses val="autoZero"/>
        <c:auto val="1"/>
        <c:lblAlgn val="ctr"/>
        <c:lblOffset val="100"/>
        <c:tickLblSkip val="3"/>
      </c:catAx>
      <c:valAx>
        <c:axId val="70091520"/>
        <c:scaling>
          <c:orientation val="minMax"/>
          <c:max val="180000000"/>
          <c:min val="0"/>
        </c:scaling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0.00,," sourceLinked="1"/>
        <c:tickLblPos val="nextTo"/>
        <c:txPr>
          <a:bodyPr/>
          <a:lstStyle/>
          <a:p>
            <a:pPr>
              <a:defRPr lang="sr-Latn-CS" sz="800"/>
            </a:pPr>
            <a:endParaRPr lang="en-US"/>
          </a:p>
        </c:txPr>
        <c:crossAx val="70073344"/>
        <c:crosses val="autoZero"/>
        <c:crossBetween val="between"/>
        <c:majorUnit val="30000000"/>
      </c:valAx>
      <c:valAx>
        <c:axId val="70093056"/>
        <c:scaling>
          <c:orientation val="minMax"/>
          <c:max val="60000000"/>
          <c:min val="-30000000"/>
        </c:scaling>
        <c:axPos val="r"/>
        <c:numFmt formatCode="0.00,," sourceLinked="1"/>
        <c:tickLblPos val="nextTo"/>
        <c:txPr>
          <a:bodyPr/>
          <a:lstStyle/>
          <a:p>
            <a:pPr>
              <a:defRPr lang="sr-Latn-CS" sz="800"/>
            </a:pPr>
            <a:endParaRPr lang="en-US"/>
          </a:p>
        </c:txPr>
        <c:crossAx val="70111232"/>
        <c:crosses val="max"/>
        <c:crossBetween val="between"/>
        <c:majorUnit val="20000000"/>
      </c:valAx>
      <c:catAx>
        <c:axId val="70111232"/>
        <c:scaling>
          <c:orientation val="minMax"/>
        </c:scaling>
        <c:delete val="1"/>
        <c:axPos val="b"/>
        <c:numFmt formatCode="General" sourceLinked="1"/>
        <c:tickLblPos val="none"/>
        <c:crossAx val="70093056"/>
        <c:crosses val="autoZero"/>
        <c:auto val="1"/>
        <c:lblAlgn val="ctr"/>
        <c:lblOffset val="100"/>
      </c:catAx>
    </c:plotArea>
    <c:legend>
      <c:legendPos val="r"/>
      <c:layout>
        <c:manualLayout>
          <c:xMode val="edge"/>
          <c:yMode val="edge"/>
          <c:x val="1.6442925766354761E-2"/>
          <c:y val="0.83278473993567703"/>
          <c:w val="0.97443747833409455"/>
          <c:h val="0.16721526006432899"/>
        </c:manualLayout>
      </c:layout>
      <c:txPr>
        <a:bodyPr/>
        <a:lstStyle/>
        <a:p>
          <a:pPr>
            <a:defRPr lang="sr-Latn-CS" sz="800"/>
          </a:pPr>
          <a:endParaRPr lang="en-US"/>
        </a:p>
      </c:txPr>
    </c:legend>
    <c:plotVisOnly val="1"/>
    <c:dispBlanksAs val="gap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US" sz="900"/>
            </a:pPr>
            <a:r>
              <a:rPr lang="x-none" sz="900"/>
              <a:t> Ukupni krediti i depoziti u mil.</a:t>
            </a:r>
            <a:endParaRPr lang="en-US" sz="900"/>
          </a:p>
        </c:rich>
      </c:tx>
      <c:layout>
        <c:manualLayout>
          <c:xMode val="edge"/>
          <c:yMode val="edge"/>
          <c:x val="0.18646427128919868"/>
          <c:y val="1.8099547511312222E-2"/>
        </c:manualLayout>
      </c:layout>
      <c:overlay val="1"/>
    </c:title>
    <c:plotArea>
      <c:layout/>
      <c:barChart>
        <c:barDir val="col"/>
        <c:grouping val="clustered"/>
        <c:ser>
          <c:idx val="1"/>
          <c:order val="1"/>
          <c:tx>
            <c:v>ukupni depoziti</c:v>
          </c:tx>
          <c:cat>
            <c:strRef>
              <c:f>'Database za makro'!$AU$9:$BG$9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2015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'Database za makro'!$AU$30:$BG$30</c:f>
              <c:numCache>
                <c:formatCode>#,##0</c:formatCode>
                <c:ptCount val="13"/>
                <c:pt idx="0">
                  <c:v>2114307000</c:v>
                </c:pt>
                <c:pt idx="1">
                  <c:v>2146447000</c:v>
                </c:pt>
                <c:pt idx="2">
                  <c:v>2188181000</c:v>
                </c:pt>
                <c:pt idx="3">
                  <c:v>2254456000</c:v>
                </c:pt>
                <c:pt idx="4">
                  <c:v>2268037000</c:v>
                </c:pt>
                <c:pt idx="5">
                  <c:v>2251517000</c:v>
                </c:pt>
                <c:pt idx="6">
                  <c:v>2274857000</c:v>
                </c:pt>
                <c:pt idx="7">
                  <c:v>2308115000</c:v>
                </c:pt>
                <c:pt idx="8">
                  <c:v>2311340000</c:v>
                </c:pt>
                <c:pt idx="9">
                  <c:v>2295359000</c:v>
                </c:pt>
                <c:pt idx="10">
                  <c:v>2314641000</c:v>
                </c:pt>
                <c:pt idx="11">
                  <c:v>2337502000</c:v>
                </c:pt>
                <c:pt idx="12">
                  <c:v>2376584000</c:v>
                </c:pt>
              </c:numCache>
            </c:numRef>
          </c:val>
        </c:ser>
        <c:gapWidth val="56"/>
        <c:axId val="75182464"/>
        <c:axId val="75184000"/>
      </c:barChart>
      <c:lineChart>
        <c:grouping val="standard"/>
        <c:ser>
          <c:idx val="0"/>
          <c:order val="0"/>
          <c:tx>
            <c:v>ukupni krediti</c:v>
          </c:tx>
          <c:marker>
            <c:symbol val="none"/>
          </c:marker>
          <c:cat>
            <c:strRef>
              <c:f>'Database za makro'!$AU$9:$BG$9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2015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'Database za makro'!$AU$29:$BG$29</c:f>
              <c:numCache>
                <c:formatCode>#,##0</c:formatCode>
                <c:ptCount val="13"/>
                <c:pt idx="0">
                  <c:v>2383092000</c:v>
                </c:pt>
                <c:pt idx="1">
                  <c:v>2376220000</c:v>
                </c:pt>
                <c:pt idx="2">
                  <c:v>2402656000</c:v>
                </c:pt>
                <c:pt idx="3">
                  <c:v>2453018000</c:v>
                </c:pt>
                <c:pt idx="4">
                  <c:v>2443206000</c:v>
                </c:pt>
                <c:pt idx="5">
                  <c:v>2424057000</c:v>
                </c:pt>
                <c:pt idx="6">
                  <c:v>2426521000</c:v>
                </c:pt>
                <c:pt idx="7">
                  <c:v>2367169000</c:v>
                </c:pt>
                <c:pt idx="8">
                  <c:v>2355294000</c:v>
                </c:pt>
                <c:pt idx="9">
                  <c:v>2375203000</c:v>
                </c:pt>
                <c:pt idx="10">
                  <c:v>2340756000</c:v>
                </c:pt>
                <c:pt idx="11">
                  <c:v>2366749000</c:v>
                </c:pt>
                <c:pt idx="12">
                  <c:v>2408119000</c:v>
                </c:pt>
              </c:numCache>
            </c:numRef>
          </c:val>
        </c:ser>
        <c:marker val="1"/>
        <c:axId val="75188096"/>
        <c:axId val="75186176"/>
      </c:lineChart>
      <c:catAx>
        <c:axId val="75182464"/>
        <c:scaling>
          <c:orientation val="minMax"/>
        </c:scaling>
        <c:axPos val="b"/>
        <c:tickLblPos val="nextTo"/>
        <c:txPr>
          <a:bodyPr/>
          <a:lstStyle/>
          <a:p>
            <a:pPr>
              <a:defRPr lang="en-US" sz="700"/>
            </a:pPr>
            <a:endParaRPr lang="en-US"/>
          </a:p>
        </c:txPr>
        <c:crossAx val="75184000"/>
        <c:crosses val="autoZero"/>
        <c:auto val="1"/>
        <c:lblAlgn val="ctr"/>
        <c:lblOffset val="100"/>
      </c:catAx>
      <c:valAx>
        <c:axId val="75184000"/>
        <c:scaling>
          <c:orientation val="minMax"/>
        </c:scaling>
        <c:axPos val="l"/>
        <c:numFmt formatCode="#,##0" sourceLinked="1"/>
        <c:tickLblPos val="nextTo"/>
        <c:txPr>
          <a:bodyPr/>
          <a:lstStyle/>
          <a:p>
            <a:pPr>
              <a:defRPr lang="en-US" sz="600"/>
            </a:pPr>
            <a:endParaRPr lang="en-US"/>
          </a:p>
        </c:txPr>
        <c:crossAx val="75182464"/>
        <c:crosses val="autoZero"/>
        <c:crossBetween val="between"/>
        <c:dispUnits>
          <c:builtInUnit val="millions"/>
        </c:dispUnits>
      </c:valAx>
      <c:valAx>
        <c:axId val="75186176"/>
        <c:scaling>
          <c:orientation val="minMax"/>
        </c:scaling>
        <c:axPos val="r"/>
        <c:numFmt formatCode="#,##0" sourceLinked="1"/>
        <c:tickLblPos val="nextTo"/>
        <c:txPr>
          <a:bodyPr/>
          <a:lstStyle/>
          <a:p>
            <a:pPr>
              <a:defRPr lang="en-US" sz="600"/>
            </a:pPr>
            <a:endParaRPr lang="en-US"/>
          </a:p>
        </c:txPr>
        <c:crossAx val="75188096"/>
        <c:crosses val="max"/>
        <c:crossBetween val="between"/>
        <c:dispUnits>
          <c:builtInUnit val="millions"/>
        </c:dispUnits>
      </c:valAx>
      <c:catAx>
        <c:axId val="75188096"/>
        <c:scaling>
          <c:orientation val="minMax"/>
        </c:scaling>
        <c:delete val="1"/>
        <c:axPos val="b"/>
        <c:tickLblPos val="none"/>
        <c:crossAx val="75186176"/>
        <c:crosses val="autoZero"/>
        <c:auto val="1"/>
        <c:lblAlgn val="ctr"/>
        <c:lblOffset val="100"/>
      </c:catAx>
    </c:plotArea>
    <c:legend>
      <c:legendPos val="b"/>
      <c:txPr>
        <a:bodyPr/>
        <a:lstStyle/>
        <a:p>
          <a:pPr>
            <a:defRPr lang="en-US" sz="800"/>
          </a:pPr>
          <a:endParaRPr lang="en-US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US" sz="600"/>
            </a:pPr>
            <a:r>
              <a:rPr lang="x-none" sz="600"/>
              <a:t>Spoljnotrgovinski bilans i strane direktne investicije</a:t>
            </a:r>
            <a:endParaRPr lang="en-US" sz="600"/>
          </a:p>
        </c:rich>
      </c:tx>
      <c:layout>
        <c:manualLayout>
          <c:xMode val="edge"/>
          <c:yMode val="edge"/>
          <c:x val="0.1294866071428572"/>
          <c:y val="7.4711328976040797E-3"/>
        </c:manualLayout>
      </c:layout>
      <c:overlay val="1"/>
    </c:title>
    <c:plotArea>
      <c:layout>
        <c:manualLayout>
          <c:layoutTarget val="inner"/>
          <c:xMode val="edge"/>
          <c:yMode val="edge"/>
          <c:x val="0.13648556522814018"/>
          <c:y val="0.2324099775297872"/>
          <c:w val="0.74772956018074765"/>
          <c:h val="0.60640646537888065"/>
        </c:manualLayout>
      </c:layout>
      <c:barChart>
        <c:barDir val="col"/>
        <c:grouping val="clustered"/>
        <c:ser>
          <c:idx val="0"/>
          <c:order val="0"/>
          <c:tx>
            <c:strRef>
              <c:f>'Makroekonomski indikatori'!$C$47</c:f>
              <c:strCache>
                <c:ptCount val="1"/>
                <c:pt idx="0">
                  <c:v>Spoljnotrgovinski bilans (u mil €)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cat>
            <c:strRef>
              <c:f>'Makroekonomski indikatori'!$AB$60:$AR$60</c:f>
              <c:strCache>
                <c:ptCount val="17"/>
                <c:pt idx="0">
                  <c:v>2014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2015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</c:strCache>
            </c:strRef>
          </c:cat>
          <c:val>
            <c:numRef>
              <c:f>'Makroekonomski indikatori'!$AB$47:$AR$47</c:f>
              <c:numCache>
                <c:formatCode>#,##0.0,,</c:formatCode>
                <c:ptCount val="17"/>
                <c:pt idx="0">
                  <c:v>-60512000</c:v>
                </c:pt>
                <c:pt idx="1">
                  <c:v>-90417000</c:v>
                </c:pt>
                <c:pt idx="2">
                  <c:v>-121212000</c:v>
                </c:pt>
                <c:pt idx="3">
                  <c:v>-135241000</c:v>
                </c:pt>
                <c:pt idx="4">
                  <c:v>-132242000</c:v>
                </c:pt>
                <c:pt idx="5">
                  <c:v>-143637000</c:v>
                </c:pt>
                <c:pt idx="6">
                  <c:v>-152592000</c:v>
                </c:pt>
                <c:pt idx="7">
                  <c:v>-136684000</c:v>
                </c:pt>
                <c:pt idx="8">
                  <c:v>-119317000</c:v>
                </c:pt>
                <c:pt idx="9">
                  <c:v>-124625000</c:v>
                </c:pt>
                <c:pt idx="10">
                  <c:v>-98217000</c:v>
                </c:pt>
                <c:pt idx="11">
                  <c:v>-130972000</c:v>
                </c:pt>
                <c:pt idx="12">
                  <c:v>-60032000</c:v>
                </c:pt>
                <c:pt idx="13">
                  <c:v>-98213000</c:v>
                </c:pt>
                <c:pt idx="14">
                  <c:v>-124208000</c:v>
                </c:pt>
                <c:pt idx="15">
                  <c:v>-136727000</c:v>
                </c:pt>
                <c:pt idx="16">
                  <c:v>-135744000</c:v>
                </c:pt>
              </c:numCache>
            </c:numRef>
          </c:val>
        </c:ser>
        <c:gapWidth val="75"/>
        <c:axId val="75226496"/>
        <c:axId val="75228288"/>
      </c:barChart>
      <c:lineChart>
        <c:grouping val="standard"/>
        <c:ser>
          <c:idx val="1"/>
          <c:order val="1"/>
          <c:tx>
            <c:strRef>
              <c:f>'Makroekonomski indikatori'!$C$48</c:f>
              <c:strCache>
                <c:ptCount val="1"/>
                <c:pt idx="0">
                  <c:v>Strane direktne investicije (mil.€)</c:v>
                </c:pt>
              </c:strCache>
            </c:strRef>
          </c:tx>
          <c:spPr>
            <a:ln>
              <a:solidFill>
                <a:srgbClr val="C00000"/>
              </a:solidFill>
            </a:ln>
            <a:effectLst>
              <a:outerShdw blurRad="50800" dist="38100" algn="l" rotWithShape="0">
                <a:prstClr val="black">
                  <a:alpha val="40000"/>
                </a:prstClr>
              </a:outerShdw>
            </a:effectLst>
          </c:spPr>
          <c:marker>
            <c:symbol val="none"/>
          </c:marker>
          <c:cat>
            <c:strRef>
              <c:f>'Makroekonomski indikatori'!$K$60:$W$60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2012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'Makroekonomski indikatori'!$AB$48:$AQ$48</c:f>
              <c:numCache>
                <c:formatCode>0.0,,</c:formatCode>
                <c:ptCount val="16"/>
                <c:pt idx="0">
                  <c:v>17233625</c:v>
                </c:pt>
                <c:pt idx="1">
                  <c:v>29094497</c:v>
                </c:pt>
                <c:pt idx="2">
                  <c:v>32590929</c:v>
                </c:pt>
                <c:pt idx="3">
                  <c:v>6674748</c:v>
                </c:pt>
                <c:pt idx="4">
                  <c:v>29747851</c:v>
                </c:pt>
                <c:pt idx="5">
                  <c:v>40352198</c:v>
                </c:pt>
                <c:pt idx="6">
                  <c:v>27423482</c:v>
                </c:pt>
                <c:pt idx="7">
                  <c:v>27203803</c:v>
                </c:pt>
                <c:pt idx="8">
                  <c:v>50826974</c:v>
                </c:pt>
                <c:pt idx="9">
                  <c:v>31423096</c:v>
                </c:pt>
                <c:pt idx="10">
                  <c:v>26549961</c:v>
                </c:pt>
                <c:pt idx="11">
                  <c:v>34818980</c:v>
                </c:pt>
                <c:pt idx="12">
                  <c:v>25609610.82</c:v>
                </c:pt>
                <c:pt idx="13">
                  <c:v>26219899.959999997</c:v>
                </c:pt>
                <c:pt idx="14">
                  <c:v>34408651.600000001</c:v>
                </c:pt>
                <c:pt idx="15">
                  <c:v>25618698.370000001</c:v>
                </c:pt>
              </c:numCache>
            </c:numRef>
          </c:val>
          <c:smooth val="1"/>
        </c:ser>
        <c:marker val="1"/>
        <c:axId val="75231616"/>
        <c:axId val="75229824"/>
      </c:lineChart>
      <c:catAx>
        <c:axId val="75226496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lang="en-US" sz="600">
                <a:solidFill>
                  <a:schemeClr val="tx1"/>
                </a:solidFill>
              </a:defRPr>
            </a:pPr>
            <a:endParaRPr lang="en-US"/>
          </a:p>
        </c:txPr>
        <c:crossAx val="75228288"/>
        <c:crosses val="autoZero"/>
        <c:auto val="1"/>
        <c:lblAlgn val="ctr"/>
        <c:lblOffset val="100"/>
        <c:tickLblSkip val="2"/>
        <c:tickMarkSkip val="2"/>
      </c:catAx>
      <c:valAx>
        <c:axId val="75228288"/>
        <c:scaling>
          <c:orientation val="minMax"/>
          <c:max val="160000000"/>
        </c:scaling>
        <c:axPos val="l"/>
        <c:numFmt formatCode="#,##0.0,," sourceLinked="1"/>
        <c:majorTickMark val="none"/>
        <c:tickLblPos val="nextTo"/>
        <c:txPr>
          <a:bodyPr/>
          <a:lstStyle/>
          <a:p>
            <a:pPr>
              <a:defRPr lang="en-US" sz="600"/>
            </a:pPr>
            <a:endParaRPr lang="en-US"/>
          </a:p>
        </c:txPr>
        <c:crossAx val="75226496"/>
        <c:crosses val="autoZero"/>
        <c:crossBetween val="between"/>
      </c:valAx>
      <c:valAx>
        <c:axId val="75229824"/>
        <c:scaling>
          <c:orientation val="minMax"/>
        </c:scaling>
        <c:axPos val="r"/>
        <c:numFmt formatCode="0.0,," sourceLinked="1"/>
        <c:tickLblPos val="nextTo"/>
        <c:txPr>
          <a:bodyPr/>
          <a:lstStyle/>
          <a:p>
            <a:pPr>
              <a:defRPr lang="en-US" sz="600"/>
            </a:pPr>
            <a:endParaRPr lang="en-US"/>
          </a:p>
        </c:txPr>
        <c:crossAx val="75231616"/>
        <c:crosses val="max"/>
        <c:crossBetween val="between"/>
      </c:valAx>
      <c:catAx>
        <c:axId val="75231616"/>
        <c:scaling>
          <c:orientation val="minMax"/>
        </c:scaling>
        <c:delete val="1"/>
        <c:axPos val="b"/>
        <c:tickLblPos val="none"/>
        <c:crossAx val="75229824"/>
        <c:crosses val="autoZero"/>
        <c:auto val="1"/>
        <c:lblAlgn val="ctr"/>
        <c:lblOffset val="100"/>
      </c:catAx>
    </c:plotArea>
    <c:legend>
      <c:legendPos val="b"/>
      <c:layout>
        <c:manualLayout>
          <c:xMode val="edge"/>
          <c:yMode val="edge"/>
          <c:x val="0.14203870903818355"/>
          <c:y val="0.13532034745985785"/>
          <c:w val="0.66177232142860065"/>
          <c:h val="0.18495656751777109"/>
        </c:manualLayout>
      </c:layout>
      <c:txPr>
        <a:bodyPr/>
        <a:lstStyle/>
        <a:p>
          <a:pPr>
            <a:defRPr lang="en-US" sz="600"/>
          </a:pPr>
          <a:endParaRPr lang="en-US"/>
        </a:p>
      </c:txPr>
    </c:legend>
    <c:plotVisOnly val="1"/>
    <c:dispBlanksAs val="gap"/>
  </c:chart>
  <c:spPr>
    <a:solidFill>
      <a:schemeClr val="bg1"/>
    </a:solidFill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0.11265</cdr:x>
      <cdr:y>0.15167</cdr:y>
    </cdr:from>
    <cdr:to>
      <cdr:x>0.44444</cdr:x>
      <cdr:y>0.23136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15056" y="416278"/>
          <a:ext cx="1516945" cy="2187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sr-Latn-CS" sz="1100"/>
        </a:p>
      </cdr:txBody>
    </cdr:sp>
  </cdr:relSizeAnchor>
  <cdr:relSizeAnchor xmlns:cdr="http://schemas.openxmlformats.org/drawingml/2006/chartDrawing">
    <cdr:from>
      <cdr:x>0.22486</cdr:x>
      <cdr:y>0.11579</cdr:y>
    </cdr:from>
    <cdr:to>
      <cdr:x>0.65461</cdr:x>
      <cdr:y>0.2022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03371" y="211755"/>
          <a:ext cx="770911" cy="1580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sr-Latn-CS" sz="800"/>
            <a:t>broj</a:t>
          </a:r>
          <a:r>
            <a:rPr lang="sr-Latn-CS" sz="800" baseline="0"/>
            <a:t> zaposlenih</a:t>
          </a:r>
          <a:endParaRPr lang="sr-Latn-CS" sz="800"/>
        </a:p>
      </cdr:txBody>
    </cdr:sp>
  </cdr:relSizeAnchor>
  <cdr:relSizeAnchor xmlns:cdr="http://schemas.openxmlformats.org/drawingml/2006/chartDrawing">
    <cdr:from>
      <cdr:x>0.22772</cdr:x>
      <cdr:y>0.66316</cdr:y>
    </cdr:from>
    <cdr:to>
      <cdr:x>0.73404</cdr:x>
      <cdr:y>0.74213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408501" y="1212783"/>
          <a:ext cx="908275" cy="1444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sr-Latn-CS" sz="700"/>
            <a:t>broj </a:t>
          </a:r>
          <a:r>
            <a:rPr lang="sr-Latn-CS" sz="800" baseline="0"/>
            <a:t>nezaposlehih</a:t>
          </a:r>
          <a:endParaRPr lang="sr-Latn-CS" sz="8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FE8B7-270E-4B5A-8B88-85A3819A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2531</Words>
  <Characters>14428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milanka.jovanovic</cp:lastModifiedBy>
  <cp:revision>130</cp:revision>
  <cp:lastPrinted>2015-07-08T09:21:00Z</cp:lastPrinted>
  <dcterms:created xsi:type="dcterms:W3CDTF">2015-05-08T12:12:00Z</dcterms:created>
  <dcterms:modified xsi:type="dcterms:W3CDTF">2015-07-08T09:28:00Z</dcterms:modified>
</cp:coreProperties>
</file>