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45" w:rsidRPr="00763A34" w:rsidRDefault="00763A34" w:rsidP="00745445">
      <w:pPr>
        <w:pStyle w:val="Title"/>
        <w:spacing w:after="240"/>
        <w:jc w:val="center"/>
        <w:rPr>
          <w:b/>
          <w:color w:val="4472C4" w:themeColor="accent1"/>
          <w:sz w:val="24"/>
          <w:szCs w:val="24"/>
        </w:rPr>
      </w:pPr>
      <w:bookmarkStart w:id="0" w:name="_GoBack"/>
      <w:bookmarkEnd w:id="0"/>
      <w:r w:rsidRPr="00763A34">
        <w:rPr>
          <w:rFonts w:ascii="Cambria" w:hAnsi="Cambria"/>
          <w:b/>
          <w:color w:val="4472C4" w:themeColor="accent1"/>
          <w:spacing w:val="10"/>
          <w:sz w:val="24"/>
          <w:szCs w:val="24"/>
        </w:rPr>
        <w:t xml:space="preserve">Report on the Central Government Debt as of </w:t>
      </w:r>
      <w:r w:rsidRPr="00763A34">
        <w:rPr>
          <w:b/>
          <w:color w:val="4472C4" w:themeColor="accent1"/>
          <w:sz w:val="24"/>
          <w:szCs w:val="24"/>
        </w:rPr>
        <w:t xml:space="preserve">30 September  </w:t>
      </w:r>
      <w:r w:rsidR="00745445" w:rsidRPr="00763A34">
        <w:rPr>
          <w:b/>
          <w:color w:val="4472C4" w:themeColor="accent1"/>
          <w:sz w:val="24"/>
          <w:szCs w:val="24"/>
        </w:rPr>
        <w:t>2019</w:t>
      </w:r>
    </w:p>
    <w:p w:rsidR="00763A34" w:rsidRPr="00F943A0" w:rsidRDefault="00763A34" w:rsidP="00763A34">
      <w:pPr>
        <w:jc w:val="both"/>
        <w:rPr>
          <w:rFonts w:ascii="Cambria" w:eastAsia="Calibri" w:hAnsi="Cambria" w:cs="Times New Roman"/>
          <w:b/>
          <w:color w:val="1F4E79"/>
        </w:rPr>
      </w:pPr>
      <w:r w:rsidRPr="00763A34">
        <w:rPr>
          <w:rFonts w:ascii="Cambria" w:eastAsia="Calibri" w:hAnsi="Cambria" w:cs="Times New Roman"/>
        </w:rPr>
        <w:t>Total Central Government debt (deposits not included) as of 30</w:t>
      </w:r>
      <w:r w:rsidR="009F2A4E">
        <w:rPr>
          <w:rFonts w:ascii="Cambria" w:eastAsia="Calibri" w:hAnsi="Cambria" w:cs="Times New Roman"/>
        </w:rPr>
        <w:t xml:space="preserve"> September</w:t>
      </w:r>
      <w:r w:rsidRPr="00763A34">
        <w:rPr>
          <w:rFonts w:ascii="Cambria" w:eastAsia="Calibri" w:hAnsi="Cambria" w:cs="Times New Roman"/>
        </w:rPr>
        <w:t xml:space="preserve"> 2019, was 3,1</w:t>
      </w:r>
      <w:r w:rsidR="009F2A4E">
        <w:rPr>
          <w:rFonts w:ascii="Cambria" w:eastAsia="Calibri" w:hAnsi="Cambria" w:cs="Times New Roman"/>
        </w:rPr>
        <w:t>27.</w:t>
      </w:r>
      <w:r w:rsidRPr="00763A34">
        <w:rPr>
          <w:rFonts w:ascii="Cambria" w:eastAsia="Calibri" w:hAnsi="Cambria" w:cs="Times New Roman"/>
        </w:rPr>
        <w:t>8</w:t>
      </w:r>
      <w:r w:rsidR="009F2A4E">
        <w:rPr>
          <w:rFonts w:ascii="Cambria" w:eastAsia="Calibri" w:hAnsi="Cambria" w:cs="Times New Roman"/>
        </w:rPr>
        <w:t>9</w:t>
      </w:r>
      <w:r w:rsidR="00217ADD">
        <w:rPr>
          <w:rFonts w:ascii="Cambria" w:eastAsia="Calibri" w:hAnsi="Cambria" w:cs="Times New Roman"/>
        </w:rPr>
        <w:t xml:space="preserve"> million EUR or </w:t>
      </w:r>
      <w:r w:rsidR="00217ADD" w:rsidRPr="00F943A0">
        <w:rPr>
          <w:rFonts w:ascii="Cambria" w:eastAsia="Calibri" w:hAnsi="Cambria" w:cs="Times New Roman"/>
        </w:rPr>
        <w:t>63</w:t>
      </w:r>
      <w:r w:rsidRPr="00F943A0">
        <w:rPr>
          <w:rFonts w:ascii="Cambria" w:eastAsia="Calibri" w:hAnsi="Cambria" w:cs="Times New Roman"/>
        </w:rPr>
        <w:t>.</w:t>
      </w:r>
      <w:r w:rsidR="00217ADD" w:rsidRPr="00F943A0">
        <w:rPr>
          <w:rFonts w:ascii="Cambria" w:eastAsia="Calibri" w:hAnsi="Cambria" w:cs="Times New Roman"/>
        </w:rPr>
        <w:t>18</w:t>
      </w:r>
      <w:r w:rsidR="00613EE4" w:rsidRPr="00F943A0">
        <w:rPr>
          <w:rFonts w:ascii="Cambria" w:eastAsia="Calibri" w:hAnsi="Cambria" w:cs="Times New Roman"/>
        </w:rPr>
        <w:t>%</w:t>
      </w:r>
      <w:r w:rsidRPr="00F943A0">
        <w:rPr>
          <w:rFonts w:ascii="Cambria" w:eastAsia="Calibri" w:hAnsi="Cambria" w:cs="Times New Roman"/>
        </w:rPr>
        <w:t xml:space="preserve"> of GDP</w:t>
      </w:r>
      <w:r w:rsidRPr="00F943A0">
        <w:rPr>
          <w:rFonts w:ascii="Cambria" w:eastAsia="Calibri" w:hAnsi="Cambria" w:cs="Times New Roman"/>
          <w:vertAlign w:val="superscript"/>
        </w:rPr>
        <w:footnoteReference w:id="1"/>
      </w:r>
      <w:r w:rsidRPr="00F943A0">
        <w:rPr>
          <w:rFonts w:ascii="Cambria" w:eastAsia="Calibri" w:hAnsi="Cambria" w:cs="Times New Roman"/>
        </w:rPr>
        <w:t xml:space="preserve">. Total Central Government Debt, including deposits, as of </w:t>
      </w:r>
      <w:r w:rsidR="009F2A4E" w:rsidRPr="00F943A0">
        <w:rPr>
          <w:rFonts w:ascii="Cambria" w:eastAsia="Calibri" w:hAnsi="Cambria" w:cs="Times New Roman"/>
        </w:rPr>
        <w:t xml:space="preserve">30 September </w:t>
      </w:r>
      <w:r w:rsidRPr="00F943A0">
        <w:rPr>
          <w:rFonts w:ascii="Cambria" w:eastAsia="Calibri" w:hAnsi="Cambria" w:cs="Times New Roman"/>
        </w:rPr>
        <w:t>2019 was 2,9</w:t>
      </w:r>
      <w:r w:rsidR="009F2A4E" w:rsidRPr="00F943A0">
        <w:rPr>
          <w:rFonts w:ascii="Cambria" w:eastAsia="Calibri" w:hAnsi="Cambria" w:cs="Times New Roman"/>
        </w:rPr>
        <w:t>70</w:t>
      </w:r>
      <w:r w:rsidRPr="00F943A0">
        <w:rPr>
          <w:rFonts w:ascii="Cambria" w:eastAsia="Calibri" w:hAnsi="Cambria" w:cs="Times New Roman"/>
        </w:rPr>
        <w:t>.</w:t>
      </w:r>
      <w:r w:rsidR="009F2A4E" w:rsidRPr="00F943A0">
        <w:rPr>
          <w:rFonts w:ascii="Cambria" w:eastAsia="Calibri" w:hAnsi="Cambria" w:cs="Times New Roman"/>
        </w:rPr>
        <w:t>32</w:t>
      </w:r>
      <w:r w:rsidR="00217ADD" w:rsidRPr="00F943A0">
        <w:rPr>
          <w:rFonts w:ascii="Cambria" w:eastAsia="Calibri" w:hAnsi="Cambria" w:cs="Times New Roman"/>
        </w:rPr>
        <w:t xml:space="preserve"> million EUR or 60</w:t>
      </w:r>
      <w:r w:rsidR="00613EE4" w:rsidRPr="00F943A0">
        <w:rPr>
          <w:rFonts w:ascii="Cambria" w:eastAsia="Calibri" w:hAnsi="Cambria" w:cs="Times New Roman"/>
        </w:rPr>
        <w:t>.00</w:t>
      </w:r>
      <w:r w:rsidRPr="00F943A0">
        <w:rPr>
          <w:rFonts w:ascii="Cambria" w:eastAsia="Calibri" w:hAnsi="Cambria" w:cs="Times New Roman"/>
        </w:rPr>
        <w:t xml:space="preserve"> % of GDP.</w:t>
      </w:r>
    </w:p>
    <w:p w:rsidR="00610CC3" w:rsidRPr="00763A34" w:rsidRDefault="00763A34" w:rsidP="00763A34">
      <w:pPr>
        <w:spacing w:after="0"/>
        <w:jc w:val="both"/>
        <w:rPr>
          <w:rFonts w:ascii="Cambria" w:eastAsia="Calibri" w:hAnsi="Cambria" w:cs="Times New Roman"/>
        </w:rPr>
      </w:pPr>
      <w:r w:rsidRPr="00F943A0">
        <w:rPr>
          <w:rFonts w:ascii="Cambria" w:eastAsia="Calibri" w:hAnsi="Cambria" w:cs="Times New Roman"/>
        </w:rPr>
        <w:t>The foreign debt was 2,62</w:t>
      </w:r>
      <w:r w:rsidR="00A778A9" w:rsidRPr="00F943A0">
        <w:rPr>
          <w:rFonts w:ascii="Cambria" w:eastAsia="Calibri" w:hAnsi="Cambria" w:cs="Times New Roman"/>
        </w:rPr>
        <w:t>3.</w:t>
      </w:r>
      <w:r w:rsidRPr="00F943A0">
        <w:rPr>
          <w:rFonts w:ascii="Cambria" w:eastAsia="Calibri" w:hAnsi="Cambria" w:cs="Times New Roman"/>
        </w:rPr>
        <w:t>3</w:t>
      </w:r>
      <w:r w:rsidR="00A778A9" w:rsidRPr="00F943A0">
        <w:rPr>
          <w:rFonts w:ascii="Cambria" w:eastAsia="Calibri" w:hAnsi="Cambria" w:cs="Times New Roman"/>
        </w:rPr>
        <w:t>7</w:t>
      </w:r>
      <w:r w:rsidRPr="00F943A0">
        <w:rPr>
          <w:rFonts w:ascii="Cambria" w:eastAsia="Calibri" w:hAnsi="Cambria" w:cs="Times New Roman"/>
        </w:rPr>
        <w:t xml:space="preserve"> million EUR</w:t>
      </w:r>
      <w:r w:rsidR="00217ADD" w:rsidRPr="00F943A0">
        <w:rPr>
          <w:rFonts w:ascii="Cambria" w:eastAsia="Calibri" w:hAnsi="Cambria" w:cs="Times New Roman"/>
        </w:rPr>
        <w:t xml:space="preserve"> or 52.99</w:t>
      </w:r>
      <w:r w:rsidRPr="00F943A0">
        <w:rPr>
          <w:rFonts w:ascii="Cambria" w:eastAsia="Calibri" w:hAnsi="Cambria" w:cs="Times New Roman"/>
        </w:rPr>
        <w:t>% of GDP, while the domestic debt was</w:t>
      </w:r>
      <w:r w:rsidRPr="00F943A0">
        <w:rPr>
          <w:rFonts w:ascii="Cambria" w:eastAsia="Calibri" w:hAnsi="Cambria" w:cs="Times New Roman"/>
          <w:noProof/>
          <w:lang w:eastAsia="en-GB"/>
        </w:rPr>
        <w:t xml:space="preserve"> </w:t>
      </w:r>
      <w:r w:rsidRPr="00F943A0">
        <w:rPr>
          <w:rFonts w:ascii="Cambria" w:eastAsia="Calibri" w:hAnsi="Cambria" w:cs="Times New Roman"/>
        </w:rPr>
        <w:t>5</w:t>
      </w:r>
      <w:r w:rsidR="00D91B94" w:rsidRPr="00F943A0">
        <w:rPr>
          <w:rFonts w:ascii="Cambria" w:eastAsia="Calibri" w:hAnsi="Cambria" w:cs="Times New Roman"/>
        </w:rPr>
        <w:t>04</w:t>
      </w:r>
      <w:r w:rsidRPr="00F943A0">
        <w:rPr>
          <w:rFonts w:ascii="Cambria" w:eastAsia="Calibri" w:hAnsi="Cambria" w:cs="Times New Roman"/>
        </w:rPr>
        <w:t>.5</w:t>
      </w:r>
      <w:r w:rsidR="00D91B94" w:rsidRPr="00F943A0">
        <w:rPr>
          <w:rFonts w:ascii="Cambria" w:eastAsia="Calibri" w:hAnsi="Cambria" w:cs="Times New Roman"/>
        </w:rPr>
        <w:t>2</w:t>
      </w:r>
      <w:r w:rsidRPr="00F943A0">
        <w:rPr>
          <w:rFonts w:ascii="Cambria" w:eastAsia="Calibri" w:hAnsi="Cambria" w:cs="Times New Roman"/>
        </w:rPr>
        <w:t xml:space="preserve"> million EUR or 10.</w:t>
      </w:r>
      <w:r w:rsidR="00217ADD" w:rsidRPr="00F943A0">
        <w:rPr>
          <w:rFonts w:ascii="Cambria" w:eastAsia="Calibri" w:hAnsi="Cambria" w:cs="Times New Roman"/>
        </w:rPr>
        <w:t>19</w:t>
      </w:r>
      <w:r w:rsidRPr="00F943A0">
        <w:rPr>
          <w:rFonts w:ascii="Cambria" w:eastAsia="Calibri" w:hAnsi="Cambria" w:cs="Times New Roman"/>
        </w:rPr>
        <w:t xml:space="preserve">% of GDP. At the end of the </w:t>
      </w:r>
      <w:r w:rsidR="00D91B94" w:rsidRPr="00F943A0">
        <w:rPr>
          <w:rFonts w:ascii="Cambria" w:eastAsia="Calibri" w:hAnsi="Cambria" w:cs="Times New Roman"/>
        </w:rPr>
        <w:t>third</w:t>
      </w:r>
      <w:r w:rsidRPr="00F943A0">
        <w:rPr>
          <w:rFonts w:ascii="Cambria" w:eastAsia="Calibri" w:hAnsi="Cambria" w:cs="Times New Roman"/>
        </w:rPr>
        <w:t xml:space="preserve"> quarter of 2019, deposits was 1</w:t>
      </w:r>
      <w:r w:rsidR="00D91B94" w:rsidRPr="00F943A0">
        <w:rPr>
          <w:rFonts w:ascii="Cambria" w:eastAsia="Calibri" w:hAnsi="Cambria" w:cs="Times New Roman"/>
        </w:rPr>
        <w:t>57</w:t>
      </w:r>
      <w:r w:rsidRPr="00F943A0">
        <w:rPr>
          <w:rFonts w:ascii="Cambria" w:eastAsia="Calibri" w:hAnsi="Cambria" w:cs="Times New Roman"/>
        </w:rPr>
        <w:t>.</w:t>
      </w:r>
      <w:r w:rsidR="00D91B94" w:rsidRPr="00F943A0">
        <w:rPr>
          <w:rFonts w:ascii="Cambria" w:eastAsia="Calibri" w:hAnsi="Cambria" w:cs="Times New Roman"/>
        </w:rPr>
        <w:t>58</w:t>
      </w:r>
      <w:r w:rsidRPr="00F943A0">
        <w:rPr>
          <w:rFonts w:ascii="Cambria" w:eastAsia="Calibri" w:hAnsi="Cambria" w:cs="Times New Roman"/>
        </w:rPr>
        <w:t xml:space="preserve"> million EUR or </w:t>
      </w:r>
      <w:r w:rsidR="00217ADD" w:rsidRPr="00F943A0">
        <w:rPr>
          <w:rFonts w:ascii="Cambria" w:eastAsia="Calibri" w:hAnsi="Cambria" w:cs="Times New Roman"/>
        </w:rPr>
        <w:t>3.18</w:t>
      </w:r>
      <w:r w:rsidRPr="00F943A0">
        <w:rPr>
          <w:rFonts w:ascii="Cambria" w:eastAsia="Calibri" w:hAnsi="Cambria" w:cs="Times New Roman"/>
        </w:rPr>
        <w:t>% of GDP</w:t>
      </w:r>
      <w:r w:rsidRPr="00763A34">
        <w:rPr>
          <w:rFonts w:ascii="Cambria" w:eastAsia="Calibri" w:hAnsi="Cambria" w:cs="Times New Roman"/>
        </w:rPr>
        <w:t>.</w:t>
      </w:r>
    </w:p>
    <w:p w:rsidR="00284461" w:rsidRPr="00610CC3" w:rsidRDefault="00610CC3" w:rsidP="00610CC3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610CC3">
        <w:rPr>
          <w:rFonts w:ascii="Cambria" w:eastAsia="Times New Roman" w:hAnsi="Cambria" w:cs="Times New Roman"/>
          <w:b/>
          <w:caps/>
          <w:color w:val="F8B323"/>
          <w:spacing w:val="10"/>
          <w:sz w:val="20"/>
          <w:szCs w:val="20"/>
        </w:rPr>
        <w:t xml:space="preserve">Table </w:t>
      </w:r>
      <w:r w:rsidRPr="00610CC3">
        <w:rPr>
          <w:rFonts w:ascii="Cambria" w:eastAsia="Times New Roman" w:hAnsi="Cambria" w:cs="Times New Roman"/>
          <w:b/>
          <w:caps/>
          <w:color w:val="F8B323"/>
          <w:spacing w:val="10"/>
          <w:sz w:val="20"/>
          <w:szCs w:val="20"/>
        </w:rPr>
        <w:fldChar w:fldCharType="begin"/>
      </w:r>
      <w:r w:rsidRPr="00610CC3">
        <w:rPr>
          <w:rFonts w:ascii="Cambria" w:eastAsia="Times New Roman" w:hAnsi="Cambria" w:cs="Times New Roman"/>
          <w:b/>
          <w:caps/>
          <w:color w:val="F8B323"/>
          <w:spacing w:val="10"/>
          <w:sz w:val="20"/>
          <w:szCs w:val="20"/>
        </w:rPr>
        <w:instrText xml:space="preserve"> SEQ Table \* ARABIC </w:instrText>
      </w:r>
      <w:r w:rsidRPr="00610CC3">
        <w:rPr>
          <w:rFonts w:ascii="Cambria" w:eastAsia="Times New Roman" w:hAnsi="Cambria" w:cs="Times New Roman"/>
          <w:b/>
          <w:caps/>
          <w:color w:val="F8B323"/>
          <w:spacing w:val="10"/>
          <w:sz w:val="20"/>
          <w:szCs w:val="20"/>
        </w:rPr>
        <w:fldChar w:fldCharType="separate"/>
      </w:r>
      <w:r w:rsidR="00E83C8D">
        <w:rPr>
          <w:rFonts w:ascii="Cambria" w:eastAsia="Times New Roman" w:hAnsi="Cambria" w:cs="Times New Roman"/>
          <w:b/>
          <w:caps/>
          <w:noProof/>
          <w:color w:val="F8B323"/>
          <w:spacing w:val="10"/>
          <w:sz w:val="20"/>
          <w:szCs w:val="20"/>
        </w:rPr>
        <w:t>1</w:t>
      </w:r>
      <w:r w:rsidRPr="00610CC3">
        <w:rPr>
          <w:rFonts w:ascii="Cambria" w:eastAsia="Times New Roman" w:hAnsi="Cambria" w:cs="Times New Roman"/>
          <w:b/>
          <w:caps/>
          <w:color w:val="F8B323"/>
          <w:spacing w:val="10"/>
          <w:sz w:val="20"/>
          <w:szCs w:val="20"/>
        </w:rPr>
        <w:fldChar w:fldCharType="end"/>
      </w:r>
      <w:r w:rsidRPr="00610CC3">
        <w:rPr>
          <w:rFonts w:ascii="Cambria" w:eastAsia="Times New Roman" w:hAnsi="Cambria" w:cs="Times New Roman"/>
          <w:b/>
          <w:caps/>
          <w:color w:val="F8B323"/>
          <w:spacing w:val="10"/>
          <w:sz w:val="20"/>
          <w:szCs w:val="20"/>
        </w:rPr>
        <w:t xml:space="preserve"> Government debt stock, in million eur</w:t>
      </w:r>
      <w:r w:rsidR="00745445">
        <w:rPr>
          <w:rFonts w:ascii="Cambria" w:eastAsia="Times New Roman" w:hAnsi="Cambria" w:cs="Times New Roman"/>
          <w:lang w:eastAsia="en-GB"/>
        </w:rPr>
        <w:fldChar w:fldCharType="begin"/>
      </w:r>
      <w:r w:rsidR="00745445">
        <w:rPr>
          <w:rFonts w:ascii="Cambria" w:eastAsia="Times New Roman" w:hAnsi="Cambria" w:cs="Times New Roman"/>
          <w:lang w:eastAsia="en-GB"/>
        </w:rPr>
        <w:instrText xml:space="preserve"> LINK </w:instrText>
      </w:r>
      <w:r w:rsidR="0053176D">
        <w:rPr>
          <w:rFonts w:ascii="Cambria" w:eastAsia="Times New Roman" w:hAnsi="Cambria" w:cs="Times New Roman"/>
          <w:lang w:eastAsia="en-GB"/>
        </w:rPr>
        <w:instrText xml:space="preserve">Excel.Sheet.12 "C:\\Users\\jelena.djurovic\\Desktop\\Izvještaji o državnom dugu\\2019\\2. kvartal\\Grafici za izvjestaj 2.KVARTAL.xlsx" Sheet1!R2C1:R38C5 </w:instrText>
      </w:r>
      <w:r w:rsidR="00745445">
        <w:rPr>
          <w:rFonts w:ascii="Cambria" w:eastAsia="Times New Roman" w:hAnsi="Cambria" w:cs="Times New Roman"/>
          <w:lang w:eastAsia="en-GB"/>
        </w:rPr>
        <w:instrText xml:space="preserve">\a \f 5 \h  \* MERGEFORMAT </w:instrText>
      </w:r>
      <w:r w:rsidR="00745445">
        <w:rPr>
          <w:rFonts w:ascii="Cambria" w:eastAsia="Times New Roman" w:hAnsi="Cambria" w:cs="Times New Roman"/>
          <w:lang w:eastAsia="en-GB"/>
        </w:rPr>
        <w:fldChar w:fldCharType="separate"/>
      </w:r>
    </w:p>
    <w:tbl>
      <w:tblPr>
        <w:tblStyle w:val="GridTable6Colorful-Accent1"/>
        <w:tblW w:w="9531" w:type="dxa"/>
        <w:jc w:val="center"/>
        <w:tblLook w:val="06A0" w:firstRow="1" w:lastRow="0" w:firstColumn="1" w:lastColumn="0" w:noHBand="1" w:noVBand="1"/>
      </w:tblPr>
      <w:tblGrid>
        <w:gridCol w:w="6091"/>
        <w:gridCol w:w="1153"/>
        <w:gridCol w:w="1159"/>
        <w:gridCol w:w="1153"/>
      </w:tblGrid>
      <w:tr w:rsidR="00D91B94" w:rsidRPr="00284461" w:rsidTr="000B0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Creditor</w:t>
            </w:r>
          </w:p>
        </w:tc>
        <w:tc>
          <w:tcPr>
            <w:tcW w:w="1128" w:type="dxa"/>
            <w:hideMark/>
          </w:tcPr>
          <w:p w:rsidR="00D91B94" w:rsidRPr="00284461" w:rsidRDefault="00D91B94" w:rsidP="00C371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31.03.2019</w:t>
            </w:r>
          </w:p>
        </w:tc>
        <w:tc>
          <w:tcPr>
            <w:tcW w:w="1159" w:type="dxa"/>
            <w:hideMark/>
          </w:tcPr>
          <w:p w:rsidR="00D91B94" w:rsidRPr="00284461" w:rsidRDefault="00D91B94" w:rsidP="00D91B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30.06.2019</w:t>
            </w:r>
          </w:p>
        </w:tc>
        <w:tc>
          <w:tcPr>
            <w:tcW w:w="1153" w:type="dxa"/>
            <w:hideMark/>
          </w:tcPr>
          <w:p w:rsidR="00D91B94" w:rsidRPr="00284461" w:rsidRDefault="00D91B94" w:rsidP="00C371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30.09.2019</w:t>
            </w:r>
          </w:p>
        </w:tc>
      </w:tr>
      <w:tr w:rsidR="00D91B94" w:rsidRPr="00284461" w:rsidTr="000B066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International Bank for Reconstruction and Development (IBRD)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189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184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186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88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Member states of the Paris Club of Creditors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81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02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80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78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56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International Development Association (IDA)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38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35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35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64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European Investment Bank (EIB)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114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112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07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110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59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European Bank for Reconstruction and Development (EBRD)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17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18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20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34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Council of Europe Development Bank (CEB)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23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30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33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05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European Commission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0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30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Reconstruction Credit Bank (</w:t>
            </w:r>
            <w:proofErr w:type="spellStart"/>
            <w:r w:rsidRPr="00C371C9">
              <w:rPr>
                <w:color w:val="auto"/>
                <w:sz w:val="20"/>
                <w:szCs w:val="20"/>
              </w:rPr>
              <w:t>KfW</w:t>
            </w:r>
            <w:proofErr w:type="spellEnd"/>
            <w:r w:rsidRPr="00C371C9">
              <w:rPr>
                <w:color w:val="auto"/>
                <w:sz w:val="20"/>
                <w:szCs w:val="20"/>
              </w:rPr>
              <w:t>) – Germany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42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40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02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42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58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Loan from the Government of Hungary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3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12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Loan from the Government of Poland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5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19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French loan – NATIXIS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3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40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proofErr w:type="spellStart"/>
            <w:r w:rsidRPr="00C371C9">
              <w:rPr>
                <w:color w:val="auto"/>
                <w:sz w:val="20"/>
                <w:szCs w:val="20"/>
              </w:rPr>
              <w:t>Steiermarkische</w:t>
            </w:r>
            <w:proofErr w:type="spellEnd"/>
            <w:r w:rsidRPr="00C371C9">
              <w:rPr>
                <w:color w:val="auto"/>
                <w:sz w:val="20"/>
                <w:szCs w:val="20"/>
              </w:rPr>
              <w:t xml:space="preserve"> Bank und </w:t>
            </w:r>
            <w:proofErr w:type="spellStart"/>
            <w:r w:rsidRPr="00C371C9">
              <w:rPr>
                <w:color w:val="auto"/>
                <w:sz w:val="20"/>
                <w:szCs w:val="20"/>
              </w:rPr>
              <w:t>Sparkassen</w:t>
            </w:r>
            <w:proofErr w:type="spellEnd"/>
            <w:r w:rsidRPr="00C371C9">
              <w:rPr>
                <w:color w:val="auto"/>
                <w:sz w:val="20"/>
                <w:szCs w:val="20"/>
              </w:rPr>
              <w:t xml:space="preserve"> AG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3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30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Credit Suisse Bank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126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114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54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22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China Exim Bank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571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582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652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00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proofErr w:type="spellStart"/>
            <w:r w:rsidRPr="00C371C9">
              <w:rPr>
                <w:color w:val="auto"/>
                <w:sz w:val="20"/>
                <w:szCs w:val="20"/>
              </w:rPr>
              <w:t>Instituto</w:t>
            </w:r>
            <w:proofErr w:type="spellEnd"/>
            <w:r w:rsidRPr="00C371C9">
              <w:rPr>
                <w:color w:val="auto"/>
                <w:sz w:val="20"/>
                <w:szCs w:val="20"/>
              </w:rPr>
              <w:t xml:space="preserve"> del </w:t>
            </w:r>
            <w:proofErr w:type="spellStart"/>
            <w:r w:rsidRPr="00C371C9">
              <w:rPr>
                <w:color w:val="auto"/>
                <w:sz w:val="20"/>
                <w:szCs w:val="20"/>
              </w:rPr>
              <w:t>credito</w:t>
            </w:r>
            <w:proofErr w:type="spellEnd"/>
            <w:r w:rsidRPr="00C371C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371C9">
              <w:rPr>
                <w:color w:val="auto"/>
                <w:sz w:val="20"/>
                <w:szCs w:val="20"/>
              </w:rPr>
              <w:t>oficial</w:t>
            </w:r>
            <w:proofErr w:type="spellEnd"/>
            <w:r w:rsidRPr="00C371C9">
              <w:rPr>
                <w:color w:val="auto"/>
                <w:sz w:val="20"/>
                <w:szCs w:val="20"/>
              </w:rPr>
              <w:t xml:space="preserve"> (ICO) 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2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72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Austrian loan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33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Eurobond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C371C9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1,</w:t>
            </w:r>
            <w:r w:rsidR="00D91B94"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217</w:t>
            </w:r>
            <w: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="00D91B94"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C371C9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1,</w:t>
            </w:r>
            <w:r w:rsidR="00D91B94"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048</w:t>
            </w:r>
            <w: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="00D91B94"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,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048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54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 xml:space="preserve">Banka Intesa 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23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23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20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00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Syndicated loan-OTP -</w:t>
            </w:r>
            <w:proofErr w:type="spellStart"/>
            <w:r w:rsidRPr="00C371C9">
              <w:rPr>
                <w:color w:val="auto"/>
                <w:sz w:val="20"/>
                <w:szCs w:val="20"/>
              </w:rPr>
              <w:t>Erste</w:t>
            </w:r>
            <w:proofErr w:type="spellEnd"/>
            <w:r w:rsidRPr="00C371C9">
              <w:rPr>
                <w:color w:val="auto"/>
                <w:sz w:val="20"/>
                <w:szCs w:val="20"/>
              </w:rPr>
              <w:t xml:space="preserve"> Group-</w:t>
            </w:r>
            <w:proofErr w:type="spellStart"/>
            <w:r w:rsidRPr="00C371C9">
              <w:rPr>
                <w:color w:val="auto"/>
                <w:sz w:val="20"/>
                <w:szCs w:val="20"/>
              </w:rPr>
              <w:t>Zagrebačka</w:t>
            </w:r>
            <w:proofErr w:type="spellEnd"/>
            <w:r w:rsidRPr="00C371C9">
              <w:rPr>
                <w:color w:val="auto"/>
                <w:sz w:val="20"/>
                <w:szCs w:val="20"/>
              </w:rPr>
              <w:t xml:space="preserve"> bank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56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56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48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60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International Fund for Agricultural Development (IFAD)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51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Export Development Canada EDC - Helicopters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24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21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21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51</w:t>
            </w:r>
          </w:p>
        </w:tc>
      </w:tr>
      <w:tr w:rsidR="00D91B94" w:rsidRPr="00284461" w:rsidTr="000B0665">
        <w:trPr>
          <w:trHeight w:val="2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Syndicated loan PBG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250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250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250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00</w:t>
            </w:r>
          </w:p>
        </w:tc>
      </w:tr>
      <w:tr w:rsidR="00D91B94" w:rsidRPr="00284461" w:rsidTr="000B066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D9E2F3" w:themeFill="accent1" w:themeFillTint="33"/>
            <w:noWrap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Total Foreign Debt</w:t>
            </w:r>
          </w:p>
        </w:tc>
        <w:tc>
          <w:tcPr>
            <w:tcW w:w="1128" w:type="dxa"/>
            <w:shd w:val="clear" w:color="auto" w:fill="D9E2F3" w:themeFill="accent1" w:themeFillTint="33"/>
            <w:noWrap/>
            <w:hideMark/>
          </w:tcPr>
          <w:p w:rsidR="00D91B94" w:rsidRPr="00284461" w:rsidRDefault="00C371C9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2,</w:t>
            </w:r>
            <w:r w:rsidR="00D91B94"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800</w:t>
            </w:r>
            <w: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="00D91B94"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1159" w:type="dxa"/>
            <w:shd w:val="clear" w:color="auto" w:fill="D9E2F3" w:themeFill="accent1" w:themeFillTint="33"/>
            <w:noWrap/>
            <w:hideMark/>
          </w:tcPr>
          <w:p w:rsidR="00D91B94" w:rsidRPr="00284461" w:rsidRDefault="00D91B94" w:rsidP="00C37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,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621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1153" w:type="dxa"/>
            <w:shd w:val="clear" w:color="auto" w:fill="D9E2F3" w:themeFill="accent1" w:themeFillTint="33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,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623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37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Old currency savings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11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11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11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02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Restitution obligations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87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87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01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85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47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Credit from commercial banks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84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76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72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72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Pension arrears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91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T bills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72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72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72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00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Domestic bonds - GB16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80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80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80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41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Domestic Bonds – GB24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92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92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44</w:t>
            </w:r>
          </w:p>
        </w:tc>
      </w:tr>
      <w:tr w:rsidR="00D91B94" w:rsidRPr="00284461" w:rsidTr="000B066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Domestic Bonds – GB26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50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50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00</w:t>
            </w:r>
          </w:p>
        </w:tc>
      </w:tr>
      <w:tr w:rsidR="00D91B94" w:rsidRPr="00284461" w:rsidTr="000B066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Legal persons and business organizations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40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40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38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55</w:t>
            </w:r>
          </w:p>
        </w:tc>
      </w:tr>
      <w:tr w:rsidR="00D91B94" w:rsidRPr="00284461" w:rsidTr="000B0665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D9E2F3" w:themeFill="accent1" w:themeFillTint="33"/>
            <w:noWrap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Total Domestic Debt</w:t>
            </w:r>
          </w:p>
        </w:tc>
        <w:tc>
          <w:tcPr>
            <w:tcW w:w="1128" w:type="dxa"/>
            <w:shd w:val="clear" w:color="auto" w:fill="D9E2F3" w:themeFill="accent1" w:themeFillTint="33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378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1159" w:type="dxa"/>
            <w:shd w:val="clear" w:color="auto" w:fill="D9E2F3" w:themeFill="accent1" w:themeFillTint="33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511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1153" w:type="dxa"/>
            <w:shd w:val="clear" w:color="auto" w:fill="D9E2F3" w:themeFill="accent1" w:themeFillTint="33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504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52</w:t>
            </w:r>
          </w:p>
        </w:tc>
      </w:tr>
      <w:tr w:rsidR="00D91B94" w:rsidRPr="00284461" w:rsidTr="000B0665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D9E2F3" w:themeFill="accent1" w:themeFillTint="33"/>
            <w:noWrap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TOTAL CENTRAL GOVERNMENT DEBT</w:t>
            </w:r>
          </w:p>
        </w:tc>
        <w:tc>
          <w:tcPr>
            <w:tcW w:w="1128" w:type="dxa"/>
            <w:shd w:val="clear" w:color="auto" w:fill="D9E2F3" w:themeFill="accent1" w:themeFillTint="33"/>
            <w:noWrap/>
            <w:hideMark/>
          </w:tcPr>
          <w:p w:rsidR="00D91B94" w:rsidRPr="00284461" w:rsidRDefault="00C371C9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3,</w:t>
            </w:r>
            <w:r w:rsidR="00D91B94" w:rsidRPr="00284461"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179</w:t>
            </w:r>
            <w:r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.</w:t>
            </w:r>
            <w:r w:rsidR="00D91B94" w:rsidRPr="00284461"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159" w:type="dxa"/>
            <w:shd w:val="clear" w:color="auto" w:fill="D9E2F3" w:themeFill="accent1" w:themeFillTint="33"/>
            <w:noWrap/>
            <w:hideMark/>
          </w:tcPr>
          <w:p w:rsidR="00D91B94" w:rsidRPr="00284461" w:rsidRDefault="00C371C9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3,</w:t>
            </w:r>
            <w:r w:rsidR="00D91B94" w:rsidRPr="00284461"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133</w:t>
            </w:r>
            <w:r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.</w:t>
            </w:r>
            <w:r w:rsidR="00D91B94" w:rsidRPr="00284461"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1153" w:type="dxa"/>
            <w:shd w:val="clear" w:color="auto" w:fill="D9E2F3" w:themeFill="accent1" w:themeFillTint="33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  <w:t>3</w:t>
            </w:r>
            <w:r w:rsidR="00C371C9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  <w:t>,</w:t>
            </w:r>
            <w:r w:rsidRPr="00284461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  <w:t>127</w:t>
            </w:r>
            <w:r w:rsidR="00C371C9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  <w:t>89</w:t>
            </w:r>
          </w:p>
        </w:tc>
      </w:tr>
      <w:tr w:rsidR="00D91B94" w:rsidRPr="00284461" w:rsidTr="000B0665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noWrap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Deposits</w:t>
            </w:r>
          </w:p>
        </w:tc>
        <w:tc>
          <w:tcPr>
            <w:tcW w:w="1128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253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1159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184</w:t>
            </w:r>
            <w:r w:rsidR="00C371C9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03</w:t>
            </w:r>
          </w:p>
        </w:tc>
        <w:tc>
          <w:tcPr>
            <w:tcW w:w="1153" w:type="dxa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157</w:t>
            </w:r>
            <w:r w:rsidR="00C371C9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58</w:t>
            </w:r>
          </w:p>
        </w:tc>
      </w:tr>
      <w:tr w:rsidR="00D91B94" w:rsidRPr="00284461" w:rsidTr="000B066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D9E2F3" w:themeFill="accent1" w:themeFillTint="33"/>
            <w:noWrap/>
            <w:hideMark/>
          </w:tcPr>
          <w:p w:rsidR="00D91B94" w:rsidRPr="00C371C9" w:rsidRDefault="00D91B94" w:rsidP="00D91B94">
            <w:pPr>
              <w:rPr>
                <w:color w:val="auto"/>
                <w:sz w:val="20"/>
                <w:szCs w:val="20"/>
              </w:rPr>
            </w:pPr>
            <w:r w:rsidRPr="00C371C9">
              <w:rPr>
                <w:color w:val="auto"/>
                <w:sz w:val="20"/>
                <w:szCs w:val="20"/>
              </w:rPr>
              <w:t>TOTAL CENTRAL GOVERNMENT DEBT (including deposits)</w:t>
            </w:r>
          </w:p>
        </w:tc>
        <w:tc>
          <w:tcPr>
            <w:tcW w:w="1128" w:type="dxa"/>
            <w:shd w:val="clear" w:color="auto" w:fill="D9E2F3" w:themeFill="accent1" w:themeFillTint="33"/>
            <w:noWrap/>
            <w:hideMark/>
          </w:tcPr>
          <w:p w:rsidR="00D91B94" w:rsidRPr="00284461" w:rsidRDefault="00C371C9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2,</w:t>
            </w:r>
            <w:r w:rsidR="00D91B94" w:rsidRPr="00284461"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925</w:t>
            </w:r>
            <w:r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.</w:t>
            </w:r>
            <w:r w:rsidR="00D91B94" w:rsidRPr="00284461"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1159" w:type="dxa"/>
            <w:shd w:val="clear" w:color="auto" w:fill="D9E2F3" w:themeFill="accent1" w:themeFillTint="33"/>
            <w:noWrap/>
            <w:hideMark/>
          </w:tcPr>
          <w:p w:rsidR="00D91B94" w:rsidRPr="00284461" w:rsidRDefault="00C371C9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2,</w:t>
            </w:r>
            <w:r w:rsidR="00D91B94" w:rsidRPr="00284461"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949</w:t>
            </w:r>
            <w:r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.</w:t>
            </w:r>
            <w:r w:rsidR="00D91B94" w:rsidRPr="00284461"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1153" w:type="dxa"/>
            <w:shd w:val="clear" w:color="auto" w:fill="D9E2F3" w:themeFill="accent1" w:themeFillTint="33"/>
            <w:noWrap/>
            <w:hideMark/>
          </w:tcPr>
          <w:p w:rsidR="00D91B94" w:rsidRPr="00284461" w:rsidRDefault="00D91B94" w:rsidP="00D91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284461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  <w:t>2</w:t>
            </w:r>
            <w:r w:rsidR="00C371C9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  <w:t>,</w:t>
            </w:r>
            <w:r w:rsidRPr="00284461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  <w:t>970</w:t>
            </w:r>
            <w:r w:rsidR="00C371C9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284461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  <w:t>32</w:t>
            </w:r>
          </w:p>
        </w:tc>
      </w:tr>
    </w:tbl>
    <w:p w:rsidR="00610CC3" w:rsidRPr="00610CC3" w:rsidRDefault="00745445" w:rsidP="00033122">
      <w:pPr>
        <w:jc w:val="both"/>
        <w:rPr>
          <w:rFonts w:ascii="Cambria" w:eastAsia="Times New Roman" w:hAnsi="Cambria" w:cs="Times New Roman"/>
          <w:b/>
          <w:caps/>
          <w:color w:val="F8B323"/>
          <w:spacing w:val="10"/>
          <w:sz w:val="20"/>
          <w:szCs w:val="20"/>
        </w:rPr>
      </w:pPr>
      <w:r>
        <w:rPr>
          <w:rFonts w:ascii="Cambria" w:eastAsia="Times New Roman" w:hAnsi="Cambria" w:cs="Times New Roman"/>
          <w:lang w:eastAsia="en-GB"/>
        </w:rPr>
        <w:lastRenderedPageBreak/>
        <w:fldChar w:fldCharType="end"/>
      </w:r>
      <w:r w:rsidR="00610CC3" w:rsidRPr="00610CC3">
        <w:rPr>
          <w:rFonts w:ascii="Cambria" w:eastAsia="Times New Roman" w:hAnsi="Cambria" w:cs="Times New Roman"/>
          <w:b/>
          <w:caps/>
          <w:color w:val="F8B323"/>
          <w:spacing w:val="10"/>
          <w:sz w:val="20"/>
          <w:szCs w:val="20"/>
        </w:rPr>
        <w:t xml:space="preserve">Table </w:t>
      </w:r>
      <w:r w:rsidR="00610CC3" w:rsidRPr="00610CC3">
        <w:rPr>
          <w:rFonts w:ascii="Cambria" w:eastAsia="Times New Roman" w:hAnsi="Cambria" w:cs="Times New Roman"/>
          <w:b/>
          <w:caps/>
          <w:color w:val="F8B323"/>
          <w:spacing w:val="10"/>
          <w:sz w:val="20"/>
          <w:szCs w:val="20"/>
        </w:rPr>
        <w:fldChar w:fldCharType="begin"/>
      </w:r>
      <w:r w:rsidR="00610CC3" w:rsidRPr="00610CC3">
        <w:rPr>
          <w:rFonts w:ascii="Cambria" w:eastAsia="Times New Roman" w:hAnsi="Cambria" w:cs="Times New Roman"/>
          <w:b/>
          <w:caps/>
          <w:color w:val="F8B323"/>
          <w:spacing w:val="10"/>
          <w:sz w:val="20"/>
          <w:szCs w:val="20"/>
        </w:rPr>
        <w:instrText xml:space="preserve"> SEQ Table \* ARABIC </w:instrText>
      </w:r>
      <w:r w:rsidR="00610CC3" w:rsidRPr="00610CC3">
        <w:rPr>
          <w:rFonts w:ascii="Cambria" w:eastAsia="Times New Roman" w:hAnsi="Cambria" w:cs="Times New Roman"/>
          <w:b/>
          <w:caps/>
          <w:color w:val="F8B323"/>
          <w:spacing w:val="10"/>
          <w:sz w:val="20"/>
          <w:szCs w:val="20"/>
        </w:rPr>
        <w:fldChar w:fldCharType="separate"/>
      </w:r>
      <w:r w:rsidR="00E83C8D">
        <w:rPr>
          <w:rFonts w:ascii="Cambria" w:eastAsia="Times New Roman" w:hAnsi="Cambria" w:cs="Times New Roman"/>
          <w:b/>
          <w:caps/>
          <w:noProof/>
          <w:color w:val="F8B323"/>
          <w:spacing w:val="10"/>
          <w:sz w:val="20"/>
          <w:szCs w:val="20"/>
        </w:rPr>
        <w:t>2</w:t>
      </w:r>
      <w:r w:rsidR="00610CC3" w:rsidRPr="00610CC3">
        <w:rPr>
          <w:rFonts w:ascii="Cambria" w:eastAsia="Times New Roman" w:hAnsi="Cambria" w:cs="Times New Roman"/>
          <w:b/>
          <w:caps/>
          <w:color w:val="F8B323"/>
          <w:spacing w:val="10"/>
          <w:sz w:val="20"/>
          <w:szCs w:val="20"/>
        </w:rPr>
        <w:fldChar w:fldCharType="end"/>
      </w:r>
      <w:r w:rsidR="00610CC3" w:rsidRPr="00610CC3">
        <w:rPr>
          <w:rFonts w:ascii="Cambria" w:eastAsia="Times New Roman" w:hAnsi="Cambria" w:cs="Times New Roman"/>
          <w:b/>
          <w:caps/>
          <w:color w:val="F8B323"/>
          <w:spacing w:val="10"/>
          <w:sz w:val="20"/>
          <w:szCs w:val="20"/>
        </w:rPr>
        <w:t xml:space="preserve"> Central Government Debt as % of GDP</w:t>
      </w:r>
    </w:p>
    <w:tbl>
      <w:tblPr>
        <w:tblStyle w:val="GridTable6Colorful-Accent1"/>
        <w:tblW w:w="9219" w:type="dxa"/>
        <w:tblLook w:val="02A0" w:firstRow="1" w:lastRow="0" w:firstColumn="1" w:lastColumn="0" w:noHBand="1" w:noVBand="0"/>
      </w:tblPr>
      <w:tblGrid>
        <w:gridCol w:w="5098"/>
        <w:gridCol w:w="1281"/>
        <w:gridCol w:w="1418"/>
        <w:gridCol w:w="1422"/>
      </w:tblGrid>
      <w:tr w:rsidR="003D3950" w:rsidRPr="00100BFE" w:rsidTr="00594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:rsidR="00100BFE" w:rsidRPr="00100BFE" w:rsidRDefault="00100BFE" w:rsidP="00100BFE">
            <w:pPr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</w:pPr>
            <w:r w:rsidRPr="00100BFE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  <w:noWrap/>
            <w:hideMark/>
          </w:tcPr>
          <w:p w:rsidR="00100BFE" w:rsidRPr="00100BFE" w:rsidRDefault="00100BFE" w:rsidP="003D3950">
            <w:pPr>
              <w:jc w:val="center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</w:pPr>
            <w:r w:rsidRPr="00100BFE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  <w:t>31.03.2019</w:t>
            </w:r>
          </w:p>
        </w:tc>
        <w:tc>
          <w:tcPr>
            <w:tcW w:w="1418" w:type="dxa"/>
            <w:noWrap/>
            <w:hideMark/>
          </w:tcPr>
          <w:p w:rsidR="00100BFE" w:rsidRPr="00100BFE" w:rsidRDefault="00100BFE" w:rsidP="003D3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</w:pPr>
            <w:r w:rsidRPr="00100BFE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  <w:t>30.06.2019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  <w:noWrap/>
            <w:hideMark/>
          </w:tcPr>
          <w:p w:rsidR="00100BFE" w:rsidRPr="00100BFE" w:rsidRDefault="00100BFE" w:rsidP="003D3950">
            <w:pPr>
              <w:jc w:val="center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</w:pPr>
            <w:r w:rsidRPr="00100BFE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  <w:t>30.09.2019</w:t>
            </w:r>
          </w:p>
        </w:tc>
      </w:tr>
      <w:tr w:rsidR="00217ADD" w:rsidRPr="00277DEB" w:rsidTr="006F281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noWrap/>
            <w:hideMark/>
          </w:tcPr>
          <w:p w:rsidR="00217ADD" w:rsidRPr="00CD71F8" w:rsidRDefault="00217ADD" w:rsidP="00217ADD">
            <w:pPr>
              <w:rPr>
                <w:color w:val="auto"/>
              </w:rPr>
            </w:pPr>
            <w:r w:rsidRPr="00CD71F8">
              <w:rPr>
                <w:color w:val="auto"/>
              </w:rPr>
              <w:t>Total Central Government Debt as % of GDP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  <w:noWrap/>
            <w:vAlign w:val="center"/>
            <w:hideMark/>
          </w:tcPr>
          <w:p w:rsidR="00217ADD" w:rsidRPr="00F943A0" w:rsidRDefault="00217ADD" w:rsidP="00217ADD">
            <w:pPr>
              <w:jc w:val="center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64.21%</w:t>
            </w:r>
          </w:p>
        </w:tc>
        <w:tc>
          <w:tcPr>
            <w:tcW w:w="1418" w:type="dxa"/>
            <w:noWrap/>
            <w:vAlign w:val="center"/>
            <w:hideMark/>
          </w:tcPr>
          <w:p w:rsidR="00217ADD" w:rsidRPr="00F943A0" w:rsidRDefault="00217ADD" w:rsidP="0021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63.29%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:rsidR="00217ADD" w:rsidRPr="00F943A0" w:rsidRDefault="00217ADD" w:rsidP="00217ADD">
            <w:pPr>
              <w:jc w:val="center"/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</w:pPr>
            <w:r w:rsidRPr="00F943A0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63.18%</w:t>
            </w:r>
          </w:p>
        </w:tc>
      </w:tr>
      <w:tr w:rsidR="00217ADD" w:rsidRPr="00277DEB" w:rsidTr="006F281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noWrap/>
            <w:hideMark/>
          </w:tcPr>
          <w:p w:rsidR="00217ADD" w:rsidRPr="00CD71F8" w:rsidRDefault="00217ADD" w:rsidP="00217ADD">
            <w:pPr>
              <w:rPr>
                <w:color w:val="auto"/>
              </w:rPr>
            </w:pPr>
            <w:r w:rsidRPr="00CD71F8">
              <w:rPr>
                <w:color w:val="auto"/>
              </w:rPr>
              <w:t>Total Central Government Debt (including deposits) as % of GDP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  <w:noWrap/>
            <w:vAlign w:val="center"/>
            <w:hideMark/>
          </w:tcPr>
          <w:p w:rsidR="00217ADD" w:rsidRPr="00F943A0" w:rsidRDefault="00217ADD" w:rsidP="00217ADD">
            <w:pPr>
              <w:jc w:val="center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59.09%</w:t>
            </w:r>
          </w:p>
        </w:tc>
        <w:tc>
          <w:tcPr>
            <w:tcW w:w="1418" w:type="dxa"/>
            <w:noWrap/>
            <w:vAlign w:val="center"/>
            <w:hideMark/>
          </w:tcPr>
          <w:p w:rsidR="00217ADD" w:rsidRPr="00F943A0" w:rsidRDefault="00217ADD" w:rsidP="0021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59</w:t>
            </w:r>
            <w:r w:rsidR="00FF5AB4"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.</w:t>
            </w:r>
            <w:r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58%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:rsidR="00217ADD" w:rsidRPr="00F943A0" w:rsidRDefault="00217ADD" w:rsidP="00217ADD">
            <w:pPr>
              <w:jc w:val="center"/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</w:pPr>
            <w:r w:rsidRPr="00F943A0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60</w:t>
            </w:r>
            <w:r w:rsidR="00613EE4" w:rsidRPr="00F943A0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.00</w:t>
            </w:r>
            <w:r w:rsidRPr="00F943A0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%</w:t>
            </w:r>
          </w:p>
        </w:tc>
      </w:tr>
      <w:tr w:rsidR="00217ADD" w:rsidRPr="00277DEB" w:rsidTr="006F281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noWrap/>
            <w:hideMark/>
          </w:tcPr>
          <w:p w:rsidR="00217ADD" w:rsidRPr="00CD71F8" w:rsidRDefault="00217ADD" w:rsidP="00217ADD">
            <w:pPr>
              <w:rPr>
                <w:color w:val="auto"/>
              </w:rPr>
            </w:pPr>
            <w:r w:rsidRPr="00CD71F8">
              <w:rPr>
                <w:color w:val="auto"/>
              </w:rPr>
              <w:t>Domestic Debt as % of GDP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  <w:noWrap/>
            <w:vAlign w:val="center"/>
            <w:hideMark/>
          </w:tcPr>
          <w:p w:rsidR="00217ADD" w:rsidRPr="00F943A0" w:rsidRDefault="00217ADD" w:rsidP="00217ADD">
            <w:pPr>
              <w:jc w:val="center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7</w:t>
            </w:r>
            <w:r w:rsidR="00FF5AB4"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.</w:t>
            </w:r>
            <w:r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65%</w:t>
            </w:r>
          </w:p>
        </w:tc>
        <w:tc>
          <w:tcPr>
            <w:tcW w:w="1418" w:type="dxa"/>
            <w:noWrap/>
            <w:vAlign w:val="center"/>
            <w:hideMark/>
          </w:tcPr>
          <w:p w:rsidR="00217ADD" w:rsidRPr="00F943A0" w:rsidRDefault="00217ADD" w:rsidP="0021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10</w:t>
            </w:r>
            <w:r w:rsidR="00FF5AB4"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.</w:t>
            </w:r>
            <w:r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34%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:rsidR="00217ADD" w:rsidRPr="00F943A0" w:rsidRDefault="00217ADD" w:rsidP="00217ADD">
            <w:pPr>
              <w:jc w:val="center"/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</w:pPr>
            <w:r w:rsidRPr="00F943A0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10</w:t>
            </w:r>
            <w:r w:rsidR="00FF5AB4" w:rsidRPr="00F943A0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.</w:t>
            </w:r>
            <w:r w:rsidRPr="00F943A0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19%</w:t>
            </w:r>
          </w:p>
        </w:tc>
      </w:tr>
      <w:tr w:rsidR="00217ADD" w:rsidRPr="00277DEB" w:rsidTr="006F281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noWrap/>
            <w:hideMark/>
          </w:tcPr>
          <w:p w:rsidR="00217ADD" w:rsidRPr="00CD71F8" w:rsidRDefault="00217ADD" w:rsidP="00217ADD">
            <w:pPr>
              <w:rPr>
                <w:color w:val="auto"/>
              </w:rPr>
            </w:pPr>
            <w:r w:rsidRPr="00CD71F8">
              <w:rPr>
                <w:color w:val="auto"/>
              </w:rPr>
              <w:t>Foreign Debt as % of  GDP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  <w:noWrap/>
            <w:vAlign w:val="center"/>
            <w:hideMark/>
          </w:tcPr>
          <w:p w:rsidR="00217ADD" w:rsidRPr="00F943A0" w:rsidRDefault="00217ADD" w:rsidP="00217ADD">
            <w:pPr>
              <w:jc w:val="center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56</w:t>
            </w:r>
            <w:r w:rsidR="00FF5AB4"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.</w:t>
            </w:r>
            <w:r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57%</w:t>
            </w:r>
          </w:p>
        </w:tc>
        <w:tc>
          <w:tcPr>
            <w:tcW w:w="1418" w:type="dxa"/>
            <w:noWrap/>
            <w:vAlign w:val="center"/>
            <w:hideMark/>
          </w:tcPr>
          <w:p w:rsidR="00217ADD" w:rsidRPr="00F943A0" w:rsidRDefault="00217ADD" w:rsidP="0021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52.95%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:rsidR="00217ADD" w:rsidRPr="00F943A0" w:rsidRDefault="00217ADD" w:rsidP="00217ADD">
            <w:pPr>
              <w:jc w:val="center"/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</w:pPr>
            <w:r w:rsidRPr="00F943A0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52</w:t>
            </w:r>
            <w:r w:rsidR="00FF5AB4" w:rsidRPr="00F943A0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.</w:t>
            </w:r>
            <w:r w:rsidRPr="00F943A0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99%</w:t>
            </w:r>
          </w:p>
        </w:tc>
      </w:tr>
      <w:tr w:rsidR="00217ADD" w:rsidRPr="00277DEB" w:rsidTr="006F28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noWrap/>
            <w:hideMark/>
          </w:tcPr>
          <w:p w:rsidR="00217ADD" w:rsidRPr="00CD71F8" w:rsidRDefault="00217ADD" w:rsidP="00217ADD">
            <w:pPr>
              <w:rPr>
                <w:color w:val="auto"/>
              </w:rPr>
            </w:pPr>
            <w:r w:rsidRPr="00CD71F8">
              <w:rPr>
                <w:color w:val="auto"/>
              </w:rPr>
              <w:t>Deposits as % of GDP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  <w:noWrap/>
            <w:vAlign w:val="center"/>
            <w:hideMark/>
          </w:tcPr>
          <w:p w:rsidR="00217ADD" w:rsidRPr="00F943A0" w:rsidRDefault="00217ADD" w:rsidP="00217ADD">
            <w:pPr>
              <w:jc w:val="center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5</w:t>
            </w:r>
            <w:r w:rsidR="00FF5AB4"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.</w:t>
            </w:r>
            <w:r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12%</w:t>
            </w:r>
          </w:p>
        </w:tc>
        <w:tc>
          <w:tcPr>
            <w:tcW w:w="1418" w:type="dxa"/>
            <w:noWrap/>
            <w:vAlign w:val="center"/>
            <w:hideMark/>
          </w:tcPr>
          <w:p w:rsidR="00217ADD" w:rsidRPr="00F943A0" w:rsidRDefault="00217ADD" w:rsidP="0021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3</w:t>
            </w:r>
            <w:r w:rsidR="00FF5AB4"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.</w:t>
            </w:r>
            <w:r w:rsidRPr="00F943A0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72%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:rsidR="00217ADD" w:rsidRPr="00F943A0" w:rsidRDefault="00217ADD" w:rsidP="00217ADD">
            <w:pPr>
              <w:jc w:val="center"/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</w:pPr>
            <w:r w:rsidRPr="00F943A0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3</w:t>
            </w:r>
            <w:r w:rsidR="00FF5AB4" w:rsidRPr="00F943A0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.</w:t>
            </w:r>
            <w:r w:rsidRPr="00F943A0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18%</w:t>
            </w:r>
          </w:p>
        </w:tc>
      </w:tr>
    </w:tbl>
    <w:p w:rsidR="005C4954" w:rsidRDefault="009812C2">
      <w:pPr>
        <w:rPr>
          <w:b/>
        </w:rPr>
      </w:pPr>
    </w:p>
    <w:p w:rsidR="00E354E9" w:rsidRDefault="00E354E9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0A743EF2" wp14:editId="3CF20C35">
            <wp:extent cx="5848350" cy="226695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04CE4" w:rsidRDefault="00E354E9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7CACF688" wp14:editId="41732B3E">
            <wp:extent cx="5819775" cy="24098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65A1" w:rsidRDefault="002332B2" w:rsidP="009D735D">
      <w:pPr>
        <w:spacing w:before="100" w:after="200" w:line="276" w:lineRule="auto"/>
        <w:jc w:val="both"/>
        <w:rPr>
          <w:rFonts w:ascii="Cambria" w:eastAsia="Times New Roman" w:hAnsi="Cambria" w:cs="Tahoma"/>
          <w:color w:val="000000"/>
        </w:rPr>
      </w:pPr>
      <w:r>
        <w:rPr>
          <w:rFonts w:ascii="Cambria" w:eastAsia="Calibri" w:hAnsi="Cambria" w:cs="Times New Roman"/>
          <w:lang w:val="sr-Latn-ME"/>
        </w:rPr>
        <w:t xml:space="preserve">During the third quarter of 2019 </w:t>
      </w:r>
      <w:r w:rsidRPr="00B627B9">
        <w:rPr>
          <w:rFonts w:ascii="Cambria" w:eastAsia="Times New Roman" w:hAnsi="Cambria" w:cs="Tahoma"/>
          <w:color w:val="000000"/>
        </w:rPr>
        <w:t>the Govern</w:t>
      </w:r>
      <w:r w:rsidRPr="00131C70">
        <w:rPr>
          <w:rFonts w:ascii="Cambria" w:eastAsia="Times New Roman" w:hAnsi="Cambria" w:cs="Tahoma"/>
          <w:color w:val="000000"/>
        </w:rPr>
        <w:t xml:space="preserve">ment </w:t>
      </w:r>
      <w:r>
        <w:rPr>
          <w:rFonts w:ascii="Cambria" w:eastAsia="Times New Roman" w:hAnsi="Cambria" w:cs="Tahoma"/>
          <w:color w:val="000000"/>
        </w:rPr>
        <w:t>disbursed</w:t>
      </w:r>
      <w:r w:rsidRPr="00131C70">
        <w:rPr>
          <w:rFonts w:ascii="Cambria" w:eastAsia="Times New Roman" w:hAnsi="Cambria" w:cs="Tahoma"/>
          <w:color w:val="000000"/>
        </w:rPr>
        <w:t xml:space="preserve"> the amount of </w:t>
      </w:r>
      <w:r w:rsidR="003D1C2F">
        <w:rPr>
          <w:rFonts w:ascii="Cambria" w:eastAsia="Calibri" w:hAnsi="Cambria" w:cs="Times New Roman"/>
          <w:lang w:val="sr-Latn-ME"/>
        </w:rPr>
        <w:t>56</w:t>
      </w:r>
      <w:r w:rsidR="00C371C9">
        <w:rPr>
          <w:rFonts w:ascii="Cambria" w:eastAsia="Calibri" w:hAnsi="Cambria" w:cs="Times New Roman"/>
          <w:lang w:val="sr-Latn-ME"/>
        </w:rPr>
        <w:t>.</w:t>
      </w:r>
      <w:r w:rsidR="003D1C2F">
        <w:rPr>
          <w:rFonts w:ascii="Cambria" w:eastAsia="Calibri" w:hAnsi="Cambria" w:cs="Times New Roman"/>
          <w:lang w:val="sr-Latn-ME"/>
        </w:rPr>
        <w:t>70</w:t>
      </w:r>
      <w:r>
        <w:rPr>
          <w:rFonts w:ascii="Cambria" w:eastAsia="Calibri" w:hAnsi="Cambria" w:cs="Times New Roman"/>
          <w:lang w:val="sr-Latn-ME"/>
        </w:rPr>
        <w:t xml:space="preserve"> million EUR, </w:t>
      </w:r>
      <w:r w:rsidR="00C065A1" w:rsidRPr="00B627B9">
        <w:rPr>
          <w:rFonts w:ascii="Cambria" w:eastAsia="Times New Roman" w:hAnsi="Cambria" w:cs="Tahoma"/>
          <w:color w:val="000000"/>
        </w:rPr>
        <w:t>for the needs of the implementation of infrastructure and development projects.</w:t>
      </w:r>
      <w:r w:rsidR="00C065A1">
        <w:rPr>
          <w:rFonts w:ascii="Cambria" w:eastAsia="Times New Roman" w:hAnsi="Cambria" w:cs="Tahoma"/>
          <w:color w:val="000000"/>
        </w:rPr>
        <w:t xml:space="preserve"> </w:t>
      </w:r>
    </w:p>
    <w:p w:rsidR="00C065A1" w:rsidRPr="00C065A1" w:rsidRDefault="00C065A1" w:rsidP="00C065A1">
      <w:pPr>
        <w:spacing w:after="0" w:line="240" w:lineRule="auto"/>
        <w:jc w:val="both"/>
        <w:rPr>
          <w:rFonts w:ascii="Cambria" w:eastAsia="Times New Roman" w:hAnsi="Cambria" w:cs="Tahoma"/>
          <w:color w:val="000000"/>
        </w:rPr>
      </w:pPr>
      <w:r w:rsidRPr="00C065A1">
        <w:rPr>
          <w:rFonts w:ascii="Cambria" w:eastAsia="Times New Roman" w:hAnsi="Cambria" w:cs="Tahoma"/>
          <w:color w:val="000000"/>
        </w:rPr>
        <w:t>From this amount for the Project of financing the construction of the first section of the Highway Bar-</w:t>
      </w:r>
      <w:proofErr w:type="spellStart"/>
      <w:r w:rsidRPr="00C065A1">
        <w:rPr>
          <w:rFonts w:ascii="Cambria" w:eastAsia="Times New Roman" w:hAnsi="Cambria" w:cs="Tahoma"/>
          <w:color w:val="000000"/>
        </w:rPr>
        <w:t>Boljare</w:t>
      </w:r>
      <w:proofErr w:type="spellEnd"/>
      <w:r w:rsidRPr="00C065A1">
        <w:rPr>
          <w:rFonts w:ascii="Cambria" w:eastAsia="Times New Roman" w:hAnsi="Cambria" w:cs="Tahoma"/>
          <w:color w:val="000000"/>
        </w:rPr>
        <w:t xml:space="preserve">; </w:t>
      </w:r>
      <w:proofErr w:type="spellStart"/>
      <w:r w:rsidRPr="00C065A1">
        <w:rPr>
          <w:rFonts w:ascii="Cambria" w:eastAsia="Times New Roman" w:hAnsi="Cambria" w:cs="Tahoma"/>
          <w:color w:val="000000"/>
        </w:rPr>
        <w:t>Smokovac-Mateševo</w:t>
      </w:r>
      <w:proofErr w:type="spellEnd"/>
      <w:r w:rsidRPr="00C065A1">
        <w:rPr>
          <w:rFonts w:ascii="Cambria" w:eastAsia="Times New Roman" w:hAnsi="Cambria" w:cs="Tahoma"/>
          <w:color w:val="000000"/>
        </w:rPr>
        <w:t xml:space="preserve"> - the total amount of </w:t>
      </w:r>
      <w:r>
        <w:rPr>
          <w:rFonts w:ascii="Cambria" w:eastAsia="Times New Roman" w:hAnsi="Cambria" w:cs="Tahoma"/>
          <w:color w:val="000000"/>
        </w:rPr>
        <w:t>49.51</w:t>
      </w:r>
      <w:r w:rsidRPr="00C065A1">
        <w:rPr>
          <w:rFonts w:ascii="Cambria" w:eastAsia="Times New Roman" w:hAnsi="Cambria" w:cs="Tahoma"/>
          <w:color w:val="000000"/>
        </w:rPr>
        <w:t xml:space="preserve"> million USD (</w:t>
      </w:r>
      <w:r>
        <w:rPr>
          <w:rFonts w:ascii="Cambria" w:eastAsia="Times New Roman" w:hAnsi="Cambria" w:cs="Tahoma"/>
          <w:color w:val="000000"/>
        </w:rPr>
        <w:t>45.28</w:t>
      </w:r>
      <w:r w:rsidRPr="00C065A1">
        <w:rPr>
          <w:rFonts w:ascii="Cambria" w:eastAsia="Times New Roman" w:hAnsi="Cambria" w:cs="Tahoma"/>
          <w:color w:val="000000"/>
        </w:rPr>
        <w:t xml:space="preserve"> million </w:t>
      </w:r>
      <w:r w:rsidRPr="00C065A1">
        <w:rPr>
          <w:rFonts w:ascii="Cambria" w:eastAsia="Calibri" w:hAnsi="Cambria" w:cs="Times New Roman"/>
        </w:rPr>
        <w:t>EUR</w:t>
      </w:r>
      <w:r w:rsidRPr="00C065A1">
        <w:rPr>
          <w:rFonts w:ascii="Cambria" w:eastAsia="Times New Roman" w:hAnsi="Cambria" w:cs="Tahoma"/>
          <w:color w:val="000000"/>
        </w:rPr>
        <w:t>)</w:t>
      </w:r>
      <w:r w:rsidRPr="00C065A1">
        <w:rPr>
          <w:rFonts w:ascii="Calibri" w:eastAsia="Times New Roman" w:hAnsi="Calibri" w:cs="Times New Roman"/>
          <w:vertAlign w:val="superscript"/>
        </w:rPr>
        <w:footnoteReference w:id="2"/>
      </w:r>
      <w:r w:rsidRPr="00C065A1">
        <w:rPr>
          <w:rFonts w:ascii="Cambria" w:eastAsia="Times New Roman" w:hAnsi="Cambria" w:cs="Tahoma"/>
          <w:color w:val="000000"/>
        </w:rPr>
        <w:t xml:space="preserve"> was disbursed from the loan with the Chinese Exim Bank.</w:t>
      </w:r>
    </w:p>
    <w:p w:rsidR="00C065A1" w:rsidRPr="00C065A1" w:rsidRDefault="00C065A1" w:rsidP="00C065A1">
      <w:pPr>
        <w:spacing w:after="0" w:line="240" w:lineRule="auto"/>
        <w:jc w:val="both"/>
        <w:rPr>
          <w:rFonts w:ascii="Cambria" w:eastAsia="Times New Roman" w:hAnsi="Cambria" w:cs="Tahoma"/>
          <w:color w:val="000000"/>
        </w:rPr>
      </w:pPr>
    </w:p>
    <w:p w:rsidR="00C065A1" w:rsidRDefault="00C065A1" w:rsidP="00C065A1">
      <w:pPr>
        <w:spacing w:after="0" w:line="240" w:lineRule="auto"/>
        <w:jc w:val="both"/>
        <w:rPr>
          <w:rFonts w:ascii="Cambria" w:eastAsia="Times New Roman" w:hAnsi="Cambria" w:cs="Tahoma"/>
          <w:color w:val="000000"/>
        </w:rPr>
      </w:pPr>
      <w:r w:rsidRPr="00C065A1">
        <w:rPr>
          <w:rFonts w:ascii="Cambria" w:eastAsia="Times New Roman" w:hAnsi="Cambria" w:cs="Tahoma"/>
          <w:color w:val="000000"/>
        </w:rPr>
        <w:t xml:space="preserve">For other infrastructure projects, the remaining amount of € </w:t>
      </w:r>
      <w:r w:rsidR="00655DCE">
        <w:rPr>
          <w:rFonts w:ascii="Cambria" w:eastAsia="Times New Roman" w:hAnsi="Cambria" w:cs="Tahoma"/>
          <w:color w:val="000000"/>
        </w:rPr>
        <w:t>11.42</w:t>
      </w:r>
      <w:r w:rsidRPr="00C065A1">
        <w:rPr>
          <w:rFonts w:ascii="Cambria" w:eastAsia="Times New Roman" w:hAnsi="Cambria" w:cs="Tahoma"/>
          <w:color w:val="000000"/>
        </w:rPr>
        <w:t xml:space="preserve"> million was withdrawn for the needs of road construction, water supply, energy efficiency, social housing and agriculture development.</w:t>
      </w:r>
    </w:p>
    <w:p w:rsidR="00655DCE" w:rsidRPr="00C065A1" w:rsidRDefault="00655DCE" w:rsidP="00C065A1">
      <w:pPr>
        <w:spacing w:after="0" w:line="240" w:lineRule="auto"/>
        <w:jc w:val="both"/>
        <w:rPr>
          <w:rFonts w:ascii="Cambria" w:eastAsia="Times New Roman" w:hAnsi="Cambria" w:cs="Tahoma"/>
          <w:color w:val="000000"/>
        </w:rPr>
      </w:pPr>
    </w:p>
    <w:p w:rsidR="00655DCE" w:rsidRDefault="00655DCE" w:rsidP="00655DCE">
      <w:pPr>
        <w:spacing w:after="0" w:line="240" w:lineRule="auto"/>
        <w:jc w:val="both"/>
        <w:rPr>
          <w:rFonts w:ascii="Cambria" w:eastAsia="Times New Roman" w:hAnsi="Cambria" w:cs="Tahoma"/>
        </w:rPr>
      </w:pPr>
      <w:r w:rsidRPr="00655DCE">
        <w:rPr>
          <w:rFonts w:ascii="Cambria" w:eastAsia="Times New Roman" w:hAnsi="Cambria" w:cs="Tahoma"/>
          <w:color w:val="000000"/>
        </w:rPr>
        <w:lastRenderedPageBreak/>
        <w:t xml:space="preserve">During the </w:t>
      </w:r>
      <w:r>
        <w:rPr>
          <w:rFonts w:ascii="Cambria" w:eastAsia="Times New Roman" w:hAnsi="Cambria" w:cs="Tahoma"/>
          <w:color w:val="000000"/>
        </w:rPr>
        <w:t>third</w:t>
      </w:r>
      <w:r w:rsidRPr="00655DCE">
        <w:rPr>
          <w:rFonts w:ascii="Cambria" w:eastAsia="Times New Roman" w:hAnsi="Cambria" w:cs="Tahoma"/>
          <w:color w:val="000000"/>
        </w:rPr>
        <w:t xml:space="preserve"> quarter of 2019, </w:t>
      </w:r>
      <w:r w:rsidRPr="00655DCE">
        <w:rPr>
          <w:rFonts w:ascii="Cambria" w:eastAsia="Times New Roman" w:hAnsi="Cambria" w:cs="Tahoma"/>
        </w:rPr>
        <w:t xml:space="preserve">the Central Government Debt repayment of principal was in total amount of </w:t>
      </w:r>
      <w:r w:rsidR="00A706CE">
        <w:rPr>
          <w:rFonts w:ascii="Cambria" w:eastAsia="Times New Roman" w:hAnsi="Cambria" w:cs="Tahoma"/>
        </w:rPr>
        <w:t>156.12</w:t>
      </w:r>
      <w:r w:rsidRPr="00655DCE">
        <w:rPr>
          <w:rFonts w:ascii="Cambria" w:eastAsia="Times New Roman" w:hAnsi="Cambria" w:cs="Tahoma"/>
        </w:rPr>
        <w:t xml:space="preserve"> million </w:t>
      </w:r>
      <w:r w:rsidRPr="00655DCE">
        <w:rPr>
          <w:rFonts w:ascii="Cambria" w:eastAsia="Calibri" w:hAnsi="Cambria" w:cs="Times New Roman"/>
        </w:rPr>
        <w:t>EUR</w:t>
      </w:r>
      <w:r w:rsidRPr="00655DCE">
        <w:rPr>
          <w:rFonts w:ascii="Cambria" w:eastAsia="Times New Roman" w:hAnsi="Cambria" w:cs="Tahoma"/>
        </w:rPr>
        <w:t xml:space="preserve">, out of which </w:t>
      </w:r>
      <w:r w:rsidR="00A706CE">
        <w:rPr>
          <w:rFonts w:ascii="Cambria" w:eastAsia="Times New Roman" w:hAnsi="Cambria" w:cs="Tahoma"/>
        </w:rPr>
        <w:t>75.51</w:t>
      </w:r>
      <w:r w:rsidRPr="00655DCE">
        <w:rPr>
          <w:rFonts w:ascii="Cambria" w:eastAsia="Times New Roman" w:hAnsi="Cambria" w:cs="Tahoma"/>
        </w:rPr>
        <w:t xml:space="preserve"> million </w:t>
      </w:r>
      <w:r w:rsidRPr="00655DCE">
        <w:rPr>
          <w:rFonts w:ascii="Cambria" w:eastAsia="Calibri" w:hAnsi="Cambria" w:cs="Times New Roman"/>
        </w:rPr>
        <w:t>EUR</w:t>
      </w:r>
      <w:r w:rsidRPr="00655DCE">
        <w:rPr>
          <w:rFonts w:ascii="Cambria" w:eastAsia="Times New Roman" w:hAnsi="Cambria" w:cs="Tahoma"/>
        </w:rPr>
        <w:t xml:space="preserve"> referred to repayment of debt to residents</w:t>
      </w:r>
      <w:r w:rsidR="00A706CE">
        <w:rPr>
          <w:rFonts w:ascii="Cambria" w:eastAsia="Times New Roman" w:hAnsi="Cambria" w:cs="Tahoma"/>
        </w:rPr>
        <w:t>, including refinancing of T-bills in the amount of 72.00 million EUR</w:t>
      </w:r>
      <w:r w:rsidRPr="00655DCE">
        <w:rPr>
          <w:rFonts w:ascii="Cambria" w:eastAsia="Times New Roman" w:hAnsi="Cambria" w:cs="Tahoma"/>
        </w:rPr>
        <w:t xml:space="preserve">; while repayment of debt to non-residents was </w:t>
      </w:r>
      <w:r w:rsidR="006A3679">
        <w:rPr>
          <w:rFonts w:ascii="Cambria" w:eastAsia="Times New Roman" w:hAnsi="Cambria" w:cs="Tahoma"/>
        </w:rPr>
        <w:t xml:space="preserve">80.61 </w:t>
      </w:r>
      <w:r w:rsidRPr="00655DCE">
        <w:rPr>
          <w:rFonts w:ascii="Cambria" w:eastAsia="Times New Roman" w:hAnsi="Cambria" w:cs="Tahoma"/>
        </w:rPr>
        <w:t xml:space="preserve">million </w:t>
      </w:r>
      <w:r w:rsidRPr="00655DCE">
        <w:rPr>
          <w:rFonts w:ascii="Cambria" w:eastAsia="Calibri" w:hAnsi="Cambria" w:cs="Times New Roman"/>
        </w:rPr>
        <w:t>EUR</w:t>
      </w:r>
      <w:r w:rsidR="006A3679">
        <w:rPr>
          <w:rFonts w:ascii="Cambria" w:eastAsia="Calibri" w:hAnsi="Cambria" w:cs="Times New Roman"/>
        </w:rPr>
        <w:t xml:space="preserve">. </w:t>
      </w:r>
      <w:r w:rsidRPr="00655DCE">
        <w:rPr>
          <w:rFonts w:ascii="Cambria" w:eastAsia="Times New Roman" w:hAnsi="Cambria" w:cs="Tahoma"/>
        </w:rPr>
        <w:t xml:space="preserve">Interest has been repaid in total amount of </w:t>
      </w:r>
      <w:r w:rsidR="006A3679">
        <w:rPr>
          <w:rFonts w:ascii="Cambria" w:eastAsia="Times New Roman" w:hAnsi="Cambria" w:cs="Tahoma"/>
        </w:rPr>
        <w:t>13.07</w:t>
      </w:r>
      <w:r w:rsidRPr="00655DCE">
        <w:rPr>
          <w:rFonts w:ascii="Cambria" w:eastAsia="Times New Roman" w:hAnsi="Cambria" w:cs="Tahoma"/>
        </w:rPr>
        <w:t xml:space="preserve"> million </w:t>
      </w:r>
      <w:r w:rsidRPr="00655DCE">
        <w:rPr>
          <w:rFonts w:ascii="Cambria" w:eastAsia="Calibri" w:hAnsi="Cambria" w:cs="Times New Roman"/>
        </w:rPr>
        <w:t>EUR</w:t>
      </w:r>
      <w:r w:rsidRPr="00655DCE">
        <w:rPr>
          <w:rFonts w:ascii="Cambria" w:eastAsia="Times New Roman" w:hAnsi="Cambria" w:cs="Tahoma"/>
        </w:rPr>
        <w:t xml:space="preserve">, out of which </w:t>
      </w:r>
      <w:r w:rsidR="006A3679">
        <w:rPr>
          <w:rFonts w:ascii="Cambria" w:eastAsia="Times New Roman" w:hAnsi="Cambria" w:cs="Tahoma"/>
        </w:rPr>
        <w:t>0.75</w:t>
      </w:r>
      <w:r w:rsidRPr="00655DCE">
        <w:rPr>
          <w:rFonts w:ascii="Cambria" w:eastAsia="Times New Roman" w:hAnsi="Cambria" w:cs="Tahoma"/>
        </w:rPr>
        <w:t xml:space="preserve"> million </w:t>
      </w:r>
      <w:r w:rsidRPr="00655DCE">
        <w:rPr>
          <w:rFonts w:ascii="Cambria" w:eastAsia="Calibri" w:hAnsi="Cambria" w:cs="Times New Roman"/>
        </w:rPr>
        <w:t>EUR</w:t>
      </w:r>
      <w:r w:rsidRPr="00655DCE">
        <w:rPr>
          <w:rFonts w:ascii="Cambria" w:eastAsia="Times New Roman" w:hAnsi="Cambria" w:cs="Tahoma"/>
        </w:rPr>
        <w:t xml:space="preserve"> referred to repayment of interest to residents, while </w:t>
      </w:r>
      <w:r w:rsidR="006A3679">
        <w:rPr>
          <w:rFonts w:ascii="Cambria" w:eastAsia="Times New Roman" w:hAnsi="Cambria" w:cs="Tahoma"/>
        </w:rPr>
        <w:t>12.32</w:t>
      </w:r>
      <w:r w:rsidRPr="00655DCE">
        <w:rPr>
          <w:rFonts w:ascii="Cambria" w:eastAsia="Times New Roman" w:hAnsi="Cambria" w:cs="Tahoma"/>
        </w:rPr>
        <w:t xml:space="preserve"> </w:t>
      </w:r>
      <w:r w:rsidRPr="00655DCE">
        <w:rPr>
          <w:rFonts w:ascii="Cambria" w:eastAsia="Calibri" w:hAnsi="Cambria" w:cs="Times New Roman"/>
        </w:rPr>
        <w:t>EUR</w:t>
      </w:r>
      <w:r w:rsidRPr="00655DCE">
        <w:rPr>
          <w:rFonts w:ascii="Cambria" w:eastAsia="Times New Roman" w:hAnsi="Cambria" w:cs="Tahoma"/>
        </w:rPr>
        <w:t xml:space="preserve"> million was p</w:t>
      </w:r>
      <w:r w:rsidR="006A3679">
        <w:rPr>
          <w:rFonts w:ascii="Cambria" w:eastAsia="Times New Roman" w:hAnsi="Cambria" w:cs="Tahoma"/>
        </w:rPr>
        <w:t>aid to non-residence. During the third</w:t>
      </w:r>
      <w:r w:rsidRPr="00655DCE">
        <w:rPr>
          <w:rFonts w:ascii="Cambria" w:eastAsia="Times New Roman" w:hAnsi="Cambria" w:cs="Tahoma"/>
        </w:rPr>
        <w:t xml:space="preserve"> quarter of 2019, repayment of old currency savings debt was 0.</w:t>
      </w:r>
      <w:r w:rsidR="00E06732">
        <w:rPr>
          <w:rFonts w:ascii="Cambria" w:eastAsia="Times New Roman" w:hAnsi="Cambria" w:cs="Tahoma"/>
        </w:rPr>
        <w:t>53</w:t>
      </w:r>
      <w:r w:rsidRPr="00655DCE">
        <w:rPr>
          <w:rFonts w:ascii="Cambria" w:eastAsia="Times New Roman" w:hAnsi="Cambria" w:cs="Tahoma"/>
        </w:rPr>
        <w:t xml:space="preserve"> million </w:t>
      </w:r>
      <w:r w:rsidRPr="00655DCE">
        <w:rPr>
          <w:rFonts w:ascii="Cambria" w:eastAsia="Calibri" w:hAnsi="Cambria" w:cs="Times New Roman"/>
        </w:rPr>
        <w:t>EUR</w:t>
      </w:r>
      <w:r w:rsidRPr="00655DCE">
        <w:rPr>
          <w:rFonts w:ascii="Cambria" w:eastAsia="Times New Roman" w:hAnsi="Cambria" w:cs="Tahoma"/>
        </w:rPr>
        <w:t>.</w:t>
      </w:r>
    </w:p>
    <w:p w:rsidR="00E354E9" w:rsidRPr="00655DCE" w:rsidRDefault="00E354E9" w:rsidP="00655DCE">
      <w:pPr>
        <w:spacing w:after="0" w:line="240" w:lineRule="auto"/>
        <w:jc w:val="both"/>
        <w:rPr>
          <w:rFonts w:ascii="Cambria" w:eastAsia="Times New Roman" w:hAnsi="Cambria" w:cs="Tahoma"/>
        </w:rPr>
      </w:pPr>
    </w:p>
    <w:p w:rsidR="009D735D" w:rsidRDefault="009E6195" w:rsidP="009E6195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086C2AD8" wp14:editId="38B45B23">
            <wp:extent cx="2790825" cy="2743200"/>
            <wp:effectExtent l="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09B5C44" wp14:editId="238C6EA6">
            <wp:extent cx="2905125" cy="268605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308D" w:rsidRPr="00745445" w:rsidRDefault="0074308D" w:rsidP="009E6195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1C311661" wp14:editId="4CD680F3">
            <wp:extent cx="2857500" cy="27432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74308D" w:rsidRPr="00745445" w:rsidSect="0049043E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2C2" w:rsidRDefault="009812C2" w:rsidP="00745445">
      <w:pPr>
        <w:spacing w:after="0" w:line="240" w:lineRule="auto"/>
      </w:pPr>
      <w:r>
        <w:separator/>
      </w:r>
    </w:p>
  </w:endnote>
  <w:endnote w:type="continuationSeparator" w:id="0">
    <w:p w:rsidR="009812C2" w:rsidRDefault="009812C2" w:rsidP="0074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2C2" w:rsidRDefault="009812C2" w:rsidP="00745445">
      <w:pPr>
        <w:spacing w:after="0" w:line="240" w:lineRule="auto"/>
      </w:pPr>
      <w:r>
        <w:separator/>
      </w:r>
    </w:p>
  </w:footnote>
  <w:footnote w:type="continuationSeparator" w:id="0">
    <w:p w:rsidR="009812C2" w:rsidRDefault="009812C2" w:rsidP="00745445">
      <w:pPr>
        <w:spacing w:after="0" w:line="240" w:lineRule="auto"/>
      </w:pPr>
      <w:r>
        <w:continuationSeparator/>
      </w:r>
    </w:p>
  </w:footnote>
  <w:footnote w:id="1">
    <w:p w:rsidR="00763A34" w:rsidRDefault="00763A34" w:rsidP="00763A34">
      <w:pPr>
        <w:pStyle w:val="FootnoteText"/>
      </w:pPr>
      <w:r>
        <w:rPr>
          <w:rStyle w:val="FootnoteReference"/>
        </w:rPr>
        <w:footnoteRef/>
      </w:r>
      <w:r w:rsidR="00BF4C3A" w:rsidRPr="00BF4C3A">
        <w:rPr>
          <w:rFonts w:ascii="Cambria" w:hAnsi="Cambria"/>
          <w:lang w:val="sr-Latn-RS"/>
        </w:rPr>
        <w:t>According to the data of Monstat, GDP for 2019 amounts 4951 mil. eur</w:t>
      </w:r>
    </w:p>
  </w:footnote>
  <w:footnote w:id="2">
    <w:p w:rsidR="00C065A1" w:rsidRPr="00D2773C" w:rsidRDefault="00C065A1" w:rsidP="00C065A1">
      <w:pPr>
        <w:pStyle w:val="FootnoteText"/>
        <w:rPr>
          <w:rFonts w:ascii="Cambria" w:hAnsi="Cambria"/>
        </w:rPr>
      </w:pPr>
      <w:r w:rsidRPr="00D2773C">
        <w:rPr>
          <w:rStyle w:val="FootnoteReference"/>
          <w:rFonts w:ascii="Cambria" w:hAnsi="Cambria"/>
        </w:rPr>
        <w:footnoteRef/>
      </w:r>
      <w:r w:rsidRPr="00D2773C">
        <w:rPr>
          <w:rFonts w:ascii="Cambria" w:hAnsi="Cambria"/>
        </w:rPr>
        <w:t xml:space="preserve"> </w:t>
      </w:r>
      <w:r>
        <w:rPr>
          <w:rFonts w:ascii="Cambria" w:hAnsi="Cambria" w:cs="Tahoma"/>
          <w:szCs w:val="24"/>
          <w:lang w:val="sr-Latn-ME"/>
        </w:rPr>
        <w:t xml:space="preserve">Exchange rate as of </w:t>
      </w:r>
      <w:r w:rsidR="00655DCE">
        <w:rPr>
          <w:rFonts w:ascii="Cambria" w:hAnsi="Cambria" w:cs="Tahoma"/>
          <w:szCs w:val="24"/>
          <w:lang w:val="sr-Latn-ME"/>
        </w:rPr>
        <w:t>30 September</w:t>
      </w:r>
      <w:r w:rsidRPr="00D2773C">
        <w:rPr>
          <w:rFonts w:ascii="Cambria" w:hAnsi="Cambria" w:cs="Tahoma"/>
          <w:szCs w:val="24"/>
          <w:lang w:val="sr-Latn-ME"/>
        </w:rPr>
        <w:t>, 201</w:t>
      </w:r>
      <w:r>
        <w:rPr>
          <w:rFonts w:ascii="Cambria" w:hAnsi="Cambria" w:cs="Tahoma"/>
          <w:szCs w:val="24"/>
          <w:lang w:val="sr-Latn-ME"/>
        </w:rPr>
        <w:t>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43E" w:rsidRDefault="0049043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43E" w:rsidRPr="001F1C55" w:rsidRDefault="001F1C55" w:rsidP="0049043E">
                          <w:pPr>
                            <w:spacing w:after="0" w:line="240" w:lineRule="auto"/>
                            <w:jc w:val="center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Report on Central Government Debt                                       30.09.2019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49043E" w:rsidRPr="001F1C55" w:rsidRDefault="001F1C55" w:rsidP="0049043E">
                    <w:pPr>
                      <w:spacing w:after="0" w:line="240" w:lineRule="auto"/>
                      <w:jc w:val="center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Report on Central Government Debt                                       30.09.2019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7620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txbx>
                      <w:txbxContent>
                        <w:p w:rsidR="0049043E" w:rsidRPr="00BC5FCC" w:rsidRDefault="0049043E" w:rsidP="00BC5FCC">
                          <w:pPr>
                            <w:spacing w:after="0" w:line="240" w:lineRule="auto"/>
                            <w:jc w:val="center"/>
                          </w:pPr>
                          <w:r w:rsidRPr="00BC5FCC">
                            <w:fldChar w:fldCharType="begin"/>
                          </w:r>
                          <w:r w:rsidRPr="00BC5FCC">
                            <w:instrText xml:space="preserve"> PAGE   \* MERGEFORMAT </w:instrText>
                          </w:r>
                          <w:r w:rsidRPr="00BC5FCC">
                            <w:fldChar w:fldCharType="separate"/>
                          </w:r>
                          <w:r w:rsidR="00A32810">
                            <w:rPr>
                              <w:noProof/>
                            </w:rPr>
                            <w:t>2</w:t>
                          </w:r>
                          <w:r w:rsidRPr="00BC5FC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" o:allowincell="f" fillcolor="#fff2cc [3205]" stroked="f">
              <v:textbox style="mso-fit-shape-to-text:t" inset=",0,,0">
                <w:txbxContent>
                  <w:p w:rsidR="0049043E" w:rsidRPr="00BC5FCC" w:rsidRDefault="0049043E" w:rsidP="00BC5FCC">
                    <w:pPr>
                      <w:spacing w:after="0" w:line="240" w:lineRule="auto"/>
                      <w:jc w:val="center"/>
                    </w:pPr>
                    <w:r w:rsidRPr="00BC5FCC">
                      <w:fldChar w:fldCharType="begin"/>
                    </w:r>
                    <w:r w:rsidRPr="00BC5FCC">
                      <w:instrText xml:space="preserve"> PAGE   \* MERGEFORMAT </w:instrText>
                    </w:r>
                    <w:r w:rsidRPr="00BC5FCC">
                      <w:fldChar w:fldCharType="separate"/>
                    </w:r>
                    <w:r w:rsidR="00A32810">
                      <w:rPr>
                        <w:noProof/>
                      </w:rPr>
                      <w:t>2</w:t>
                    </w:r>
                    <w:r w:rsidRPr="00BC5FC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45"/>
    <w:rsid w:val="00033122"/>
    <w:rsid w:val="00067369"/>
    <w:rsid w:val="000B0665"/>
    <w:rsid w:val="000B4FE8"/>
    <w:rsid w:val="000E2614"/>
    <w:rsid w:val="000F51BE"/>
    <w:rsid w:val="00100BFE"/>
    <w:rsid w:val="0015198F"/>
    <w:rsid w:val="001A31CD"/>
    <w:rsid w:val="001D62A3"/>
    <w:rsid w:val="001F1C55"/>
    <w:rsid w:val="00201EF0"/>
    <w:rsid w:val="00217ADD"/>
    <w:rsid w:val="002332B2"/>
    <w:rsid w:val="002367CA"/>
    <w:rsid w:val="00277DEB"/>
    <w:rsid w:val="00284461"/>
    <w:rsid w:val="00293967"/>
    <w:rsid w:val="002B0B1E"/>
    <w:rsid w:val="002B17A0"/>
    <w:rsid w:val="002D45D3"/>
    <w:rsid w:val="0030636B"/>
    <w:rsid w:val="003200EB"/>
    <w:rsid w:val="00325163"/>
    <w:rsid w:val="003404B2"/>
    <w:rsid w:val="00343068"/>
    <w:rsid w:val="003D1C2F"/>
    <w:rsid w:val="003D3950"/>
    <w:rsid w:val="003E34FD"/>
    <w:rsid w:val="003E4864"/>
    <w:rsid w:val="00430865"/>
    <w:rsid w:val="0049043E"/>
    <w:rsid w:val="004D265B"/>
    <w:rsid w:val="004F00AC"/>
    <w:rsid w:val="005254C2"/>
    <w:rsid w:val="0053176D"/>
    <w:rsid w:val="00555617"/>
    <w:rsid w:val="00556659"/>
    <w:rsid w:val="00557BB0"/>
    <w:rsid w:val="00562419"/>
    <w:rsid w:val="00562DE5"/>
    <w:rsid w:val="00574FCD"/>
    <w:rsid w:val="00594FAA"/>
    <w:rsid w:val="005B4762"/>
    <w:rsid w:val="00610CC3"/>
    <w:rsid w:val="00613EE4"/>
    <w:rsid w:val="00620300"/>
    <w:rsid w:val="00655DCE"/>
    <w:rsid w:val="0066797E"/>
    <w:rsid w:val="006A3679"/>
    <w:rsid w:val="006B207B"/>
    <w:rsid w:val="00707DAA"/>
    <w:rsid w:val="00734AFE"/>
    <w:rsid w:val="0074308D"/>
    <w:rsid w:val="00745445"/>
    <w:rsid w:val="00763A34"/>
    <w:rsid w:val="007C52E7"/>
    <w:rsid w:val="007E1A4E"/>
    <w:rsid w:val="00851579"/>
    <w:rsid w:val="00890F45"/>
    <w:rsid w:val="008B7F8D"/>
    <w:rsid w:val="008C14F0"/>
    <w:rsid w:val="009059D1"/>
    <w:rsid w:val="00971C10"/>
    <w:rsid w:val="009812C2"/>
    <w:rsid w:val="009D6AB8"/>
    <w:rsid w:val="009D735D"/>
    <w:rsid w:val="009E6195"/>
    <w:rsid w:val="009F2A4E"/>
    <w:rsid w:val="00A32810"/>
    <w:rsid w:val="00A4026C"/>
    <w:rsid w:val="00A706CE"/>
    <w:rsid w:val="00A778A9"/>
    <w:rsid w:val="00AA3BC1"/>
    <w:rsid w:val="00AB710C"/>
    <w:rsid w:val="00B10D30"/>
    <w:rsid w:val="00B361CC"/>
    <w:rsid w:val="00BA6436"/>
    <w:rsid w:val="00BC5FCC"/>
    <w:rsid w:val="00BF4C3A"/>
    <w:rsid w:val="00C065A1"/>
    <w:rsid w:val="00C371C9"/>
    <w:rsid w:val="00C730F4"/>
    <w:rsid w:val="00CD71F8"/>
    <w:rsid w:val="00CE64EB"/>
    <w:rsid w:val="00CE677B"/>
    <w:rsid w:val="00D01461"/>
    <w:rsid w:val="00D91B94"/>
    <w:rsid w:val="00DB1905"/>
    <w:rsid w:val="00E04CE4"/>
    <w:rsid w:val="00E06732"/>
    <w:rsid w:val="00E11055"/>
    <w:rsid w:val="00E354E9"/>
    <w:rsid w:val="00E53FA2"/>
    <w:rsid w:val="00E65F0E"/>
    <w:rsid w:val="00E83C8D"/>
    <w:rsid w:val="00F10532"/>
    <w:rsid w:val="00F943A0"/>
    <w:rsid w:val="00FC070A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BDCCC3-BD8B-499E-AC4E-5573B203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6C"/>
  </w:style>
  <w:style w:type="paragraph" w:styleId="Heading1">
    <w:name w:val="heading 1"/>
    <w:basedOn w:val="Normal"/>
    <w:next w:val="Normal"/>
    <w:link w:val="Heading1Char"/>
    <w:uiPriority w:val="9"/>
    <w:qFormat/>
    <w:rsid w:val="00A4026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26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26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2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2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2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2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2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2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26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26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26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26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26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26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26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26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026C"/>
    <w:pPr>
      <w:spacing w:line="240" w:lineRule="auto"/>
    </w:pPr>
    <w:rPr>
      <w:b/>
      <w:bCs/>
      <w:smallCaps/>
      <w:color w:val="954F72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4026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954F72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4026C"/>
    <w:rPr>
      <w:rFonts w:asciiTheme="majorHAnsi" w:eastAsiaTheme="majorEastAsia" w:hAnsiTheme="majorHAnsi" w:cstheme="majorBidi"/>
      <w:caps/>
      <w:color w:val="954F72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26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26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4026C"/>
    <w:rPr>
      <w:b/>
      <w:bCs/>
    </w:rPr>
  </w:style>
  <w:style w:type="character" w:styleId="Emphasis">
    <w:name w:val="Emphasis"/>
    <w:basedOn w:val="DefaultParagraphFont"/>
    <w:uiPriority w:val="20"/>
    <w:qFormat/>
    <w:rsid w:val="00A4026C"/>
    <w:rPr>
      <w:i/>
      <w:iCs/>
    </w:rPr>
  </w:style>
  <w:style w:type="paragraph" w:styleId="NoSpacing">
    <w:name w:val="No Spacing"/>
    <w:uiPriority w:val="1"/>
    <w:qFormat/>
    <w:rsid w:val="00A4026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4026C"/>
    <w:pPr>
      <w:spacing w:before="120" w:after="120"/>
      <w:ind w:left="720"/>
    </w:pPr>
    <w:rPr>
      <w:color w:val="954F72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026C"/>
    <w:rPr>
      <w:color w:val="954F7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26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954F72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26C"/>
    <w:rPr>
      <w:rFonts w:asciiTheme="majorHAnsi" w:eastAsiaTheme="majorEastAsia" w:hAnsiTheme="majorHAnsi" w:cstheme="majorBidi"/>
      <w:color w:val="954F7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4026C"/>
    <w:rPr>
      <w:i/>
      <w:iCs/>
      <w:color w:val="85A2D8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4026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026C"/>
    <w:rPr>
      <w:smallCaps/>
      <w:color w:val="85A2D8" w:themeColor="text1" w:themeTint="A6"/>
      <w:u w:val="none" w:color="A0B7E1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4026C"/>
    <w:rPr>
      <w:b/>
      <w:bCs/>
      <w:smallCaps/>
      <w:color w:val="954F7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026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026C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544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445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5445"/>
    <w:rPr>
      <w:vertAlign w:val="superscript"/>
    </w:rPr>
  </w:style>
  <w:style w:type="table" w:styleId="TableGrid">
    <w:name w:val="Table Grid"/>
    <w:basedOn w:val="TableNormal"/>
    <w:uiPriority w:val="39"/>
    <w:rsid w:val="0074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3D395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90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43E"/>
  </w:style>
  <w:style w:type="paragraph" w:styleId="Footer">
    <w:name w:val="footer"/>
    <w:basedOn w:val="Normal"/>
    <w:link w:val="FooterChar"/>
    <w:uiPriority w:val="99"/>
    <w:unhideWhenUsed/>
    <w:rsid w:val="00490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43E"/>
  </w:style>
  <w:style w:type="paragraph" w:styleId="BalloonText">
    <w:name w:val="Balloon Text"/>
    <w:basedOn w:val="Normal"/>
    <w:link w:val="BalloonTextChar"/>
    <w:uiPriority w:val="99"/>
    <w:semiHidden/>
    <w:unhideWhenUsed/>
    <w:rsid w:val="00E11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2.%20kvartal\Grafici%20za%20izvjestaj%202.KVART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2.%20kvartal\Grafici%20za%20izvjestaj%202.KVART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2.%20kvartal\Grafici%20za%20izvjestaj%202.KVARTA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jelena.djurovic\Desktop\Izvje&#353;taji%20o%20dr&#382;avnom%20dugu\2019\2.%20kvartal\Grafici%20za%20izvjestaj%202.KVARTAL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2.%20kvartal\Grafici%20za%20izvjestaj%202.KVARTA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 b="1">
                <a:solidFill>
                  <a:sysClr val="windowText" lastClr="000000"/>
                </a:solidFill>
              </a:rPr>
              <a:t>Figure</a:t>
            </a:r>
            <a:r>
              <a:rPr lang="sr-Latn-RS" sz="1100" b="1">
                <a:solidFill>
                  <a:sysClr val="windowText" lastClr="000000"/>
                </a:solidFill>
              </a:rPr>
              <a:t> </a:t>
            </a:r>
            <a:r>
              <a:rPr lang="en-GB" sz="1100" b="1">
                <a:solidFill>
                  <a:sysClr val="windowText" lastClr="000000"/>
                </a:solidFill>
              </a:rPr>
              <a:t>1</a:t>
            </a:r>
            <a:r>
              <a:rPr lang="sr-Latn-RS" sz="1100" b="1">
                <a:solidFill>
                  <a:sysClr val="windowText" lastClr="000000"/>
                </a:solidFill>
              </a:rPr>
              <a:t> </a:t>
            </a:r>
            <a:r>
              <a:rPr lang="en-GB" sz="1100" b="1">
                <a:solidFill>
                  <a:sysClr val="windowText" lastClr="000000"/>
                </a:solidFill>
              </a:rPr>
              <a:t>Central Government Debt in mill. EUR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'Sheet1 (2)'!$A$52</c:f>
              <c:strCache>
                <c:ptCount val="1"/>
                <c:pt idx="0">
                  <c:v>General Government Debt in mill.EUR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(2)'!$B$51:$G$51</c:f>
              <c:strCache>
                <c:ptCount val="3"/>
                <c:pt idx="0">
                  <c:v>31.03.2019</c:v>
                </c:pt>
                <c:pt idx="1">
                  <c:v>30.06.2019</c:v>
                </c:pt>
                <c:pt idx="2">
                  <c:v>30.09.2019</c:v>
                </c:pt>
              </c:strCache>
            </c:strRef>
          </c:cat>
          <c:val>
            <c:numRef>
              <c:f>'Sheet1 (2)'!$B$52:$G$52</c:f>
              <c:numCache>
                <c:formatCode>0.00</c:formatCode>
                <c:ptCount val="3"/>
                <c:pt idx="0">
                  <c:v>3179.38</c:v>
                </c:pt>
                <c:pt idx="1">
                  <c:v>3133.6836985335253</c:v>
                </c:pt>
                <c:pt idx="2">
                  <c:v>3127.89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498-4570-9D0A-EC77F1DA9C2D}"/>
            </c:ext>
          </c:extLst>
        </c:ser>
        <c:ser>
          <c:idx val="1"/>
          <c:order val="1"/>
          <c:tx>
            <c:strRef>
              <c:f>'Sheet1 (2)'!$A$53</c:f>
              <c:strCache>
                <c:ptCount val="1"/>
                <c:pt idx="0">
                  <c:v>General Government Debt, including deposits, in mill.EUR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(2)'!$B$51:$G$51</c:f>
              <c:strCache>
                <c:ptCount val="3"/>
                <c:pt idx="0">
                  <c:v>31.03.2019</c:v>
                </c:pt>
                <c:pt idx="1">
                  <c:v>30.06.2019</c:v>
                </c:pt>
                <c:pt idx="2">
                  <c:v>30.09.2019</c:v>
                </c:pt>
              </c:strCache>
            </c:strRef>
          </c:cat>
          <c:val>
            <c:numRef>
              <c:f>'Sheet1 (2)'!$B$53:$G$53</c:f>
              <c:numCache>
                <c:formatCode>0.00</c:formatCode>
                <c:ptCount val="3"/>
                <c:pt idx="0">
                  <c:v>2925.68</c:v>
                </c:pt>
                <c:pt idx="1">
                  <c:v>2949.6495665435255</c:v>
                </c:pt>
                <c:pt idx="2">
                  <c:v>2970.32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498-4570-9D0A-EC77F1DA9C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52724976"/>
        <c:axId val="165995568"/>
      </c:lineChart>
      <c:catAx>
        <c:axId val="65272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995568"/>
        <c:crosses val="autoZero"/>
        <c:auto val="1"/>
        <c:lblAlgn val="ctr"/>
        <c:lblOffset val="100"/>
        <c:noMultiLvlLbl val="0"/>
      </c:catAx>
      <c:valAx>
        <c:axId val="165995568"/>
        <c:scaling>
          <c:orientation val="minMax"/>
          <c:max val="3200"/>
          <c:min val="28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2724976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 b="1">
                <a:solidFill>
                  <a:sysClr val="windowText" lastClr="000000"/>
                </a:solidFill>
              </a:rPr>
              <a:t>Figure 2 Central Government Debt as % of</a:t>
            </a:r>
            <a:r>
              <a:rPr lang="en-GB" sz="1100" b="1" baseline="0">
                <a:solidFill>
                  <a:sysClr val="windowText" lastClr="000000"/>
                </a:solidFill>
              </a:rPr>
              <a:t> GDP</a:t>
            </a:r>
            <a:endParaRPr lang="en-GB" sz="11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'Sheet1 (2)'!$A$56</c:f>
              <c:strCache>
                <c:ptCount val="1"/>
                <c:pt idx="0">
                  <c:v>General Government Debt as % of GDP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64.21%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51-4C7D-BDC2-8D84C99477B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63.29%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51-4C7D-BDC2-8D84C99477B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63.18%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D51-4C7D-BDC2-8D84C99477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(2)'!$B$55:$G$55</c:f>
              <c:strCache>
                <c:ptCount val="3"/>
                <c:pt idx="0">
                  <c:v>31.03.2019</c:v>
                </c:pt>
                <c:pt idx="1">
                  <c:v>30.06.2019</c:v>
                </c:pt>
                <c:pt idx="2">
                  <c:v>30.09.2019</c:v>
                </c:pt>
              </c:strCache>
            </c:strRef>
          </c:cat>
          <c:val>
            <c:numRef>
              <c:f>'Sheet1 (2)'!$B$56:$G$56</c:f>
              <c:numCache>
                <c:formatCode>0.00%</c:formatCode>
                <c:ptCount val="3"/>
                <c:pt idx="0">
                  <c:v>0.66001951381536605</c:v>
                </c:pt>
                <c:pt idx="1">
                  <c:v>0.65053324583951444</c:v>
                </c:pt>
                <c:pt idx="2">
                  <c:v>0.64933115174169864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57-43E6-B9A5-F637CD35B8BB}"/>
            </c:ext>
          </c:extLst>
        </c:ser>
        <c:ser>
          <c:idx val="1"/>
          <c:order val="1"/>
          <c:tx>
            <c:strRef>
              <c:f>'Sheet1 (2)'!$A$57</c:f>
              <c:strCache>
                <c:ptCount val="1"/>
                <c:pt idx="0">
                  <c:v>General Government Debt, including deposits % of GDP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59.09%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51-4C7D-BDC2-8D84C99477B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59.58%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51-4C7D-BDC2-8D84C99477B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60.00%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D51-4C7D-BDC2-8D84C99477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'Sheet1 (2)'!$B$55:$G$55</c:f>
              <c:strCache>
                <c:ptCount val="3"/>
                <c:pt idx="0">
                  <c:v>31.03.2019</c:v>
                </c:pt>
                <c:pt idx="1">
                  <c:v>30.06.2019</c:v>
                </c:pt>
                <c:pt idx="2">
                  <c:v>30.09.2019</c:v>
                </c:pt>
              </c:strCache>
            </c:strRef>
          </c:cat>
          <c:val>
            <c:numRef>
              <c:f>'Sheet1 (2)'!$B$57:$G$57</c:f>
              <c:numCache>
                <c:formatCode>0.00%</c:formatCode>
                <c:ptCount val="3"/>
                <c:pt idx="0">
                  <c:v>0.60735297170496771</c:v>
                </c:pt>
                <c:pt idx="1">
                  <c:v>0.61232890464045286</c:v>
                </c:pt>
                <c:pt idx="2">
                  <c:v>0.61661936804819006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57-43E6-B9A5-F637CD35B8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5611712"/>
        <c:axId val="755612272"/>
      </c:barChart>
      <c:catAx>
        <c:axId val="75561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5612272"/>
        <c:crosses val="autoZero"/>
        <c:auto val="1"/>
        <c:lblAlgn val="ctr"/>
        <c:lblOffset val="100"/>
        <c:noMultiLvlLbl val="0"/>
      </c:catAx>
      <c:valAx>
        <c:axId val="755612272"/>
        <c:scaling>
          <c:orientation val="minMax"/>
          <c:max val="0.70000000000000007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5611712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100" b="1">
                <a:solidFill>
                  <a:sysClr val="windowText" lastClr="000000"/>
                </a:solidFill>
              </a:rPr>
              <a:t>Figure 3</a:t>
            </a:r>
            <a:r>
              <a:rPr lang="en-GB" sz="1100" b="1" baseline="0">
                <a:solidFill>
                  <a:sysClr val="windowText" lastClr="000000"/>
                </a:solidFill>
              </a:rPr>
              <a:t> </a:t>
            </a:r>
            <a:r>
              <a:rPr lang="en-GB" sz="1100" b="1" i="0" u="none" strike="noStrike" baseline="0">
                <a:effectLst/>
              </a:rPr>
              <a:t>Interest Rate Structure of Central Government Debt </a:t>
            </a:r>
            <a:r>
              <a:rPr lang="en-GB" sz="1100" b="1" baseline="0">
                <a:solidFill>
                  <a:sysClr val="windowText" lastClr="000000"/>
                </a:solidFill>
              </a:rPr>
              <a:t>30.09.2019</a:t>
            </a:r>
            <a:endParaRPr lang="en-GB" sz="11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3397060009137083"/>
          <c:y val="0.21163349372995041"/>
          <c:w val="0.57756505692761106"/>
          <c:h val="0.5875922280548264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8FA-4E4A-8D7F-F0C6BAB847E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8FA-4E4A-8D7F-F0C6BAB847E1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fld id="{BAB9A2CD-2660-46D2-B9BF-7928630DC81E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GB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8FA-4E4A-8D7F-F0C6BAB847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Sheet2!$K$13:$K$14</c:f>
              <c:strCache>
                <c:ptCount val="2"/>
                <c:pt idx="0">
                  <c:v>fix</c:v>
                </c:pt>
                <c:pt idx="1">
                  <c:v>var</c:v>
                </c:pt>
              </c:strCache>
            </c:strRef>
          </c:cat>
          <c:val>
            <c:numRef>
              <c:f>Sheet2!$M$13:$M$14</c:f>
              <c:numCache>
                <c:formatCode>0.00%</c:formatCode>
                <c:ptCount val="2"/>
                <c:pt idx="0">
                  <c:v>0.7807183975851183</c:v>
                </c:pt>
                <c:pt idx="1">
                  <c:v>0.21928160241488162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8FA-4E4A-8D7F-F0C6BAB847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100">
                <a:solidFill>
                  <a:sysClr val="windowText" lastClr="000000"/>
                </a:solidFill>
              </a:rPr>
              <a:t> </a:t>
            </a:r>
            <a:r>
              <a:rPr lang="sr-Latn-RS" sz="1100" b="1" i="0" u="none" strike="noStrike" baseline="0">
                <a:effectLst/>
              </a:rPr>
              <a:t>Figure </a:t>
            </a:r>
            <a:r>
              <a:rPr lang="en-GB" sz="1100" b="1" i="0" u="none" strike="noStrike" baseline="0">
                <a:effectLst/>
              </a:rPr>
              <a:t>4</a:t>
            </a:r>
            <a:r>
              <a:rPr lang="sr-Latn-RS" sz="1100" b="1" i="0" u="none" strike="noStrike" baseline="0">
                <a:effectLst/>
              </a:rPr>
              <a:t> Currency Structure of Central Government Debt </a:t>
            </a:r>
            <a:endParaRPr lang="en-GB" sz="1100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481-4E3D-B44A-338B0330D0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481-4E3D-B44A-338B0330D0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481-4E3D-B44A-338B0330D0F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1481-4E3D-B44A-338B0330D0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Sheet2!$I$20:$I$22</c:f>
              <c:strCache>
                <c:ptCount val="3"/>
                <c:pt idx="0">
                  <c:v>EUR</c:v>
                </c:pt>
                <c:pt idx="1">
                  <c:v>USD</c:v>
                </c:pt>
                <c:pt idx="2">
                  <c:v>Ostalo (Nok, SDR, CHF)</c:v>
                </c:pt>
              </c:strCache>
            </c:strRef>
          </c:cat>
          <c:val>
            <c:numRef>
              <c:f>Sheet2!$J$20:$J$22</c:f>
              <c:numCache>
                <c:formatCode>0.00%</c:formatCode>
                <c:ptCount val="3"/>
                <c:pt idx="0">
                  <c:v>0.77242378685852886</c:v>
                </c:pt>
                <c:pt idx="1">
                  <c:v>0.21582582392497673</c:v>
                </c:pt>
                <c:pt idx="2">
                  <c:v>1.1750389216494406E-2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481-4E3D-B44A-338B0330D0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 b="1" i="0" u="none" strike="noStrike" baseline="0">
                <a:solidFill>
                  <a:sysClr val="windowText" lastClr="000000"/>
                </a:solidFill>
                <a:effectLst/>
              </a:rPr>
              <a:t>Figure 5 Share of Domestic and Foreign Debt </a:t>
            </a:r>
            <a:r>
              <a:rPr lang="en-US" sz="1100" b="1">
                <a:solidFill>
                  <a:sysClr val="windowText" lastClr="000000"/>
                </a:solidFill>
              </a:rPr>
              <a:t>30.09.2019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'Sheet1 (2)'!$E$61</c:f>
              <c:strCache>
                <c:ptCount val="1"/>
                <c:pt idx="0">
                  <c:v>30.09.2019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3CC-4C6A-8DD7-1EAA89178A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3CC-4C6A-8DD7-1EAA89178A9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43CC-4C6A-8DD7-1EAA89178A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'Sheet1 (2)'!$A$62:$A$63</c:f>
              <c:strCache>
                <c:ptCount val="2"/>
                <c:pt idx="0">
                  <c:v>Foreign Debt</c:v>
                </c:pt>
                <c:pt idx="1">
                  <c:v>Domestic debt</c:v>
                </c:pt>
              </c:strCache>
            </c:strRef>
          </c:cat>
          <c:val>
            <c:numRef>
              <c:f>'Sheet1 (2)'!$E$62:$E$63</c:f>
              <c:numCache>
                <c:formatCode>0.00%</c:formatCode>
                <c:ptCount val="2"/>
                <c:pt idx="0">
                  <c:v>0.83870238958204246</c:v>
                </c:pt>
                <c:pt idx="1">
                  <c:v>0.16129761041795751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3CC-4C6A-8DD7-1EAA89178A95}"/>
            </c:ext>
          </c:extLst>
        </c:ser>
        <c:ser>
          <c:idx val="1"/>
          <c:order val="1"/>
          <c:tx>
            <c:strRef>
              <c:f>'Sheet1 (2)'!$A$62</c:f>
              <c:strCache>
                <c:ptCount val="1"/>
                <c:pt idx="0">
                  <c:v>Foreign Debt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43CC-4C6A-8DD7-1EAA89178A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43CC-4C6A-8DD7-1EAA89178A9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'Sheet1 (2)'!$A$62:$A$63</c:f>
              <c:strCache>
                <c:ptCount val="2"/>
                <c:pt idx="0">
                  <c:v>Foreign Debt</c:v>
                </c:pt>
                <c:pt idx="1">
                  <c:v>Domestic debt</c:v>
                </c:pt>
              </c:strCache>
            </c:strRef>
          </c:cat>
          <c:val>
            <c:numRef>
              <c:f>'Sheet1 (2)'!$A$63:$A$64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3CC-4C6A-8DD7-1EAA89178A9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Badge">
  <a:themeElements>
    <a:clrScheme name="nase boje">
      <a:dk1>
        <a:srgbClr val="4472C4"/>
      </a:dk1>
      <a:lt1>
        <a:sysClr val="window" lastClr="FFFFFF"/>
      </a:lt1>
      <a:dk2>
        <a:srgbClr val="954F72"/>
      </a:dk2>
      <a:lt2>
        <a:srgbClr val="E7E6E6"/>
      </a:lt2>
      <a:accent1>
        <a:srgbClr val="4472C4"/>
      </a:accent1>
      <a:accent2>
        <a:srgbClr val="FFF2CC"/>
      </a:accent2>
      <a:accent3>
        <a:srgbClr val="FF0000"/>
      </a:accent3>
      <a:accent4>
        <a:srgbClr val="E7E6E6"/>
      </a:accent4>
      <a:accent5>
        <a:srgbClr val="954F72"/>
      </a:accent5>
      <a:accent6>
        <a:srgbClr val="A5A5A5"/>
      </a:accent6>
      <a:hlink>
        <a:srgbClr val="0563C1"/>
      </a:hlink>
      <a:folHlink>
        <a:srgbClr val="954F72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word/theme/themeOverride1.xml><?xml version="1.0" encoding="utf-8"?>
<a:themeOverride xmlns:a="http://schemas.openxmlformats.org/drawingml/2006/main">
  <a:clrScheme name="nase boje">
    <a:dk1>
      <a:srgbClr val="4472C4"/>
    </a:dk1>
    <a:lt1>
      <a:sysClr val="window" lastClr="FFFFFF"/>
    </a:lt1>
    <a:dk2>
      <a:srgbClr val="954F72"/>
    </a:dk2>
    <a:lt2>
      <a:srgbClr val="E7E6E6"/>
    </a:lt2>
    <a:accent1>
      <a:srgbClr val="4472C4"/>
    </a:accent1>
    <a:accent2>
      <a:srgbClr val="FFF2CC"/>
    </a:accent2>
    <a:accent3>
      <a:srgbClr val="FF0000"/>
    </a:accent3>
    <a:accent4>
      <a:srgbClr val="E7E6E6"/>
    </a:accent4>
    <a:accent5>
      <a:srgbClr val="954F72"/>
    </a:accent5>
    <a:accent6>
      <a:srgbClr val="A5A5A5"/>
    </a:accent6>
    <a:hlink>
      <a:srgbClr val="0563C1"/>
    </a:hlink>
    <a:folHlink>
      <a:srgbClr val="954F72"/>
    </a:folHlink>
  </a:clrScheme>
  <a:fontScheme name="Custom 1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Badge">
    <a:fillStyleLst>
      <a:solidFill>
        <a:schemeClr val="phClr"/>
      </a:solidFill>
      <a:gradFill rotWithShape="1">
        <a:gsLst>
          <a:gs pos="0">
            <a:schemeClr val="phClr">
              <a:tint val="67000"/>
              <a:satMod val="105000"/>
              <a:lumMod val="110000"/>
            </a:schemeClr>
          </a:gs>
          <a:gs pos="50000">
            <a:schemeClr val="phClr">
              <a:tint val="73000"/>
              <a:satMod val="103000"/>
              <a:lumMod val="105000"/>
            </a:schemeClr>
          </a:gs>
          <a:gs pos="100000">
            <a:schemeClr val="phClr">
              <a:tint val="81000"/>
              <a:satMod val="109000"/>
              <a:lumMod val="105000"/>
            </a:schemeClr>
          </a:gs>
        </a:gsLst>
        <a:lin ang="5400000" scaled="0"/>
      </a:gradFill>
      <a:gradFill rotWithShape="1">
        <a:gsLst>
          <a:gs pos="0">
            <a:schemeClr val="phClr">
              <a:tint val="94000"/>
              <a:satMod val="103000"/>
              <a:lumMod val="102000"/>
            </a:schemeClr>
          </a:gs>
          <a:gs pos="50000">
            <a:schemeClr val="phClr">
              <a:shade val="100000"/>
              <a:satMod val="110000"/>
              <a:lumMod val="100000"/>
            </a:schemeClr>
          </a:gs>
          <a:gs pos="100000">
            <a:schemeClr val="phClr">
              <a:shade val="78000"/>
              <a:satMod val="120000"/>
              <a:lumMod val="99000"/>
            </a:schemeClr>
          </a:gs>
        </a:gsLst>
        <a:lin ang="5400000" scaled="0"/>
      </a:gradFill>
    </a:fillStyleLst>
    <a:lnStyleLst>
      <a:ln w="6350" cap="flat" cmpd="sng" algn="in">
        <a:solidFill>
          <a:schemeClr val="phClr"/>
        </a:solidFill>
        <a:prstDash val="solid"/>
      </a:ln>
      <a:ln w="12700" cap="flat" cmpd="sng" algn="in">
        <a:solidFill>
          <a:schemeClr val="phClr"/>
        </a:solidFill>
        <a:prstDash val="solid"/>
      </a:ln>
      <a:ln w="50800" cap="flat" cmpd="sng" algn="in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38100" dist="25400" dir="5400000" algn="ctr" rotWithShape="0">
            <a:srgbClr val="000000">
              <a:alpha val="2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hade val="98000"/>
              <a:satMod val="150000"/>
              <a:lumMod val="102000"/>
            </a:schemeClr>
          </a:gs>
          <a:gs pos="50000">
            <a:schemeClr val="phClr">
              <a:tint val="98000"/>
              <a:shade val="90000"/>
              <a:satMod val="13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Djurovic</dc:creator>
  <cp:keywords/>
  <dc:description/>
  <cp:lastModifiedBy>Ana Djuraskovic</cp:lastModifiedBy>
  <cp:revision>2</cp:revision>
  <cp:lastPrinted>2019-11-22T12:57:00Z</cp:lastPrinted>
  <dcterms:created xsi:type="dcterms:W3CDTF">2020-11-24T06:28:00Z</dcterms:created>
  <dcterms:modified xsi:type="dcterms:W3CDTF">2020-11-24T06:28:00Z</dcterms:modified>
</cp:coreProperties>
</file>