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0B" w:rsidRPr="00D01786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D01786">
        <w:rPr>
          <w:rFonts w:ascii="Cambria" w:hAnsi="Cambria" w:cs="Cambria"/>
          <w:noProof/>
          <w:lang w:val="en-U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7A9" w:rsidRPr="00D01786" w:rsidRDefault="00D357A9" w:rsidP="00D357A9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D01786">
        <w:rPr>
          <w:rFonts w:asciiTheme="minorHAnsi" w:hAnsiTheme="minorHAnsi" w:cstheme="minorHAnsi"/>
          <w:b/>
          <w:bCs/>
          <w:sz w:val="28"/>
          <w:szCs w:val="28"/>
          <w:lang w:val="en-GB"/>
        </w:rPr>
        <w:t>MONTENEGRO</w:t>
      </w:r>
    </w:p>
    <w:p w:rsidR="00D357A9" w:rsidRPr="00D01786" w:rsidRDefault="00D357A9" w:rsidP="00D357A9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D01786">
        <w:rPr>
          <w:rFonts w:asciiTheme="minorHAnsi" w:hAnsiTheme="minorHAnsi" w:cstheme="minorHAnsi"/>
          <w:b/>
          <w:bCs/>
          <w:sz w:val="28"/>
          <w:szCs w:val="28"/>
          <w:lang w:val="en-GB"/>
        </w:rPr>
        <w:t>MINISTRY OF FINANCE</w:t>
      </w:r>
    </w:p>
    <w:p w:rsidR="0082570B" w:rsidRPr="00D01786" w:rsidRDefault="00D357A9" w:rsidP="00D357A9">
      <w:pPr>
        <w:pStyle w:val="NoSpacing"/>
        <w:jc w:val="center"/>
        <w:outlineLvl w:val="0"/>
        <w:rPr>
          <w:b/>
          <w:bCs/>
          <w:sz w:val="28"/>
          <w:szCs w:val="28"/>
          <w:lang w:val="en-GB"/>
        </w:rPr>
      </w:pPr>
      <w:r w:rsidRPr="00D01786">
        <w:rPr>
          <w:rFonts w:asciiTheme="minorHAnsi" w:hAnsiTheme="minorHAnsi" w:cstheme="minorHAnsi"/>
          <w:b/>
          <w:bCs/>
          <w:sz w:val="28"/>
          <w:szCs w:val="28"/>
          <w:lang w:val="en-GB"/>
        </w:rPr>
        <w:t>Department for Economic Policy and Development</w:t>
      </w:r>
    </w:p>
    <w:p w:rsidR="0082570B" w:rsidRPr="00D01786" w:rsidRDefault="0082570B" w:rsidP="00D61692">
      <w:pPr>
        <w:rPr>
          <w:rFonts w:cs="Calibri"/>
        </w:rPr>
      </w:pPr>
    </w:p>
    <w:p w:rsidR="0082570B" w:rsidRPr="00D01786" w:rsidRDefault="0082570B" w:rsidP="00D61692">
      <w:pPr>
        <w:jc w:val="center"/>
        <w:rPr>
          <w:rFonts w:cs="Calibri"/>
          <w:b/>
          <w:bCs/>
          <w:i/>
          <w:iCs/>
          <w:sz w:val="36"/>
          <w:szCs w:val="36"/>
        </w:rPr>
      </w:pPr>
    </w:p>
    <w:p w:rsidR="0082570B" w:rsidRPr="00D01786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D01786" w:rsidRDefault="0082570B" w:rsidP="000F756E">
      <w:pPr>
        <w:rPr>
          <w:rFonts w:cs="Calibri"/>
          <w:b/>
          <w:bCs/>
          <w:i/>
          <w:iCs/>
          <w:sz w:val="36"/>
          <w:szCs w:val="36"/>
        </w:rPr>
      </w:pPr>
    </w:p>
    <w:p w:rsidR="0082570B" w:rsidRPr="00D01786" w:rsidRDefault="00D357A9" w:rsidP="0002564B">
      <w:pPr>
        <w:spacing w:line="240" w:lineRule="auto"/>
        <w:jc w:val="center"/>
        <w:outlineLvl w:val="0"/>
        <w:rPr>
          <w:rFonts w:cs="Calibri"/>
          <w:b/>
          <w:bCs/>
          <w:iCs/>
          <w:sz w:val="52"/>
          <w:szCs w:val="52"/>
        </w:rPr>
      </w:pPr>
      <w:r w:rsidRPr="00D01786">
        <w:rPr>
          <w:rFonts w:cs="Calibri"/>
          <w:b/>
          <w:bCs/>
          <w:iCs/>
          <w:sz w:val="52"/>
          <w:szCs w:val="52"/>
        </w:rPr>
        <w:t>MONTHLY MACROECONOMIC INDICATORS</w:t>
      </w:r>
    </w:p>
    <w:p w:rsidR="0082570B" w:rsidRPr="00D01786" w:rsidRDefault="00B355D6" w:rsidP="0002564B">
      <w:pPr>
        <w:spacing w:line="240" w:lineRule="auto"/>
        <w:jc w:val="center"/>
        <w:outlineLvl w:val="0"/>
        <w:rPr>
          <w:rFonts w:cs="Calibri"/>
          <w:b/>
          <w:bCs/>
          <w:sz w:val="32"/>
          <w:szCs w:val="32"/>
        </w:rPr>
      </w:pPr>
      <w:r w:rsidRPr="00D01786">
        <w:rPr>
          <w:rFonts w:cs="Calibri"/>
          <w:b/>
          <w:bCs/>
          <w:sz w:val="32"/>
          <w:szCs w:val="32"/>
        </w:rPr>
        <w:t>Februar</w:t>
      </w:r>
      <w:r w:rsidR="00D357A9" w:rsidRPr="00D01786">
        <w:rPr>
          <w:rFonts w:cs="Calibri"/>
          <w:b/>
          <w:bCs/>
          <w:sz w:val="32"/>
          <w:szCs w:val="32"/>
        </w:rPr>
        <w:t>y</w:t>
      </w:r>
      <w:r w:rsidR="00D01786" w:rsidRPr="00D01786">
        <w:rPr>
          <w:rFonts w:cs="Calibri"/>
          <w:b/>
          <w:bCs/>
          <w:sz w:val="32"/>
          <w:szCs w:val="32"/>
        </w:rPr>
        <w:t xml:space="preserve"> </w:t>
      </w:r>
      <w:r w:rsidR="006D2B20" w:rsidRPr="00D01786">
        <w:rPr>
          <w:rFonts w:cs="Calibri"/>
          <w:b/>
          <w:bCs/>
          <w:sz w:val="32"/>
          <w:szCs w:val="32"/>
        </w:rPr>
        <w:t>2014</w:t>
      </w:r>
    </w:p>
    <w:p w:rsidR="0082570B" w:rsidRPr="00D01786" w:rsidRDefault="0082570B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:rsidR="0082570B" w:rsidRPr="00D01786" w:rsidRDefault="00A423C3" w:rsidP="00D61692">
      <w:pPr>
        <w:spacing w:after="0" w:line="240" w:lineRule="auto"/>
        <w:rPr>
          <w:rFonts w:cs="Calibri"/>
          <w:b/>
          <w:bCs/>
          <w:sz w:val="28"/>
          <w:szCs w:val="28"/>
        </w:rPr>
      </w:pPr>
      <w:r w:rsidRPr="00D01786">
        <w:rPr>
          <w:rFonts w:cs="Calibri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2516065</wp:posOffset>
            </wp:positionH>
            <wp:positionV relativeFrom="paragraph">
              <wp:posOffset>38051</wp:posOffset>
            </wp:positionV>
            <wp:extent cx="5474384" cy="5022166"/>
            <wp:effectExtent l="19050" t="0" r="0" b="0"/>
            <wp:wrapNone/>
            <wp:docPr id="7" name="Picture 5" descr="http://www.mtaconsulting.com/uploads/images/Arrow%20up%20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taconsulting.com/uploads/images/Arrow%20up%20v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384" cy="5022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570B" w:rsidRPr="00D01786" w:rsidRDefault="00A20E76" w:rsidP="00D20CDA">
      <w:pPr>
        <w:spacing w:after="0" w:line="240" w:lineRule="auto"/>
        <w:rPr>
          <w:rFonts w:cs="Calibri"/>
          <w:bCs/>
          <w:sz w:val="28"/>
          <w:szCs w:val="28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185" style="position:absolute;margin-left:-11pt;margin-top:363pt;width:234.35pt;height:338pt;z-index:-251658240;visibility:visible;mso-position-horizontal-relative:margin;mso-position-vertical-relative:margin" wrapcoords="1315 -96 900 -48 -138 527 -138 20882 415 21361 415 21408 1108 21648 1246 21648 20285 21648 20423 21648 21254 21361 21738 20738 21738 1293 21669 527 20769 0 20285 -96 1315 -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" o:allowincell="f" adj="1739" fillcolor="#943634" strokecolor="#c00000" strokeweight="3pt">
            <v:shadow color="#730000" offset="1pt,1pt"/>
            <v:textbox inset="3.6pt,,3.6pt">
              <w:txbxContent>
                <w:p w:rsidR="001242DC" w:rsidRDefault="001242DC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1C43B5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KEY NOTES</w:t>
                  </w:r>
                </w:p>
                <w:p w:rsidR="001242DC" w:rsidRDefault="001242DC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</w:p>
                <w:p w:rsidR="001242DC" w:rsidRPr="00D800B5" w:rsidRDefault="001242DC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>
                    <w:rPr>
                      <w:b/>
                      <w:sz w:val="32"/>
                      <w:szCs w:val="20"/>
                    </w:rPr>
                    <w:t xml:space="preserve">Industrial output grew in January </w:t>
                  </w:r>
                  <w:r w:rsidRPr="00D800B5">
                    <w:rPr>
                      <w:b/>
                      <w:sz w:val="32"/>
                      <w:szCs w:val="20"/>
                    </w:rPr>
                    <w:t>2014</w:t>
                  </w:r>
                  <w:r>
                    <w:rPr>
                      <w:b/>
                      <w:sz w:val="32"/>
                      <w:szCs w:val="20"/>
                    </w:rPr>
                    <w:t>.</w:t>
                  </w:r>
                </w:p>
                <w:p w:rsidR="001242DC" w:rsidRPr="00D800B5" w:rsidRDefault="001242DC" w:rsidP="00D800B5">
                  <w:pPr>
                    <w:pStyle w:val="NoSpacing"/>
                    <w:ind w:left="567"/>
                    <w:rPr>
                      <w:b/>
                      <w:sz w:val="32"/>
                      <w:szCs w:val="20"/>
                    </w:rPr>
                  </w:pPr>
                </w:p>
                <w:p w:rsidR="001242DC" w:rsidRPr="00D800B5" w:rsidRDefault="001242DC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>
                    <w:rPr>
                      <w:b/>
                      <w:sz w:val="32"/>
                      <w:szCs w:val="20"/>
                    </w:rPr>
                    <w:t>Retail trade turnover declined</w:t>
                  </w:r>
                </w:p>
                <w:p w:rsidR="001242DC" w:rsidRPr="00D800B5" w:rsidRDefault="001242DC" w:rsidP="00D800B5">
                  <w:pPr>
                    <w:pStyle w:val="NoSpacing"/>
                    <w:ind w:left="567"/>
                    <w:rPr>
                      <w:b/>
                      <w:sz w:val="32"/>
                      <w:szCs w:val="20"/>
                    </w:rPr>
                  </w:pPr>
                </w:p>
                <w:p w:rsidR="001242DC" w:rsidRPr="00D357A9" w:rsidRDefault="001242DC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 w:rsidRPr="00D357A9">
                    <w:rPr>
                      <w:b/>
                      <w:sz w:val="32"/>
                      <w:szCs w:val="20"/>
                    </w:rPr>
                    <w:t>Prices recorded a decline by -0</w:t>
                  </w:r>
                  <w:r>
                    <w:rPr>
                      <w:b/>
                      <w:sz w:val="32"/>
                      <w:szCs w:val="20"/>
                    </w:rPr>
                    <w:t>.</w:t>
                  </w:r>
                  <w:r w:rsidRPr="00D357A9">
                    <w:rPr>
                      <w:b/>
                      <w:sz w:val="32"/>
                      <w:szCs w:val="20"/>
                    </w:rPr>
                    <w:t xml:space="preserve">4% in January - </w:t>
                  </w:r>
                  <w:r>
                    <w:rPr>
                      <w:b/>
                      <w:sz w:val="32"/>
                      <w:szCs w:val="20"/>
                    </w:rPr>
                    <w:t>annual level</w:t>
                  </w:r>
                </w:p>
                <w:p w:rsidR="001242DC" w:rsidRPr="00D357A9" w:rsidRDefault="001242DC" w:rsidP="00D800B5">
                  <w:pPr>
                    <w:pStyle w:val="ListParagraph"/>
                    <w:rPr>
                      <w:b/>
                      <w:sz w:val="32"/>
                      <w:szCs w:val="20"/>
                      <w:lang w:val="en-US"/>
                    </w:rPr>
                  </w:pPr>
                </w:p>
                <w:p w:rsidR="001242DC" w:rsidRPr="00D800B5" w:rsidRDefault="001242DC" w:rsidP="00D800B5">
                  <w:pPr>
                    <w:pStyle w:val="NoSpacing"/>
                    <w:numPr>
                      <w:ilvl w:val="0"/>
                      <w:numId w:val="22"/>
                    </w:numPr>
                    <w:ind w:left="567"/>
                    <w:rPr>
                      <w:b/>
                      <w:sz w:val="32"/>
                      <w:szCs w:val="20"/>
                    </w:rPr>
                  </w:pPr>
                  <w:r>
                    <w:rPr>
                      <w:b/>
                      <w:sz w:val="32"/>
                      <w:szCs w:val="20"/>
                    </w:rPr>
                    <w:t>Unemployment rate reached</w:t>
                  </w:r>
                  <w:r w:rsidRPr="00D800B5">
                    <w:rPr>
                      <w:b/>
                      <w:sz w:val="32"/>
                      <w:szCs w:val="20"/>
                    </w:rPr>
                    <w:t xml:space="preserve"> 15%</w:t>
                  </w:r>
                </w:p>
                <w:p w:rsidR="001242DC" w:rsidRPr="00D800B5" w:rsidRDefault="001242DC" w:rsidP="00D800B5">
                  <w:pPr>
                    <w:pStyle w:val="NoSpacing"/>
                    <w:ind w:left="567"/>
                    <w:rPr>
                      <w:b/>
                      <w:sz w:val="28"/>
                      <w:szCs w:val="20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D01786" w:rsidRDefault="0082570B" w:rsidP="00D20CDA">
      <w:pPr>
        <w:spacing w:after="0" w:line="240" w:lineRule="auto"/>
        <w:rPr>
          <w:rFonts w:cs="Calibri"/>
          <w:bCs/>
          <w:iCs/>
          <w:sz w:val="26"/>
          <w:szCs w:val="26"/>
        </w:rPr>
      </w:pPr>
    </w:p>
    <w:p w:rsidR="0082570B" w:rsidRPr="00D01786" w:rsidRDefault="0082570B" w:rsidP="00D61692">
      <w:pPr>
        <w:pStyle w:val="NoSpacing"/>
        <w:rPr>
          <w:bCs/>
          <w:iCs/>
          <w:sz w:val="26"/>
          <w:szCs w:val="26"/>
          <w:lang w:val="en-GB"/>
        </w:rPr>
      </w:pPr>
    </w:p>
    <w:p w:rsidR="0082570B" w:rsidRPr="00D01786" w:rsidRDefault="0082570B" w:rsidP="00694445">
      <w:pPr>
        <w:pStyle w:val="NoSpacing"/>
        <w:rPr>
          <w:bCs/>
          <w:sz w:val="28"/>
          <w:szCs w:val="20"/>
          <w:lang w:val="en-GB"/>
        </w:rPr>
      </w:pPr>
    </w:p>
    <w:p w:rsidR="0082570B" w:rsidRPr="00D01786" w:rsidRDefault="0082570B" w:rsidP="003324D9">
      <w:pPr>
        <w:pStyle w:val="NoSpacing"/>
        <w:rPr>
          <w:sz w:val="32"/>
          <w:lang w:val="en-GB"/>
        </w:rPr>
      </w:pPr>
    </w:p>
    <w:p w:rsidR="0082570B" w:rsidRPr="00D01786" w:rsidRDefault="0082570B" w:rsidP="003324D9">
      <w:pPr>
        <w:pStyle w:val="NoSpacing"/>
        <w:rPr>
          <w:sz w:val="32"/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lang w:val="en-GB"/>
        </w:rPr>
      </w:pPr>
    </w:p>
    <w:p w:rsidR="0082570B" w:rsidRPr="00D01786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D01786" w:rsidRDefault="0082570B" w:rsidP="003324D9">
      <w:pPr>
        <w:pStyle w:val="NoSpacing"/>
        <w:rPr>
          <w:b/>
          <w:bCs/>
          <w:color w:val="000000"/>
          <w:sz w:val="16"/>
          <w:szCs w:val="16"/>
          <w:lang w:val="en-GB"/>
        </w:rPr>
      </w:pPr>
    </w:p>
    <w:p w:rsidR="0082570B" w:rsidRPr="00D01786" w:rsidRDefault="00D01786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  <w:r w:rsidRPr="00D01786">
        <w:rPr>
          <w:b/>
          <w:bCs/>
          <w:color w:val="000000"/>
          <w:sz w:val="16"/>
          <w:szCs w:val="16"/>
          <w:lang w:val="en-GB"/>
        </w:rPr>
        <w:t>Authors’</w:t>
      </w:r>
      <w:r w:rsidR="00D357A9" w:rsidRPr="00D01786">
        <w:rPr>
          <w:b/>
          <w:bCs/>
          <w:color w:val="000000"/>
          <w:sz w:val="16"/>
          <w:szCs w:val="16"/>
          <w:lang w:val="en-GB"/>
        </w:rPr>
        <w:t xml:space="preserve"> team</w:t>
      </w:r>
      <w:r w:rsidR="0082570B" w:rsidRPr="00D01786">
        <w:rPr>
          <w:b/>
          <w:bCs/>
          <w:color w:val="000000"/>
          <w:sz w:val="16"/>
          <w:szCs w:val="16"/>
          <w:lang w:val="en-GB"/>
        </w:rPr>
        <w:t xml:space="preserve">: </w:t>
      </w:r>
      <w:r w:rsidR="00423EE9" w:rsidRPr="00D01786">
        <w:rPr>
          <w:bCs/>
          <w:color w:val="000000"/>
          <w:sz w:val="16"/>
          <w:szCs w:val="16"/>
          <w:lang w:val="en-GB"/>
        </w:rPr>
        <w:t xml:space="preserve">Radovan </w:t>
      </w:r>
      <w:proofErr w:type="spellStart"/>
      <w:r w:rsidR="00423EE9" w:rsidRPr="00D01786">
        <w:rPr>
          <w:bCs/>
          <w:color w:val="000000"/>
          <w:sz w:val="16"/>
          <w:szCs w:val="16"/>
          <w:lang w:val="en-GB"/>
        </w:rPr>
        <w:t>Živković</w:t>
      </w:r>
      <w:proofErr w:type="spellEnd"/>
      <w:r w:rsidR="002A2CED" w:rsidRPr="00D01786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2A2CED" w:rsidRPr="00D01786">
        <w:rPr>
          <w:bCs/>
          <w:color w:val="000000"/>
          <w:sz w:val="16"/>
          <w:szCs w:val="16"/>
          <w:lang w:val="en-GB"/>
        </w:rPr>
        <w:t>Radojka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2A2CED" w:rsidRPr="00D01786">
        <w:rPr>
          <w:bCs/>
          <w:color w:val="000000"/>
          <w:sz w:val="16"/>
          <w:szCs w:val="16"/>
          <w:lang w:val="en-GB"/>
        </w:rPr>
        <w:t>Martinović</w:t>
      </w:r>
      <w:proofErr w:type="spellEnd"/>
      <w:r w:rsidR="00423EE9" w:rsidRPr="00D01786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D01786">
        <w:rPr>
          <w:bCs/>
          <w:color w:val="000000"/>
          <w:sz w:val="16"/>
          <w:szCs w:val="16"/>
          <w:lang w:val="en-GB"/>
        </w:rPr>
        <w:t>Olja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D01786">
        <w:rPr>
          <w:bCs/>
          <w:color w:val="000000"/>
          <w:sz w:val="16"/>
          <w:szCs w:val="16"/>
          <w:lang w:val="en-GB"/>
        </w:rPr>
        <w:t>Tomanović</w:t>
      </w:r>
      <w:proofErr w:type="spellEnd"/>
      <w:r w:rsidR="00423EE9" w:rsidRPr="00D01786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423EE9" w:rsidRPr="00D01786">
        <w:rPr>
          <w:bCs/>
          <w:color w:val="000000"/>
          <w:sz w:val="16"/>
          <w:szCs w:val="16"/>
          <w:lang w:val="en-GB"/>
        </w:rPr>
        <w:t>Stanko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423EE9" w:rsidRPr="00D01786">
        <w:rPr>
          <w:bCs/>
          <w:color w:val="000000"/>
          <w:sz w:val="16"/>
          <w:szCs w:val="16"/>
          <w:lang w:val="en-GB"/>
        </w:rPr>
        <w:t>Jeknić</w:t>
      </w:r>
      <w:proofErr w:type="spellEnd"/>
      <w:r w:rsidR="002A2CED" w:rsidRPr="00D01786">
        <w:rPr>
          <w:bCs/>
          <w:color w:val="000000"/>
          <w:sz w:val="16"/>
          <w:szCs w:val="16"/>
          <w:lang w:val="en-GB"/>
        </w:rPr>
        <w:t>,</w:t>
      </w:r>
      <w:r w:rsidR="00C646AC" w:rsidRPr="00D01786">
        <w:rPr>
          <w:bCs/>
          <w:color w:val="000000"/>
          <w:sz w:val="16"/>
          <w:szCs w:val="16"/>
          <w:lang w:val="en-GB"/>
        </w:rPr>
        <w:t xml:space="preserve"> Ivana </w:t>
      </w:r>
      <w:proofErr w:type="spellStart"/>
      <w:r w:rsidR="00C646AC" w:rsidRPr="00D01786">
        <w:rPr>
          <w:bCs/>
          <w:color w:val="000000"/>
          <w:sz w:val="16"/>
          <w:szCs w:val="16"/>
          <w:lang w:val="en-GB"/>
        </w:rPr>
        <w:t>Rašović</w:t>
      </w:r>
      <w:proofErr w:type="spellEnd"/>
      <w:r w:rsidR="004B5F63" w:rsidRPr="00D01786">
        <w:rPr>
          <w:bCs/>
          <w:color w:val="000000"/>
          <w:sz w:val="16"/>
          <w:szCs w:val="16"/>
          <w:lang w:val="en-GB"/>
        </w:rPr>
        <w:t xml:space="preserve">, Marija </w:t>
      </w:r>
      <w:proofErr w:type="spellStart"/>
      <w:r w:rsidR="004B5F63" w:rsidRPr="00D01786">
        <w:rPr>
          <w:bCs/>
          <w:color w:val="000000"/>
          <w:sz w:val="16"/>
          <w:szCs w:val="16"/>
          <w:lang w:val="en-GB"/>
        </w:rPr>
        <w:t>Novosel</w:t>
      </w:r>
      <w:proofErr w:type="spellEnd"/>
      <w:r w:rsidR="00A423C3" w:rsidRPr="00D01786">
        <w:rPr>
          <w:bCs/>
          <w:color w:val="000000"/>
          <w:sz w:val="16"/>
          <w:szCs w:val="16"/>
          <w:lang w:val="en-GB"/>
        </w:rPr>
        <w:t>,</w:t>
      </w:r>
      <w:r w:rsidR="002A2CED" w:rsidRPr="00D01786">
        <w:rPr>
          <w:bCs/>
          <w:color w:val="000000"/>
          <w:sz w:val="16"/>
          <w:szCs w:val="16"/>
          <w:lang w:val="en-GB"/>
        </w:rPr>
        <w:t xml:space="preserve"> Zdenk</w:t>
      </w:r>
      <w:r>
        <w:rPr>
          <w:bCs/>
          <w:color w:val="000000"/>
          <w:sz w:val="16"/>
          <w:szCs w:val="16"/>
          <w:lang w:val="en-GB"/>
        </w:rPr>
        <w:t xml:space="preserve">a </w:t>
      </w:r>
      <w:proofErr w:type="spellStart"/>
      <w:r w:rsidR="002A2CED" w:rsidRPr="00D01786">
        <w:rPr>
          <w:bCs/>
          <w:color w:val="000000"/>
          <w:sz w:val="16"/>
          <w:szCs w:val="16"/>
          <w:lang w:val="en-GB"/>
        </w:rPr>
        <w:t>Dabović</w:t>
      </w:r>
      <w:proofErr w:type="spellEnd"/>
      <w:r w:rsidR="00A67F78" w:rsidRPr="00D01786">
        <w:rPr>
          <w:bCs/>
          <w:color w:val="000000"/>
          <w:sz w:val="16"/>
          <w:szCs w:val="16"/>
          <w:lang w:val="en-GB"/>
        </w:rPr>
        <w:t xml:space="preserve">, </w:t>
      </w:r>
      <w:proofErr w:type="spellStart"/>
      <w:r w:rsidR="00A67F78" w:rsidRPr="00D01786">
        <w:rPr>
          <w:bCs/>
          <w:color w:val="000000"/>
          <w:sz w:val="16"/>
          <w:szCs w:val="16"/>
          <w:lang w:val="en-GB"/>
        </w:rPr>
        <w:t>Milanka</w:t>
      </w:r>
      <w:proofErr w:type="spellEnd"/>
      <w:r>
        <w:rPr>
          <w:bCs/>
          <w:color w:val="000000"/>
          <w:sz w:val="16"/>
          <w:szCs w:val="16"/>
          <w:lang w:val="en-GB"/>
        </w:rPr>
        <w:t xml:space="preserve"> </w:t>
      </w:r>
      <w:proofErr w:type="spellStart"/>
      <w:r w:rsidR="00A67F78" w:rsidRPr="00D01786">
        <w:rPr>
          <w:bCs/>
          <w:color w:val="000000"/>
          <w:sz w:val="16"/>
          <w:szCs w:val="16"/>
          <w:lang w:val="en-GB"/>
        </w:rPr>
        <w:t>Jovanović</w:t>
      </w:r>
      <w:proofErr w:type="spellEnd"/>
    </w:p>
    <w:p w:rsidR="00A67F78" w:rsidRPr="00D01786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01786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01786" w:rsidRDefault="00A67F78" w:rsidP="00A423C3">
      <w:pPr>
        <w:pStyle w:val="NoSpacing"/>
        <w:outlineLvl w:val="0"/>
        <w:rPr>
          <w:bCs/>
          <w:color w:val="000000"/>
          <w:sz w:val="16"/>
          <w:szCs w:val="16"/>
          <w:lang w:val="en-GB"/>
        </w:rPr>
      </w:pPr>
    </w:p>
    <w:p w:rsidR="00A67F78" w:rsidRPr="00D01786" w:rsidRDefault="00A67F78" w:rsidP="00A423C3">
      <w:pPr>
        <w:pStyle w:val="NoSpacing"/>
        <w:outlineLvl w:val="0"/>
        <w:rPr>
          <w:lang w:val="en-GB"/>
        </w:rPr>
      </w:pPr>
    </w:p>
    <w:tbl>
      <w:tblPr>
        <w:tblpPr w:leftFromText="180" w:rightFromText="180" w:vertAnchor="text" w:tblpX="108" w:tblpY="1"/>
        <w:tblOverlap w:val="never"/>
        <w:tblW w:w="1071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3686"/>
        <w:gridCol w:w="78"/>
      </w:tblGrid>
      <w:tr w:rsidR="0082570B" w:rsidRPr="00D01786" w:rsidTr="001D21BD">
        <w:trPr>
          <w:gridAfter w:val="1"/>
          <w:wAfter w:w="78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D01786" w:rsidRDefault="00D357A9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D01786">
              <w:rPr>
                <w:b/>
                <w:bCs/>
                <w:sz w:val="20"/>
                <w:szCs w:val="20"/>
              </w:rPr>
              <w:t>International Environment</w:t>
            </w:r>
          </w:p>
        </w:tc>
        <w:tc>
          <w:tcPr>
            <w:tcW w:w="3686" w:type="dxa"/>
            <w:vMerge w:val="restart"/>
            <w:tcBorders>
              <w:bottom w:val="nil"/>
            </w:tcBorders>
            <w:vAlign w:val="center"/>
          </w:tcPr>
          <w:p w:rsidR="0082570B" w:rsidRPr="00D01786" w:rsidRDefault="00225534" w:rsidP="001D21B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D01786">
              <w:rPr>
                <w:rFonts w:cs="Calibri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>
                  <wp:extent cx="2247900" cy="2051050"/>
                  <wp:effectExtent l="0" t="0" r="0" b="635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82570B" w:rsidRPr="00D01786" w:rsidTr="00BB7501">
        <w:trPr>
          <w:gridAfter w:val="1"/>
          <w:wAfter w:w="78" w:type="dxa"/>
          <w:trHeight w:hRule="exact" w:val="3378"/>
        </w:trPr>
        <w:tc>
          <w:tcPr>
            <w:tcW w:w="6946" w:type="dxa"/>
            <w:tcBorders>
              <w:top w:val="single" w:sz="4" w:space="0" w:color="auto"/>
            </w:tcBorders>
          </w:tcPr>
          <w:p w:rsidR="00F61509" w:rsidRPr="00D01786" w:rsidRDefault="00D357A9" w:rsidP="004C206D">
            <w:pPr>
              <w:spacing w:line="240" w:lineRule="auto"/>
              <w:jc w:val="both"/>
              <w:rPr>
                <w:sz w:val="20"/>
              </w:rPr>
            </w:pPr>
            <w:r w:rsidRPr="00D01786">
              <w:rPr>
                <w:b/>
                <w:sz w:val="20"/>
              </w:rPr>
              <w:t xml:space="preserve">The </w:t>
            </w:r>
            <w:r w:rsidR="006664B5" w:rsidRPr="00D01786">
              <w:rPr>
                <w:b/>
                <w:sz w:val="20"/>
              </w:rPr>
              <w:t xml:space="preserve">base aluminium price was at four-year minimum </w:t>
            </w:r>
            <w:r w:rsidR="00F61509" w:rsidRPr="00D01786">
              <w:rPr>
                <w:sz w:val="20"/>
              </w:rPr>
              <w:t>(</w:t>
            </w:r>
            <w:r w:rsidR="006664B5" w:rsidRPr="00D01786">
              <w:rPr>
                <w:sz w:val="20"/>
              </w:rPr>
              <w:t>currently it amounts 1.674 USD</w:t>
            </w:r>
            <w:r w:rsidR="00F61509" w:rsidRPr="00D01786">
              <w:rPr>
                <w:sz w:val="20"/>
              </w:rPr>
              <w:t>/</w:t>
            </w:r>
            <w:r w:rsidR="006664B5" w:rsidRPr="00D01786">
              <w:rPr>
                <w:sz w:val="20"/>
              </w:rPr>
              <w:t xml:space="preserve">tonne), and one of the reasons for this </w:t>
            </w:r>
            <w:r w:rsidR="00D01786">
              <w:rPr>
                <w:sz w:val="20"/>
              </w:rPr>
              <w:t>wa</w:t>
            </w:r>
            <w:r w:rsidR="006664B5" w:rsidRPr="00D01786">
              <w:rPr>
                <w:sz w:val="20"/>
              </w:rPr>
              <w:t xml:space="preserve">s surplus of production capacities. In 2013, </w:t>
            </w:r>
            <w:proofErr w:type="spellStart"/>
            <w:r w:rsidR="00F61509" w:rsidRPr="00D01786">
              <w:rPr>
                <w:sz w:val="20"/>
              </w:rPr>
              <w:t>Rusal</w:t>
            </w:r>
            <w:proofErr w:type="spellEnd"/>
            <w:r w:rsidR="00D01786">
              <w:rPr>
                <w:sz w:val="20"/>
              </w:rPr>
              <w:t xml:space="preserve"> </w:t>
            </w:r>
            <w:r w:rsidR="006664B5" w:rsidRPr="00D01786">
              <w:rPr>
                <w:sz w:val="20"/>
              </w:rPr>
              <w:t xml:space="preserve">reduced production to 4 million tonne and it plans further reduction of production in 2014 to 3.5 million tonne. </w:t>
            </w:r>
            <w:r w:rsidR="00D01786">
              <w:rPr>
                <w:sz w:val="20"/>
              </w:rPr>
              <w:t>In addition, m</w:t>
            </w:r>
            <w:r w:rsidR="006664B5" w:rsidRPr="00D01786">
              <w:rPr>
                <w:sz w:val="20"/>
              </w:rPr>
              <w:t xml:space="preserve">anufacturers must pay significantly higher price for current deliveries (premium). What has caused this? Some 5.5 million tonne of primary metal was stocked at London Metal Exchange </w:t>
            </w:r>
            <w:r w:rsidR="00F61509" w:rsidRPr="00D01786">
              <w:rPr>
                <w:sz w:val="20"/>
              </w:rPr>
              <w:t>(LME)</w:t>
            </w:r>
            <w:r w:rsidR="006664B5" w:rsidRPr="00D01786">
              <w:rPr>
                <w:sz w:val="20"/>
              </w:rPr>
              <w:t>, while additional 6.5 million tonne of primary metal was in extra-institutional warehouses</w:t>
            </w:r>
            <w:r w:rsidR="00F61509" w:rsidRPr="00D01786">
              <w:rPr>
                <w:sz w:val="20"/>
              </w:rPr>
              <w:t xml:space="preserve">. </w:t>
            </w:r>
            <w:r w:rsidR="006664B5" w:rsidRPr="00D01786">
              <w:rPr>
                <w:sz w:val="20"/>
              </w:rPr>
              <w:t xml:space="preserve">The investors are waiting for favourable time to sell, as financing enormous stocks has never been so cheap. If something </w:t>
            </w:r>
            <w:r w:rsidR="00D01786">
              <w:rPr>
                <w:sz w:val="20"/>
              </w:rPr>
              <w:t>does not change</w:t>
            </w:r>
            <w:r w:rsidR="006664B5" w:rsidRPr="00D01786">
              <w:rPr>
                <w:sz w:val="20"/>
              </w:rPr>
              <w:t xml:space="preserve"> in the LME policy or interest rates do not increase, the aluminium prices will be under additional pressure if closing of production capacities does not lower the offer</w:t>
            </w:r>
            <w:r w:rsidR="00F61509" w:rsidRPr="00D01786">
              <w:rPr>
                <w:sz w:val="20"/>
              </w:rPr>
              <w:t xml:space="preserve">. </w:t>
            </w:r>
            <w:r w:rsidR="006664B5" w:rsidRPr="00D01786">
              <w:rPr>
                <w:sz w:val="20"/>
              </w:rPr>
              <w:t xml:space="preserve">Euro exchange rate rose to </w:t>
            </w:r>
            <w:r w:rsidR="00F61509" w:rsidRPr="00D01786">
              <w:rPr>
                <w:sz w:val="20"/>
              </w:rPr>
              <w:t>1</w:t>
            </w:r>
            <w:r w:rsidR="006664B5" w:rsidRPr="00D01786">
              <w:rPr>
                <w:sz w:val="20"/>
              </w:rPr>
              <w:t>.</w:t>
            </w:r>
            <w:r w:rsidR="00F61509" w:rsidRPr="00D01786">
              <w:rPr>
                <w:sz w:val="20"/>
              </w:rPr>
              <w:t xml:space="preserve">37USD/EUR. </w:t>
            </w:r>
            <w:r w:rsidR="006664B5" w:rsidRPr="00D01786">
              <w:rPr>
                <w:sz w:val="20"/>
              </w:rPr>
              <w:t>According to the preliminary estimates</w:t>
            </w:r>
            <w:r w:rsidR="00D01786">
              <w:rPr>
                <w:sz w:val="20"/>
              </w:rPr>
              <w:t>,</w:t>
            </w:r>
            <w:r w:rsidR="006664B5" w:rsidRPr="00D01786">
              <w:rPr>
                <w:sz w:val="20"/>
              </w:rPr>
              <w:t xml:space="preserve"> inflation in Euro are</w:t>
            </w:r>
            <w:r w:rsidR="00BB7501" w:rsidRPr="00D01786">
              <w:rPr>
                <w:sz w:val="20"/>
              </w:rPr>
              <w:t xml:space="preserve">a </w:t>
            </w:r>
            <w:r w:rsidR="00D01786">
              <w:rPr>
                <w:sz w:val="20"/>
              </w:rPr>
              <w:t>amounted to</w:t>
            </w:r>
            <w:r w:rsidR="00BB7501" w:rsidRPr="00D01786">
              <w:rPr>
                <w:sz w:val="20"/>
              </w:rPr>
              <w:t xml:space="preserve"> </w:t>
            </w:r>
            <w:r w:rsidR="00F61509" w:rsidRPr="00D01786">
              <w:rPr>
                <w:sz w:val="20"/>
              </w:rPr>
              <w:t>0</w:t>
            </w:r>
            <w:r w:rsidR="00BB7501" w:rsidRPr="00D01786">
              <w:rPr>
                <w:sz w:val="20"/>
              </w:rPr>
              <w:t>.</w:t>
            </w:r>
            <w:r w:rsidR="00F61509" w:rsidRPr="00D01786">
              <w:rPr>
                <w:sz w:val="20"/>
              </w:rPr>
              <w:t>8%</w:t>
            </w:r>
            <w:r w:rsidR="00D01786" w:rsidRPr="00D01786">
              <w:rPr>
                <w:sz w:val="20"/>
              </w:rPr>
              <w:t xml:space="preserve"> in February </w:t>
            </w:r>
            <w:r w:rsidR="00F61509" w:rsidRPr="00D01786">
              <w:rPr>
                <w:sz w:val="20"/>
              </w:rPr>
              <w:t>a</w:t>
            </w:r>
            <w:r w:rsidR="00BB7501" w:rsidRPr="00D01786">
              <w:rPr>
                <w:sz w:val="20"/>
              </w:rPr>
              <w:t>nd unemployment rate was still at high</w:t>
            </w:r>
            <w:r w:rsidR="00F61509" w:rsidRPr="00D01786">
              <w:rPr>
                <w:sz w:val="20"/>
              </w:rPr>
              <w:t xml:space="preserve"> 12%.</w:t>
            </w:r>
          </w:p>
          <w:p w:rsidR="00754D46" w:rsidRPr="00D01786" w:rsidRDefault="00754D46" w:rsidP="001D21BD">
            <w:pPr>
              <w:shd w:val="clear" w:color="auto" w:fill="FFFFFF"/>
              <w:spacing w:line="240" w:lineRule="auto"/>
              <w:jc w:val="both"/>
              <w:textAlignment w:val="top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:rsidR="0082570B" w:rsidRPr="00D01786" w:rsidRDefault="0082570B" w:rsidP="001D21BD">
            <w:pPr>
              <w:spacing w:after="0" w:line="240" w:lineRule="auto"/>
              <w:ind w:left="34" w:hanging="34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2570B" w:rsidRPr="00D01786" w:rsidTr="001D21BD">
        <w:trPr>
          <w:gridAfter w:val="1"/>
          <w:wAfter w:w="78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D01786" w:rsidRDefault="008A31C0" w:rsidP="00D357A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</w:rPr>
            </w:pPr>
            <w:r w:rsidRPr="00D01786">
              <w:rPr>
                <w:rStyle w:val="CaptionChar"/>
              </w:rPr>
              <w:t xml:space="preserve">Real </w:t>
            </w:r>
            <w:r w:rsidR="00D357A9" w:rsidRPr="00D01786">
              <w:rPr>
                <w:rStyle w:val="CaptionChar"/>
              </w:rPr>
              <w:t>Sec</w:t>
            </w:r>
            <w:r w:rsidRPr="00D01786">
              <w:rPr>
                <w:rStyle w:val="CaptionChar"/>
              </w:rPr>
              <w:t>tor</w:t>
            </w:r>
          </w:p>
        </w:tc>
        <w:tc>
          <w:tcPr>
            <w:tcW w:w="3686" w:type="dxa"/>
            <w:vMerge w:val="restart"/>
            <w:vAlign w:val="center"/>
          </w:tcPr>
          <w:p w:rsidR="0082570B" w:rsidRPr="00D01786" w:rsidRDefault="00220B59" w:rsidP="001D21BD">
            <w:pPr>
              <w:spacing w:after="0" w:line="240" w:lineRule="auto"/>
              <w:ind w:left="-250"/>
              <w:jc w:val="center"/>
            </w:pPr>
            <w:r w:rsidRPr="00D01786">
              <w:rPr>
                <w:noProof/>
                <w:lang w:val="en-US"/>
              </w:rPr>
              <w:drawing>
                <wp:inline distT="0" distB="0" distL="0" distR="0">
                  <wp:extent cx="2340000" cy="2052000"/>
                  <wp:effectExtent l="0" t="0" r="3175" b="5715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7D0106" w:rsidRPr="00D01786" w:rsidTr="006E31DE">
        <w:trPr>
          <w:gridAfter w:val="1"/>
          <w:wAfter w:w="78" w:type="dxa"/>
          <w:trHeight w:hRule="exact" w:val="3425"/>
        </w:trPr>
        <w:tc>
          <w:tcPr>
            <w:tcW w:w="6946" w:type="dxa"/>
            <w:tcBorders>
              <w:top w:val="single" w:sz="4" w:space="0" w:color="auto"/>
            </w:tcBorders>
          </w:tcPr>
          <w:p w:rsidR="00ED2988" w:rsidRPr="00D01786" w:rsidRDefault="00BB7501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1786">
              <w:rPr>
                <w:rFonts w:cs="Calibri"/>
                <w:b/>
                <w:sz w:val="20"/>
                <w:szCs w:val="20"/>
              </w:rPr>
              <w:t>Available data for January 2014 show</w:t>
            </w:r>
            <w:r w:rsidR="00D01786">
              <w:rPr>
                <w:rFonts w:cs="Calibri"/>
                <w:b/>
                <w:sz w:val="20"/>
                <w:szCs w:val="20"/>
              </w:rPr>
              <w:t>s</w:t>
            </w:r>
            <w:r w:rsidRPr="00D01786">
              <w:rPr>
                <w:rFonts w:cs="Calibri"/>
                <w:b/>
                <w:sz w:val="20"/>
                <w:szCs w:val="20"/>
              </w:rPr>
              <w:t xml:space="preserve"> that industrial output increased annually while retail </w:t>
            </w:r>
            <w:r w:rsidR="00D01786">
              <w:rPr>
                <w:rFonts w:cs="Calibri"/>
                <w:b/>
                <w:sz w:val="20"/>
                <w:szCs w:val="20"/>
              </w:rPr>
              <w:t xml:space="preserve">trade </w:t>
            </w:r>
            <w:r w:rsidRPr="00D01786">
              <w:rPr>
                <w:rFonts w:cs="Calibri"/>
                <w:b/>
                <w:sz w:val="20"/>
                <w:szCs w:val="20"/>
              </w:rPr>
              <w:t xml:space="preserve">turnover declined. </w:t>
            </w:r>
            <w:r w:rsidRPr="00D01786">
              <w:rPr>
                <w:rFonts w:cs="Calibri"/>
                <w:sz w:val="20"/>
                <w:szCs w:val="20"/>
              </w:rPr>
              <w:t xml:space="preserve">In January 2014, industrial output grew annually by </w:t>
            </w:r>
            <w:r w:rsidR="00220B59" w:rsidRPr="00D01786">
              <w:rPr>
                <w:rFonts w:cs="Calibri"/>
                <w:sz w:val="20"/>
                <w:szCs w:val="20"/>
              </w:rPr>
              <w:t>7</w:t>
            </w:r>
            <w:r w:rsidRPr="00D01786">
              <w:rPr>
                <w:rFonts w:cs="Calibri"/>
                <w:sz w:val="20"/>
                <w:szCs w:val="20"/>
              </w:rPr>
              <w:t>.</w:t>
            </w:r>
            <w:r w:rsidR="00220B59" w:rsidRPr="00D01786">
              <w:rPr>
                <w:rFonts w:cs="Calibri"/>
                <w:sz w:val="20"/>
                <w:szCs w:val="20"/>
              </w:rPr>
              <w:t xml:space="preserve">4%, </w:t>
            </w:r>
            <w:r w:rsidRPr="00D01786">
              <w:rPr>
                <w:rFonts w:cs="Calibri"/>
                <w:sz w:val="20"/>
                <w:szCs w:val="20"/>
              </w:rPr>
              <w:t>as a result of growth in sectors “mining and quarrying”</w:t>
            </w:r>
            <w:r w:rsidR="00D01786">
              <w:rPr>
                <w:rFonts w:cs="Calibri"/>
                <w:sz w:val="20"/>
                <w:szCs w:val="20"/>
              </w:rPr>
              <w:t xml:space="preserve"> </w:t>
            </w:r>
            <w:r w:rsidR="00220B59" w:rsidRPr="00D01786">
              <w:rPr>
                <w:rFonts w:cs="Calibri"/>
                <w:sz w:val="20"/>
                <w:szCs w:val="20"/>
              </w:rPr>
              <w:t>(13</w:t>
            </w:r>
            <w:r w:rsidRPr="00D01786">
              <w:rPr>
                <w:rFonts w:cs="Calibri"/>
                <w:sz w:val="20"/>
                <w:szCs w:val="20"/>
              </w:rPr>
              <w:t>.</w:t>
            </w:r>
            <w:r w:rsidR="00220B59" w:rsidRPr="00D01786">
              <w:rPr>
                <w:rFonts w:cs="Calibri"/>
                <w:sz w:val="20"/>
                <w:szCs w:val="20"/>
              </w:rPr>
              <w:t xml:space="preserve">8%) </w:t>
            </w:r>
            <w:r w:rsidRPr="00D01786">
              <w:rPr>
                <w:rFonts w:cs="Calibri"/>
                <w:sz w:val="20"/>
                <w:szCs w:val="20"/>
              </w:rPr>
              <w:t>and “manufacturing industry”</w:t>
            </w:r>
            <w:r w:rsidR="00220B59" w:rsidRPr="00D01786">
              <w:rPr>
                <w:rFonts w:cs="Calibri"/>
                <w:sz w:val="20"/>
                <w:szCs w:val="20"/>
              </w:rPr>
              <w:t xml:space="preserve"> (39</w:t>
            </w:r>
            <w:r w:rsidRPr="00D01786">
              <w:rPr>
                <w:rFonts w:cs="Calibri"/>
                <w:sz w:val="20"/>
                <w:szCs w:val="20"/>
              </w:rPr>
              <w:t>.</w:t>
            </w:r>
            <w:r w:rsidR="00220B59" w:rsidRPr="00D01786">
              <w:rPr>
                <w:rFonts w:cs="Calibri"/>
                <w:sz w:val="20"/>
                <w:szCs w:val="20"/>
              </w:rPr>
              <w:t xml:space="preserve">8%), </w:t>
            </w:r>
            <w:r w:rsidRPr="00D01786">
              <w:rPr>
                <w:rFonts w:cs="Calibri"/>
                <w:sz w:val="20"/>
                <w:szCs w:val="20"/>
              </w:rPr>
              <w:t xml:space="preserve">while annual decline of 12.2% was recorded in “electricity, gas and steam supply” sector. Retail trade turnover declined y-o-y by 1.9% in January 2014 (current prices) primarily as a result of high base from the last year (reclassification from wholesale </w:t>
            </w:r>
            <w:r w:rsidR="00D01786">
              <w:rPr>
                <w:rFonts w:cs="Calibri"/>
                <w:sz w:val="20"/>
                <w:szCs w:val="20"/>
              </w:rPr>
              <w:t xml:space="preserve">chain stores </w:t>
            </w:r>
            <w:r w:rsidRPr="00D01786">
              <w:rPr>
                <w:rFonts w:cs="Calibri"/>
                <w:sz w:val="20"/>
                <w:szCs w:val="20"/>
              </w:rPr>
              <w:t xml:space="preserve">into retail </w:t>
            </w:r>
            <w:r w:rsidR="00D01786">
              <w:rPr>
                <w:rFonts w:cs="Calibri"/>
                <w:sz w:val="20"/>
                <w:szCs w:val="20"/>
              </w:rPr>
              <w:t xml:space="preserve">was made </w:t>
            </w:r>
            <w:r w:rsidR="00D01786" w:rsidRPr="00D01786">
              <w:rPr>
                <w:rFonts w:cs="Calibri"/>
                <w:sz w:val="20"/>
                <w:szCs w:val="20"/>
              </w:rPr>
              <w:t xml:space="preserve"> on 1 January 2013 </w:t>
            </w:r>
            <w:r w:rsidRPr="00D01786">
              <w:rPr>
                <w:rFonts w:cs="Calibri"/>
                <w:sz w:val="20"/>
                <w:szCs w:val="20"/>
              </w:rPr>
              <w:t>which resulted in high growth rates of retail turnover throughout the year)</w:t>
            </w:r>
            <w:r w:rsidR="00220B59" w:rsidRPr="00D01786">
              <w:rPr>
                <w:rFonts w:cstheme="minorHAnsi"/>
                <w:sz w:val="20"/>
                <w:szCs w:val="20"/>
              </w:rPr>
              <w:t xml:space="preserve">. </w:t>
            </w:r>
            <w:r w:rsidR="00D01786">
              <w:rPr>
                <w:rFonts w:cstheme="minorHAnsi"/>
                <w:sz w:val="20"/>
                <w:szCs w:val="20"/>
              </w:rPr>
              <w:t>The c</w:t>
            </w:r>
            <w:r w:rsidRPr="00D01786">
              <w:rPr>
                <w:rFonts w:cstheme="minorHAnsi"/>
                <w:sz w:val="20"/>
                <w:szCs w:val="20"/>
              </w:rPr>
              <w:t xml:space="preserve">onstruction activity in Q4 </w:t>
            </w:r>
            <w:r w:rsidR="00220B59" w:rsidRPr="00D01786">
              <w:rPr>
                <w:rFonts w:cstheme="minorHAnsi"/>
                <w:sz w:val="20"/>
                <w:szCs w:val="20"/>
              </w:rPr>
              <w:t>2013</w:t>
            </w:r>
            <w:r w:rsidR="00D01786">
              <w:rPr>
                <w:rFonts w:cstheme="minorHAnsi"/>
                <w:sz w:val="20"/>
                <w:szCs w:val="20"/>
              </w:rPr>
              <w:t xml:space="preserve"> 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recorded growth of the value of executed works </w:t>
            </w:r>
            <w:r w:rsidR="00220B59" w:rsidRPr="00D01786">
              <w:rPr>
                <w:rFonts w:cstheme="minorHAnsi"/>
                <w:sz w:val="20"/>
                <w:szCs w:val="20"/>
              </w:rPr>
              <w:t>(27</w:t>
            </w:r>
            <w:r w:rsidR="006E31DE" w:rsidRPr="00D01786">
              <w:rPr>
                <w:rFonts w:cstheme="minorHAnsi"/>
                <w:sz w:val="20"/>
                <w:szCs w:val="20"/>
              </w:rPr>
              <w:t>.</w:t>
            </w:r>
            <w:r w:rsidR="00220B59" w:rsidRPr="00D01786">
              <w:rPr>
                <w:rFonts w:cstheme="minorHAnsi"/>
                <w:sz w:val="20"/>
                <w:szCs w:val="20"/>
              </w:rPr>
              <w:t xml:space="preserve">9%) </w:t>
            </w:r>
            <w:r w:rsidR="006E31DE" w:rsidRPr="00D01786">
              <w:rPr>
                <w:rFonts w:cstheme="minorHAnsi"/>
                <w:sz w:val="20"/>
                <w:szCs w:val="20"/>
              </w:rPr>
              <w:t>and executed effective working hours</w:t>
            </w:r>
            <w:r w:rsidR="00220B59" w:rsidRPr="00D01786">
              <w:rPr>
                <w:rFonts w:cstheme="minorHAnsi"/>
                <w:sz w:val="20"/>
                <w:szCs w:val="20"/>
              </w:rPr>
              <w:t xml:space="preserve"> (36</w:t>
            </w:r>
            <w:r w:rsidR="006E31DE" w:rsidRPr="00D01786">
              <w:rPr>
                <w:rFonts w:cstheme="minorHAnsi"/>
                <w:sz w:val="20"/>
                <w:szCs w:val="20"/>
              </w:rPr>
              <w:t>.</w:t>
            </w:r>
            <w:r w:rsidR="00220B59" w:rsidRPr="00D01786">
              <w:rPr>
                <w:rFonts w:cstheme="minorHAnsi"/>
                <w:sz w:val="20"/>
                <w:szCs w:val="20"/>
              </w:rPr>
              <w:t xml:space="preserve">4%) 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in comparison </w:t>
            </w:r>
            <w:r w:rsidR="001242DC">
              <w:rPr>
                <w:rFonts w:cstheme="minorHAnsi"/>
                <w:sz w:val="20"/>
                <w:szCs w:val="20"/>
              </w:rPr>
              <w:t>to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 Q4 2012</w:t>
            </w:r>
            <w:r w:rsidR="00D01786">
              <w:rPr>
                <w:rFonts w:cstheme="minorHAnsi"/>
                <w:sz w:val="20"/>
                <w:szCs w:val="20"/>
              </w:rPr>
              <w:t>. T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he value of executed construction works increased by </w:t>
            </w:r>
            <w:r w:rsidR="00ED2988" w:rsidRPr="00D01786">
              <w:rPr>
                <w:rFonts w:cstheme="minorHAnsi"/>
                <w:sz w:val="20"/>
                <w:szCs w:val="20"/>
              </w:rPr>
              <w:t>9</w:t>
            </w:r>
            <w:r w:rsidR="006E31DE" w:rsidRPr="00D01786">
              <w:rPr>
                <w:rFonts w:cstheme="minorHAnsi"/>
                <w:sz w:val="20"/>
                <w:szCs w:val="20"/>
              </w:rPr>
              <w:t>.</w:t>
            </w:r>
            <w:r w:rsidR="00ED2988" w:rsidRPr="00D01786">
              <w:rPr>
                <w:rFonts w:cstheme="minorHAnsi"/>
                <w:sz w:val="20"/>
                <w:szCs w:val="20"/>
              </w:rPr>
              <w:t xml:space="preserve">7%, 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executed effective working hours increased by </w:t>
            </w:r>
            <w:r w:rsidR="00ED2988" w:rsidRPr="00D01786">
              <w:rPr>
                <w:rFonts w:cstheme="minorHAnsi"/>
                <w:sz w:val="20"/>
                <w:szCs w:val="20"/>
              </w:rPr>
              <w:t>31</w:t>
            </w:r>
            <w:r w:rsidR="006E31DE" w:rsidRPr="00D01786">
              <w:rPr>
                <w:rFonts w:cstheme="minorHAnsi"/>
                <w:sz w:val="20"/>
                <w:szCs w:val="20"/>
              </w:rPr>
              <w:t>.</w:t>
            </w:r>
            <w:r w:rsidR="00ED2988" w:rsidRPr="00D01786">
              <w:rPr>
                <w:rFonts w:cstheme="minorHAnsi"/>
                <w:sz w:val="20"/>
                <w:szCs w:val="20"/>
              </w:rPr>
              <w:t xml:space="preserve">5%, </w:t>
            </w:r>
            <w:r w:rsidR="006E31DE" w:rsidRPr="00D01786">
              <w:rPr>
                <w:rFonts w:cstheme="minorHAnsi"/>
                <w:sz w:val="20"/>
                <w:szCs w:val="20"/>
              </w:rPr>
              <w:t xml:space="preserve">and average number of employed at constructions grew by </w:t>
            </w:r>
            <w:r w:rsidR="00ED2988" w:rsidRPr="00D01786">
              <w:rPr>
                <w:rFonts w:cstheme="minorHAnsi"/>
                <w:sz w:val="20"/>
                <w:szCs w:val="20"/>
              </w:rPr>
              <w:t>2</w:t>
            </w:r>
            <w:r w:rsidR="00381900" w:rsidRPr="00D01786">
              <w:rPr>
                <w:rFonts w:cstheme="minorHAnsi"/>
                <w:sz w:val="20"/>
                <w:szCs w:val="20"/>
              </w:rPr>
              <w:t>7</w:t>
            </w:r>
            <w:r w:rsidR="006E31DE" w:rsidRPr="00D01786">
              <w:rPr>
                <w:rFonts w:cstheme="minorHAnsi"/>
                <w:sz w:val="20"/>
                <w:szCs w:val="20"/>
              </w:rPr>
              <w:t>.3% compared to 2012</w:t>
            </w:r>
            <w:r w:rsidR="00381900" w:rsidRPr="00D01786"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220B59" w:rsidRPr="00D01786" w:rsidRDefault="00220B59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7D0106" w:rsidRPr="00D01786" w:rsidRDefault="007D0106" w:rsidP="001D21BD">
            <w:pPr>
              <w:spacing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355D6" w:rsidRPr="00D01786" w:rsidRDefault="00B355D6" w:rsidP="001D21BD">
            <w:pPr>
              <w:spacing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7D0106" w:rsidRPr="00D01786" w:rsidRDefault="007D0106" w:rsidP="001D21BD">
            <w:pPr>
              <w:spacing w:after="119" w:line="240" w:lineRule="auto"/>
              <w:jc w:val="center"/>
            </w:pPr>
          </w:p>
        </w:tc>
      </w:tr>
      <w:tr w:rsidR="007D0106" w:rsidRPr="00D01786" w:rsidTr="001D21BD">
        <w:trPr>
          <w:gridAfter w:val="1"/>
          <w:wAfter w:w="78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7D0106" w:rsidRPr="00D01786" w:rsidRDefault="006E31DE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017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Prices</w:t>
            </w:r>
          </w:p>
        </w:tc>
        <w:tc>
          <w:tcPr>
            <w:tcW w:w="3686" w:type="dxa"/>
            <w:vMerge w:val="restart"/>
            <w:vAlign w:val="center"/>
          </w:tcPr>
          <w:p w:rsidR="007D0106" w:rsidRPr="00D01786" w:rsidRDefault="007675AF" w:rsidP="001D21BD">
            <w:pPr>
              <w:spacing w:after="0" w:line="240" w:lineRule="auto"/>
              <w:ind w:left="-250"/>
              <w:jc w:val="center"/>
              <w:rPr>
                <w:b/>
                <w:sz w:val="20"/>
                <w:szCs w:val="20"/>
              </w:rPr>
            </w:pPr>
            <w:r w:rsidRPr="00D01786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337955" cy="2060863"/>
                  <wp:effectExtent l="0" t="0" r="0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D0106" w:rsidRPr="00D01786" w:rsidTr="00085808">
        <w:trPr>
          <w:gridAfter w:val="1"/>
          <w:wAfter w:w="78" w:type="dxa"/>
          <w:trHeight w:hRule="exact" w:val="3222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7675AF" w:rsidRPr="00D01786" w:rsidRDefault="008E4700" w:rsidP="001D21B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1786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 xml:space="preserve">Consumer prices declined </w:t>
            </w:r>
            <w:r w:rsidR="00D01786" w:rsidRPr="00D01786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 xml:space="preserve">in January 2014 </w:t>
            </w:r>
            <w:r w:rsidRPr="00D01786"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  <w:t xml:space="preserve">relative to December and January of the previous year. </w:t>
            </w:r>
            <w:r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Annual inflation rate, measured by the consumer price index, amounted to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-0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4%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 January 2014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while monthly deflation of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-0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8%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 was recorded compared to December 2013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The decline in annual inflation rate resulted from the decline in food prices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(-0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8%),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clothes and footwear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 (-1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3%),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fuels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 (-2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1%)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and</w:t>
            </w:r>
            <w:r w:rsidR="00D01786">
              <w:rPr>
                <w:rFonts w:asciiTheme="minorHAnsi" w:hAnsiTheme="minorHAnsi" w:cs="Calibri"/>
                <w:sz w:val="20"/>
                <w:szCs w:val="20"/>
              </w:rPr>
              <w:t xml:space="preserve"> telephone and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f</w:t>
            </w:r>
            <w:r w:rsidR="00D01786">
              <w:rPr>
                <w:rFonts w:asciiTheme="minorHAnsi" w:hAnsiTheme="minorHAnsi" w:cs="Calibri"/>
                <w:sz w:val="20"/>
                <w:szCs w:val="20"/>
              </w:rPr>
              <w:t xml:space="preserve">ax equipment, telephone and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fax services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(-4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4%),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 whereby </w:t>
            </w:r>
            <w:r w:rsidR="00D01786">
              <w:rPr>
                <w:rFonts w:asciiTheme="minorHAnsi" w:hAnsiTheme="minorHAnsi" w:cs="Calibri"/>
                <w:sz w:val="20"/>
                <w:szCs w:val="20"/>
              </w:rPr>
              <w:t>the main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 influence was recorded by </w:t>
            </w:r>
            <w:r w:rsidR="00D01786">
              <w:rPr>
                <w:rFonts w:asciiTheme="minorHAnsi" w:hAnsiTheme="minorHAnsi" w:cs="Calibri"/>
                <w:sz w:val="20"/>
                <w:szCs w:val="20"/>
              </w:rPr>
              <w:t xml:space="preserve">the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 xml:space="preserve">decline in food prices which accounted for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36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5% </w:t>
            </w:r>
            <w:r w:rsidRPr="00D01786">
              <w:rPr>
                <w:rFonts w:asciiTheme="minorHAnsi" w:hAnsiTheme="minorHAnsi" w:cs="Calibri"/>
                <w:sz w:val="20"/>
                <w:szCs w:val="20"/>
              </w:rPr>
              <w:t>of total household consumption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Annual inflation rate, measured by </w:t>
            </w:r>
            <w:r w:rsidR="00D01786">
              <w:rPr>
                <w:rFonts w:asciiTheme="minorHAnsi" w:hAnsiTheme="minorHAnsi" w:cs="Calibri"/>
                <w:sz w:val="20"/>
                <w:szCs w:val="20"/>
              </w:rPr>
              <w:t xml:space="preserve">the 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harmonized CPI, amounted to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0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1%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 in January 2014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, 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while monthly deflation of 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-0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>4%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 was recorded compared to December 2013</w:t>
            </w:r>
            <w:r w:rsidR="007675AF" w:rsidRPr="00D01786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="00C60BD7" w:rsidRPr="00D01786">
              <w:rPr>
                <w:rFonts w:asciiTheme="minorHAnsi" w:hAnsiTheme="minorHAnsi" w:cs="Calibri"/>
                <w:sz w:val="20"/>
                <w:szCs w:val="20"/>
              </w:rPr>
              <w:t xml:space="preserve">Producers’ prices recorded annual decline of 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-1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3%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in January 2014 </w:t>
            </w:r>
            <w:r w:rsidR="00D2432E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primarily 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as a result of decline in prices in manufacturing industry of 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-2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0% (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food products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-0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7%;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beverages -4.</w:t>
            </w:r>
            <w:r w:rsidR="007675AF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>0%).</w:t>
            </w:r>
            <w:r w:rsidR="00C60BD7" w:rsidRPr="00D0178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Annual inflation rate in EU was </w:t>
            </w:r>
            <w:r w:rsidR="00C60BD7" w:rsidRPr="00D01786">
              <w:rPr>
                <w:rFonts w:asciiTheme="minorHAnsi" w:hAnsiTheme="minorHAnsi"/>
                <w:sz w:val="20"/>
                <w:szCs w:val="20"/>
              </w:rPr>
              <w:t xml:space="preserve">0.9% in January 2014, while it was </w:t>
            </w:r>
            <w:r w:rsidR="007675AF" w:rsidRPr="00D01786">
              <w:rPr>
                <w:rFonts w:asciiTheme="minorHAnsi" w:hAnsiTheme="minorHAnsi"/>
                <w:sz w:val="20"/>
                <w:szCs w:val="20"/>
              </w:rPr>
              <w:t>0</w:t>
            </w:r>
            <w:r w:rsidR="00C60BD7" w:rsidRPr="00D01786">
              <w:rPr>
                <w:rFonts w:asciiTheme="minorHAnsi" w:hAnsiTheme="minorHAnsi"/>
                <w:sz w:val="20"/>
                <w:szCs w:val="20"/>
              </w:rPr>
              <w:t>.</w:t>
            </w:r>
            <w:r w:rsidR="007675AF" w:rsidRPr="00D01786">
              <w:rPr>
                <w:rFonts w:asciiTheme="minorHAnsi" w:hAnsiTheme="minorHAnsi"/>
                <w:sz w:val="20"/>
                <w:szCs w:val="20"/>
              </w:rPr>
              <w:t>8%</w:t>
            </w:r>
            <w:r w:rsidR="00C60BD7" w:rsidRPr="00D01786">
              <w:rPr>
                <w:rFonts w:asciiTheme="minorHAnsi" w:hAnsiTheme="minorHAnsi"/>
                <w:sz w:val="20"/>
                <w:szCs w:val="20"/>
              </w:rPr>
              <w:t xml:space="preserve"> in Euro area</w:t>
            </w:r>
            <w:r w:rsidR="007675AF" w:rsidRPr="00D0178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124730" w:rsidRPr="00D01786" w:rsidRDefault="00124730" w:rsidP="001D21BD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</w:rPr>
            </w:pPr>
          </w:p>
          <w:p w:rsidR="00B355D6" w:rsidRPr="00D01786" w:rsidRDefault="00B355D6" w:rsidP="001D21B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bottom w:val="thinThickSmallGap" w:sz="18" w:space="0" w:color="auto"/>
            </w:tcBorders>
            <w:vAlign w:val="center"/>
          </w:tcPr>
          <w:p w:rsidR="007D0106" w:rsidRPr="00D01786" w:rsidRDefault="007D0106" w:rsidP="001D21BD">
            <w:pPr>
              <w:pStyle w:val="NoSpacing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22784" w:rsidRPr="00D01786" w:rsidTr="00085808">
        <w:trPr>
          <w:gridAfter w:val="1"/>
          <w:wAfter w:w="78" w:type="dxa"/>
          <w:trHeight w:hRule="exact" w:val="3965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6304FD" w:rsidRPr="00D01786" w:rsidRDefault="00D357A9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D01786"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>Employment and Wages</w:t>
            </w:r>
          </w:p>
          <w:p w:rsidR="00D34827" w:rsidRPr="00D01786" w:rsidRDefault="00C60BD7" w:rsidP="00BC73F7">
            <w:pPr>
              <w:pBdr>
                <w:top w:val="single" w:sz="4" w:space="1" w:color="auto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D01786">
              <w:rPr>
                <w:b/>
                <w:sz w:val="20"/>
                <w:szCs w:val="16"/>
              </w:rPr>
              <w:t xml:space="preserve">In January 2014, the number of unemployed was </w:t>
            </w:r>
            <w:r w:rsidR="00097527" w:rsidRPr="00D01786">
              <w:rPr>
                <w:b/>
                <w:sz w:val="20"/>
                <w:szCs w:val="16"/>
              </w:rPr>
              <w:t>34.804</w:t>
            </w:r>
            <w:r w:rsidRPr="00D01786">
              <w:rPr>
                <w:b/>
                <w:sz w:val="20"/>
                <w:szCs w:val="16"/>
              </w:rPr>
              <w:t xml:space="preserve"> and it represented the highest monthly level since May </w:t>
            </w:r>
            <w:r w:rsidR="00097527" w:rsidRPr="00D01786">
              <w:rPr>
                <w:b/>
                <w:sz w:val="20"/>
                <w:szCs w:val="16"/>
              </w:rPr>
              <w:t xml:space="preserve">2007. </w:t>
            </w:r>
            <w:r w:rsidRPr="00D01786">
              <w:rPr>
                <w:sz w:val="20"/>
                <w:szCs w:val="16"/>
              </w:rPr>
              <w:t xml:space="preserve">The number of unemployed increased annually by </w:t>
            </w:r>
            <w:r w:rsidR="008E636B" w:rsidRPr="00D01786">
              <w:rPr>
                <w:sz w:val="20"/>
                <w:szCs w:val="16"/>
              </w:rPr>
              <w:t>9</w:t>
            </w:r>
            <w:r w:rsidRPr="00D01786">
              <w:rPr>
                <w:sz w:val="20"/>
                <w:szCs w:val="16"/>
              </w:rPr>
              <w:t>.</w:t>
            </w:r>
            <w:r w:rsidR="008E636B" w:rsidRPr="00D01786">
              <w:rPr>
                <w:sz w:val="20"/>
                <w:szCs w:val="16"/>
              </w:rPr>
              <w:t xml:space="preserve">1% </w:t>
            </w:r>
            <w:r w:rsidRPr="00D01786">
              <w:rPr>
                <w:sz w:val="20"/>
                <w:szCs w:val="16"/>
              </w:rPr>
              <w:t>in January 2014</w:t>
            </w:r>
            <w:r w:rsidR="008E636B" w:rsidRPr="00D01786">
              <w:rPr>
                <w:sz w:val="20"/>
                <w:szCs w:val="16"/>
              </w:rPr>
              <w:t>, a</w:t>
            </w:r>
            <w:r w:rsidRPr="00D01786">
              <w:rPr>
                <w:sz w:val="20"/>
                <w:szCs w:val="16"/>
              </w:rPr>
              <w:t>nd unemployment rate increased from 13.7</w:t>
            </w:r>
            <w:r w:rsidR="008E636B" w:rsidRPr="00D01786">
              <w:rPr>
                <w:sz w:val="20"/>
                <w:szCs w:val="16"/>
              </w:rPr>
              <w:t xml:space="preserve">% </w:t>
            </w:r>
            <w:r w:rsidRPr="00D01786">
              <w:rPr>
                <w:sz w:val="20"/>
                <w:szCs w:val="16"/>
              </w:rPr>
              <w:t xml:space="preserve">(January </w:t>
            </w:r>
            <w:r w:rsidR="008E636B" w:rsidRPr="00D01786">
              <w:rPr>
                <w:sz w:val="20"/>
                <w:szCs w:val="16"/>
              </w:rPr>
              <w:t>2013</w:t>
            </w:r>
            <w:r w:rsidRPr="00D01786">
              <w:rPr>
                <w:sz w:val="20"/>
                <w:szCs w:val="16"/>
              </w:rPr>
              <w:t xml:space="preserve">) to </w:t>
            </w:r>
            <w:r w:rsidR="008E636B" w:rsidRPr="00D01786">
              <w:rPr>
                <w:sz w:val="20"/>
                <w:szCs w:val="16"/>
              </w:rPr>
              <w:t>15</w:t>
            </w:r>
            <w:r w:rsidRPr="00D01786">
              <w:rPr>
                <w:sz w:val="20"/>
                <w:szCs w:val="16"/>
              </w:rPr>
              <w:t>.</w:t>
            </w:r>
            <w:r w:rsidR="008E636B" w:rsidRPr="00D01786">
              <w:rPr>
                <w:sz w:val="20"/>
                <w:szCs w:val="16"/>
              </w:rPr>
              <w:t xml:space="preserve">0% </w:t>
            </w:r>
            <w:r w:rsidRPr="00D01786">
              <w:rPr>
                <w:sz w:val="20"/>
                <w:szCs w:val="16"/>
              </w:rPr>
              <w:t xml:space="preserve">(January </w:t>
            </w:r>
            <w:r w:rsidR="008E636B" w:rsidRPr="00D01786">
              <w:rPr>
                <w:sz w:val="20"/>
                <w:szCs w:val="16"/>
              </w:rPr>
              <w:t>2014</w:t>
            </w:r>
            <w:r w:rsidRPr="00D01786">
              <w:rPr>
                <w:sz w:val="20"/>
                <w:szCs w:val="16"/>
              </w:rPr>
              <w:t>)</w:t>
            </w:r>
            <w:r w:rsidR="008E636B" w:rsidRPr="00D01786">
              <w:rPr>
                <w:sz w:val="20"/>
                <w:szCs w:val="16"/>
              </w:rPr>
              <w:t xml:space="preserve">. </w:t>
            </w:r>
            <w:r w:rsidRPr="00D01786">
              <w:rPr>
                <w:sz w:val="20"/>
                <w:szCs w:val="16"/>
              </w:rPr>
              <w:t xml:space="preserve">Average number of employed amounted to </w:t>
            </w:r>
            <w:r w:rsidR="00CC2AAE" w:rsidRPr="00D01786">
              <w:rPr>
                <w:sz w:val="20"/>
                <w:szCs w:val="16"/>
              </w:rPr>
              <w:t>167</w:t>
            </w:r>
            <w:r w:rsidR="004C206D" w:rsidRPr="00D01786">
              <w:rPr>
                <w:sz w:val="20"/>
                <w:szCs w:val="16"/>
              </w:rPr>
              <w:t>.</w:t>
            </w:r>
            <w:r w:rsidR="005B5F21" w:rsidRPr="00D01786">
              <w:rPr>
                <w:sz w:val="20"/>
                <w:szCs w:val="16"/>
              </w:rPr>
              <w:t>173</w:t>
            </w:r>
            <w:r w:rsidRPr="00D01786">
              <w:rPr>
                <w:sz w:val="20"/>
                <w:szCs w:val="16"/>
              </w:rPr>
              <w:t xml:space="preserve"> in January 2014</w:t>
            </w:r>
            <w:r w:rsidR="00CC2AAE" w:rsidRPr="00D01786">
              <w:rPr>
                <w:sz w:val="20"/>
                <w:szCs w:val="16"/>
              </w:rPr>
              <w:t xml:space="preserve"> (</w:t>
            </w:r>
            <w:r w:rsidRPr="00D01786">
              <w:rPr>
                <w:sz w:val="20"/>
                <w:szCs w:val="16"/>
              </w:rPr>
              <w:t xml:space="preserve">it increased y-o-y by </w:t>
            </w:r>
            <w:r w:rsidR="00CC2AAE" w:rsidRPr="00D01786">
              <w:rPr>
                <w:sz w:val="20"/>
                <w:szCs w:val="16"/>
              </w:rPr>
              <w:t>0</w:t>
            </w:r>
            <w:r w:rsidRPr="00D01786">
              <w:rPr>
                <w:sz w:val="20"/>
                <w:szCs w:val="16"/>
              </w:rPr>
              <w:t>.1%</w:t>
            </w:r>
            <w:r w:rsidR="005B5F21" w:rsidRPr="00D01786">
              <w:rPr>
                <w:sz w:val="20"/>
                <w:szCs w:val="16"/>
              </w:rPr>
              <w:t>)</w:t>
            </w:r>
            <w:r w:rsidR="008E636B" w:rsidRPr="00D01786">
              <w:rPr>
                <w:sz w:val="20"/>
                <w:szCs w:val="16"/>
              </w:rPr>
              <w:t xml:space="preserve">. </w:t>
            </w:r>
            <w:r w:rsidR="00085808" w:rsidRPr="00D01786">
              <w:rPr>
                <w:sz w:val="20"/>
                <w:szCs w:val="16"/>
              </w:rPr>
              <w:t xml:space="preserve">The number of employment applicants increased by </w:t>
            </w:r>
            <w:r w:rsidR="00CC2AAE" w:rsidRPr="00D01786">
              <w:rPr>
                <w:sz w:val="20"/>
                <w:szCs w:val="16"/>
              </w:rPr>
              <w:t>19</w:t>
            </w:r>
            <w:r w:rsidR="00085808" w:rsidRPr="00D01786">
              <w:rPr>
                <w:sz w:val="20"/>
                <w:szCs w:val="16"/>
              </w:rPr>
              <w:t>.0% which primarily resulted from the increase in applicants with university degree</w:t>
            </w:r>
            <w:r w:rsidR="00CC2AAE" w:rsidRPr="00D01786">
              <w:rPr>
                <w:sz w:val="20"/>
                <w:szCs w:val="16"/>
              </w:rPr>
              <w:t xml:space="preserve"> (</w:t>
            </w:r>
            <w:r w:rsidR="00085808" w:rsidRPr="00D01786">
              <w:rPr>
                <w:sz w:val="20"/>
                <w:szCs w:val="16"/>
              </w:rPr>
              <w:t>increase of</w:t>
            </w:r>
            <w:r w:rsidR="00CC2AAE" w:rsidRPr="00D01786">
              <w:rPr>
                <w:sz w:val="20"/>
                <w:szCs w:val="16"/>
              </w:rPr>
              <w:t xml:space="preserve"> 1</w:t>
            </w:r>
            <w:r w:rsidR="008E636B" w:rsidRPr="00D01786">
              <w:rPr>
                <w:sz w:val="20"/>
                <w:szCs w:val="16"/>
              </w:rPr>
              <w:t>.</w:t>
            </w:r>
            <w:r w:rsidR="00CC2AAE" w:rsidRPr="00D01786">
              <w:rPr>
                <w:sz w:val="20"/>
                <w:szCs w:val="16"/>
              </w:rPr>
              <w:t xml:space="preserve">476). </w:t>
            </w:r>
            <w:r w:rsidR="00085808" w:rsidRPr="00D01786">
              <w:rPr>
                <w:sz w:val="20"/>
                <w:szCs w:val="16"/>
              </w:rPr>
              <w:t xml:space="preserve">In </w:t>
            </w:r>
            <w:r w:rsidR="00DC5930">
              <w:rPr>
                <w:sz w:val="20"/>
                <w:szCs w:val="16"/>
              </w:rPr>
              <w:t>January 2014</w:t>
            </w:r>
            <w:r w:rsidR="00085808" w:rsidRPr="00D01786">
              <w:rPr>
                <w:sz w:val="20"/>
                <w:szCs w:val="16"/>
              </w:rPr>
              <w:t xml:space="preserve">, </w:t>
            </w:r>
            <w:r w:rsidR="00CC2AAE" w:rsidRPr="00D01786">
              <w:rPr>
                <w:sz w:val="20"/>
                <w:szCs w:val="16"/>
              </w:rPr>
              <w:t xml:space="preserve">1793 </w:t>
            </w:r>
            <w:r w:rsidR="00085808" w:rsidRPr="00D01786">
              <w:rPr>
                <w:sz w:val="20"/>
                <w:szCs w:val="16"/>
              </w:rPr>
              <w:t xml:space="preserve">working permits were issued to foreigners, which showed y-o-y increase of </w:t>
            </w:r>
            <w:r w:rsidR="009C5011" w:rsidRPr="00D01786">
              <w:rPr>
                <w:sz w:val="20"/>
                <w:szCs w:val="16"/>
              </w:rPr>
              <w:t>46</w:t>
            </w:r>
            <w:r w:rsidR="00085808" w:rsidRPr="00D01786">
              <w:rPr>
                <w:sz w:val="20"/>
                <w:szCs w:val="16"/>
              </w:rPr>
              <w:t>.</w:t>
            </w:r>
            <w:r w:rsidR="009C5011" w:rsidRPr="00D01786">
              <w:rPr>
                <w:sz w:val="20"/>
                <w:szCs w:val="16"/>
              </w:rPr>
              <w:t xml:space="preserve">5%. </w:t>
            </w:r>
            <w:r w:rsidR="00085808" w:rsidRPr="00D01786">
              <w:rPr>
                <w:sz w:val="20"/>
                <w:szCs w:val="16"/>
              </w:rPr>
              <w:t xml:space="preserve">Some </w:t>
            </w:r>
            <w:r w:rsidR="00CC2AAE" w:rsidRPr="00D01786">
              <w:rPr>
                <w:sz w:val="20"/>
                <w:szCs w:val="16"/>
              </w:rPr>
              <w:t>1</w:t>
            </w:r>
            <w:r w:rsidR="004C206D" w:rsidRPr="00D01786">
              <w:rPr>
                <w:sz w:val="20"/>
                <w:szCs w:val="16"/>
              </w:rPr>
              <w:t>.</w:t>
            </w:r>
            <w:r w:rsidR="00CC2AAE" w:rsidRPr="00D01786">
              <w:rPr>
                <w:sz w:val="20"/>
                <w:szCs w:val="16"/>
              </w:rPr>
              <w:t>028</w:t>
            </w:r>
            <w:r w:rsidR="00D2432E">
              <w:rPr>
                <w:sz w:val="20"/>
                <w:szCs w:val="16"/>
              </w:rPr>
              <w:t xml:space="preserve"> </w:t>
            </w:r>
            <w:r w:rsidR="00085808" w:rsidRPr="00D01786">
              <w:rPr>
                <w:sz w:val="20"/>
                <w:szCs w:val="16"/>
              </w:rPr>
              <w:t xml:space="preserve">of vacancies was announced, which represented month-on-month increase of </w:t>
            </w:r>
            <w:r w:rsidR="00CC2AAE" w:rsidRPr="00D01786">
              <w:rPr>
                <w:sz w:val="20"/>
                <w:szCs w:val="16"/>
              </w:rPr>
              <w:t>99</w:t>
            </w:r>
            <w:r w:rsidR="00085808" w:rsidRPr="00D01786">
              <w:rPr>
                <w:sz w:val="20"/>
                <w:szCs w:val="16"/>
              </w:rPr>
              <w:t>.</w:t>
            </w:r>
            <w:r w:rsidR="00CC2AAE" w:rsidRPr="00D01786">
              <w:rPr>
                <w:sz w:val="20"/>
                <w:szCs w:val="16"/>
              </w:rPr>
              <w:t xml:space="preserve">6%. </w:t>
            </w:r>
            <w:r w:rsidR="00085808" w:rsidRPr="00D01786">
              <w:rPr>
                <w:sz w:val="20"/>
                <w:szCs w:val="16"/>
              </w:rPr>
              <w:t xml:space="preserve">In January 2014, average wage amounted to </w:t>
            </w:r>
            <w:r w:rsidR="00CC2AAE" w:rsidRPr="00D01786">
              <w:rPr>
                <w:sz w:val="20"/>
                <w:szCs w:val="16"/>
              </w:rPr>
              <w:t>726</w:t>
            </w:r>
            <w:r w:rsidR="00DC5930">
              <w:rPr>
                <w:sz w:val="20"/>
                <w:szCs w:val="16"/>
              </w:rPr>
              <w:t xml:space="preserve"> </w:t>
            </w:r>
            <w:r w:rsidR="00CC2AAE" w:rsidRPr="00D01786">
              <w:rPr>
                <w:sz w:val="20"/>
                <w:szCs w:val="16"/>
              </w:rPr>
              <w:t xml:space="preserve">€ </w:t>
            </w:r>
            <w:r w:rsidR="00085808" w:rsidRPr="00D01786">
              <w:rPr>
                <w:sz w:val="20"/>
                <w:szCs w:val="16"/>
              </w:rPr>
              <w:t>or</w:t>
            </w:r>
            <w:r w:rsidR="00D2432E">
              <w:rPr>
                <w:sz w:val="20"/>
                <w:szCs w:val="16"/>
              </w:rPr>
              <w:t xml:space="preserve"> it declined annually by</w:t>
            </w:r>
            <w:r w:rsidR="00085808" w:rsidRPr="00D01786">
              <w:rPr>
                <w:sz w:val="20"/>
                <w:szCs w:val="16"/>
              </w:rPr>
              <w:t xml:space="preserve"> </w:t>
            </w:r>
            <w:r w:rsidR="00CC2AAE" w:rsidRPr="00D01786">
              <w:rPr>
                <w:sz w:val="20"/>
                <w:szCs w:val="16"/>
              </w:rPr>
              <w:t>0</w:t>
            </w:r>
            <w:r w:rsidR="00085808" w:rsidRPr="00D01786">
              <w:rPr>
                <w:sz w:val="20"/>
                <w:szCs w:val="16"/>
              </w:rPr>
              <w:t>.</w:t>
            </w:r>
            <w:r w:rsidR="00CC2AAE" w:rsidRPr="00D01786">
              <w:rPr>
                <w:sz w:val="20"/>
                <w:szCs w:val="16"/>
              </w:rPr>
              <w:t>7%</w:t>
            </w:r>
            <w:r w:rsidR="00085808" w:rsidRPr="00D01786">
              <w:rPr>
                <w:sz w:val="20"/>
                <w:szCs w:val="16"/>
              </w:rPr>
              <w:t xml:space="preserve">. Net wage amounted to </w:t>
            </w:r>
            <w:r w:rsidR="009C5011" w:rsidRPr="00D01786">
              <w:rPr>
                <w:sz w:val="20"/>
                <w:szCs w:val="16"/>
              </w:rPr>
              <w:t>478</w:t>
            </w:r>
            <w:r w:rsidR="00085808" w:rsidRPr="00D01786">
              <w:rPr>
                <w:sz w:val="20"/>
                <w:szCs w:val="16"/>
              </w:rPr>
              <w:t xml:space="preserve"> €, </w:t>
            </w:r>
            <w:r w:rsidR="00D2432E">
              <w:rPr>
                <w:sz w:val="20"/>
                <w:szCs w:val="16"/>
              </w:rPr>
              <w:t>and it declined by</w:t>
            </w:r>
            <w:r w:rsidR="00085808" w:rsidRPr="00D01786">
              <w:rPr>
                <w:sz w:val="20"/>
                <w:szCs w:val="16"/>
              </w:rPr>
              <w:t xml:space="preserve"> </w:t>
            </w:r>
            <w:r w:rsidR="00CC2AAE" w:rsidRPr="00D01786">
              <w:rPr>
                <w:sz w:val="20"/>
                <w:szCs w:val="16"/>
              </w:rPr>
              <w:t>2</w:t>
            </w:r>
            <w:r w:rsidR="00085808" w:rsidRPr="00D01786">
              <w:rPr>
                <w:sz w:val="20"/>
                <w:szCs w:val="16"/>
              </w:rPr>
              <w:t>.</w:t>
            </w:r>
            <w:r w:rsidR="00CC2AAE" w:rsidRPr="00D01786">
              <w:rPr>
                <w:sz w:val="20"/>
                <w:szCs w:val="16"/>
              </w:rPr>
              <w:t>4%</w:t>
            </w:r>
            <w:r w:rsidR="00085808" w:rsidRPr="00D01786">
              <w:rPr>
                <w:sz w:val="20"/>
                <w:szCs w:val="16"/>
              </w:rPr>
              <w:t xml:space="preserve">, while real wage declined by </w:t>
            </w:r>
            <w:r w:rsidR="00BC73F7" w:rsidRPr="00D01786">
              <w:rPr>
                <w:sz w:val="20"/>
                <w:szCs w:val="16"/>
              </w:rPr>
              <w:t>2%</w:t>
            </w:r>
            <w:r w:rsidR="00085808" w:rsidRPr="00D01786">
              <w:rPr>
                <w:sz w:val="20"/>
                <w:szCs w:val="16"/>
              </w:rPr>
              <w:t xml:space="preserve"> due to decline in prices in January</w:t>
            </w:r>
            <w:r w:rsidR="00BC73F7" w:rsidRPr="00D01786">
              <w:rPr>
                <w:sz w:val="20"/>
                <w:szCs w:val="16"/>
              </w:rPr>
              <w:t>.</w:t>
            </w:r>
          </w:p>
          <w:p w:rsidR="00422784" w:rsidRPr="00D01786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  <w:p w:rsidR="00422784" w:rsidRPr="00D01786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  <w:p w:rsidR="00422784" w:rsidRPr="00D01786" w:rsidRDefault="00422784" w:rsidP="001D21BD">
            <w:pPr>
              <w:pStyle w:val="NormalWeb"/>
              <w:spacing w:after="0"/>
              <w:ind w:left="360"/>
              <w:jc w:val="both"/>
              <w:rPr>
                <w:rFonts w:ascii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3686" w:type="dxa"/>
            <w:tcBorders>
              <w:bottom w:val="thinThickSmallGap" w:sz="18" w:space="0" w:color="auto"/>
            </w:tcBorders>
            <w:vAlign w:val="center"/>
          </w:tcPr>
          <w:p w:rsidR="00422784" w:rsidRPr="00D01786" w:rsidRDefault="00205E88" w:rsidP="001D21BD">
            <w:pPr>
              <w:pStyle w:val="NoSpacing"/>
              <w:jc w:val="center"/>
              <w:rPr>
                <w:sz w:val="20"/>
                <w:szCs w:val="20"/>
                <w:lang w:val="en-GB"/>
              </w:rPr>
            </w:pPr>
            <w:r w:rsidRPr="00D01786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80000" cy="1836000"/>
                  <wp:effectExtent l="0" t="0" r="1270" b="0"/>
                  <wp:docPr id="9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10452C" w:rsidRPr="00D01786" w:rsidTr="00E46BB6">
        <w:trPr>
          <w:trHeight w:hRule="exact" w:val="3764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0452C" w:rsidRPr="00D01786" w:rsidRDefault="00D357A9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017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Public Finance</w:t>
            </w:r>
          </w:p>
          <w:p w:rsidR="008C215C" w:rsidRPr="00D01786" w:rsidRDefault="00085808" w:rsidP="009C501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01786">
              <w:rPr>
                <w:b/>
                <w:sz w:val="20"/>
                <w:szCs w:val="20"/>
              </w:rPr>
              <w:t>Current revenues of the Budget of Montenegro amounted to</w:t>
            </w:r>
            <w:r w:rsidR="00D2432E">
              <w:rPr>
                <w:b/>
                <w:sz w:val="20"/>
                <w:szCs w:val="20"/>
              </w:rPr>
              <w:t xml:space="preserve"> </w:t>
            </w:r>
            <w:r w:rsidR="008C215C" w:rsidRPr="00D01786">
              <w:rPr>
                <w:b/>
                <w:bCs/>
                <w:sz w:val="20"/>
                <w:szCs w:val="20"/>
              </w:rPr>
              <w:t>70</w:t>
            </w:r>
            <w:r w:rsidRPr="00D01786">
              <w:rPr>
                <w:b/>
                <w:bCs/>
                <w:sz w:val="20"/>
                <w:szCs w:val="20"/>
              </w:rPr>
              <w:t>.</w:t>
            </w:r>
            <w:r w:rsidR="008C215C" w:rsidRPr="00D01786">
              <w:rPr>
                <w:b/>
                <w:bCs/>
                <w:sz w:val="20"/>
                <w:szCs w:val="20"/>
              </w:rPr>
              <w:t>63 mil</w:t>
            </w:r>
            <w:r w:rsidRPr="00D01786">
              <w:rPr>
                <w:b/>
                <w:bCs/>
                <w:sz w:val="20"/>
                <w:szCs w:val="20"/>
              </w:rPr>
              <w:t>lion</w:t>
            </w:r>
            <w:r w:rsidR="008C215C" w:rsidRPr="00D01786">
              <w:rPr>
                <w:b/>
                <w:bCs/>
                <w:sz w:val="20"/>
                <w:szCs w:val="20"/>
              </w:rPr>
              <w:t xml:space="preserve"> €</w:t>
            </w:r>
            <w:r w:rsidRPr="00D01786">
              <w:rPr>
                <w:b/>
                <w:bCs/>
                <w:sz w:val="20"/>
                <w:szCs w:val="20"/>
              </w:rPr>
              <w:t xml:space="preserve"> in January 2014, and they increased y-o-y by </w:t>
            </w:r>
            <w:r w:rsidR="008C215C" w:rsidRPr="00D01786">
              <w:rPr>
                <w:b/>
                <w:bCs/>
                <w:sz w:val="20"/>
                <w:szCs w:val="20"/>
              </w:rPr>
              <w:t>29%</w:t>
            </w:r>
            <w:r w:rsidRPr="00D01786">
              <w:rPr>
                <w:b/>
                <w:bCs/>
                <w:sz w:val="20"/>
                <w:szCs w:val="20"/>
              </w:rPr>
              <w:t>, while their growth compared to the plan was</w:t>
            </w:r>
            <w:r w:rsidR="008C215C" w:rsidRPr="00D01786">
              <w:rPr>
                <w:b/>
                <w:bCs/>
                <w:sz w:val="20"/>
                <w:szCs w:val="20"/>
              </w:rPr>
              <w:t xml:space="preserve"> 13%.</w:t>
            </w:r>
            <w:r w:rsidR="008C215C" w:rsidRPr="00D01786">
              <w:rPr>
                <w:sz w:val="20"/>
                <w:szCs w:val="20"/>
              </w:rPr>
              <w:t> </w:t>
            </w:r>
            <w:r w:rsidRPr="00D01786">
              <w:rPr>
                <w:sz w:val="20"/>
                <w:szCs w:val="20"/>
              </w:rPr>
              <w:t xml:space="preserve">VAT collection was </w:t>
            </w:r>
            <w:r w:rsidR="008C215C" w:rsidRPr="00D01786">
              <w:rPr>
                <w:sz w:val="20"/>
                <w:szCs w:val="20"/>
              </w:rPr>
              <w:t>32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2</w:t>
            </w:r>
            <w:r w:rsidR="00D2432E">
              <w:rPr>
                <w:sz w:val="20"/>
                <w:szCs w:val="20"/>
              </w:rPr>
              <w:t xml:space="preserve"> </w:t>
            </w:r>
            <w:r w:rsidR="008C215C" w:rsidRPr="00D01786">
              <w:rPr>
                <w:sz w:val="20"/>
                <w:szCs w:val="20"/>
              </w:rPr>
              <w:t>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8C215C" w:rsidRPr="00D01786">
              <w:rPr>
                <w:sz w:val="20"/>
                <w:szCs w:val="20"/>
              </w:rPr>
              <w:t>€</w:t>
            </w:r>
            <w:r w:rsidRPr="00D01786">
              <w:rPr>
                <w:sz w:val="20"/>
                <w:szCs w:val="20"/>
              </w:rPr>
              <w:t xml:space="preserve"> in the observed month. It increased compared to plan by </w:t>
            </w:r>
            <w:r w:rsidR="008C215C" w:rsidRPr="00D01786">
              <w:rPr>
                <w:sz w:val="20"/>
                <w:szCs w:val="20"/>
              </w:rPr>
              <w:t>17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8%</w:t>
            </w:r>
            <w:r w:rsidRPr="00D01786">
              <w:rPr>
                <w:sz w:val="20"/>
                <w:szCs w:val="20"/>
              </w:rPr>
              <w:t>, while it increased y-o-y by</w:t>
            </w:r>
            <w:r w:rsidR="008C215C" w:rsidRPr="00D01786">
              <w:rPr>
                <w:sz w:val="20"/>
                <w:szCs w:val="20"/>
              </w:rPr>
              <w:t xml:space="preserve"> 29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4%.</w:t>
            </w:r>
            <w:r w:rsidRPr="00D01786">
              <w:rPr>
                <w:sz w:val="20"/>
                <w:szCs w:val="20"/>
              </w:rPr>
              <w:t xml:space="preserve"> Revenues based on the collection of </w:t>
            </w:r>
            <w:r w:rsidR="00E46BB6" w:rsidRPr="00D01786">
              <w:rPr>
                <w:sz w:val="20"/>
                <w:szCs w:val="20"/>
              </w:rPr>
              <w:t xml:space="preserve">wage </w:t>
            </w:r>
            <w:r w:rsidRPr="00D01786">
              <w:rPr>
                <w:sz w:val="20"/>
                <w:szCs w:val="20"/>
              </w:rPr>
              <w:t xml:space="preserve">taxes and </w:t>
            </w:r>
            <w:r w:rsidR="00E46BB6" w:rsidRPr="00D01786">
              <w:rPr>
                <w:sz w:val="20"/>
                <w:szCs w:val="20"/>
              </w:rPr>
              <w:t xml:space="preserve">contributions increased y-o-y by </w:t>
            </w:r>
            <w:r w:rsidR="008C215C" w:rsidRPr="00D01786">
              <w:rPr>
                <w:sz w:val="20"/>
                <w:szCs w:val="20"/>
              </w:rPr>
              <w:t>49</w:t>
            </w:r>
            <w:r w:rsidR="00E46BB6"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4</w:t>
            </w:r>
            <w:r w:rsidR="00F076BD" w:rsidRPr="00D01786">
              <w:rPr>
                <w:sz w:val="20"/>
                <w:szCs w:val="20"/>
              </w:rPr>
              <w:t>%</w:t>
            </w:r>
            <w:r w:rsidR="00E46BB6" w:rsidRPr="00D01786">
              <w:rPr>
                <w:sz w:val="20"/>
                <w:szCs w:val="20"/>
              </w:rPr>
              <w:t xml:space="preserve"> in January 2014 and </w:t>
            </w:r>
            <w:r w:rsidR="008C215C" w:rsidRPr="00D01786">
              <w:rPr>
                <w:sz w:val="20"/>
                <w:szCs w:val="20"/>
              </w:rPr>
              <w:t>23</w:t>
            </w:r>
            <w:r w:rsidR="00E46BB6"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2</w:t>
            </w:r>
            <w:r w:rsidR="00F076BD" w:rsidRPr="00D01786">
              <w:rPr>
                <w:sz w:val="20"/>
                <w:szCs w:val="20"/>
              </w:rPr>
              <w:t>%</w:t>
            </w:r>
            <w:r w:rsidR="00D2432E">
              <w:rPr>
                <w:sz w:val="20"/>
                <w:szCs w:val="20"/>
              </w:rPr>
              <w:t xml:space="preserve"> </w:t>
            </w:r>
            <w:r w:rsidR="00E46BB6" w:rsidRPr="00D01786">
              <w:rPr>
                <w:sz w:val="20"/>
                <w:szCs w:val="20"/>
              </w:rPr>
              <w:t>compared to the plan</w:t>
            </w:r>
            <w:r w:rsidR="008C215C" w:rsidRPr="00D01786">
              <w:rPr>
                <w:sz w:val="20"/>
                <w:szCs w:val="20"/>
              </w:rPr>
              <w:t>.</w:t>
            </w:r>
          </w:p>
          <w:p w:rsidR="008C215C" w:rsidRPr="00D01786" w:rsidRDefault="00E46BB6" w:rsidP="009C5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1786">
              <w:rPr>
                <w:b/>
                <w:bCs/>
                <w:sz w:val="20"/>
                <w:szCs w:val="20"/>
              </w:rPr>
              <w:t xml:space="preserve">Budget expenditures </w:t>
            </w:r>
            <w:r w:rsidRPr="00D01786">
              <w:rPr>
                <w:bCs/>
                <w:sz w:val="20"/>
                <w:szCs w:val="20"/>
              </w:rPr>
              <w:t>amounted to</w:t>
            </w:r>
            <w:r w:rsidRPr="00D01786">
              <w:rPr>
                <w:sz w:val="20"/>
                <w:szCs w:val="20"/>
              </w:rPr>
              <w:t> </w:t>
            </w:r>
            <w:r w:rsidR="008C215C" w:rsidRPr="00D01786">
              <w:rPr>
                <w:sz w:val="20"/>
                <w:szCs w:val="20"/>
              </w:rPr>
              <w:t>94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14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8C215C" w:rsidRPr="00D01786">
              <w:rPr>
                <w:sz w:val="20"/>
                <w:szCs w:val="20"/>
              </w:rPr>
              <w:t>€</w:t>
            </w:r>
            <w:r w:rsidR="00D2432E">
              <w:rPr>
                <w:sz w:val="20"/>
                <w:szCs w:val="20"/>
              </w:rPr>
              <w:t xml:space="preserve"> in January 2014</w:t>
            </w:r>
            <w:r w:rsidRPr="00D01786">
              <w:rPr>
                <w:sz w:val="20"/>
                <w:szCs w:val="20"/>
              </w:rPr>
              <w:t>. They recorded y-o-y increase of 16.</w:t>
            </w:r>
            <w:r w:rsidR="008C215C" w:rsidRPr="00D01786">
              <w:rPr>
                <w:sz w:val="20"/>
                <w:szCs w:val="20"/>
              </w:rPr>
              <w:t>5 %, </w:t>
            </w:r>
            <w:r w:rsidRPr="00D01786">
              <w:rPr>
                <w:sz w:val="20"/>
                <w:szCs w:val="20"/>
              </w:rPr>
              <w:t>and decrease of 15.5% compared to the plan</w:t>
            </w:r>
            <w:r w:rsidR="008C215C" w:rsidRPr="00D01786">
              <w:rPr>
                <w:sz w:val="20"/>
                <w:szCs w:val="20"/>
              </w:rPr>
              <w:t xml:space="preserve">. </w:t>
            </w:r>
          </w:p>
          <w:p w:rsidR="008C215C" w:rsidRPr="00D01786" w:rsidRDefault="00E46BB6" w:rsidP="009C5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1786">
              <w:rPr>
                <w:b/>
                <w:bCs/>
                <w:sz w:val="20"/>
                <w:szCs w:val="20"/>
              </w:rPr>
              <w:t xml:space="preserve">Budget deficit </w:t>
            </w:r>
            <w:r w:rsidRPr="00D01786">
              <w:rPr>
                <w:bCs/>
                <w:sz w:val="20"/>
                <w:szCs w:val="20"/>
              </w:rPr>
              <w:t xml:space="preserve">was </w:t>
            </w:r>
            <w:r w:rsidR="008C215C" w:rsidRPr="00D01786">
              <w:rPr>
                <w:sz w:val="20"/>
                <w:szCs w:val="20"/>
              </w:rPr>
              <w:t>23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5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8C215C" w:rsidRPr="00D01786">
              <w:rPr>
                <w:sz w:val="20"/>
                <w:szCs w:val="20"/>
              </w:rPr>
              <w:t>€</w:t>
            </w:r>
            <w:r w:rsidR="00D2432E">
              <w:rPr>
                <w:sz w:val="20"/>
                <w:szCs w:val="20"/>
              </w:rPr>
              <w:t xml:space="preserve"> in January 2014</w:t>
            </w:r>
            <w:r w:rsidRPr="00D01786">
              <w:rPr>
                <w:sz w:val="20"/>
                <w:szCs w:val="20"/>
              </w:rPr>
              <w:t xml:space="preserve">, and it showed decline of </w:t>
            </w:r>
            <w:r w:rsidR="008C215C" w:rsidRPr="00D01786">
              <w:rPr>
                <w:sz w:val="20"/>
                <w:szCs w:val="20"/>
              </w:rPr>
              <w:t xml:space="preserve">52% </w:t>
            </w:r>
            <w:r w:rsidRPr="00D01786">
              <w:rPr>
                <w:sz w:val="20"/>
                <w:szCs w:val="20"/>
              </w:rPr>
              <w:t xml:space="preserve">compared to the plan, and y-o-y decline of </w:t>
            </w:r>
            <w:r w:rsidR="008C215C" w:rsidRPr="00D01786">
              <w:rPr>
                <w:sz w:val="20"/>
                <w:szCs w:val="20"/>
              </w:rPr>
              <w:t>9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 xml:space="preserve">6 %. </w:t>
            </w:r>
          </w:p>
          <w:p w:rsidR="008C215C" w:rsidRPr="00D01786" w:rsidRDefault="00E46BB6" w:rsidP="009C5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1786">
              <w:rPr>
                <w:b/>
                <w:bCs/>
                <w:sz w:val="20"/>
                <w:szCs w:val="20"/>
              </w:rPr>
              <w:t xml:space="preserve">Government debt </w:t>
            </w:r>
            <w:r w:rsidRPr="00D01786">
              <w:rPr>
                <w:bCs/>
                <w:sz w:val="20"/>
                <w:szCs w:val="20"/>
              </w:rPr>
              <w:t xml:space="preserve">amounted to </w:t>
            </w:r>
            <w:r w:rsidR="008C215C" w:rsidRPr="00D01786">
              <w:rPr>
                <w:sz w:val="20"/>
                <w:szCs w:val="20"/>
              </w:rPr>
              <w:t>1.873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15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8C215C" w:rsidRPr="00D01786">
              <w:rPr>
                <w:sz w:val="20"/>
                <w:szCs w:val="20"/>
              </w:rPr>
              <w:t>€</w:t>
            </w:r>
            <w:r w:rsidR="00D2432E">
              <w:rPr>
                <w:sz w:val="20"/>
                <w:szCs w:val="20"/>
              </w:rPr>
              <w:t xml:space="preserve"> at end-</w:t>
            </w:r>
            <w:r w:rsidRPr="00D01786">
              <w:rPr>
                <w:sz w:val="20"/>
                <w:szCs w:val="20"/>
              </w:rPr>
              <w:t xml:space="preserve">2013 or </w:t>
            </w:r>
            <w:r w:rsidR="008C215C" w:rsidRPr="00D01786">
              <w:rPr>
                <w:sz w:val="20"/>
                <w:szCs w:val="20"/>
                <w:highlight w:val="yellow"/>
              </w:rPr>
              <w:t>56</w:t>
            </w:r>
            <w:r w:rsidRPr="00D01786">
              <w:rPr>
                <w:sz w:val="20"/>
                <w:szCs w:val="20"/>
                <w:highlight w:val="yellow"/>
              </w:rPr>
              <w:t>.</w:t>
            </w:r>
            <w:r w:rsidR="00213054" w:rsidRPr="00D01786">
              <w:rPr>
                <w:sz w:val="20"/>
                <w:szCs w:val="20"/>
                <w:highlight w:val="yellow"/>
              </w:rPr>
              <w:t>15</w:t>
            </w:r>
            <w:r w:rsidR="008C215C" w:rsidRPr="00D01786">
              <w:rPr>
                <w:sz w:val="20"/>
                <w:szCs w:val="20"/>
              </w:rPr>
              <w:t>%</w:t>
            </w:r>
            <w:r w:rsidRPr="00D01786">
              <w:rPr>
                <w:sz w:val="20"/>
                <w:szCs w:val="20"/>
              </w:rPr>
              <w:t xml:space="preserve"> of estimated GDP. It declined by </w:t>
            </w:r>
            <w:r w:rsidR="008C215C" w:rsidRPr="00D01786">
              <w:rPr>
                <w:sz w:val="20"/>
                <w:szCs w:val="20"/>
              </w:rPr>
              <w:t>0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4 p</w:t>
            </w:r>
            <w:r w:rsidRPr="00D01786">
              <w:rPr>
                <w:sz w:val="20"/>
                <w:szCs w:val="20"/>
              </w:rPr>
              <w:t>ercentage points compared to the previous month</w:t>
            </w:r>
            <w:r w:rsidR="008C215C" w:rsidRPr="00D01786">
              <w:rPr>
                <w:sz w:val="20"/>
                <w:szCs w:val="20"/>
              </w:rPr>
              <w:t xml:space="preserve">. </w:t>
            </w:r>
            <w:r w:rsidRPr="00D01786">
              <w:rPr>
                <w:sz w:val="20"/>
                <w:szCs w:val="20"/>
              </w:rPr>
              <w:t xml:space="preserve">Internal debt amounted to </w:t>
            </w:r>
            <w:r w:rsidR="008C215C" w:rsidRPr="00D01786">
              <w:rPr>
                <w:sz w:val="20"/>
                <w:szCs w:val="20"/>
              </w:rPr>
              <w:t>440</w:t>
            </w:r>
            <w:r w:rsidRPr="00D01786">
              <w:rPr>
                <w:sz w:val="20"/>
                <w:szCs w:val="20"/>
              </w:rPr>
              <w:t>.</w:t>
            </w:r>
            <w:r w:rsidR="008C215C" w:rsidRPr="00D01786">
              <w:rPr>
                <w:sz w:val="20"/>
                <w:szCs w:val="20"/>
              </w:rPr>
              <w:t>1</w:t>
            </w:r>
            <w:r w:rsidR="00D2432E">
              <w:rPr>
                <w:sz w:val="20"/>
                <w:szCs w:val="20"/>
              </w:rPr>
              <w:t xml:space="preserve"> </w:t>
            </w:r>
            <w:r w:rsidR="00B801BF" w:rsidRPr="00D01786">
              <w:rPr>
                <w:sz w:val="20"/>
                <w:szCs w:val="20"/>
              </w:rPr>
              <w:t>mi</w:t>
            </w:r>
            <w:r w:rsidRPr="00D01786">
              <w:rPr>
                <w:sz w:val="20"/>
                <w:szCs w:val="20"/>
              </w:rPr>
              <w:t xml:space="preserve">llion </w:t>
            </w:r>
            <w:r w:rsidR="008C215C" w:rsidRPr="00D01786">
              <w:rPr>
                <w:sz w:val="20"/>
                <w:szCs w:val="20"/>
              </w:rPr>
              <w:t xml:space="preserve">€, </w:t>
            </w:r>
            <w:r w:rsidRPr="00D01786">
              <w:rPr>
                <w:sz w:val="20"/>
                <w:szCs w:val="20"/>
              </w:rPr>
              <w:t>and debt to non-residents was 1.433.0</w:t>
            </w:r>
            <w:r w:rsidR="008C215C" w:rsidRPr="00D01786">
              <w:rPr>
                <w:sz w:val="20"/>
                <w:szCs w:val="20"/>
              </w:rPr>
              <w:t xml:space="preserve">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8C215C" w:rsidRPr="00D01786">
              <w:rPr>
                <w:sz w:val="20"/>
                <w:szCs w:val="20"/>
              </w:rPr>
              <w:t>€.</w:t>
            </w:r>
          </w:p>
          <w:p w:rsidR="0010452C" w:rsidRPr="00D01786" w:rsidRDefault="0010452C" w:rsidP="001D21BD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0452C" w:rsidRPr="00D01786" w:rsidRDefault="00A468B1" w:rsidP="00812862">
            <w:pPr>
              <w:rPr>
                <w:sz w:val="17"/>
                <w:szCs w:val="17"/>
                <w:lang w:eastAsia="sr-Latn-CS"/>
              </w:rPr>
            </w:pPr>
            <w:r w:rsidRPr="00D01786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393902" cy="2013045"/>
                  <wp:effectExtent l="19050" t="0" r="25448" b="6255"/>
                  <wp:docPr id="11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B721D" w:rsidRPr="00D01786" w:rsidTr="00D2432E">
        <w:trPr>
          <w:trHeight w:hRule="exact" w:val="4409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B721D" w:rsidRPr="00D01786" w:rsidRDefault="00DB721D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017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Monetar</w:t>
            </w:r>
            <w:r w:rsidR="00976469" w:rsidRPr="00D017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y Sector</w:t>
            </w:r>
          </w:p>
          <w:p w:rsidR="00DB721D" w:rsidRPr="00D01786" w:rsidRDefault="00976469" w:rsidP="00A20E76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D01786">
              <w:rPr>
                <w:b/>
                <w:sz w:val="20"/>
                <w:szCs w:val="20"/>
              </w:rPr>
              <w:t xml:space="preserve">The </w:t>
            </w:r>
            <w:r w:rsidR="00D2432E">
              <w:rPr>
                <w:b/>
                <w:sz w:val="20"/>
                <w:szCs w:val="20"/>
              </w:rPr>
              <w:t>situation</w:t>
            </w:r>
            <w:r w:rsidRPr="00D01786">
              <w:rPr>
                <w:b/>
                <w:sz w:val="20"/>
                <w:szCs w:val="20"/>
              </w:rPr>
              <w:t xml:space="preserve"> in the banking sector is stable</w:t>
            </w:r>
            <w:r w:rsidR="00D2432E">
              <w:rPr>
                <w:b/>
                <w:sz w:val="20"/>
                <w:szCs w:val="20"/>
              </w:rPr>
              <w:t>.</w:t>
            </w:r>
            <w:r w:rsidRPr="00D01786">
              <w:rPr>
                <w:b/>
                <w:sz w:val="20"/>
                <w:szCs w:val="20"/>
              </w:rPr>
              <w:t xml:space="preserve"> </w:t>
            </w:r>
            <w:r w:rsidR="00D2432E" w:rsidRPr="00D01786">
              <w:rPr>
                <w:b/>
                <w:sz w:val="20"/>
                <w:szCs w:val="20"/>
              </w:rPr>
              <w:t>T</w:t>
            </w:r>
            <w:r w:rsidRPr="00D01786">
              <w:rPr>
                <w:b/>
                <w:sz w:val="20"/>
                <w:szCs w:val="20"/>
              </w:rPr>
              <w:t>otal</w:t>
            </w:r>
            <w:r w:rsidR="00D2432E">
              <w:rPr>
                <w:b/>
                <w:sz w:val="20"/>
                <w:szCs w:val="20"/>
              </w:rPr>
              <w:t xml:space="preserve"> </w:t>
            </w:r>
            <w:r w:rsidRPr="00D01786">
              <w:rPr>
                <w:b/>
                <w:sz w:val="20"/>
                <w:szCs w:val="20"/>
              </w:rPr>
              <w:t xml:space="preserve">deposits and capital </w:t>
            </w:r>
            <w:r w:rsidR="00D2432E">
              <w:rPr>
                <w:b/>
                <w:sz w:val="20"/>
                <w:szCs w:val="20"/>
              </w:rPr>
              <w:t xml:space="preserve">recorded </w:t>
            </w:r>
            <w:r w:rsidRPr="00D01786">
              <w:rPr>
                <w:b/>
                <w:sz w:val="20"/>
                <w:szCs w:val="20"/>
              </w:rPr>
              <w:t xml:space="preserve">annual growth, while lending activity declined. </w:t>
            </w:r>
            <w:r w:rsidRPr="00D01786">
              <w:rPr>
                <w:sz w:val="20"/>
                <w:szCs w:val="20"/>
              </w:rPr>
              <w:t xml:space="preserve">Banks’ total </w:t>
            </w:r>
            <w:r w:rsidRPr="00D01786">
              <w:rPr>
                <w:b/>
                <w:sz w:val="20"/>
                <w:szCs w:val="20"/>
              </w:rPr>
              <w:t xml:space="preserve">capital </w:t>
            </w:r>
            <w:r w:rsidRPr="00D01786">
              <w:rPr>
                <w:sz w:val="20"/>
                <w:szCs w:val="20"/>
              </w:rPr>
              <w:t xml:space="preserve">amounted to </w:t>
            </w:r>
            <w:r w:rsidR="00144EE5" w:rsidRPr="00D01786">
              <w:rPr>
                <w:sz w:val="20"/>
                <w:szCs w:val="20"/>
              </w:rPr>
              <w:t>415.3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144EE5" w:rsidRPr="00D01786">
              <w:rPr>
                <w:sz w:val="20"/>
                <w:szCs w:val="20"/>
              </w:rPr>
              <w:t>€,</w:t>
            </w:r>
            <w:r w:rsidRPr="00D01786">
              <w:rPr>
                <w:sz w:val="20"/>
                <w:szCs w:val="20"/>
              </w:rPr>
              <w:t xml:space="preserve"> which </w:t>
            </w:r>
            <w:r w:rsidR="00D2432E">
              <w:rPr>
                <w:sz w:val="20"/>
                <w:szCs w:val="20"/>
              </w:rPr>
              <w:t xml:space="preserve">indicated </w:t>
            </w:r>
            <w:r w:rsidR="00A20E76">
              <w:rPr>
                <w:sz w:val="20"/>
                <w:szCs w:val="20"/>
              </w:rPr>
              <w:t>the</w:t>
            </w:r>
            <w:r w:rsidR="00D2432E">
              <w:rPr>
                <w:sz w:val="20"/>
                <w:szCs w:val="20"/>
              </w:rPr>
              <w:t xml:space="preserve"> </w:t>
            </w:r>
            <w:r w:rsidRPr="00D01786">
              <w:rPr>
                <w:sz w:val="20"/>
                <w:szCs w:val="20"/>
              </w:rPr>
              <w:t xml:space="preserve">increase of </w:t>
            </w:r>
            <w:r w:rsidR="00144EE5" w:rsidRPr="00D01786">
              <w:rPr>
                <w:sz w:val="20"/>
                <w:szCs w:val="20"/>
              </w:rPr>
              <w:t>6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 xml:space="preserve">5% </w:t>
            </w:r>
            <w:r w:rsidRPr="00D01786">
              <w:rPr>
                <w:sz w:val="20"/>
                <w:szCs w:val="20"/>
              </w:rPr>
              <w:t>or</w:t>
            </w:r>
            <w:r w:rsidR="00144EE5" w:rsidRPr="00D01786">
              <w:rPr>
                <w:sz w:val="20"/>
                <w:szCs w:val="20"/>
              </w:rPr>
              <w:t xml:space="preserve"> 25.2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144EE5" w:rsidRPr="00D01786">
              <w:rPr>
                <w:sz w:val="20"/>
                <w:szCs w:val="20"/>
              </w:rPr>
              <w:t>€</w:t>
            </w:r>
            <w:r w:rsidR="00D2432E">
              <w:rPr>
                <w:sz w:val="20"/>
                <w:szCs w:val="20"/>
              </w:rPr>
              <w:t xml:space="preserve"> relative to the same month of the previous year</w:t>
            </w:r>
            <w:r w:rsidR="00144EE5" w:rsidRPr="00D01786">
              <w:rPr>
                <w:sz w:val="20"/>
                <w:szCs w:val="20"/>
              </w:rPr>
              <w:t xml:space="preserve">. </w:t>
            </w:r>
            <w:r w:rsidRPr="00D01786">
              <w:rPr>
                <w:sz w:val="20"/>
                <w:szCs w:val="20"/>
              </w:rPr>
              <w:t xml:space="preserve">Total </w:t>
            </w:r>
            <w:r w:rsidRPr="00D01786">
              <w:rPr>
                <w:b/>
                <w:sz w:val="20"/>
                <w:szCs w:val="20"/>
              </w:rPr>
              <w:t xml:space="preserve">deposits </w:t>
            </w:r>
            <w:r w:rsidRPr="00D01786">
              <w:rPr>
                <w:sz w:val="20"/>
                <w:szCs w:val="20"/>
              </w:rPr>
              <w:t>amounted to</w:t>
            </w:r>
            <w:r w:rsidR="00D2432E">
              <w:rPr>
                <w:sz w:val="20"/>
                <w:szCs w:val="20"/>
              </w:rPr>
              <w:t xml:space="preserve"> </w:t>
            </w:r>
            <w:r w:rsidRPr="00D01786">
              <w:rPr>
                <w:sz w:val="20"/>
                <w:szCs w:val="20"/>
              </w:rPr>
              <w:t xml:space="preserve">2.096.7 million € and recorded annual increase of </w:t>
            </w:r>
            <w:r w:rsidR="00144EE5" w:rsidRPr="00D01786">
              <w:rPr>
                <w:sz w:val="20"/>
                <w:szCs w:val="20"/>
              </w:rPr>
              <w:t>6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 xml:space="preserve">4%. </w:t>
            </w:r>
            <w:r w:rsidR="00D2432E">
              <w:rPr>
                <w:sz w:val="20"/>
                <w:szCs w:val="20"/>
              </w:rPr>
              <w:t>Deposits of h</w:t>
            </w:r>
            <w:r w:rsidRPr="00D01786">
              <w:rPr>
                <w:sz w:val="20"/>
                <w:szCs w:val="20"/>
              </w:rPr>
              <w:t xml:space="preserve">ousehold sector, as the most important depositor of Montenegro’s banking system, amounted to </w:t>
            </w:r>
            <w:r w:rsidR="00144EE5" w:rsidRPr="00D01786">
              <w:rPr>
                <w:sz w:val="20"/>
                <w:szCs w:val="20"/>
              </w:rPr>
              <w:t>1</w:t>
            </w:r>
            <w:r w:rsidR="00067FD6" w:rsidRPr="00D01786">
              <w:rPr>
                <w:sz w:val="20"/>
                <w:szCs w:val="20"/>
              </w:rPr>
              <w:t>.235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>1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144EE5" w:rsidRPr="00D01786">
              <w:rPr>
                <w:sz w:val="20"/>
                <w:szCs w:val="20"/>
              </w:rPr>
              <w:t>€,</w:t>
            </w:r>
            <w:r w:rsidRPr="00D01786">
              <w:rPr>
                <w:sz w:val="20"/>
                <w:szCs w:val="20"/>
              </w:rPr>
              <w:t xml:space="preserve"> which represented a y-o-y increase of </w:t>
            </w:r>
            <w:r w:rsidR="00144EE5" w:rsidRPr="00D01786">
              <w:rPr>
                <w:sz w:val="20"/>
                <w:szCs w:val="20"/>
              </w:rPr>
              <w:t>7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 xml:space="preserve">4%. </w:t>
            </w:r>
            <w:r w:rsidRPr="00D01786">
              <w:rPr>
                <w:sz w:val="20"/>
                <w:szCs w:val="20"/>
              </w:rPr>
              <w:t xml:space="preserve">Total </w:t>
            </w:r>
            <w:r w:rsidRPr="00D01786">
              <w:rPr>
                <w:b/>
                <w:sz w:val="20"/>
                <w:szCs w:val="20"/>
              </w:rPr>
              <w:t xml:space="preserve">loans </w:t>
            </w:r>
            <w:r w:rsidRPr="00D01786">
              <w:rPr>
                <w:sz w:val="20"/>
                <w:szCs w:val="20"/>
              </w:rPr>
              <w:t xml:space="preserve">and other receivables amounted to </w:t>
            </w:r>
            <w:r w:rsidR="00144EE5" w:rsidRPr="00D01786">
              <w:rPr>
                <w:sz w:val="20"/>
                <w:szCs w:val="20"/>
              </w:rPr>
              <w:t>2</w:t>
            </w:r>
            <w:r w:rsidR="00067FD6"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>407.9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144EE5" w:rsidRPr="00D01786">
              <w:rPr>
                <w:sz w:val="20"/>
                <w:szCs w:val="20"/>
              </w:rPr>
              <w:t>€</w:t>
            </w:r>
            <w:r w:rsidRPr="00D01786">
              <w:rPr>
                <w:sz w:val="20"/>
                <w:szCs w:val="20"/>
              </w:rPr>
              <w:t xml:space="preserve"> at end-January 2014, and they declined monthly by</w:t>
            </w:r>
            <w:r w:rsidR="00144EE5" w:rsidRPr="00D01786">
              <w:rPr>
                <w:sz w:val="20"/>
                <w:szCs w:val="20"/>
              </w:rPr>
              <w:t xml:space="preserve"> 0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 xml:space="preserve">2% </w:t>
            </w:r>
            <w:r w:rsidRPr="00D01786">
              <w:rPr>
                <w:sz w:val="20"/>
                <w:szCs w:val="20"/>
              </w:rPr>
              <w:t xml:space="preserve">and annually by </w:t>
            </w:r>
            <w:r w:rsidR="00144EE5" w:rsidRPr="00D01786">
              <w:rPr>
                <w:sz w:val="20"/>
                <w:szCs w:val="20"/>
              </w:rPr>
              <w:t>3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>0%. N</w:t>
            </w:r>
            <w:r w:rsidRPr="00D01786">
              <w:rPr>
                <w:sz w:val="20"/>
                <w:szCs w:val="20"/>
              </w:rPr>
              <w:t xml:space="preserve">ew loans amounted to </w:t>
            </w:r>
            <w:r w:rsidR="00144EE5" w:rsidRPr="00D01786">
              <w:rPr>
                <w:sz w:val="20"/>
                <w:szCs w:val="20"/>
              </w:rPr>
              <w:t>51.9 mil</w:t>
            </w:r>
            <w:r w:rsidRPr="00D01786">
              <w:rPr>
                <w:sz w:val="20"/>
                <w:szCs w:val="20"/>
              </w:rPr>
              <w:t xml:space="preserve">lion </w:t>
            </w:r>
            <w:r w:rsidR="00144EE5" w:rsidRPr="00D01786">
              <w:rPr>
                <w:sz w:val="20"/>
                <w:szCs w:val="20"/>
              </w:rPr>
              <w:t>€</w:t>
            </w:r>
            <w:r w:rsidRPr="00D01786">
              <w:rPr>
                <w:sz w:val="20"/>
                <w:szCs w:val="20"/>
              </w:rPr>
              <w:t xml:space="preserve"> at the beginning of the year, whereby </w:t>
            </w:r>
            <w:r w:rsidR="00144EE5" w:rsidRPr="00D01786">
              <w:rPr>
                <w:sz w:val="20"/>
                <w:szCs w:val="20"/>
              </w:rPr>
              <w:t>50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 xml:space="preserve">3% </w:t>
            </w:r>
            <w:r w:rsidRPr="00D01786">
              <w:rPr>
                <w:sz w:val="20"/>
                <w:szCs w:val="20"/>
              </w:rPr>
              <w:t xml:space="preserve">referred to corporate and </w:t>
            </w:r>
            <w:r w:rsidR="00144EE5" w:rsidRPr="00D01786">
              <w:rPr>
                <w:sz w:val="20"/>
                <w:szCs w:val="20"/>
              </w:rPr>
              <w:t>26</w:t>
            </w:r>
            <w:r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>9%</w:t>
            </w:r>
            <w:r w:rsidRPr="00D01786">
              <w:rPr>
                <w:sz w:val="20"/>
                <w:szCs w:val="20"/>
              </w:rPr>
              <w:t xml:space="preserve"> referred to retail sector</w:t>
            </w:r>
            <w:r w:rsidR="00144EE5" w:rsidRPr="00D01786">
              <w:rPr>
                <w:sz w:val="20"/>
                <w:szCs w:val="20"/>
              </w:rPr>
              <w:t xml:space="preserve">. </w:t>
            </w:r>
            <w:r w:rsidR="006537DB" w:rsidRPr="00D01786">
              <w:rPr>
                <w:sz w:val="20"/>
                <w:szCs w:val="18"/>
              </w:rPr>
              <w:t xml:space="preserve"> The problem of </w:t>
            </w:r>
            <w:r w:rsidR="006537DB" w:rsidRPr="00D01786">
              <w:rPr>
                <w:b/>
                <w:sz w:val="20"/>
                <w:szCs w:val="18"/>
              </w:rPr>
              <w:t xml:space="preserve">real sector illiquidity </w:t>
            </w:r>
            <w:r w:rsidR="006537DB" w:rsidRPr="00D01786">
              <w:rPr>
                <w:sz w:val="20"/>
                <w:szCs w:val="18"/>
              </w:rPr>
              <w:t>and high level of non-performing loans still pose risks to financial stability</w:t>
            </w:r>
            <w:r w:rsidR="00144EE5" w:rsidRPr="00D01786">
              <w:rPr>
                <w:sz w:val="20"/>
                <w:szCs w:val="20"/>
              </w:rPr>
              <w:t xml:space="preserve">. </w:t>
            </w:r>
            <w:r w:rsidR="006537DB" w:rsidRPr="00D01786">
              <w:rPr>
                <w:sz w:val="20"/>
                <w:szCs w:val="20"/>
              </w:rPr>
              <w:t>In January 2014, the accounts of</w:t>
            </w:r>
            <w:r w:rsidR="00144EE5" w:rsidRPr="00D01786">
              <w:rPr>
                <w:sz w:val="20"/>
                <w:szCs w:val="20"/>
              </w:rPr>
              <w:t xml:space="preserve"> 13.150 </w:t>
            </w:r>
            <w:r w:rsidR="006537DB" w:rsidRPr="00D01786">
              <w:rPr>
                <w:sz w:val="20"/>
                <w:szCs w:val="20"/>
              </w:rPr>
              <w:t>of enforced debtors were frozen, which represent</w:t>
            </w:r>
            <w:r w:rsidR="00D2432E">
              <w:rPr>
                <w:sz w:val="20"/>
                <w:szCs w:val="20"/>
              </w:rPr>
              <w:t>ed</w:t>
            </w:r>
            <w:r w:rsidR="006537DB" w:rsidRPr="00D01786">
              <w:rPr>
                <w:sz w:val="20"/>
                <w:szCs w:val="20"/>
              </w:rPr>
              <w:t xml:space="preserve"> an increase of 1.30% compared to the previous month. In addition, total amount of debt based on which accounts were frozen amounted to </w:t>
            </w:r>
            <w:r w:rsidR="00144EE5" w:rsidRPr="00D01786">
              <w:rPr>
                <w:sz w:val="20"/>
                <w:szCs w:val="20"/>
              </w:rPr>
              <w:t>448.0 mil</w:t>
            </w:r>
            <w:r w:rsidR="006537DB" w:rsidRPr="00D01786">
              <w:rPr>
                <w:sz w:val="20"/>
                <w:szCs w:val="20"/>
              </w:rPr>
              <w:t xml:space="preserve">lion €, and </w:t>
            </w:r>
            <w:r w:rsidR="00D2432E">
              <w:rPr>
                <w:sz w:val="20"/>
                <w:szCs w:val="20"/>
              </w:rPr>
              <w:t xml:space="preserve">it </w:t>
            </w:r>
            <w:r w:rsidR="006537DB" w:rsidRPr="00D01786">
              <w:rPr>
                <w:sz w:val="20"/>
                <w:szCs w:val="20"/>
              </w:rPr>
              <w:t xml:space="preserve">increased by </w:t>
            </w:r>
            <w:r w:rsidR="00144EE5" w:rsidRPr="00D01786">
              <w:rPr>
                <w:sz w:val="20"/>
                <w:szCs w:val="20"/>
              </w:rPr>
              <w:t>2</w:t>
            </w:r>
            <w:r w:rsidR="006537DB" w:rsidRPr="00D01786">
              <w:rPr>
                <w:sz w:val="20"/>
                <w:szCs w:val="20"/>
              </w:rPr>
              <w:t>.</w:t>
            </w:r>
            <w:r w:rsidR="00144EE5" w:rsidRPr="00D01786">
              <w:rPr>
                <w:sz w:val="20"/>
                <w:szCs w:val="20"/>
              </w:rPr>
              <w:t>52%</w:t>
            </w:r>
            <w:r w:rsidR="006537DB" w:rsidRPr="00D01786">
              <w:rPr>
                <w:sz w:val="20"/>
                <w:szCs w:val="20"/>
              </w:rPr>
              <w:t xml:space="preserve"> in comparison to the previous month and 4.</w:t>
            </w:r>
            <w:r w:rsidR="00144EE5" w:rsidRPr="00D01786">
              <w:rPr>
                <w:sz w:val="20"/>
                <w:szCs w:val="20"/>
              </w:rPr>
              <w:t xml:space="preserve">1% </w:t>
            </w:r>
            <w:r w:rsidR="006537DB" w:rsidRPr="00D01786">
              <w:rPr>
                <w:sz w:val="20"/>
                <w:szCs w:val="20"/>
              </w:rPr>
              <w:t>annually.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B721D" w:rsidRPr="00D01786" w:rsidRDefault="002F58BF" w:rsidP="001D21BD">
            <w:pPr>
              <w:jc w:val="center"/>
              <w:rPr>
                <w:sz w:val="17"/>
                <w:szCs w:val="17"/>
                <w:lang w:eastAsia="sr-Latn-CS"/>
              </w:rPr>
            </w:pPr>
            <w:r w:rsidRPr="00D01786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371650" cy="2219325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436FB4" w:rsidRPr="00D01786" w:rsidTr="00950B57">
        <w:trPr>
          <w:trHeight w:hRule="exact" w:val="6029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1D21BD" w:rsidRPr="00D01786" w:rsidRDefault="006537DB" w:rsidP="001D21B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0178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>Foreign Trade Exchange and Investments</w:t>
            </w:r>
          </w:p>
          <w:p w:rsidR="00436FB4" w:rsidRPr="00D01786" w:rsidRDefault="006537DB" w:rsidP="000D6B9E">
            <w:pPr>
              <w:pStyle w:val="NoSpacing"/>
              <w:pBdr>
                <w:top w:val="single" w:sz="4" w:space="1" w:color="auto"/>
              </w:pBdr>
              <w:jc w:val="both"/>
              <w:rPr>
                <w:b/>
                <w:bCs/>
                <w:color w:val="000000"/>
                <w:sz w:val="20"/>
                <w:lang w:val="en-GB"/>
              </w:rPr>
            </w:pPr>
            <w:r w:rsidRPr="00D01786">
              <w:rPr>
                <w:b/>
                <w:bCs/>
                <w:color w:val="000000"/>
                <w:sz w:val="20"/>
                <w:lang w:val="en-GB"/>
              </w:rPr>
              <w:t>The highest monthly FDI inflow</w:t>
            </w:r>
            <w:r w:rsidR="001E3356">
              <w:rPr>
                <w:b/>
                <w:bCs/>
                <w:color w:val="000000"/>
                <w:sz w:val="20"/>
                <w:lang w:val="en-GB"/>
              </w:rPr>
              <w:t>s</w:t>
            </w:r>
            <w:r w:rsidRPr="00D01786">
              <w:rPr>
                <w:b/>
                <w:bCs/>
                <w:color w:val="000000"/>
                <w:sz w:val="20"/>
                <w:lang w:val="en-GB"/>
              </w:rPr>
              <w:t xml:space="preserve"> was recorded in December 2013 and it amounted to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72</w:t>
            </w:r>
            <w:r w:rsidRPr="00D01786">
              <w:rPr>
                <w:b/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9</w:t>
            </w:r>
            <w:r w:rsidR="00D2432E">
              <w:rPr>
                <w:b/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mil</w:t>
            </w:r>
            <w:r w:rsidRPr="00D01786">
              <w:rPr>
                <w:b/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€</w:t>
            </w:r>
            <w:r w:rsidRPr="00D01786">
              <w:rPr>
                <w:b/>
                <w:bCs/>
                <w:color w:val="000000"/>
                <w:sz w:val="20"/>
                <w:lang w:val="en-GB"/>
              </w:rPr>
              <w:t xml:space="preserve">. </w:t>
            </w:r>
            <w:r w:rsidRPr="00D01786">
              <w:rPr>
                <w:bCs/>
                <w:color w:val="000000"/>
                <w:sz w:val="20"/>
                <w:lang w:val="en-GB"/>
              </w:rPr>
              <w:t>This resulted from the increase in inflows based on intercompany loans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. Net</w:t>
            </w:r>
            <w:r w:rsidRPr="00D01786">
              <w:rPr>
                <w:bCs/>
                <w:color w:val="000000"/>
                <w:sz w:val="20"/>
                <w:lang w:val="en-GB"/>
              </w:rPr>
              <w:t xml:space="preserve"> FDI inflow</w:t>
            </w:r>
            <w:r w:rsidR="001E3356">
              <w:rPr>
                <w:bCs/>
                <w:color w:val="000000"/>
                <w:sz w:val="20"/>
                <w:lang w:val="en-GB"/>
              </w:rPr>
              <w:t>s</w:t>
            </w:r>
            <w:r w:rsidRPr="00D01786">
              <w:rPr>
                <w:bCs/>
                <w:color w:val="000000"/>
                <w:sz w:val="20"/>
                <w:lang w:val="en-GB"/>
              </w:rPr>
              <w:t xml:space="preserve">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323</w:t>
            </w:r>
            <w:r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9 mil</w:t>
            </w:r>
            <w:r w:rsidRPr="00D01786">
              <w:rPr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€</w:t>
            </w:r>
            <w:r w:rsidRPr="00D01786">
              <w:rPr>
                <w:bCs/>
                <w:color w:val="000000"/>
                <w:sz w:val="20"/>
                <w:lang w:val="en-GB"/>
              </w:rPr>
              <w:t xml:space="preserve"> in 2013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,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which showed decline of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29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8%</w:t>
            </w:r>
            <w:r w:rsidR="00D2432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compared to </w:t>
            </w:r>
            <w:r w:rsidR="000771F2" w:rsidRPr="00D01786">
              <w:rPr>
                <w:bCs/>
                <w:color w:val="000000"/>
                <w:sz w:val="20"/>
                <w:lang w:val="en-GB"/>
              </w:rPr>
              <w:t>2012.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 Investments in companies and banks amounted to </w:t>
            </w:r>
            <w:r w:rsidR="000771F2" w:rsidRPr="00D01786">
              <w:rPr>
                <w:bCs/>
                <w:color w:val="000000"/>
                <w:sz w:val="20"/>
                <w:lang w:val="en-GB"/>
              </w:rPr>
              <w:t>15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0771F2" w:rsidRPr="00D01786">
              <w:rPr>
                <w:bCs/>
                <w:color w:val="000000"/>
                <w:sz w:val="20"/>
                <w:lang w:val="en-GB"/>
              </w:rPr>
              <w:t>9% (64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.2%</w:t>
            </w:r>
            <w:r w:rsidR="00D2432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D2432E" w:rsidRPr="00D01786">
              <w:rPr>
                <w:bCs/>
                <w:color w:val="000000"/>
                <w:sz w:val="20"/>
                <w:lang w:val="en-GB"/>
              </w:rPr>
              <w:t>decline</w:t>
            </w:r>
            <w:r w:rsidR="000771F2" w:rsidRPr="00D01786">
              <w:rPr>
                <w:bCs/>
                <w:color w:val="000000"/>
                <w:sz w:val="20"/>
                <w:lang w:val="en-GB"/>
              </w:rPr>
              <w:t>),</w:t>
            </w:r>
            <w:r w:rsidR="00D2432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investment</w:t>
            </w:r>
            <w:r w:rsidR="00D2432E">
              <w:rPr>
                <w:bCs/>
                <w:color w:val="000000"/>
                <w:sz w:val="20"/>
                <w:lang w:val="en-GB"/>
              </w:rPr>
              <w:t>s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 in real estate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 42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2% (</w:t>
            </w:r>
            <w:r w:rsidR="00D2432E">
              <w:rPr>
                <w:bCs/>
                <w:color w:val="000000"/>
                <w:sz w:val="20"/>
                <w:lang w:val="en-GB"/>
              </w:rPr>
              <w:t>1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0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.7%</w:t>
            </w:r>
            <w:r w:rsidR="00D2432E" w:rsidRPr="00D01786">
              <w:rPr>
                <w:bCs/>
                <w:color w:val="000000"/>
                <w:sz w:val="20"/>
                <w:lang w:val="en-GB"/>
              </w:rPr>
              <w:t xml:space="preserve"> decline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)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,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intercompany debt was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39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4% (16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2%</w:t>
            </w:r>
            <w:r w:rsidR="00D2432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D2432E" w:rsidRPr="00D01786">
              <w:rPr>
                <w:bCs/>
                <w:color w:val="000000"/>
                <w:sz w:val="20"/>
                <w:lang w:val="en-GB"/>
              </w:rPr>
              <w:t>increase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)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and others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5% (62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.3%</w:t>
            </w:r>
            <w:r w:rsidR="00D2432E" w:rsidRPr="00D01786">
              <w:rPr>
                <w:bCs/>
                <w:color w:val="000000"/>
                <w:sz w:val="20"/>
                <w:lang w:val="en-GB"/>
              </w:rPr>
              <w:t xml:space="preserve"> decrease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).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Total FDI outflow</w:t>
            </w:r>
            <w:r w:rsidR="001E3356">
              <w:rPr>
                <w:bCs/>
                <w:color w:val="000000"/>
                <w:sz w:val="20"/>
                <w:lang w:val="en-GB"/>
              </w:rPr>
              <w:t>s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155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3</w:t>
            </w:r>
            <w:r w:rsidR="000D6B9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mil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€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, which was a decline of 9.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8%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compared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2012. 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With regard to the outflow</w:t>
            </w:r>
            <w:r w:rsidR="001E3356">
              <w:rPr>
                <w:bCs/>
                <w:color w:val="000000"/>
                <w:sz w:val="20"/>
                <w:lang w:val="en-GB"/>
              </w:rPr>
              <w:t>s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 structure, the largest portion referred to the non-residents’ fund withdrawal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(83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8%), o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 xml:space="preserve">f which liabilities based on intercompany debt were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76</w:t>
            </w:r>
            <w:r w:rsidR="00A20E1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1%,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while investments of residents abroad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17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4%. </w:t>
            </w:r>
            <w:r w:rsidR="00950B57" w:rsidRPr="00D01786">
              <w:rPr>
                <w:b/>
                <w:bCs/>
                <w:color w:val="000000"/>
                <w:sz w:val="20"/>
                <w:lang w:val="en-GB"/>
              </w:rPr>
              <w:t xml:space="preserve">Foreign trade exchange amounted to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105</w:t>
            </w:r>
            <w:r w:rsidR="00950B57" w:rsidRPr="00D01786">
              <w:rPr>
                <w:b/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4</w:t>
            </w:r>
            <w:r w:rsidR="000D6B9E">
              <w:rPr>
                <w:b/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mil</w:t>
            </w:r>
            <w:r w:rsidR="00950B57" w:rsidRPr="00D01786">
              <w:rPr>
                <w:b/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/>
                <w:bCs/>
                <w:color w:val="000000"/>
                <w:sz w:val="20"/>
                <w:lang w:val="en-GB"/>
              </w:rPr>
              <w:t>€</w:t>
            </w:r>
            <w:r w:rsidR="00950B57" w:rsidRPr="00D01786">
              <w:rPr>
                <w:b/>
                <w:bCs/>
                <w:color w:val="000000"/>
                <w:sz w:val="20"/>
                <w:lang w:val="en-GB"/>
              </w:rPr>
              <w:t xml:space="preserve"> in January 2014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,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which showed y-o-y decline of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23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7%.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Export</w:t>
            </w:r>
            <w:r w:rsidR="000D6B9E">
              <w:rPr>
                <w:bCs/>
                <w:color w:val="000000"/>
                <w:sz w:val="20"/>
                <w:lang w:val="en-GB"/>
              </w:rPr>
              <w:t>s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22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6</w:t>
            </w:r>
            <w:r w:rsidR="000D6B9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mil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€,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while import</w:t>
            </w:r>
            <w:r w:rsidR="000D6B9E">
              <w:rPr>
                <w:bCs/>
                <w:color w:val="000000"/>
                <w:sz w:val="20"/>
                <w:lang w:val="en-GB"/>
              </w:rPr>
              <w:t>s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was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 82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9</w:t>
            </w:r>
            <w:r w:rsidR="000D6B9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mil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€,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which was a decline of 1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9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4%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and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24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.8%, respectively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.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Foreign trade deficit declined by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26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7%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and it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60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3</w:t>
            </w:r>
            <w:r w:rsidR="000D6B9E">
              <w:rPr>
                <w:bCs/>
                <w:color w:val="000000"/>
                <w:sz w:val="20"/>
                <w:lang w:val="en-GB"/>
              </w:rPr>
              <w:t xml:space="preserve">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mil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lion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€,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as a result of decline</w:t>
            </w:r>
            <w:r w:rsidR="000D6B9E">
              <w:rPr>
                <w:bCs/>
                <w:color w:val="000000"/>
                <w:sz w:val="20"/>
                <w:lang w:val="en-GB"/>
              </w:rPr>
              <w:t xml:space="preserve"> in visible trade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. Import-export coverage amounted to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27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2%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in January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.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Export of electricity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(33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.2% of total exports) declined by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20</w:t>
            </w:r>
            <w:r w:rsidR="000D6B9E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0%</w:t>
            </w:r>
            <w:r w:rsidR="00EC3B14" w:rsidRPr="00D01786">
              <w:rPr>
                <w:bCs/>
                <w:color w:val="000000"/>
                <w:sz w:val="20"/>
                <w:lang w:val="en-GB"/>
              </w:rPr>
              <w:t xml:space="preserve">,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while export of aluminium declined by </w:t>
            </w:r>
            <w:r w:rsidR="00FD06B2" w:rsidRPr="00D01786">
              <w:rPr>
                <w:bCs/>
                <w:color w:val="000000"/>
                <w:sz w:val="20"/>
                <w:lang w:val="en-GB"/>
              </w:rPr>
              <w:t>9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FD06B2" w:rsidRPr="00D01786">
              <w:rPr>
                <w:bCs/>
                <w:color w:val="000000"/>
                <w:sz w:val="20"/>
                <w:lang w:val="en-GB"/>
              </w:rPr>
              <w:t>0%</w:t>
            </w:r>
            <w:r w:rsidR="00412F68" w:rsidRPr="00D01786">
              <w:rPr>
                <w:bCs/>
                <w:color w:val="000000"/>
                <w:sz w:val="20"/>
                <w:lang w:val="en-GB"/>
              </w:rPr>
              <w:t xml:space="preserve"> (25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12F68" w:rsidRPr="00D01786">
              <w:rPr>
                <w:bCs/>
                <w:color w:val="000000"/>
                <w:sz w:val="20"/>
                <w:lang w:val="en-GB"/>
              </w:rPr>
              <w:t xml:space="preserve">0%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of total exports</w:t>
            </w:r>
            <w:r w:rsidR="00FD06B2" w:rsidRPr="00D01786">
              <w:rPr>
                <w:bCs/>
                <w:color w:val="000000"/>
                <w:sz w:val="20"/>
                <w:lang w:val="en-GB"/>
              </w:rPr>
              <w:t>)</w:t>
            </w:r>
            <w:r w:rsidR="00412F68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With regard to imports, food and livestock accounted for the main share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(21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8%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of total imports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 xml:space="preserve">) 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and mineral fuels and lubricants </w:t>
            </w:r>
            <w:r w:rsidR="00412F68" w:rsidRPr="00D01786">
              <w:rPr>
                <w:bCs/>
                <w:color w:val="000000"/>
                <w:sz w:val="20"/>
                <w:lang w:val="en-GB"/>
              </w:rPr>
              <w:t>(18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.7% of total import</w:t>
            </w:r>
            <w:r w:rsidR="000D6B9E">
              <w:rPr>
                <w:bCs/>
                <w:color w:val="000000"/>
                <w:sz w:val="20"/>
                <w:lang w:val="en-GB"/>
              </w:rPr>
              <w:t>s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 xml:space="preserve"> with annual decline of 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15</w:t>
            </w:r>
            <w:r w:rsidR="00950B57" w:rsidRPr="00D01786">
              <w:rPr>
                <w:bCs/>
                <w:color w:val="000000"/>
                <w:sz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lang w:val="en-GB"/>
              </w:rPr>
              <w:t>0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 xml:space="preserve">%). 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 xml:space="preserve">Decline in electricity export and import resulted from the decline in the electricity production 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>(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>1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>2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>.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>0%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 xml:space="preserve"> in January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 xml:space="preserve">) 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>and KAP</w:t>
            </w:r>
            <w:r w:rsidR="000D6B9E">
              <w:rPr>
                <w:bCs/>
                <w:color w:val="000000"/>
                <w:sz w:val="20"/>
                <w:szCs w:val="20"/>
                <w:lang w:val="en-GB"/>
              </w:rPr>
              <w:t>’s consumption</w:t>
            </w:r>
            <w:r w:rsidR="00950B57" w:rsidRPr="00D01786">
              <w:rPr>
                <w:bCs/>
                <w:color w:val="000000"/>
                <w:sz w:val="20"/>
                <w:szCs w:val="20"/>
                <w:lang w:val="en-GB"/>
              </w:rPr>
              <w:t xml:space="preserve"> as the </w:t>
            </w:r>
            <w:r w:rsidR="00D878DA" w:rsidRPr="00D01786">
              <w:rPr>
                <w:bCs/>
                <w:color w:val="000000"/>
                <w:sz w:val="20"/>
                <w:szCs w:val="20"/>
                <w:lang w:val="en-GB"/>
              </w:rPr>
              <w:t>largest electricity consumer</w:t>
            </w:r>
            <w:r w:rsidR="00436FB4" w:rsidRPr="00D01786">
              <w:rPr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376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436FB4" w:rsidRPr="00D01786" w:rsidRDefault="001D21BD" w:rsidP="001D21BD">
            <w:pPr>
              <w:jc w:val="center"/>
              <w:rPr>
                <w:sz w:val="17"/>
                <w:szCs w:val="17"/>
              </w:rPr>
            </w:pPr>
            <w:r w:rsidRPr="00D01786">
              <w:rPr>
                <w:noProof/>
                <w:sz w:val="17"/>
                <w:szCs w:val="17"/>
                <w:lang w:val="en-US"/>
              </w:rPr>
              <w:drawing>
                <wp:inline distT="0" distB="0" distL="0" distR="0">
                  <wp:extent cx="2371725" cy="2009775"/>
                  <wp:effectExtent l="0" t="0" r="0" b="0"/>
                  <wp:docPr id="6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82570B" w:rsidRPr="00D01786" w:rsidRDefault="0082570B" w:rsidP="00D51C00">
      <w:pPr>
        <w:sectPr w:rsidR="0082570B" w:rsidRPr="00D01786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D01786" w:rsidRDefault="00D878DA" w:rsidP="00332574">
      <w:pPr>
        <w:jc w:val="center"/>
        <w:outlineLvl w:val="0"/>
        <w:rPr>
          <w:sz w:val="17"/>
          <w:szCs w:val="16"/>
        </w:rPr>
      </w:pPr>
      <w:r w:rsidRPr="00D01786">
        <w:rPr>
          <w:sz w:val="17"/>
          <w:szCs w:val="16"/>
        </w:rPr>
        <w:lastRenderedPageBreak/>
        <w:t xml:space="preserve">Table 1: </w:t>
      </w:r>
      <w:r w:rsidRPr="00D01786">
        <w:rPr>
          <w:b/>
          <w:bCs/>
          <w:sz w:val="17"/>
          <w:szCs w:val="16"/>
        </w:rPr>
        <w:t>MACROECONOMIC INDICATORS</w:t>
      </w:r>
      <w:r w:rsidR="0082570B" w:rsidRPr="00D01786">
        <w:rPr>
          <w:sz w:val="17"/>
          <w:szCs w:val="16"/>
        </w:rPr>
        <w:t xml:space="preserve">– </w:t>
      </w:r>
      <w:r w:rsidR="00B355D6" w:rsidRPr="00D01786">
        <w:rPr>
          <w:sz w:val="17"/>
          <w:szCs w:val="16"/>
        </w:rPr>
        <w:t>Januar</w:t>
      </w:r>
      <w:r w:rsidRPr="00D01786">
        <w:rPr>
          <w:sz w:val="17"/>
          <w:szCs w:val="16"/>
        </w:rPr>
        <w:t>y</w:t>
      </w:r>
      <w:r w:rsidR="0082570B" w:rsidRPr="00D01786">
        <w:rPr>
          <w:sz w:val="17"/>
          <w:szCs w:val="16"/>
        </w:rPr>
        <w:t xml:space="preserve"> 201</w:t>
      </w:r>
      <w:r w:rsidR="00B355D6" w:rsidRPr="00D01786">
        <w:rPr>
          <w:sz w:val="17"/>
          <w:szCs w:val="16"/>
        </w:rPr>
        <w:t>4</w:t>
      </w:r>
    </w:p>
    <w:p w:rsidR="0082570B" w:rsidRPr="00D01786" w:rsidRDefault="0082570B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784DAE" w:rsidRPr="00D01786" w:rsidRDefault="00784DAE" w:rsidP="00875C4F">
      <w:pPr>
        <w:spacing w:after="0" w:line="240" w:lineRule="auto"/>
        <w:ind w:firstLine="142"/>
        <w:rPr>
          <w:i/>
          <w:iCs/>
          <w:sz w:val="12"/>
          <w:szCs w:val="12"/>
        </w:rPr>
      </w:pPr>
    </w:p>
    <w:p w:rsidR="00D878DA" w:rsidRPr="00D01786" w:rsidRDefault="00D878DA" w:rsidP="00D878DA">
      <w:pPr>
        <w:spacing w:after="0"/>
        <w:ind w:firstLine="142"/>
        <w:rPr>
          <w:i/>
          <w:iCs/>
          <w:sz w:val="14"/>
          <w:szCs w:val="14"/>
        </w:rPr>
      </w:pPr>
      <w:r w:rsidRPr="00D01786">
        <w:rPr>
          <w:b/>
          <w:bCs/>
          <w:i/>
          <w:iCs/>
          <w:sz w:val="14"/>
          <w:szCs w:val="14"/>
        </w:rPr>
        <w:t xml:space="preserve">Source: </w:t>
      </w:r>
      <w:proofErr w:type="spellStart"/>
      <w:r w:rsidRPr="00D01786">
        <w:rPr>
          <w:b/>
          <w:bCs/>
          <w:i/>
          <w:iCs/>
          <w:sz w:val="14"/>
          <w:szCs w:val="14"/>
        </w:rPr>
        <w:t>Monstat</w:t>
      </w:r>
      <w:proofErr w:type="spellEnd"/>
      <w:r w:rsidRPr="00D01786">
        <w:rPr>
          <w:b/>
          <w:bCs/>
          <w:i/>
          <w:iCs/>
          <w:sz w:val="14"/>
          <w:szCs w:val="14"/>
        </w:rPr>
        <w:t>, Central bank, Employment Bureau of Montenegro</w:t>
      </w:r>
    </w:p>
    <w:p w:rsidR="00D878DA" w:rsidRPr="00D01786" w:rsidRDefault="00D878DA" w:rsidP="00D878DA">
      <w:pPr>
        <w:spacing w:after="0"/>
        <w:ind w:firstLine="142"/>
        <w:rPr>
          <w:i/>
          <w:iCs/>
          <w:sz w:val="12"/>
          <w:szCs w:val="12"/>
        </w:rPr>
      </w:pPr>
      <w:r w:rsidRPr="00D01786">
        <w:rPr>
          <w:i/>
          <w:iCs/>
          <w:sz w:val="12"/>
          <w:szCs w:val="12"/>
        </w:rPr>
        <w:t xml:space="preserve">All indicators are presented as annual growth rates (indicators’ change rate of the observed month in comparison to the same month of previous year in %) unless differently stated in title </w:t>
      </w:r>
    </w:p>
    <w:p w:rsidR="00332574" w:rsidRPr="00D01786" w:rsidRDefault="00D878DA" w:rsidP="00D878DA">
      <w:pPr>
        <w:spacing w:after="0" w:line="240" w:lineRule="auto"/>
        <w:ind w:firstLine="142"/>
        <w:rPr>
          <w:i/>
          <w:iCs/>
          <w:sz w:val="12"/>
          <w:szCs w:val="12"/>
        </w:rPr>
      </w:pPr>
      <w:r w:rsidRPr="00D01786">
        <w:rPr>
          <w:i/>
          <w:iCs/>
          <w:sz w:val="12"/>
          <w:szCs w:val="12"/>
        </w:rPr>
        <w:t>M-n-M stand for monthly change (indicators’ change rate of the observed month in comparison to the previous month in %)</w:t>
      </w:r>
      <w:r w:rsidR="00B012FF" w:rsidRPr="00D01786">
        <w:rPr>
          <w:i/>
          <w:iCs/>
          <w:sz w:val="12"/>
          <w:szCs w:val="12"/>
        </w:rPr>
        <w:t xml:space="preserve"> *</w:t>
      </w:r>
      <w:r w:rsidRPr="00D01786">
        <w:rPr>
          <w:i/>
          <w:iCs/>
          <w:sz w:val="12"/>
          <w:szCs w:val="12"/>
        </w:rPr>
        <w:t xml:space="preserve">FDI data refers to </w:t>
      </w:r>
      <w:r w:rsidR="00C439DE" w:rsidRPr="00D01786">
        <w:rPr>
          <w:i/>
          <w:iCs/>
          <w:sz w:val="12"/>
          <w:szCs w:val="12"/>
        </w:rPr>
        <w:t>December 2013</w:t>
      </w:r>
    </w:p>
    <w:p w:rsidR="00D800B5" w:rsidRPr="00D01786" w:rsidRDefault="000D6B9E" w:rsidP="009C5011">
      <w:pPr>
        <w:spacing w:after="0" w:line="240" w:lineRule="auto"/>
        <w:ind w:firstLine="142"/>
        <w:jc w:val="center"/>
        <w:rPr>
          <w:sz w:val="17"/>
          <w:szCs w:val="16"/>
        </w:rPr>
      </w:pPr>
      <w:r w:rsidRPr="00D01786">
        <w:rPr>
          <w:sz w:val="17"/>
          <w:szCs w:val="16"/>
        </w:rPr>
        <w:t>Table</w:t>
      </w:r>
      <w:r>
        <w:rPr>
          <w:sz w:val="17"/>
          <w:szCs w:val="16"/>
        </w:rPr>
        <w:t xml:space="preserve"> </w:t>
      </w:r>
      <w:r w:rsidR="009C5011" w:rsidRPr="00D01786">
        <w:rPr>
          <w:b/>
          <w:sz w:val="17"/>
          <w:szCs w:val="16"/>
        </w:rPr>
        <w:t>Ma</w:t>
      </w:r>
      <w:r w:rsidR="00D878DA" w:rsidRPr="00D01786">
        <w:rPr>
          <w:b/>
          <w:sz w:val="17"/>
          <w:szCs w:val="16"/>
        </w:rPr>
        <w:t>croeconomic Indicators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9"/>
        <w:gridCol w:w="670"/>
        <w:gridCol w:w="669"/>
        <w:gridCol w:w="673"/>
        <w:gridCol w:w="669"/>
        <w:gridCol w:w="669"/>
        <w:gridCol w:w="673"/>
        <w:gridCol w:w="669"/>
        <w:gridCol w:w="669"/>
        <w:gridCol w:w="673"/>
        <w:gridCol w:w="692"/>
        <w:gridCol w:w="938"/>
        <w:gridCol w:w="737"/>
        <w:gridCol w:w="737"/>
        <w:gridCol w:w="737"/>
        <w:gridCol w:w="1125"/>
      </w:tblGrid>
      <w:tr w:rsidR="00D800B5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78DA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Indi</w:t>
            </w:r>
            <w:r w:rsidR="00D878DA"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c</w:t>
            </w: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ator</w:t>
            </w:r>
            <w:r w:rsidR="00D878DA"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s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2013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III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IV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VII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VIII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IX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XII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M-n-M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B5" w:rsidRPr="00D01786" w:rsidRDefault="000D6B9E" w:rsidP="00D800B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J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an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2014/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Jan 2013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REAL SECTOR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8"/>
                <w:szCs w:val="18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Industrial output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22,40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19,00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10,50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21,40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-22,2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Manufacturing industry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-36,40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-32,80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-34,40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-28,20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-11,50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-11,10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11,70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4,70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6,50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22,70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28,20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39,80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-38,2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39,8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Tourist overnights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-8,30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-1,40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-3,60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4,30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30,30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22,10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2D0814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Retail </w:t>
            </w:r>
            <w:r w:rsidR="00C439DE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trade 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turnover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12,10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8,20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6,60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7,80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8,60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10,30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11,50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14,40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16,00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12,80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-1,90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-21,2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-1,9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Value of works in construction industry (growth rate)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-1,0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27,9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color w:val="993300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color w:val="993300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color w:val="993300"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INFLATION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Consumer Price Index /CPI/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HCIP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Producers Price Index (growth rate)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-2,0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-1,3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EMPLOYMENT AND WAGES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Employed (number, end of period)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167.370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167.379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167.738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170.302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174.369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179.861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178.815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176.588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169.044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167.607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167.173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167.616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Unemployed (number, end of period)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31.890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32.648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32.986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32.624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31.363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30.337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30.102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30.947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33.271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34.680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34.514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34.804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9,1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(%)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15,0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9,5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Unemployment rate (LFS) (%)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21,5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19,3</w:t>
            </w:r>
          </w:p>
        </w:tc>
        <w:tc>
          <w:tcPr>
            <w:tcW w:w="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7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Vacancies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583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1.182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2.826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1.719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1.430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1.495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648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1.130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-9,0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99,6</w:t>
            </w:r>
          </w:p>
        </w:tc>
      </w:tr>
      <w:tr w:rsidR="00D878DA" w:rsidRPr="00D01786" w:rsidTr="00D01786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D01786">
            <w:pPr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gross wage (€)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731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734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730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738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726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-0,7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Average monthly net wage (€)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490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469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478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-2,4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MONETARY SECTOR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loans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2.482,8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2.507,6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2.490,7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2.466,7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2.477,6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2.457,5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2.505,8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2.538,3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2.474,5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2.463,9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2.411,9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2.407,9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2,8</w:t>
            </w:r>
          </w:p>
        </w:tc>
      </w:tr>
      <w:tr w:rsidR="00D800B5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78DA" w:rsidP="00D878D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loans</w:t>
            </w:r>
            <w:r w:rsidR="00D800B5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D800B5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) 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-3,0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2,8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Non-performing loans /NPL/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457,1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455,7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465,3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492,9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441,3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447,0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441,9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438,6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428,3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423,2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2D0814">
            <w:pPr>
              <w:jc w:val="right"/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hideMark/>
          </w:tcPr>
          <w:p w:rsidR="00D878DA" w:rsidRPr="00D01786" w:rsidRDefault="00D878DA" w:rsidP="002D0814">
            <w:pPr>
              <w:jc w:val="right"/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hideMark/>
          </w:tcPr>
          <w:p w:rsidR="00D878DA" w:rsidRPr="00D01786" w:rsidRDefault="00D878DA" w:rsidP="002D0814">
            <w:pPr>
              <w:jc w:val="right"/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NPL to total loans (%)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18,4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18,2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18,7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19,9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18,0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-17,5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-18,4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deposits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1.969,8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1.990,1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1.999,3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1.951,5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1.974,4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2.009,7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2.075,0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2.144,3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2.104,3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2.084,9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2.098,6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2.096,7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</w:tr>
      <w:tr w:rsidR="00D800B5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00B5" w:rsidRPr="00D01786" w:rsidRDefault="00D878DA" w:rsidP="00D878D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Total deposits</w:t>
            </w:r>
            <w:r w:rsidR="00D800B5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growth rate</w:t>
            </w:r>
            <w:r w:rsidR="00D800B5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57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00B5" w:rsidRPr="00D01786" w:rsidRDefault="00D800B5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loans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1.013,2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1.019,0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1.026,5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1.029,1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1.027,9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990,5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970,2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947,6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951,1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955,2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948,4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942,6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-7,0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Household loans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857,4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861,1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865,8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872,5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875,1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880,9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880,6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886,8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887,1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881,3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881,1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2,8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Corporate deposits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507,8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518,7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525,4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489,8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509,8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539,3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576,2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612,3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572,8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553,9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554,8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554,0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9,1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Individual savings (cumulative, million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1.150,4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1.158,7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1.165,0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1.165,1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1.162,4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1.164,7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1.192,9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1.218,1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1.221,0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1.237,7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1.235,1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7,4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loans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9,36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9,40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0,04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-0,04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Interest rate for deposits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3,15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3,16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3,14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3,12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3,06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2,99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2,93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2,83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2,67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2,60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2,55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2,41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-0,74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EXTERNAL SECTOR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A20E76" w:rsidP="000D6B9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xport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of goods</w:t>
            </w:r>
            <w:r w:rsidR="00C439DE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</w:t>
            </w:r>
            <w:r w:rsidR="00D878DA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(mil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D878DA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28,0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31,3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36,9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39,4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31,8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28,4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24,6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31,2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34,5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-34,6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-19,4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-34,6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A20E76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mport</w:t>
            </w:r>
            <w:r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of goods</w:t>
            </w:r>
            <w:bookmarkStart w:id="0" w:name="_GoBack"/>
            <w:bookmarkEnd w:id="0"/>
            <w:r w:rsidR="00D878DA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(mil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="00D878DA"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110,2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113,9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138,8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162,4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152,3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170,4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172,6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164,9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161,4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130,7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148,9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-44,3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-40,6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-44,3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Trade Exchange Balance (mil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-82,2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-82,7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-108,9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-125,5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-112,9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-139,9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-140,8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-136,5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-136,9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-99,5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-114,3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-47,2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-26,6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-47,2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Foreign Direct Investment (mil</w:t>
            </w:r>
            <w:r w:rsidR="000D6B9E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lion</w:t>
            </w: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€)*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6,6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19,5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39,5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17,1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33,7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38,8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32,5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30,7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-19,8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12,6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55,5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hideMark/>
          </w:tcPr>
          <w:p w:rsidR="00D878DA" w:rsidRPr="00D01786" w:rsidRDefault="00D878DA" w:rsidP="002D0814">
            <w:pPr>
              <w:jc w:val="right"/>
            </w:pPr>
            <w:proofErr w:type="spellStart"/>
            <w:r w:rsidRPr="00D01786">
              <w:rPr>
                <w:rFonts w:cs="Calibri"/>
                <w:sz w:val="16"/>
                <w:szCs w:val="16"/>
                <w:lang w:eastAsia="sr-Latn-CS"/>
              </w:rPr>
              <w:t>n.d</w:t>
            </w:r>
            <w:proofErr w:type="spellEnd"/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877FE9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341,6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877FE9">
            <w:pPr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38,3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INTERNATIONAL ENVIRONMENT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 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Brent crude oil (USD/barrel)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116,8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110,4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111,1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100,0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100,4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103,0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107,7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115,7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105,9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111,5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107,8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108,8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-6,8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Aluminium (USD/T)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2.037,6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2.053,6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1.911,3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1.861,0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1.832,6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1.814,5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1.769,6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1.816,2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1.814,6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1.748,0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1.739,8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1.740,8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-14,6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proofErr w:type="spellStart"/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Euribor</w:t>
            </w:r>
            <w:proofErr w:type="spellEnd"/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 xml:space="preserve"> (12 months)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0,48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1,50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0,96</w:t>
            </w:r>
          </w:p>
        </w:tc>
      </w:tr>
      <w:tr w:rsidR="00D878DA" w:rsidRPr="00D01786" w:rsidTr="00D878DA">
        <w:trPr>
          <w:divId w:val="1834419016"/>
          <w:trHeight w:hRule="exact" w:val="227"/>
        </w:trPr>
        <w:tc>
          <w:tcPr>
            <w:tcW w:w="1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  <w:lang w:eastAsia="sr-Latn-CS"/>
              </w:rPr>
              <w:t>Inflation in Euro area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2,0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1,7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1,2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1,6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0,7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0,9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0,8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1,8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1,0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13" w:type="dxa"/>
            </w:tcMar>
            <w:vAlign w:val="center"/>
            <w:hideMark/>
          </w:tcPr>
          <w:p w:rsidR="00D878DA" w:rsidRPr="00D01786" w:rsidRDefault="00D878DA" w:rsidP="00D800B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  <w:lang w:eastAsia="sr-Latn-CS"/>
              </w:rPr>
            </w:pPr>
            <w:r w:rsidRPr="00D01786">
              <w:rPr>
                <w:rFonts w:cs="Calibri"/>
                <w:sz w:val="16"/>
                <w:szCs w:val="16"/>
                <w:lang w:eastAsia="sr-Latn-CS"/>
              </w:rPr>
              <w:t>-0,2</w:t>
            </w:r>
          </w:p>
        </w:tc>
      </w:tr>
    </w:tbl>
    <w:p w:rsidR="00D800B5" w:rsidRPr="00D01786" w:rsidRDefault="00D800B5" w:rsidP="00A30E95">
      <w:pPr>
        <w:pStyle w:val="ListParagraph"/>
        <w:spacing w:after="0" w:line="240" w:lineRule="auto"/>
        <w:ind w:left="502"/>
        <w:rPr>
          <w:i/>
          <w:iCs/>
          <w:sz w:val="16"/>
          <w:szCs w:val="16"/>
        </w:rPr>
      </w:pPr>
    </w:p>
    <w:p w:rsidR="00CD707C" w:rsidRPr="00D01786" w:rsidRDefault="00D878DA" w:rsidP="00784DAE">
      <w:pPr>
        <w:spacing w:after="0" w:line="240" w:lineRule="auto"/>
        <w:ind w:firstLine="142"/>
        <w:jc w:val="center"/>
        <w:rPr>
          <w:sz w:val="17"/>
          <w:szCs w:val="16"/>
        </w:rPr>
      </w:pPr>
      <w:r w:rsidRPr="00D01786">
        <w:rPr>
          <w:sz w:val="17"/>
          <w:szCs w:val="16"/>
        </w:rPr>
        <w:lastRenderedPageBreak/>
        <w:t xml:space="preserve">Table 2: </w:t>
      </w:r>
      <w:r w:rsidRPr="00D01786">
        <w:rPr>
          <w:b/>
          <w:bCs/>
          <w:sz w:val="17"/>
          <w:szCs w:val="16"/>
        </w:rPr>
        <w:t>BUDGET OF MONTENEGRO</w:t>
      </w:r>
      <w:r w:rsidR="00784DAE" w:rsidRPr="00D01786">
        <w:rPr>
          <w:sz w:val="17"/>
          <w:szCs w:val="16"/>
        </w:rPr>
        <w:t>–</w:t>
      </w:r>
      <w:r w:rsidR="000D6B9E" w:rsidRPr="00D01786">
        <w:rPr>
          <w:sz w:val="17"/>
          <w:szCs w:val="16"/>
        </w:rPr>
        <w:t>January 2014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76"/>
        <w:gridCol w:w="704"/>
        <w:gridCol w:w="711"/>
        <w:gridCol w:w="704"/>
        <w:gridCol w:w="704"/>
        <w:gridCol w:w="704"/>
        <w:gridCol w:w="707"/>
        <w:gridCol w:w="704"/>
        <w:gridCol w:w="704"/>
        <w:gridCol w:w="707"/>
        <w:gridCol w:w="796"/>
        <w:gridCol w:w="796"/>
        <w:gridCol w:w="796"/>
        <w:gridCol w:w="796"/>
        <w:gridCol w:w="812"/>
        <w:gridCol w:w="632"/>
        <w:gridCol w:w="704"/>
        <w:gridCol w:w="858"/>
        <w:gridCol w:w="960"/>
      </w:tblGrid>
      <w:tr w:rsidR="00841315" w:rsidRPr="00D01786" w:rsidTr="000D6B9E">
        <w:trPr>
          <w:trHeight w:val="435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315" w:rsidRPr="00D01786" w:rsidRDefault="00841315" w:rsidP="00841315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4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D01786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272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315" w:rsidRPr="00D01786" w:rsidRDefault="00841315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2013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D01786" w:rsidRDefault="00841315" w:rsidP="00841315">
            <w:pPr>
              <w:spacing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2014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315" w:rsidRPr="00D01786" w:rsidRDefault="00841315" w:rsidP="0084131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plan 2014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41315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Breakdown - January </w:t>
            </w:r>
          </w:p>
        </w:tc>
      </w:tr>
      <w:tr w:rsidR="00D878DA" w:rsidRPr="00D01786" w:rsidTr="000D6B9E">
        <w:trPr>
          <w:trHeight w:val="63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D01786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i/>
                <w:sz w:val="17"/>
                <w:szCs w:val="16"/>
              </w:rPr>
              <w:t>BUDGET OF MONTENEGRO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III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V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VI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VII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VIII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X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XI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XII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I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8DA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Jan</w:t>
            </w:r>
            <w:r w:rsidR="00D878DA" w:rsidRPr="00D01786">
              <w:rPr>
                <w:rFonts w:cs="Calibri"/>
                <w:sz w:val="16"/>
                <w:szCs w:val="16"/>
              </w:rPr>
              <w:t xml:space="preserve"> 2014/</w:t>
            </w:r>
            <w:r w:rsidRPr="00D01786">
              <w:rPr>
                <w:rFonts w:cs="Calibri"/>
                <w:sz w:val="16"/>
                <w:szCs w:val="16"/>
              </w:rPr>
              <w:t>Jan</w:t>
            </w:r>
            <w:r w:rsidR="00D878DA" w:rsidRPr="00D01786">
              <w:rPr>
                <w:rFonts w:cs="Calibri"/>
                <w:sz w:val="16"/>
                <w:szCs w:val="16"/>
              </w:rPr>
              <w:t xml:space="preserve"> 2013 (%)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78DA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Jan</w:t>
            </w:r>
            <w:r w:rsidR="00D878DA" w:rsidRPr="00D01786">
              <w:rPr>
                <w:rFonts w:cs="Calibri"/>
                <w:sz w:val="16"/>
                <w:szCs w:val="16"/>
              </w:rPr>
              <w:t xml:space="preserve"> 2014/</w:t>
            </w:r>
            <w:r w:rsidRPr="00D01786">
              <w:rPr>
                <w:rFonts w:cs="Calibri"/>
                <w:sz w:val="16"/>
                <w:szCs w:val="16"/>
              </w:rPr>
              <w:t>Jan</w:t>
            </w:r>
            <w:r w:rsidR="00D878DA" w:rsidRPr="00D01786">
              <w:rPr>
                <w:rFonts w:cs="Calibri"/>
                <w:sz w:val="16"/>
                <w:szCs w:val="16"/>
              </w:rPr>
              <w:t xml:space="preserve"> 2014 plan (%)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8DA" w:rsidRPr="00D01786" w:rsidRDefault="00C439DE" w:rsidP="00841315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CURRENT REVENUES, out of which: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85,31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126,94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54,76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75,68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88,30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103,95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99,56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122,02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125,05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116,34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117,28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95,78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142,43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70,63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62,43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28,99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78DA" w:rsidRPr="00D01786" w:rsidRDefault="00D878DA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13,15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39DE" w:rsidRPr="00D01786" w:rsidRDefault="009040AC" w:rsidP="009040AC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</w:rPr>
            </w:pPr>
            <w:r>
              <w:rPr>
                <w:rFonts w:cs="Calibri"/>
                <w:b/>
                <w:iCs/>
                <w:sz w:val="16"/>
                <w:szCs w:val="16"/>
              </w:rPr>
              <w:t>Wage  t</w:t>
            </w:r>
            <w:r w:rsidR="00C439DE" w:rsidRPr="00D01786">
              <w:rPr>
                <w:rFonts w:cs="Calibri"/>
                <w:b/>
                <w:iCs/>
                <w:sz w:val="16"/>
                <w:szCs w:val="16"/>
              </w:rPr>
              <w:t xml:space="preserve">axes and contributions 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35,50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60,40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14,21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34,57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35,60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36,35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40,63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44,81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47,38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54,03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37,52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75,77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21,23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17,23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49,40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23,19</w:t>
            </w:r>
          </w:p>
        </w:tc>
      </w:tr>
      <w:tr w:rsidR="009040AC" w:rsidRPr="00D01786" w:rsidTr="000D6B9E">
        <w:trPr>
          <w:trHeight w:val="31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</w:rPr>
            </w:pPr>
            <w:r w:rsidRPr="00D01786">
              <w:rPr>
                <w:rFonts w:cs="Calibri"/>
                <w:b/>
                <w:iCs/>
                <w:sz w:val="16"/>
                <w:szCs w:val="16"/>
              </w:rPr>
              <w:t>Corporate Income Tax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0,79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1,82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0,50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5,09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14,80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3,06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3,64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3,87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2,84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1,29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1,13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1,04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1,54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210,55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184,27</w:t>
            </w:r>
          </w:p>
        </w:tc>
      </w:tr>
      <w:tr w:rsidR="009040AC" w:rsidRPr="00D01786" w:rsidTr="000D6B9E">
        <w:trPr>
          <w:trHeight w:val="30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</w:rPr>
            </w:pPr>
            <w:r w:rsidRPr="00D01786">
              <w:rPr>
                <w:rFonts w:cs="Calibri"/>
                <w:b/>
                <w:iCs/>
                <w:sz w:val="16"/>
                <w:szCs w:val="16"/>
              </w:rPr>
              <w:t>Value Added Tax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29,08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25,78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24,86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24,75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29,49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33,76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34,16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35,87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47,18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47,07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40,69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37,65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33,51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40,19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32,17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27,32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29,42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17,75</w:t>
            </w:r>
          </w:p>
        </w:tc>
      </w:tr>
      <w:tr w:rsidR="009040AC" w:rsidRPr="00D01786" w:rsidTr="000D6B9E">
        <w:trPr>
          <w:trHeight w:val="30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</w:rPr>
            </w:pPr>
            <w:r w:rsidRPr="00D01786">
              <w:rPr>
                <w:rFonts w:cs="Calibri"/>
                <w:b/>
                <w:iCs/>
                <w:sz w:val="16"/>
                <w:szCs w:val="16"/>
              </w:rPr>
              <w:t>Excises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12,45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17,89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9,26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8,99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10,36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12,32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12,03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13,03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16,43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20,98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17,25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14,55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13,08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13,19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9,74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11,63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-16,29</w:t>
            </w:r>
          </w:p>
        </w:tc>
      </w:tr>
      <w:tr w:rsidR="009040AC" w:rsidRPr="00D01786" w:rsidTr="000D6B9E">
        <w:trPr>
          <w:trHeight w:val="31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iCs/>
                <w:sz w:val="16"/>
                <w:szCs w:val="16"/>
              </w:rPr>
            </w:pPr>
            <w:r w:rsidRPr="00D01786">
              <w:rPr>
                <w:rFonts w:cs="Calibri"/>
                <w:b/>
                <w:iCs/>
                <w:sz w:val="16"/>
                <w:szCs w:val="16"/>
              </w:rPr>
              <w:t>International Trade and Transaction Tax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1,69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1,86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1,86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2,09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1,99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2,46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1,48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1,69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0,96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1,18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-13,27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-18,63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BUDGET EXPENDITURES, out of which: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110,82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187,15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80,79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94,64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103,84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119,84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95,54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100,17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160,33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141,28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119,00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99,42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98,49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150,13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94,14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111,47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16,53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-15,54</w:t>
            </w:r>
          </w:p>
        </w:tc>
      </w:tr>
      <w:tr w:rsidR="009040AC" w:rsidRPr="00D01786" w:rsidTr="000D6B9E">
        <w:trPr>
          <w:trHeight w:val="39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9040A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 xml:space="preserve">Gross </w:t>
            </w:r>
            <w:r w:rsidR="009040AC">
              <w:rPr>
                <w:rFonts w:cs="Calibri"/>
                <w:b/>
                <w:bCs/>
                <w:sz w:val="16"/>
                <w:szCs w:val="16"/>
              </w:rPr>
              <w:t>wages and c</w:t>
            </w:r>
            <w:r w:rsidRPr="00D01786">
              <w:rPr>
                <w:rFonts w:cs="Calibri"/>
                <w:b/>
                <w:bCs/>
                <w:sz w:val="16"/>
                <w:szCs w:val="16"/>
              </w:rPr>
              <w:t>ontributions against employers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40,13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46,25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30,97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31,35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30,53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30,64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31,06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31,12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30,26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29,27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30,77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30,66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30,67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28,82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31,69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32,21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2,32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-1,61</w:t>
            </w:r>
          </w:p>
        </w:tc>
      </w:tr>
      <w:tr w:rsidR="009040AC" w:rsidRPr="00D01786" w:rsidTr="000D6B9E">
        <w:trPr>
          <w:trHeight w:val="27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Material and services expenditures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12,16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20,57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3,53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6,33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5,58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6,44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8,39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17,95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3,71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7,43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-50,08</w:t>
            </w:r>
          </w:p>
        </w:tc>
      </w:tr>
      <w:tr w:rsidR="009040AC" w:rsidRPr="00D01786" w:rsidTr="000D6B9E">
        <w:trPr>
          <w:trHeight w:val="30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0D6B9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Interest rates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4,02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0,55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1,76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2,14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24,83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1,13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3,79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5,74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18,71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0,80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5,12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2,31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6,11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317,42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-62,16</w:t>
            </w:r>
          </w:p>
        </w:tc>
      </w:tr>
      <w:tr w:rsidR="009040AC" w:rsidRPr="00D01786" w:rsidTr="000D6B9E">
        <w:trPr>
          <w:trHeight w:val="30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0D6B9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Social Security Transfers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40,34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42,46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38,15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42,30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40,50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40,45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39,92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39,87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39,78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39,18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40,14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39,83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43,05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39,56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41,52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3,68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-4,73</w:t>
            </w:r>
          </w:p>
        </w:tc>
      </w:tr>
      <w:tr w:rsidR="009040AC" w:rsidRPr="00D01786" w:rsidTr="000D6B9E">
        <w:trPr>
          <w:trHeight w:val="360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1242D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Transfers to Instit</w:t>
            </w:r>
            <w:r>
              <w:rPr>
                <w:rFonts w:cs="Calibri"/>
                <w:b/>
                <w:bCs/>
                <w:sz w:val="16"/>
                <w:szCs w:val="16"/>
              </w:rPr>
              <w:t>utions</w:t>
            </w:r>
            <w:r w:rsidRPr="00D01786">
              <w:rPr>
                <w:rFonts w:cs="Calibri"/>
                <w:b/>
                <w:bCs/>
                <w:sz w:val="16"/>
                <w:szCs w:val="16"/>
              </w:rPr>
              <w:t>, Individ</w:t>
            </w:r>
            <w:r>
              <w:rPr>
                <w:rFonts w:cs="Calibri"/>
                <w:b/>
                <w:bCs/>
                <w:sz w:val="16"/>
                <w:szCs w:val="16"/>
              </w:rPr>
              <w:t>uals</w:t>
            </w:r>
            <w:r w:rsidRPr="00D01786">
              <w:rPr>
                <w:rFonts w:cs="Calibri"/>
                <w:b/>
                <w:bCs/>
                <w:sz w:val="16"/>
                <w:szCs w:val="16"/>
              </w:rPr>
              <w:t xml:space="preserve"> and NGOs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2,03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6,24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4,77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8,95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5,88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7,42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5,86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7,30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17,85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4,73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8,42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-0,77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-43,83</w:t>
            </w:r>
          </w:p>
        </w:tc>
      </w:tr>
      <w:tr w:rsidR="009040AC" w:rsidRPr="00D01786" w:rsidTr="000D6B9E">
        <w:trPr>
          <w:trHeight w:val="315"/>
        </w:trPr>
        <w:tc>
          <w:tcPr>
            <w:tcW w:w="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1242DC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Capital expenditures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6,87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13,94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0,30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2,12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4,94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4,90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4,93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5,21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22,14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1,67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9,36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463,15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6B9E" w:rsidRPr="00D01786" w:rsidRDefault="000D6B9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-82,11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 xml:space="preserve">Budget Surplus / Deficit 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-25,50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-60,21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-26,03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-18,96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-15,54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-15,89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-1,54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-0,61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-38,31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-16,22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-2,66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17,86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-2,71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-7,70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-23,51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-49,04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-9,69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-52,07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Primary deficit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-24,70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-56,19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-25,48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-17,20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-13,40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8,94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-0,42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3,19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-32,57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-14,12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16,06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18,66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-1,96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-2,58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-21,20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-42,93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-16,80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-50,63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Debt repayment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3,41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12,53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16,06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7,38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7,18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5,57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18,47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34,60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16,98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24,39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14,01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17,57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71,64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6,53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14,29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-59,32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-54,27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Government debt (debt balance)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1700,2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1699,5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1726,6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1732,7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1755,7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1764,2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1767,1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1760,9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1810,4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1844,90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1846,50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1832,00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1886,30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1873,15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n.a</w:t>
            </w:r>
            <w:proofErr w:type="spellEnd"/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040AC" w:rsidRPr="00D01786" w:rsidTr="000D6B9E">
        <w:trPr>
          <w:trHeight w:val="330"/>
        </w:trPr>
        <w:tc>
          <w:tcPr>
            <w:tcW w:w="8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Internal debt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393,1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404,5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394,0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396,7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420,3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431,7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436,0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442,7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442,8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433,80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471,70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440,40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440,13</w:t>
            </w: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  <w:tr w:rsidR="009040AC" w:rsidRPr="00D01786" w:rsidTr="000D6B9E">
        <w:trPr>
          <w:trHeight w:val="315"/>
        </w:trPr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D01786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D01786">
              <w:rPr>
                <w:rFonts w:cs="Calibri"/>
                <w:b/>
                <w:bCs/>
                <w:sz w:val="16"/>
                <w:szCs w:val="16"/>
              </w:rPr>
              <w:t>Foreign debt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1307,1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1295,0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1332,6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1336,0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1335,4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1332,5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1331,1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1318,2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1367,6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1411,10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1365,60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1360,30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1445,90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color w:val="000000"/>
                <w:sz w:val="16"/>
                <w:szCs w:val="16"/>
              </w:rPr>
              <w:t>1433,02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01786">
              <w:rPr>
                <w:rFonts w:cs="Calibri"/>
                <w:b/>
                <w:bCs/>
                <w:color w:val="000000"/>
                <w:sz w:val="16"/>
                <w:szCs w:val="16"/>
              </w:rPr>
              <w:t>n.a</w:t>
            </w:r>
            <w:proofErr w:type="spell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01786">
              <w:rPr>
                <w:rFonts w:cs="Calibri"/>
                <w:sz w:val="16"/>
                <w:szCs w:val="16"/>
              </w:rPr>
              <w:t>-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39DE" w:rsidRPr="00D01786" w:rsidRDefault="00C439DE" w:rsidP="00841315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D01786">
              <w:rPr>
                <w:rFonts w:cs="Calibri"/>
                <w:i/>
                <w:iCs/>
                <w:color w:val="000000"/>
                <w:sz w:val="16"/>
                <w:szCs w:val="16"/>
              </w:rPr>
              <w:t>0,00</w:t>
            </w:r>
          </w:p>
        </w:tc>
      </w:tr>
    </w:tbl>
    <w:p w:rsidR="00CD707C" w:rsidRPr="00D01786" w:rsidRDefault="00CD707C" w:rsidP="00784DAE">
      <w:pPr>
        <w:spacing w:after="0" w:line="240" w:lineRule="auto"/>
        <w:ind w:firstLine="142"/>
        <w:jc w:val="center"/>
        <w:rPr>
          <w:i/>
          <w:iCs/>
          <w:sz w:val="12"/>
          <w:szCs w:val="12"/>
        </w:rPr>
      </w:pPr>
    </w:p>
    <w:p w:rsidR="00A30E95" w:rsidRPr="00D01786" w:rsidRDefault="00D878DA" w:rsidP="00332574">
      <w:pPr>
        <w:outlineLvl w:val="0"/>
        <w:rPr>
          <w:b/>
          <w:i/>
          <w:sz w:val="16"/>
          <w:szCs w:val="16"/>
        </w:rPr>
      </w:pPr>
      <w:r w:rsidRPr="00D01786">
        <w:rPr>
          <w:b/>
          <w:i/>
          <w:sz w:val="16"/>
          <w:szCs w:val="16"/>
        </w:rPr>
        <w:t xml:space="preserve">Source: Ministry of Finance of Montenegro </w:t>
      </w:r>
    </w:p>
    <w:p w:rsidR="0082570B" w:rsidRPr="00D01786" w:rsidRDefault="0082570B" w:rsidP="005025EC">
      <w:pPr>
        <w:ind w:left="-142"/>
        <w:jc w:val="both"/>
        <w:rPr>
          <w:sz w:val="14"/>
          <w:szCs w:val="14"/>
        </w:rPr>
      </w:pPr>
    </w:p>
    <w:sectPr w:rsidR="0082570B" w:rsidRPr="00D01786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2DC" w:rsidRDefault="001242DC" w:rsidP="00965FCD">
      <w:pPr>
        <w:spacing w:after="0" w:line="240" w:lineRule="auto"/>
      </w:pPr>
      <w:r>
        <w:separator/>
      </w:r>
    </w:p>
  </w:endnote>
  <w:endnote w:type="continuationSeparator" w:id="0">
    <w:p w:rsidR="001242DC" w:rsidRDefault="001242DC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2DC" w:rsidRDefault="001242DC" w:rsidP="00965FCD">
      <w:pPr>
        <w:spacing w:after="0" w:line="240" w:lineRule="auto"/>
      </w:pPr>
      <w:r>
        <w:separator/>
      </w:r>
    </w:p>
  </w:footnote>
  <w:footnote w:type="continuationSeparator" w:id="0">
    <w:p w:rsidR="001242DC" w:rsidRDefault="001242DC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20"/>
  </w:num>
  <w:num w:numId="4">
    <w:abstractNumId w:val="1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18"/>
  </w:num>
  <w:num w:numId="13">
    <w:abstractNumId w:val="16"/>
  </w:num>
  <w:num w:numId="14">
    <w:abstractNumId w:val="5"/>
  </w:num>
  <w:num w:numId="15">
    <w:abstractNumId w:val="3"/>
  </w:num>
  <w:num w:numId="16">
    <w:abstractNumId w:val="10"/>
  </w:num>
  <w:num w:numId="17">
    <w:abstractNumId w:val="7"/>
  </w:num>
  <w:num w:numId="18">
    <w:abstractNumId w:val="13"/>
  </w:num>
  <w:num w:numId="19">
    <w:abstractNumId w:val="6"/>
  </w:num>
  <w:num w:numId="20">
    <w:abstractNumId w:val="11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4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692"/>
    <w:rsid w:val="000000CB"/>
    <w:rsid w:val="000009E1"/>
    <w:rsid w:val="000010A3"/>
    <w:rsid w:val="00003D78"/>
    <w:rsid w:val="00004B56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41DE"/>
    <w:rsid w:val="00034923"/>
    <w:rsid w:val="0003497A"/>
    <w:rsid w:val="00034D42"/>
    <w:rsid w:val="00034F07"/>
    <w:rsid w:val="0003544A"/>
    <w:rsid w:val="000369E1"/>
    <w:rsid w:val="00037B58"/>
    <w:rsid w:val="0004205C"/>
    <w:rsid w:val="000421A3"/>
    <w:rsid w:val="00043DED"/>
    <w:rsid w:val="000449CD"/>
    <w:rsid w:val="00044CB0"/>
    <w:rsid w:val="00045654"/>
    <w:rsid w:val="00045D59"/>
    <w:rsid w:val="00046C9E"/>
    <w:rsid w:val="00050EAB"/>
    <w:rsid w:val="00052DC4"/>
    <w:rsid w:val="00054068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5F3"/>
    <w:rsid w:val="00067726"/>
    <w:rsid w:val="00067FD6"/>
    <w:rsid w:val="00070965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808"/>
    <w:rsid w:val="00085B67"/>
    <w:rsid w:val="00090FDD"/>
    <w:rsid w:val="00091154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3CE"/>
    <w:rsid w:val="000A47FF"/>
    <w:rsid w:val="000A4E37"/>
    <w:rsid w:val="000A787A"/>
    <w:rsid w:val="000B19D0"/>
    <w:rsid w:val="000B1DD7"/>
    <w:rsid w:val="000B45AB"/>
    <w:rsid w:val="000B48EE"/>
    <w:rsid w:val="000B502D"/>
    <w:rsid w:val="000B54A3"/>
    <w:rsid w:val="000B5DD4"/>
    <w:rsid w:val="000B6252"/>
    <w:rsid w:val="000B67B1"/>
    <w:rsid w:val="000B69BF"/>
    <w:rsid w:val="000B788B"/>
    <w:rsid w:val="000B7AE2"/>
    <w:rsid w:val="000C06C5"/>
    <w:rsid w:val="000C0B0A"/>
    <w:rsid w:val="000C108E"/>
    <w:rsid w:val="000C1965"/>
    <w:rsid w:val="000C36DB"/>
    <w:rsid w:val="000C5764"/>
    <w:rsid w:val="000C6818"/>
    <w:rsid w:val="000C72DD"/>
    <w:rsid w:val="000D0368"/>
    <w:rsid w:val="000D0374"/>
    <w:rsid w:val="000D09EB"/>
    <w:rsid w:val="000D1D3C"/>
    <w:rsid w:val="000D52CF"/>
    <w:rsid w:val="000D588E"/>
    <w:rsid w:val="000D5D48"/>
    <w:rsid w:val="000D5ED7"/>
    <w:rsid w:val="000D6B9E"/>
    <w:rsid w:val="000D6CD4"/>
    <w:rsid w:val="000D6DF1"/>
    <w:rsid w:val="000D765B"/>
    <w:rsid w:val="000E13EB"/>
    <w:rsid w:val="000E2251"/>
    <w:rsid w:val="000E2351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853"/>
    <w:rsid w:val="00112E23"/>
    <w:rsid w:val="00114109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2DC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DE6"/>
    <w:rsid w:val="001678F1"/>
    <w:rsid w:val="00170C82"/>
    <w:rsid w:val="00170CCE"/>
    <w:rsid w:val="00172816"/>
    <w:rsid w:val="00172D59"/>
    <w:rsid w:val="001730BE"/>
    <w:rsid w:val="00174836"/>
    <w:rsid w:val="0017540F"/>
    <w:rsid w:val="00181309"/>
    <w:rsid w:val="001824C2"/>
    <w:rsid w:val="0018289E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56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5A20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8D8"/>
    <w:rsid w:val="00212CDE"/>
    <w:rsid w:val="00213054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7A18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DC4"/>
    <w:rsid w:val="002A235B"/>
    <w:rsid w:val="002A2CED"/>
    <w:rsid w:val="002A4910"/>
    <w:rsid w:val="002A5C73"/>
    <w:rsid w:val="002A68B8"/>
    <w:rsid w:val="002B10AE"/>
    <w:rsid w:val="002B318C"/>
    <w:rsid w:val="002B552A"/>
    <w:rsid w:val="002B74C5"/>
    <w:rsid w:val="002C1A52"/>
    <w:rsid w:val="002C1FBF"/>
    <w:rsid w:val="002C25C6"/>
    <w:rsid w:val="002C47B8"/>
    <w:rsid w:val="002C4A81"/>
    <w:rsid w:val="002C6888"/>
    <w:rsid w:val="002C78FB"/>
    <w:rsid w:val="002D0814"/>
    <w:rsid w:val="002D0F81"/>
    <w:rsid w:val="002D170B"/>
    <w:rsid w:val="002D175D"/>
    <w:rsid w:val="002D2E80"/>
    <w:rsid w:val="002D3B0F"/>
    <w:rsid w:val="002D4073"/>
    <w:rsid w:val="002D447A"/>
    <w:rsid w:val="002D5865"/>
    <w:rsid w:val="002D77A7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C7C"/>
    <w:rsid w:val="003004B8"/>
    <w:rsid w:val="003022A7"/>
    <w:rsid w:val="00303D85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6A"/>
    <w:rsid w:val="0033283B"/>
    <w:rsid w:val="00333C49"/>
    <w:rsid w:val="00336033"/>
    <w:rsid w:val="00337648"/>
    <w:rsid w:val="00340752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68F4"/>
    <w:rsid w:val="00357182"/>
    <w:rsid w:val="00357B8D"/>
    <w:rsid w:val="00357E66"/>
    <w:rsid w:val="00360100"/>
    <w:rsid w:val="00360197"/>
    <w:rsid w:val="003625F1"/>
    <w:rsid w:val="003638CF"/>
    <w:rsid w:val="00363C84"/>
    <w:rsid w:val="00364D14"/>
    <w:rsid w:val="00365311"/>
    <w:rsid w:val="003655B6"/>
    <w:rsid w:val="00365E46"/>
    <w:rsid w:val="00366F41"/>
    <w:rsid w:val="0037726C"/>
    <w:rsid w:val="00377697"/>
    <w:rsid w:val="00377A53"/>
    <w:rsid w:val="003809F3"/>
    <w:rsid w:val="0038117E"/>
    <w:rsid w:val="0038135E"/>
    <w:rsid w:val="003813A6"/>
    <w:rsid w:val="00381900"/>
    <w:rsid w:val="0038259A"/>
    <w:rsid w:val="00382F01"/>
    <w:rsid w:val="00384DC2"/>
    <w:rsid w:val="00387C29"/>
    <w:rsid w:val="00387DAD"/>
    <w:rsid w:val="00390732"/>
    <w:rsid w:val="0039257B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785D"/>
    <w:rsid w:val="003A7A69"/>
    <w:rsid w:val="003B04DA"/>
    <w:rsid w:val="003B0E7A"/>
    <w:rsid w:val="003B15C8"/>
    <w:rsid w:val="003B1992"/>
    <w:rsid w:val="003B1A29"/>
    <w:rsid w:val="003B1C22"/>
    <w:rsid w:val="003B1D25"/>
    <w:rsid w:val="003B2900"/>
    <w:rsid w:val="003B2CAA"/>
    <w:rsid w:val="003B30D8"/>
    <w:rsid w:val="003B3299"/>
    <w:rsid w:val="003B436A"/>
    <w:rsid w:val="003B48D5"/>
    <w:rsid w:val="003B4F8C"/>
    <w:rsid w:val="003B62EC"/>
    <w:rsid w:val="003B6749"/>
    <w:rsid w:val="003B6844"/>
    <w:rsid w:val="003B75FC"/>
    <w:rsid w:val="003C14C9"/>
    <w:rsid w:val="003C15EF"/>
    <w:rsid w:val="003C1D23"/>
    <w:rsid w:val="003C4817"/>
    <w:rsid w:val="003C5E7B"/>
    <w:rsid w:val="003C6A22"/>
    <w:rsid w:val="003C79AC"/>
    <w:rsid w:val="003D1EDB"/>
    <w:rsid w:val="003D4359"/>
    <w:rsid w:val="003D4739"/>
    <w:rsid w:val="003D56FD"/>
    <w:rsid w:val="003D75A1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57E"/>
    <w:rsid w:val="003F0052"/>
    <w:rsid w:val="003F0CAE"/>
    <w:rsid w:val="003F0EA8"/>
    <w:rsid w:val="003F5183"/>
    <w:rsid w:val="003F56BD"/>
    <w:rsid w:val="003F5A35"/>
    <w:rsid w:val="003F7085"/>
    <w:rsid w:val="00400C11"/>
    <w:rsid w:val="004010A8"/>
    <w:rsid w:val="00401C99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696"/>
    <w:rsid w:val="00435D37"/>
    <w:rsid w:val="00436469"/>
    <w:rsid w:val="00436FB4"/>
    <w:rsid w:val="004379FA"/>
    <w:rsid w:val="0044071F"/>
    <w:rsid w:val="00442E20"/>
    <w:rsid w:val="0044465C"/>
    <w:rsid w:val="0044550D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A02"/>
    <w:rsid w:val="00466E96"/>
    <w:rsid w:val="00466F15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32C1"/>
    <w:rsid w:val="00493B63"/>
    <w:rsid w:val="004940E0"/>
    <w:rsid w:val="00496861"/>
    <w:rsid w:val="004A1113"/>
    <w:rsid w:val="004A2665"/>
    <w:rsid w:val="004A3449"/>
    <w:rsid w:val="004A350C"/>
    <w:rsid w:val="004A382B"/>
    <w:rsid w:val="004A3894"/>
    <w:rsid w:val="004A38D1"/>
    <w:rsid w:val="004A55B1"/>
    <w:rsid w:val="004A56BE"/>
    <w:rsid w:val="004A5717"/>
    <w:rsid w:val="004A61E8"/>
    <w:rsid w:val="004A62DA"/>
    <w:rsid w:val="004B1C2A"/>
    <w:rsid w:val="004B1ECF"/>
    <w:rsid w:val="004B41B2"/>
    <w:rsid w:val="004B5F63"/>
    <w:rsid w:val="004B7800"/>
    <w:rsid w:val="004B7883"/>
    <w:rsid w:val="004C0135"/>
    <w:rsid w:val="004C0541"/>
    <w:rsid w:val="004C16F3"/>
    <w:rsid w:val="004C206D"/>
    <w:rsid w:val="004C373F"/>
    <w:rsid w:val="004C3C31"/>
    <w:rsid w:val="004C659C"/>
    <w:rsid w:val="004D49A0"/>
    <w:rsid w:val="004D4E0F"/>
    <w:rsid w:val="004D7775"/>
    <w:rsid w:val="004E02D3"/>
    <w:rsid w:val="004E28B9"/>
    <w:rsid w:val="004E4063"/>
    <w:rsid w:val="004E475F"/>
    <w:rsid w:val="004E6C21"/>
    <w:rsid w:val="004E7676"/>
    <w:rsid w:val="004F17AF"/>
    <w:rsid w:val="004F2797"/>
    <w:rsid w:val="004F288B"/>
    <w:rsid w:val="004F3817"/>
    <w:rsid w:val="004F4CFC"/>
    <w:rsid w:val="004F50B8"/>
    <w:rsid w:val="004F62C2"/>
    <w:rsid w:val="004F71D0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1201B"/>
    <w:rsid w:val="0051345D"/>
    <w:rsid w:val="00516264"/>
    <w:rsid w:val="00517175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523CF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80172"/>
    <w:rsid w:val="00580859"/>
    <w:rsid w:val="00581749"/>
    <w:rsid w:val="005818A8"/>
    <w:rsid w:val="005829D9"/>
    <w:rsid w:val="00583591"/>
    <w:rsid w:val="005852DA"/>
    <w:rsid w:val="005858DC"/>
    <w:rsid w:val="00585B6B"/>
    <w:rsid w:val="00585F7B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13E6"/>
    <w:rsid w:val="005A1C61"/>
    <w:rsid w:val="005A4AB8"/>
    <w:rsid w:val="005A5064"/>
    <w:rsid w:val="005A5229"/>
    <w:rsid w:val="005B0DB1"/>
    <w:rsid w:val="005B18F4"/>
    <w:rsid w:val="005B25F8"/>
    <w:rsid w:val="005B2BF5"/>
    <w:rsid w:val="005B5CB7"/>
    <w:rsid w:val="005B5F21"/>
    <w:rsid w:val="005B7040"/>
    <w:rsid w:val="005C19AB"/>
    <w:rsid w:val="005C3915"/>
    <w:rsid w:val="005C3D3E"/>
    <w:rsid w:val="005C4CBE"/>
    <w:rsid w:val="005C4DBD"/>
    <w:rsid w:val="005C4E87"/>
    <w:rsid w:val="005C5F38"/>
    <w:rsid w:val="005D0E14"/>
    <w:rsid w:val="005D4BC4"/>
    <w:rsid w:val="005D5D14"/>
    <w:rsid w:val="005D6EEB"/>
    <w:rsid w:val="005D751B"/>
    <w:rsid w:val="005E0358"/>
    <w:rsid w:val="005E038B"/>
    <w:rsid w:val="005E150E"/>
    <w:rsid w:val="005E2852"/>
    <w:rsid w:val="005E2B06"/>
    <w:rsid w:val="005E35C9"/>
    <w:rsid w:val="005E4CD1"/>
    <w:rsid w:val="005E5941"/>
    <w:rsid w:val="005E6D35"/>
    <w:rsid w:val="005F13D5"/>
    <w:rsid w:val="005F50EA"/>
    <w:rsid w:val="005F568D"/>
    <w:rsid w:val="006006C6"/>
    <w:rsid w:val="006050EA"/>
    <w:rsid w:val="006061B6"/>
    <w:rsid w:val="006070E0"/>
    <w:rsid w:val="006071F2"/>
    <w:rsid w:val="00607217"/>
    <w:rsid w:val="00607500"/>
    <w:rsid w:val="00607541"/>
    <w:rsid w:val="0061084D"/>
    <w:rsid w:val="00610DDD"/>
    <w:rsid w:val="006127E9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FA4"/>
    <w:rsid w:val="00621B53"/>
    <w:rsid w:val="0062271A"/>
    <w:rsid w:val="00622F10"/>
    <w:rsid w:val="00622FAC"/>
    <w:rsid w:val="00623BC4"/>
    <w:rsid w:val="00624C12"/>
    <w:rsid w:val="006304FD"/>
    <w:rsid w:val="00632692"/>
    <w:rsid w:val="00634B74"/>
    <w:rsid w:val="006357BA"/>
    <w:rsid w:val="0063610A"/>
    <w:rsid w:val="00642A13"/>
    <w:rsid w:val="00642F40"/>
    <w:rsid w:val="006435D8"/>
    <w:rsid w:val="00645ED4"/>
    <w:rsid w:val="00647463"/>
    <w:rsid w:val="00647B12"/>
    <w:rsid w:val="006509EE"/>
    <w:rsid w:val="00651027"/>
    <w:rsid w:val="0065108A"/>
    <w:rsid w:val="006534C5"/>
    <w:rsid w:val="006537DB"/>
    <w:rsid w:val="00653CF3"/>
    <w:rsid w:val="00654A8A"/>
    <w:rsid w:val="0065518C"/>
    <w:rsid w:val="0065775B"/>
    <w:rsid w:val="00657F58"/>
    <w:rsid w:val="00661339"/>
    <w:rsid w:val="00661C7E"/>
    <w:rsid w:val="00663690"/>
    <w:rsid w:val="00664DEB"/>
    <w:rsid w:val="006664B5"/>
    <w:rsid w:val="00666EFC"/>
    <w:rsid w:val="0066756D"/>
    <w:rsid w:val="00670373"/>
    <w:rsid w:val="006705D4"/>
    <w:rsid w:val="00670C5E"/>
    <w:rsid w:val="00670C6E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807FE"/>
    <w:rsid w:val="00681351"/>
    <w:rsid w:val="00681A9E"/>
    <w:rsid w:val="00682718"/>
    <w:rsid w:val="00684818"/>
    <w:rsid w:val="00684902"/>
    <w:rsid w:val="00685393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71AF"/>
    <w:rsid w:val="00697A91"/>
    <w:rsid w:val="006A0B4A"/>
    <w:rsid w:val="006A144B"/>
    <w:rsid w:val="006A1C8D"/>
    <w:rsid w:val="006A290B"/>
    <w:rsid w:val="006A478E"/>
    <w:rsid w:val="006A4801"/>
    <w:rsid w:val="006A5DE6"/>
    <w:rsid w:val="006A6C58"/>
    <w:rsid w:val="006B159D"/>
    <w:rsid w:val="006B22E5"/>
    <w:rsid w:val="006B2866"/>
    <w:rsid w:val="006B3579"/>
    <w:rsid w:val="006B4777"/>
    <w:rsid w:val="006B5211"/>
    <w:rsid w:val="006B5863"/>
    <w:rsid w:val="006B729D"/>
    <w:rsid w:val="006B7725"/>
    <w:rsid w:val="006C15C6"/>
    <w:rsid w:val="006C1C26"/>
    <w:rsid w:val="006C27EC"/>
    <w:rsid w:val="006C28CF"/>
    <w:rsid w:val="006C2906"/>
    <w:rsid w:val="006C2EF6"/>
    <w:rsid w:val="006C3C84"/>
    <w:rsid w:val="006C5096"/>
    <w:rsid w:val="006C5F17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74DB"/>
    <w:rsid w:val="006E11AC"/>
    <w:rsid w:val="006E2DDA"/>
    <w:rsid w:val="006E31DE"/>
    <w:rsid w:val="006E4746"/>
    <w:rsid w:val="006E4B91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7967"/>
    <w:rsid w:val="007307C9"/>
    <w:rsid w:val="007319C8"/>
    <w:rsid w:val="007326D7"/>
    <w:rsid w:val="00733BCB"/>
    <w:rsid w:val="0073431B"/>
    <w:rsid w:val="00734688"/>
    <w:rsid w:val="00734729"/>
    <w:rsid w:val="00736E76"/>
    <w:rsid w:val="0073706D"/>
    <w:rsid w:val="00737DB4"/>
    <w:rsid w:val="007406F2"/>
    <w:rsid w:val="00742C04"/>
    <w:rsid w:val="00743684"/>
    <w:rsid w:val="007452A1"/>
    <w:rsid w:val="00745BCE"/>
    <w:rsid w:val="00746132"/>
    <w:rsid w:val="007469F9"/>
    <w:rsid w:val="00747828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52FD"/>
    <w:rsid w:val="0076645A"/>
    <w:rsid w:val="007675AF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E88"/>
    <w:rsid w:val="00791DC2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E0203"/>
    <w:rsid w:val="007E056C"/>
    <w:rsid w:val="007E0761"/>
    <w:rsid w:val="007E081D"/>
    <w:rsid w:val="007E1AB8"/>
    <w:rsid w:val="007E293C"/>
    <w:rsid w:val="007E36EB"/>
    <w:rsid w:val="007E5CC1"/>
    <w:rsid w:val="007E7DDD"/>
    <w:rsid w:val="007F182C"/>
    <w:rsid w:val="007F33E9"/>
    <w:rsid w:val="007F388B"/>
    <w:rsid w:val="007F4D55"/>
    <w:rsid w:val="007F61AF"/>
    <w:rsid w:val="007F775F"/>
    <w:rsid w:val="007F7F34"/>
    <w:rsid w:val="0080031F"/>
    <w:rsid w:val="00801DB8"/>
    <w:rsid w:val="0080291E"/>
    <w:rsid w:val="00802B7F"/>
    <w:rsid w:val="00804F0B"/>
    <w:rsid w:val="00805844"/>
    <w:rsid w:val="00805F78"/>
    <w:rsid w:val="00806B4B"/>
    <w:rsid w:val="00810837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5A2F"/>
    <w:rsid w:val="00817A6A"/>
    <w:rsid w:val="0082070B"/>
    <w:rsid w:val="0082084A"/>
    <w:rsid w:val="00822F67"/>
    <w:rsid w:val="008251C2"/>
    <w:rsid w:val="0082570B"/>
    <w:rsid w:val="0082721B"/>
    <w:rsid w:val="008312F3"/>
    <w:rsid w:val="008343BA"/>
    <w:rsid w:val="0083553F"/>
    <w:rsid w:val="008355A8"/>
    <w:rsid w:val="00836A00"/>
    <w:rsid w:val="00841315"/>
    <w:rsid w:val="00842AFE"/>
    <w:rsid w:val="00842FB5"/>
    <w:rsid w:val="00843DFF"/>
    <w:rsid w:val="00844116"/>
    <w:rsid w:val="00844B4B"/>
    <w:rsid w:val="00845320"/>
    <w:rsid w:val="00845675"/>
    <w:rsid w:val="0084680E"/>
    <w:rsid w:val="00847B5B"/>
    <w:rsid w:val="00847EBF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2650"/>
    <w:rsid w:val="00883754"/>
    <w:rsid w:val="008842AB"/>
    <w:rsid w:val="008844C7"/>
    <w:rsid w:val="008855BC"/>
    <w:rsid w:val="00886302"/>
    <w:rsid w:val="00886930"/>
    <w:rsid w:val="0089243B"/>
    <w:rsid w:val="00892AFB"/>
    <w:rsid w:val="0089368B"/>
    <w:rsid w:val="00893A0A"/>
    <w:rsid w:val="00894AFF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20A3"/>
    <w:rsid w:val="008D27EB"/>
    <w:rsid w:val="008D2C8B"/>
    <w:rsid w:val="008D30AF"/>
    <w:rsid w:val="008D3CDF"/>
    <w:rsid w:val="008D4618"/>
    <w:rsid w:val="008D5823"/>
    <w:rsid w:val="008D6A5D"/>
    <w:rsid w:val="008D6E96"/>
    <w:rsid w:val="008D6F6A"/>
    <w:rsid w:val="008D6F78"/>
    <w:rsid w:val="008E0886"/>
    <w:rsid w:val="008E0E90"/>
    <w:rsid w:val="008E10D6"/>
    <w:rsid w:val="008E27E6"/>
    <w:rsid w:val="008E2B58"/>
    <w:rsid w:val="008E3805"/>
    <w:rsid w:val="008E3D20"/>
    <w:rsid w:val="008E4582"/>
    <w:rsid w:val="008E462B"/>
    <w:rsid w:val="008E4700"/>
    <w:rsid w:val="008E5EDA"/>
    <w:rsid w:val="008E636B"/>
    <w:rsid w:val="008E6D00"/>
    <w:rsid w:val="008E7183"/>
    <w:rsid w:val="008E77D5"/>
    <w:rsid w:val="008F0415"/>
    <w:rsid w:val="008F0BE5"/>
    <w:rsid w:val="008F195C"/>
    <w:rsid w:val="008F34CB"/>
    <w:rsid w:val="008F3986"/>
    <w:rsid w:val="008F4F59"/>
    <w:rsid w:val="008F6653"/>
    <w:rsid w:val="008F71E6"/>
    <w:rsid w:val="008F7755"/>
    <w:rsid w:val="00900F62"/>
    <w:rsid w:val="0090210D"/>
    <w:rsid w:val="00902289"/>
    <w:rsid w:val="009022BB"/>
    <w:rsid w:val="009040AC"/>
    <w:rsid w:val="009045B3"/>
    <w:rsid w:val="0090493D"/>
    <w:rsid w:val="00904C72"/>
    <w:rsid w:val="00904F52"/>
    <w:rsid w:val="00905430"/>
    <w:rsid w:val="00905BF5"/>
    <w:rsid w:val="00905F6A"/>
    <w:rsid w:val="00907FE0"/>
    <w:rsid w:val="00910CBD"/>
    <w:rsid w:val="0091144B"/>
    <w:rsid w:val="009126D6"/>
    <w:rsid w:val="00915576"/>
    <w:rsid w:val="00915B6A"/>
    <w:rsid w:val="0091631F"/>
    <w:rsid w:val="00916A0F"/>
    <w:rsid w:val="00920528"/>
    <w:rsid w:val="009224F1"/>
    <w:rsid w:val="00922BF8"/>
    <w:rsid w:val="0092368D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0B57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F5D"/>
    <w:rsid w:val="00973022"/>
    <w:rsid w:val="0097377E"/>
    <w:rsid w:val="00974320"/>
    <w:rsid w:val="00974AD2"/>
    <w:rsid w:val="00974F42"/>
    <w:rsid w:val="00975511"/>
    <w:rsid w:val="00976469"/>
    <w:rsid w:val="0098296F"/>
    <w:rsid w:val="00982E62"/>
    <w:rsid w:val="009836D7"/>
    <w:rsid w:val="0098562F"/>
    <w:rsid w:val="00985C9B"/>
    <w:rsid w:val="009860B5"/>
    <w:rsid w:val="00992B90"/>
    <w:rsid w:val="00993E5A"/>
    <w:rsid w:val="00994D96"/>
    <w:rsid w:val="009960CD"/>
    <w:rsid w:val="009A0736"/>
    <w:rsid w:val="009A1376"/>
    <w:rsid w:val="009A24E1"/>
    <w:rsid w:val="009A2EA5"/>
    <w:rsid w:val="009A4C61"/>
    <w:rsid w:val="009A63D0"/>
    <w:rsid w:val="009A6D2F"/>
    <w:rsid w:val="009A74A7"/>
    <w:rsid w:val="009A792A"/>
    <w:rsid w:val="009B1C0A"/>
    <w:rsid w:val="009B320B"/>
    <w:rsid w:val="009B5779"/>
    <w:rsid w:val="009B65AF"/>
    <w:rsid w:val="009B6603"/>
    <w:rsid w:val="009B6985"/>
    <w:rsid w:val="009C0493"/>
    <w:rsid w:val="009C162D"/>
    <w:rsid w:val="009C1D43"/>
    <w:rsid w:val="009C42D7"/>
    <w:rsid w:val="009C4EAF"/>
    <w:rsid w:val="009C5011"/>
    <w:rsid w:val="009C5462"/>
    <w:rsid w:val="009C62C0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0E18"/>
    <w:rsid w:val="00A20E76"/>
    <w:rsid w:val="00A22776"/>
    <w:rsid w:val="00A22911"/>
    <w:rsid w:val="00A233F2"/>
    <w:rsid w:val="00A2480A"/>
    <w:rsid w:val="00A2559B"/>
    <w:rsid w:val="00A25D5F"/>
    <w:rsid w:val="00A30660"/>
    <w:rsid w:val="00A30E95"/>
    <w:rsid w:val="00A3121D"/>
    <w:rsid w:val="00A324F2"/>
    <w:rsid w:val="00A33860"/>
    <w:rsid w:val="00A34E49"/>
    <w:rsid w:val="00A34E9D"/>
    <w:rsid w:val="00A35C10"/>
    <w:rsid w:val="00A360C2"/>
    <w:rsid w:val="00A36F39"/>
    <w:rsid w:val="00A37526"/>
    <w:rsid w:val="00A4133A"/>
    <w:rsid w:val="00A419CE"/>
    <w:rsid w:val="00A423C3"/>
    <w:rsid w:val="00A429F2"/>
    <w:rsid w:val="00A4482B"/>
    <w:rsid w:val="00A44F75"/>
    <w:rsid w:val="00A451E5"/>
    <w:rsid w:val="00A45F99"/>
    <w:rsid w:val="00A468B1"/>
    <w:rsid w:val="00A4692E"/>
    <w:rsid w:val="00A46C9C"/>
    <w:rsid w:val="00A46DEF"/>
    <w:rsid w:val="00A52BC0"/>
    <w:rsid w:val="00A55764"/>
    <w:rsid w:val="00A55823"/>
    <w:rsid w:val="00A559ED"/>
    <w:rsid w:val="00A55AB0"/>
    <w:rsid w:val="00A5642C"/>
    <w:rsid w:val="00A56F16"/>
    <w:rsid w:val="00A57868"/>
    <w:rsid w:val="00A57CDB"/>
    <w:rsid w:val="00A6220E"/>
    <w:rsid w:val="00A62711"/>
    <w:rsid w:val="00A63167"/>
    <w:rsid w:val="00A66994"/>
    <w:rsid w:val="00A66BEC"/>
    <w:rsid w:val="00A67103"/>
    <w:rsid w:val="00A67F78"/>
    <w:rsid w:val="00A719D1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19D2"/>
    <w:rsid w:val="00A92C88"/>
    <w:rsid w:val="00A93193"/>
    <w:rsid w:val="00A94105"/>
    <w:rsid w:val="00A9414F"/>
    <w:rsid w:val="00A94444"/>
    <w:rsid w:val="00A944B7"/>
    <w:rsid w:val="00A965E6"/>
    <w:rsid w:val="00A96B95"/>
    <w:rsid w:val="00AA1568"/>
    <w:rsid w:val="00AA4229"/>
    <w:rsid w:val="00AA4C9B"/>
    <w:rsid w:val="00AA53FC"/>
    <w:rsid w:val="00AA57C2"/>
    <w:rsid w:val="00AA6372"/>
    <w:rsid w:val="00AB08DE"/>
    <w:rsid w:val="00AB1AAD"/>
    <w:rsid w:val="00AB3700"/>
    <w:rsid w:val="00AB47EB"/>
    <w:rsid w:val="00AB4C24"/>
    <w:rsid w:val="00AB4C79"/>
    <w:rsid w:val="00AB517A"/>
    <w:rsid w:val="00AB7198"/>
    <w:rsid w:val="00AC2EF2"/>
    <w:rsid w:val="00AC33D0"/>
    <w:rsid w:val="00AC41A8"/>
    <w:rsid w:val="00AC4D78"/>
    <w:rsid w:val="00AC4E44"/>
    <w:rsid w:val="00AC7CE7"/>
    <w:rsid w:val="00AD02E0"/>
    <w:rsid w:val="00AD0474"/>
    <w:rsid w:val="00AD0892"/>
    <w:rsid w:val="00AD0FC1"/>
    <w:rsid w:val="00AD1B16"/>
    <w:rsid w:val="00AD1CF2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E1A52"/>
    <w:rsid w:val="00AE2C4C"/>
    <w:rsid w:val="00AE2FC9"/>
    <w:rsid w:val="00AE3B29"/>
    <w:rsid w:val="00AE3EC8"/>
    <w:rsid w:val="00AE46D2"/>
    <w:rsid w:val="00AF16EF"/>
    <w:rsid w:val="00AF2A35"/>
    <w:rsid w:val="00AF39C0"/>
    <w:rsid w:val="00AF3F13"/>
    <w:rsid w:val="00AF6471"/>
    <w:rsid w:val="00AF71DC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55D6"/>
    <w:rsid w:val="00B36D48"/>
    <w:rsid w:val="00B40133"/>
    <w:rsid w:val="00B41E7A"/>
    <w:rsid w:val="00B42AAB"/>
    <w:rsid w:val="00B434CF"/>
    <w:rsid w:val="00B46ABF"/>
    <w:rsid w:val="00B47CAB"/>
    <w:rsid w:val="00B50021"/>
    <w:rsid w:val="00B50CF4"/>
    <w:rsid w:val="00B5154B"/>
    <w:rsid w:val="00B52271"/>
    <w:rsid w:val="00B53433"/>
    <w:rsid w:val="00B57E89"/>
    <w:rsid w:val="00B600D9"/>
    <w:rsid w:val="00B603E6"/>
    <w:rsid w:val="00B62D9E"/>
    <w:rsid w:val="00B6394D"/>
    <w:rsid w:val="00B63FBA"/>
    <w:rsid w:val="00B6519A"/>
    <w:rsid w:val="00B663B8"/>
    <w:rsid w:val="00B71665"/>
    <w:rsid w:val="00B71C0B"/>
    <w:rsid w:val="00B72332"/>
    <w:rsid w:val="00B74947"/>
    <w:rsid w:val="00B7591E"/>
    <w:rsid w:val="00B75991"/>
    <w:rsid w:val="00B76838"/>
    <w:rsid w:val="00B77D13"/>
    <w:rsid w:val="00B801BF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A06C1"/>
    <w:rsid w:val="00BA0B65"/>
    <w:rsid w:val="00BA1E04"/>
    <w:rsid w:val="00BA1F78"/>
    <w:rsid w:val="00BA54D0"/>
    <w:rsid w:val="00BA6C18"/>
    <w:rsid w:val="00BA6F69"/>
    <w:rsid w:val="00BA6FEF"/>
    <w:rsid w:val="00BB24C2"/>
    <w:rsid w:val="00BB30FF"/>
    <w:rsid w:val="00BB360B"/>
    <w:rsid w:val="00BB40F6"/>
    <w:rsid w:val="00BB573E"/>
    <w:rsid w:val="00BB5FE7"/>
    <w:rsid w:val="00BB60B2"/>
    <w:rsid w:val="00BB68A6"/>
    <w:rsid w:val="00BB7501"/>
    <w:rsid w:val="00BB785F"/>
    <w:rsid w:val="00BB7878"/>
    <w:rsid w:val="00BB7D3F"/>
    <w:rsid w:val="00BB7F73"/>
    <w:rsid w:val="00BC05DD"/>
    <w:rsid w:val="00BC1BBF"/>
    <w:rsid w:val="00BC2E39"/>
    <w:rsid w:val="00BC4BB9"/>
    <w:rsid w:val="00BC6076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7170"/>
    <w:rsid w:val="00C077DA"/>
    <w:rsid w:val="00C0788A"/>
    <w:rsid w:val="00C07EBB"/>
    <w:rsid w:val="00C11266"/>
    <w:rsid w:val="00C123A0"/>
    <w:rsid w:val="00C131FA"/>
    <w:rsid w:val="00C13F58"/>
    <w:rsid w:val="00C14571"/>
    <w:rsid w:val="00C1491F"/>
    <w:rsid w:val="00C157D1"/>
    <w:rsid w:val="00C20BFE"/>
    <w:rsid w:val="00C20E5A"/>
    <w:rsid w:val="00C22E55"/>
    <w:rsid w:val="00C23729"/>
    <w:rsid w:val="00C25367"/>
    <w:rsid w:val="00C26844"/>
    <w:rsid w:val="00C2734A"/>
    <w:rsid w:val="00C309B8"/>
    <w:rsid w:val="00C31D0E"/>
    <w:rsid w:val="00C321B7"/>
    <w:rsid w:val="00C34184"/>
    <w:rsid w:val="00C34787"/>
    <w:rsid w:val="00C34AC1"/>
    <w:rsid w:val="00C35CAA"/>
    <w:rsid w:val="00C37756"/>
    <w:rsid w:val="00C37B69"/>
    <w:rsid w:val="00C40651"/>
    <w:rsid w:val="00C40CFD"/>
    <w:rsid w:val="00C41BAB"/>
    <w:rsid w:val="00C41D78"/>
    <w:rsid w:val="00C42122"/>
    <w:rsid w:val="00C427B1"/>
    <w:rsid w:val="00C42838"/>
    <w:rsid w:val="00C43371"/>
    <w:rsid w:val="00C439DE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65D2"/>
    <w:rsid w:val="00C56A3A"/>
    <w:rsid w:val="00C576EA"/>
    <w:rsid w:val="00C57CD2"/>
    <w:rsid w:val="00C603DE"/>
    <w:rsid w:val="00C60BD7"/>
    <w:rsid w:val="00C6164F"/>
    <w:rsid w:val="00C62171"/>
    <w:rsid w:val="00C6348A"/>
    <w:rsid w:val="00C63916"/>
    <w:rsid w:val="00C63FC1"/>
    <w:rsid w:val="00C6406C"/>
    <w:rsid w:val="00C64636"/>
    <w:rsid w:val="00C646AC"/>
    <w:rsid w:val="00C652CE"/>
    <w:rsid w:val="00C6630B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626E"/>
    <w:rsid w:val="00C97975"/>
    <w:rsid w:val="00CA211C"/>
    <w:rsid w:val="00CA2C46"/>
    <w:rsid w:val="00CA2DC5"/>
    <w:rsid w:val="00CA44ED"/>
    <w:rsid w:val="00CA6E7C"/>
    <w:rsid w:val="00CA7C68"/>
    <w:rsid w:val="00CA7C77"/>
    <w:rsid w:val="00CB0013"/>
    <w:rsid w:val="00CB04AC"/>
    <w:rsid w:val="00CB0D35"/>
    <w:rsid w:val="00CB2C84"/>
    <w:rsid w:val="00CB2CB2"/>
    <w:rsid w:val="00CB311F"/>
    <w:rsid w:val="00CB407D"/>
    <w:rsid w:val="00CB4560"/>
    <w:rsid w:val="00CB47DE"/>
    <w:rsid w:val="00CB7966"/>
    <w:rsid w:val="00CC16C7"/>
    <w:rsid w:val="00CC199B"/>
    <w:rsid w:val="00CC2AAE"/>
    <w:rsid w:val="00CC53C4"/>
    <w:rsid w:val="00CC577F"/>
    <w:rsid w:val="00CC67DD"/>
    <w:rsid w:val="00CC6A54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518B"/>
    <w:rsid w:val="00CE69B5"/>
    <w:rsid w:val="00CE6CFC"/>
    <w:rsid w:val="00CE7444"/>
    <w:rsid w:val="00CF0D75"/>
    <w:rsid w:val="00CF162C"/>
    <w:rsid w:val="00CF4E1E"/>
    <w:rsid w:val="00CF586D"/>
    <w:rsid w:val="00CF5FA3"/>
    <w:rsid w:val="00D004D6"/>
    <w:rsid w:val="00D00D24"/>
    <w:rsid w:val="00D0131E"/>
    <w:rsid w:val="00D01786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432E"/>
    <w:rsid w:val="00D253F6"/>
    <w:rsid w:val="00D26B12"/>
    <w:rsid w:val="00D26EB8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7A9"/>
    <w:rsid w:val="00D35983"/>
    <w:rsid w:val="00D3631D"/>
    <w:rsid w:val="00D36486"/>
    <w:rsid w:val="00D4058D"/>
    <w:rsid w:val="00D40A23"/>
    <w:rsid w:val="00D44ED9"/>
    <w:rsid w:val="00D45256"/>
    <w:rsid w:val="00D47D6A"/>
    <w:rsid w:val="00D501DA"/>
    <w:rsid w:val="00D506A3"/>
    <w:rsid w:val="00D50FD4"/>
    <w:rsid w:val="00D51C00"/>
    <w:rsid w:val="00D51E0A"/>
    <w:rsid w:val="00D52AB9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4F6E"/>
    <w:rsid w:val="00D64FD3"/>
    <w:rsid w:val="00D66F3C"/>
    <w:rsid w:val="00D67D95"/>
    <w:rsid w:val="00D710FD"/>
    <w:rsid w:val="00D71690"/>
    <w:rsid w:val="00D719A0"/>
    <w:rsid w:val="00D733AC"/>
    <w:rsid w:val="00D73AA8"/>
    <w:rsid w:val="00D75F50"/>
    <w:rsid w:val="00D76A94"/>
    <w:rsid w:val="00D7718A"/>
    <w:rsid w:val="00D77F3E"/>
    <w:rsid w:val="00D800B5"/>
    <w:rsid w:val="00D803C1"/>
    <w:rsid w:val="00D834E8"/>
    <w:rsid w:val="00D848EE"/>
    <w:rsid w:val="00D85C94"/>
    <w:rsid w:val="00D85F1E"/>
    <w:rsid w:val="00D8651E"/>
    <w:rsid w:val="00D878DA"/>
    <w:rsid w:val="00D90D26"/>
    <w:rsid w:val="00D91904"/>
    <w:rsid w:val="00D92C91"/>
    <w:rsid w:val="00D94466"/>
    <w:rsid w:val="00D96B77"/>
    <w:rsid w:val="00D96CD3"/>
    <w:rsid w:val="00DA2F0A"/>
    <w:rsid w:val="00DA35C2"/>
    <w:rsid w:val="00DA372E"/>
    <w:rsid w:val="00DA6330"/>
    <w:rsid w:val="00DB0D61"/>
    <w:rsid w:val="00DB2EE2"/>
    <w:rsid w:val="00DB3E5E"/>
    <w:rsid w:val="00DB4A28"/>
    <w:rsid w:val="00DB51B0"/>
    <w:rsid w:val="00DB55E7"/>
    <w:rsid w:val="00DB561E"/>
    <w:rsid w:val="00DB6B8F"/>
    <w:rsid w:val="00DB6DB6"/>
    <w:rsid w:val="00DB721D"/>
    <w:rsid w:val="00DB7C5D"/>
    <w:rsid w:val="00DC006E"/>
    <w:rsid w:val="00DC0241"/>
    <w:rsid w:val="00DC1184"/>
    <w:rsid w:val="00DC19DD"/>
    <w:rsid w:val="00DC3690"/>
    <w:rsid w:val="00DC47F3"/>
    <w:rsid w:val="00DC48C0"/>
    <w:rsid w:val="00DC4AD1"/>
    <w:rsid w:val="00DC5930"/>
    <w:rsid w:val="00DC7E28"/>
    <w:rsid w:val="00DD230D"/>
    <w:rsid w:val="00DD2925"/>
    <w:rsid w:val="00DD2C83"/>
    <w:rsid w:val="00DD351E"/>
    <w:rsid w:val="00DD5A8F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63E8"/>
    <w:rsid w:val="00DE7609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C49"/>
    <w:rsid w:val="00E06855"/>
    <w:rsid w:val="00E0706D"/>
    <w:rsid w:val="00E074E4"/>
    <w:rsid w:val="00E07C08"/>
    <w:rsid w:val="00E12AAA"/>
    <w:rsid w:val="00E139E6"/>
    <w:rsid w:val="00E143F2"/>
    <w:rsid w:val="00E14901"/>
    <w:rsid w:val="00E157D0"/>
    <w:rsid w:val="00E16763"/>
    <w:rsid w:val="00E20800"/>
    <w:rsid w:val="00E2133B"/>
    <w:rsid w:val="00E237D9"/>
    <w:rsid w:val="00E249A9"/>
    <w:rsid w:val="00E25472"/>
    <w:rsid w:val="00E27F19"/>
    <w:rsid w:val="00E30184"/>
    <w:rsid w:val="00E3083C"/>
    <w:rsid w:val="00E30F05"/>
    <w:rsid w:val="00E318AD"/>
    <w:rsid w:val="00E32169"/>
    <w:rsid w:val="00E328B1"/>
    <w:rsid w:val="00E35767"/>
    <w:rsid w:val="00E35972"/>
    <w:rsid w:val="00E35BCC"/>
    <w:rsid w:val="00E36E18"/>
    <w:rsid w:val="00E37149"/>
    <w:rsid w:val="00E40915"/>
    <w:rsid w:val="00E41355"/>
    <w:rsid w:val="00E42290"/>
    <w:rsid w:val="00E43D7A"/>
    <w:rsid w:val="00E44BCC"/>
    <w:rsid w:val="00E453FC"/>
    <w:rsid w:val="00E456CD"/>
    <w:rsid w:val="00E46BB6"/>
    <w:rsid w:val="00E4745C"/>
    <w:rsid w:val="00E50BCF"/>
    <w:rsid w:val="00E51282"/>
    <w:rsid w:val="00E523EF"/>
    <w:rsid w:val="00E5473E"/>
    <w:rsid w:val="00E54993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4AA5"/>
    <w:rsid w:val="00E64E93"/>
    <w:rsid w:val="00E660EE"/>
    <w:rsid w:val="00E72541"/>
    <w:rsid w:val="00E72808"/>
    <w:rsid w:val="00E72F93"/>
    <w:rsid w:val="00E734B7"/>
    <w:rsid w:val="00E73E27"/>
    <w:rsid w:val="00E75796"/>
    <w:rsid w:val="00E8093F"/>
    <w:rsid w:val="00E82901"/>
    <w:rsid w:val="00E82AAA"/>
    <w:rsid w:val="00E82C42"/>
    <w:rsid w:val="00E83DA8"/>
    <w:rsid w:val="00E83E92"/>
    <w:rsid w:val="00E842DE"/>
    <w:rsid w:val="00E84A41"/>
    <w:rsid w:val="00E8523D"/>
    <w:rsid w:val="00E87BA7"/>
    <w:rsid w:val="00E9031B"/>
    <w:rsid w:val="00E90B13"/>
    <w:rsid w:val="00E9108B"/>
    <w:rsid w:val="00E91311"/>
    <w:rsid w:val="00E91ED3"/>
    <w:rsid w:val="00E92380"/>
    <w:rsid w:val="00E95A95"/>
    <w:rsid w:val="00EA0BE5"/>
    <w:rsid w:val="00EA2FB5"/>
    <w:rsid w:val="00EA43D5"/>
    <w:rsid w:val="00EA5738"/>
    <w:rsid w:val="00EA60A7"/>
    <w:rsid w:val="00EB250E"/>
    <w:rsid w:val="00EB32D7"/>
    <w:rsid w:val="00EB3658"/>
    <w:rsid w:val="00EB39B5"/>
    <w:rsid w:val="00EB39E1"/>
    <w:rsid w:val="00EB405A"/>
    <w:rsid w:val="00EB568C"/>
    <w:rsid w:val="00EB6068"/>
    <w:rsid w:val="00EB64B9"/>
    <w:rsid w:val="00EB7CD3"/>
    <w:rsid w:val="00EC0C1D"/>
    <w:rsid w:val="00EC0D33"/>
    <w:rsid w:val="00EC1003"/>
    <w:rsid w:val="00EC3691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980"/>
    <w:rsid w:val="00ED3FE9"/>
    <w:rsid w:val="00ED4AD3"/>
    <w:rsid w:val="00ED4E43"/>
    <w:rsid w:val="00ED66A9"/>
    <w:rsid w:val="00EE0167"/>
    <w:rsid w:val="00EE0860"/>
    <w:rsid w:val="00EE096D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B04"/>
    <w:rsid w:val="00F01200"/>
    <w:rsid w:val="00F02C33"/>
    <w:rsid w:val="00F032DD"/>
    <w:rsid w:val="00F03604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F0D"/>
    <w:rsid w:val="00F1270D"/>
    <w:rsid w:val="00F13EE1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25E"/>
    <w:rsid w:val="00F26EE8"/>
    <w:rsid w:val="00F27924"/>
    <w:rsid w:val="00F3219F"/>
    <w:rsid w:val="00F32E78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500C1"/>
    <w:rsid w:val="00F52271"/>
    <w:rsid w:val="00F52987"/>
    <w:rsid w:val="00F54342"/>
    <w:rsid w:val="00F54BF8"/>
    <w:rsid w:val="00F550CB"/>
    <w:rsid w:val="00F5720E"/>
    <w:rsid w:val="00F5737B"/>
    <w:rsid w:val="00F61509"/>
    <w:rsid w:val="00F619FF"/>
    <w:rsid w:val="00F6365F"/>
    <w:rsid w:val="00F653CD"/>
    <w:rsid w:val="00F65D2D"/>
    <w:rsid w:val="00F6620F"/>
    <w:rsid w:val="00F664A5"/>
    <w:rsid w:val="00F6696A"/>
    <w:rsid w:val="00F67252"/>
    <w:rsid w:val="00F67463"/>
    <w:rsid w:val="00F70CC9"/>
    <w:rsid w:val="00F72EE3"/>
    <w:rsid w:val="00F737D1"/>
    <w:rsid w:val="00F73FC6"/>
    <w:rsid w:val="00F74097"/>
    <w:rsid w:val="00F743B0"/>
    <w:rsid w:val="00F80192"/>
    <w:rsid w:val="00F81AF7"/>
    <w:rsid w:val="00F81F17"/>
    <w:rsid w:val="00F8300B"/>
    <w:rsid w:val="00F838C5"/>
    <w:rsid w:val="00F8680A"/>
    <w:rsid w:val="00F911BE"/>
    <w:rsid w:val="00F9185B"/>
    <w:rsid w:val="00F92498"/>
    <w:rsid w:val="00F92862"/>
    <w:rsid w:val="00F92BD8"/>
    <w:rsid w:val="00F92EB4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A51DF"/>
    <w:rsid w:val="00FB03D2"/>
    <w:rsid w:val="00FB0828"/>
    <w:rsid w:val="00FB495F"/>
    <w:rsid w:val="00FB54D1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3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%202014\MMI_2014_02\mmi-2014_0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adovan.zivkovic\Dropbox\MINISTARSTVO%20FINANSIJA%20(1)\SEP\02_MMI\MMI%202014\MMI_2014_02\mmi-2014_0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Dropbox\MINISTARSTVO%20FINANSIJA%20(1)\SEP\02_MMI\MMI%202014\MMI_2014_02\mmi-2014_02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rija.novosel\Desktop\Podaci%20za%20MF%20-%20DECEMBAR%202013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zdenka.dabovic\Desktop\MMI\INVESTICIJ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Aluminium</a:t>
            </a:r>
            <a:endParaRPr lang="sr-Latn-CS"/>
          </a:p>
        </c:rich>
      </c:tx>
      <c:layout>
        <c:manualLayout>
          <c:xMode val="edge"/>
          <c:yMode val="edge"/>
          <c:x val="0.47077672494328038"/>
          <c:y val="0.11764705882352999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962213930348278"/>
          <c:y val="6.8079922027290463E-2"/>
          <c:w val="0.77745190713101164"/>
          <c:h val="0.7250706627680384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'Database za makro'!$G$9:$AQ$9</c:f>
              <c:strCache>
                <c:ptCount val="37"/>
                <c:pt idx="0">
                  <c:v>2011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2012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2013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  <c:pt idx="35">
                  <c:v>XII</c:v>
                </c:pt>
                <c:pt idx="36">
                  <c:v>I</c:v>
                </c:pt>
              </c:strCache>
            </c:strRef>
          </c:cat>
          <c:val>
            <c:numRef>
              <c:f>'Database za makro'!$G$46:$AQ$46</c:f>
              <c:numCache>
                <c:formatCode>0.00</c:formatCode>
                <c:ptCount val="37"/>
                <c:pt idx="0">
                  <c:v>2439.6999999999998</c:v>
                </c:pt>
                <c:pt idx="1">
                  <c:v>2515.2599999999998</c:v>
                </c:pt>
                <c:pt idx="2">
                  <c:v>2555.5</c:v>
                </c:pt>
                <c:pt idx="3">
                  <c:v>2667.42</c:v>
                </c:pt>
                <c:pt idx="4">
                  <c:v>2587.21</c:v>
                </c:pt>
                <c:pt idx="5">
                  <c:v>2557.7599999999998</c:v>
                </c:pt>
                <c:pt idx="6">
                  <c:v>2525.4299999999998</c:v>
                </c:pt>
                <c:pt idx="7">
                  <c:v>2380.9899999999998</c:v>
                </c:pt>
                <c:pt idx="8">
                  <c:v>2293.46</c:v>
                </c:pt>
                <c:pt idx="9">
                  <c:v>2180.65</c:v>
                </c:pt>
                <c:pt idx="10">
                  <c:v>2079.98</c:v>
                </c:pt>
                <c:pt idx="11">
                  <c:v>2024.3799999999999</c:v>
                </c:pt>
                <c:pt idx="12">
                  <c:v>2151.3300000000022</c:v>
                </c:pt>
                <c:pt idx="13">
                  <c:v>2207.94</c:v>
                </c:pt>
                <c:pt idx="14">
                  <c:v>2184.1999999999998</c:v>
                </c:pt>
                <c:pt idx="15">
                  <c:v>2048.5100000000002</c:v>
                </c:pt>
                <c:pt idx="16">
                  <c:v>2002.52</c:v>
                </c:pt>
                <c:pt idx="17">
                  <c:v>1885.51</c:v>
                </c:pt>
                <c:pt idx="18">
                  <c:v>1876.25</c:v>
                </c:pt>
                <c:pt idx="19">
                  <c:v>1843.33</c:v>
                </c:pt>
                <c:pt idx="20">
                  <c:v>2064.12</c:v>
                </c:pt>
                <c:pt idx="21">
                  <c:v>1974.3</c:v>
                </c:pt>
                <c:pt idx="22">
                  <c:v>1948.83</c:v>
                </c:pt>
                <c:pt idx="23">
                  <c:v>2086.7599999999998</c:v>
                </c:pt>
                <c:pt idx="24">
                  <c:v>2037.61</c:v>
                </c:pt>
                <c:pt idx="25">
                  <c:v>2053.6</c:v>
                </c:pt>
                <c:pt idx="26">
                  <c:v>1911.28</c:v>
                </c:pt>
                <c:pt idx="27">
                  <c:v>1861.02</c:v>
                </c:pt>
                <c:pt idx="28">
                  <c:v>1832.57</c:v>
                </c:pt>
                <c:pt idx="29">
                  <c:v>1814.54</c:v>
                </c:pt>
                <c:pt idx="30">
                  <c:v>1769.61</c:v>
                </c:pt>
                <c:pt idx="31">
                  <c:v>1816.24</c:v>
                </c:pt>
                <c:pt idx="32">
                  <c:v>1761.3</c:v>
                </c:pt>
                <c:pt idx="33">
                  <c:v>1814.58</c:v>
                </c:pt>
                <c:pt idx="34">
                  <c:v>1747.96</c:v>
                </c:pt>
                <c:pt idx="35">
                  <c:v>1739.81</c:v>
                </c:pt>
                <c:pt idx="36">
                  <c:v>1727.41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5014528"/>
        <c:axId val="167418880"/>
      </c:lineChart>
      <c:catAx>
        <c:axId val="16501452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7418880"/>
        <c:crosses val="autoZero"/>
        <c:auto val="1"/>
        <c:lblAlgn val="ctr"/>
        <c:lblOffset val="100"/>
        <c:noMultiLvlLbl val="0"/>
      </c:catAx>
      <c:valAx>
        <c:axId val="167418880"/>
        <c:scaling>
          <c:orientation val="minMax"/>
          <c:max val="2700"/>
          <c:min val="1700"/>
        </c:scaling>
        <c:delete val="0"/>
        <c:axPos val="l"/>
        <c:majorGridlines>
          <c:spPr>
            <a:ln w="6350">
              <a:solidFill>
                <a:schemeClr val="accent1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65014528"/>
        <c:crosses val="autoZero"/>
        <c:crossBetween val="between"/>
        <c:majorUnit val="250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1000">
                <a:latin typeface="Calibri" pitchFamily="34" charset="0"/>
              </a:defRPr>
            </a:pPr>
            <a:r>
              <a:rPr lang="en-US" sz="1000"/>
              <a:t>Executed construction works in 2013 (growth rate)</a:t>
            </a:r>
            <a:endParaRPr lang="vi-VN" sz="10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'Makroekonomski indikatori'!$C$25:$E$25</c:f>
              <c:strCache>
                <c:ptCount val="1"/>
                <c:pt idx="0">
                  <c:v>vrijednost radova u građevinarstvu u 2013.godini(stopa rasta)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txPr>
              <a:bodyPr/>
              <a:lstStyle/>
              <a:p>
                <a:pPr>
                  <a:defRPr lang="sr-Latn-CS"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indikatori'!$AE$58:$AH$58</c:f>
              <c:strCache>
                <c:ptCount val="4"/>
                <c:pt idx="0">
                  <c:v>I kvartal</c:v>
                </c:pt>
                <c:pt idx="1">
                  <c:v>II kvartal</c:v>
                </c:pt>
                <c:pt idx="2">
                  <c:v>III kvartal</c:v>
                </c:pt>
                <c:pt idx="3">
                  <c:v>IV kvartal</c:v>
                </c:pt>
              </c:strCache>
            </c:strRef>
          </c:cat>
          <c:val>
            <c:numRef>
              <c:f>'Makroekonomski indikatori'!$AE$59:$AH$59</c:f>
              <c:numCache>
                <c:formatCode>0.0</c:formatCode>
                <c:ptCount val="4"/>
                <c:pt idx="0">
                  <c:v>5.7</c:v>
                </c:pt>
                <c:pt idx="1">
                  <c:v>-1</c:v>
                </c:pt>
                <c:pt idx="2">
                  <c:v>3.8</c:v>
                </c:pt>
                <c:pt idx="3">
                  <c:v>27.9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394688"/>
        <c:axId val="167412864"/>
      </c:lineChart>
      <c:catAx>
        <c:axId val="1673946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/>
          <a:lstStyle/>
          <a:p>
            <a:pPr>
              <a:defRPr lang="sr-Latn-CS" sz="800"/>
            </a:pPr>
            <a:endParaRPr lang="en-US"/>
          </a:p>
        </c:txPr>
        <c:crossAx val="167412864"/>
        <c:crosses val="autoZero"/>
        <c:auto val="1"/>
        <c:lblAlgn val="ctr"/>
        <c:lblOffset val="100"/>
        <c:noMultiLvlLbl val="0"/>
      </c:catAx>
      <c:valAx>
        <c:axId val="167412864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800"/>
            </a:pPr>
            <a:endParaRPr lang="en-US"/>
          </a:p>
        </c:txPr>
        <c:crossAx val="1673946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CPI-Consumer Price Index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380963277736581"/>
          <c:y val="0.17997508810629601"/>
          <c:w val="0.78643729242008564"/>
          <c:h val="0.600130139655090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'Makroekonomski indikatori'!$C$20</c:f>
              <c:strCache>
                <c:ptCount val="1"/>
                <c:pt idx="0">
                  <c:v>Indeks potrošačkih cijena (stopa rasta)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accent4">
                  <a:lumMod val="75000"/>
                </a:schemeClr>
              </a:solidFill>
            </a:ln>
            <a:effectLst>
              <a:outerShdw blurRad="50800" dir="1800000" sx="1000" sy="1000" algn="ctr" rotWithShape="0">
                <a:srgbClr val="000000"/>
              </a:outerShdw>
            </a:effectLst>
          </c:spPr>
          <c:invertIfNegative val="0"/>
          <c:dLbls>
            <c:txPr>
              <a:bodyPr/>
              <a:lstStyle/>
              <a:p>
                <a:pPr>
                  <a:defRPr lang="sr-Latn-CS" sz="6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'Makroekonomski indikatori'!$AB$28:$AO$28</c:f>
              <c:strCache>
                <c:ptCount val="13"/>
                <c:pt idx="0">
                  <c:v>2013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2014</c:v>
                </c:pt>
              </c:strCache>
            </c:strRef>
          </c:cat>
          <c:val>
            <c:numRef>
              <c:f>'Makroekonomski indikatori'!$AB$20:$AO$20</c:f>
              <c:numCache>
                <c:formatCode>0.0</c:formatCode>
                <c:ptCount val="13"/>
                <c:pt idx="0">
                  <c:v>4.2</c:v>
                </c:pt>
                <c:pt idx="1">
                  <c:v>3.3</c:v>
                </c:pt>
                <c:pt idx="2">
                  <c:v>3.3</c:v>
                </c:pt>
                <c:pt idx="3">
                  <c:v>3.2</c:v>
                </c:pt>
                <c:pt idx="4">
                  <c:v>3</c:v>
                </c:pt>
                <c:pt idx="5">
                  <c:v>2.2000000000000002</c:v>
                </c:pt>
                <c:pt idx="6">
                  <c:v>2.7</c:v>
                </c:pt>
                <c:pt idx="7">
                  <c:v>2.2000000000000002</c:v>
                </c:pt>
                <c:pt idx="8">
                  <c:v>1.8</c:v>
                </c:pt>
                <c:pt idx="9">
                  <c:v>0.5</c:v>
                </c:pt>
                <c:pt idx="10">
                  <c:v>0</c:v>
                </c:pt>
                <c:pt idx="11">
                  <c:v>0.30000000000000032</c:v>
                </c:pt>
                <c:pt idx="12" formatCode="General">
                  <c:v>-0.4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167425152"/>
        <c:axId val="167426688"/>
      </c:barChart>
      <c:catAx>
        <c:axId val="16742515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167426688"/>
        <c:crosses val="autoZero"/>
        <c:auto val="1"/>
        <c:lblAlgn val="ctr"/>
        <c:lblOffset val="100"/>
        <c:noMultiLvlLbl val="0"/>
      </c:catAx>
      <c:valAx>
        <c:axId val="167426688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67425152"/>
        <c:crosses val="autoZero"/>
        <c:crossBetween val="between"/>
      </c:valAx>
      <c:spPr>
        <a:noFill/>
        <a:ln cap="sq" cmpd="sng">
          <a:miter lim="800000"/>
        </a:ln>
        <a:effectLst>
          <a:outerShdw sx="1000" sy="1000" algn="ctr" rotWithShape="0">
            <a:srgbClr val="000000"/>
          </a:outerShdw>
        </a:effectLst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/>
            </a:pPr>
            <a:r>
              <a:rPr lang="en-US" sz="1000"/>
              <a:t>Unemployment -</a:t>
            </a:r>
            <a:r>
              <a:rPr lang="en-US" sz="1000" b="0"/>
              <a:t> rate</a:t>
            </a:r>
            <a:endParaRPr lang="sr-Latn-CS" b="0"/>
          </a:p>
        </c:rich>
      </c:tx>
      <c:layout>
        <c:manualLayout>
          <c:xMode val="edge"/>
          <c:yMode val="edge"/>
          <c:x val="0.18267626262626271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20279393939393944"/>
          <c:y val="0.13142701525054465"/>
          <c:w val="0.72665050505050865"/>
          <c:h val="0.63738834422657964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'Makroekonomski indikatori'!$AA$9:$AN$9</c:f>
              <c:strCache>
                <c:ptCount val="14"/>
                <c:pt idx="0">
                  <c:v>XII</c:v>
                </c:pt>
                <c:pt idx="1">
                  <c:v>2013</c:v>
                </c:pt>
                <c:pt idx="2">
                  <c:v>II</c:v>
                </c:pt>
                <c:pt idx="3">
                  <c:v>III</c:v>
                </c:pt>
                <c:pt idx="4">
                  <c:v>IV</c:v>
                </c:pt>
                <c:pt idx="5">
                  <c:v>V</c:v>
                </c:pt>
                <c:pt idx="6">
                  <c:v>VI</c:v>
                </c:pt>
                <c:pt idx="7">
                  <c:v>VII</c:v>
                </c:pt>
                <c:pt idx="8">
                  <c:v>VIII</c:v>
                </c:pt>
                <c:pt idx="9">
                  <c:v>IX</c:v>
                </c:pt>
                <c:pt idx="10">
                  <c:v>X</c:v>
                </c:pt>
                <c:pt idx="11">
                  <c:v>XI</c:v>
                </c:pt>
                <c:pt idx="12">
                  <c:v>XII</c:v>
                </c:pt>
                <c:pt idx="13">
                  <c:v>2014</c:v>
                </c:pt>
              </c:strCache>
            </c:strRef>
          </c:cat>
          <c:val>
            <c:numRef>
              <c:f>'Makroekonomski indikatori'!$AA$23:$AN$23</c:f>
              <c:numCache>
                <c:formatCode>#,##0.0</c:formatCode>
                <c:ptCount val="14"/>
                <c:pt idx="0">
                  <c:v>13.5</c:v>
                </c:pt>
                <c:pt idx="1">
                  <c:v>13.7</c:v>
                </c:pt>
                <c:pt idx="2">
                  <c:v>14.1</c:v>
                </c:pt>
                <c:pt idx="3">
                  <c:v>14.2</c:v>
                </c:pt>
                <c:pt idx="4">
                  <c:v>14.1</c:v>
                </c:pt>
                <c:pt idx="5">
                  <c:v>13.5</c:v>
                </c:pt>
                <c:pt idx="6">
                  <c:v>13.036957455951868</c:v>
                </c:pt>
                <c:pt idx="7">
                  <c:v>13</c:v>
                </c:pt>
                <c:pt idx="8">
                  <c:v>13.3</c:v>
                </c:pt>
                <c:pt idx="9">
                  <c:v>13.3</c:v>
                </c:pt>
                <c:pt idx="10">
                  <c:v>14.3</c:v>
                </c:pt>
                <c:pt idx="11">
                  <c:v>14.9</c:v>
                </c:pt>
                <c:pt idx="12">
                  <c:v>14.9</c:v>
                </c:pt>
                <c:pt idx="13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7434496"/>
        <c:axId val="191639552"/>
      </c:lineChart>
      <c:catAx>
        <c:axId val="1674344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191639552"/>
        <c:crosses val="autoZero"/>
        <c:auto val="1"/>
        <c:lblAlgn val="ctr"/>
        <c:lblOffset val="100"/>
        <c:tickLblSkip val="1"/>
        <c:noMultiLvlLbl val="0"/>
      </c:catAx>
      <c:valAx>
        <c:axId val="191639552"/>
        <c:scaling>
          <c:orientation val="minMax"/>
          <c:max val="15"/>
          <c:min val="13"/>
        </c:scaling>
        <c:delete val="0"/>
        <c:axPos val="l"/>
        <c:majorGridlines>
          <c:spPr>
            <a:ln>
              <a:prstDash val="sysDot"/>
            </a:ln>
          </c:spPr>
        </c:majorGridlines>
        <c:numFmt formatCode="#,##0.0" sourceLinked="1"/>
        <c:majorTickMark val="out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67434496"/>
        <c:crosses val="autoZero"/>
        <c:crossBetween val="between"/>
        <c:majorUnit val="0.4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629019028871391"/>
          <c:y val="0.10056442803397091"/>
          <c:w val="0.6446049984674469"/>
          <c:h val="0.65403258509591478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'Fiskalni indikatori'!$AY$30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invertIfNegative val="0"/>
          <c:cat>
            <c:strRef>
              <c:f>'Fiskalni indikatori'!$BX$6:$CH$6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'Fiskalni indikatori'!$BX$20:$CJ$20</c:f>
              <c:numCache>
                <c:formatCode>0.00,,</c:formatCode>
                <c:ptCount val="13"/>
                <c:pt idx="0">
                  <c:v>-26030734.600000054</c:v>
                </c:pt>
                <c:pt idx="1">
                  <c:v>-18960347.565214217</c:v>
                </c:pt>
                <c:pt idx="2">
                  <c:v>-15539514.20428363</c:v>
                </c:pt>
                <c:pt idx="3">
                  <c:v>-15891365.313259348</c:v>
                </c:pt>
                <c:pt idx="4">
                  <c:v>-1544398.8301670917</c:v>
                </c:pt>
                <c:pt idx="5">
                  <c:v>-607686.93338963401</c:v>
                </c:pt>
                <c:pt idx="6">
                  <c:v>-38312345.495714545</c:v>
                </c:pt>
                <c:pt idx="7">
                  <c:v>-16221972.00090231</c:v>
                </c:pt>
                <c:pt idx="8">
                  <c:v>-2657604.3090550057</c:v>
                </c:pt>
                <c:pt idx="9">
                  <c:v>17862496.387521476</c:v>
                </c:pt>
                <c:pt idx="10">
                  <c:v>-2710356.1671831482</c:v>
                </c:pt>
                <c:pt idx="11">
                  <c:v>-7703230.0812701583</c:v>
                </c:pt>
                <c:pt idx="12">
                  <c:v>-23507932.379999995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288384"/>
        <c:axId val="188286848"/>
      </c:barChart>
      <c:lineChart>
        <c:grouping val="standard"/>
        <c:varyColors val="0"/>
        <c:ser>
          <c:idx val="0"/>
          <c:order val="0"/>
          <c:tx>
            <c:strRef>
              <c:f>'Fiskalni indikatori'!$AY$28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cat>
            <c:strRef>
              <c:f>'Fiskalni indikatori'!$V$5:$AS$5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indikatori'!$BX$7:$CJ$7</c:f>
              <c:numCache>
                <c:formatCode>0.00,,</c:formatCode>
                <c:ptCount val="13"/>
                <c:pt idx="0">
                  <c:v>54756357.980000004</c:v>
                </c:pt>
                <c:pt idx="1">
                  <c:v>75675730.060000002</c:v>
                </c:pt>
                <c:pt idx="2">
                  <c:v>88296245.580000013</c:v>
                </c:pt>
                <c:pt idx="3">
                  <c:v>103948838</c:v>
                </c:pt>
                <c:pt idx="4">
                  <c:v>93997829.599999994</c:v>
                </c:pt>
                <c:pt idx="5">
                  <c:v>99561632.659999892</c:v>
                </c:pt>
                <c:pt idx="6">
                  <c:v>122021331.04999998</c:v>
                </c:pt>
                <c:pt idx="7">
                  <c:v>125053427.64999999</c:v>
                </c:pt>
                <c:pt idx="8">
                  <c:v>116342017.78000002</c:v>
                </c:pt>
                <c:pt idx="9">
                  <c:v>117283627.60000001</c:v>
                </c:pt>
                <c:pt idx="10">
                  <c:v>95781753.159999892</c:v>
                </c:pt>
                <c:pt idx="11">
                  <c:v>142429369.22999999</c:v>
                </c:pt>
                <c:pt idx="12">
                  <c:v>70632268.589999989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indikatori'!$AY$29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indikatori'!$V$5:$AS$5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'Fiskalni indikatori'!$BX$13:$CJ$13</c:f>
              <c:numCache>
                <c:formatCode>0.00,,</c:formatCode>
                <c:ptCount val="13"/>
                <c:pt idx="0">
                  <c:v>80787092.580000043</c:v>
                </c:pt>
                <c:pt idx="1">
                  <c:v>94636077.625213623</c:v>
                </c:pt>
                <c:pt idx="2">
                  <c:v>103835759.78428364</c:v>
                </c:pt>
                <c:pt idx="3">
                  <c:v>119840203.31325933</c:v>
                </c:pt>
                <c:pt idx="4">
                  <c:v>95542228.430167601</c:v>
                </c:pt>
                <c:pt idx="5">
                  <c:v>100169319.59339008</c:v>
                </c:pt>
                <c:pt idx="6">
                  <c:v>160333676.54571453</c:v>
                </c:pt>
                <c:pt idx="7">
                  <c:v>141275399.6509023</c:v>
                </c:pt>
                <c:pt idx="8">
                  <c:v>118999622.08905503</c:v>
                </c:pt>
                <c:pt idx="9">
                  <c:v>99421131.212479189</c:v>
                </c:pt>
                <c:pt idx="10">
                  <c:v>98492109.327183142</c:v>
                </c:pt>
                <c:pt idx="11">
                  <c:v>150132599.31127</c:v>
                </c:pt>
                <c:pt idx="12">
                  <c:v>94140200.969999984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691392"/>
        <c:axId val="188285312"/>
      </c:lineChart>
      <c:dateAx>
        <c:axId val="191691392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88285312"/>
        <c:crosses val="autoZero"/>
        <c:auto val="0"/>
        <c:lblOffset val="100"/>
        <c:baseTimeUnit val="days"/>
      </c:dateAx>
      <c:valAx>
        <c:axId val="188285312"/>
        <c:scaling>
          <c:orientation val="minMax"/>
        </c:scaling>
        <c:delete val="0"/>
        <c:axPos val="l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91691392"/>
        <c:crosses val="autoZero"/>
        <c:crossBetween val="between"/>
      </c:valAx>
      <c:valAx>
        <c:axId val="188286848"/>
        <c:scaling>
          <c:orientation val="minMax"/>
          <c:max val="130000000"/>
          <c:min val="-50000000"/>
        </c:scaling>
        <c:delete val="0"/>
        <c:axPos val="r"/>
        <c:numFmt formatCode="0.0,," sourceLinked="0"/>
        <c:majorTickMark val="out"/>
        <c:min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88288384"/>
        <c:crosses val="max"/>
        <c:crossBetween val="between"/>
        <c:majorUnit val="20000000"/>
      </c:valAx>
      <c:catAx>
        <c:axId val="188288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88286848"/>
        <c:crosses val="autoZero"/>
        <c:auto val="1"/>
        <c:lblAlgn val="ctr"/>
        <c:lblOffset val="100"/>
        <c:noMultiLvlLbl val="0"/>
      </c:catAx>
      <c:spPr>
        <a:ln>
          <a:solidFill>
            <a:schemeClr val="tx1"/>
          </a:solidFill>
        </a:ln>
      </c:spPr>
    </c:plotArea>
    <c:legend>
      <c:legendPos val="b"/>
      <c:layout/>
      <c:overlay val="0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  <c:showDLblsOverMax val="0"/>
  </c:chart>
  <c:spPr>
    <a:ln w="6350">
      <a:prstDash val="sysDot"/>
    </a:ln>
  </c:spPr>
  <c:txPr>
    <a:bodyPr/>
    <a:lstStyle/>
    <a:p>
      <a:pPr>
        <a:defRPr sz="700" baseline="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315489642184558"/>
          <c:y val="0.26116666666666682"/>
          <c:w val="0.63512429378531265"/>
          <c:h val="0.57557546296296258"/>
        </c:manualLayout>
      </c:layout>
      <c:barChart>
        <c:barDir val="col"/>
        <c:grouping val="clustered"/>
        <c:varyColors val="0"/>
        <c:ser>
          <c:idx val="0"/>
          <c:order val="0"/>
          <c:tx>
            <c:v>Iznos duga po osnovu blokade</c:v>
          </c:tx>
          <c:invertIfNegative val="0"/>
          <c:cat>
            <c:strRef>
              <c:f>'Platni promet u zemlji'!$AO$4:$BA$4</c:f>
              <c:strCache>
                <c:ptCount val="13"/>
                <c:pt idx="0">
                  <c:v>13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'Platni promet u zemlji'!$AO$6:$BA$6</c:f>
              <c:numCache>
                <c:formatCode>#,##0</c:formatCode>
                <c:ptCount val="13"/>
                <c:pt idx="0">
                  <c:v>430395.63711000001</c:v>
                </c:pt>
                <c:pt idx="1">
                  <c:v>414268.36754999997</c:v>
                </c:pt>
                <c:pt idx="2">
                  <c:v>425917.57672999986</c:v>
                </c:pt>
                <c:pt idx="3">
                  <c:v>430703.99425000022</c:v>
                </c:pt>
                <c:pt idx="4">
                  <c:v>439179.09438000334</c:v>
                </c:pt>
                <c:pt idx="5">
                  <c:v>432691.55081999995</c:v>
                </c:pt>
                <c:pt idx="6">
                  <c:v>436792.39875999989</c:v>
                </c:pt>
                <c:pt idx="7">
                  <c:v>438222.09702000004</c:v>
                </c:pt>
                <c:pt idx="8">
                  <c:v>420967.03003999998</c:v>
                </c:pt>
                <c:pt idx="9">
                  <c:v>432905.14107999986</c:v>
                </c:pt>
                <c:pt idx="10">
                  <c:v>425874.68141000002</c:v>
                </c:pt>
                <c:pt idx="11">
                  <c:v>437020.59684999997</c:v>
                </c:pt>
                <c:pt idx="12">
                  <c:v>448017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88306560"/>
        <c:axId val="188308096"/>
      </c:barChart>
      <c:lineChart>
        <c:grouping val="standard"/>
        <c:varyColors val="0"/>
        <c:ser>
          <c:idx val="1"/>
          <c:order val="1"/>
          <c:tx>
            <c:v>Broj blokiranih pravnih lica</c:v>
          </c:tx>
          <c:marker>
            <c:symbol val="none"/>
          </c:marker>
          <c:cat>
            <c:multiLvlStrRef>
              <c:f>'Platni promet u zemlji'!$AO$3:$BA$4</c:f>
              <c:multiLvlStrCache>
                <c:ptCount val="13"/>
                <c:lvl>
                  <c:pt idx="0">
                    <c:v>13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2013</c:v>
                  </c:pt>
                  <c:pt idx="12">
                    <c:v>2014</c:v>
                  </c:pt>
                </c:lvl>
              </c:multiLvlStrCache>
            </c:multiLvlStrRef>
          </c:cat>
          <c:val>
            <c:numRef>
              <c:f>'Platni promet u zemlji'!$AO$5:$BA$5</c:f>
              <c:numCache>
                <c:formatCode>#,##0</c:formatCode>
                <c:ptCount val="13"/>
                <c:pt idx="0">
                  <c:v>12290</c:v>
                </c:pt>
                <c:pt idx="1">
                  <c:v>12393</c:v>
                </c:pt>
                <c:pt idx="2">
                  <c:v>12459</c:v>
                </c:pt>
                <c:pt idx="3">
                  <c:v>12482</c:v>
                </c:pt>
                <c:pt idx="4">
                  <c:v>12516</c:v>
                </c:pt>
                <c:pt idx="5">
                  <c:v>12480</c:v>
                </c:pt>
                <c:pt idx="6">
                  <c:v>12491</c:v>
                </c:pt>
                <c:pt idx="7">
                  <c:v>12594</c:v>
                </c:pt>
                <c:pt idx="8">
                  <c:v>12449</c:v>
                </c:pt>
                <c:pt idx="9">
                  <c:v>12561</c:v>
                </c:pt>
                <c:pt idx="10">
                  <c:v>12761</c:v>
                </c:pt>
                <c:pt idx="11">
                  <c:v>12981</c:v>
                </c:pt>
                <c:pt idx="12">
                  <c:v>13150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316288"/>
        <c:axId val="188314752"/>
      </c:lineChart>
      <c:catAx>
        <c:axId val="18830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8830809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188308096"/>
        <c:scaling>
          <c:orientation val="minMax"/>
          <c:min val="400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700" b="1"/>
                </a:pPr>
                <a:r>
                  <a:rPr lang="en-US" sz="700" b="1"/>
                  <a:t>u mil.</a:t>
                </a:r>
              </a:p>
            </c:rich>
          </c:tx>
          <c:layout/>
          <c:overlay val="0"/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anchor="b" anchorCtr="1"/>
          <a:lstStyle/>
          <a:p>
            <a:pPr>
              <a:defRPr lang="en-US" sz="700"/>
            </a:pPr>
            <a:endParaRPr lang="en-US"/>
          </a:p>
        </c:txPr>
        <c:crossAx val="188306560"/>
        <c:crosses val="autoZero"/>
        <c:crossBetween val="between"/>
        <c:dispUnits>
          <c:builtInUnit val="thousands"/>
        </c:dispUnits>
      </c:valAx>
      <c:valAx>
        <c:axId val="188314752"/>
        <c:scaling>
          <c:orientation val="minMax"/>
        </c:scaling>
        <c:delete val="0"/>
        <c:axPos val="r"/>
        <c:numFmt formatCode="#,##0" sourceLinked="1"/>
        <c:majorTickMark val="out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188316288"/>
        <c:crosses val="max"/>
        <c:crossBetween val="between"/>
      </c:valAx>
      <c:catAx>
        <c:axId val="188316288"/>
        <c:scaling>
          <c:orientation val="minMax"/>
        </c:scaling>
        <c:delete val="1"/>
        <c:axPos val="b"/>
        <c:majorTickMark val="out"/>
        <c:minorTickMark val="none"/>
        <c:tickLblPos val="none"/>
        <c:crossAx val="188314752"/>
        <c:crosses val="autoZero"/>
        <c:auto val="1"/>
        <c:lblAlgn val="ctr"/>
        <c:lblOffset val="100"/>
        <c:noMultiLvlLbl val="0"/>
      </c:catAx>
    </c:plotArea>
    <c:legend>
      <c:legendPos val="t"/>
      <c:layout/>
      <c:overlay val="0"/>
      <c:txPr>
        <a:bodyPr/>
        <a:lstStyle/>
        <a:p>
          <a:pPr>
            <a:defRPr lang="en-US" sz="7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 sz="1000"/>
            </a:pPr>
            <a:r>
              <a:rPr lang="sr-Latn-CS" sz="1000"/>
              <a:t>Net</a:t>
            </a:r>
            <a:r>
              <a:rPr lang="en-US" sz="1000"/>
              <a:t> foreign direct investments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9.788993243314463E-2"/>
          <c:y val="0.28059459392220854"/>
          <c:w val="0.8591168874974966"/>
          <c:h val="0.68238086352950422"/>
        </c:manualLayout>
      </c:layout>
      <c:lineChart>
        <c:grouping val="standard"/>
        <c:varyColors val="0"/>
        <c:ser>
          <c:idx val="0"/>
          <c:order val="0"/>
          <c:tx>
            <c:strRef>
              <c:f>Sheet1!$C$5</c:f>
              <c:strCache>
                <c:ptCount val="1"/>
                <c:pt idx="0">
                  <c:v>2013</c:v>
                </c:pt>
              </c:strCache>
            </c:strRef>
          </c:tx>
          <c:spPr>
            <a:ln w="31750">
              <a:prstDash val="sysDash"/>
            </a:ln>
          </c:spPr>
          <c:marker>
            <c:symbol val="none"/>
          </c:marker>
          <c:cat>
            <c:strRef>
              <c:f>Sheet1!$D$8:$O$8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Sheet1!$D$9:$O$9</c:f>
              <c:numCache>
                <c:formatCode>#,##0</c:formatCode>
                <c:ptCount val="12"/>
                <c:pt idx="0">
                  <c:v>6560302</c:v>
                </c:pt>
                <c:pt idx="1">
                  <c:v>19478189.93</c:v>
                </c:pt>
                <c:pt idx="2">
                  <c:v>39496029.809999995</c:v>
                </c:pt>
                <c:pt idx="3">
                  <c:v>17076705.57</c:v>
                </c:pt>
                <c:pt idx="4">
                  <c:v>33726992.320000008</c:v>
                </c:pt>
                <c:pt idx="5">
                  <c:v>38820915.670000002</c:v>
                </c:pt>
                <c:pt idx="6">
                  <c:v>32480649.380000003</c:v>
                </c:pt>
                <c:pt idx="7">
                  <c:v>30711085.860000007</c:v>
                </c:pt>
                <c:pt idx="8">
                  <c:v>57267705.660000011</c:v>
                </c:pt>
                <c:pt idx="9">
                  <c:v>-19761662.039999999</c:v>
                </c:pt>
                <c:pt idx="10">
                  <c:v>12560000</c:v>
                </c:pt>
                <c:pt idx="11">
                  <c:v>55461668.130000003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2012</c:v>
                </c:pt>
              </c:strCache>
            </c:strRef>
          </c:tx>
          <c:marker>
            <c:symbol val="none"/>
          </c:marker>
          <c:cat>
            <c:strRef>
              <c:f>Sheet1!$D$8:$O$8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Sheet1!$D$10:$O$10</c:f>
              <c:numCache>
                <c:formatCode>#,##0</c:formatCode>
                <c:ptCount val="12"/>
                <c:pt idx="0">
                  <c:v>15505062</c:v>
                </c:pt>
                <c:pt idx="1">
                  <c:v>30182414</c:v>
                </c:pt>
                <c:pt idx="2">
                  <c:v>20830023</c:v>
                </c:pt>
                <c:pt idx="3">
                  <c:v>25905819</c:v>
                </c:pt>
                <c:pt idx="4">
                  <c:v>25793157</c:v>
                </c:pt>
                <c:pt idx="5">
                  <c:v>34428175</c:v>
                </c:pt>
                <c:pt idx="6">
                  <c:v>58873608</c:v>
                </c:pt>
                <c:pt idx="7">
                  <c:v>18342439</c:v>
                </c:pt>
                <c:pt idx="8">
                  <c:v>92710259</c:v>
                </c:pt>
                <c:pt idx="9">
                  <c:v>20879718</c:v>
                </c:pt>
                <c:pt idx="10">
                  <c:v>77309162</c:v>
                </c:pt>
                <c:pt idx="11">
                  <c:v>40094285.800000004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486976"/>
        <c:axId val="207488512"/>
      </c:lineChart>
      <c:catAx>
        <c:axId val="2074869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lang="en-US" sz="700"/>
            </a:pPr>
            <a:endParaRPr lang="en-US"/>
          </a:p>
        </c:txPr>
        <c:crossAx val="207488512"/>
        <c:crosses val="autoZero"/>
        <c:auto val="1"/>
        <c:lblAlgn val="ctr"/>
        <c:lblOffset val="100"/>
        <c:tickLblSkip val="1"/>
        <c:tickMarkSkip val="2"/>
        <c:noMultiLvlLbl val="0"/>
      </c:catAx>
      <c:valAx>
        <c:axId val="20748851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txPr>
          <a:bodyPr/>
          <a:lstStyle/>
          <a:p>
            <a:pPr>
              <a:defRPr lang="en-US" sz="600"/>
            </a:pPr>
            <a:endParaRPr lang="en-US"/>
          </a:p>
        </c:txPr>
        <c:crossAx val="207486976"/>
        <c:crosses val="autoZero"/>
        <c:crossBetween val="between"/>
        <c:dispUnits>
          <c:builtInUnit val="millions"/>
        </c:dispUnits>
      </c:valAx>
    </c:plotArea>
    <c:legend>
      <c:legendPos val="b"/>
      <c:layout/>
      <c:overlay val="0"/>
      <c:txPr>
        <a:bodyPr/>
        <a:lstStyle/>
        <a:p>
          <a:pPr>
            <a:defRPr lang="en-US"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0.02691</cdr:x>
      <cdr:y>0.08155</cdr:y>
    </cdr:from>
    <cdr:to>
      <cdr:x>0.18835</cdr:x>
      <cdr:y>0.21459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50" y="180977"/>
          <a:ext cx="342900" cy="2952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en-US" sz="8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0.16298</cdr:y>
    </cdr:from>
    <cdr:to>
      <cdr:x>0.27045</cdr:x>
      <cdr:y>0.25465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327547"/>
          <a:ext cx="641444" cy="1842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600"/>
            <a:t>mil.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CBA27-E2D7-4712-86E2-71BA7F31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2545</Words>
  <Characters>13493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milos.popovic;Iva Radovan</dc:creator>
  <cp:lastModifiedBy>Milena Ljumovic</cp:lastModifiedBy>
  <cp:revision>12</cp:revision>
  <cp:lastPrinted>2014-01-16T09:51:00Z</cp:lastPrinted>
  <dcterms:created xsi:type="dcterms:W3CDTF">2014-04-29T07:22:00Z</dcterms:created>
  <dcterms:modified xsi:type="dcterms:W3CDTF">2014-04-30T13:16:00Z</dcterms:modified>
</cp:coreProperties>
</file>