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E2" w:rsidRPr="00A97482" w:rsidRDefault="003746E2" w:rsidP="00A97482">
      <w:pPr>
        <w:autoSpaceDE w:val="0"/>
        <w:autoSpaceDN w:val="0"/>
        <w:adjustRightInd w:val="0"/>
        <w:jc w:val="right"/>
        <w:rPr>
          <w:rFonts w:ascii="Arial" w:hAnsi="Arial" w:cs="Arial"/>
          <w:b/>
          <w:noProof/>
          <w:color w:val="365F91"/>
          <w:sz w:val="22"/>
          <w:lang w:val="sr-Latn-ME"/>
        </w:rPr>
      </w:pPr>
      <w:r w:rsidRPr="00A97482">
        <w:rPr>
          <w:rFonts w:ascii="Arial" w:hAnsi="Arial" w:cs="Arial"/>
          <w:b/>
          <w:noProof/>
          <w:color w:val="365F91"/>
          <w:sz w:val="22"/>
          <w:lang w:val="sr-Latn-ME"/>
        </w:rPr>
        <w:t>OBRAZAC</w:t>
      </w:r>
    </w:p>
    <w:p w:rsidR="003746E2" w:rsidRPr="00A97482" w:rsidRDefault="003746E2" w:rsidP="00A97482">
      <w:pPr>
        <w:autoSpaceDE w:val="0"/>
        <w:autoSpaceDN w:val="0"/>
        <w:adjustRightInd w:val="0"/>
        <w:ind w:right="180"/>
        <w:rPr>
          <w:rFonts w:ascii="Arial" w:hAnsi="Arial" w:cs="Arial"/>
          <w:b/>
          <w:color w:val="365F91"/>
          <w:sz w:val="22"/>
          <w:lang w:val="sr-Latn-ME"/>
        </w:rPr>
      </w:pPr>
      <w:r w:rsidRPr="00A97482">
        <w:rPr>
          <w:rFonts w:ascii="Arial" w:hAnsi="Arial" w:cs="Arial"/>
          <w:b/>
          <w:color w:val="365F91"/>
          <w:sz w:val="22"/>
          <w:lang w:val="sr-Latn-ME"/>
        </w:rPr>
        <w:t xml:space="preserve">                                                                                  </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978"/>
        <w:gridCol w:w="5598"/>
      </w:tblGrid>
      <w:tr w:rsidR="003746E2" w:rsidRPr="00A97482" w:rsidTr="00373C9A">
        <w:tc>
          <w:tcPr>
            <w:tcW w:w="9576" w:type="dxa"/>
            <w:gridSpan w:val="2"/>
            <w:tcBorders>
              <w:top w:val="single" w:sz="8" w:space="0" w:color="4BACC6"/>
              <w:left w:val="single" w:sz="8" w:space="0" w:color="4BACC6"/>
              <w:bottom w:val="single" w:sz="18" w:space="0" w:color="4BACC6"/>
              <w:right w:val="single" w:sz="8" w:space="0" w:color="4BACC6"/>
            </w:tcBorders>
          </w:tcPr>
          <w:p w:rsidR="003746E2" w:rsidRPr="00A97482" w:rsidRDefault="003746E2" w:rsidP="00A97482">
            <w:pPr>
              <w:autoSpaceDE w:val="0"/>
              <w:autoSpaceDN w:val="0"/>
              <w:adjustRightInd w:val="0"/>
              <w:spacing w:before="120" w:after="120"/>
              <w:ind w:right="181"/>
              <w:rPr>
                <w:rFonts w:ascii="Arial" w:hAnsi="Arial" w:cs="Arial"/>
                <w:b/>
                <w:bCs w:val="0"/>
                <w:color w:val="365F91"/>
                <w:sz w:val="22"/>
                <w:lang w:val="sr-Latn-ME"/>
              </w:rPr>
            </w:pPr>
            <w:r w:rsidRPr="00A97482">
              <w:rPr>
                <w:rFonts w:ascii="Arial" w:hAnsi="Arial" w:cs="Arial"/>
                <w:b/>
                <w:bCs w:val="0"/>
                <w:color w:val="365F91"/>
                <w:sz w:val="22"/>
                <w:lang w:val="sr-Latn-ME"/>
              </w:rPr>
              <w:t>IZVJEŠTAJ O SPROVEDENOJ ANALIZI PROCJENE UTICAJA PROPISA</w:t>
            </w:r>
          </w:p>
        </w:tc>
      </w:tr>
      <w:tr w:rsidR="003746E2" w:rsidRPr="00A97482" w:rsidTr="00373C9A">
        <w:tc>
          <w:tcPr>
            <w:tcW w:w="3978" w:type="dxa"/>
            <w:tcBorders>
              <w:top w:val="single" w:sz="8" w:space="0" w:color="4BACC6"/>
              <w:left w:val="single" w:sz="8" w:space="0" w:color="4BACC6"/>
              <w:bottom w:val="single" w:sz="8" w:space="0" w:color="4BACC6"/>
              <w:right w:val="single" w:sz="8" w:space="0" w:color="4BACC6"/>
            </w:tcBorders>
            <w:shd w:val="clear" w:color="auto" w:fill="D2EAF1"/>
          </w:tcPr>
          <w:p w:rsidR="003746E2" w:rsidRPr="00A97482" w:rsidRDefault="003746E2" w:rsidP="00A97482">
            <w:pPr>
              <w:autoSpaceDE w:val="0"/>
              <w:autoSpaceDN w:val="0"/>
              <w:adjustRightInd w:val="0"/>
              <w:spacing w:before="120" w:after="120"/>
              <w:ind w:right="181"/>
              <w:rPr>
                <w:rFonts w:ascii="Arial" w:hAnsi="Arial" w:cs="Arial"/>
                <w:b/>
                <w:bCs w:val="0"/>
                <w:color w:val="365F91"/>
                <w:sz w:val="22"/>
                <w:lang w:val="sr-Latn-ME"/>
              </w:rPr>
            </w:pPr>
            <w:r w:rsidRPr="00A97482">
              <w:rPr>
                <w:rFonts w:ascii="Arial" w:hAnsi="Arial" w:cs="Arial"/>
                <w:b/>
                <w:bCs w:val="0"/>
                <w:color w:val="365F91"/>
                <w:sz w:val="22"/>
                <w:lang w:val="sr-Latn-ME"/>
              </w:rPr>
              <w:t>PREDLAGAČ</w:t>
            </w:r>
          </w:p>
        </w:tc>
        <w:tc>
          <w:tcPr>
            <w:tcW w:w="5598"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3746E2" w:rsidRPr="00A97482" w:rsidRDefault="003746E2" w:rsidP="00A97482">
            <w:pPr>
              <w:autoSpaceDE w:val="0"/>
              <w:autoSpaceDN w:val="0"/>
              <w:adjustRightInd w:val="0"/>
              <w:spacing w:before="120" w:after="120"/>
              <w:ind w:right="181"/>
              <w:jc w:val="left"/>
              <w:rPr>
                <w:rFonts w:ascii="Arial" w:hAnsi="Arial" w:cs="Arial"/>
                <w:color w:val="000000"/>
                <w:sz w:val="22"/>
                <w:lang w:val="sr-Latn-ME"/>
              </w:rPr>
            </w:pPr>
            <w:r w:rsidRPr="00A97482">
              <w:rPr>
                <w:rFonts w:ascii="Arial" w:hAnsi="Arial" w:cs="Arial"/>
                <w:color w:val="000000"/>
                <w:sz w:val="22"/>
                <w:lang w:val="sr-Latn-ME"/>
              </w:rPr>
              <w:t>Ministarstvo održivog razvoja i turizma</w:t>
            </w:r>
          </w:p>
        </w:tc>
      </w:tr>
      <w:tr w:rsidR="003746E2" w:rsidRPr="00A97482" w:rsidTr="00373C9A">
        <w:tc>
          <w:tcPr>
            <w:tcW w:w="3978" w:type="dxa"/>
            <w:tcBorders>
              <w:top w:val="single" w:sz="8" w:space="0" w:color="4BACC6"/>
              <w:left w:val="single" w:sz="8" w:space="0" w:color="4BACC6"/>
              <w:bottom w:val="single" w:sz="8" w:space="0" w:color="4BACC6"/>
              <w:right w:val="single" w:sz="8" w:space="0" w:color="4BACC6"/>
            </w:tcBorders>
          </w:tcPr>
          <w:p w:rsidR="003746E2" w:rsidRPr="00A97482" w:rsidRDefault="003746E2" w:rsidP="00A97482">
            <w:pPr>
              <w:autoSpaceDE w:val="0"/>
              <w:autoSpaceDN w:val="0"/>
              <w:adjustRightInd w:val="0"/>
              <w:spacing w:before="120" w:after="120"/>
              <w:ind w:right="180"/>
              <w:rPr>
                <w:rFonts w:ascii="Arial" w:hAnsi="Arial" w:cs="Arial"/>
                <w:b/>
                <w:bCs w:val="0"/>
                <w:color w:val="365F91"/>
                <w:sz w:val="22"/>
                <w:lang w:val="sr-Latn-ME"/>
              </w:rPr>
            </w:pPr>
            <w:r w:rsidRPr="00A97482">
              <w:rPr>
                <w:rFonts w:ascii="Arial" w:hAnsi="Arial" w:cs="Arial"/>
                <w:b/>
                <w:bCs w:val="0"/>
                <w:color w:val="365F91"/>
                <w:sz w:val="22"/>
                <w:lang w:val="sr-Latn-ME"/>
              </w:rPr>
              <w:t>NAZIV PROPISA</w:t>
            </w:r>
          </w:p>
        </w:tc>
        <w:tc>
          <w:tcPr>
            <w:tcW w:w="5598" w:type="dxa"/>
            <w:tcBorders>
              <w:top w:val="single" w:sz="8" w:space="0" w:color="4BACC6"/>
              <w:left w:val="single" w:sz="8" w:space="0" w:color="4BACC6"/>
              <w:bottom w:val="single" w:sz="8" w:space="0" w:color="4BACC6"/>
              <w:right w:val="single" w:sz="8" w:space="0" w:color="4BACC6"/>
            </w:tcBorders>
            <w:vAlign w:val="center"/>
          </w:tcPr>
          <w:p w:rsidR="003746E2" w:rsidRPr="00A97482" w:rsidRDefault="00326941" w:rsidP="00F7641D">
            <w:pPr>
              <w:spacing w:before="120" w:after="120"/>
              <w:rPr>
                <w:rFonts w:ascii="Arial" w:hAnsi="Arial" w:cs="Arial"/>
                <w:color w:val="000000"/>
                <w:sz w:val="22"/>
                <w:lang w:val="sr-Latn-ME"/>
              </w:rPr>
            </w:pPr>
            <w:r w:rsidRPr="00931573">
              <w:rPr>
                <w:rFonts w:ascii="Arial" w:hAnsi="Arial" w:cs="Arial"/>
                <w:color w:val="000000"/>
                <w:sz w:val="22"/>
                <w:lang w:val="sr-Latn-ME"/>
              </w:rPr>
              <w:t>Nacrt</w:t>
            </w:r>
            <w:r>
              <w:rPr>
                <w:rFonts w:ascii="Arial" w:hAnsi="Arial" w:cs="Arial"/>
                <w:color w:val="000000"/>
                <w:sz w:val="22"/>
                <w:lang w:val="sr-Latn-ME"/>
              </w:rPr>
              <w:t xml:space="preserve"> zakona o izmjenama i dopunama Zakona o građevinskim proizviodima</w:t>
            </w: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rsidR="003746E2" w:rsidRPr="00A97482" w:rsidRDefault="003746E2" w:rsidP="00A97482">
            <w:pPr>
              <w:autoSpaceDE w:val="0"/>
              <w:autoSpaceDN w:val="0"/>
              <w:adjustRightInd w:val="0"/>
              <w:spacing w:before="120"/>
              <w:ind w:right="181"/>
              <w:rPr>
                <w:rFonts w:ascii="Arial" w:hAnsi="Arial" w:cs="Arial"/>
                <w:b/>
                <w:bCs w:val="0"/>
                <w:color w:val="365F91"/>
                <w:sz w:val="22"/>
                <w:lang w:val="sr-Latn-ME"/>
              </w:rPr>
            </w:pPr>
            <w:r w:rsidRPr="00A97482">
              <w:rPr>
                <w:rFonts w:ascii="Arial" w:hAnsi="Arial" w:cs="Arial"/>
                <w:b/>
                <w:bCs w:val="0"/>
                <w:color w:val="365F91"/>
                <w:sz w:val="22"/>
                <w:lang w:val="sr-Latn-ME"/>
              </w:rPr>
              <w:t>1. Definisanje problema</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Koje probleme  treba da riješi predloženi akt?</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Koji su uzroci problema?</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Koje su posljedice problema?</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Koji su subjekti oštećeni, na koji način i u kojoj mjeri?</w:t>
            </w:r>
          </w:p>
          <w:p w:rsidR="003746E2" w:rsidRDefault="003746E2" w:rsidP="00A97482">
            <w:pPr>
              <w:numPr>
                <w:ilvl w:val="0"/>
                <w:numId w:val="1"/>
              </w:numPr>
              <w:autoSpaceDE w:val="0"/>
              <w:autoSpaceDN w:val="0"/>
              <w:adjustRightInd w:val="0"/>
              <w:spacing w:before="120"/>
              <w:ind w:left="629" w:right="181" w:hanging="357"/>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Kako bi problem evoluirao bez promjene propisa (“status quo” opcija)?</w:t>
            </w:r>
          </w:p>
          <w:p w:rsidR="001A5D1E" w:rsidRPr="001A5D1E" w:rsidRDefault="001A5D1E" w:rsidP="001A5D1E">
            <w:pPr>
              <w:autoSpaceDE w:val="0"/>
              <w:autoSpaceDN w:val="0"/>
              <w:adjustRightInd w:val="0"/>
              <w:spacing w:before="120"/>
              <w:ind w:left="272" w:right="181"/>
              <w:contextualSpacing/>
              <w:jc w:val="left"/>
              <w:rPr>
                <w:rFonts w:ascii="Arial" w:hAnsi="Arial" w:cs="Arial"/>
                <w:b/>
                <w:bCs w:val="0"/>
                <w:color w:val="365F91"/>
                <w:sz w:val="14"/>
                <w:lang w:val="sr-Latn-ME"/>
              </w:rPr>
            </w:pP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tcPr>
          <w:p w:rsidR="00491FD2" w:rsidRPr="00491FD2" w:rsidRDefault="00491FD2" w:rsidP="00491FD2">
            <w:pPr>
              <w:rPr>
                <w:rFonts w:ascii="Arial" w:eastAsia="Calibri" w:hAnsi="Arial" w:cs="Arial"/>
                <w:sz w:val="22"/>
                <w:lang w:val="sr-Latn-ME" w:eastAsia="bs-Latn-BA"/>
              </w:rPr>
            </w:pPr>
            <w:r w:rsidRPr="00491FD2">
              <w:rPr>
                <w:rFonts w:ascii="Arial" w:eastAsia="Calibri" w:hAnsi="Arial" w:cs="Arial"/>
                <w:sz w:val="22"/>
                <w:lang w:val="sr-Latn-ME" w:eastAsia="bs-Latn-BA"/>
              </w:rPr>
              <w:t>Zakon o građevinskim proizvodima ("Službeni list Crne Gore", br. 18/14 i 51/17), koji je Skupština Crne Gore donijela aprila 2014.godine (sa izmjenama i dopunama iz avgusta 2017.godine) je krovni legislativni akt u oblasti građevinskih proizvoda. Donošenjem navedenog zakona stvoren je zakonski okvir za propisivanje uslova, postupaka i procedura ocjenjivanja svojstava i dokazivanja upotrebljivosti građevinskih proizvoda u Crnoj Gori, kao uslova za njihovu isporuku na tržište</w:t>
            </w:r>
            <w:r w:rsidRPr="00491FD2" w:rsidDel="00BB1CFF">
              <w:rPr>
                <w:rFonts w:ascii="Arial" w:eastAsia="Calibri" w:hAnsi="Arial" w:cs="Arial"/>
                <w:sz w:val="22"/>
                <w:lang w:val="sr-Latn-ME" w:eastAsia="bs-Latn-BA"/>
              </w:rPr>
              <w:t xml:space="preserve"> </w:t>
            </w:r>
            <w:r w:rsidRPr="00491FD2">
              <w:rPr>
                <w:rFonts w:ascii="Arial" w:eastAsia="Calibri" w:hAnsi="Arial" w:cs="Arial"/>
                <w:sz w:val="22"/>
                <w:lang w:val="sr-Latn-ME" w:eastAsia="bs-Latn-BA"/>
              </w:rPr>
              <w:t>u mjeri potrebnoj za ispunjenje osnovnih zahtjeva za objekte, određenih posebnim propisima, a sve u</w:t>
            </w:r>
            <w:r w:rsidRPr="00491FD2">
              <w:rPr>
                <w:rFonts w:ascii="Arial" w:hAnsi="Arial" w:cs="Arial"/>
                <w:sz w:val="22"/>
                <w:lang w:val="sr-Latn-ME"/>
              </w:rPr>
              <w:t xml:space="preserve"> cilju realizacije opredjeljenja Crne Gore da se uključi u evropske integracije.</w:t>
            </w:r>
          </w:p>
          <w:p w:rsidR="00491FD2" w:rsidRPr="00491FD2" w:rsidRDefault="00491FD2" w:rsidP="00491FD2">
            <w:pPr>
              <w:rPr>
                <w:rFonts w:ascii="Arial" w:eastAsia="Calibri" w:hAnsi="Arial" w:cs="Arial"/>
                <w:sz w:val="22"/>
                <w:lang w:val="sr-Latn-ME" w:eastAsia="bs-Latn-BA"/>
              </w:rPr>
            </w:pPr>
          </w:p>
          <w:p w:rsidR="00491FD2" w:rsidRPr="00491FD2" w:rsidRDefault="00491FD2" w:rsidP="00491FD2">
            <w:pPr>
              <w:rPr>
                <w:rFonts w:ascii="Arial" w:eastAsia="Calibri" w:hAnsi="Arial" w:cs="Arial"/>
                <w:sz w:val="22"/>
                <w:lang w:val="sr-Latn-ME" w:eastAsia="bs-Latn-BA"/>
              </w:rPr>
            </w:pPr>
            <w:r w:rsidRPr="00491FD2">
              <w:rPr>
                <w:rFonts w:ascii="Arial" w:eastAsia="Calibri" w:hAnsi="Arial" w:cs="Arial"/>
                <w:sz w:val="22"/>
                <w:lang w:val="sr-Latn-ME" w:eastAsia="bs-Latn-BA"/>
              </w:rPr>
              <w:t>Primjedbe Evropske komisije na tekst navedenog zakona, u smislu njegove usaglašenosti sa Regulativom broj 305/2011 Evropskog parlamenta i savjeta od 9. marta 2011.godine, Crna Gora je dobila tek 2019.godine, nakon čega su uslijedile konsultacije sa ekspertima iz EU, kako bi se dobijene primjedbe na prihvatljiv način za Crnu Goru, ugradile u tekst Izmjena i dopuna Zakona o građevinskim proizvodima.</w:t>
            </w:r>
          </w:p>
          <w:p w:rsidR="00491FD2" w:rsidRPr="00491FD2" w:rsidRDefault="00491FD2" w:rsidP="00491FD2">
            <w:pPr>
              <w:rPr>
                <w:rFonts w:ascii="Arial" w:eastAsia="Calibri" w:hAnsi="Arial" w:cs="Arial"/>
                <w:sz w:val="22"/>
                <w:lang w:val="sr-Latn-ME" w:eastAsia="bs-Latn-BA"/>
              </w:rPr>
            </w:pPr>
          </w:p>
          <w:p w:rsidR="00491FD2" w:rsidRPr="00491FD2" w:rsidRDefault="00491FD2" w:rsidP="00491FD2">
            <w:pPr>
              <w:rPr>
                <w:rFonts w:ascii="Arial" w:eastAsia="Calibri" w:hAnsi="Arial" w:cs="Arial"/>
                <w:sz w:val="22"/>
                <w:lang w:val="sr-Latn-ME" w:eastAsia="bs-Latn-BA"/>
              </w:rPr>
            </w:pPr>
            <w:r w:rsidRPr="00491FD2">
              <w:rPr>
                <w:rFonts w:ascii="Arial" w:eastAsia="Calibri" w:hAnsi="Arial" w:cs="Arial"/>
                <w:sz w:val="22"/>
                <w:lang w:val="sr-Latn-ME" w:eastAsia="bs-Latn-BA"/>
              </w:rPr>
              <w:t xml:space="preserve">Suštinska primjedba Evropske komisije je bila da Regulativa broj 305/2011, obuhvata samo uslove za stavljanje na tržište, odnosno stavljanje na raspolaganje građevinskih proizvoda na tržištu utvrđivanjem </w:t>
            </w:r>
            <w:r w:rsidRPr="00491FD2">
              <w:rPr>
                <w:rFonts w:ascii="Arial" w:eastAsia="Calibri" w:hAnsi="Arial" w:cs="Arial"/>
                <w:b/>
                <w:sz w:val="22"/>
                <w:lang w:val="sr-Latn-ME" w:eastAsia="bs-Latn-BA"/>
              </w:rPr>
              <w:t>usaglašenih pravila o načinu procjene i deklarisanja građevinskih proizvoda i CE označavanje građevinskih proizvoda</w:t>
            </w:r>
            <w:r w:rsidRPr="00491FD2">
              <w:rPr>
                <w:rFonts w:ascii="Arial" w:eastAsia="Calibri" w:hAnsi="Arial" w:cs="Arial"/>
                <w:sz w:val="22"/>
                <w:lang w:val="sr-Latn-ME" w:eastAsia="bs-Latn-BA"/>
              </w:rPr>
              <w:t>. Posebno, Regulativa broj 305/2011 ne obuhvata „primjenljivost građevinskih proizvoda“ niti njihovu „upotrebu“ u EU, odnosno navedena pitanja su ostavljena državama članicama da ih urede nacionalnim propisima. Naročito je ostavljeno državama članicama da utvrde uslove za građevinske radove, pri čemu se moraju poštovati usaglašeni standardi. Navedeno znači da na nivou EU sve njene članice direktno primjenjuju Regulativu broj 305/2011, a pitanja koja nijesu riješena tom regulativom dodatno uređuju nacionalnim zakonodavstvom.</w:t>
            </w:r>
          </w:p>
          <w:p w:rsidR="00491FD2" w:rsidRPr="00491FD2" w:rsidRDefault="00491FD2" w:rsidP="00491FD2">
            <w:pPr>
              <w:rPr>
                <w:rFonts w:ascii="Arial" w:eastAsia="Calibri" w:hAnsi="Arial" w:cs="Arial"/>
                <w:sz w:val="22"/>
                <w:lang w:val="sr-Latn-ME" w:eastAsia="bs-Latn-BA"/>
              </w:rPr>
            </w:pPr>
          </w:p>
          <w:p w:rsidR="00491FD2" w:rsidRPr="00491FD2" w:rsidRDefault="00491FD2" w:rsidP="00491FD2">
            <w:pPr>
              <w:rPr>
                <w:rFonts w:ascii="Arial" w:eastAsia="Calibri" w:hAnsi="Arial" w:cs="Arial"/>
                <w:sz w:val="22"/>
                <w:lang w:val="sr-Latn-ME" w:eastAsia="bs-Latn-BA"/>
              </w:rPr>
            </w:pPr>
            <w:r w:rsidRPr="00491FD2">
              <w:rPr>
                <w:rFonts w:ascii="Arial" w:eastAsia="Calibri" w:hAnsi="Arial" w:cs="Arial"/>
                <w:sz w:val="22"/>
                <w:lang w:val="sr-Latn-ME" w:eastAsia="bs-Latn-BA"/>
              </w:rPr>
              <w:t xml:space="preserve">Priroda Regulative broj 305/2011 je takva da je usko vezana za jedinstveno EU tržište, pa samim tim njeno suštinsko transponovanje u crnogorski pravni sistem nije ni moguće zbog same činjenice da crnogorsko tržište nije jedinstveno i integralno sa EU tržištem. Naime, Regulativa može da Crnoj Gori posluži kao ogledni primjer da po sličam/identičnim uslovima i procedurama stavi na crnogorsko tržište građevinske proizvode proizvedene izvan EU, bilo da su proizvedeni u Crnoj Gori, bilo izvan Crne Gore (isključujući EU). Tako da u suštini, cjelokupni Zakon o građevinskim proizvodima, iako na prvi pogled bi se zaključilo da je njime transponovana Regulativa o građevinskim proizvodima, zapravo predstavlja neharmonizovano zakonodavstvo i svojevrsnu pripremu za pravila ponašanja u ovoj oblasti od trenutka kada Crna </w:t>
            </w:r>
            <w:r w:rsidRPr="00491FD2">
              <w:rPr>
                <w:rFonts w:ascii="Arial" w:eastAsia="Calibri" w:hAnsi="Arial" w:cs="Arial"/>
                <w:sz w:val="22"/>
                <w:lang w:val="sr-Latn-ME" w:eastAsia="bs-Latn-BA"/>
              </w:rPr>
              <w:lastRenderedPageBreak/>
              <w:t>Gora postane članica evropske zajednice naroda.</w:t>
            </w:r>
          </w:p>
          <w:p w:rsidR="00491FD2" w:rsidRPr="00491FD2" w:rsidRDefault="00491FD2" w:rsidP="00491FD2">
            <w:pPr>
              <w:rPr>
                <w:rFonts w:ascii="Arial" w:eastAsia="Calibri" w:hAnsi="Arial" w:cs="Arial"/>
                <w:sz w:val="22"/>
                <w:lang w:val="sr-Latn-ME" w:eastAsia="bs-Latn-BA"/>
              </w:rPr>
            </w:pPr>
          </w:p>
          <w:p w:rsidR="00491FD2" w:rsidRPr="00491FD2" w:rsidRDefault="00491FD2" w:rsidP="00491FD2">
            <w:pPr>
              <w:rPr>
                <w:rFonts w:ascii="Arial" w:eastAsia="Calibri" w:hAnsi="Arial" w:cs="Arial"/>
                <w:sz w:val="22"/>
                <w:lang w:val="sr-Latn-ME" w:eastAsia="bs-Latn-BA"/>
              </w:rPr>
            </w:pPr>
            <w:r w:rsidRPr="00491FD2">
              <w:rPr>
                <w:rFonts w:ascii="Arial" w:hAnsi="Arial" w:cs="Arial"/>
                <w:sz w:val="22"/>
                <w:lang w:val="sr-Latn-ME"/>
              </w:rPr>
              <w:t>Jedna od primjedbi Evropske komisije odnosila se i na član 62 Zakona o građevinskim proizvodima. Naime, odredba člana 62 odnosi se na odredbe ovog zakona koji se tiču stavljanje znaka usaglašenosti „CE“. Imajući u vidu da zbog toga što crnogorsko tržište nije jedinstveno sa EU tržištem, onemogućeno je stavljanje znaka „CE“ u Crnoj Gori do pristupanja EU i to do trenutka kada će se crnogorsko tržište objediniti sa EU tržištem. Sa druge strane, tačno je da će tog istog momenta sve odredbe zakona koje se tiču Regulative morati staviti van snage, što znači da se ove odredbe ni u jednom trenutku neće primjenjivati, već će se direktno primjenjivati odredbe Regulative koje su adekvatno prenijete u ovaj zakonski propis. Međutim, ocjenjeno je važno da se u ovom trenutku urede, iz prostog razloga da bi se crnogorsko tržište već upoznalo i pripremilo na obaveze koje ih očekuju u samoj Regulativi i to od trenutka pristupanja Crne Gore Evropskoj uniji.</w:t>
            </w:r>
          </w:p>
          <w:p w:rsidR="00491FD2" w:rsidRPr="00491FD2" w:rsidRDefault="00491FD2" w:rsidP="00491FD2">
            <w:pPr>
              <w:rPr>
                <w:rFonts w:ascii="Arial" w:eastAsia="Calibri" w:hAnsi="Arial" w:cs="Arial"/>
                <w:sz w:val="22"/>
                <w:lang w:val="sr-Latn-ME" w:eastAsia="bs-Latn-BA"/>
              </w:rPr>
            </w:pPr>
          </w:p>
          <w:p w:rsidR="00491FD2" w:rsidRPr="003E7B36" w:rsidRDefault="00491FD2" w:rsidP="00491FD2">
            <w:pPr>
              <w:rPr>
                <w:rFonts w:ascii="Arial" w:eastAsia="Calibri" w:hAnsi="Arial" w:cs="Arial"/>
                <w:lang w:eastAsia="bs-Latn-BA"/>
              </w:rPr>
            </w:pPr>
            <w:r w:rsidRPr="00491FD2">
              <w:rPr>
                <w:rFonts w:ascii="Arial" w:eastAsia="Calibri" w:hAnsi="Arial" w:cs="Arial"/>
                <w:sz w:val="22"/>
                <w:lang w:val="sr-Latn-ME" w:eastAsia="bs-Latn-BA"/>
              </w:rPr>
              <w:t>Kako Crna Gora još uvijek nije članica EU, to je Zakonom o građevinskim proizvodima obuhvaćeno i usaglašeno i neusaglašeno područje građevinskih proizvoda, zbog čega je Evropska komisija dala primjedbu da se u tekstu Zakona jasno definiše koje odredbe se odnose na usaglašeno, a koje naneusaglašeno područje, a sve u svrhu ocjenjivanja zakonodavstva u svijetlu Regulative broj 305/2011.</w:t>
            </w:r>
            <w:r w:rsidRPr="00491FD2">
              <w:rPr>
                <w:rFonts w:ascii="Arial" w:eastAsia="Calibri" w:hAnsi="Arial" w:cs="Arial"/>
                <w:sz w:val="22"/>
                <w:lang w:eastAsia="bs-Latn-BA"/>
              </w:rPr>
              <w:t xml:space="preserve">  </w:t>
            </w:r>
          </w:p>
          <w:p w:rsidR="00314511" w:rsidRPr="00A97482" w:rsidRDefault="00314511" w:rsidP="00DB10EB">
            <w:pPr>
              <w:rPr>
                <w:rFonts w:ascii="Arial" w:hAnsi="Arial" w:cs="Arial"/>
                <w:bCs w:val="0"/>
                <w:sz w:val="22"/>
                <w:lang w:val="sr-Latn-ME" w:eastAsia="en-US"/>
              </w:rPr>
            </w:pP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rsidR="003746E2" w:rsidRPr="00A97482" w:rsidRDefault="003746E2" w:rsidP="00A97482">
            <w:pPr>
              <w:autoSpaceDE w:val="0"/>
              <w:autoSpaceDN w:val="0"/>
              <w:adjustRightInd w:val="0"/>
              <w:spacing w:before="120"/>
              <w:ind w:right="181"/>
              <w:rPr>
                <w:rFonts w:ascii="Arial" w:hAnsi="Arial" w:cs="Arial"/>
                <w:b/>
                <w:bCs w:val="0"/>
                <w:color w:val="365F91"/>
                <w:sz w:val="22"/>
                <w:lang w:val="sr-Latn-ME"/>
              </w:rPr>
            </w:pPr>
            <w:r w:rsidRPr="00A97482">
              <w:rPr>
                <w:rFonts w:ascii="Arial" w:hAnsi="Arial" w:cs="Arial"/>
                <w:b/>
                <w:bCs w:val="0"/>
                <w:color w:val="365F91"/>
                <w:sz w:val="22"/>
                <w:lang w:val="sr-Latn-ME"/>
              </w:rPr>
              <w:lastRenderedPageBreak/>
              <w:t>2. Ciljevi</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Koji ciljevi se postižu predloženim propisom?</w:t>
            </w:r>
          </w:p>
          <w:p w:rsidR="003746E2" w:rsidRPr="001A5D1E" w:rsidRDefault="003746E2" w:rsidP="00A97482">
            <w:pPr>
              <w:numPr>
                <w:ilvl w:val="0"/>
                <w:numId w:val="1"/>
              </w:numPr>
              <w:autoSpaceDE w:val="0"/>
              <w:autoSpaceDN w:val="0"/>
              <w:adjustRightInd w:val="0"/>
              <w:ind w:right="180"/>
              <w:contextualSpacing/>
              <w:jc w:val="left"/>
              <w:rPr>
                <w:rFonts w:ascii="Arial" w:hAnsi="Arial" w:cs="Arial"/>
                <w:bCs w:val="0"/>
                <w:color w:val="365F91"/>
                <w:sz w:val="22"/>
                <w:lang w:val="sr-Latn-ME"/>
              </w:rPr>
            </w:pPr>
            <w:r w:rsidRPr="00A97482">
              <w:rPr>
                <w:rFonts w:ascii="Arial" w:hAnsi="Arial" w:cs="Arial"/>
                <w:b/>
                <w:bCs w:val="0"/>
                <w:color w:val="365F91"/>
                <w:sz w:val="22"/>
                <w:lang w:val="sr-Latn-ME"/>
              </w:rPr>
              <w:t>Navesti usklađenost ovih ciljeva sa postojećim strategijama ili programima Vlade, ako je primjenljivo.</w:t>
            </w:r>
          </w:p>
          <w:p w:rsidR="001A5D1E" w:rsidRPr="001A5D1E" w:rsidRDefault="001A5D1E" w:rsidP="001A5D1E">
            <w:pPr>
              <w:autoSpaceDE w:val="0"/>
              <w:autoSpaceDN w:val="0"/>
              <w:adjustRightInd w:val="0"/>
              <w:ind w:right="180"/>
              <w:contextualSpacing/>
              <w:jc w:val="left"/>
              <w:rPr>
                <w:rFonts w:ascii="Arial" w:hAnsi="Arial" w:cs="Arial"/>
                <w:bCs w:val="0"/>
                <w:color w:val="365F91"/>
                <w:sz w:val="14"/>
                <w:lang w:val="sr-Latn-ME"/>
              </w:rPr>
            </w:pP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tcPr>
          <w:p w:rsidR="00507097" w:rsidRDefault="00615910" w:rsidP="00931573">
            <w:pPr>
              <w:ind w:left="142" w:right="180"/>
              <w:contextualSpacing/>
              <w:rPr>
                <w:rFonts w:ascii="Arial" w:hAnsi="Arial" w:cs="Arial"/>
                <w:bCs w:val="0"/>
                <w:noProof/>
                <w:sz w:val="22"/>
                <w:lang w:val="sr-Latn-ME"/>
              </w:rPr>
            </w:pPr>
            <w:r w:rsidRPr="00615910">
              <w:rPr>
                <w:rFonts w:ascii="Arial" w:hAnsi="Arial" w:cs="Arial"/>
                <w:bCs w:val="0"/>
                <w:noProof/>
                <w:sz w:val="22"/>
                <w:lang w:val="sr-Latn-ME"/>
              </w:rPr>
              <w:t xml:space="preserve">Cilj predloženih rješenja </w:t>
            </w:r>
            <w:r w:rsidR="00507097">
              <w:rPr>
                <w:rFonts w:ascii="Arial" w:hAnsi="Arial" w:cs="Arial"/>
                <w:bCs w:val="0"/>
                <w:noProof/>
                <w:sz w:val="22"/>
                <w:lang w:val="sr-Latn-ME"/>
              </w:rPr>
              <w:t>u</w:t>
            </w:r>
            <w:r w:rsidRPr="00615910">
              <w:rPr>
                <w:rFonts w:ascii="Arial" w:hAnsi="Arial" w:cs="Arial"/>
                <w:bCs w:val="0"/>
                <w:noProof/>
                <w:sz w:val="22"/>
                <w:lang w:val="sr-Latn-ME"/>
              </w:rPr>
              <w:t xml:space="preserve"> </w:t>
            </w:r>
            <w:r w:rsidR="00507097" w:rsidRPr="00507097">
              <w:rPr>
                <w:rFonts w:ascii="Arial" w:hAnsi="Arial" w:cs="Arial"/>
                <w:bCs w:val="0"/>
                <w:noProof/>
                <w:sz w:val="22"/>
                <w:lang w:val="sr-Latn-ME"/>
              </w:rPr>
              <w:t>Nacrt</w:t>
            </w:r>
            <w:r w:rsidR="00507097">
              <w:rPr>
                <w:rFonts w:ascii="Arial" w:hAnsi="Arial" w:cs="Arial"/>
                <w:bCs w:val="0"/>
                <w:noProof/>
                <w:sz w:val="22"/>
                <w:lang w:val="sr-Latn-ME"/>
              </w:rPr>
              <w:t>u</w:t>
            </w:r>
            <w:r w:rsidR="00507097" w:rsidRPr="00507097">
              <w:rPr>
                <w:rFonts w:ascii="Arial" w:hAnsi="Arial" w:cs="Arial"/>
                <w:bCs w:val="0"/>
                <w:noProof/>
                <w:sz w:val="22"/>
                <w:lang w:val="sr-Latn-ME"/>
              </w:rPr>
              <w:t xml:space="preserve"> zakona o izmjenama i dopunama Zak</w:t>
            </w:r>
            <w:r w:rsidR="00507097">
              <w:rPr>
                <w:rFonts w:ascii="Arial" w:hAnsi="Arial" w:cs="Arial"/>
                <w:bCs w:val="0"/>
                <w:noProof/>
                <w:sz w:val="22"/>
                <w:lang w:val="sr-Latn-ME"/>
              </w:rPr>
              <w:t>ona o građevinskim proizvodima</w:t>
            </w:r>
            <w:r w:rsidR="00507097" w:rsidRPr="00507097">
              <w:rPr>
                <w:rFonts w:ascii="Arial" w:hAnsi="Arial" w:cs="Arial"/>
                <w:bCs w:val="0"/>
                <w:noProof/>
                <w:sz w:val="22"/>
                <w:lang w:val="sr-Latn-ME"/>
              </w:rPr>
              <w:t xml:space="preserve"> je usaglašavanje sa primjedbama koje je Evropska komisija dala na osnovni tekst </w:t>
            </w:r>
            <w:r w:rsidR="00507097">
              <w:rPr>
                <w:rFonts w:ascii="Arial" w:hAnsi="Arial" w:cs="Arial"/>
                <w:bCs w:val="0"/>
                <w:noProof/>
                <w:sz w:val="22"/>
                <w:lang w:val="sr-Latn-ME"/>
              </w:rPr>
              <w:t xml:space="preserve">navedenog </w:t>
            </w:r>
            <w:r w:rsidR="00507097" w:rsidRPr="00507097">
              <w:rPr>
                <w:rFonts w:ascii="Arial" w:hAnsi="Arial" w:cs="Arial"/>
                <w:bCs w:val="0"/>
                <w:noProof/>
                <w:sz w:val="22"/>
                <w:lang w:val="sr-Latn-ME"/>
              </w:rPr>
              <w:t>zakona.</w:t>
            </w:r>
          </w:p>
          <w:p w:rsidR="00507097" w:rsidRDefault="00507097" w:rsidP="00931573">
            <w:pPr>
              <w:ind w:left="142" w:right="180"/>
              <w:contextualSpacing/>
              <w:rPr>
                <w:rFonts w:ascii="Arial" w:hAnsi="Arial" w:cs="Arial"/>
                <w:bCs w:val="0"/>
                <w:noProof/>
                <w:sz w:val="22"/>
                <w:lang w:val="sr-Latn-ME"/>
              </w:rPr>
            </w:pPr>
          </w:p>
          <w:p w:rsidR="00615910" w:rsidRDefault="00507097" w:rsidP="00931573">
            <w:pPr>
              <w:ind w:left="142" w:right="180"/>
              <w:contextualSpacing/>
              <w:rPr>
                <w:rFonts w:ascii="Arial" w:hAnsi="Arial" w:cs="Arial"/>
                <w:bCs w:val="0"/>
                <w:noProof/>
                <w:sz w:val="22"/>
                <w:lang w:val="sr-Latn-ME"/>
              </w:rPr>
            </w:pPr>
            <w:r w:rsidRPr="00507097">
              <w:rPr>
                <w:rFonts w:ascii="Arial" w:hAnsi="Arial" w:cs="Arial"/>
                <w:bCs w:val="0"/>
                <w:noProof/>
                <w:sz w:val="22"/>
                <w:lang w:val="sr-Latn-ME"/>
              </w:rPr>
              <w:t>Zakon</w:t>
            </w:r>
            <w:r>
              <w:rPr>
                <w:rFonts w:ascii="Arial" w:hAnsi="Arial" w:cs="Arial"/>
                <w:bCs w:val="0"/>
                <w:noProof/>
                <w:sz w:val="22"/>
                <w:lang w:val="sr-Latn-ME"/>
              </w:rPr>
              <w:t>om</w:t>
            </w:r>
            <w:r w:rsidRPr="00507097">
              <w:rPr>
                <w:rFonts w:ascii="Arial" w:hAnsi="Arial" w:cs="Arial"/>
                <w:bCs w:val="0"/>
                <w:noProof/>
                <w:sz w:val="22"/>
                <w:lang w:val="sr-Latn-ME"/>
              </w:rPr>
              <w:t xml:space="preserve"> o građevinskim proizvodima </w:t>
            </w:r>
            <w:r w:rsidR="00615910" w:rsidRPr="00615910">
              <w:rPr>
                <w:rFonts w:ascii="Arial" w:hAnsi="Arial" w:cs="Arial"/>
                <w:bCs w:val="0"/>
                <w:noProof/>
                <w:sz w:val="22"/>
                <w:lang w:val="sr-Latn-ME"/>
              </w:rPr>
              <w:t>obezbijeđ</w:t>
            </w:r>
            <w:r>
              <w:rPr>
                <w:rFonts w:ascii="Arial" w:hAnsi="Arial" w:cs="Arial"/>
                <w:bCs w:val="0"/>
                <w:noProof/>
                <w:sz w:val="22"/>
                <w:lang w:val="sr-Latn-ME"/>
              </w:rPr>
              <w:t>en je</w:t>
            </w:r>
            <w:r w:rsidR="00615910" w:rsidRPr="00615910">
              <w:rPr>
                <w:rFonts w:ascii="Arial" w:hAnsi="Arial" w:cs="Arial"/>
                <w:bCs w:val="0"/>
                <w:noProof/>
                <w:sz w:val="22"/>
                <w:lang w:val="sr-Latn-ME"/>
              </w:rPr>
              <w:t xml:space="preserve"> zakonsk</w:t>
            </w:r>
            <w:r>
              <w:rPr>
                <w:rFonts w:ascii="Arial" w:hAnsi="Arial" w:cs="Arial"/>
                <w:bCs w:val="0"/>
                <w:noProof/>
                <w:sz w:val="22"/>
                <w:lang w:val="sr-Latn-ME"/>
              </w:rPr>
              <w:t>i</w:t>
            </w:r>
            <w:r w:rsidR="00615910" w:rsidRPr="00615910">
              <w:rPr>
                <w:rFonts w:ascii="Arial" w:hAnsi="Arial" w:cs="Arial"/>
                <w:bCs w:val="0"/>
                <w:noProof/>
                <w:sz w:val="22"/>
                <w:lang w:val="sr-Latn-ME"/>
              </w:rPr>
              <w:t xml:space="preserve"> okvir za </w:t>
            </w:r>
            <w:r>
              <w:rPr>
                <w:rFonts w:ascii="Arial" w:hAnsi="Arial" w:cs="Arial"/>
                <w:bCs w:val="0"/>
                <w:noProof/>
                <w:sz w:val="22"/>
                <w:lang w:val="sr-Latn-ME"/>
              </w:rPr>
              <w:t xml:space="preserve">definisanje </w:t>
            </w:r>
            <w:r w:rsidRPr="00507097">
              <w:rPr>
                <w:rFonts w:ascii="Arial" w:hAnsi="Arial" w:cs="Arial"/>
                <w:bCs w:val="0"/>
                <w:noProof/>
                <w:sz w:val="22"/>
                <w:lang w:val="sr-Latn-ME"/>
              </w:rPr>
              <w:t>uslov</w:t>
            </w:r>
            <w:r>
              <w:rPr>
                <w:rFonts w:ascii="Arial" w:hAnsi="Arial" w:cs="Arial"/>
                <w:bCs w:val="0"/>
                <w:noProof/>
                <w:sz w:val="22"/>
                <w:lang w:val="sr-Latn-ME"/>
              </w:rPr>
              <w:t>a</w:t>
            </w:r>
            <w:r w:rsidRPr="00507097">
              <w:rPr>
                <w:rFonts w:ascii="Arial" w:hAnsi="Arial" w:cs="Arial"/>
                <w:bCs w:val="0"/>
                <w:noProof/>
                <w:sz w:val="22"/>
                <w:lang w:val="sr-Latn-ME"/>
              </w:rPr>
              <w:t xml:space="preserve"> za stavljanje građevinskih proizvoda na tržište, odnosno stavljanje na raspolaganje građevinskih proizvoda na tržištu</w:t>
            </w:r>
            <w:r w:rsidR="00615910" w:rsidRPr="00615910">
              <w:rPr>
                <w:rFonts w:ascii="Arial" w:hAnsi="Arial" w:cs="Arial"/>
                <w:bCs w:val="0"/>
                <w:noProof/>
                <w:sz w:val="22"/>
                <w:lang w:val="sr-Latn-ME"/>
              </w:rPr>
              <w:t xml:space="preserve"> u Crnoj Gori kao uslova za njihovo stavljanje na tržište i upotrebu u mjeri potrebnoj za ispunjenje osnovnih zahtjeva za objekte, određenih posebnim propisima, a sve u cilju realizacije opredjeljenja Crne Gore da se uključi u evropske integracije</w:t>
            </w:r>
            <w:r w:rsidR="00615910">
              <w:rPr>
                <w:rFonts w:ascii="Arial" w:hAnsi="Arial" w:cs="Arial"/>
                <w:bCs w:val="0"/>
                <w:noProof/>
                <w:sz w:val="22"/>
                <w:lang w:val="sr-Latn-ME"/>
              </w:rPr>
              <w:t xml:space="preserve">. </w:t>
            </w:r>
            <w:r>
              <w:rPr>
                <w:rFonts w:ascii="Arial" w:hAnsi="Arial" w:cs="Arial"/>
                <w:bCs w:val="0"/>
                <w:noProof/>
                <w:sz w:val="22"/>
                <w:lang w:val="sr-Latn-ME"/>
              </w:rPr>
              <w:t xml:space="preserve"> </w:t>
            </w:r>
          </w:p>
          <w:p w:rsidR="00326941" w:rsidRPr="00A97482" w:rsidRDefault="00326941" w:rsidP="00507097">
            <w:pPr>
              <w:ind w:right="180"/>
              <w:contextualSpacing/>
              <w:rPr>
                <w:rFonts w:ascii="Arial" w:hAnsi="Arial" w:cs="Arial"/>
                <w:bCs w:val="0"/>
                <w:noProof/>
                <w:sz w:val="22"/>
                <w:lang w:val="sr-Latn-ME"/>
              </w:rPr>
            </w:pP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rsidR="003746E2" w:rsidRPr="00A97482" w:rsidRDefault="003746E2" w:rsidP="00A97482">
            <w:pPr>
              <w:autoSpaceDE w:val="0"/>
              <w:autoSpaceDN w:val="0"/>
              <w:adjustRightInd w:val="0"/>
              <w:spacing w:before="120"/>
              <w:ind w:right="181"/>
              <w:rPr>
                <w:rFonts w:ascii="Arial" w:hAnsi="Arial" w:cs="Arial"/>
                <w:b/>
                <w:bCs w:val="0"/>
                <w:color w:val="365F91"/>
                <w:sz w:val="22"/>
                <w:lang w:val="sr-Latn-ME"/>
              </w:rPr>
            </w:pPr>
            <w:r w:rsidRPr="00A97482">
              <w:rPr>
                <w:rFonts w:ascii="Arial" w:hAnsi="Arial" w:cs="Arial"/>
                <w:b/>
                <w:bCs w:val="0"/>
                <w:color w:val="365F91"/>
                <w:sz w:val="22"/>
                <w:lang w:val="sr-Latn-ME"/>
              </w:rPr>
              <w:t>3. Opcije</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Koje su moguće opcije za ispunjavanje ciljeva i rješavanje problema? (uvijek treba razmatrati “status quo” opciju i preporučljivo je uključiti i neregulatornu opciju, osim ako postoji obaveza donošenja predloženog propisa).</w:t>
            </w:r>
          </w:p>
          <w:p w:rsidR="003746E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Obrazložiti preferiranu opciju?</w:t>
            </w:r>
          </w:p>
          <w:p w:rsidR="001A5D1E" w:rsidRPr="001A5D1E" w:rsidRDefault="001A5D1E" w:rsidP="001A5D1E">
            <w:pPr>
              <w:autoSpaceDE w:val="0"/>
              <w:autoSpaceDN w:val="0"/>
              <w:adjustRightInd w:val="0"/>
              <w:ind w:right="180"/>
              <w:contextualSpacing/>
              <w:jc w:val="left"/>
              <w:rPr>
                <w:rFonts w:ascii="Arial" w:hAnsi="Arial" w:cs="Arial"/>
                <w:b/>
                <w:bCs w:val="0"/>
                <w:color w:val="365F91"/>
                <w:sz w:val="14"/>
                <w:lang w:val="sr-Latn-ME"/>
              </w:rPr>
            </w:pP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tcPr>
          <w:p w:rsidR="00A97482" w:rsidRDefault="00507097" w:rsidP="00507097">
            <w:pPr>
              <w:ind w:left="142"/>
              <w:contextualSpacing/>
              <w:rPr>
                <w:rFonts w:ascii="Arial" w:hAnsi="Arial" w:cs="Arial"/>
                <w:color w:val="000000"/>
                <w:sz w:val="22"/>
                <w:lang w:val="sr-Latn-ME"/>
              </w:rPr>
            </w:pPr>
            <w:r w:rsidRPr="00507097">
              <w:rPr>
                <w:rFonts w:ascii="Arial" w:hAnsi="Arial" w:cs="Arial"/>
                <w:color w:val="000000"/>
                <w:sz w:val="22"/>
                <w:lang w:val="sr-Latn-ME"/>
              </w:rPr>
              <w:t xml:space="preserve">Preferirana opcija obezbijediće </w:t>
            </w:r>
            <w:r w:rsidR="00527B94">
              <w:rPr>
                <w:rFonts w:ascii="Arial" w:hAnsi="Arial" w:cs="Arial"/>
                <w:color w:val="000000"/>
                <w:sz w:val="22"/>
                <w:lang w:val="sr-Latn-ME"/>
              </w:rPr>
              <w:t xml:space="preserve">pozitivno mišljenje na tekst Zakona o građevinskim proizvodima u smislu njegove usklađenosti sa </w:t>
            </w:r>
            <w:r w:rsidR="00527B94" w:rsidRPr="00527B94">
              <w:rPr>
                <w:rFonts w:ascii="Arial" w:hAnsi="Arial" w:cs="Arial"/>
                <w:color w:val="000000"/>
                <w:sz w:val="22"/>
                <w:lang w:val="sr-Latn-ME"/>
              </w:rPr>
              <w:t>Regulativ</w:t>
            </w:r>
            <w:r w:rsidR="00527B94">
              <w:rPr>
                <w:rFonts w:ascii="Arial" w:hAnsi="Arial" w:cs="Arial"/>
                <w:color w:val="000000"/>
                <w:sz w:val="22"/>
                <w:lang w:val="sr-Latn-ME"/>
              </w:rPr>
              <w:t>om</w:t>
            </w:r>
            <w:r w:rsidR="00527B94" w:rsidRPr="00527B94">
              <w:rPr>
                <w:rFonts w:ascii="Arial" w:hAnsi="Arial" w:cs="Arial"/>
                <w:color w:val="000000"/>
                <w:sz w:val="22"/>
                <w:lang w:val="sr-Latn-ME"/>
              </w:rPr>
              <w:t xml:space="preserve"> broj 305/2011 Evropskog parlamenta i savjeta od 9. marta 2011.godine, koja propisuje uslove za isporuku na tržište građevinskih proizvoda i ukida Direktivu Savjeta 89/106/ЕЕC / Regulation (EU) No 305/2011 of the European Parliament and of the Council of 9 March 2011 laying down harmonised conditions for the marketing of construction products and repealing Council Directive 89/106/EEC.</w:t>
            </w:r>
          </w:p>
          <w:p w:rsidR="00A97482" w:rsidRDefault="00A97482" w:rsidP="00326941">
            <w:pPr>
              <w:ind w:left="142" w:firstLine="567"/>
              <w:contextualSpacing/>
              <w:rPr>
                <w:rFonts w:ascii="Arial" w:hAnsi="Arial" w:cs="Arial"/>
                <w:color w:val="000000"/>
                <w:sz w:val="22"/>
                <w:lang w:val="sr-Latn-ME"/>
              </w:rPr>
            </w:pPr>
          </w:p>
          <w:p w:rsidR="00326941" w:rsidRPr="00A97482" w:rsidRDefault="00326941" w:rsidP="00326941">
            <w:pPr>
              <w:ind w:left="142" w:firstLine="567"/>
              <w:contextualSpacing/>
              <w:rPr>
                <w:rFonts w:ascii="Arial" w:hAnsi="Arial" w:cs="Arial"/>
                <w:color w:val="000000"/>
                <w:sz w:val="22"/>
                <w:lang w:val="sr-Latn-ME"/>
              </w:rPr>
            </w:pP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rsidR="003746E2" w:rsidRPr="00A97482" w:rsidRDefault="003746E2" w:rsidP="00A97482">
            <w:pPr>
              <w:autoSpaceDE w:val="0"/>
              <w:autoSpaceDN w:val="0"/>
              <w:adjustRightInd w:val="0"/>
              <w:spacing w:before="120"/>
              <w:ind w:right="181"/>
              <w:rPr>
                <w:rFonts w:ascii="Arial" w:hAnsi="Arial" w:cs="Arial"/>
                <w:b/>
                <w:bCs w:val="0"/>
                <w:color w:val="365F91"/>
                <w:sz w:val="22"/>
                <w:lang w:val="sr-Latn-ME"/>
              </w:rPr>
            </w:pPr>
            <w:r w:rsidRPr="00A97482">
              <w:rPr>
                <w:rFonts w:ascii="Arial" w:hAnsi="Arial" w:cs="Arial"/>
                <w:b/>
                <w:bCs w:val="0"/>
                <w:color w:val="365F91"/>
                <w:sz w:val="22"/>
                <w:lang w:val="sr-Latn-ME"/>
              </w:rPr>
              <w:lastRenderedPageBreak/>
              <w:t>4. Analiza uticaja</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Na koga će i kako će najvjerovatnije uticati rješenja u propisu - nabrojati pozitivne i negativne uticaje, direktne i indirektne.</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Koje troškove će primjena propisa izazvati građanima i privredi (naročito malim i srednjim preduzećima)</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Da li pozitivne posljedice donošenja propisa opravdavaju troškove koje će on stvoriti,</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Da li se propisom podržava stvaranje novih privrednih subjekata na tržištu i tržišna konkurencija;</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Uključiti procjenu administrativnih opterećenja i biznis barijera.</w:t>
            </w:r>
          </w:p>
          <w:p w:rsidR="003746E2" w:rsidRPr="001A5D1E" w:rsidRDefault="003746E2" w:rsidP="00A97482">
            <w:pPr>
              <w:autoSpaceDE w:val="0"/>
              <w:autoSpaceDN w:val="0"/>
              <w:adjustRightInd w:val="0"/>
              <w:ind w:left="720" w:right="180"/>
              <w:contextualSpacing/>
              <w:rPr>
                <w:rFonts w:ascii="Arial" w:hAnsi="Arial" w:cs="Arial"/>
                <w:b/>
                <w:bCs w:val="0"/>
                <w:color w:val="365F91"/>
                <w:sz w:val="14"/>
                <w:lang w:val="sr-Latn-ME"/>
              </w:rPr>
            </w:pP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tcPr>
          <w:p w:rsidR="00AB6E7D" w:rsidRPr="00A97482" w:rsidRDefault="00527B94" w:rsidP="00A97482">
            <w:pPr>
              <w:autoSpaceDE w:val="0"/>
              <w:autoSpaceDN w:val="0"/>
              <w:adjustRightInd w:val="0"/>
              <w:contextualSpacing/>
              <w:rPr>
                <w:rFonts w:ascii="Arial" w:hAnsi="Arial" w:cs="Arial"/>
                <w:bCs w:val="0"/>
                <w:sz w:val="22"/>
                <w:lang w:val="sr-Latn-ME"/>
              </w:rPr>
            </w:pPr>
            <w:r>
              <w:rPr>
                <w:rFonts w:ascii="Arial" w:hAnsi="Arial" w:cs="Arial"/>
                <w:bCs w:val="0"/>
                <w:sz w:val="22"/>
                <w:lang w:val="sr-Latn-ME"/>
              </w:rPr>
              <w:t>Zakon o iznjenama i dopunama Zakona o građevinskim proizvodima neće proizvesti ekonomski uticaj ni na građane ni na privredu, a nema ni administrativnih opterećenja.</w:t>
            </w:r>
          </w:p>
          <w:p w:rsidR="00326941" w:rsidRPr="00A97482" w:rsidRDefault="00326941" w:rsidP="00326941">
            <w:pPr>
              <w:autoSpaceDE w:val="0"/>
              <w:autoSpaceDN w:val="0"/>
              <w:adjustRightInd w:val="0"/>
              <w:ind w:firstLine="709"/>
              <w:contextualSpacing/>
              <w:rPr>
                <w:rFonts w:ascii="Arial" w:hAnsi="Arial" w:cs="Arial"/>
                <w:sz w:val="22"/>
                <w:lang w:val="sr-Latn-ME"/>
              </w:rPr>
            </w:pP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rsidR="003746E2" w:rsidRPr="00A97482" w:rsidRDefault="003746E2" w:rsidP="001A5D1E">
            <w:pPr>
              <w:autoSpaceDE w:val="0"/>
              <w:autoSpaceDN w:val="0"/>
              <w:adjustRightInd w:val="0"/>
              <w:spacing w:before="120"/>
              <w:ind w:right="181"/>
              <w:rPr>
                <w:rFonts w:ascii="Arial" w:hAnsi="Arial" w:cs="Arial"/>
                <w:b/>
                <w:bCs w:val="0"/>
                <w:color w:val="365F91"/>
                <w:sz w:val="22"/>
                <w:lang w:val="sr-Latn-ME"/>
              </w:rPr>
            </w:pPr>
            <w:r w:rsidRPr="00A97482">
              <w:rPr>
                <w:rFonts w:ascii="Arial" w:hAnsi="Arial" w:cs="Arial"/>
                <w:b/>
                <w:bCs w:val="0"/>
                <w:color w:val="365F91"/>
                <w:sz w:val="22"/>
                <w:lang w:val="sr-Latn-ME"/>
              </w:rPr>
              <w:t>5. Procjena fiskalnog uticaja</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Da li je potrebno obezbjeđenje finansijskih sredstava iz budžeta Crne Gore za implementaciju propisa i u kom iznosu?;</w:t>
            </w:r>
          </w:p>
          <w:p w:rsidR="003746E2" w:rsidRPr="00A97482" w:rsidRDefault="003746E2" w:rsidP="00A97482">
            <w:pPr>
              <w:numPr>
                <w:ilvl w:val="0"/>
                <w:numId w:val="1"/>
              </w:numPr>
              <w:ind w:right="180"/>
              <w:jc w:val="left"/>
              <w:rPr>
                <w:rFonts w:ascii="Arial" w:hAnsi="Arial" w:cs="Arial"/>
                <w:b/>
                <w:bCs w:val="0"/>
                <w:color w:val="365F91"/>
                <w:sz w:val="22"/>
                <w:lang w:val="sr-Latn-ME"/>
              </w:rPr>
            </w:pPr>
            <w:r w:rsidRPr="00A97482">
              <w:rPr>
                <w:rFonts w:ascii="Arial" w:hAnsi="Arial" w:cs="Arial"/>
                <w:b/>
                <w:bCs w:val="0"/>
                <w:color w:val="365F91"/>
                <w:sz w:val="22"/>
                <w:lang w:val="sr-Latn-ME"/>
              </w:rPr>
              <w:t>Da li je obezbjeđenje finansijskih sredstava jednokratno, ili tokom određenog vremenskog perioda?  Obrazložiti;</w:t>
            </w:r>
          </w:p>
          <w:p w:rsidR="003746E2" w:rsidRPr="00A97482" w:rsidRDefault="003746E2" w:rsidP="00A97482">
            <w:pPr>
              <w:numPr>
                <w:ilvl w:val="0"/>
                <w:numId w:val="1"/>
              </w:numPr>
              <w:ind w:right="180"/>
              <w:jc w:val="left"/>
              <w:rPr>
                <w:rFonts w:ascii="Arial" w:hAnsi="Arial" w:cs="Arial"/>
                <w:b/>
                <w:bCs w:val="0"/>
                <w:color w:val="365F91"/>
                <w:sz w:val="22"/>
                <w:lang w:val="sr-Latn-ME"/>
              </w:rPr>
            </w:pPr>
            <w:r w:rsidRPr="00A97482">
              <w:rPr>
                <w:rFonts w:ascii="Arial" w:hAnsi="Arial" w:cs="Arial"/>
                <w:b/>
                <w:bCs w:val="0"/>
                <w:color w:val="365F91"/>
                <w:sz w:val="22"/>
                <w:lang w:val="sr-Latn-ME"/>
              </w:rPr>
              <w:t>Da li implementacijom propisa proizilaze međunarodne finansijske obaveze? Obrazložiti;</w:t>
            </w:r>
          </w:p>
          <w:p w:rsidR="003746E2" w:rsidRPr="00A97482" w:rsidRDefault="003746E2" w:rsidP="00A97482">
            <w:pPr>
              <w:numPr>
                <w:ilvl w:val="0"/>
                <w:numId w:val="1"/>
              </w:numPr>
              <w:ind w:right="180"/>
              <w:jc w:val="left"/>
              <w:rPr>
                <w:rFonts w:ascii="Arial" w:hAnsi="Arial" w:cs="Arial"/>
                <w:b/>
                <w:bCs w:val="0"/>
                <w:color w:val="365F91"/>
                <w:sz w:val="22"/>
                <w:lang w:val="sr-Latn-ME"/>
              </w:rPr>
            </w:pPr>
            <w:r w:rsidRPr="00A97482">
              <w:rPr>
                <w:rFonts w:ascii="Arial" w:hAnsi="Arial" w:cs="Arial"/>
                <w:b/>
                <w:bCs w:val="0"/>
                <w:color w:val="365F91"/>
                <w:sz w:val="22"/>
                <w:lang w:val="sr-Latn-ME"/>
              </w:rPr>
              <w:t>Da li su neophodna finansijska sredstva obezbijeđena u budžetu za tekuću fiskalnu godinu, odnosno da li su planirana u budžetu za narednu fiskanu godinu?;</w:t>
            </w:r>
          </w:p>
          <w:p w:rsidR="003746E2" w:rsidRPr="00A97482" w:rsidRDefault="003746E2" w:rsidP="00A97482">
            <w:pPr>
              <w:numPr>
                <w:ilvl w:val="0"/>
                <w:numId w:val="1"/>
              </w:numPr>
              <w:ind w:right="180"/>
              <w:jc w:val="left"/>
              <w:rPr>
                <w:rFonts w:ascii="Arial" w:hAnsi="Arial" w:cs="Arial"/>
                <w:b/>
                <w:bCs w:val="0"/>
                <w:color w:val="365F91"/>
                <w:sz w:val="22"/>
                <w:lang w:val="sr-Latn-ME"/>
              </w:rPr>
            </w:pPr>
            <w:r w:rsidRPr="00A97482">
              <w:rPr>
                <w:rFonts w:ascii="Arial" w:hAnsi="Arial" w:cs="Arial"/>
                <w:b/>
                <w:bCs w:val="0"/>
                <w:color w:val="365F91"/>
                <w:sz w:val="22"/>
                <w:lang w:val="sr-Latn-ME"/>
              </w:rPr>
              <w:t>Da li je usvajanjem propisa predviđeno donošenje podzakonskih akata iz kojih će proisteći finansijske obaveze?;</w:t>
            </w:r>
          </w:p>
          <w:p w:rsidR="003746E2" w:rsidRPr="00A97482" w:rsidRDefault="003746E2" w:rsidP="00A97482">
            <w:pPr>
              <w:numPr>
                <w:ilvl w:val="0"/>
                <w:numId w:val="1"/>
              </w:numPr>
              <w:ind w:right="180"/>
              <w:jc w:val="left"/>
              <w:rPr>
                <w:rFonts w:ascii="Arial" w:hAnsi="Arial" w:cs="Arial"/>
                <w:b/>
                <w:bCs w:val="0"/>
                <w:color w:val="365F91"/>
                <w:sz w:val="22"/>
                <w:lang w:val="sr-Latn-ME"/>
              </w:rPr>
            </w:pPr>
            <w:r w:rsidRPr="00A97482">
              <w:rPr>
                <w:rFonts w:ascii="Arial" w:hAnsi="Arial" w:cs="Arial"/>
                <w:b/>
                <w:bCs w:val="0"/>
                <w:color w:val="365F91"/>
                <w:sz w:val="22"/>
                <w:lang w:val="sr-Latn-ME"/>
              </w:rPr>
              <w:t>Da li će se implementacijom propisa ostvariti prihod za budžet Crne Gore?;</w:t>
            </w:r>
          </w:p>
          <w:p w:rsidR="003746E2" w:rsidRPr="00A97482" w:rsidRDefault="003746E2" w:rsidP="00A97482">
            <w:pPr>
              <w:numPr>
                <w:ilvl w:val="0"/>
                <w:numId w:val="1"/>
              </w:numPr>
              <w:ind w:right="180"/>
              <w:jc w:val="left"/>
              <w:rPr>
                <w:rFonts w:ascii="Arial" w:hAnsi="Arial" w:cs="Arial"/>
                <w:b/>
                <w:bCs w:val="0"/>
                <w:color w:val="365F91"/>
                <w:sz w:val="22"/>
                <w:lang w:val="sr-Latn-ME"/>
              </w:rPr>
            </w:pPr>
            <w:r w:rsidRPr="00A97482">
              <w:rPr>
                <w:rFonts w:ascii="Arial" w:hAnsi="Arial" w:cs="Arial"/>
                <w:b/>
                <w:bCs w:val="0"/>
                <w:color w:val="365F91"/>
                <w:sz w:val="22"/>
                <w:lang w:val="sr-Latn-ME"/>
              </w:rPr>
              <w:t>Dbrazložiti metodologiju koja je korišćenja prilikom obračuna finansijskih izdataka/prihoda;</w:t>
            </w:r>
          </w:p>
          <w:p w:rsidR="003746E2" w:rsidRPr="00A97482" w:rsidRDefault="003746E2" w:rsidP="00A97482">
            <w:pPr>
              <w:numPr>
                <w:ilvl w:val="0"/>
                <w:numId w:val="1"/>
              </w:numPr>
              <w:ind w:right="180"/>
              <w:jc w:val="left"/>
              <w:rPr>
                <w:rFonts w:ascii="Arial" w:hAnsi="Arial" w:cs="Arial"/>
                <w:b/>
                <w:bCs w:val="0"/>
                <w:color w:val="365F91"/>
                <w:sz w:val="22"/>
                <w:lang w:val="sr-Latn-ME"/>
              </w:rPr>
            </w:pPr>
            <w:r w:rsidRPr="00A97482">
              <w:rPr>
                <w:rFonts w:ascii="Arial" w:hAnsi="Arial" w:cs="Arial"/>
                <w:b/>
                <w:bCs w:val="0"/>
                <w:color w:val="365F91"/>
                <w:sz w:val="22"/>
                <w:lang w:val="sr-Latn-ME"/>
              </w:rPr>
              <w:t>Da li su postojali problemi u preciznom obračunu finansijskih izdataka/prihoda? Obrazložiti;</w:t>
            </w:r>
          </w:p>
          <w:p w:rsidR="003746E2" w:rsidRPr="00A97482" w:rsidRDefault="003746E2" w:rsidP="00A97482">
            <w:pPr>
              <w:numPr>
                <w:ilvl w:val="0"/>
                <w:numId w:val="1"/>
              </w:numPr>
              <w:ind w:right="180"/>
              <w:jc w:val="left"/>
              <w:rPr>
                <w:rFonts w:ascii="Arial" w:hAnsi="Arial" w:cs="Arial"/>
                <w:b/>
                <w:bCs w:val="0"/>
                <w:color w:val="365F91"/>
                <w:sz w:val="22"/>
                <w:lang w:val="sr-Latn-ME"/>
              </w:rPr>
            </w:pPr>
            <w:r w:rsidRPr="00A97482">
              <w:rPr>
                <w:rFonts w:ascii="Arial" w:hAnsi="Arial" w:cs="Arial"/>
                <w:b/>
                <w:bCs w:val="0"/>
                <w:color w:val="365F91"/>
                <w:sz w:val="22"/>
                <w:lang w:val="sr-Latn-ME"/>
              </w:rPr>
              <w:t>Da li su postojale sugestije Ministarstva finansija na nacrt/predlog propisa?;</w:t>
            </w:r>
          </w:p>
          <w:p w:rsidR="003746E2" w:rsidRPr="00A97482" w:rsidRDefault="003746E2" w:rsidP="00A97482">
            <w:pPr>
              <w:numPr>
                <w:ilvl w:val="0"/>
                <w:numId w:val="1"/>
              </w:numPr>
              <w:ind w:right="180"/>
              <w:jc w:val="left"/>
              <w:rPr>
                <w:rFonts w:ascii="Arial" w:hAnsi="Arial" w:cs="Arial"/>
                <w:b/>
                <w:bCs w:val="0"/>
                <w:color w:val="365F91"/>
                <w:sz w:val="22"/>
                <w:lang w:val="sr-Latn-ME"/>
              </w:rPr>
            </w:pPr>
            <w:r w:rsidRPr="00A97482">
              <w:rPr>
                <w:rFonts w:ascii="Arial" w:hAnsi="Arial" w:cs="Arial"/>
                <w:b/>
                <w:bCs w:val="0"/>
                <w:color w:val="365F91"/>
                <w:sz w:val="22"/>
                <w:lang w:val="sr-Latn-ME"/>
              </w:rPr>
              <w:t>Da li su dobijene primjedbe implementirane u tekst propisa? Obrazložiti.</w:t>
            </w:r>
          </w:p>
          <w:p w:rsidR="003746E2" w:rsidRPr="001A5D1E" w:rsidRDefault="003746E2" w:rsidP="00A97482">
            <w:pPr>
              <w:ind w:left="630" w:right="180"/>
              <w:rPr>
                <w:rFonts w:ascii="Arial" w:hAnsi="Arial" w:cs="Arial"/>
                <w:b/>
                <w:bCs w:val="0"/>
                <w:color w:val="365F91"/>
                <w:sz w:val="14"/>
                <w:lang w:val="sr-Latn-ME"/>
              </w:rPr>
            </w:pP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tcPr>
          <w:p w:rsidR="00527B94" w:rsidRPr="00527B94" w:rsidRDefault="00527B94" w:rsidP="00527B94">
            <w:pPr>
              <w:rPr>
                <w:rFonts w:ascii="Arial" w:hAnsi="Arial" w:cs="Arial"/>
                <w:bCs w:val="0"/>
                <w:noProof/>
                <w:sz w:val="22"/>
                <w:lang w:val="sr-Latn-ME"/>
              </w:rPr>
            </w:pPr>
            <w:r w:rsidRPr="00527B94">
              <w:rPr>
                <w:rFonts w:ascii="Arial" w:hAnsi="Arial" w:cs="Arial"/>
                <w:bCs w:val="0"/>
                <w:noProof/>
                <w:sz w:val="22"/>
                <w:lang w:val="sr-Latn-ME"/>
              </w:rPr>
              <w:t>Nije potrebno obezbjeđenje finansijskih sredstava iz budžeta Crne Gore.</w:t>
            </w:r>
          </w:p>
          <w:p w:rsidR="00376728" w:rsidRPr="00A97482" w:rsidRDefault="00527B94" w:rsidP="00527B94">
            <w:pPr>
              <w:rPr>
                <w:rFonts w:ascii="Arial" w:hAnsi="Arial" w:cs="Arial"/>
                <w:bCs w:val="0"/>
                <w:noProof/>
                <w:sz w:val="22"/>
                <w:lang w:val="sr-Latn-ME"/>
              </w:rPr>
            </w:pPr>
            <w:r w:rsidRPr="00527B94">
              <w:rPr>
                <w:rFonts w:ascii="Arial" w:hAnsi="Arial" w:cs="Arial"/>
                <w:bCs w:val="0"/>
                <w:noProof/>
                <w:sz w:val="22"/>
                <w:lang w:val="sr-Latn-ME"/>
              </w:rPr>
              <w:t>Iz implementacije propisa ne proizilaze međunarodne finansijske obaveze.</w:t>
            </w:r>
          </w:p>
          <w:p w:rsidR="003746E2" w:rsidRPr="00A97482" w:rsidRDefault="003746E2" w:rsidP="00527B94">
            <w:pPr>
              <w:rPr>
                <w:rFonts w:ascii="Arial" w:eastAsia="Calibri" w:hAnsi="Arial" w:cs="Arial"/>
                <w:sz w:val="22"/>
                <w:lang w:val="sr-Latn-ME"/>
              </w:rPr>
            </w:pP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rsidR="003746E2" w:rsidRPr="00A97482" w:rsidRDefault="003746E2" w:rsidP="001A5D1E">
            <w:pPr>
              <w:autoSpaceDE w:val="0"/>
              <w:autoSpaceDN w:val="0"/>
              <w:adjustRightInd w:val="0"/>
              <w:spacing w:before="120"/>
              <w:ind w:right="181"/>
              <w:rPr>
                <w:rFonts w:ascii="Arial" w:hAnsi="Arial" w:cs="Arial"/>
                <w:b/>
                <w:bCs w:val="0"/>
                <w:color w:val="365F91"/>
                <w:sz w:val="22"/>
                <w:lang w:val="sr-Latn-ME"/>
              </w:rPr>
            </w:pPr>
            <w:r w:rsidRPr="00A97482">
              <w:rPr>
                <w:rFonts w:ascii="Arial" w:hAnsi="Arial" w:cs="Arial"/>
                <w:b/>
                <w:bCs w:val="0"/>
                <w:color w:val="365F91"/>
                <w:sz w:val="22"/>
                <w:lang w:val="sr-Latn-ME"/>
              </w:rPr>
              <w:t xml:space="preserve">6. </w:t>
            </w:r>
            <w:r w:rsidRPr="00A97482">
              <w:rPr>
                <w:rFonts w:ascii="Arial" w:hAnsi="Arial" w:cs="Arial"/>
                <w:bCs w:val="0"/>
                <w:color w:val="365F91"/>
                <w:sz w:val="22"/>
                <w:lang w:val="sr-Latn-ME"/>
              </w:rPr>
              <w:t>K</w:t>
            </w:r>
            <w:r w:rsidRPr="00A97482">
              <w:rPr>
                <w:rFonts w:ascii="Arial" w:hAnsi="Arial" w:cs="Arial"/>
                <w:b/>
                <w:bCs w:val="0"/>
                <w:color w:val="365F91"/>
                <w:sz w:val="22"/>
                <w:lang w:val="sr-Latn-ME"/>
              </w:rPr>
              <w:t>onsultacije zainteresovanih strana</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Naznačiti da li je korišćena eksterna ekspertiza i ako da, kako;</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Naznačiti koje su grupe zainteresovanih strana konsultovane, u kojoj fazi RIA procesa i kako (javne ili ciljane konsultacije);</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Naznačiti glavne rezultate konsultacija, i koji su predlozi i sugestije zainteresovanih strana prihvaćeni odnosno nijesu prihvaćeni, Obrazložiti</w:t>
            </w:r>
          </w:p>
          <w:p w:rsidR="003746E2" w:rsidRPr="001A5D1E" w:rsidRDefault="003746E2" w:rsidP="001A5D1E">
            <w:pPr>
              <w:autoSpaceDE w:val="0"/>
              <w:autoSpaceDN w:val="0"/>
              <w:adjustRightInd w:val="0"/>
              <w:ind w:left="270" w:right="180"/>
              <w:contextualSpacing/>
              <w:rPr>
                <w:rFonts w:ascii="Arial" w:hAnsi="Arial" w:cs="Arial"/>
                <w:b/>
                <w:bCs w:val="0"/>
                <w:color w:val="365F91"/>
                <w:sz w:val="14"/>
                <w:lang w:val="sr-Latn-ME"/>
              </w:rPr>
            </w:pP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tcPr>
          <w:p w:rsidR="003746E2" w:rsidRPr="00A97482" w:rsidRDefault="003746E2" w:rsidP="00A97482">
            <w:pPr>
              <w:rPr>
                <w:rFonts w:ascii="Arial" w:hAnsi="Arial" w:cs="Arial"/>
                <w:sz w:val="22"/>
                <w:lang w:val="sr-Latn-ME"/>
              </w:rPr>
            </w:pPr>
          </w:p>
          <w:p w:rsidR="00EE13ED" w:rsidRDefault="00DE16CF" w:rsidP="00EE13ED">
            <w:pPr>
              <w:rPr>
                <w:rFonts w:ascii="Arial" w:hAnsi="Arial" w:cs="Arial"/>
                <w:bCs w:val="0"/>
                <w:noProof/>
                <w:sz w:val="22"/>
                <w:lang w:val="sr-Latn-ME"/>
              </w:rPr>
            </w:pPr>
            <w:r w:rsidRPr="00EE13ED">
              <w:rPr>
                <w:rFonts w:ascii="Arial" w:hAnsi="Arial" w:cs="Arial"/>
                <w:bCs w:val="0"/>
                <w:noProof/>
                <w:sz w:val="22"/>
                <w:lang w:val="sr-Latn-ME"/>
              </w:rPr>
              <w:t xml:space="preserve">Kroz IPA Projekat 2014 „Tehnička pomoć za usklađivanje i sprovođenje pravne tekovine EU u oblasti unutrašnjeg tržišta“ (Technical Assistance for Alignment and Implementation of the EU Internal Market Acquis) </w:t>
            </w:r>
            <w:r w:rsidR="002F2669">
              <w:rPr>
                <w:rFonts w:ascii="Arial" w:hAnsi="Arial" w:cs="Arial"/>
                <w:bCs w:val="0"/>
                <w:noProof/>
                <w:sz w:val="22"/>
                <w:lang w:val="sr-Latn-ME"/>
              </w:rPr>
              <w:t xml:space="preserve">obezbijeđena je ekspertska </w:t>
            </w:r>
            <w:r w:rsidR="002F2669">
              <w:rPr>
                <w:rFonts w:ascii="Arial" w:hAnsi="Arial" w:cs="Arial"/>
                <w:bCs w:val="0"/>
                <w:noProof/>
                <w:sz w:val="22"/>
                <w:lang w:val="sr-Latn-ME"/>
              </w:rPr>
              <w:t>pomoć</w:t>
            </w:r>
            <w:r w:rsidRPr="00EE13ED">
              <w:rPr>
                <w:rFonts w:ascii="Arial" w:hAnsi="Arial" w:cs="Arial"/>
                <w:bCs w:val="0"/>
                <w:noProof/>
                <w:sz w:val="22"/>
                <w:lang w:val="sr-Latn-ME"/>
              </w:rPr>
              <w:t xml:space="preserve"> g-đe </w:t>
            </w:r>
            <w:r w:rsidR="00EE13ED" w:rsidRPr="00EE13ED">
              <w:rPr>
                <w:rFonts w:ascii="Arial" w:hAnsi="Arial" w:cs="Arial"/>
                <w:bCs w:val="0"/>
                <w:noProof/>
                <w:sz w:val="22"/>
                <w:lang w:val="sr-Latn-ME"/>
              </w:rPr>
              <w:t>Sanje Živković</w:t>
            </w:r>
            <w:r w:rsidR="00EE13ED">
              <w:rPr>
                <w:rFonts w:ascii="Arial" w:hAnsi="Arial" w:cs="Arial"/>
                <w:bCs w:val="0"/>
                <w:noProof/>
                <w:sz w:val="22"/>
                <w:lang w:val="sr-Latn-ME"/>
              </w:rPr>
              <w:t xml:space="preserve">, </w:t>
            </w:r>
            <w:r w:rsidR="002F2669">
              <w:rPr>
                <w:rFonts w:ascii="Arial" w:hAnsi="Arial" w:cs="Arial"/>
                <w:bCs w:val="0"/>
                <w:noProof/>
                <w:sz w:val="22"/>
                <w:lang w:val="sr-Latn-ME"/>
              </w:rPr>
              <w:t xml:space="preserve">kroz koji su dobijeni predlozi </w:t>
            </w:r>
            <w:r w:rsidR="00EE13ED" w:rsidRPr="00EE13ED">
              <w:rPr>
                <w:rFonts w:ascii="Arial" w:hAnsi="Arial" w:cs="Arial"/>
                <w:bCs w:val="0"/>
                <w:noProof/>
                <w:sz w:val="22"/>
                <w:lang w:val="sr-Latn-ME"/>
              </w:rPr>
              <w:t xml:space="preserve">kako da se </w:t>
            </w:r>
            <w:r w:rsidR="00EE13ED">
              <w:rPr>
                <w:rFonts w:ascii="Arial" w:hAnsi="Arial" w:cs="Arial"/>
                <w:bCs w:val="0"/>
                <w:noProof/>
                <w:sz w:val="22"/>
                <w:lang w:val="sr-Latn-ME"/>
              </w:rPr>
              <w:t>p</w:t>
            </w:r>
            <w:r w:rsidR="00EE13ED" w:rsidRPr="00EE13ED">
              <w:rPr>
                <w:rFonts w:ascii="Arial" w:hAnsi="Arial" w:cs="Arial"/>
                <w:bCs w:val="0"/>
                <w:noProof/>
                <w:sz w:val="22"/>
                <w:lang w:val="sr-Latn-ME"/>
              </w:rPr>
              <w:t>rimjedbe Evropske komisije na Zakon o o građevinskim proizvodima, u smislu njegove usaglašenosti sa Regulativom broj 3</w:t>
            </w:r>
            <w:r w:rsidR="00EE13ED">
              <w:rPr>
                <w:rFonts w:ascii="Arial" w:hAnsi="Arial" w:cs="Arial"/>
                <w:bCs w:val="0"/>
                <w:noProof/>
                <w:sz w:val="22"/>
                <w:lang w:val="sr-Latn-ME"/>
              </w:rPr>
              <w:t>05/2011 Evropskog parlamenta i S</w:t>
            </w:r>
            <w:r w:rsidR="00EE13ED" w:rsidRPr="00EE13ED">
              <w:rPr>
                <w:rFonts w:ascii="Arial" w:hAnsi="Arial" w:cs="Arial"/>
                <w:bCs w:val="0"/>
                <w:noProof/>
                <w:sz w:val="22"/>
                <w:lang w:val="sr-Latn-ME"/>
              </w:rPr>
              <w:t xml:space="preserve">avjeta od 9. marta 2011.godine,  inkorporiraju u tekst Izmjena i dopuna Zakona o </w:t>
            </w:r>
            <w:r w:rsidR="00EE13ED" w:rsidRPr="00EE13ED">
              <w:rPr>
                <w:rFonts w:ascii="Arial" w:hAnsi="Arial" w:cs="Arial"/>
                <w:bCs w:val="0"/>
                <w:noProof/>
                <w:sz w:val="22"/>
                <w:lang w:val="sr-Latn-ME"/>
              </w:rPr>
              <w:lastRenderedPageBreak/>
              <w:t>građevinskim proizvodima.</w:t>
            </w:r>
          </w:p>
          <w:p w:rsidR="00326941" w:rsidRDefault="00EE13ED" w:rsidP="00DB10EB">
            <w:pPr>
              <w:rPr>
                <w:rFonts w:ascii="Arial" w:hAnsi="Arial" w:cs="Arial"/>
                <w:noProof/>
                <w:sz w:val="22"/>
              </w:rPr>
            </w:pPr>
            <w:r>
              <w:rPr>
                <w:rFonts w:ascii="Arial" w:hAnsi="Arial" w:cs="Arial"/>
                <w:bCs w:val="0"/>
                <w:noProof/>
                <w:sz w:val="22"/>
                <w:lang w:val="en-US"/>
              </w:rPr>
              <w:t>U skladu sa članom</w:t>
            </w:r>
            <w:r w:rsidRPr="00EE13ED">
              <w:rPr>
                <w:rFonts w:ascii="Arial" w:hAnsi="Arial" w:cs="Arial"/>
                <w:bCs w:val="0"/>
                <w:noProof/>
                <w:sz w:val="22"/>
                <w:lang w:val="en-US"/>
              </w:rPr>
              <w:t xml:space="preserve"> 12 Uredbe o izboru predstavnika nevladinih organizacija u radna tijela organa državne uprave i sprovođenju javne rasprave u pripremi zakona i strategija (“Sl. list CG”, br. 41/18), Ministarstvo održivog razvoja i turizma, objav</w:t>
            </w:r>
            <w:r>
              <w:rPr>
                <w:rFonts w:ascii="Arial" w:hAnsi="Arial" w:cs="Arial"/>
                <w:bCs w:val="0"/>
                <w:noProof/>
                <w:sz w:val="22"/>
                <w:lang w:val="en-US"/>
              </w:rPr>
              <w:t xml:space="preserve">ilo je </w:t>
            </w:r>
            <w:r w:rsidRPr="00EE13ED">
              <w:rPr>
                <w:rFonts w:ascii="Arial" w:hAnsi="Arial" w:cs="Arial"/>
                <w:bCs w:val="0"/>
                <w:noProof/>
                <w:sz w:val="22"/>
                <w:lang w:val="en-US"/>
              </w:rPr>
              <w:t>Javni poziv za konsultovanje zainteresovane javnosti povodom izrade Nacrta zakona o izmjenama i dopunama Zakona o građevinskim proizvodima, dana 09.03.2020.godine, na internet starnici Ministarstva i portalu e-uprave</w:t>
            </w:r>
            <w:r>
              <w:rPr>
                <w:rFonts w:ascii="Arial" w:hAnsi="Arial" w:cs="Arial"/>
                <w:bCs w:val="0"/>
                <w:noProof/>
                <w:sz w:val="22"/>
                <w:lang w:val="en-US"/>
              </w:rPr>
              <w:t>.</w:t>
            </w:r>
            <w:r w:rsidRPr="00EE13ED">
              <w:rPr>
                <w:rFonts w:ascii="Arial" w:hAnsi="Arial" w:cs="Arial"/>
                <w:color w:val="000000"/>
                <w:sz w:val="18"/>
                <w:szCs w:val="18"/>
                <w:shd w:val="clear" w:color="auto" w:fill="FFFFFF"/>
              </w:rPr>
              <w:t xml:space="preserve"> </w:t>
            </w:r>
            <w:r w:rsidRPr="00EE13ED">
              <w:rPr>
                <w:rFonts w:ascii="Arial" w:hAnsi="Arial" w:cs="Arial"/>
                <w:noProof/>
                <w:sz w:val="22"/>
              </w:rPr>
              <w:t>U periodu određenom za konsultovanje zainteresovane javnost</w:t>
            </w:r>
            <w:r w:rsidR="00DB10EB">
              <w:rPr>
                <w:rFonts w:ascii="Arial" w:hAnsi="Arial" w:cs="Arial"/>
                <w:noProof/>
                <w:sz w:val="22"/>
              </w:rPr>
              <w:t xml:space="preserve">i, </w:t>
            </w:r>
            <w:r w:rsidRPr="00EE13ED">
              <w:rPr>
                <w:rFonts w:ascii="Arial" w:hAnsi="Arial" w:cs="Arial"/>
                <w:noProof/>
                <w:sz w:val="22"/>
              </w:rPr>
              <w:t>nije bilo zainteresovanih subjekata za učešće u konsultacijama, i nije bilo dostavljenih inicijativa, predloga, sugestija i komentara.</w:t>
            </w:r>
            <w:r w:rsidR="00BF696F">
              <w:rPr>
                <w:rFonts w:ascii="Arial" w:hAnsi="Arial" w:cs="Arial"/>
                <w:noProof/>
                <w:sz w:val="22"/>
              </w:rPr>
              <w:t xml:space="preserve"> </w:t>
            </w:r>
            <w:r w:rsidR="00DB10EB">
              <w:rPr>
                <w:rFonts w:ascii="Arial" w:hAnsi="Arial" w:cs="Arial"/>
                <w:noProof/>
                <w:sz w:val="22"/>
              </w:rPr>
              <w:t>Rje</w:t>
            </w:r>
            <w:r w:rsidR="00DB10EB" w:rsidRPr="00DB10EB">
              <w:rPr>
                <w:rFonts w:ascii="Arial" w:hAnsi="Arial" w:cs="Arial"/>
                <w:noProof/>
                <w:sz w:val="22"/>
                <w:lang w:val="sr-Latn-ME"/>
              </w:rPr>
              <w:t>š</w:t>
            </w:r>
            <w:r w:rsidR="00DB10EB">
              <w:rPr>
                <w:rFonts w:ascii="Arial" w:hAnsi="Arial" w:cs="Arial"/>
                <w:noProof/>
                <w:sz w:val="22"/>
                <w:lang w:val="sr-Latn-ME"/>
              </w:rPr>
              <w:t>enjem Ministarstva,</w:t>
            </w:r>
            <w:r w:rsidR="00DB10EB">
              <w:rPr>
                <w:rFonts w:ascii="Arial" w:hAnsi="Arial" w:cs="Arial"/>
                <w:noProof/>
                <w:sz w:val="22"/>
              </w:rPr>
              <w:t xml:space="preserve"> f</w:t>
            </w:r>
            <w:r w:rsidR="00BF696F">
              <w:rPr>
                <w:rFonts w:ascii="Arial" w:hAnsi="Arial" w:cs="Arial"/>
                <w:noProof/>
                <w:sz w:val="22"/>
              </w:rPr>
              <w:t xml:space="preserve">ormirana je Radna grupa za izaradu navedenog </w:t>
            </w:r>
            <w:r w:rsidR="00DB10EB">
              <w:rPr>
                <w:rFonts w:ascii="Arial" w:hAnsi="Arial" w:cs="Arial"/>
                <w:noProof/>
                <w:sz w:val="22"/>
              </w:rPr>
              <w:t xml:space="preserve">Nacrta </w:t>
            </w:r>
            <w:bookmarkStart w:id="0" w:name="_GoBack"/>
            <w:bookmarkEnd w:id="0"/>
            <w:r w:rsidR="00BF696F">
              <w:rPr>
                <w:rFonts w:ascii="Arial" w:hAnsi="Arial" w:cs="Arial"/>
                <w:noProof/>
                <w:sz w:val="22"/>
              </w:rPr>
              <w:t xml:space="preserve">zakona, a u </w:t>
            </w:r>
            <w:r w:rsidR="00DB10EB" w:rsidRPr="00DB10EB">
              <w:rPr>
                <w:rFonts w:ascii="Arial" w:hAnsi="Arial" w:cs="Arial"/>
                <w:noProof/>
                <w:sz w:val="22"/>
                <w:lang w:val="sr-Latn-ME"/>
              </w:rPr>
              <w:t>č</w:t>
            </w:r>
            <w:r w:rsidR="00BF696F">
              <w:rPr>
                <w:rFonts w:ascii="Arial" w:hAnsi="Arial" w:cs="Arial"/>
                <w:noProof/>
                <w:sz w:val="22"/>
              </w:rPr>
              <w:t>ijem sasat</w:t>
            </w:r>
            <w:r w:rsidR="00DB10EB">
              <w:rPr>
                <w:rFonts w:ascii="Arial" w:hAnsi="Arial" w:cs="Arial"/>
                <w:noProof/>
                <w:sz w:val="22"/>
              </w:rPr>
              <w:t>a</w:t>
            </w:r>
            <w:r w:rsidR="00BF696F">
              <w:rPr>
                <w:rFonts w:ascii="Arial" w:hAnsi="Arial" w:cs="Arial"/>
                <w:noProof/>
                <w:sz w:val="22"/>
              </w:rPr>
              <w:t>vu su, pored p</w:t>
            </w:r>
            <w:r w:rsidR="00DB10EB">
              <w:rPr>
                <w:rFonts w:ascii="Arial" w:hAnsi="Arial" w:cs="Arial"/>
                <w:noProof/>
                <w:sz w:val="22"/>
              </w:rPr>
              <w:t xml:space="preserve">redstavnika Ministarstva </w:t>
            </w:r>
            <w:r w:rsidR="00DB10EB" w:rsidRPr="00DB10EB">
              <w:rPr>
                <w:rFonts w:ascii="Arial" w:hAnsi="Arial" w:cs="Arial"/>
                <w:noProof/>
                <w:sz w:val="22"/>
                <w:lang w:val="en-US"/>
              </w:rPr>
              <w:t>održivog razvoja i turizma</w:t>
            </w:r>
            <w:r w:rsidR="00BF696F">
              <w:rPr>
                <w:rFonts w:ascii="Arial" w:hAnsi="Arial" w:cs="Arial"/>
                <w:noProof/>
                <w:sz w:val="22"/>
              </w:rPr>
              <w:t>,</w:t>
            </w:r>
            <w:r w:rsidR="00DB10EB">
              <w:rPr>
                <w:rFonts w:ascii="Arial" w:hAnsi="Arial" w:cs="Arial"/>
                <w:noProof/>
                <w:sz w:val="22"/>
              </w:rPr>
              <w:t xml:space="preserve"> bili uklju</w:t>
            </w:r>
            <w:r w:rsidR="00DB10EB" w:rsidRPr="00DB10EB">
              <w:rPr>
                <w:rFonts w:ascii="Arial" w:hAnsi="Arial" w:cs="Arial"/>
                <w:noProof/>
                <w:sz w:val="22"/>
                <w:lang w:val="sr-Latn-ME"/>
              </w:rPr>
              <w:t>č</w:t>
            </w:r>
            <w:r w:rsidR="00DB10EB">
              <w:rPr>
                <w:rFonts w:ascii="Arial" w:hAnsi="Arial" w:cs="Arial"/>
                <w:noProof/>
                <w:sz w:val="22"/>
                <w:lang w:val="sr-Latn-ME"/>
              </w:rPr>
              <w:t>eni i predstavnici Uprave za inspekcijske poslve, kao i predstavnici privrednog sektora.</w:t>
            </w:r>
            <w:r w:rsidR="00BF696F">
              <w:rPr>
                <w:rFonts w:ascii="Arial" w:hAnsi="Arial" w:cs="Arial"/>
                <w:noProof/>
                <w:sz w:val="22"/>
              </w:rPr>
              <w:t xml:space="preserve"> </w:t>
            </w:r>
          </w:p>
          <w:p w:rsidR="00DB10EB" w:rsidRPr="00A97482" w:rsidRDefault="00DB10EB" w:rsidP="00DB10EB">
            <w:pPr>
              <w:rPr>
                <w:rFonts w:ascii="Arial" w:hAnsi="Arial" w:cs="Arial"/>
                <w:bCs w:val="0"/>
                <w:color w:val="FF0000"/>
                <w:sz w:val="22"/>
                <w:lang w:val="sr-Latn-ME"/>
              </w:rPr>
            </w:pP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rsidR="003746E2" w:rsidRPr="00A97482" w:rsidRDefault="003746E2" w:rsidP="001A5D1E">
            <w:pPr>
              <w:autoSpaceDE w:val="0"/>
              <w:autoSpaceDN w:val="0"/>
              <w:adjustRightInd w:val="0"/>
              <w:spacing w:before="120"/>
              <w:ind w:right="181"/>
              <w:rPr>
                <w:rFonts w:ascii="Arial" w:hAnsi="Arial" w:cs="Arial"/>
                <w:b/>
                <w:bCs w:val="0"/>
                <w:color w:val="365F91"/>
                <w:sz w:val="22"/>
                <w:lang w:val="sr-Latn-ME"/>
              </w:rPr>
            </w:pPr>
            <w:r w:rsidRPr="00A97482">
              <w:rPr>
                <w:rFonts w:ascii="Arial" w:hAnsi="Arial" w:cs="Arial"/>
                <w:b/>
                <w:bCs w:val="0"/>
                <w:color w:val="365F91"/>
                <w:sz w:val="22"/>
                <w:lang w:val="sr-Latn-ME"/>
              </w:rPr>
              <w:lastRenderedPageBreak/>
              <w:t>7: Monitoring i evaluacija</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 xml:space="preserve">Koje su potencijalne prepreke za implementaciju propisa? </w:t>
            </w:r>
          </w:p>
          <w:p w:rsidR="003746E2" w:rsidRPr="00A97482" w:rsidRDefault="003746E2" w:rsidP="00A97482">
            <w:pPr>
              <w:autoSpaceDE w:val="0"/>
              <w:autoSpaceDN w:val="0"/>
              <w:adjustRightInd w:val="0"/>
              <w:ind w:left="630"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Koje će mjere biti preduzete tokom primjene propisa da bi se ispunili ciljevi?</w:t>
            </w:r>
          </w:p>
          <w:p w:rsidR="003746E2" w:rsidRPr="00A9748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Koji su glavni indikatori prema kojima će se mjeriti ispunjenje ciljeva?</w:t>
            </w:r>
          </w:p>
          <w:p w:rsidR="003746E2" w:rsidRDefault="003746E2" w:rsidP="00A97482">
            <w:pPr>
              <w:numPr>
                <w:ilvl w:val="0"/>
                <w:numId w:val="1"/>
              </w:numPr>
              <w:autoSpaceDE w:val="0"/>
              <w:autoSpaceDN w:val="0"/>
              <w:adjustRightInd w:val="0"/>
              <w:ind w:right="180"/>
              <w:contextualSpacing/>
              <w:jc w:val="left"/>
              <w:rPr>
                <w:rFonts w:ascii="Arial" w:hAnsi="Arial" w:cs="Arial"/>
                <w:b/>
                <w:bCs w:val="0"/>
                <w:color w:val="365F91"/>
                <w:sz w:val="22"/>
                <w:lang w:val="sr-Latn-ME"/>
              </w:rPr>
            </w:pPr>
            <w:r w:rsidRPr="00A97482">
              <w:rPr>
                <w:rFonts w:ascii="Arial" w:hAnsi="Arial" w:cs="Arial"/>
                <w:b/>
                <w:bCs w:val="0"/>
                <w:color w:val="365F91"/>
                <w:sz w:val="22"/>
                <w:lang w:val="sr-Latn-ME"/>
              </w:rPr>
              <w:t>Ko će biti zadužen za sprovođenje monitoringa i evaluacije primjene propisa?</w:t>
            </w:r>
          </w:p>
          <w:p w:rsidR="001A5D1E" w:rsidRPr="001A5D1E" w:rsidRDefault="001A5D1E" w:rsidP="001A5D1E">
            <w:pPr>
              <w:autoSpaceDE w:val="0"/>
              <w:autoSpaceDN w:val="0"/>
              <w:adjustRightInd w:val="0"/>
              <w:ind w:left="270" w:right="180"/>
              <w:contextualSpacing/>
              <w:jc w:val="left"/>
              <w:rPr>
                <w:rFonts w:ascii="Arial" w:hAnsi="Arial" w:cs="Arial"/>
                <w:b/>
                <w:bCs w:val="0"/>
                <w:color w:val="365F91"/>
                <w:sz w:val="14"/>
                <w:lang w:val="sr-Latn-ME"/>
              </w:rPr>
            </w:pPr>
          </w:p>
        </w:tc>
      </w:tr>
      <w:tr w:rsidR="003746E2" w:rsidRPr="00A97482" w:rsidTr="00373C9A">
        <w:tc>
          <w:tcPr>
            <w:tcW w:w="9576" w:type="dxa"/>
            <w:gridSpan w:val="2"/>
            <w:tcBorders>
              <w:top w:val="single" w:sz="8" w:space="0" w:color="4BACC6"/>
              <w:left w:val="single" w:sz="8" w:space="0" w:color="4BACC6"/>
              <w:bottom w:val="single" w:sz="8" w:space="0" w:color="4BACC6"/>
              <w:right w:val="single" w:sz="8" w:space="0" w:color="4BACC6"/>
            </w:tcBorders>
          </w:tcPr>
          <w:p w:rsidR="00A97482" w:rsidRDefault="00A97482" w:rsidP="00A97482">
            <w:pPr>
              <w:autoSpaceDE w:val="0"/>
              <w:autoSpaceDN w:val="0"/>
              <w:adjustRightInd w:val="0"/>
              <w:ind w:left="630" w:right="180"/>
              <w:contextualSpacing/>
              <w:jc w:val="left"/>
              <w:rPr>
                <w:rFonts w:ascii="Arial" w:hAnsi="Arial" w:cs="Arial"/>
                <w:bCs w:val="0"/>
                <w:color w:val="000000"/>
                <w:sz w:val="22"/>
                <w:lang w:val="sr-Latn-ME"/>
              </w:rPr>
            </w:pPr>
          </w:p>
          <w:p w:rsidR="00527B94" w:rsidRPr="00527B94" w:rsidRDefault="00527B94" w:rsidP="00527B94">
            <w:pPr>
              <w:autoSpaceDE w:val="0"/>
              <w:autoSpaceDN w:val="0"/>
              <w:adjustRightInd w:val="0"/>
              <w:ind w:right="180"/>
              <w:contextualSpacing/>
              <w:jc w:val="left"/>
              <w:rPr>
                <w:rFonts w:ascii="Arial" w:hAnsi="Arial" w:cs="Arial"/>
                <w:bCs w:val="0"/>
                <w:color w:val="000000"/>
                <w:sz w:val="22"/>
                <w:lang w:val="sr-Latn-ME"/>
              </w:rPr>
            </w:pPr>
            <w:r w:rsidRPr="00527B94">
              <w:rPr>
                <w:rFonts w:ascii="Arial" w:hAnsi="Arial" w:cs="Arial"/>
                <w:bCs w:val="0"/>
                <w:color w:val="000000"/>
                <w:sz w:val="22"/>
                <w:lang w:val="sr-Latn-ME"/>
              </w:rPr>
              <w:t>Ne očekuju se prepreke za primjenu Izmjena i dopuna zakona.</w:t>
            </w:r>
          </w:p>
          <w:p w:rsidR="00A97482" w:rsidRDefault="00527B94" w:rsidP="00527B94">
            <w:pPr>
              <w:autoSpaceDE w:val="0"/>
              <w:autoSpaceDN w:val="0"/>
              <w:adjustRightInd w:val="0"/>
              <w:ind w:right="180"/>
              <w:contextualSpacing/>
              <w:jc w:val="left"/>
              <w:rPr>
                <w:rFonts w:ascii="Arial" w:hAnsi="Arial" w:cs="Arial"/>
                <w:bCs w:val="0"/>
                <w:color w:val="000000"/>
                <w:sz w:val="22"/>
                <w:lang w:val="sr-Latn-ME"/>
              </w:rPr>
            </w:pPr>
            <w:r w:rsidRPr="00527B94">
              <w:rPr>
                <w:rFonts w:ascii="Arial" w:hAnsi="Arial" w:cs="Arial"/>
                <w:bCs w:val="0"/>
                <w:color w:val="000000"/>
                <w:sz w:val="22"/>
                <w:lang w:val="sr-Latn-ME"/>
              </w:rPr>
              <w:t xml:space="preserve">Za primjenu propisa biće neophodno donijeti i </w:t>
            </w:r>
            <w:r>
              <w:rPr>
                <w:rFonts w:ascii="Arial" w:hAnsi="Arial" w:cs="Arial"/>
                <w:bCs w:val="0"/>
                <w:color w:val="000000"/>
                <w:sz w:val="22"/>
                <w:lang w:val="sr-Latn-ME"/>
              </w:rPr>
              <w:t>izmjene i dopune dva po</w:t>
            </w:r>
            <w:r w:rsidRPr="00527B94">
              <w:rPr>
                <w:rFonts w:ascii="Arial" w:hAnsi="Arial" w:cs="Arial"/>
                <w:bCs w:val="0"/>
                <w:color w:val="000000"/>
                <w:sz w:val="22"/>
                <w:lang w:val="sr-Latn-ME"/>
              </w:rPr>
              <w:t>dzakonsk</w:t>
            </w:r>
            <w:r>
              <w:rPr>
                <w:rFonts w:ascii="Arial" w:hAnsi="Arial" w:cs="Arial"/>
                <w:bCs w:val="0"/>
                <w:color w:val="000000"/>
                <w:sz w:val="22"/>
                <w:lang w:val="sr-Latn-ME"/>
              </w:rPr>
              <w:t>a</w:t>
            </w:r>
            <w:r w:rsidRPr="00527B94">
              <w:rPr>
                <w:rFonts w:ascii="Arial" w:hAnsi="Arial" w:cs="Arial"/>
                <w:bCs w:val="0"/>
                <w:color w:val="000000"/>
                <w:sz w:val="22"/>
                <w:lang w:val="sr-Latn-ME"/>
              </w:rPr>
              <w:t xml:space="preserve"> akt</w:t>
            </w:r>
            <w:r>
              <w:rPr>
                <w:rFonts w:ascii="Arial" w:hAnsi="Arial" w:cs="Arial"/>
                <w:bCs w:val="0"/>
                <w:color w:val="000000"/>
                <w:sz w:val="22"/>
                <w:lang w:val="sr-Latn-ME"/>
              </w:rPr>
              <w:t>a</w:t>
            </w:r>
            <w:r w:rsidRPr="00527B94">
              <w:rPr>
                <w:rFonts w:ascii="Arial" w:hAnsi="Arial" w:cs="Arial"/>
                <w:bCs w:val="0"/>
                <w:color w:val="000000"/>
                <w:sz w:val="22"/>
                <w:lang w:val="sr-Latn-ME"/>
              </w:rPr>
              <w:t>,</w:t>
            </w:r>
            <w:r>
              <w:rPr>
                <w:rFonts w:ascii="Arial" w:hAnsi="Arial" w:cs="Arial"/>
                <w:bCs w:val="0"/>
                <w:color w:val="000000"/>
                <w:sz w:val="22"/>
                <w:lang w:val="sr-Latn-ME"/>
              </w:rPr>
              <w:t xml:space="preserve"> a sve u cilju njihovog usaglašavanja sa izmjenama i dopunama predviđenim ovim Nacrtom zakona.</w:t>
            </w:r>
            <w:r w:rsidRPr="00527B94">
              <w:rPr>
                <w:rFonts w:ascii="Arial" w:hAnsi="Arial" w:cs="Arial"/>
                <w:bCs w:val="0"/>
                <w:color w:val="000000"/>
                <w:sz w:val="22"/>
                <w:lang w:val="sr-Latn-ME"/>
              </w:rPr>
              <w:t>.</w:t>
            </w:r>
          </w:p>
          <w:p w:rsidR="00326941" w:rsidRPr="00A97482" w:rsidRDefault="00326941" w:rsidP="00326941">
            <w:pPr>
              <w:autoSpaceDE w:val="0"/>
              <w:autoSpaceDN w:val="0"/>
              <w:adjustRightInd w:val="0"/>
              <w:ind w:left="630" w:right="180"/>
              <w:contextualSpacing/>
              <w:jc w:val="left"/>
              <w:rPr>
                <w:rFonts w:ascii="Arial" w:hAnsi="Arial" w:cs="Arial"/>
                <w:bCs w:val="0"/>
                <w:color w:val="000000"/>
                <w:sz w:val="22"/>
                <w:lang w:val="sr-Latn-ME"/>
              </w:rPr>
            </w:pPr>
          </w:p>
        </w:tc>
      </w:tr>
    </w:tbl>
    <w:p w:rsidR="003746E2" w:rsidRPr="00A97482" w:rsidRDefault="003746E2" w:rsidP="00A97482">
      <w:pPr>
        <w:autoSpaceDE w:val="0"/>
        <w:autoSpaceDN w:val="0"/>
        <w:adjustRightInd w:val="0"/>
        <w:ind w:right="180"/>
        <w:rPr>
          <w:rFonts w:ascii="Arial" w:hAnsi="Arial" w:cs="Arial"/>
          <w:b/>
          <w:bCs w:val="0"/>
          <w:color w:val="365F91"/>
          <w:sz w:val="22"/>
          <w:lang w:val="sr-Latn-ME"/>
        </w:rPr>
      </w:pPr>
    </w:p>
    <w:p w:rsidR="003746E2" w:rsidRPr="00A97482" w:rsidRDefault="003746E2" w:rsidP="00A97482">
      <w:pPr>
        <w:ind w:right="180"/>
        <w:rPr>
          <w:rFonts w:ascii="Arial" w:hAnsi="Arial" w:cs="Arial"/>
          <w:color w:val="365F91"/>
          <w:sz w:val="22"/>
          <w:lang w:val="sr-Latn-ME"/>
        </w:rPr>
      </w:pPr>
    </w:p>
    <w:p w:rsidR="003746E2" w:rsidRPr="00A97482" w:rsidRDefault="003746E2" w:rsidP="00A97482">
      <w:pPr>
        <w:ind w:right="180"/>
        <w:rPr>
          <w:rFonts w:ascii="Arial" w:hAnsi="Arial" w:cs="Arial"/>
          <w:b/>
          <w:color w:val="000000"/>
          <w:sz w:val="22"/>
          <w:lang w:val="sr-Latn-ME"/>
        </w:rPr>
      </w:pPr>
      <w:r w:rsidRPr="00A97482">
        <w:rPr>
          <w:rFonts w:ascii="Arial" w:hAnsi="Arial" w:cs="Arial"/>
          <w:b/>
          <w:color w:val="365F91"/>
          <w:sz w:val="22"/>
          <w:lang w:val="sr-Latn-ME"/>
        </w:rPr>
        <w:tab/>
      </w:r>
      <w:r w:rsidRPr="00A97482">
        <w:rPr>
          <w:rFonts w:ascii="Arial" w:hAnsi="Arial" w:cs="Arial"/>
          <w:b/>
          <w:color w:val="365F91"/>
          <w:sz w:val="22"/>
          <w:lang w:val="sr-Latn-ME"/>
        </w:rPr>
        <w:tab/>
      </w:r>
      <w:r w:rsidRPr="00A97482">
        <w:rPr>
          <w:rFonts w:ascii="Arial" w:hAnsi="Arial" w:cs="Arial"/>
          <w:b/>
          <w:color w:val="365F91"/>
          <w:sz w:val="22"/>
          <w:lang w:val="sr-Latn-ME"/>
        </w:rPr>
        <w:tab/>
      </w:r>
      <w:r w:rsidRPr="00A97482">
        <w:rPr>
          <w:rFonts w:ascii="Arial" w:hAnsi="Arial" w:cs="Arial"/>
          <w:b/>
          <w:color w:val="365F91"/>
          <w:sz w:val="22"/>
          <w:lang w:val="sr-Latn-ME"/>
        </w:rPr>
        <w:tab/>
        <w:t xml:space="preserve">                                                              </w:t>
      </w:r>
      <w:r w:rsidR="00CF4E3D" w:rsidRPr="00A97482">
        <w:rPr>
          <w:rFonts w:ascii="Arial" w:hAnsi="Arial" w:cs="Arial"/>
          <w:b/>
          <w:color w:val="365F91"/>
          <w:sz w:val="22"/>
          <w:lang w:val="sr-Latn-ME"/>
        </w:rPr>
        <w:t xml:space="preserve">           </w:t>
      </w:r>
    </w:p>
    <w:p w:rsidR="003746E2" w:rsidRPr="00A97482" w:rsidRDefault="003746E2" w:rsidP="00A97482">
      <w:pPr>
        <w:ind w:right="180"/>
        <w:rPr>
          <w:rFonts w:ascii="Arial" w:hAnsi="Arial" w:cs="Arial"/>
          <w:color w:val="000000"/>
          <w:sz w:val="22"/>
          <w:lang w:val="sr-Latn-ME"/>
        </w:rPr>
      </w:pPr>
      <w:r w:rsidRPr="00A97482">
        <w:rPr>
          <w:rFonts w:ascii="Arial" w:hAnsi="Arial" w:cs="Arial"/>
          <w:color w:val="000000"/>
          <w:sz w:val="22"/>
          <w:lang w:val="sr-Latn-ME"/>
        </w:rPr>
        <w:t>Podgorica</w:t>
      </w:r>
      <w:r w:rsidRPr="002F2669">
        <w:rPr>
          <w:rFonts w:ascii="Arial" w:hAnsi="Arial" w:cs="Arial"/>
          <w:color w:val="000000"/>
          <w:sz w:val="22"/>
          <w:lang w:val="sr-Latn-ME"/>
        </w:rPr>
        <w:t xml:space="preserve">, </w:t>
      </w:r>
      <w:r w:rsidR="00326941" w:rsidRPr="002F2669">
        <w:rPr>
          <w:rFonts w:ascii="Arial" w:hAnsi="Arial" w:cs="Arial"/>
          <w:color w:val="000000"/>
          <w:sz w:val="22"/>
          <w:lang w:val="sr-Latn-ME"/>
        </w:rPr>
        <w:t xml:space="preserve"> </w:t>
      </w:r>
      <w:r w:rsidR="00BF696F">
        <w:rPr>
          <w:rFonts w:ascii="Arial" w:hAnsi="Arial" w:cs="Arial"/>
          <w:color w:val="000000"/>
          <w:sz w:val="22"/>
          <w:lang w:val="sr-Latn-ME"/>
        </w:rPr>
        <w:t>14</w:t>
      </w:r>
      <w:r w:rsidR="00D4121D" w:rsidRPr="002F2669">
        <w:rPr>
          <w:rFonts w:ascii="Arial" w:hAnsi="Arial" w:cs="Arial"/>
          <w:color w:val="000000"/>
          <w:sz w:val="22"/>
          <w:lang w:val="sr-Latn-ME"/>
        </w:rPr>
        <w:t xml:space="preserve">. </w:t>
      </w:r>
      <w:r w:rsidR="00326941" w:rsidRPr="002F2669">
        <w:rPr>
          <w:rFonts w:ascii="Arial" w:hAnsi="Arial" w:cs="Arial"/>
          <w:color w:val="000000"/>
          <w:sz w:val="22"/>
          <w:lang w:val="sr-Latn-ME"/>
        </w:rPr>
        <w:t xml:space="preserve">novembra </w:t>
      </w:r>
      <w:r w:rsidR="00F7641D" w:rsidRPr="002F2669">
        <w:rPr>
          <w:rFonts w:ascii="Arial" w:hAnsi="Arial" w:cs="Arial"/>
          <w:color w:val="000000"/>
          <w:sz w:val="22"/>
          <w:lang w:val="sr-Latn-ME"/>
        </w:rPr>
        <w:t>2020</w:t>
      </w:r>
      <w:r w:rsidRPr="002F2669">
        <w:rPr>
          <w:rFonts w:ascii="Arial" w:hAnsi="Arial" w:cs="Arial"/>
          <w:color w:val="000000"/>
          <w:sz w:val="22"/>
          <w:lang w:val="sr-Latn-ME"/>
        </w:rPr>
        <w:t>.godine</w:t>
      </w:r>
    </w:p>
    <w:p w:rsidR="00F7641D" w:rsidRDefault="003746E2" w:rsidP="00F7641D">
      <w:pPr>
        <w:tabs>
          <w:tab w:val="left" w:pos="1134"/>
        </w:tabs>
        <w:jc w:val="center"/>
        <w:rPr>
          <w:rFonts w:ascii="Arial" w:hAnsi="Arial" w:cs="Arial"/>
          <w:b/>
          <w:color w:val="000000"/>
          <w:sz w:val="22"/>
          <w:lang w:val="sr-Latn-ME"/>
        </w:rPr>
      </w:pPr>
      <w:r w:rsidRPr="00A97482">
        <w:rPr>
          <w:rFonts w:ascii="Arial" w:hAnsi="Arial" w:cs="Arial"/>
          <w:color w:val="000000"/>
          <w:sz w:val="22"/>
          <w:lang w:val="sr-Latn-ME"/>
        </w:rPr>
        <w:tab/>
      </w:r>
      <w:r w:rsidRPr="00A97482">
        <w:rPr>
          <w:rFonts w:ascii="Arial" w:hAnsi="Arial" w:cs="Arial"/>
          <w:b/>
          <w:color w:val="000000"/>
          <w:sz w:val="22"/>
          <w:lang w:val="sr-Latn-ME"/>
        </w:rPr>
        <w:t xml:space="preserve">                                                      </w:t>
      </w:r>
    </w:p>
    <w:p w:rsidR="00F7641D" w:rsidRPr="00F7641D" w:rsidRDefault="00F7641D" w:rsidP="00F7641D">
      <w:pPr>
        <w:tabs>
          <w:tab w:val="left" w:pos="1134"/>
        </w:tabs>
        <w:jc w:val="center"/>
        <w:rPr>
          <w:rFonts w:ascii="Arial" w:eastAsia="Calibri" w:hAnsi="Arial" w:cs="Arial"/>
          <w:b/>
          <w:bCs w:val="0"/>
          <w:sz w:val="22"/>
          <w:lang w:val="en-US" w:eastAsia="en-US"/>
        </w:rPr>
      </w:pPr>
      <w:r>
        <w:rPr>
          <w:rFonts w:ascii="Arial" w:hAnsi="Arial" w:cs="Arial"/>
          <w:b/>
          <w:color w:val="000000"/>
          <w:sz w:val="22"/>
          <w:lang w:val="sr-Latn-ME"/>
        </w:rPr>
        <w:t xml:space="preserve">                                                                 </w:t>
      </w:r>
      <w:r w:rsidR="003746E2" w:rsidRPr="00A97482">
        <w:rPr>
          <w:rFonts w:ascii="Arial" w:hAnsi="Arial" w:cs="Arial"/>
          <w:b/>
          <w:color w:val="000000"/>
          <w:sz w:val="22"/>
          <w:lang w:val="sr-Latn-ME"/>
        </w:rPr>
        <w:t xml:space="preserve">  </w:t>
      </w:r>
      <w:proofErr w:type="spellStart"/>
      <w:proofErr w:type="gramStart"/>
      <w:r w:rsidRPr="00F7641D">
        <w:rPr>
          <w:rFonts w:ascii="Arial" w:eastAsia="Calibri" w:hAnsi="Arial" w:cs="Arial"/>
          <w:b/>
          <w:bCs w:val="0"/>
          <w:sz w:val="22"/>
          <w:lang w:val="en-US" w:eastAsia="en-US"/>
        </w:rPr>
        <w:t>p.o</w:t>
      </w:r>
      <w:proofErr w:type="gramEnd"/>
      <w:r w:rsidRPr="00F7641D">
        <w:rPr>
          <w:rFonts w:ascii="Arial" w:eastAsia="Calibri" w:hAnsi="Arial" w:cs="Arial"/>
          <w:b/>
          <w:bCs w:val="0"/>
          <w:sz w:val="22"/>
          <w:lang w:val="en-US" w:eastAsia="en-US"/>
        </w:rPr>
        <w:t>.</w:t>
      </w:r>
      <w:proofErr w:type="spellEnd"/>
      <w:r w:rsidRPr="00F7641D">
        <w:rPr>
          <w:rFonts w:ascii="Arial" w:eastAsia="Calibri" w:hAnsi="Arial" w:cs="Arial"/>
          <w:b/>
          <w:bCs w:val="0"/>
          <w:sz w:val="22"/>
          <w:lang w:val="en-US" w:eastAsia="en-US"/>
        </w:rPr>
        <w:t xml:space="preserve"> RUKOVODILAC RADOM MINISTARSTVA </w:t>
      </w:r>
    </w:p>
    <w:p w:rsidR="00F7641D" w:rsidRPr="00F7641D" w:rsidRDefault="00F7641D" w:rsidP="00F7641D">
      <w:pPr>
        <w:tabs>
          <w:tab w:val="left" w:pos="1134"/>
        </w:tabs>
        <w:jc w:val="center"/>
        <w:rPr>
          <w:rFonts w:ascii="Arial" w:eastAsia="Calibri" w:hAnsi="Arial" w:cs="Arial"/>
          <w:b/>
          <w:bCs w:val="0"/>
          <w:sz w:val="22"/>
          <w:lang w:val="en-US" w:eastAsia="en-US"/>
        </w:rPr>
      </w:pPr>
    </w:p>
    <w:p w:rsidR="000035F4" w:rsidRPr="00326941" w:rsidRDefault="00F7641D" w:rsidP="00326941">
      <w:pPr>
        <w:tabs>
          <w:tab w:val="left" w:pos="1134"/>
        </w:tabs>
        <w:jc w:val="center"/>
        <w:rPr>
          <w:rFonts w:ascii="Arial" w:eastAsia="Calibri" w:hAnsi="Arial" w:cs="Arial"/>
          <w:b/>
          <w:bCs w:val="0"/>
          <w:sz w:val="22"/>
          <w:lang w:val="en-US" w:eastAsia="en-US"/>
        </w:rPr>
      </w:pPr>
      <w:r w:rsidRPr="00F7641D">
        <w:rPr>
          <w:rFonts w:ascii="Arial" w:eastAsia="Calibri" w:hAnsi="Arial" w:cs="Arial"/>
          <w:b/>
          <w:bCs w:val="0"/>
          <w:sz w:val="22"/>
          <w:lang w:val="en-US" w:eastAsia="en-US"/>
        </w:rPr>
        <w:t xml:space="preserve">                                                                     </w:t>
      </w:r>
      <w:proofErr w:type="spellStart"/>
      <w:r w:rsidRPr="00F7641D">
        <w:rPr>
          <w:rFonts w:ascii="Arial" w:eastAsia="Calibri" w:hAnsi="Arial" w:cs="Arial"/>
          <w:b/>
          <w:bCs w:val="0"/>
          <w:sz w:val="22"/>
          <w:lang w:val="en-US" w:eastAsia="en-US"/>
        </w:rPr>
        <w:t>Duško</w:t>
      </w:r>
      <w:proofErr w:type="spellEnd"/>
      <w:r w:rsidRPr="00F7641D">
        <w:rPr>
          <w:rFonts w:ascii="Arial" w:eastAsia="Calibri" w:hAnsi="Arial" w:cs="Arial"/>
          <w:b/>
          <w:bCs w:val="0"/>
          <w:sz w:val="22"/>
          <w:lang w:val="en-US" w:eastAsia="en-US"/>
        </w:rPr>
        <w:t xml:space="preserve"> </w:t>
      </w:r>
      <w:proofErr w:type="spellStart"/>
      <w:r w:rsidRPr="00F7641D">
        <w:rPr>
          <w:rFonts w:ascii="Arial" w:eastAsia="Calibri" w:hAnsi="Arial" w:cs="Arial"/>
          <w:b/>
          <w:bCs w:val="0"/>
          <w:sz w:val="22"/>
          <w:lang w:val="en-US" w:eastAsia="en-US"/>
        </w:rPr>
        <w:t>Marković</w:t>
      </w:r>
      <w:proofErr w:type="spellEnd"/>
      <w:r w:rsidRPr="00F7641D">
        <w:rPr>
          <w:rFonts w:ascii="Arial" w:eastAsia="Calibri" w:hAnsi="Arial" w:cs="Arial"/>
          <w:b/>
          <w:bCs w:val="0"/>
          <w:sz w:val="22"/>
          <w:lang w:val="en-US" w:eastAsia="en-US"/>
        </w:rPr>
        <w:t xml:space="preserve">, </w:t>
      </w:r>
      <w:proofErr w:type="spellStart"/>
      <w:r w:rsidRPr="00F7641D">
        <w:rPr>
          <w:rFonts w:ascii="Arial" w:eastAsia="Calibri" w:hAnsi="Arial" w:cs="Arial"/>
          <w:b/>
          <w:bCs w:val="0"/>
          <w:sz w:val="22"/>
          <w:lang w:val="en-US" w:eastAsia="en-US"/>
        </w:rPr>
        <w:t>predsjednik</w:t>
      </w:r>
      <w:proofErr w:type="spellEnd"/>
      <w:r w:rsidRPr="00F7641D">
        <w:rPr>
          <w:rFonts w:ascii="Arial" w:eastAsia="Calibri" w:hAnsi="Arial" w:cs="Arial"/>
          <w:b/>
          <w:bCs w:val="0"/>
          <w:sz w:val="22"/>
          <w:lang w:val="en-US" w:eastAsia="en-US"/>
        </w:rPr>
        <w:t xml:space="preserve"> </w:t>
      </w:r>
      <w:proofErr w:type="spellStart"/>
      <w:r w:rsidRPr="00F7641D">
        <w:rPr>
          <w:rFonts w:ascii="Arial" w:eastAsia="Calibri" w:hAnsi="Arial" w:cs="Arial"/>
          <w:b/>
          <w:bCs w:val="0"/>
          <w:sz w:val="22"/>
          <w:lang w:val="en-US" w:eastAsia="en-US"/>
        </w:rPr>
        <w:t>Vlade</w:t>
      </w:r>
      <w:proofErr w:type="spellEnd"/>
      <w:r w:rsidRPr="00F7641D">
        <w:rPr>
          <w:rFonts w:ascii="Arial" w:eastAsia="Calibri" w:hAnsi="Arial" w:cs="Arial"/>
          <w:b/>
          <w:bCs w:val="0"/>
          <w:sz w:val="22"/>
          <w:lang w:val="en-US" w:eastAsia="en-US"/>
        </w:rPr>
        <w:t xml:space="preserve"> </w:t>
      </w:r>
      <w:proofErr w:type="spellStart"/>
      <w:r w:rsidRPr="00F7641D">
        <w:rPr>
          <w:rFonts w:ascii="Arial" w:eastAsia="Calibri" w:hAnsi="Arial" w:cs="Arial"/>
          <w:b/>
          <w:bCs w:val="0"/>
          <w:sz w:val="22"/>
          <w:lang w:val="en-US" w:eastAsia="en-US"/>
        </w:rPr>
        <w:t>Crne</w:t>
      </w:r>
      <w:proofErr w:type="spellEnd"/>
      <w:r w:rsidRPr="00F7641D">
        <w:rPr>
          <w:rFonts w:ascii="Arial" w:eastAsia="Calibri" w:hAnsi="Arial" w:cs="Arial"/>
          <w:b/>
          <w:bCs w:val="0"/>
          <w:sz w:val="22"/>
          <w:lang w:val="en-US" w:eastAsia="en-US"/>
        </w:rPr>
        <w:t xml:space="preserve"> Gore</w:t>
      </w:r>
    </w:p>
    <w:sectPr w:rsidR="000035F4" w:rsidRPr="00326941" w:rsidSect="001A5D1E">
      <w:footerReference w:type="default" r:id="rId9"/>
      <w:pgSz w:w="12240" w:h="15840"/>
      <w:pgMar w:top="1440" w:right="1440" w:bottom="1135" w:left="1440" w:header="720" w:footer="2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CD9" w:rsidRDefault="00D25CD9" w:rsidP="00605304">
      <w:r>
        <w:separator/>
      </w:r>
    </w:p>
  </w:endnote>
  <w:endnote w:type="continuationSeparator" w:id="0">
    <w:p w:rsidR="00D25CD9" w:rsidRDefault="00D25CD9" w:rsidP="0060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379106"/>
      <w:docPartObj>
        <w:docPartGallery w:val="Page Numbers (Bottom of Page)"/>
        <w:docPartUnique/>
      </w:docPartObj>
    </w:sdtPr>
    <w:sdtEndPr>
      <w:rPr>
        <w:noProof/>
      </w:rPr>
    </w:sdtEndPr>
    <w:sdtContent>
      <w:p w:rsidR="00605304" w:rsidRDefault="00605304">
        <w:pPr>
          <w:pStyle w:val="Footer"/>
          <w:jc w:val="right"/>
        </w:pPr>
        <w:r>
          <w:fldChar w:fldCharType="begin"/>
        </w:r>
        <w:r>
          <w:instrText xml:space="preserve"> PAGE   \* MERGEFORMAT </w:instrText>
        </w:r>
        <w:r>
          <w:fldChar w:fldCharType="separate"/>
        </w:r>
        <w:r w:rsidR="00DB10EB">
          <w:rPr>
            <w:noProof/>
          </w:rPr>
          <w:t>4</w:t>
        </w:r>
        <w:r>
          <w:rPr>
            <w:noProof/>
          </w:rPr>
          <w:fldChar w:fldCharType="end"/>
        </w:r>
      </w:p>
    </w:sdtContent>
  </w:sdt>
  <w:p w:rsidR="00605304" w:rsidRDefault="00605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CD9" w:rsidRDefault="00D25CD9" w:rsidP="00605304">
      <w:r>
        <w:separator/>
      </w:r>
    </w:p>
  </w:footnote>
  <w:footnote w:type="continuationSeparator" w:id="0">
    <w:p w:rsidR="00D25CD9" w:rsidRDefault="00D25CD9" w:rsidP="00605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40A6"/>
    <w:multiLevelType w:val="hybridMultilevel"/>
    <w:tmpl w:val="D5662588"/>
    <w:lvl w:ilvl="0" w:tplc="48FE93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A1DB6"/>
    <w:multiLevelType w:val="hybridMultilevel"/>
    <w:tmpl w:val="00622AA4"/>
    <w:lvl w:ilvl="0" w:tplc="48FE93D0">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32104C3E"/>
    <w:multiLevelType w:val="hybridMultilevel"/>
    <w:tmpl w:val="AC305E94"/>
    <w:lvl w:ilvl="0" w:tplc="3822B8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5D0578"/>
    <w:multiLevelType w:val="hybridMultilevel"/>
    <w:tmpl w:val="F79E015E"/>
    <w:lvl w:ilvl="0" w:tplc="48FE93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E56429"/>
    <w:multiLevelType w:val="hybridMultilevel"/>
    <w:tmpl w:val="32E87D2A"/>
    <w:lvl w:ilvl="0" w:tplc="3822B8EE">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46991EE8"/>
    <w:multiLevelType w:val="hybridMultilevel"/>
    <w:tmpl w:val="17DA7736"/>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47530EB1"/>
    <w:multiLevelType w:val="hybridMultilevel"/>
    <w:tmpl w:val="16260B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44"/>
    <w:rsid w:val="000035F4"/>
    <w:rsid w:val="00020448"/>
    <w:rsid w:val="0003487D"/>
    <w:rsid w:val="000D7DEA"/>
    <w:rsid w:val="000E64D6"/>
    <w:rsid w:val="00121D04"/>
    <w:rsid w:val="001369FE"/>
    <w:rsid w:val="00151E21"/>
    <w:rsid w:val="00160C9B"/>
    <w:rsid w:val="001A5D1E"/>
    <w:rsid w:val="001B73A0"/>
    <w:rsid w:val="001C174A"/>
    <w:rsid w:val="001D2381"/>
    <w:rsid w:val="00223086"/>
    <w:rsid w:val="00232E00"/>
    <w:rsid w:val="002606CD"/>
    <w:rsid w:val="00274A1D"/>
    <w:rsid w:val="002A6091"/>
    <w:rsid w:val="002C1FB7"/>
    <w:rsid w:val="002C6D55"/>
    <w:rsid w:val="002E0A07"/>
    <w:rsid w:val="002F2669"/>
    <w:rsid w:val="002F2751"/>
    <w:rsid w:val="00313DAD"/>
    <w:rsid w:val="00314511"/>
    <w:rsid w:val="003204E0"/>
    <w:rsid w:val="00326941"/>
    <w:rsid w:val="00334EC3"/>
    <w:rsid w:val="003746E2"/>
    <w:rsid w:val="00376728"/>
    <w:rsid w:val="00386F3F"/>
    <w:rsid w:val="003E4B02"/>
    <w:rsid w:val="00402B43"/>
    <w:rsid w:val="004231AF"/>
    <w:rsid w:val="00434433"/>
    <w:rsid w:val="00435818"/>
    <w:rsid w:val="00450493"/>
    <w:rsid w:val="00454361"/>
    <w:rsid w:val="004556F9"/>
    <w:rsid w:val="0046368F"/>
    <w:rsid w:val="004644F2"/>
    <w:rsid w:val="00484AE4"/>
    <w:rsid w:val="00491FD2"/>
    <w:rsid w:val="004C647D"/>
    <w:rsid w:val="004E486E"/>
    <w:rsid w:val="004F630B"/>
    <w:rsid w:val="0050621E"/>
    <w:rsid w:val="00507097"/>
    <w:rsid w:val="00527B94"/>
    <w:rsid w:val="00571E68"/>
    <w:rsid w:val="00574FD9"/>
    <w:rsid w:val="0057535D"/>
    <w:rsid w:val="00575EF6"/>
    <w:rsid w:val="005836C6"/>
    <w:rsid w:val="005A2CA0"/>
    <w:rsid w:val="005C530C"/>
    <w:rsid w:val="005D08FE"/>
    <w:rsid w:val="005E7A10"/>
    <w:rsid w:val="00605304"/>
    <w:rsid w:val="00615910"/>
    <w:rsid w:val="006626BF"/>
    <w:rsid w:val="0068736B"/>
    <w:rsid w:val="006E1A53"/>
    <w:rsid w:val="006E558F"/>
    <w:rsid w:val="006F52E8"/>
    <w:rsid w:val="00730E61"/>
    <w:rsid w:val="007A2AF8"/>
    <w:rsid w:val="007D4150"/>
    <w:rsid w:val="008A6E4F"/>
    <w:rsid w:val="009030C5"/>
    <w:rsid w:val="009061D4"/>
    <w:rsid w:val="00922BF8"/>
    <w:rsid w:val="00931573"/>
    <w:rsid w:val="00935E40"/>
    <w:rsid w:val="009856A7"/>
    <w:rsid w:val="009A3B5E"/>
    <w:rsid w:val="009E1B3C"/>
    <w:rsid w:val="009E72C7"/>
    <w:rsid w:val="009E7BE0"/>
    <w:rsid w:val="009F3C9D"/>
    <w:rsid w:val="00A05A71"/>
    <w:rsid w:val="00A20DC0"/>
    <w:rsid w:val="00A620E5"/>
    <w:rsid w:val="00A6636E"/>
    <w:rsid w:val="00A7216E"/>
    <w:rsid w:val="00A91ACB"/>
    <w:rsid w:val="00A97482"/>
    <w:rsid w:val="00AA5655"/>
    <w:rsid w:val="00AB6E7D"/>
    <w:rsid w:val="00AE522B"/>
    <w:rsid w:val="00B25244"/>
    <w:rsid w:val="00B30D0A"/>
    <w:rsid w:val="00B42B7F"/>
    <w:rsid w:val="00B5065B"/>
    <w:rsid w:val="00B65D51"/>
    <w:rsid w:val="00BF268A"/>
    <w:rsid w:val="00BF696F"/>
    <w:rsid w:val="00C61970"/>
    <w:rsid w:val="00CF4E3D"/>
    <w:rsid w:val="00D25CD9"/>
    <w:rsid w:val="00D278BD"/>
    <w:rsid w:val="00D4121D"/>
    <w:rsid w:val="00D916F5"/>
    <w:rsid w:val="00DB10EB"/>
    <w:rsid w:val="00DB2286"/>
    <w:rsid w:val="00DE16CF"/>
    <w:rsid w:val="00E00B65"/>
    <w:rsid w:val="00E12F50"/>
    <w:rsid w:val="00E203BF"/>
    <w:rsid w:val="00E2759C"/>
    <w:rsid w:val="00E3402C"/>
    <w:rsid w:val="00E51B70"/>
    <w:rsid w:val="00E655CE"/>
    <w:rsid w:val="00EC60C1"/>
    <w:rsid w:val="00EE13ED"/>
    <w:rsid w:val="00EF4E77"/>
    <w:rsid w:val="00F3337F"/>
    <w:rsid w:val="00F52C16"/>
    <w:rsid w:val="00F55A28"/>
    <w:rsid w:val="00F7327F"/>
    <w:rsid w:val="00F75344"/>
    <w:rsid w:val="00F7641D"/>
    <w:rsid w:val="00FE29BC"/>
    <w:rsid w:val="00FE4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Branko"/>
    <w:qFormat/>
    <w:rsid w:val="003746E2"/>
    <w:pPr>
      <w:spacing w:after="0" w:line="240" w:lineRule="auto"/>
      <w:jc w:val="both"/>
    </w:pPr>
    <w:rPr>
      <w:rFonts w:ascii="Garamond" w:eastAsia="Times New Roman" w:hAnsi="Garamond" w:cs="Times New Roman"/>
      <w:b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6E2"/>
    <w:pPr>
      <w:ind w:left="720"/>
    </w:pPr>
  </w:style>
  <w:style w:type="paragraph" w:styleId="Header">
    <w:name w:val="header"/>
    <w:basedOn w:val="Normal"/>
    <w:link w:val="HeaderChar"/>
    <w:uiPriority w:val="99"/>
    <w:unhideWhenUsed/>
    <w:rsid w:val="00605304"/>
    <w:pPr>
      <w:tabs>
        <w:tab w:val="center" w:pos="4513"/>
        <w:tab w:val="right" w:pos="9026"/>
      </w:tabs>
    </w:pPr>
  </w:style>
  <w:style w:type="character" w:customStyle="1" w:styleId="HeaderChar">
    <w:name w:val="Header Char"/>
    <w:basedOn w:val="DefaultParagraphFont"/>
    <w:link w:val="Header"/>
    <w:uiPriority w:val="99"/>
    <w:rsid w:val="00605304"/>
    <w:rPr>
      <w:rFonts w:ascii="Garamond" w:eastAsia="Times New Roman" w:hAnsi="Garamond" w:cs="Times New Roman"/>
      <w:bCs/>
      <w:sz w:val="24"/>
      <w:lang w:eastAsia="en-GB"/>
    </w:rPr>
  </w:style>
  <w:style w:type="paragraph" w:styleId="Footer">
    <w:name w:val="footer"/>
    <w:basedOn w:val="Normal"/>
    <w:link w:val="FooterChar"/>
    <w:uiPriority w:val="99"/>
    <w:unhideWhenUsed/>
    <w:rsid w:val="00605304"/>
    <w:pPr>
      <w:tabs>
        <w:tab w:val="center" w:pos="4513"/>
        <w:tab w:val="right" w:pos="9026"/>
      </w:tabs>
    </w:pPr>
  </w:style>
  <w:style w:type="character" w:customStyle="1" w:styleId="FooterChar">
    <w:name w:val="Footer Char"/>
    <w:basedOn w:val="DefaultParagraphFont"/>
    <w:link w:val="Footer"/>
    <w:uiPriority w:val="99"/>
    <w:rsid w:val="00605304"/>
    <w:rPr>
      <w:rFonts w:ascii="Garamond" w:eastAsia="Times New Roman" w:hAnsi="Garamond" w:cs="Times New Roman"/>
      <w:bCs/>
      <w:sz w:val="24"/>
      <w:lang w:eastAsia="en-GB"/>
    </w:rPr>
  </w:style>
  <w:style w:type="paragraph" w:styleId="BalloonText">
    <w:name w:val="Balloon Text"/>
    <w:basedOn w:val="Normal"/>
    <w:link w:val="BalloonTextChar"/>
    <w:uiPriority w:val="99"/>
    <w:semiHidden/>
    <w:unhideWhenUsed/>
    <w:rsid w:val="00484AE4"/>
    <w:rPr>
      <w:rFonts w:ascii="Tahoma" w:hAnsi="Tahoma" w:cs="Tahoma"/>
      <w:sz w:val="16"/>
      <w:szCs w:val="16"/>
    </w:rPr>
  </w:style>
  <w:style w:type="character" w:customStyle="1" w:styleId="BalloonTextChar">
    <w:name w:val="Balloon Text Char"/>
    <w:basedOn w:val="DefaultParagraphFont"/>
    <w:link w:val="BalloonText"/>
    <w:uiPriority w:val="99"/>
    <w:semiHidden/>
    <w:rsid w:val="00484AE4"/>
    <w:rPr>
      <w:rFonts w:ascii="Tahoma" w:eastAsia="Times New Roman" w:hAnsi="Tahoma" w:cs="Tahoma"/>
      <w:bCs/>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Branko"/>
    <w:qFormat/>
    <w:rsid w:val="003746E2"/>
    <w:pPr>
      <w:spacing w:after="0" w:line="240" w:lineRule="auto"/>
      <w:jc w:val="both"/>
    </w:pPr>
    <w:rPr>
      <w:rFonts w:ascii="Garamond" w:eastAsia="Times New Roman" w:hAnsi="Garamond" w:cs="Times New Roman"/>
      <w:b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6E2"/>
    <w:pPr>
      <w:ind w:left="720"/>
    </w:pPr>
  </w:style>
  <w:style w:type="paragraph" w:styleId="Header">
    <w:name w:val="header"/>
    <w:basedOn w:val="Normal"/>
    <w:link w:val="HeaderChar"/>
    <w:uiPriority w:val="99"/>
    <w:unhideWhenUsed/>
    <w:rsid w:val="00605304"/>
    <w:pPr>
      <w:tabs>
        <w:tab w:val="center" w:pos="4513"/>
        <w:tab w:val="right" w:pos="9026"/>
      </w:tabs>
    </w:pPr>
  </w:style>
  <w:style w:type="character" w:customStyle="1" w:styleId="HeaderChar">
    <w:name w:val="Header Char"/>
    <w:basedOn w:val="DefaultParagraphFont"/>
    <w:link w:val="Header"/>
    <w:uiPriority w:val="99"/>
    <w:rsid w:val="00605304"/>
    <w:rPr>
      <w:rFonts w:ascii="Garamond" w:eastAsia="Times New Roman" w:hAnsi="Garamond" w:cs="Times New Roman"/>
      <w:bCs/>
      <w:sz w:val="24"/>
      <w:lang w:eastAsia="en-GB"/>
    </w:rPr>
  </w:style>
  <w:style w:type="paragraph" w:styleId="Footer">
    <w:name w:val="footer"/>
    <w:basedOn w:val="Normal"/>
    <w:link w:val="FooterChar"/>
    <w:uiPriority w:val="99"/>
    <w:unhideWhenUsed/>
    <w:rsid w:val="00605304"/>
    <w:pPr>
      <w:tabs>
        <w:tab w:val="center" w:pos="4513"/>
        <w:tab w:val="right" w:pos="9026"/>
      </w:tabs>
    </w:pPr>
  </w:style>
  <w:style w:type="character" w:customStyle="1" w:styleId="FooterChar">
    <w:name w:val="Footer Char"/>
    <w:basedOn w:val="DefaultParagraphFont"/>
    <w:link w:val="Footer"/>
    <w:uiPriority w:val="99"/>
    <w:rsid w:val="00605304"/>
    <w:rPr>
      <w:rFonts w:ascii="Garamond" w:eastAsia="Times New Roman" w:hAnsi="Garamond" w:cs="Times New Roman"/>
      <w:bCs/>
      <w:sz w:val="24"/>
      <w:lang w:eastAsia="en-GB"/>
    </w:rPr>
  </w:style>
  <w:style w:type="paragraph" w:styleId="BalloonText">
    <w:name w:val="Balloon Text"/>
    <w:basedOn w:val="Normal"/>
    <w:link w:val="BalloonTextChar"/>
    <w:uiPriority w:val="99"/>
    <w:semiHidden/>
    <w:unhideWhenUsed/>
    <w:rsid w:val="00484AE4"/>
    <w:rPr>
      <w:rFonts w:ascii="Tahoma" w:hAnsi="Tahoma" w:cs="Tahoma"/>
      <w:sz w:val="16"/>
      <w:szCs w:val="16"/>
    </w:rPr>
  </w:style>
  <w:style w:type="character" w:customStyle="1" w:styleId="BalloonTextChar">
    <w:name w:val="Balloon Text Char"/>
    <w:basedOn w:val="DefaultParagraphFont"/>
    <w:link w:val="BalloonText"/>
    <w:uiPriority w:val="99"/>
    <w:semiHidden/>
    <w:rsid w:val="00484AE4"/>
    <w:rPr>
      <w:rFonts w:ascii="Tahoma" w:eastAsia="Times New Roman" w:hAnsi="Tahoma" w:cs="Tahoma"/>
      <w:bCs/>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885923">
      <w:bodyDiv w:val="1"/>
      <w:marLeft w:val="0"/>
      <w:marRight w:val="0"/>
      <w:marTop w:val="0"/>
      <w:marBottom w:val="0"/>
      <w:divBdr>
        <w:top w:val="none" w:sz="0" w:space="0" w:color="auto"/>
        <w:left w:val="none" w:sz="0" w:space="0" w:color="auto"/>
        <w:bottom w:val="none" w:sz="0" w:space="0" w:color="auto"/>
        <w:right w:val="none" w:sz="0" w:space="0" w:color="auto"/>
      </w:divBdr>
    </w:div>
    <w:div w:id="143473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78BED-5731-4340-A825-41569AFA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Dubravka Pesic</dc:creator>
  <cp:lastModifiedBy>Korisnik</cp:lastModifiedBy>
  <cp:revision>7</cp:revision>
  <cp:lastPrinted>2017-05-26T08:43:00Z</cp:lastPrinted>
  <dcterms:created xsi:type="dcterms:W3CDTF">2020-11-13T12:40:00Z</dcterms:created>
  <dcterms:modified xsi:type="dcterms:W3CDTF">2020-11-13T13:28:00Z</dcterms:modified>
</cp:coreProperties>
</file>