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052B">
      <w:pPr>
        <w:pStyle w:val="2zakon"/>
      </w:pPr>
      <w:r>
        <w:t>Pravilnik o tehničkom pregledu vozila</w:t>
      </w:r>
    </w:p>
    <w:p w:rsidR="00000000" w:rsidRDefault="0090052B">
      <w:pPr>
        <w:pStyle w:val="3mesto"/>
      </w:pPr>
      <w:r>
        <w:t xml:space="preserve">Pravilnik je objavljen u "Službenom listu CG", br. </w:t>
      </w:r>
      <w:hyperlink r:id="rId4" w:history="1">
        <w:r>
          <w:rPr>
            <w:rStyle w:val="Hyperlink"/>
            <w:color w:val="CC0000"/>
          </w:rPr>
          <w:t>4/2014</w:t>
        </w:r>
      </w:hyperlink>
      <w:r>
        <w:t xml:space="preserve"> i </w:t>
      </w:r>
      <w:hyperlink r:id="rId5" w:history="1">
        <w:r>
          <w:rPr>
            <w:rStyle w:val="Hyperlink"/>
          </w:rPr>
          <w:t>47/2019</w:t>
        </w:r>
      </w:hyperlink>
      <w:r>
        <w:t>.</w:t>
      </w:r>
    </w:p>
    <w:p w:rsidR="00000000" w:rsidRDefault="0090052B">
      <w:pPr>
        <w:pStyle w:val="4clan"/>
      </w:pPr>
      <w:r>
        <w:t>Član 1</w:t>
      </w:r>
    </w:p>
    <w:p w:rsidR="00000000" w:rsidRDefault="0090052B">
      <w:pPr>
        <w:pStyle w:val="1tekst"/>
      </w:pPr>
      <w:r>
        <w:t xml:space="preserve">Ovim pravilnikom propisuje se bliži sadržaj i način vršenja </w:t>
      </w:r>
      <w:r>
        <w:t>tehničkog pregleda vozila, obrazac, sadržaj i način dostavljanja zapisnika o tehničkom pregledu vozila i potvrde o tehnički ispravnim vozilima, kao i sadržaj i način vođenja evidencije o tehničkim pregledima i utvrđenim nepravilnostima na vozilima.</w:t>
      </w:r>
    </w:p>
    <w:p w:rsidR="00000000" w:rsidRDefault="0090052B">
      <w:pPr>
        <w:pStyle w:val="4clan"/>
      </w:pPr>
      <w:r>
        <w:t>Član 2</w:t>
      </w:r>
    </w:p>
    <w:p w:rsidR="00000000" w:rsidRDefault="0090052B">
      <w:pPr>
        <w:pStyle w:val="1tekst"/>
      </w:pPr>
      <w:r>
        <w:t>Izrazi koji se u ovom pravilniku koriste za fizička lica u muškom rodu podrazumijevaju iste izraze u ženskom rodu.</w:t>
      </w:r>
    </w:p>
    <w:p w:rsidR="00000000" w:rsidRDefault="0090052B">
      <w:pPr>
        <w:pStyle w:val="4clan"/>
      </w:pPr>
      <w:r>
        <w:t xml:space="preserve">Član 3 </w:t>
      </w:r>
      <w:r>
        <w:t>﻿</w:t>
      </w:r>
      <w:r>
        <w:t xml:space="preserve"> </w:t>
      </w:r>
    </w:p>
    <w:p w:rsidR="00000000" w:rsidRDefault="0090052B">
      <w:pPr>
        <w:pStyle w:val="1tekst"/>
      </w:pPr>
      <w:r>
        <w:t>Tehnički pregled vozila obuhvata:</w:t>
      </w:r>
    </w:p>
    <w:p w:rsidR="00000000" w:rsidRDefault="0090052B">
      <w:pPr>
        <w:pStyle w:val="1tekst"/>
      </w:pPr>
      <w:r>
        <w:t>1. provjeru ispravnosti, i to:</w:t>
      </w:r>
    </w:p>
    <w:p w:rsidR="00000000" w:rsidRDefault="0090052B">
      <w:pPr>
        <w:pStyle w:val="1tekst"/>
      </w:pPr>
      <w:r>
        <w:t>1) uređaja za upravljanje (mehaničko stanje, točak upravljača/ručk</w:t>
      </w:r>
      <w:r>
        <w:t>e upravljača, osovina upravljača, slobodan hod točka upravljača, usmjerenost upravljačkih točkova, okretni vijenac upravljačke osovine priključnog vozila, električno potpomognuto upravljanje vozilom (EPS)),</w:t>
      </w:r>
    </w:p>
    <w:p w:rsidR="00000000" w:rsidRDefault="0090052B">
      <w:pPr>
        <w:pStyle w:val="1tekst"/>
      </w:pPr>
      <w:r>
        <w:t>2) uređaja za zaustavljanje (mehaničko stanje i f</w:t>
      </w:r>
      <w:r>
        <w:t>unkcija, radna kočnica, djelovanje i efikasnost kočenja, pomoćna kočnica, djelovanje i efikasnost kočenja, parkirna kočnica djelovanje i efikasnost kočenja),</w:t>
      </w:r>
    </w:p>
    <w:p w:rsidR="00000000" w:rsidRDefault="0090052B">
      <w:pPr>
        <w:pStyle w:val="1tekst"/>
      </w:pPr>
      <w:r>
        <w:t>3) uređaja za osvjetljavanje puta, označavanje vozila i davanje svjetlosnih znakova (velika svijet</w:t>
      </w:r>
      <w:r>
        <w:t>la, prednja i zadnja poziciona svijetla, parkirna svijetla, bočna svijetla, gabaritna svijetla, dnevna svijetla, stop svijetla, pokazivači pravca i signalne lampice, prednja i zadnja svijetla za maglu, svijetlo zadnje registarske tablice, katadiopteri, ref</w:t>
      </w:r>
      <w:r>
        <w:t>lektujuće trake za označavanje konture vozila, table za označavanje "dugih", "teških" i "sporih" vozila, indikatorske lampe potrebne za osvjetljenje),</w:t>
      </w:r>
    </w:p>
    <w:p w:rsidR="00000000" w:rsidRDefault="0090052B">
      <w:pPr>
        <w:pStyle w:val="1tekst"/>
      </w:pPr>
      <w:r>
        <w:t>4) uređaja koji omogućavaju normalnu vidljivost (vidno polje, stanje staklenih površina, retrovizori, bri</w:t>
      </w:r>
      <w:r>
        <w:t>sači prednjeg i zadnjeg vjetrobranskog stakla, perači prednjeg i zadnjeg vjetrobranskog stakla, sistem za odmagljivanje),</w:t>
      </w:r>
    </w:p>
    <w:p w:rsidR="00000000" w:rsidRDefault="0090052B">
      <w:pPr>
        <w:pStyle w:val="1tekst"/>
      </w:pPr>
      <w:r>
        <w:t>5) uređaja za davanje zvučnih signala - sirena,</w:t>
      </w:r>
    </w:p>
    <w:p w:rsidR="00000000" w:rsidRDefault="0090052B">
      <w:pPr>
        <w:pStyle w:val="1tekst"/>
      </w:pPr>
      <w:r>
        <w:t>6) uređaja za vožnju vozila unazad - svijetla za vožnju unazad,</w:t>
      </w:r>
    </w:p>
    <w:p w:rsidR="00000000" w:rsidRDefault="0090052B">
      <w:pPr>
        <w:pStyle w:val="1tekst"/>
      </w:pPr>
      <w:r>
        <w:t>7) uređaja za kontrolu</w:t>
      </w:r>
      <w:r>
        <w:t xml:space="preserve"> i davanje znakova,</w:t>
      </w:r>
    </w:p>
    <w:p w:rsidR="00000000" w:rsidRDefault="0090052B">
      <w:pPr>
        <w:pStyle w:val="1tekst"/>
      </w:pPr>
      <w:r>
        <w:t>8) uređaja za odvođenje i ispuštanje izduvnih gasova (izduvni gasovi benzinskih motora, izduvni gasovi dizel motora),</w:t>
      </w:r>
    </w:p>
    <w:p w:rsidR="00000000" w:rsidRDefault="0090052B">
      <w:pPr>
        <w:pStyle w:val="1tekst"/>
      </w:pPr>
      <w:r>
        <w:t>9) uređaja za spajanje vučnog i priključnog vozila (uređaji za spajanje vučnog i priključnog vozila i oprema za vuču i</w:t>
      </w:r>
      <w:r>
        <w:t xml:space="preserve"> električni spojevi između vučnog i priključnog vozila),</w:t>
      </w:r>
    </w:p>
    <w:p w:rsidR="00000000" w:rsidRDefault="0090052B">
      <w:pPr>
        <w:pStyle w:val="1tekst"/>
      </w:pPr>
      <w:r>
        <w:t>10) ostalih uređaja od posebnog značaja za bezbjednost saobraćaja (šasija ili okvir sa djelovima pričvršćenim na šasiju, kabina i nadgradnja, sigurnosni pojasevi/kopče i sistemi za zadržavanje, uređa</w:t>
      </w:r>
      <w:r>
        <w:t>ji koji sprječavaju neovlašćenu upotrebu vozila, osovine, točkovi i pneumatici, vješanje, ostali elementi koji utiču na okolinu);</w:t>
      </w:r>
    </w:p>
    <w:p w:rsidR="00000000" w:rsidRDefault="0090052B">
      <w:pPr>
        <w:pStyle w:val="1tekst"/>
      </w:pPr>
      <w:r>
        <w:t>2. kontrolu buke koju stvara vozilo i kontrola emisije izduvnih gasova;</w:t>
      </w:r>
    </w:p>
    <w:p w:rsidR="00000000" w:rsidRDefault="0090052B">
      <w:pPr>
        <w:pStyle w:val="1tekst"/>
      </w:pPr>
      <w:r>
        <w:t>3. posjedovanje obavezne opreme (protivpožarni aparat,</w:t>
      </w:r>
      <w:r>
        <w:t xml:space="preserve"> čekić za razbijanje stakla u slučaju opasnosti, rezervne sijalice, rezervni točak, sigurnosni trougao, kutija prve pomoći, klinasti podmetači);</w:t>
      </w:r>
    </w:p>
    <w:p w:rsidR="00000000" w:rsidRDefault="0090052B">
      <w:pPr>
        <w:pStyle w:val="1tekst"/>
      </w:pPr>
      <w:r>
        <w:t>4. druge provjere i kontrole od kojih zavisi tehnička ispravnost vozila, i to:</w:t>
      </w:r>
    </w:p>
    <w:p w:rsidR="00000000" w:rsidRDefault="0090052B">
      <w:pPr>
        <w:pStyle w:val="1tekst"/>
      </w:pPr>
      <w:r>
        <w:t>1) motor (oslonci motora, rad mo</w:t>
      </w:r>
      <w:r>
        <w:t>tora, zauljenost motora, izduvni sistem, usisni sistem, sistem za paljenje, sistem za napajanje gorivom, razvodni mehanizam, rashladni sistem, dogradnja na motoru),</w:t>
      </w:r>
    </w:p>
    <w:p w:rsidR="00000000" w:rsidRDefault="0090052B">
      <w:pPr>
        <w:pStyle w:val="1tekst"/>
      </w:pPr>
      <w:r>
        <w:t>2) električni uređaji i instalacije (električni vodovi, akumulator, elektropokretač, genera</w:t>
      </w:r>
      <w:r>
        <w:t>tor, kontakt brava),</w:t>
      </w:r>
    </w:p>
    <w:p w:rsidR="00000000" w:rsidRDefault="0090052B">
      <w:pPr>
        <w:pStyle w:val="1tekst"/>
      </w:pPr>
      <w:r>
        <w:t>3) sistem za prenos snage (prenosnik snage, spojnica, lanac, lančanici, remen, remenice),</w:t>
      </w:r>
    </w:p>
    <w:p w:rsidR="00000000" w:rsidRDefault="0090052B">
      <w:pPr>
        <w:pStyle w:val="1tekst"/>
      </w:pPr>
      <w:r>
        <w:t>4) dodatna ispitivanja za vozila kategorije M2 i M3 (vrata, sistem za odmrzavanje i odmagljivanje, ventilacija i sistem za grijanje, sjedišta, un</w:t>
      </w:r>
      <w:r>
        <w:t>utrašnja rasvjeta, prolazi i mjesta za stajanje, stepenice i stepeništa, sistem za komunikaciju sa putnicima, natpisi, zahtjevi u pogledu prevoza djece, oprema za prevoz lica sa invaliditetom i ostala posebna oprema),</w:t>
      </w:r>
    </w:p>
    <w:p w:rsidR="00000000" w:rsidRDefault="0090052B">
      <w:pPr>
        <w:pStyle w:val="1tekst"/>
      </w:pPr>
      <w:r>
        <w:t>5) plinska instalacija (rezervoar plin</w:t>
      </w:r>
      <w:r>
        <w:t>a, armatura rezervoara plina, priključak za punjenje, priključak za pražnjenje, višesmjerni ventil, pokazivač količine plina, prečistač plina, isparivač plina, regulator pritiska, ventil plina, ventil goriva, vodovi visokog pritiska, vodovi niskog pritiska</w:t>
      </w:r>
      <w:r>
        <w:t>, električni uređaji i instalacije, lambda sonda, regulator protoka plina, elektronski uređaj za lambda kontrolu, mješač plina, brizgaljke plina).</w:t>
      </w:r>
    </w:p>
    <w:p w:rsidR="00000000" w:rsidRDefault="0090052B">
      <w:pPr>
        <w:pStyle w:val="1tekst"/>
      </w:pPr>
      <w:r>
        <w:t>Tehnički pregled vozila vrši se u skladu sa tabelom koja je sastavni dio ovog pravilnika (Prilog 1).</w:t>
      </w:r>
    </w:p>
    <w:p w:rsidR="00000000" w:rsidRDefault="0090052B">
      <w:pPr>
        <w:pStyle w:val="4clan"/>
      </w:pPr>
      <w:r>
        <w:t>Član 4</w:t>
      </w:r>
    </w:p>
    <w:p w:rsidR="00000000" w:rsidRDefault="0090052B">
      <w:pPr>
        <w:pStyle w:val="1tekst"/>
      </w:pPr>
      <w:r>
        <w:t>Tehnički pregled vozila vrše istovremeno dva kontrolora tehničkog pregleda vozila (u daljem tekstu: kontrolor), u skladu sa Zakonom o bezbjednosti saobraćaja na putevima.</w:t>
      </w:r>
    </w:p>
    <w:p w:rsidR="00000000" w:rsidRDefault="0090052B">
      <w:pPr>
        <w:pStyle w:val="1tekst"/>
      </w:pPr>
      <w:r>
        <w:t>Za vrijeme tehničkog pregleda vozila, od ulaska na tehnološku liniju za tehnički preg</w:t>
      </w:r>
      <w:r>
        <w:t xml:space="preserve">led vozila do završetka tehničkog pregleda, vozilom upravlja kontrolor. </w:t>
      </w:r>
    </w:p>
    <w:p w:rsidR="00000000" w:rsidRDefault="0090052B">
      <w:pPr>
        <w:pStyle w:val="4clan"/>
      </w:pPr>
      <w:r>
        <w:t xml:space="preserve">Član 5 </w:t>
      </w:r>
      <w:r>
        <w:t>﻿</w:t>
      </w:r>
      <w:r>
        <w:t xml:space="preserve"> </w:t>
      </w:r>
    </w:p>
    <w:p w:rsidR="00000000" w:rsidRDefault="0090052B">
      <w:pPr>
        <w:pStyle w:val="1tekst"/>
      </w:pPr>
      <w:r>
        <w:t>Na početku tehničkog pregleda vozila vrši se provjera vozila, upoređivanjem registarske oznake, ukoliko je vozilo posjeduje, identifikacionog broja šasije vozila/VIN oznake,</w:t>
      </w:r>
      <w:r>
        <w:t xml:space="preserve"> oznake motora, marke, tipa/modela, vrste i komercijalnog opisa vozila i boje vozila, sa podacima koji su upisani u saobraćajnu dozvolu ili prateću dokumentaciju vozila.</w:t>
      </w:r>
    </w:p>
    <w:p w:rsidR="00000000" w:rsidRDefault="0090052B">
      <w:pPr>
        <w:pStyle w:val="1tekst"/>
      </w:pPr>
      <w:r>
        <w:t>Ukoliko se prilikom provjere iz stava 1 ovog člana utvrdi da ne postoji identifikacion</w:t>
      </w:r>
      <w:r>
        <w:t>i broj šasije vozila ili oznaka motora, odnosno ukoliko je identifikacioni broj oštećen ili je vršena zamjena dijela vozila na kojem je postavljen identifikacioni broj šasije vozila, to će se, uz činjenicu da vozilo nije tehnički ispravno, konstatovati u z</w:t>
      </w:r>
      <w:r>
        <w:t xml:space="preserve">apisnik o tehničkom pregledu vozila, a tehnički pregled vozila će se izvršiti u cjelini. </w:t>
      </w:r>
    </w:p>
    <w:p w:rsidR="00000000" w:rsidRDefault="0090052B">
      <w:pPr>
        <w:pStyle w:val="1tekst"/>
      </w:pPr>
      <w:r>
        <w:t xml:space="preserve">U slučaju da se prilikom provjere iz stava 1 ovog člana, posumnja u originalnost registarskih tablica vozila, identifikacionog broja šasije vozila ili oznake motora, </w:t>
      </w:r>
      <w:r>
        <w:t>to će se konstatovati u zapisnik o tehničkom pregledu vozila, a tehnički pregled vozila će se izvršiti u cjelini.</w:t>
      </w:r>
    </w:p>
    <w:p w:rsidR="00000000" w:rsidRDefault="0090052B">
      <w:pPr>
        <w:pStyle w:val="4clan"/>
      </w:pPr>
      <w:r>
        <w:t>Član 6</w:t>
      </w:r>
    </w:p>
    <w:p w:rsidR="00000000" w:rsidRDefault="0090052B">
      <w:pPr>
        <w:pStyle w:val="1tekst"/>
      </w:pPr>
      <w:r>
        <w:t>Redovnom i vanrednom tehničkom pregledu vozila može se pristupiti samo ako je vozilo čisto, u voznom stanju i nije opterećeno.</w:t>
      </w:r>
    </w:p>
    <w:p w:rsidR="00000000" w:rsidRDefault="0090052B">
      <w:pPr>
        <w:pStyle w:val="1tekst"/>
      </w:pPr>
      <w:r>
        <w:t>Redovni</w:t>
      </w:r>
      <w:r>
        <w:t xml:space="preserve"> i vanredni tehnički pregled vozila vrši se samo ako je vozilo uredno obojeno i bez vidnih oštećenja karoserije i boje, odnosno da ta oštećenja ne prelaze 5% od limenih površina karoserije i boje. </w:t>
      </w:r>
    </w:p>
    <w:p w:rsidR="00000000" w:rsidRDefault="0090052B">
      <w:pPr>
        <w:pStyle w:val="1tekst"/>
      </w:pPr>
      <w:r>
        <w:t xml:space="preserve">Redovni i vanredni tehnički pregled vozila neće se vršiti </w:t>
      </w:r>
      <w:r>
        <w:t>na vozilu na kojem su izvršene prepravke, odnosno koje je pojedinačno proizvedeno, dok se ne izvrši njegovo ispitivanje.</w:t>
      </w:r>
    </w:p>
    <w:p w:rsidR="00000000" w:rsidRDefault="0090052B">
      <w:pPr>
        <w:pStyle w:val="1tekst"/>
      </w:pPr>
      <w:r>
        <w:t>Prilikom vršenja redovnog tehničkog pregleda, vozilo koje je registrovano treba da ima propisane registarske tablice, odnosno tablice z</w:t>
      </w:r>
      <w:r>
        <w:t xml:space="preserve">a privremeno označavanje postavljene na predviđenom mjestu. </w:t>
      </w:r>
    </w:p>
    <w:p w:rsidR="00000000" w:rsidRDefault="0090052B">
      <w:pPr>
        <w:pStyle w:val="4clan"/>
      </w:pPr>
      <w:r>
        <w:t>Član 7</w:t>
      </w:r>
    </w:p>
    <w:p w:rsidR="00000000" w:rsidRDefault="0090052B">
      <w:pPr>
        <w:pStyle w:val="1tekst"/>
      </w:pPr>
      <w:r>
        <w:t>Tehnički pregled vozila traje najmanje:</w:t>
      </w:r>
    </w:p>
    <w:p w:rsidR="00000000" w:rsidRDefault="0090052B">
      <w:pPr>
        <w:pStyle w:val="1tekst"/>
      </w:pPr>
      <w:r>
        <w:t>- 15 minuta - za mopede, motocikle, tricikle, četvorocikle, motokultivatore, radne mašine, priključna vozila za traktor, priključna vozila bez kočio</w:t>
      </w:r>
      <w:r>
        <w:t>nog sistema i priključno vozilo sa kočnim sistemom sa inercionom komandom;</w:t>
      </w:r>
    </w:p>
    <w:p w:rsidR="00000000" w:rsidRDefault="0090052B">
      <w:pPr>
        <w:pStyle w:val="1tekst"/>
      </w:pPr>
      <w:r>
        <w:t xml:space="preserve">- 20 minuta - za traktore; </w:t>
      </w:r>
    </w:p>
    <w:p w:rsidR="00000000" w:rsidRDefault="0090052B">
      <w:pPr>
        <w:pStyle w:val="1tekst"/>
      </w:pPr>
      <w:r>
        <w:t xml:space="preserve">- 25 minuta - ostala priključna vozila; </w:t>
      </w:r>
    </w:p>
    <w:p w:rsidR="00000000" w:rsidRDefault="0090052B">
      <w:pPr>
        <w:pStyle w:val="1tekst"/>
      </w:pPr>
      <w:r>
        <w:t xml:space="preserve">- 30 minuta - za motorna vozila čija najveća dozvoljena masa ne prelazi 3.500 </w:t>
      </w:r>
      <w:r>
        <w:rPr>
          <w:lang w:val="sl-SI"/>
        </w:rPr>
        <w:t>kg</w:t>
      </w:r>
      <w:r>
        <w:t xml:space="preserve">, osim vozila iz alineje 1 ovog </w:t>
      </w:r>
      <w:r>
        <w:t>člana;</w:t>
      </w:r>
    </w:p>
    <w:p w:rsidR="00000000" w:rsidRDefault="0090052B">
      <w:pPr>
        <w:pStyle w:val="1tekst"/>
      </w:pPr>
      <w:r>
        <w:t xml:space="preserve">- 35 minuta - za motorna vozila čija najveća dozvoljena masa prelazi 3.500 </w:t>
      </w:r>
      <w:r>
        <w:rPr>
          <w:lang w:val="sl-SI"/>
        </w:rPr>
        <w:t>kg</w:t>
      </w:r>
      <w:r>
        <w:t xml:space="preserve"> sa hidrauličnim kočionim sistemom;</w:t>
      </w:r>
    </w:p>
    <w:p w:rsidR="00000000" w:rsidRDefault="0090052B">
      <w:pPr>
        <w:pStyle w:val="1tekst"/>
      </w:pPr>
      <w:r>
        <w:t xml:space="preserve">- 45 minuta - za motorna vozila čija najveća dozvoljena masa prelazi 3.500 </w:t>
      </w:r>
      <w:r>
        <w:rPr>
          <w:lang w:val="sl-SI"/>
        </w:rPr>
        <w:t>kg</w:t>
      </w:r>
      <w:r>
        <w:t xml:space="preserve"> sa pneumatskim, odnosno kombinovanim kočionim sistemom.</w:t>
      </w:r>
    </w:p>
    <w:p w:rsidR="00000000" w:rsidRDefault="0090052B">
      <w:pPr>
        <w:pStyle w:val="4clan"/>
      </w:pPr>
      <w:r>
        <w:t>Čl</w:t>
      </w:r>
      <w:r>
        <w:t xml:space="preserve">an 8 </w:t>
      </w:r>
      <w:r>
        <w:t>﻿</w:t>
      </w:r>
      <w:r>
        <w:t xml:space="preserve"> </w:t>
      </w:r>
    </w:p>
    <w:p w:rsidR="00000000" w:rsidRDefault="0090052B">
      <w:pPr>
        <w:pStyle w:val="1tekst"/>
      </w:pPr>
      <w:r>
        <w:t xml:space="preserve">Tehnički pregled vozila izvršiće se u cjelini, bez obzira da li je prilikom pregleda utvrđena neispravnost nekog uređaja ili opreme. </w:t>
      </w:r>
    </w:p>
    <w:p w:rsidR="00000000" w:rsidRDefault="0090052B">
      <w:pPr>
        <w:pStyle w:val="1tekst"/>
      </w:pPr>
      <w:r>
        <w:t>U slučaju da je prilikom tehničkog pregleda vozila utvrđena neispravnost nekog uređaja ili opreme, ta neispravnost</w:t>
      </w:r>
      <w:r>
        <w:t xml:space="preserve"> se može otkloniti u roku od 72 časa, nakon čega će se izvršiti samo tehnički pregled tih uređaja i opreme.</w:t>
      </w:r>
    </w:p>
    <w:p w:rsidR="00000000" w:rsidRDefault="0090052B">
      <w:pPr>
        <w:pStyle w:val="4clan"/>
      </w:pPr>
      <w:r>
        <w:t xml:space="preserve">Član 9 </w:t>
      </w:r>
    </w:p>
    <w:p w:rsidR="00000000" w:rsidRDefault="0090052B">
      <w:pPr>
        <w:pStyle w:val="1tekst"/>
      </w:pPr>
      <w:r>
        <w:t xml:space="preserve">Izuzetno od člana 8 stav 1 ovog pravilnika, tehnički pregled vozila neće se izvršiti u cjelini: </w:t>
      </w:r>
    </w:p>
    <w:p w:rsidR="00000000" w:rsidRDefault="0090052B">
      <w:pPr>
        <w:pStyle w:val="1tekst"/>
      </w:pPr>
      <w:r>
        <w:t xml:space="preserve">- u slučaju da se tokom vršenja tehničkog </w:t>
      </w:r>
      <w:r>
        <w:t xml:space="preserve">pregleda utvrdi da je vozilo prepravljeno, a da nije izvršeno njegovo ispitivanje, i </w:t>
      </w:r>
    </w:p>
    <w:p w:rsidR="00000000" w:rsidRDefault="0090052B">
      <w:pPr>
        <w:pStyle w:val="1tekst"/>
      </w:pPr>
      <w:r>
        <w:t>- ako tokom vršenja tehničkog pregleda dođe do otkazivanja nekog od sklopova vozila, usljed čega ono nije u voznom stanju.</w:t>
      </w:r>
    </w:p>
    <w:p w:rsidR="00000000" w:rsidRDefault="0090052B">
      <w:pPr>
        <w:pStyle w:val="4clan"/>
      </w:pPr>
      <w:r>
        <w:t>Član 10</w:t>
      </w:r>
    </w:p>
    <w:p w:rsidR="00000000" w:rsidRDefault="0090052B">
      <w:pPr>
        <w:pStyle w:val="1tekst"/>
      </w:pPr>
      <w:r>
        <w:t>O tehničkom pregledu vozila sačinjava s</w:t>
      </w:r>
      <w:r>
        <w:t>e zapisnik na obrascu koji sadrži:</w:t>
      </w:r>
    </w:p>
    <w:p w:rsidR="00000000" w:rsidRDefault="0090052B">
      <w:pPr>
        <w:pStyle w:val="1tekst"/>
      </w:pPr>
      <w:r>
        <w:t>1) naziv i logo privrednog društva i stanice za tehnički pregled vozila;</w:t>
      </w:r>
    </w:p>
    <w:p w:rsidR="00000000" w:rsidRDefault="0090052B">
      <w:pPr>
        <w:pStyle w:val="1tekst"/>
      </w:pPr>
      <w:r>
        <w:t>2) vrstu tehničkog pregleda:</w:t>
      </w:r>
    </w:p>
    <w:p w:rsidR="00000000" w:rsidRDefault="0090052B">
      <w:pPr>
        <w:pStyle w:val="1tekst"/>
      </w:pPr>
      <w:r>
        <w:t>- redovni,</w:t>
      </w:r>
    </w:p>
    <w:p w:rsidR="00000000" w:rsidRDefault="0090052B">
      <w:pPr>
        <w:pStyle w:val="1tekst"/>
      </w:pPr>
      <w:r>
        <w:t>- vanredni, i</w:t>
      </w:r>
    </w:p>
    <w:p w:rsidR="00000000" w:rsidRDefault="0090052B">
      <w:pPr>
        <w:pStyle w:val="1tekst"/>
      </w:pPr>
      <w:r>
        <w:t>- kontrolni;</w:t>
      </w:r>
    </w:p>
    <w:p w:rsidR="00000000" w:rsidRDefault="0090052B">
      <w:pPr>
        <w:pStyle w:val="1tekst"/>
      </w:pPr>
      <w:r>
        <w:t>3) podatke o vozilu:</w:t>
      </w:r>
    </w:p>
    <w:p w:rsidR="00000000" w:rsidRDefault="0090052B">
      <w:pPr>
        <w:pStyle w:val="1tekst"/>
      </w:pPr>
      <w:r>
        <w:t>- registarska oznaka vozila,</w:t>
      </w:r>
    </w:p>
    <w:p w:rsidR="00000000" w:rsidRDefault="0090052B">
      <w:pPr>
        <w:pStyle w:val="1tekst"/>
      </w:pPr>
      <w:r>
        <w:t>- datum prve registracije,</w:t>
      </w:r>
    </w:p>
    <w:p w:rsidR="00000000" w:rsidRDefault="0090052B">
      <w:pPr>
        <w:pStyle w:val="1tekst"/>
      </w:pPr>
      <w:r>
        <w:t>- identifikacioni broj šasije vozila,</w:t>
      </w:r>
    </w:p>
    <w:p w:rsidR="00000000" w:rsidRDefault="0090052B">
      <w:pPr>
        <w:pStyle w:val="1tekst"/>
      </w:pPr>
      <w:r>
        <w:t>- vrsta,</w:t>
      </w:r>
    </w:p>
    <w:p w:rsidR="00000000" w:rsidRDefault="0090052B">
      <w:pPr>
        <w:pStyle w:val="1tekst"/>
      </w:pPr>
      <w:r>
        <w:t>- marka,</w:t>
      </w:r>
    </w:p>
    <w:p w:rsidR="00000000" w:rsidRDefault="0090052B">
      <w:pPr>
        <w:pStyle w:val="1tekst"/>
      </w:pPr>
      <w:r>
        <w:t>- tip/model,</w:t>
      </w:r>
    </w:p>
    <w:p w:rsidR="00000000" w:rsidRDefault="0090052B">
      <w:pPr>
        <w:pStyle w:val="1tekst"/>
      </w:pPr>
      <w:r>
        <w:t>- najveća dozvoljena masa (</w:t>
      </w:r>
      <w:r>
        <w:rPr>
          <w:lang w:val="sl-SI"/>
        </w:rPr>
        <w:t>kg</w:t>
      </w:r>
      <w:r>
        <w:t>),</w:t>
      </w:r>
    </w:p>
    <w:p w:rsidR="00000000" w:rsidRDefault="0090052B">
      <w:pPr>
        <w:pStyle w:val="1tekst"/>
      </w:pPr>
      <w:r>
        <w:t>- masa (</w:t>
      </w:r>
      <w:r>
        <w:rPr>
          <w:lang w:val="sl-SI"/>
        </w:rPr>
        <w:t>kg</w:t>
      </w:r>
      <w:r>
        <w:t>),</w:t>
      </w:r>
    </w:p>
    <w:p w:rsidR="00000000" w:rsidRDefault="0090052B">
      <w:pPr>
        <w:pStyle w:val="1tekst"/>
      </w:pPr>
      <w:r>
        <w:t>- nosivost (</w:t>
      </w:r>
      <w:r>
        <w:rPr>
          <w:lang w:val="sl-SI"/>
        </w:rPr>
        <w:t>kg</w:t>
      </w:r>
      <w:r>
        <w:t>),</w:t>
      </w:r>
    </w:p>
    <w:p w:rsidR="00000000" w:rsidRDefault="0090052B">
      <w:pPr>
        <w:pStyle w:val="1tekst"/>
      </w:pPr>
      <w:r>
        <w:t>- broj osovina,</w:t>
      </w:r>
    </w:p>
    <w:p w:rsidR="00000000" w:rsidRDefault="0090052B">
      <w:pPr>
        <w:pStyle w:val="1tekst"/>
      </w:pPr>
      <w:r>
        <w:t>- broj točkova/broj pogonskih točkova,</w:t>
      </w:r>
    </w:p>
    <w:p w:rsidR="00000000" w:rsidRDefault="0090052B">
      <w:pPr>
        <w:pStyle w:val="1tekst"/>
      </w:pPr>
      <w:r>
        <w:t>- dozvoljena osovinska opterećenja po osovinama (obavezno za vozila či</w:t>
      </w:r>
      <w:r>
        <w:t>je je osovinsko opterećenje sopstvene mase vozila veće od dozvoljenog osovinskog opterećenja),</w:t>
      </w:r>
    </w:p>
    <w:p w:rsidR="00000000" w:rsidRDefault="0090052B">
      <w:pPr>
        <w:pStyle w:val="1tekst"/>
      </w:pPr>
      <w:r>
        <w:t>- broj motora,</w:t>
      </w:r>
    </w:p>
    <w:p w:rsidR="00000000" w:rsidRDefault="0090052B">
      <w:pPr>
        <w:pStyle w:val="1tekst"/>
      </w:pPr>
      <w:r>
        <w:t>- radna zapremina motora (</w:t>
      </w:r>
      <w:r>
        <w:rPr>
          <w:lang w:val="sl-SI"/>
        </w:rPr>
        <w:t>cm</w:t>
      </w:r>
      <w:r>
        <w:rPr>
          <w:vertAlign w:val="superscript"/>
          <w:lang w:val="sl-SI"/>
        </w:rPr>
        <w:t>3</w:t>
      </w:r>
      <w:r>
        <w:t>),</w:t>
      </w:r>
    </w:p>
    <w:p w:rsidR="00000000" w:rsidRDefault="0090052B">
      <w:pPr>
        <w:pStyle w:val="1tekst"/>
      </w:pPr>
      <w:r>
        <w:t>- snaga motora (</w:t>
      </w:r>
      <w:r>
        <w:rPr>
          <w:lang w:val="sl-SI"/>
        </w:rPr>
        <w:t>k</w:t>
      </w:r>
      <w:r>
        <w:t>W),</w:t>
      </w:r>
    </w:p>
    <w:p w:rsidR="00000000" w:rsidRDefault="0090052B">
      <w:pPr>
        <w:pStyle w:val="1tekst"/>
      </w:pPr>
      <w:r>
        <w:t>- pogonsko gorivo,</w:t>
      </w:r>
    </w:p>
    <w:p w:rsidR="00000000" w:rsidRDefault="0090052B">
      <w:pPr>
        <w:pStyle w:val="1tekst"/>
      </w:pPr>
      <w:r>
        <w:t>- odnos snaga/masa vozila (</w:t>
      </w:r>
      <w:r>
        <w:rPr>
          <w:lang w:val="sl-SI"/>
        </w:rPr>
        <w:t>k</w:t>
      </w:r>
      <w:r>
        <w:t>W/</w:t>
      </w:r>
      <w:r>
        <w:rPr>
          <w:lang w:val="sl-SI"/>
        </w:rPr>
        <w:t>kg</w:t>
      </w:r>
      <w:r>
        <w:t>),</w:t>
      </w:r>
    </w:p>
    <w:p w:rsidR="00000000" w:rsidRDefault="0090052B">
      <w:pPr>
        <w:pStyle w:val="1tekst"/>
      </w:pPr>
      <w:r>
        <w:t>- boja,</w:t>
      </w:r>
    </w:p>
    <w:p w:rsidR="00000000" w:rsidRDefault="0090052B">
      <w:pPr>
        <w:pStyle w:val="1tekst"/>
      </w:pPr>
      <w:r>
        <w:t>- broj mjesta za sjedenje,</w:t>
      </w:r>
    </w:p>
    <w:p w:rsidR="00000000" w:rsidRDefault="0090052B">
      <w:pPr>
        <w:pStyle w:val="1tekst"/>
      </w:pPr>
      <w:r>
        <w:t>- br</w:t>
      </w:r>
      <w:r>
        <w:t>oj mjesta za stajanje,</w:t>
      </w:r>
    </w:p>
    <w:p w:rsidR="00000000" w:rsidRDefault="0090052B">
      <w:pPr>
        <w:pStyle w:val="1tekst"/>
      </w:pPr>
      <w:r>
        <w:t>- godina proizvodnje,</w:t>
      </w:r>
    </w:p>
    <w:p w:rsidR="00000000" w:rsidRDefault="0090052B">
      <w:pPr>
        <w:pStyle w:val="1tekst"/>
      </w:pPr>
      <w:r>
        <w:t>- oznake pneumatika,</w:t>
      </w:r>
    </w:p>
    <w:p w:rsidR="00000000" w:rsidRDefault="0090052B">
      <w:pPr>
        <w:pStyle w:val="1tekst"/>
      </w:pPr>
      <w:r>
        <w:t>- dimenzije vozila (obavezno za vozila čije su dimenzije iznad najvećih dozvoljenih dimenzija)</w:t>
      </w:r>
    </w:p>
    <w:p w:rsidR="00000000" w:rsidRDefault="0090052B">
      <w:pPr>
        <w:pStyle w:val="1tekst"/>
      </w:pPr>
      <w:r>
        <w:t>- pređeni put (</w:t>
      </w:r>
      <w:r>
        <w:rPr>
          <w:lang w:val="sl-SI"/>
        </w:rPr>
        <w:t>km</w:t>
      </w:r>
      <w:r>
        <w:t>), i</w:t>
      </w:r>
    </w:p>
    <w:p w:rsidR="00000000" w:rsidRDefault="0090052B">
      <w:pPr>
        <w:pStyle w:val="1tekst"/>
      </w:pPr>
      <w:r>
        <w:t xml:space="preserve">- najveća konstruktivna brzina (km/h) (obavezno za mopede, </w:t>
      </w:r>
      <w:r>
        <w:t>lake prikolice, lake četvorocikle, motokultivatore i radne mašine);</w:t>
      </w:r>
    </w:p>
    <w:p w:rsidR="00000000" w:rsidRDefault="0090052B">
      <w:pPr>
        <w:pStyle w:val="1tekst"/>
      </w:pPr>
      <w:r>
        <w:t>4) ocjenu tehničke ispravnosti vozila (ispravno - neispravno);</w:t>
      </w:r>
    </w:p>
    <w:p w:rsidR="00000000" w:rsidRDefault="0090052B">
      <w:pPr>
        <w:pStyle w:val="1tekst"/>
      </w:pPr>
      <w:r>
        <w:t>5) utvrđene neispravnosti;</w:t>
      </w:r>
    </w:p>
    <w:p w:rsidR="00000000" w:rsidRDefault="0090052B">
      <w:pPr>
        <w:pStyle w:val="1tekst"/>
      </w:pPr>
      <w:r>
        <w:t>6) napomenu;</w:t>
      </w:r>
    </w:p>
    <w:p w:rsidR="00000000" w:rsidRDefault="0090052B">
      <w:pPr>
        <w:pStyle w:val="1tekst"/>
      </w:pPr>
      <w:r>
        <w:t>7) datum sačinjavanja zapisnika, i</w:t>
      </w:r>
    </w:p>
    <w:p w:rsidR="00000000" w:rsidRDefault="0090052B">
      <w:pPr>
        <w:pStyle w:val="1tekst"/>
      </w:pPr>
      <w:r>
        <w:t>8) pečat privrednog društva i potpise kontrolora k</w:t>
      </w:r>
      <w:r>
        <w:t>oji su izvršili tehnički pregled vozila.</w:t>
      </w:r>
    </w:p>
    <w:p w:rsidR="00000000" w:rsidRDefault="0090052B">
      <w:pPr>
        <w:pStyle w:val="1tekst"/>
      </w:pPr>
      <w:r>
        <w:t>Obrazac zapisnika iz stava 1 ovog člana sastavni je dio ovog pravilnika (Prilog 2).</w:t>
      </w:r>
    </w:p>
    <w:p w:rsidR="00000000" w:rsidRDefault="0090052B">
      <w:pPr>
        <w:pStyle w:val="4clan"/>
      </w:pPr>
      <w:r>
        <w:t>Član 11</w:t>
      </w:r>
    </w:p>
    <w:p w:rsidR="00000000" w:rsidRDefault="0090052B">
      <w:pPr>
        <w:pStyle w:val="1tekst"/>
      </w:pPr>
      <w:r>
        <w:t>Potvrda o tehničkoj ispravnosti vozila izdaje se na obrascu koji sadrži:</w:t>
      </w:r>
    </w:p>
    <w:p w:rsidR="00000000" w:rsidRDefault="0090052B">
      <w:pPr>
        <w:pStyle w:val="1tekst"/>
      </w:pPr>
      <w:r>
        <w:t>1) naziv i logo privrednog društva i stanice za te</w:t>
      </w:r>
      <w:r>
        <w:t>hnički pregled vozila koja je potvrdu izdala;</w:t>
      </w:r>
    </w:p>
    <w:p w:rsidR="00000000" w:rsidRDefault="0090052B">
      <w:pPr>
        <w:pStyle w:val="1tekst"/>
      </w:pPr>
      <w:r>
        <w:t>2) podatke o vozilu:</w:t>
      </w:r>
    </w:p>
    <w:p w:rsidR="00000000" w:rsidRDefault="0090052B">
      <w:pPr>
        <w:pStyle w:val="1tekst"/>
      </w:pPr>
      <w:r>
        <w:t>- registarska oznaka,</w:t>
      </w:r>
    </w:p>
    <w:p w:rsidR="00000000" w:rsidRDefault="0090052B">
      <w:pPr>
        <w:pStyle w:val="1tekst"/>
      </w:pPr>
      <w:r>
        <w:t>- vrsta,</w:t>
      </w:r>
    </w:p>
    <w:p w:rsidR="00000000" w:rsidRDefault="0090052B">
      <w:pPr>
        <w:pStyle w:val="1tekst"/>
      </w:pPr>
      <w:r>
        <w:t>- marka,</w:t>
      </w:r>
    </w:p>
    <w:p w:rsidR="00000000" w:rsidRDefault="0090052B">
      <w:pPr>
        <w:pStyle w:val="1tekst"/>
      </w:pPr>
      <w:r>
        <w:t>- tip/model,</w:t>
      </w:r>
    </w:p>
    <w:p w:rsidR="00000000" w:rsidRDefault="0090052B">
      <w:pPr>
        <w:pStyle w:val="1tekst"/>
      </w:pPr>
      <w:r>
        <w:t>- identifikacioni broj šasije vozila, i</w:t>
      </w:r>
    </w:p>
    <w:p w:rsidR="00000000" w:rsidRDefault="0090052B">
      <w:pPr>
        <w:pStyle w:val="1tekst"/>
      </w:pPr>
      <w:r>
        <w:t>- broj motora;</w:t>
      </w:r>
    </w:p>
    <w:p w:rsidR="00000000" w:rsidRDefault="0090052B">
      <w:pPr>
        <w:pStyle w:val="1tekst"/>
      </w:pPr>
      <w:r>
        <w:t>3) ime i prezime vlasnika vozila;</w:t>
      </w:r>
    </w:p>
    <w:p w:rsidR="00000000" w:rsidRDefault="0090052B">
      <w:pPr>
        <w:pStyle w:val="1tekst"/>
      </w:pPr>
      <w:r>
        <w:t>4) datum vršenja tehničkog pregleda i ovjere po</w:t>
      </w:r>
      <w:r>
        <w:t>tvrde, i</w:t>
      </w:r>
    </w:p>
    <w:p w:rsidR="00000000" w:rsidRDefault="0090052B">
      <w:pPr>
        <w:pStyle w:val="1tekst"/>
      </w:pPr>
      <w:r>
        <w:t>5) pečat privrednog društva i potpise kontrolora koji su izvršili tehnički pregled vozila.</w:t>
      </w:r>
    </w:p>
    <w:p w:rsidR="00000000" w:rsidRDefault="0090052B">
      <w:pPr>
        <w:pStyle w:val="1tekst"/>
      </w:pPr>
      <w:r>
        <w:t>Obrazac potvrde iz stava 1 ovog člana sastavni je dio ovog pravilnika (Prilog 3).</w:t>
      </w:r>
    </w:p>
    <w:p w:rsidR="00000000" w:rsidRDefault="0090052B">
      <w:pPr>
        <w:pStyle w:val="4clan"/>
      </w:pPr>
      <w:r>
        <w:t xml:space="preserve">Član 12 </w:t>
      </w:r>
    </w:p>
    <w:p w:rsidR="00000000" w:rsidRDefault="0090052B">
      <w:pPr>
        <w:pStyle w:val="1tekst"/>
      </w:pPr>
      <w:r>
        <w:t>Zapisnik o tehničkom pregledu vozila i potvrdu o tehničkoj isprav</w:t>
      </w:r>
      <w:r>
        <w:t>nosti vozila, kontrolori koji su izvršili tehnički pregled vozila dostavljaju Ministarstvu unutrašnjih poslova odmah nakon izvršenog tehničkog pregleda vozila, u skladu sa Zakonom o bezbjednosti saobraćaja na putevima.</w:t>
      </w:r>
    </w:p>
    <w:p w:rsidR="00000000" w:rsidRDefault="0090052B">
      <w:pPr>
        <w:pStyle w:val="4clan"/>
      </w:pPr>
      <w:r>
        <w:t>Član 13</w:t>
      </w:r>
    </w:p>
    <w:p w:rsidR="00000000" w:rsidRDefault="0090052B">
      <w:pPr>
        <w:pStyle w:val="1tekst"/>
      </w:pPr>
      <w:r>
        <w:t>Evidencija o tehničkim pregle</w:t>
      </w:r>
      <w:r>
        <w:t>dima vozila i utvrđenim nepravilnostima sadrži:</w:t>
      </w:r>
    </w:p>
    <w:p w:rsidR="00000000" w:rsidRDefault="0090052B">
      <w:pPr>
        <w:pStyle w:val="1tekst"/>
      </w:pPr>
      <w:r>
        <w:t>1) identifikacioni broj stanice za tehnički pregled vozila;</w:t>
      </w:r>
    </w:p>
    <w:p w:rsidR="00000000" w:rsidRDefault="0090052B">
      <w:pPr>
        <w:pStyle w:val="1tekst"/>
      </w:pPr>
      <w:r>
        <w:t>2) konstataciju o ispunjenosti uslova za vršenje tehničkog pregleda vozila;</w:t>
      </w:r>
    </w:p>
    <w:p w:rsidR="00000000" w:rsidRDefault="0090052B">
      <w:pPr>
        <w:pStyle w:val="1tekst"/>
      </w:pPr>
      <w:r>
        <w:t>3) podatke o vlasniku ili korisniku vozila;</w:t>
      </w:r>
    </w:p>
    <w:p w:rsidR="00000000" w:rsidRDefault="0090052B">
      <w:pPr>
        <w:pStyle w:val="1tekst"/>
      </w:pPr>
      <w:r>
        <w:t>4) datum i vrijeme početka;</w:t>
      </w:r>
    </w:p>
    <w:p w:rsidR="00000000" w:rsidRDefault="0090052B">
      <w:pPr>
        <w:pStyle w:val="1tekst"/>
      </w:pPr>
      <w:r>
        <w:t>5) datum i vrijeme završetka;</w:t>
      </w:r>
    </w:p>
    <w:p w:rsidR="00000000" w:rsidRDefault="0090052B">
      <w:pPr>
        <w:pStyle w:val="1tekst"/>
      </w:pPr>
      <w:r>
        <w:t>6) podatke o licu koje je naložilo kontrolni tehnički pregled;</w:t>
      </w:r>
    </w:p>
    <w:p w:rsidR="00000000" w:rsidRDefault="0090052B">
      <w:pPr>
        <w:pStyle w:val="1tekst"/>
      </w:pPr>
      <w:r>
        <w:t>7) podatke o vozilu (identifikacioni broj šasije, registarska oznaka, vrsta i komercijalni opis vozila, marka, tip/model, datum prve registracije, broj motora, pog</w:t>
      </w:r>
      <w:r>
        <w:t>onsko gorivo, boja, godina proizvodnje);</w:t>
      </w:r>
    </w:p>
    <w:p w:rsidR="00000000" w:rsidRDefault="0090052B">
      <w:pPr>
        <w:pStyle w:val="1tekst"/>
      </w:pPr>
      <w:r>
        <w:t>8) utvrđene neispravnosti;</w:t>
      </w:r>
    </w:p>
    <w:p w:rsidR="00000000" w:rsidRDefault="0090052B">
      <w:pPr>
        <w:pStyle w:val="1tekst"/>
      </w:pPr>
      <w:r>
        <w:t>9) ocjenu tehničke ispravnosti vozila;</w:t>
      </w:r>
    </w:p>
    <w:p w:rsidR="00000000" w:rsidRDefault="0090052B">
      <w:pPr>
        <w:pStyle w:val="1tekst"/>
      </w:pPr>
      <w:r>
        <w:t>10) broj zapisnika o tehničkom pregledu vozila i datum njegovog sačinjavanja;</w:t>
      </w:r>
    </w:p>
    <w:p w:rsidR="00000000" w:rsidRDefault="0090052B">
      <w:pPr>
        <w:pStyle w:val="1tekst"/>
      </w:pPr>
      <w:r>
        <w:t>11) broj potvrde o tehničkoj ispravnosti vozila i datum njenog sačinjav</w:t>
      </w:r>
      <w:r>
        <w:t>anja;</w:t>
      </w:r>
    </w:p>
    <w:p w:rsidR="00000000" w:rsidRDefault="0090052B">
      <w:pPr>
        <w:pStyle w:val="1tekst"/>
      </w:pPr>
      <w:r>
        <w:t>12) datum i vrijeme dostavljanja zapisnika i potvrde Ministarstvu unutrašnjih poslova (dan, mjesec, godina, čas i minut dostavljanja);</w:t>
      </w:r>
    </w:p>
    <w:p w:rsidR="00000000" w:rsidRDefault="0090052B">
      <w:pPr>
        <w:pStyle w:val="1tekst"/>
      </w:pPr>
      <w:r>
        <w:t>13) podatke o kontrolorima koji su vršili tehnički pregled i njihove elektronske potpise, i</w:t>
      </w:r>
    </w:p>
    <w:p w:rsidR="00000000" w:rsidRDefault="0090052B">
      <w:pPr>
        <w:pStyle w:val="1tekst"/>
      </w:pPr>
      <w:r>
        <w:t>14) napomenu.</w:t>
      </w:r>
    </w:p>
    <w:p w:rsidR="00000000" w:rsidRDefault="0090052B">
      <w:pPr>
        <w:pStyle w:val="4clan"/>
      </w:pPr>
      <w:r>
        <w:t xml:space="preserve">Član 14 </w:t>
      </w:r>
      <w:r>
        <w:t>﻿</w:t>
      </w:r>
      <w:r>
        <w:t xml:space="preserve"> </w:t>
      </w:r>
    </w:p>
    <w:p w:rsidR="00000000" w:rsidRDefault="0090052B">
      <w:pPr>
        <w:pStyle w:val="1tekst"/>
      </w:pPr>
      <w:r>
        <w:t xml:space="preserve">Evidencija o tehničkim pregledima vozila i utvrđenim nepravilnostima vodi se pojedinačno za svaku tehnološku liniju za tehnički pregled vozila. </w:t>
      </w:r>
    </w:p>
    <w:p w:rsidR="00000000" w:rsidRDefault="0090052B">
      <w:pPr>
        <w:pStyle w:val="1tekst"/>
      </w:pPr>
      <w:r>
        <w:t>Sastavni dio evidencije iz stava 1 ovog člana čine zapisnici o izvršenim tehničkim pregledima vozila, potvrde</w:t>
      </w:r>
      <w:r>
        <w:t xml:space="preserve"> o tehničkoj ispravnosti vozila, video zapisi tehničkih pregleda vozila, zapisi sa uređaja kojima su vršena mjerenja, ako postoje pisani zapisi, fotografije vozila sa prednje, zadnje i bočnih strana i identifikacionog broja šasije vozila/VIN oznake, kao i </w:t>
      </w:r>
      <w:r>
        <w:t>prateća dokumentacija o vozilima.</w:t>
      </w:r>
    </w:p>
    <w:p w:rsidR="00000000" w:rsidRDefault="0090052B">
      <w:pPr>
        <w:pStyle w:val="1tekst"/>
      </w:pPr>
      <w:r>
        <w:t>Evidencije iz stava 2 ovog člana čuvaju se u stanici za tehnički pregled vozila najmanje dvije godine.</w:t>
      </w:r>
    </w:p>
    <w:p w:rsidR="00000000" w:rsidRDefault="0090052B">
      <w:pPr>
        <w:pStyle w:val="4clan"/>
      </w:pPr>
      <w:r>
        <w:t xml:space="preserve">Član 15 </w:t>
      </w:r>
    </w:p>
    <w:p w:rsidR="00000000" w:rsidRDefault="0090052B">
      <w:pPr>
        <w:pStyle w:val="1tekst"/>
      </w:pPr>
      <w:r>
        <w:t>Danom stupanja na snagu ovog pravilnika prestaje da važi Pravilnik o tehničkom pregledu vozila ("Službeni lis</w:t>
      </w:r>
      <w:r>
        <w:t xml:space="preserve">t SRCG", broj 6/84). </w:t>
      </w:r>
    </w:p>
    <w:p w:rsidR="00000000" w:rsidRDefault="0090052B">
      <w:pPr>
        <w:pStyle w:val="4clan"/>
      </w:pPr>
      <w:r>
        <w:t xml:space="preserve">Član 16 </w:t>
      </w:r>
    </w:p>
    <w:p w:rsidR="00000000" w:rsidRDefault="0090052B">
      <w:pPr>
        <w:pStyle w:val="1tekst"/>
      </w:pPr>
      <w:r>
        <w:t>Ovaj pravilnik stupa na snagu osmog dana od dana objavljivanja u "Službenom listu Crne Gore".</w:t>
      </w:r>
    </w:p>
    <w:p w:rsidR="00000000" w:rsidRDefault="0090052B">
      <w:pPr>
        <w:pStyle w:val="1tekst"/>
      </w:pPr>
      <w:r>
        <w:t> </w:t>
      </w:r>
    </w:p>
    <w:p w:rsidR="00000000" w:rsidRDefault="0090052B">
      <w:pPr>
        <w:pStyle w:val="1tekst"/>
      </w:pPr>
      <w:r>
        <w:rPr>
          <w:b/>
          <w:bCs/>
          <w:i/>
          <w:iCs/>
        </w:rPr>
        <w:t xml:space="preserve">NAPOMENA REDAKCIJE: </w:t>
      </w:r>
      <w:r>
        <w:rPr>
          <w:i/>
          <w:iCs/>
        </w:rPr>
        <w:t>Priloge u PDF formatu možete preuzeti klikom na sledeći link:</w:t>
      </w:r>
    </w:p>
    <w:p w:rsidR="00000000" w:rsidRDefault="0090052B">
      <w:pPr>
        <w:pStyle w:val="1tekst"/>
      </w:pPr>
      <w:hyperlink r:id="rId6" w:tgtFrame="_blank" w:history="1">
        <w:r>
          <w:rPr>
            <w:rStyle w:val="Hyperlink"/>
            <w:b/>
            <w:bCs/>
          </w:rPr>
          <w:t>Prilog 1</w:t>
        </w:r>
      </w:hyperlink>
      <w:r>
        <w:t xml:space="preserve"> (Tehnički pregled vozila, po pojedinim kategorijama vozila)</w:t>
      </w:r>
    </w:p>
    <w:p w:rsidR="00000000" w:rsidRDefault="0090052B">
      <w:pPr>
        <w:pStyle w:val="1tekst"/>
      </w:pPr>
      <w:hyperlink r:id="rId7" w:tgtFrame="_blank" w:history="1">
        <w:r>
          <w:rPr>
            <w:rStyle w:val="Hyperlink"/>
            <w:b/>
            <w:bCs/>
          </w:rPr>
          <w:t>Prilog 2</w:t>
        </w:r>
      </w:hyperlink>
      <w:r>
        <w:t xml:space="preserve"> (Zapisnik o tehničkom pregledu vozila)</w:t>
      </w:r>
    </w:p>
    <w:p w:rsidR="0090052B" w:rsidRDefault="0090052B">
      <w:pPr>
        <w:pStyle w:val="1tekst"/>
      </w:pPr>
      <w:hyperlink r:id="rId8" w:tgtFrame="_blank" w:history="1">
        <w:r>
          <w:rPr>
            <w:rStyle w:val="Hyperlink"/>
            <w:b/>
            <w:bCs/>
          </w:rPr>
          <w:t>Prilog 3</w:t>
        </w:r>
      </w:hyperlink>
      <w:r>
        <w:t xml:space="preserve"> (Potvrda o tehničkoj ispravnosti voz</w:t>
      </w:r>
      <w:r>
        <w:t>ila)</w:t>
      </w:r>
    </w:p>
    <w:sectPr w:rsidR="0090052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9C5E3C"/>
    <w:rsid w:val="0090052B"/>
    <w:rsid w:val="009C5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15" w:right="115" w:firstLine="240"/>
      <w:jc w:val="both"/>
    </w:pPr>
    <w:rPr>
      <w:rFonts w:ascii="Tahoma" w:hAnsi="Tahoma" w:cs="Tahoma"/>
      <w:sz w:val="17"/>
      <w:szCs w:val="17"/>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28"/>
      <w:szCs w:val="28"/>
    </w:rPr>
  </w:style>
  <w:style w:type="paragraph" w:customStyle="1" w:styleId="rasir">
    <w:name w:val="rasir"/>
    <w:basedOn w:val="Normal"/>
    <w:pPr>
      <w:spacing w:before="100" w:beforeAutospacing="1" w:after="100" w:afterAutospacing="1"/>
      <w:jc w:val="center"/>
    </w:pPr>
    <w:rPr>
      <w:rFonts w:ascii="Tahoma" w:hAnsi="Tahoma" w:cs="Tahoma"/>
      <w:sz w:val="21"/>
      <w:szCs w:val="21"/>
    </w:rPr>
  </w:style>
  <w:style w:type="paragraph" w:customStyle="1" w:styleId="obrazac">
    <w:name w:val="obrazac"/>
    <w:basedOn w:val="Normal"/>
    <w:pPr>
      <w:spacing w:before="100" w:beforeAutospacing="1" w:after="100" w:afterAutospacing="1"/>
      <w:jc w:val="right"/>
    </w:pPr>
    <w:rPr>
      <w:rFonts w:ascii="Tahoma" w:hAnsi="Tahoma" w:cs="Tahoma"/>
      <w:b/>
      <w:bCs/>
      <w:sz w:val="18"/>
      <w:szCs w:val="18"/>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28"/>
      <w:szCs w:val="28"/>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28"/>
      <w:szCs w:val="28"/>
    </w:rPr>
  </w:style>
  <w:style w:type="paragraph" w:customStyle="1" w:styleId="2zakon">
    <w:name w:val="_2zakon"/>
    <w:basedOn w:val="Normal"/>
    <w:pPr>
      <w:spacing w:before="100" w:beforeAutospacing="1" w:after="100" w:afterAutospacing="1"/>
      <w:jc w:val="center"/>
    </w:pPr>
    <w:rPr>
      <w:rFonts w:ascii="Tahoma" w:hAnsi="Tahoma" w:cs="Tahoma"/>
      <w:color w:val="0033CC"/>
      <w:sz w:val="32"/>
      <w:szCs w:val="32"/>
    </w:rPr>
  </w:style>
  <w:style w:type="paragraph" w:customStyle="1" w:styleId="6naslov">
    <w:name w:val="_6naslov"/>
    <w:basedOn w:val="Normal"/>
    <w:pPr>
      <w:spacing w:before="46" w:after="23"/>
      <w:jc w:val="center"/>
    </w:pPr>
    <w:rPr>
      <w:rFonts w:ascii="Tahoma" w:hAnsi="Tahoma" w:cs="Tahoma"/>
    </w:rPr>
  </w:style>
  <w:style w:type="paragraph" w:customStyle="1" w:styleId="5nadnaslov">
    <w:name w:val="_5nadnaslov"/>
    <w:basedOn w:val="Normal"/>
    <w:pPr>
      <w:spacing w:before="184"/>
      <w:jc w:val="center"/>
    </w:pPr>
    <w:rPr>
      <w:rFonts w:ascii="Tahoma" w:hAnsi="Tahoma" w:cs="Tahoma"/>
      <w:b/>
      <w:bCs/>
      <w:sz w:val="25"/>
      <w:szCs w:val="25"/>
    </w:rPr>
  </w:style>
  <w:style w:type="paragraph" w:customStyle="1" w:styleId="7podnas">
    <w:name w:val="_7podnas"/>
    <w:basedOn w:val="Normal"/>
    <w:pPr>
      <w:spacing w:before="46"/>
      <w:jc w:val="center"/>
    </w:pPr>
    <w:rPr>
      <w:rFonts w:ascii="Tahoma" w:hAnsi="Tahoma" w:cs="Tahoma"/>
      <w:b/>
      <w:bCs/>
      <w:sz w:val="21"/>
      <w:szCs w:val="21"/>
    </w:rPr>
  </w:style>
  <w:style w:type="paragraph" w:customStyle="1" w:styleId="8podpodnas">
    <w:name w:val="_8podpodnas"/>
    <w:basedOn w:val="Normal"/>
    <w:pPr>
      <w:spacing w:before="184" w:after="184"/>
      <w:jc w:val="center"/>
    </w:pPr>
    <w:rPr>
      <w:rFonts w:ascii="Tahoma" w:hAnsi="Tahoma" w:cs="Tahoma"/>
      <w:i/>
      <w:iCs/>
      <w:sz w:val="21"/>
      <w:szCs w:val="21"/>
    </w:rPr>
  </w:style>
  <w:style w:type="paragraph" w:customStyle="1" w:styleId="odeljak">
    <w:name w:val="odeljak"/>
    <w:basedOn w:val="Normal"/>
    <w:pPr>
      <w:spacing w:before="184" w:after="184"/>
      <w:jc w:val="center"/>
    </w:pPr>
    <w:rPr>
      <w:rFonts w:ascii="Tahoma" w:hAnsi="Tahoma" w:cs="Tahoma"/>
    </w:rPr>
  </w:style>
  <w:style w:type="paragraph" w:customStyle="1" w:styleId="3mesto">
    <w:name w:val="_3mesto"/>
    <w:basedOn w:val="Normal"/>
    <w:pPr>
      <w:spacing w:before="100" w:beforeAutospacing="1" w:after="100" w:afterAutospacing="1"/>
      <w:ind w:left="288" w:right="288"/>
      <w:jc w:val="center"/>
    </w:pPr>
    <w:rPr>
      <w:rFonts w:ascii="Tahoma" w:hAnsi="Tahoma" w:cs="Tahoma"/>
      <w:sz w:val="18"/>
      <w:szCs w:val="18"/>
    </w:rPr>
  </w:style>
  <w:style w:type="paragraph" w:customStyle="1" w:styleId="4clan">
    <w:name w:val="_4clan"/>
    <w:basedOn w:val="Normal"/>
    <w:pPr>
      <w:spacing w:before="184" w:after="184"/>
      <w:jc w:val="center"/>
    </w:pPr>
    <w:rPr>
      <w:rFonts w:ascii="Tahoma" w:hAnsi="Tahoma" w:cs="Tahoma"/>
      <w:b/>
      <w:bCs/>
      <w:sz w:val="18"/>
      <w:szCs w:val="18"/>
    </w:rPr>
  </w:style>
  <w:style w:type="paragraph" w:customStyle="1" w:styleId="medjclan">
    <w:name w:val="medjclan"/>
    <w:basedOn w:val="Normal"/>
    <w:pPr>
      <w:spacing w:before="184" w:after="184"/>
      <w:jc w:val="center"/>
    </w:pPr>
    <w:rPr>
      <w:rFonts w:ascii="Tahoma" w:hAnsi="Tahoma" w:cs="Tahoma"/>
      <w:b/>
      <w:bCs/>
      <w:sz w:val="22"/>
      <w:szCs w:val="22"/>
    </w:rPr>
  </w:style>
  <w:style w:type="paragraph" w:customStyle="1" w:styleId="medjtekst">
    <w:name w:val="medjtekst"/>
    <w:basedOn w:val="Normal"/>
    <w:pPr>
      <w:ind w:left="403" w:right="403" w:firstLine="240"/>
      <w:jc w:val="both"/>
    </w:pPr>
    <w:rPr>
      <w:rFonts w:ascii="Tahoma" w:hAnsi="Tahoma" w:cs="Tahoma"/>
      <w:sz w:val="21"/>
      <w:szCs w:val="21"/>
    </w:rPr>
  </w:style>
  <w:style w:type="paragraph" w:customStyle="1" w:styleId="glava">
    <w:name w:val="glava"/>
    <w:basedOn w:val="Normal"/>
    <w:pPr>
      <w:spacing w:before="184" w:after="184"/>
      <w:jc w:val="center"/>
    </w:pPr>
    <w:rPr>
      <w:rFonts w:ascii="Tahoma" w:hAnsi="Tahoma" w:cs="Tahoma"/>
      <w:b/>
      <w:bCs/>
      <w:i/>
      <w:iCs/>
      <w:sz w:val="28"/>
      <w:szCs w:val="28"/>
    </w:rPr>
  </w:style>
  <w:style w:type="paragraph" w:customStyle="1" w:styleId="deo">
    <w:name w:val="deo"/>
    <w:basedOn w:val="Normal"/>
    <w:pPr>
      <w:spacing w:before="184" w:after="184"/>
      <w:jc w:val="center"/>
    </w:pPr>
    <w:rPr>
      <w:rFonts w:ascii="Tahoma" w:hAnsi="Tahoma" w:cs="Tahoma"/>
      <w:b/>
      <w:bCs/>
      <w:sz w:val="25"/>
      <w:szCs w:val="25"/>
    </w:rPr>
  </w:style>
  <w:style w:type="paragraph" w:customStyle="1" w:styleId="vidi">
    <w:name w:val="vidi"/>
    <w:basedOn w:val="Normal"/>
    <w:pPr>
      <w:ind w:right="1267"/>
    </w:pPr>
    <w:rPr>
      <w:rFonts w:ascii="Tahoma" w:hAnsi="Tahoma" w:cs="Tahoma"/>
      <w:b/>
      <w:bCs/>
      <w:color w:val="800000"/>
      <w:sz w:val="15"/>
      <w:szCs w:val="15"/>
    </w:rPr>
  </w:style>
  <w:style w:type="paragraph" w:customStyle="1" w:styleId="vidividi">
    <w:name w:val="vidi_vidi"/>
    <w:basedOn w:val="Normal"/>
    <w:rPr>
      <w:rFonts w:ascii="Tahoma" w:hAnsi="Tahoma" w:cs="Tahoma"/>
      <w:b/>
      <w:bCs/>
      <w:color w:val="800000"/>
      <w:sz w:val="15"/>
      <w:szCs w:val="15"/>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288" w:right="288"/>
    </w:pPr>
    <w:rPr>
      <w:rFonts w:ascii="Tahoma" w:hAnsi="Tahoma" w:cs="Tahoma"/>
      <w:sz w:val="15"/>
      <w:szCs w:val="15"/>
    </w:rPr>
  </w:style>
  <w:style w:type="paragraph" w:customStyle="1" w:styleId="vlb">
    <w:name w:val="vlb"/>
    <w:basedOn w:val="Normal"/>
    <w:pPr>
      <w:spacing w:before="100" w:beforeAutospacing="1" w:after="100" w:afterAutospacing="1"/>
    </w:pPr>
    <w:rPr>
      <w:b/>
      <w:bCs/>
      <w:sz w:val="13"/>
      <w:szCs w:val="13"/>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58"/>
      <w:ind w:right="173"/>
    </w:pPr>
    <w:rPr>
      <w:b/>
      <w:bCs/>
      <w:color w:val="800000"/>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1867</Words>
  <Characters>10648</Characters>
  <Application>Microsoft Office Word</Application>
  <DocSecurity>0</DocSecurity>
  <Lines>88</Lines>
  <Paragraphs>24</Paragraphs>
  <ScaleCrop>false</ScaleCrop>
  <Company>Hewlett-Packard Company</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tehničkom pregledu vozila</dc:title>
  <dc:creator>Marijana Vico</dc:creator>
  <cp:lastModifiedBy>Marijana Vico</cp:lastModifiedBy>
  <cp:revision>2</cp:revision>
  <dcterms:created xsi:type="dcterms:W3CDTF">2020-01-28T13:20:00Z</dcterms:created>
  <dcterms:modified xsi:type="dcterms:W3CDTF">2020-01-28T13:20:00Z</dcterms:modified>
</cp:coreProperties>
</file>