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66D50" w14:textId="77777777" w:rsidR="000C17DD" w:rsidRPr="00AB15C7" w:rsidRDefault="000C17DD" w:rsidP="005921EF">
      <w:pPr>
        <w:jc w:val="both"/>
        <w:rPr>
          <w:rFonts w:ascii="Cambria" w:hAnsi="Cambria"/>
          <w:b/>
          <w:noProof/>
          <w:lang w:val="sr-Latn-ME"/>
        </w:rPr>
      </w:pPr>
    </w:p>
    <w:p w14:paraId="0EBC857C" w14:textId="77777777" w:rsidR="000C17DD" w:rsidRPr="00AB15C7" w:rsidRDefault="00B325C3" w:rsidP="005921EF">
      <w:pPr>
        <w:jc w:val="center"/>
        <w:rPr>
          <w:rFonts w:ascii="Cambria" w:hAnsi="Cambria"/>
          <w:b/>
          <w:noProof/>
          <w:lang w:val="sr-Latn-ME"/>
        </w:rPr>
      </w:pPr>
      <w:r w:rsidRPr="00AB15C7">
        <w:rPr>
          <w:rFonts w:ascii="Cambria" w:hAnsi="Cambria"/>
          <w:noProof/>
        </w:rPr>
        <w:drawing>
          <wp:inline distT="0" distB="0" distL="0" distR="0" wp14:anchorId="03289DA9" wp14:editId="4835102B">
            <wp:extent cx="2657475" cy="1400175"/>
            <wp:effectExtent l="0" t="0" r="0" b="0"/>
            <wp:docPr id="1" name="Picture Fram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1400175"/>
                    </a:xfrm>
                    <a:prstGeom prst="rect">
                      <a:avLst/>
                    </a:prstGeom>
                    <a:noFill/>
                    <a:ln>
                      <a:noFill/>
                    </a:ln>
                  </pic:spPr>
                </pic:pic>
              </a:graphicData>
            </a:graphic>
          </wp:inline>
        </w:drawing>
      </w:r>
    </w:p>
    <w:p w14:paraId="1C871D96" w14:textId="2A7E0629" w:rsidR="00D36026" w:rsidRDefault="00D36026" w:rsidP="00CF386A">
      <w:pPr>
        <w:pStyle w:val="NoSpacing"/>
        <w:spacing w:line="276" w:lineRule="auto"/>
        <w:rPr>
          <w:rFonts w:ascii="Cambria" w:hAnsi="Cambria"/>
          <w:noProof/>
          <w:lang w:val="sr-Latn-ME"/>
        </w:rPr>
      </w:pPr>
    </w:p>
    <w:p w14:paraId="0686C56F" w14:textId="77777777" w:rsidR="00DD0120" w:rsidRDefault="00DD0120" w:rsidP="005921EF">
      <w:pPr>
        <w:pStyle w:val="NoSpacing"/>
        <w:spacing w:line="276" w:lineRule="auto"/>
        <w:jc w:val="center"/>
        <w:rPr>
          <w:rFonts w:ascii="Cambria" w:hAnsi="Cambria"/>
          <w:noProof/>
          <w:lang w:val="sr-Latn-ME"/>
        </w:rPr>
      </w:pPr>
    </w:p>
    <w:p w14:paraId="7B50E0CD" w14:textId="77777777" w:rsidR="00DD0120" w:rsidRDefault="00DD0120" w:rsidP="005921EF">
      <w:pPr>
        <w:pStyle w:val="NoSpacing"/>
        <w:spacing w:line="276" w:lineRule="auto"/>
        <w:jc w:val="center"/>
        <w:rPr>
          <w:rFonts w:ascii="Cambria" w:hAnsi="Cambria"/>
          <w:noProof/>
          <w:lang w:val="sr-Latn-ME"/>
        </w:rPr>
      </w:pPr>
    </w:p>
    <w:p w14:paraId="68CD227D" w14:textId="77777777" w:rsidR="00DD0120" w:rsidRDefault="00DD0120" w:rsidP="005921EF">
      <w:pPr>
        <w:pStyle w:val="NoSpacing"/>
        <w:spacing w:line="276" w:lineRule="auto"/>
        <w:jc w:val="center"/>
        <w:rPr>
          <w:rFonts w:ascii="Cambria" w:hAnsi="Cambria"/>
          <w:noProof/>
          <w:lang w:val="sr-Latn-ME"/>
        </w:rPr>
      </w:pPr>
    </w:p>
    <w:p w14:paraId="20B105BB" w14:textId="11CF170A" w:rsidR="00DD0120" w:rsidRPr="00CF386A" w:rsidRDefault="00CF386A" w:rsidP="00CF386A">
      <w:pPr>
        <w:pStyle w:val="NoSpacing"/>
        <w:spacing w:line="276" w:lineRule="auto"/>
        <w:jc w:val="center"/>
        <w:rPr>
          <w:rFonts w:ascii="Cambria" w:eastAsia="Times New Roman" w:hAnsi="Cambria"/>
          <w:b/>
          <w:sz w:val="52"/>
          <w:szCs w:val="52"/>
          <w:lang w:val="sr-Latn-ME"/>
        </w:rPr>
      </w:pPr>
      <w:r>
        <w:rPr>
          <w:rFonts w:ascii="Cambria" w:eastAsia="Times New Roman" w:hAnsi="Cambria"/>
          <w:b/>
          <w:sz w:val="52"/>
          <w:szCs w:val="52"/>
          <w:lang w:val="sr-Latn-ME"/>
        </w:rPr>
        <w:t xml:space="preserve">                                                                 </w:t>
      </w:r>
      <w:bookmarkStart w:id="0" w:name="_GoBack"/>
      <w:bookmarkEnd w:id="0"/>
      <w:r w:rsidRPr="00CF386A">
        <w:rPr>
          <w:rFonts w:ascii="Cambria" w:eastAsia="Times New Roman" w:hAnsi="Cambria"/>
          <w:b/>
          <w:sz w:val="52"/>
          <w:szCs w:val="52"/>
          <w:lang w:val="sr-Latn-ME"/>
        </w:rPr>
        <w:t>Nacrt</w:t>
      </w:r>
    </w:p>
    <w:p w14:paraId="42359520" w14:textId="77777777" w:rsidR="00DC41F0" w:rsidRPr="00AB15C7" w:rsidRDefault="00DC41F0" w:rsidP="005921EF">
      <w:pPr>
        <w:pStyle w:val="NoSpacing"/>
        <w:spacing w:line="276" w:lineRule="auto"/>
        <w:jc w:val="center"/>
        <w:rPr>
          <w:rFonts w:ascii="Cambria" w:hAnsi="Cambria"/>
          <w:noProof/>
          <w:lang w:val="sr-Latn-ME"/>
        </w:rPr>
      </w:pPr>
    </w:p>
    <w:tbl>
      <w:tblPr>
        <w:tblW w:w="0" w:type="auto"/>
        <w:tblBorders>
          <w:insideH w:val="single" w:sz="4" w:space="0" w:color="000000"/>
          <w:insideV w:val="single" w:sz="4" w:space="0" w:color="000000"/>
        </w:tblBorders>
        <w:shd w:val="clear" w:color="auto" w:fill="B2A1C7"/>
        <w:tblLook w:val="04A0" w:firstRow="1" w:lastRow="0" w:firstColumn="1" w:lastColumn="0" w:noHBand="0" w:noVBand="1"/>
      </w:tblPr>
      <w:tblGrid>
        <w:gridCol w:w="9440"/>
      </w:tblGrid>
      <w:tr w:rsidR="00D36026" w:rsidRPr="00DD0120" w14:paraId="4D86C4A5" w14:textId="77777777" w:rsidTr="005B0597">
        <w:trPr>
          <w:trHeight w:val="2351"/>
        </w:trPr>
        <w:tc>
          <w:tcPr>
            <w:tcW w:w="9440" w:type="dxa"/>
            <w:shd w:val="clear" w:color="auto" w:fill="B2A1C7"/>
          </w:tcPr>
          <w:p w14:paraId="1CA6BD53" w14:textId="77777777" w:rsidR="00D36026" w:rsidRPr="00364211" w:rsidRDefault="00364211" w:rsidP="005921EF">
            <w:pPr>
              <w:jc w:val="center"/>
              <w:rPr>
                <w:rFonts w:ascii="Cambria" w:hAnsi="Cambria"/>
                <w:b/>
                <w:noProof/>
                <w:sz w:val="72"/>
                <w:lang w:val="sr-Latn-ME"/>
              </w:rPr>
            </w:pPr>
            <w:r w:rsidRPr="00364211">
              <w:rPr>
                <w:rFonts w:ascii="Cambria" w:hAnsi="Cambria"/>
                <w:b/>
                <w:noProof/>
                <w:sz w:val="72"/>
                <w:lang w:val="sr-Latn-ME"/>
              </w:rPr>
              <w:t>N</w:t>
            </w:r>
            <w:r w:rsidRPr="00364211">
              <w:rPr>
                <w:rFonts w:ascii="Cambria" w:hAnsi="Cambria"/>
                <w:b/>
                <w:sz w:val="72"/>
                <w:lang w:val="sr-Latn-ME"/>
              </w:rPr>
              <w:t>acionalna s</w:t>
            </w:r>
            <w:r w:rsidR="00D36026" w:rsidRPr="00364211">
              <w:rPr>
                <w:rFonts w:ascii="Cambria" w:hAnsi="Cambria"/>
                <w:b/>
                <w:noProof/>
                <w:sz w:val="72"/>
                <w:lang w:val="sr-Latn-ME"/>
              </w:rPr>
              <w:t>trategija upravljanja hemikalijama</w:t>
            </w:r>
          </w:p>
          <w:p w14:paraId="43B9E4AE" w14:textId="77777777" w:rsidR="00D36026" w:rsidRPr="00DD0120" w:rsidRDefault="00D36026" w:rsidP="005921EF">
            <w:pPr>
              <w:jc w:val="center"/>
              <w:rPr>
                <w:rFonts w:ascii="Cambria" w:hAnsi="Cambria"/>
                <w:noProof/>
                <w:sz w:val="56"/>
                <w:lang w:val="sr-Latn-ME"/>
              </w:rPr>
            </w:pPr>
            <w:r w:rsidRPr="00DD0120">
              <w:rPr>
                <w:rFonts w:ascii="Cambria" w:hAnsi="Cambria"/>
                <w:b/>
                <w:noProof/>
                <w:sz w:val="56"/>
                <w:lang w:val="sr-Latn-ME"/>
              </w:rPr>
              <w:t>201</w:t>
            </w:r>
            <w:r w:rsidR="00855B1D" w:rsidRPr="00DD0120">
              <w:rPr>
                <w:rFonts w:ascii="Cambria" w:hAnsi="Cambria"/>
                <w:b/>
                <w:noProof/>
                <w:sz w:val="56"/>
                <w:lang w:val="sr-Latn-ME"/>
              </w:rPr>
              <w:t>9</w:t>
            </w:r>
            <w:r w:rsidRPr="00DD0120">
              <w:rPr>
                <w:rFonts w:ascii="Cambria" w:hAnsi="Cambria"/>
                <w:b/>
                <w:noProof/>
                <w:sz w:val="56"/>
                <w:lang w:val="sr-Latn-ME"/>
              </w:rPr>
              <w:t>-20</w:t>
            </w:r>
            <w:r w:rsidR="00855B1D" w:rsidRPr="00DD0120">
              <w:rPr>
                <w:rFonts w:ascii="Cambria" w:hAnsi="Cambria"/>
                <w:b/>
                <w:noProof/>
                <w:sz w:val="56"/>
                <w:lang w:val="sr-Latn-ME"/>
              </w:rPr>
              <w:t>22</w:t>
            </w:r>
            <w:r w:rsidRPr="00DD0120">
              <w:rPr>
                <w:rFonts w:ascii="Cambria" w:hAnsi="Cambria"/>
                <w:b/>
                <w:noProof/>
                <w:sz w:val="56"/>
                <w:lang w:val="sr-Latn-ME"/>
              </w:rPr>
              <w:t>.</w:t>
            </w:r>
            <w:r w:rsidR="00DC41F0" w:rsidRPr="00DD0120">
              <w:rPr>
                <w:rFonts w:ascii="Cambria" w:hAnsi="Cambria"/>
                <w:b/>
                <w:noProof/>
                <w:sz w:val="56"/>
                <w:lang w:val="sr-Latn-ME"/>
              </w:rPr>
              <w:t xml:space="preserve"> godina</w:t>
            </w:r>
          </w:p>
        </w:tc>
      </w:tr>
    </w:tbl>
    <w:p w14:paraId="4632DB30" w14:textId="77777777" w:rsidR="00D36026" w:rsidRPr="00AB15C7" w:rsidRDefault="00D36026" w:rsidP="005921EF">
      <w:pPr>
        <w:jc w:val="center"/>
        <w:rPr>
          <w:rFonts w:ascii="Cambria" w:hAnsi="Cambria"/>
          <w:b/>
          <w:noProof/>
          <w:lang w:val="sr-Latn-ME"/>
        </w:rPr>
      </w:pPr>
    </w:p>
    <w:p w14:paraId="280F93D6" w14:textId="77777777" w:rsidR="000C17DD" w:rsidRPr="00AB15C7" w:rsidRDefault="000C17DD" w:rsidP="005921EF">
      <w:pPr>
        <w:jc w:val="both"/>
        <w:rPr>
          <w:rFonts w:ascii="Cambria" w:hAnsi="Cambria"/>
          <w:b/>
          <w:noProof/>
          <w:lang w:val="sr-Latn-ME"/>
        </w:rPr>
      </w:pPr>
    </w:p>
    <w:p w14:paraId="78A73295" w14:textId="77777777" w:rsidR="00DC41F0" w:rsidRPr="00AB15C7" w:rsidRDefault="00DC41F0" w:rsidP="005921EF">
      <w:pPr>
        <w:jc w:val="both"/>
        <w:rPr>
          <w:rFonts w:ascii="Cambria" w:hAnsi="Cambria"/>
          <w:b/>
          <w:noProof/>
          <w:lang w:val="sr-Latn-ME"/>
        </w:rPr>
      </w:pPr>
    </w:p>
    <w:p w14:paraId="414C8706" w14:textId="77777777" w:rsidR="000C17DD" w:rsidRPr="00AB15C7" w:rsidRDefault="000C17DD" w:rsidP="005921EF">
      <w:pPr>
        <w:jc w:val="both"/>
        <w:rPr>
          <w:rFonts w:ascii="Cambria" w:hAnsi="Cambria"/>
          <w:b/>
          <w:noProof/>
          <w:lang w:val="sr-Latn-ME"/>
        </w:rPr>
      </w:pPr>
    </w:p>
    <w:p w14:paraId="2FE4C5A0" w14:textId="77777777" w:rsidR="000C17DD" w:rsidRPr="00AB15C7" w:rsidRDefault="000C17DD" w:rsidP="005921EF">
      <w:pPr>
        <w:jc w:val="both"/>
        <w:rPr>
          <w:rFonts w:ascii="Cambria" w:hAnsi="Cambria"/>
          <w:b/>
          <w:noProof/>
          <w:lang w:val="sr-Latn-ME"/>
        </w:rPr>
      </w:pPr>
    </w:p>
    <w:p w14:paraId="767E59CC" w14:textId="77777777" w:rsidR="000C17DD" w:rsidRPr="00AB15C7" w:rsidRDefault="000C17DD" w:rsidP="005921EF">
      <w:pPr>
        <w:jc w:val="both"/>
        <w:rPr>
          <w:rFonts w:ascii="Cambria" w:hAnsi="Cambria"/>
          <w:b/>
          <w:noProof/>
          <w:lang w:val="sr-Latn-ME"/>
        </w:rPr>
      </w:pPr>
    </w:p>
    <w:p w14:paraId="6847DCAB" w14:textId="77777777" w:rsidR="000C17DD" w:rsidRPr="00AB15C7" w:rsidRDefault="000C17DD" w:rsidP="005921EF">
      <w:pPr>
        <w:jc w:val="both"/>
        <w:rPr>
          <w:rFonts w:ascii="Cambria" w:hAnsi="Cambria"/>
          <w:b/>
          <w:noProof/>
          <w:lang w:val="sr-Latn-ME"/>
        </w:rPr>
      </w:pPr>
    </w:p>
    <w:p w14:paraId="27E98C2D" w14:textId="77777777" w:rsidR="00CD60AB" w:rsidRPr="00AB15C7" w:rsidRDefault="00CD60AB" w:rsidP="005921EF">
      <w:pPr>
        <w:jc w:val="both"/>
        <w:rPr>
          <w:rFonts w:ascii="Cambria" w:hAnsi="Cambria"/>
          <w:b/>
          <w:noProof/>
          <w:lang w:val="sr-Latn-ME"/>
        </w:rPr>
      </w:pPr>
    </w:p>
    <w:p w14:paraId="45B35E15" w14:textId="77777777" w:rsidR="00CD60AB" w:rsidRPr="00AB15C7" w:rsidRDefault="00CD60AB" w:rsidP="005921EF">
      <w:pPr>
        <w:jc w:val="both"/>
        <w:rPr>
          <w:rFonts w:ascii="Cambria" w:hAnsi="Cambria"/>
          <w:b/>
          <w:noProof/>
          <w:lang w:val="sr-Latn-ME"/>
        </w:rPr>
      </w:pPr>
    </w:p>
    <w:p w14:paraId="0D2D2D44" w14:textId="77777777" w:rsidR="00806723" w:rsidRPr="00AB15C7" w:rsidRDefault="00806723" w:rsidP="005921EF">
      <w:pPr>
        <w:jc w:val="both"/>
        <w:rPr>
          <w:rFonts w:ascii="Cambria" w:hAnsi="Cambria"/>
          <w:b/>
          <w:noProof/>
          <w:lang w:val="sr-Latn-ME"/>
        </w:rPr>
      </w:pPr>
    </w:p>
    <w:p w14:paraId="192E30D2" w14:textId="77777777" w:rsidR="00DC41F0" w:rsidRPr="00AB15C7" w:rsidRDefault="00DC41F0" w:rsidP="005921EF">
      <w:pPr>
        <w:jc w:val="both"/>
        <w:rPr>
          <w:rFonts w:ascii="Cambria" w:hAnsi="Cambria"/>
          <w:b/>
          <w:noProof/>
          <w:lang w:val="sr-Latn-ME"/>
        </w:rPr>
      </w:pPr>
    </w:p>
    <w:p w14:paraId="1C1394B9" w14:textId="77777777" w:rsidR="00D36026" w:rsidRDefault="00F132C4" w:rsidP="005921EF">
      <w:pPr>
        <w:pStyle w:val="NoSpacing1"/>
        <w:spacing w:line="276" w:lineRule="auto"/>
        <w:jc w:val="center"/>
        <w:rPr>
          <w:rFonts w:ascii="Cambria" w:hAnsi="Cambria"/>
          <w:noProof/>
          <w:lang w:val="sr-Latn-ME"/>
        </w:rPr>
      </w:pPr>
      <w:r w:rsidRPr="00AB15C7">
        <w:rPr>
          <w:rFonts w:ascii="Cambria" w:hAnsi="Cambria"/>
          <w:noProof/>
          <w:lang w:val="sr-Latn-ME"/>
        </w:rPr>
        <w:t xml:space="preserve">Podgorica, </w:t>
      </w:r>
      <w:r w:rsidR="00855B1D" w:rsidRPr="00AB15C7">
        <w:rPr>
          <w:rFonts w:ascii="Cambria" w:hAnsi="Cambria"/>
          <w:noProof/>
          <w:lang w:val="sr-Latn-ME"/>
        </w:rPr>
        <w:t>septembar</w:t>
      </w:r>
      <w:r w:rsidR="00806723" w:rsidRPr="00AB15C7">
        <w:rPr>
          <w:rFonts w:ascii="Cambria" w:hAnsi="Cambria"/>
          <w:noProof/>
          <w:lang w:val="sr-Latn-ME"/>
        </w:rPr>
        <w:t xml:space="preserve"> </w:t>
      </w:r>
      <w:r w:rsidRPr="00AB15C7">
        <w:rPr>
          <w:rFonts w:ascii="Cambria" w:hAnsi="Cambria"/>
          <w:noProof/>
          <w:lang w:val="sr-Latn-ME"/>
        </w:rPr>
        <w:t>201</w:t>
      </w:r>
      <w:r w:rsidR="00855B1D" w:rsidRPr="00AB15C7">
        <w:rPr>
          <w:rFonts w:ascii="Cambria" w:hAnsi="Cambria"/>
          <w:noProof/>
          <w:lang w:val="sr-Latn-ME"/>
        </w:rPr>
        <w:t>8</w:t>
      </w:r>
      <w:r w:rsidRPr="00AB15C7">
        <w:rPr>
          <w:rFonts w:ascii="Cambria" w:hAnsi="Cambria"/>
          <w:noProof/>
          <w:lang w:val="sr-Latn-ME"/>
        </w:rPr>
        <w:t xml:space="preserve">. </w:t>
      </w:r>
    </w:p>
    <w:p w14:paraId="363D4C08" w14:textId="77777777" w:rsidR="00DD0120" w:rsidRPr="00AB15C7" w:rsidRDefault="00DD0120" w:rsidP="005921EF">
      <w:pPr>
        <w:pStyle w:val="NoSpacing1"/>
        <w:spacing w:line="276" w:lineRule="auto"/>
        <w:jc w:val="center"/>
        <w:rPr>
          <w:rFonts w:ascii="Cambria" w:hAnsi="Cambria"/>
          <w:noProof/>
          <w:lang w:val="sr-Latn-ME"/>
        </w:rPr>
      </w:pPr>
    </w:p>
    <w:p w14:paraId="689AAC0A" w14:textId="77777777" w:rsidR="000E1B12" w:rsidRPr="00AB15C7" w:rsidRDefault="00A76A53" w:rsidP="005921EF">
      <w:pPr>
        <w:pStyle w:val="TOCHeading"/>
        <w:shd w:val="clear" w:color="auto" w:fill="B2A1C7"/>
        <w:rPr>
          <w:noProof/>
          <w:color w:val="auto"/>
          <w:sz w:val="22"/>
          <w:szCs w:val="22"/>
          <w:lang w:val="sr-Latn-ME"/>
        </w:rPr>
      </w:pPr>
      <w:bookmarkStart w:id="1" w:name="_Toc372119620"/>
      <w:r w:rsidRPr="00AB15C7">
        <w:rPr>
          <w:noProof/>
          <w:color w:val="auto"/>
          <w:sz w:val="22"/>
          <w:szCs w:val="22"/>
          <w:lang w:val="en-US"/>
        </w:rPr>
        <w:lastRenderedPageBreak/>
        <w:t>SADR</w:t>
      </w:r>
      <w:r w:rsidRPr="00AB15C7">
        <w:rPr>
          <w:noProof/>
          <w:color w:val="auto"/>
          <w:sz w:val="22"/>
          <w:szCs w:val="22"/>
          <w:lang w:val="sr-Latn-ME"/>
        </w:rPr>
        <w:t>ŽAJ</w:t>
      </w:r>
    </w:p>
    <w:p w14:paraId="6CEE7897" w14:textId="4FFE0D26" w:rsidR="00855EB6" w:rsidRDefault="000E1B12" w:rsidP="00E04218">
      <w:pPr>
        <w:pStyle w:val="TOC1"/>
        <w:tabs>
          <w:tab w:val="left" w:pos="440"/>
          <w:tab w:val="right" w:leader="dot" w:pos="9629"/>
        </w:tabs>
        <w:spacing w:before="60" w:after="0"/>
        <w:rPr>
          <w:rFonts w:asciiTheme="minorHAnsi" w:eastAsiaTheme="minorEastAsia" w:hAnsiTheme="minorHAnsi" w:cstheme="minorBidi"/>
          <w:noProof/>
        </w:rPr>
      </w:pPr>
      <w:r w:rsidRPr="00AB15C7">
        <w:rPr>
          <w:rFonts w:ascii="Cambria" w:hAnsi="Cambria"/>
          <w:noProof/>
        </w:rPr>
        <w:fldChar w:fldCharType="begin"/>
      </w:r>
      <w:r w:rsidRPr="00AB15C7">
        <w:rPr>
          <w:rFonts w:ascii="Cambria" w:hAnsi="Cambria"/>
          <w:noProof/>
        </w:rPr>
        <w:instrText xml:space="preserve"> TOC \o "1-3" \h \z \u </w:instrText>
      </w:r>
      <w:r w:rsidRPr="00AB15C7">
        <w:rPr>
          <w:rFonts w:ascii="Cambria" w:hAnsi="Cambria"/>
          <w:noProof/>
        </w:rPr>
        <w:fldChar w:fldCharType="separate"/>
      </w:r>
      <w:hyperlink w:anchor="_Toc527353168" w:history="1">
        <w:r w:rsidR="00855EB6" w:rsidRPr="007A2625">
          <w:rPr>
            <w:rStyle w:val="Hyperlink"/>
            <w:noProof/>
          </w:rPr>
          <w:t>I)</w:t>
        </w:r>
        <w:r w:rsidR="00855EB6">
          <w:rPr>
            <w:rFonts w:asciiTheme="minorHAnsi" w:eastAsiaTheme="minorEastAsia" w:hAnsiTheme="minorHAnsi" w:cstheme="minorBidi"/>
            <w:noProof/>
          </w:rPr>
          <w:tab/>
        </w:r>
        <w:r w:rsidR="00855EB6" w:rsidRPr="007A2625">
          <w:rPr>
            <w:rStyle w:val="Hyperlink"/>
            <w:noProof/>
          </w:rPr>
          <w:t>UVOD</w:t>
        </w:r>
        <w:r w:rsidR="00855EB6">
          <w:rPr>
            <w:noProof/>
            <w:webHidden/>
          </w:rPr>
          <w:tab/>
        </w:r>
        <w:r w:rsidR="00855EB6">
          <w:rPr>
            <w:noProof/>
            <w:webHidden/>
          </w:rPr>
          <w:fldChar w:fldCharType="begin"/>
        </w:r>
        <w:r w:rsidR="00855EB6">
          <w:rPr>
            <w:noProof/>
            <w:webHidden/>
          </w:rPr>
          <w:instrText xml:space="preserve"> PAGEREF _Toc527353168 \h </w:instrText>
        </w:r>
        <w:r w:rsidR="00855EB6">
          <w:rPr>
            <w:noProof/>
            <w:webHidden/>
          </w:rPr>
        </w:r>
        <w:r w:rsidR="00855EB6">
          <w:rPr>
            <w:noProof/>
            <w:webHidden/>
          </w:rPr>
          <w:fldChar w:fldCharType="separate"/>
        </w:r>
        <w:r w:rsidR="00416F0E">
          <w:rPr>
            <w:noProof/>
            <w:webHidden/>
          </w:rPr>
          <w:t>1</w:t>
        </w:r>
        <w:r w:rsidR="00855EB6">
          <w:rPr>
            <w:noProof/>
            <w:webHidden/>
          </w:rPr>
          <w:fldChar w:fldCharType="end"/>
        </w:r>
      </w:hyperlink>
    </w:p>
    <w:p w14:paraId="13951745" w14:textId="2FFB0A70" w:rsidR="00855EB6" w:rsidRDefault="00B55A8E" w:rsidP="00E04218">
      <w:pPr>
        <w:pStyle w:val="TOC1"/>
        <w:tabs>
          <w:tab w:val="left" w:pos="440"/>
          <w:tab w:val="right" w:leader="dot" w:pos="9629"/>
        </w:tabs>
        <w:spacing w:before="60" w:after="0"/>
        <w:rPr>
          <w:rFonts w:asciiTheme="minorHAnsi" w:eastAsiaTheme="minorEastAsia" w:hAnsiTheme="minorHAnsi" w:cstheme="minorBidi"/>
          <w:noProof/>
        </w:rPr>
      </w:pPr>
      <w:hyperlink w:anchor="_Toc527353169" w:history="1">
        <w:r w:rsidR="00855EB6" w:rsidRPr="007A2625">
          <w:rPr>
            <w:rStyle w:val="Hyperlink"/>
            <w:noProof/>
          </w:rPr>
          <w:t>II)</w:t>
        </w:r>
        <w:r w:rsidR="00855EB6">
          <w:rPr>
            <w:rFonts w:asciiTheme="minorHAnsi" w:eastAsiaTheme="minorEastAsia" w:hAnsiTheme="minorHAnsi" w:cstheme="minorBidi"/>
            <w:noProof/>
          </w:rPr>
          <w:tab/>
        </w:r>
        <w:r w:rsidR="00855EB6" w:rsidRPr="007A2625">
          <w:rPr>
            <w:rStyle w:val="Hyperlink"/>
            <w:noProof/>
          </w:rPr>
          <w:t>ANALIZA STANJA</w:t>
        </w:r>
        <w:r w:rsidR="00855EB6">
          <w:rPr>
            <w:noProof/>
            <w:webHidden/>
          </w:rPr>
          <w:tab/>
        </w:r>
        <w:r w:rsidR="00855EB6">
          <w:rPr>
            <w:noProof/>
            <w:webHidden/>
          </w:rPr>
          <w:fldChar w:fldCharType="begin"/>
        </w:r>
        <w:r w:rsidR="00855EB6">
          <w:rPr>
            <w:noProof/>
            <w:webHidden/>
          </w:rPr>
          <w:instrText xml:space="preserve"> PAGEREF _Toc527353169 \h </w:instrText>
        </w:r>
        <w:r w:rsidR="00855EB6">
          <w:rPr>
            <w:noProof/>
            <w:webHidden/>
          </w:rPr>
        </w:r>
        <w:r w:rsidR="00855EB6">
          <w:rPr>
            <w:noProof/>
            <w:webHidden/>
          </w:rPr>
          <w:fldChar w:fldCharType="separate"/>
        </w:r>
        <w:r w:rsidR="00416F0E">
          <w:rPr>
            <w:noProof/>
            <w:webHidden/>
          </w:rPr>
          <w:t>8</w:t>
        </w:r>
        <w:r w:rsidR="00855EB6">
          <w:rPr>
            <w:noProof/>
            <w:webHidden/>
          </w:rPr>
          <w:fldChar w:fldCharType="end"/>
        </w:r>
      </w:hyperlink>
    </w:p>
    <w:p w14:paraId="59AA6072" w14:textId="2F1093E5"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170" w:history="1">
        <w:r w:rsidR="00855EB6" w:rsidRPr="007A2625">
          <w:rPr>
            <w:rStyle w:val="Hyperlink"/>
            <w:noProof/>
          </w:rPr>
          <w:t>2.1.</w:t>
        </w:r>
        <w:r w:rsidR="00855EB6">
          <w:rPr>
            <w:rFonts w:asciiTheme="minorHAnsi" w:eastAsiaTheme="minorEastAsia" w:hAnsiTheme="minorHAnsi" w:cstheme="minorBidi"/>
            <w:noProof/>
          </w:rPr>
          <w:tab/>
        </w:r>
        <w:r w:rsidR="00855EB6" w:rsidRPr="007A2625">
          <w:rPr>
            <w:rStyle w:val="Hyperlink"/>
            <w:noProof/>
          </w:rPr>
          <w:t>OPŠTE INFORMACIJE O CRNOJ GORI</w:t>
        </w:r>
        <w:r w:rsidR="00855EB6">
          <w:rPr>
            <w:noProof/>
            <w:webHidden/>
          </w:rPr>
          <w:tab/>
        </w:r>
        <w:r w:rsidR="00855EB6">
          <w:rPr>
            <w:noProof/>
            <w:webHidden/>
          </w:rPr>
          <w:fldChar w:fldCharType="begin"/>
        </w:r>
        <w:r w:rsidR="00855EB6">
          <w:rPr>
            <w:noProof/>
            <w:webHidden/>
          </w:rPr>
          <w:instrText xml:space="preserve"> PAGEREF _Toc527353170 \h </w:instrText>
        </w:r>
        <w:r w:rsidR="00855EB6">
          <w:rPr>
            <w:noProof/>
            <w:webHidden/>
          </w:rPr>
        </w:r>
        <w:r w:rsidR="00855EB6">
          <w:rPr>
            <w:noProof/>
            <w:webHidden/>
          </w:rPr>
          <w:fldChar w:fldCharType="separate"/>
        </w:r>
        <w:r w:rsidR="00416F0E">
          <w:rPr>
            <w:noProof/>
            <w:webHidden/>
          </w:rPr>
          <w:t>9</w:t>
        </w:r>
        <w:r w:rsidR="00855EB6">
          <w:rPr>
            <w:noProof/>
            <w:webHidden/>
          </w:rPr>
          <w:fldChar w:fldCharType="end"/>
        </w:r>
      </w:hyperlink>
    </w:p>
    <w:p w14:paraId="7842DFF5" w14:textId="047A5642" w:rsidR="00855EB6" w:rsidRDefault="00B55A8E" w:rsidP="00E04218">
      <w:pPr>
        <w:pStyle w:val="TOC2"/>
        <w:tabs>
          <w:tab w:val="left" w:pos="1100"/>
          <w:tab w:val="right" w:leader="dot" w:pos="9629"/>
        </w:tabs>
        <w:spacing w:before="60" w:after="0"/>
        <w:rPr>
          <w:rFonts w:asciiTheme="minorHAnsi" w:eastAsiaTheme="minorEastAsia" w:hAnsiTheme="minorHAnsi" w:cstheme="minorBidi"/>
          <w:noProof/>
        </w:rPr>
      </w:pPr>
      <w:hyperlink w:anchor="_Toc527353171" w:history="1">
        <w:r w:rsidR="00855EB6" w:rsidRPr="007A2625">
          <w:rPr>
            <w:rStyle w:val="Hyperlink"/>
            <w:noProof/>
          </w:rPr>
          <w:t>2.1.1.</w:t>
        </w:r>
        <w:r w:rsidR="00855EB6">
          <w:rPr>
            <w:rFonts w:asciiTheme="minorHAnsi" w:eastAsiaTheme="minorEastAsia" w:hAnsiTheme="minorHAnsi" w:cstheme="minorBidi"/>
            <w:noProof/>
          </w:rPr>
          <w:tab/>
        </w:r>
        <w:r w:rsidR="00855EB6" w:rsidRPr="007A2625">
          <w:rPr>
            <w:rStyle w:val="Hyperlink"/>
            <w:noProof/>
            <w:shd w:val="clear" w:color="auto" w:fill="FFFFFF"/>
          </w:rPr>
          <w:t>Prirodno-geografske, demografske i dru</w:t>
        </w:r>
        <w:r w:rsidR="00855EB6" w:rsidRPr="007A2625">
          <w:rPr>
            <w:rStyle w:val="Hyperlink"/>
            <w:noProof/>
            <w:shd w:val="clear" w:color="auto" w:fill="FFFFFF"/>
            <w:lang w:val="sr-Latn-RS"/>
          </w:rPr>
          <w:t>štveno-</w:t>
        </w:r>
        <w:r w:rsidR="00855EB6" w:rsidRPr="007A2625">
          <w:rPr>
            <w:rStyle w:val="Hyperlink"/>
            <w:noProof/>
            <w:shd w:val="clear" w:color="auto" w:fill="FFFFFF"/>
          </w:rPr>
          <w:t>političke karakteristike</w:t>
        </w:r>
        <w:r w:rsidR="00855EB6">
          <w:rPr>
            <w:noProof/>
            <w:webHidden/>
          </w:rPr>
          <w:tab/>
        </w:r>
        <w:r w:rsidR="00855EB6">
          <w:rPr>
            <w:noProof/>
            <w:webHidden/>
          </w:rPr>
          <w:fldChar w:fldCharType="begin"/>
        </w:r>
        <w:r w:rsidR="00855EB6">
          <w:rPr>
            <w:noProof/>
            <w:webHidden/>
          </w:rPr>
          <w:instrText xml:space="preserve"> PAGEREF _Toc527353171 \h </w:instrText>
        </w:r>
        <w:r w:rsidR="00855EB6">
          <w:rPr>
            <w:noProof/>
            <w:webHidden/>
          </w:rPr>
        </w:r>
        <w:r w:rsidR="00855EB6">
          <w:rPr>
            <w:noProof/>
            <w:webHidden/>
          </w:rPr>
          <w:fldChar w:fldCharType="separate"/>
        </w:r>
        <w:r w:rsidR="00416F0E">
          <w:rPr>
            <w:noProof/>
            <w:webHidden/>
          </w:rPr>
          <w:t>9</w:t>
        </w:r>
        <w:r w:rsidR="00855EB6">
          <w:rPr>
            <w:noProof/>
            <w:webHidden/>
          </w:rPr>
          <w:fldChar w:fldCharType="end"/>
        </w:r>
      </w:hyperlink>
    </w:p>
    <w:p w14:paraId="3896C572" w14:textId="19E52172" w:rsidR="00855EB6" w:rsidRDefault="00B55A8E" w:rsidP="00E04218">
      <w:pPr>
        <w:pStyle w:val="TOC2"/>
        <w:tabs>
          <w:tab w:val="left" w:pos="1100"/>
          <w:tab w:val="right" w:leader="dot" w:pos="9629"/>
        </w:tabs>
        <w:spacing w:before="60" w:after="0"/>
        <w:rPr>
          <w:rFonts w:asciiTheme="minorHAnsi" w:eastAsiaTheme="minorEastAsia" w:hAnsiTheme="minorHAnsi" w:cstheme="minorBidi"/>
          <w:noProof/>
        </w:rPr>
      </w:pPr>
      <w:hyperlink w:anchor="_Toc527353172" w:history="1">
        <w:r w:rsidR="00855EB6" w:rsidRPr="007A2625">
          <w:rPr>
            <w:rStyle w:val="Hyperlink"/>
            <w:noProof/>
          </w:rPr>
          <w:t>2.1.2.</w:t>
        </w:r>
        <w:r w:rsidR="00855EB6">
          <w:rPr>
            <w:rFonts w:asciiTheme="minorHAnsi" w:eastAsiaTheme="minorEastAsia" w:hAnsiTheme="minorHAnsi" w:cstheme="minorBidi"/>
            <w:noProof/>
          </w:rPr>
          <w:tab/>
        </w:r>
        <w:r w:rsidR="00855EB6" w:rsidRPr="007A2625">
          <w:rPr>
            <w:rStyle w:val="Hyperlink"/>
            <w:noProof/>
            <w:shd w:val="clear" w:color="auto" w:fill="FFFFFF"/>
          </w:rPr>
          <w:t>Privredni sektor</w:t>
        </w:r>
        <w:r w:rsidR="00855EB6">
          <w:rPr>
            <w:noProof/>
            <w:webHidden/>
          </w:rPr>
          <w:tab/>
        </w:r>
        <w:r w:rsidR="00855EB6">
          <w:rPr>
            <w:noProof/>
            <w:webHidden/>
          </w:rPr>
          <w:fldChar w:fldCharType="begin"/>
        </w:r>
        <w:r w:rsidR="00855EB6">
          <w:rPr>
            <w:noProof/>
            <w:webHidden/>
          </w:rPr>
          <w:instrText xml:space="preserve"> PAGEREF _Toc527353172 \h </w:instrText>
        </w:r>
        <w:r w:rsidR="00855EB6">
          <w:rPr>
            <w:noProof/>
            <w:webHidden/>
          </w:rPr>
        </w:r>
        <w:r w:rsidR="00855EB6">
          <w:rPr>
            <w:noProof/>
            <w:webHidden/>
          </w:rPr>
          <w:fldChar w:fldCharType="separate"/>
        </w:r>
        <w:r w:rsidR="00416F0E">
          <w:rPr>
            <w:noProof/>
            <w:webHidden/>
          </w:rPr>
          <w:t>10</w:t>
        </w:r>
        <w:r w:rsidR="00855EB6">
          <w:rPr>
            <w:noProof/>
            <w:webHidden/>
          </w:rPr>
          <w:fldChar w:fldCharType="end"/>
        </w:r>
      </w:hyperlink>
    </w:p>
    <w:p w14:paraId="0B21819B" w14:textId="17AF365B"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73" w:history="1">
        <w:r w:rsidR="00855EB6" w:rsidRPr="007A2625">
          <w:rPr>
            <w:rStyle w:val="Hyperlink"/>
            <w:noProof/>
            <w:shd w:val="clear" w:color="auto" w:fill="FFFFFF"/>
            <w:lang w:val="sr-Latn-RS"/>
          </w:rPr>
          <w:t>2.1.4.1.</w:t>
        </w:r>
        <w:r w:rsidR="00855EB6">
          <w:rPr>
            <w:rStyle w:val="Hyperlink"/>
            <w:noProof/>
            <w:shd w:val="clear" w:color="auto" w:fill="FFFFFF"/>
            <w:lang w:val="sr-Latn-RS"/>
          </w:rPr>
          <w:t xml:space="preserve">    </w:t>
        </w:r>
        <w:r w:rsidR="00855EB6" w:rsidRPr="007A2625">
          <w:rPr>
            <w:rStyle w:val="Hyperlink"/>
            <w:noProof/>
            <w:shd w:val="clear" w:color="auto" w:fill="FFFFFF"/>
          </w:rPr>
          <w:t>Industrijska proizvodnja</w:t>
        </w:r>
        <w:r w:rsidR="00855EB6">
          <w:rPr>
            <w:noProof/>
            <w:webHidden/>
          </w:rPr>
          <w:tab/>
        </w:r>
        <w:r w:rsidR="00855EB6">
          <w:rPr>
            <w:noProof/>
            <w:webHidden/>
          </w:rPr>
          <w:fldChar w:fldCharType="begin"/>
        </w:r>
        <w:r w:rsidR="00855EB6">
          <w:rPr>
            <w:noProof/>
            <w:webHidden/>
          </w:rPr>
          <w:instrText xml:space="preserve"> PAGEREF _Toc527353173 \h </w:instrText>
        </w:r>
        <w:r w:rsidR="00855EB6">
          <w:rPr>
            <w:noProof/>
            <w:webHidden/>
          </w:rPr>
        </w:r>
        <w:r w:rsidR="00855EB6">
          <w:rPr>
            <w:noProof/>
            <w:webHidden/>
          </w:rPr>
          <w:fldChar w:fldCharType="separate"/>
        </w:r>
        <w:r w:rsidR="00416F0E">
          <w:rPr>
            <w:noProof/>
            <w:webHidden/>
          </w:rPr>
          <w:t>13</w:t>
        </w:r>
        <w:r w:rsidR="00855EB6">
          <w:rPr>
            <w:noProof/>
            <w:webHidden/>
          </w:rPr>
          <w:fldChar w:fldCharType="end"/>
        </w:r>
      </w:hyperlink>
    </w:p>
    <w:p w14:paraId="1F75CCF6" w14:textId="6F9A0BC6"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74" w:history="1">
        <w:r w:rsidR="00855EB6" w:rsidRPr="007A2625">
          <w:rPr>
            <w:rStyle w:val="Hyperlink"/>
            <w:noProof/>
            <w:shd w:val="clear" w:color="auto" w:fill="FFFFFF"/>
            <w:lang w:val="sr-Latn-RS"/>
          </w:rPr>
          <w:t xml:space="preserve">2.1.4.2. </w:t>
        </w:r>
        <w:r w:rsidR="00855EB6">
          <w:rPr>
            <w:rStyle w:val="Hyperlink"/>
            <w:noProof/>
            <w:shd w:val="clear" w:color="auto" w:fill="FFFFFF"/>
            <w:lang w:val="sr-Latn-RS"/>
          </w:rPr>
          <w:t xml:space="preserve">    </w:t>
        </w:r>
        <w:r w:rsidR="00855EB6" w:rsidRPr="007A2625">
          <w:rPr>
            <w:rStyle w:val="Hyperlink"/>
            <w:noProof/>
            <w:shd w:val="clear" w:color="auto" w:fill="FFFFFF"/>
            <w:lang w:val="sr-Latn-RS"/>
          </w:rPr>
          <w:t>Poljoprivreda</w:t>
        </w:r>
        <w:r w:rsidR="00855EB6" w:rsidRPr="007A2625">
          <w:rPr>
            <w:rStyle w:val="Hyperlink"/>
            <w:noProof/>
            <w:shd w:val="clear" w:color="auto" w:fill="FFFFFF"/>
          </w:rPr>
          <w:t>, šumarstvo i ribarstvo</w:t>
        </w:r>
        <w:r w:rsidR="00855EB6">
          <w:rPr>
            <w:noProof/>
            <w:webHidden/>
          </w:rPr>
          <w:tab/>
        </w:r>
        <w:r w:rsidR="00855EB6">
          <w:rPr>
            <w:noProof/>
            <w:webHidden/>
          </w:rPr>
          <w:fldChar w:fldCharType="begin"/>
        </w:r>
        <w:r w:rsidR="00855EB6">
          <w:rPr>
            <w:noProof/>
            <w:webHidden/>
          </w:rPr>
          <w:instrText xml:space="preserve"> PAGEREF _Toc527353174 \h </w:instrText>
        </w:r>
        <w:r w:rsidR="00855EB6">
          <w:rPr>
            <w:noProof/>
            <w:webHidden/>
          </w:rPr>
        </w:r>
        <w:r w:rsidR="00855EB6">
          <w:rPr>
            <w:noProof/>
            <w:webHidden/>
          </w:rPr>
          <w:fldChar w:fldCharType="separate"/>
        </w:r>
        <w:r w:rsidR="00416F0E">
          <w:rPr>
            <w:noProof/>
            <w:webHidden/>
          </w:rPr>
          <w:t>14</w:t>
        </w:r>
        <w:r w:rsidR="00855EB6">
          <w:rPr>
            <w:noProof/>
            <w:webHidden/>
          </w:rPr>
          <w:fldChar w:fldCharType="end"/>
        </w:r>
      </w:hyperlink>
    </w:p>
    <w:p w14:paraId="0544AEF2" w14:textId="7A87BCF4"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175" w:history="1">
        <w:r w:rsidR="00855EB6" w:rsidRPr="007A2625">
          <w:rPr>
            <w:rStyle w:val="Hyperlink"/>
            <w:noProof/>
          </w:rPr>
          <w:t>2.2.</w:t>
        </w:r>
        <w:r w:rsidR="00855EB6">
          <w:rPr>
            <w:rFonts w:asciiTheme="minorHAnsi" w:eastAsiaTheme="minorEastAsia" w:hAnsiTheme="minorHAnsi" w:cstheme="minorBidi"/>
            <w:noProof/>
          </w:rPr>
          <w:tab/>
        </w:r>
        <w:r w:rsidR="00855EB6" w:rsidRPr="007A2625">
          <w:rPr>
            <w:rStyle w:val="Hyperlink"/>
            <w:noProof/>
          </w:rPr>
          <w:t>PROIZVODNJA, UVOZ, IZVOZ, UPOTREBA HEMIKALIJA I ODLAGANJE OTPADA</w:t>
        </w:r>
        <w:r w:rsidR="00855EB6">
          <w:rPr>
            <w:noProof/>
            <w:webHidden/>
          </w:rPr>
          <w:tab/>
        </w:r>
        <w:r w:rsidR="00855EB6">
          <w:rPr>
            <w:noProof/>
            <w:webHidden/>
          </w:rPr>
          <w:fldChar w:fldCharType="begin"/>
        </w:r>
        <w:r w:rsidR="00855EB6">
          <w:rPr>
            <w:noProof/>
            <w:webHidden/>
          </w:rPr>
          <w:instrText xml:space="preserve"> PAGEREF _Toc527353175 \h </w:instrText>
        </w:r>
        <w:r w:rsidR="00855EB6">
          <w:rPr>
            <w:noProof/>
            <w:webHidden/>
          </w:rPr>
        </w:r>
        <w:r w:rsidR="00855EB6">
          <w:rPr>
            <w:noProof/>
            <w:webHidden/>
          </w:rPr>
          <w:fldChar w:fldCharType="separate"/>
        </w:r>
        <w:r w:rsidR="00416F0E">
          <w:rPr>
            <w:noProof/>
            <w:webHidden/>
          </w:rPr>
          <w:t>15</w:t>
        </w:r>
        <w:r w:rsidR="00855EB6">
          <w:rPr>
            <w:noProof/>
            <w:webHidden/>
          </w:rPr>
          <w:fldChar w:fldCharType="end"/>
        </w:r>
      </w:hyperlink>
    </w:p>
    <w:p w14:paraId="36F82885" w14:textId="5295C7F8"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76" w:history="1">
        <w:r w:rsidR="00855EB6" w:rsidRPr="007A2625">
          <w:rPr>
            <w:rStyle w:val="Hyperlink"/>
            <w:noProof/>
          </w:rPr>
          <w:t xml:space="preserve">2.2.1. </w:t>
        </w:r>
        <w:r w:rsidR="00855EB6">
          <w:rPr>
            <w:rStyle w:val="Hyperlink"/>
            <w:noProof/>
          </w:rPr>
          <w:t xml:space="preserve">      </w:t>
        </w:r>
        <w:r w:rsidR="00855EB6" w:rsidRPr="007A2625">
          <w:rPr>
            <w:rStyle w:val="Hyperlink"/>
            <w:noProof/>
          </w:rPr>
          <w:t>Proizvodnja, uvoz, izvoz i upotreba hemikalija</w:t>
        </w:r>
        <w:r w:rsidR="00855EB6">
          <w:rPr>
            <w:noProof/>
            <w:webHidden/>
          </w:rPr>
          <w:tab/>
        </w:r>
        <w:r w:rsidR="00855EB6">
          <w:rPr>
            <w:noProof/>
            <w:webHidden/>
          </w:rPr>
          <w:fldChar w:fldCharType="begin"/>
        </w:r>
        <w:r w:rsidR="00855EB6">
          <w:rPr>
            <w:noProof/>
            <w:webHidden/>
          </w:rPr>
          <w:instrText xml:space="preserve"> PAGEREF _Toc527353176 \h </w:instrText>
        </w:r>
        <w:r w:rsidR="00855EB6">
          <w:rPr>
            <w:noProof/>
            <w:webHidden/>
          </w:rPr>
        </w:r>
        <w:r w:rsidR="00855EB6">
          <w:rPr>
            <w:noProof/>
            <w:webHidden/>
          </w:rPr>
          <w:fldChar w:fldCharType="separate"/>
        </w:r>
        <w:r w:rsidR="00416F0E">
          <w:rPr>
            <w:noProof/>
            <w:webHidden/>
          </w:rPr>
          <w:t>15</w:t>
        </w:r>
        <w:r w:rsidR="00855EB6">
          <w:rPr>
            <w:noProof/>
            <w:webHidden/>
          </w:rPr>
          <w:fldChar w:fldCharType="end"/>
        </w:r>
      </w:hyperlink>
    </w:p>
    <w:p w14:paraId="69374F67" w14:textId="312BC8A0"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77" w:history="1">
        <w:r w:rsidR="00855EB6" w:rsidRPr="007A2625">
          <w:rPr>
            <w:rStyle w:val="Hyperlink"/>
            <w:noProof/>
          </w:rPr>
          <w:t xml:space="preserve">2.2.1.1. </w:t>
        </w:r>
        <w:r w:rsidR="00855EB6">
          <w:rPr>
            <w:rStyle w:val="Hyperlink"/>
            <w:noProof/>
          </w:rPr>
          <w:t xml:space="preserve">   </w:t>
        </w:r>
        <w:r w:rsidR="00855EB6" w:rsidRPr="007A2625">
          <w:rPr>
            <w:rStyle w:val="Hyperlink"/>
            <w:noProof/>
          </w:rPr>
          <w:t>Hemikalije u industrijskoj proizvodnji i  prometu robe u trgovini na veliko</w:t>
        </w:r>
        <w:r w:rsidR="00855EB6">
          <w:rPr>
            <w:noProof/>
            <w:webHidden/>
          </w:rPr>
          <w:tab/>
        </w:r>
        <w:r w:rsidR="00855EB6">
          <w:rPr>
            <w:noProof/>
            <w:webHidden/>
          </w:rPr>
          <w:fldChar w:fldCharType="begin"/>
        </w:r>
        <w:r w:rsidR="00855EB6">
          <w:rPr>
            <w:noProof/>
            <w:webHidden/>
          </w:rPr>
          <w:instrText xml:space="preserve"> PAGEREF _Toc527353177 \h </w:instrText>
        </w:r>
        <w:r w:rsidR="00855EB6">
          <w:rPr>
            <w:noProof/>
            <w:webHidden/>
          </w:rPr>
        </w:r>
        <w:r w:rsidR="00855EB6">
          <w:rPr>
            <w:noProof/>
            <w:webHidden/>
          </w:rPr>
          <w:fldChar w:fldCharType="separate"/>
        </w:r>
        <w:r w:rsidR="00416F0E">
          <w:rPr>
            <w:noProof/>
            <w:webHidden/>
          </w:rPr>
          <w:t>20</w:t>
        </w:r>
        <w:r w:rsidR="00855EB6">
          <w:rPr>
            <w:noProof/>
            <w:webHidden/>
          </w:rPr>
          <w:fldChar w:fldCharType="end"/>
        </w:r>
      </w:hyperlink>
    </w:p>
    <w:p w14:paraId="09EE2180" w14:textId="2572634E"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78" w:history="1">
        <w:r w:rsidR="00855EB6" w:rsidRPr="007A2625">
          <w:rPr>
            <w:rStyle w:val="Hyperlink"/>
            <w:noProof/>
          </w:rPr>
          <w:t xml:space="preserve">2.2.1.2. </w:t>
        </w:r>
        <w:r w:rsidR="00855EB6">
          <w:rPr>
            <w:rStyle w:val="Hyperlink"/>
            <w:noProof/>
          </w:rPr>
          <w:t xml:space="preserve">   </w:t>
        </w:r>
        <w:r w:rsidR="00855EB6" w:rsidRPr="007A2625">
          <w:rPr>
            <w:rStyle w:val="Hyperlink"/>
            <w:noProof/>
          </w:rPr>
          <w:t>Hemikalij</w:t>
        </w:r>
        <w:r w:rsidR="00855EB6" w:rsidRPr="007A2625">
          <w:rPr>
            <w:rStyle w:val="Hyperlink"/>
            <w:noProof/>
            <w:lang w:val="sr-Latn-RS"/>
          </w:rPr>
          <w:t>e u domaćinstvima i poljoprivrednim gazdinstvima</w:t>
        </w:r>
        <w:r w:rsidR="00855EB6">
          <w:rPr>
            <w:noProof/>
            <w:webHidden/>
          </w:rPr>
          <w:tab/>
        </w:r>
        <w:r w:rsidR="00855EB6">
          <w:rPr>
            <w:noProof/>
            <w:webHidden/>
          </w:rPr>
          <w:fldChar w:fldCharType="begin"/>
        </w:r>
        <w:r w:rsidR="00855EB6">
          <w:rPr>
            <w:noProof/>
            <w:webHidden/>
          </w:rPr>
          <w:instrText xml:space="preserve"> PAGEREF _Toc527353178 \h </w:instrText>
        </w:r>
        <w:r w:rsidR="00855EB6">
          <w:rPr>
            <w:noProof/>
            <w:webHidden/>
          </w:rPr>
        </w:r>
        <w:r w:rsidR="00855EB6">
          <w:rPr>
            <w:noProof/>
            <w:webHidden/>
          </w:rPr>
          <w:fldChar w:fldCharType="separate"/>
        </w:r>
        <w:r w:rsidR="00416F0E">
          <w:rPr>
            <w:noProof/>
            <w:webHidden/>
          </w:rPr>
          <w:t>23</w:t>
        </w:r>
        <w:r w:rsidR="00855EB6">
          <w:rPr>
            <w:noProof/>
            <w:webHidden/>
          </w:rPr>
          <w:fldChar w:fldCharType="end"/>
        </w:r>
      </w:hyperlink>
    </w:p>
    <w:p w14:paraId="0F87E160" w14:textId="57504D14"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79" w:history="1">
        <w:r w:rsidR="00855EB6" w:rsidRPr="007A2625">
          <w:rPr>
            <w:rStyle w:val="Hyperlink"/>
            <w:noProof/>
          </w:rPr>
          <w:t xml:space="preserve">2.2.2.  </w:t>
        </w:r>
        <w:r w:rsidR="00855EB6">
          <w:rPr>
            <w:rStyle w:val="Hyperlink"/>
            <w:noProof/>
          </w:rPr>
          <w:t xml:space="preserve">     </w:t>
        </w:r>
        <w:r w:rsidR="00855EB6" w:rsidRPr="007A2625">
          <w:rPr>
            <w:rStyle w:val="Hyperlink"/>
            <w:noProof/>
          </w:rPr>
          <w:t>Industrijski/hemijski  otpad</w:t>
        </w:r>
        <w:r w:rsidR="00855EB6">
          <w:rPr>
            <w:noProof/>
            <w:webHidden/>
          </w:rPr>
          <w:tab/>
        </w:r>
        <w:r w:rsidR="00855EB6">
          <w:rPr>
            <w:noProof/>
            <w:webHidden/>
          </w:rPr>
          <w:fldChar w:fldCharType="begin"/>
        </w:r>
        <w:r w:rsidR="00855EB6">
          <w:rPr>
            <w:noProof/>
            <w:webHidden/>
          </w:rPr>
          <w:instrText xml:space="preserve"> PAGEREF _Toc527353179 \h </w:instrText>
        </w:r>
        <w:r w:rsidR="00855EB6">
          <w:rPr>
            <w:noProof/>
            <w:webHidden/>
          </w:rPr>
        </w:r>
        <w:r w:rsidR="00855EB6">
          <w:rPr>
            <w:noProof/>
            <w:webHidden/>
          </w:rPr>
          <w:fldChar w:fldCharType="separate"/>
        </w:r>
        <w:r w:rsidR="00416F0E">
          <w:rPr>
            <w:noProof/>
            <w:webHidden/>
          </w:rPr>
          <w:t>23</w:t>
        </w:r>
        <w:r w:rsidR="00855EB6">
          <w:rPr>
            <w:noProof/>
            <w:webHidden/>
          </w:rPr>
          <w:fldChar w:fldCharType="end"/>
        </w:r>
      </w:hyperlink>
    </w:p>
    <w:p w14:paraId="6ADDEA5A" w14:textId="6D2FC47C"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80" w:history="1">
        <w:r w:rsidR="00855EB6" w:rsidRPr="007A2625">
          <w:rPr>
            <w:rStyle w:val="Hyperlink"/>
            <w:noProof/>
          </w:rPr>
          <w:t xml:space="preserve">2.2.3.  </w:t>
        </w:r>
        <w:r w:rsidR="00855EB6">
          <w:rPr>
            <w:rStyle w:val="Hyperlink"/>
            <w:noProof/>
          </w:rPr>
          <w:t xml:space="preserve">     </w:t>
        </w:r>
        <w:r w:rsidR="00855EB6" w:rsidRPr="007A2625">
          <w:rPr>
            <w:rStyle w:val="Hyperlink"/>
            <w:noProof/>
          </w:rPr>
          <w:t>Zaostale, napuštene i  zastarijele hemikalije</w:t>
        </w:r>
        <w:r w:rsidR="00855EB6">
          <w:rPr>
            <w:noProof/>
            <w:webHidden/>
          </w:rPr>
          <w:tab/>
        </w:r>
        <w:r w:rsidR="00855EB6">
          <w:rPr>
            <w:noProof/>
            <w:webHidden/>
          </w:rPr>
          <w:fldChar w:fldCharType="begin"/>
        </w:r>
        <w:r w:rsidR="00855EB6">
          <w:rPr>
            <w:noProof/>
            <w:webHidden/>
          </w:rPr>
          <w:instrText xml:space="preserve"> PAGEREF _Toc527353180 \h </w:instrText>
        </w:r>
        <w:r w:rsidR="00855EB6">
          <w:rPr>
            <w:noProof/>
            <w:webHidden/>
          </w:rPr>
        </w:r>
        <w:r w:rsidR="00855EB6">
          <w:rPr>
            <w:noProof/>
            <w:webHidden/>
          </w:rPr>
          <w:fldChar w:fldCharType="separate"/>
        </w:r>
        <w:r w:rsidR="00416F0E">
          <w:rPr>
            <w:noProof/>
            <w:webHidden/>
          </w:rPr>
          <w:t>27</w:t>
        </w:r>
        <w:r w:rsidR="00855EB6">
          <w:rPr>
            <w:noProof/>
            <w:webHidden/>
          </w:rPr>
          <w:fldChar w:fldCharType="end"/>
        </w:r>
      </w:hyperlink>
    </w:p>
    <w:p w14:paraId="5E746DAA" w14:textId="542779D6"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81" w:history="1">
        <w:r w:rsidR="00855EB6" w:rsidRPr="007A2625">
          <w:rPr>
            <w:rStyle w:val="Hyperlink"/>
            <w:noProof/>
          </w:rPr>
          <w:t xml:space="preserve">2.2.4. </w:t>
        </w:r>
        <w:r w:rsidR="00855EB6">
          <w:rPr>
            <w:rStyle w:val="Hyperlink"/>
            <w:noProof/>
          </w:rPr>
          <w:t xml:space="preserve">     </w:t>
        </w:r>
        <w:r w:rsidR="00855EB6" w:rsidRPr="007A2625">
          <w:rPr>
            <w:rStyle w:val="Hyperlink"/>
            <w:noProof/>
          </w:rPr>
          <w:t>Kontaminirani lokaliteti na teritoriji Crne Gore</w:t>
        </w:r>
        <w:r w:rsidR="00855EB6">
          <w:rPr>
            <w:noProof/>
            <w:webHidden/>
          </w:rPr>
          <w:tab/>
        </w:r>
        <w:r w:rsidR="00855EB6">
          <w:rPr>
            <w:noProof/>
            <w:webHidden/>
          </w:rPr>
          <w:fldChar w:fldCharType="begin"/>
        </w:r>
        <w:r w:rsidR="00855EB6">
          <w:rPr>
            <w:noProof/>
            <w:webHidden/>
          </w:rPr>
          <w:instrText xml:space="preserve"> PAGEREF _Toc527353181 \h </w:instrText>
        </w:r>
        <w:r w:rsidR="00855EB6">
          <w:rPr>
            <w:noProof/>
            <w:webHidden/>
          </w:rPr>
        </w:r>
        <w:r w:rsidR="00855EB6">
          <w:rPr>
            <w:noProof/>
            <w:webHidden/>
          </w:rPr>
          <w:fldChar w:fldCharType="separate"/>
        </w:r>
        <w:r w:rsidR="00416F0E">
          <w:rPr>
            <w:noProof/>
            <w:webHidden/>
          </w:rPr>
          <w:t>30</w:t>
        </w:r>
        <w:r w:rsidR="00855EB6">
          <w:rPr>
            <w:noProof/>
            <w:webHidden/>
          </w:rPr>
          <w:fldChar w:fldCharType="end"/>
        </w:r>
      </w:hyperlink>
    </w:p>
    <w:p w14:paraId="339FED0C" w14:textId="2B73F7C6"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82" w:history="1">
        <w:r w:rsidR="00855EB6" w:rsidRPr="007A2625">
          <w:rPr>
            <w:rStyle w:val="Hyperlink"/>
            <w:noProof/>
          </w:rPr>
          <w:t xml:space="preserve">2.2.5. </w:t>
        </w:r>
        <w:r w:rsidR="00855EB6">
          <w:rPr>
            <w:rStyle w:val="Hyperlink"/>
            <w:noProof/>
          </w:rPr>
          <w:t xml:space="preserve">     </w:t>
        </w:r>
        <w:r w:rsidR="00855EB6" w:rsidRPr="007A2625">
          <w:rPr>
            <w:rStyle w:val="Hyperlink"/>
            <w:noProof/>
          </w:rPr>
          <w:t>Monitoring</w:t>
        </w:r>
        <w:r w:rsidR="00855EB6">
          <w:rPr>
            <w:noProof/>
            <w:webHidden/>
          </w:rPr>
          <w:tab/>
        </w:r>
        <w:r w:rsidR="00855EB6">
          <w:rPr>
            <w:noProof/>
            <w:webHidden/>
          </w:rPr>
          <w:fldChar w:fldCharType="begin"/>
        </w:r>
        <w:r w:rsidR="00855EB6">
          <w:rPr>
            <w:noProof/>
            <w:webHidden/>
          </w:rPr>
          <w:instrText xml:space="preserve"> PAGEREF _Toc527353182 \h </w:instrText>
        </w:r>
        <w:r w:rsidR="00855EB6">
          <w:rPr>
            <w:noProof/>
            <w:webHidden/>
          </w:rPr>
        </w:r>
        <w:r w:rsidR="00855EB6">
          <w:rPr>
            <w:noProof/>
            <w:webHidden/>
          </w:rPr>
          <w:fldChar w:fldCharType="separate"/>
        </w:r>
        <w:r w:rsidR="00416F0E">
          <w:rPr>
            <w:noProof/>
            <w:webHidden/>
          </w:rPr>
          <w:t>33</w:t>
        </w:r>
        <w:r w:rsidR="00855EB6">
          <w:rPr>
            <w:noProof/>
            <w:webHidden/>
          </w:rPr>
          <w:fldChar w:fldCharType="end"/>
        </w:r>
      </w:hyperlink>
    </w:p>
    <w:p w14:paraId="1955BA7B" w14:textId="25845C09"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83" w:history="1">
        <w:r w:rsidR="00855EB6" w:rsidRPr="007A2625">
          <w:rPr>
            <w:rStyle w:val="Hyperlink"/>
            <w:noProof/>
          </w:rPr>
          <w:t xml:space="preserve">2.2.5.1. </w:t>
        </w:r>
        <w:r w:rsidR="00855EB6">
          <w:rPr>
            <w:rStyle w:val="Hyperlink"/>
            <w:noProof/>
          </w:rPr>
          <w:t xml:space="preserve">  </w:t>
        </w:r>
        <w:r w:rsidR="00855EB6" w:rsidRPr="007A2625">
          <w:rPr>
            <w:rStyle w:val="Hyperlink"/>
            <w:noProof/>
          </w:rPr>
          <w:t>Monitoring u segmentima životne sredine</w:t>
        </w:r>
        <w:r w:rsidR="00855EB6">
          <w:rPr>
            <w:noProof/>
            <w:webHidden/>
          </w:rPr>
          <w:tab/>
        </w:r>
        <w:r w:rsidR="00855EB6">
          <w:rPr>
            <w:noProof/>
            <w:webHidden/>
          </w:rPr>
          <w:fldChar w:fldCharType="begin"/>
        </w:r>
        <w:r w:rsidR="00855EB6">
          <w:rPr>
            <w:noProof/>
            <w:webHidden/>
          </w:rPr>
          <w:instrText xml:space="preserve"> PAGEREF _Toc527353183 \h </w:instrText>
        </w:r>
        <w:r w:rsidR="00855EB6">
          <w:rPr>
            <w:noProof/>
            <w:webHidden/>
          </w:rPr>
        </w:r>
        <w:r w:rsidR="00855EB6">
          <w:rPr>
            <w:noProof/>
            <w:webHidden/>
          </w:rPr>
          <w:fldChar w:fldCharType="separate"/>
        </w:r>
        <w:r w:rsidR="00416F0E">
          <w:rPr>
            <w:noProof/>
            <w:webHidden/>
          </w:rPr>
          <w:t>33</w:t>
        </w:r>
        <w:r w:rsidR="00855EB6">
          <w:rPr>
            <w:noProof/>
            <w:webHidden/>
          </w:rPr>
          <w:fldChar w:fldCharType="end"/>
        </w:r>
      </w:hyperlink>
    </w:p>
    <w:p w14:paraId="08DFC15A" w14:textId="7A0F9A3A"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84" w:history="1">
        <w:r w:rsidR="00855EB6" w:rsidRPr="007A2625">
          <w:rPr>
            <w:rStyle w:val="Hyperlink"/>
            <w:noProof/>
          </w:rPr>
          <w:t xml:space="preserve">2.2.5.2. </w:t>
        </w:r>
        <w:r w:rsidR="00855EB6">
          <w:rPr>
            <w:rStyle w:val="Hyperlink"/>
            <w:noProof/>
          </w:rPr>
          <w:t xml:space="preserve">  </w:t>
        </w:r>
        <w:r w:rsidR="00855EB6" w:rsidRPr="007A2625">
          <w:rPr>
            <w:rStyle w:val="Hyperlink"/>
            <w:noProof/>
          </w:rPr>
          <w:t>Monitoring u uzorcima hrane, predmeta opšte upotrebe i vodi za piće</w:t>
        </w:r>
        <w:r w:rsidR="00855EB6">
          <w:rPr>
            <w:noProof/>
            <w:webHidden/>
          </w:rPr>
          <w:tab/>
        </w:r>
        <w:r w:rsidR="00855EB6">
          <w:rPr>
            <w:noProof/>
            <w:webHidden/>
          </w:rPr>
          <w:fldChar w:fldCharType="begin"/>
        </w:r>
        <w:r w:rsidR="00855EB6">
          <w:rPr>
            <w:noProof/>
            <w:webHidden/>
          </w:rPr>
          <w:instrText xml:space="preserve"> PAGEREF _Toc527353184 \h </w:instrText>
        </w:r>
        <w:r w:rsidR="00855EB6">
          <w:rPr>
            <w:noProof/>
            <w:webHidden/>
          </w:rPr>
        </w:r>
        <w:r w:rsidR="00855EB6">
          <w:rPr>
            <w:noProof/>
            <w:webHidden/>
          </w:rPr>
          <w:fldChar w:fldCharType="separate"/>
        </w:r>
        <w:r w:rsidR="00416F0E">
          <w:rPr>
            <w:noProof/>
            <w:webHidden/>
          </w:rPr>
          <w:t>35</w:t>
        </w:r>
        <w:r w:rsidR="00855EB6">
          <w:rPr>
            <w:noProof/>
            <w:webHidden/>
          </w:rPr>
          <w:fldChar w:fldCharType="end"/>
        </w:r>
      </w:hyperlink>
    </w:p>
    <w:p w14:paraId="0B0943CF" w14:textId="60C45DAB"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85" w:history="1">
        <w:r w:rsidR="00855EB6" w:rsidRPr="007A2625">
          <w:rPr>
            <w:rStyle w:val="Hyperlink"/>
            <w:noProof/>
          </w:rPr>
          <w:t xml:space="preserve">2.2.6. </w:t>
        </w:r>
        <w:r w:rsidR="00855EB6">
          <w:rPr>
            <w:rStyle w:val="Hyperlink"/>
            <w:noProof/>
          </w:rPr>
          <w:t xml:space="preserve">     </w:t>
        </w:r>
        <w:r w:rsidR="00855EB6" w:rsidRPr="007A2625">
          <w:rPr>
            <w:rStyle w:val="Hyperlink"/>
            <w:noProof/>
          </w:rPr>
          <w:t>Inspekcijski nadzor</w:t>
        </w:r>
        <w:r w:rsidR="00855EB6">
          <w:rPr>
            <w:noProof/>
            <w:webHidden/>
          </w:rPr>
          <w:tab/>
        </w:r>
        <w:r w:rsidR="00855EB6">
          <w:rPr>
            <w:noProof/>
            <w:webHidden/>
          </w:rPr>
          <w:fldChar w:fldCharType="begin"/>
        </w:r>
        <w:r w:rsidR="00855EB6">
          <w:rPr>
            <w:noProof/>
            <w:webHidden/>
          </w:rPr>
          <w:instrText xml:space="preserve"> PAGEREF _Toc527353185 \h </w:instrText>
        </w:r>
        <w:r w:rsidR="00855EB6">
          <w:rPr>
            <w:noProof/>
            <w:webHidden/>
          </w:rPr>
        </w:r>
        <w:r w:rsidR="00855EB6">
          <w:rPr>
            <w:noProof/>
            <w:webHidden/>
          </w:rPr>
          <w:fldChar w:fldCharType="separate"/>
        </w:r>
        <w:r w:rsidR="00416F0E">
          <w:rPr>
            <w:noProof/>
            <w:webHidden/>
          </w:rPr>
          <w:t>36</w:t>
        </w:r>
        <w:r w:rsidR="00855EB6">
          <w:rPr>
            <w:noProof/>
            <w:webHidden/>
          </w:rPr>
          <w:fldChar w:fldCharType="end"/>
        </w:r>
      </w:hyperlink>
    </w:p>
    <w:p w14:paraId="7D7B12D2" w14:textId="001E60E8"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186" w:history="1">
        <w:r w:rsidR="00855EB6" w:rsidRPr="007A2625">
          <w:rPr>
            <w:rStyle w:val="Hyperlink"/>
            <w:noProof/>
          </w:rPr>
          <w:t>2.3.</w:t>
        </w:r>
        <w:r w:rsidR="00855EB6">
          <w:rPr>
            <w:rFonts w:asciiTheme="minorHAnsi" w:eastAsiaTheme="minorEastAsia" w:hAnsiTheme="minorHAnsi" w:cstheme="minorBidi"/>
            <w:noProof/>
          </w:rPr>
          <w:tab/>
        </w:r>
        <w:r w:rsidR="00855EB6" w:rsidRPr="007A2625">
          <w:rPr>
            <w:rStyle w:val="Hyperlink"/>
            <w:noProof/>
          </w:rPr>
          <w:t>ZAKONODAVNI INSTRUMENTI I MEHANIZMI ZA UPRAVLJANJE HEMIKALIJAMA</w:t>
        </w:r>
        <w:r w:rsidR="00855EB6">
          <w:rPr>
            <w:noProof/>
            <w:webHidden/>
          </w:rPr>
          <w:tab/>
        </w:r>
        <w:r w:rsidR="00855EB6">
          <w:rPr>
            <w:noProof/>
            <w:webHidden/>
          </w:rPr>
          <w:fldChar w:fldCharType="begin"/>
        </w:r>
        <w:r w:rsidR="00855EB6">
          <w:rPr>
            <w:noProof/>
            <w:webHidden/>
          </w:rPr>
          <w:instrText xml:space="preserve"> PAGEREF _Toc527353186 \h </w:instrText>
        </w:r>
        <w:r w:rsidR="00855EB6">
          <w:rPr>
            <w:noProof/>
            <w:webHidden/>
          </w:rPr>
        </w:r>
        <w:r w:rsidR="00855EB6">
          <w:rPr>
            <w:noProof/>
            <w:webHidden/>
          </w:rPr>
          <w:fldChar w:fldCharType="separate"/>
        </w:r>
        <w:r w:rsidR="00416F0E">
          <w:rPr>
            <w:noProof/>
            <w:webHidden/>
          </w:rPr>
          <w:t>38</w:t>
        </w:r>
        <w:r w:rsidR="00855EB6">
          <w:rPr>
            <w:noProof/>
            <w:webHidden/>
          </w:rPr>
          <w:fldChar w:fldCharType="end"/>
        </w:r>
      </w:hyperlink>
    </w:p>
    <w:p w14:paraId="758DEC16" w14:textId="5C6C05E8"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87" w:history="1">
        <w:r w:rsidR="00855EB6" w:rsidRPr="007A2625">
          <w:rPr>
            <w:rStyle w:val="Hyperlink"/>
            <w:noProof/>
          </w:rPr>
          <w:t xml:space="preserve">2.3.1. </w:t>
        </w:r>
        <w:r w:rsidR="00855EB6">
          <w:rPr>
            <w:rStyle w:val="Hyperlink"/>
            <w:noProof/>
          </w:rPr>
          <w:t xml:space="preserve">      </w:t>
        </w:r>
        <w:r w:rsidR="00855EB6" w:rsidRPr="007A2625">
          <w:rPr>
            <w:rStyle w:val="Hyperlink"/>
            <w:noProof/>
            <w:lang w:val="sr-Latn-CS"/>
          </w:rPr>
          <w:t>Pregled relevantnog nacionalnog zakonodavstva</w:t>
        </w:r>
        <w:r w:rsidR="00855EB6">
          <w:rPr>
            <w:noProof/>
            <w:webHidden/>
          </w:rPr>
          <w:tab/>
        </w:r>
        <w:r w:rsidR="00855EB6">
          <w:rPr>
            <w:noProof/>
            <w:webHidden/>
          </w:rPr>
          <w:fldChar w:fldCharType="begin"/>
        </w:r>
        <w:r w:rsidR="00855EB6">
          <w:rPr>
            <w:noProof/>
            <w:webHidden/>
          </w:rPr>
          <w:instrText xml:space="preserve"> PAGEREF _Toc527353187 \h </w:instrText>
        </w:r>
        <w:r w:rsidR="00855EB6">
          <w:rPr>
            <w:noProof/>
            <w:webHidden/>
          </w:rPr>
        </w:r>
        <w:r w:rsidR="00855EB6">
          <w:rPr>
            <w:noProof/>
            <w:webHidden/>
          </w:rPr>
          <w:fldChar w:fldCharType="separate"/>
        </w:r>
        <w:r w:rsidR="00416F0E">
          <w:rPr>
            <w:noProof/>
            <w:webHidden/>
          </w:rPr>
          <w:t>38</w:t>
        </w:r>
        <w:r w:rsidR="00855EB6">
          <w:rPr>
            <w:noProof/>
            <w:webHidden/>
          </w:rPr>
          <w:fldChar w:fldCharType="end"/>
        </w:r>
      </w:hyperlink>
    </w:p>
    <w:p w14:paraId="60A6F41D" w14:textId="238C4FCF"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88" w:history="1">
        <w:r w:rsidR="00855EB6" w:rsidRPr="007A2625">
          <w:rPr>
            <w:rStyle w:val="Hyperlink"/>
            <w:noProof/>
          </w:rPr>
          <w:t xml:space="preserve">2.3.1.1. </w:t>
        </w:r>
        <w:r w:rsidR="00855EB6">
          <w:rPr>
            <w:rStyle w:val="Hyperlink"/>
            <w:noProof/>
          </w:rPr>
          <w:t xml:space="preserve">   </w:t>
        </w:r>
        <w:r w:rsidR="00855EB6" w:rsidRPr="007A2625">
          <w:rPr>
            <w:rStyle w:val="Hyperlink"/>
            <w:noProof/>
          </w:rPr>
          <w:t>Krovni propisi u oblasti upravljanja hemikalijama</w:t>
        </w:r>
        <w:r w:rsidR="00855EB6">
          <w:rPr>
            <w:noProof/>
            <w:webHidden/>
          </w:rPr>
          <w:tab/>
        </w:r>
        <w:r w:rsidR="00855EB6">
          <w:rPr>
            <w:noProof/>
            <w:webHidden/>
          </w:rPr>
          <w:fldChar w:fldCharType="begin"/>
        </w:r>
        <w:r w:rsidR="00855EB6">
          <w:rPr>
            <w:noProof/>
            <w:webHidden/>
          </w:rPr>
          <w:instrText xml:space="preserve"> PAGEREF _Toc527353188 \h </w:instrText>
        </w:r>
        <w:r w:rsidR="00855EB6">
          <w:rPr>
            <w:noProof/>
            <w:webHidden/>
          </w:rPr>
        </w:r>
        <w:r w:rsidR="00855EB6">
          <w:rPr>
            <w:noProof/>
            <w:webHidden/>
          </w:rPr>
          <w:fldChar w:fldCharType="separate"/>
        </w:r>
        <w:r w:rsidR="00416F0E">
          <w:rPr>
            <w:noProof/>
            <w:webHidden/>
          </w:rPr>
          <w:t>38</w:t>
        </w:r>
        <w:r w:rsidR="00855EB6">
          <w:rPr>
            <w:noProof/>
            <w:webHidden/>
          </w:rPr>
          <w:fldChar w:fldCharType="end"/>
        </w:r>
      </w:hyperlink>
    </w:p>
    <w:p w14:paraId="7FEFDA91" w14:textId="5B779EA2"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89" w:history="1">
        <w:r w:rsidR="00855EB6" w:rsidRPr="007A2625">
          <w:rPr>
            <w:rStyle w:val="Hyperlink"/>
            <w:noProof/>
          </w:rPr>
          <w:t xml:space="preserve">2.3.1.2.  </w:t>
        </w:r>
        <w:r w:rsidR="00855EB6">
          <w:rPr>
            <w:rStyle w:val="Hyperlink"/>
            <w:noProof/>
          </w:rPr>
          <w:t xml:space="preserve">  </w:t>
        </w:r>
        <w:r w:rsidR="00855EB6" w:rsidRPr="007A2625">
          <w:rPr>
            <w:rStyle w:val="Hyperlink"/>
            <w:noProof/>
          </w:rPr>
          <w:t>Propisi koji se odnose na hemikalije sa specifičn</w:t>
        </w:r>
        <w:r w:rsidR="00855EB6" w:rsidRPr="007A2625">
          <w:rPr>
            <w:rStyle w:val="Hyperlink"/>
            <w:noProof/>
            <w:lang w:val="sr-Latn-RS"/>
          </w:rPr>
          <w:t xml:space="preserve">im djelovanjem i </w:t>
        </w:r>
        <w:r w:rsidR="00855EB6" w:rsidRPr="007A2625">
          <w:rPr>
            <w:rStyle w:val="Hyperlink"/>
            <w:noProof/>
          </w:rPr>
          <w:t>nam</w:t>
        </w:r>
        <w:r w:rsidR="00855EB6" w:rsidRPr="007A2625">
          <w:rPr>
            <w:rStyle w:val="Hyperlink"/>
            <w:noProof/>
            <w:lang w:val="sr-Latn-RS"/>
          </w:rPr>
          <w:t>j</w:t>
        </w:r>
        <w:r w:rsidR="00855EB6" w:rsidRPr="007A2625">
          <w:rPr>
            <w:rStyle w:val="Hyperlink"/>
            <w:noProof/>
          </w:rPr>
          <w:t>enom</w:t>
        </w:r>
        <w:r w:rsidR="00855EB6">
          <w:rPr>
            <w:noProof/>
            <w:webHidden/>
          </w:rPr>
          <w:tab/>
        </w:r>
        <w:r w:rsidR="00855EB6">
          <w:rPr>
            <w:noProof/>
            <w:webHidden/>
          </w:rPr>
          <w:fldChar w:fldCharType="begin"/>
        </w:r>
        <w:r w:rsidR="00855EB6">
          <w:rPr>
            <w:noProof/>
            <w:webHidden/>
          </w:rPr>
          <w:instrText xml:space="preserve"> PAGEREF _Toc527353189 \h </w:instrText>
        </w:r>
        <w:r w:rsidR="00855EB6">
          <w:rPr>
            <w:noProof/>
            <w:webHidden/>
          </w:rPr>
        </w:r>
        <w:r w:rsidR="00855EB6">
          <w:rPr>
            <w:noProof/>
            <w:webHidden/>
          </w:rPr>
          <w:fldChar w:fldCharType="separate"/>
        </w:r>
        <w:r w:rsidR="00416F0E">
          <w:rPr>
            <w:noProof/>
            <w:webHidden/>
          </w:rPr>
          <w:t>41</w:t>
        </w:r>
        <w:r w:rsidR="00855EB6">
          <w:rPr>
            <w:noProof/>
            <w:webHidden/>
          </w:rPr>
          <w:fldChar w:fldCharType="end"/>
        </w:r>
      </w:hyperlink>
    </w:p>
    <w:p w14:paraId="2FA0EB4E" w14:textId="29A71B6A"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90" w:history="1">
        <w:r w:rsidR="00855EB6" w:rsidRPr="007A2625">
          <w:rPr>
            <w:rStyle w:val="Hyperlink"/>
            <w:noProof/>
          </w:rPr>
          <w:t>2.3.1.2.1. Propisi o biocidnim proizvodima</w:t>
        </w:r>
        <w:r w:rsidR="00855EB6">
          <w:rPr>
            <w:noProof/>
            <w:webHidden/>
          </w:rPr>
          <w:tab/>
        </w:r>
        <w:r w:rsidR="00855EB6">
          <w:rPr>
            <w:noProof/>
            <w:webHidden/>
          </w:rPr>
          <w:fldChar w:fldCharType="begin"/>
        </w:r>
        <w:r w:rsidR="00855EB6">
          <w:rPr>
            <w:noProof/>
            <w:webHidden/>
          </w:rPr>
          <w:instrText xml:space="preserve"> PAGEREF _Toc527353190 \h </w:instrText>
        </w:r>
        <w:r w:rsidR="00855EB6">
          <w:rPr>
            <w:noProof/>
            <w:webHidden/>
          </w:rPr>
        </w:r>
        <w:r w:rsidR="00855EB6">
          <w:rPr>
            <w:noProof/>
            <w:webHidden/>
          </w:rPr>
          <w:fldChar w:fldCharType="separate"/>
        </w:r>
        <w:r w:rsidR="00416F0E">
          <w:rPr>
            <w:noProof/>
            <w:webHidden/>
          </w:rPr>
          <w:t>41</w:t>
        </w:r>
        <w:r w:rsidR="00855EB6">
          <w:rPr>
            <w:noProof/>
            <w:webHidden/>
          </w:rPr>
          <w:fldChar w:fldCharType="end"/>
        </w:r>
      </w:hyperlink>
    </w:p>
    <w:p w14:paraId="4B6FE847" w14:textId="4A89D265"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91" w:history="1">
        <w:r w:rsidR="00855EB6" w:rsidRPr="007A2625">
          <w:rPr>
            <w:rStyle w:val="Hyperlink"/>
            <w:noProof/>
          </w:rPr>
          <w:t>2.3.1.2.2. Propisi o sredstvima za zaštitu bilja</w:t>
        </w:r>
        <w:r w:rsidR="00855EB6">
          <w:rPr>
            <w:noProof/>
            <w:webHidden/>
          </w:rPr>
          <w:tab/>
        </w:r>
        <w:r w:rsidR="00855EB6">
          <w:rPr>
            <w:noProof/>
            <w:webHidden/>
          </w:rPr>
          <w:fldChar w:fldCharType="begin"/>
        </w:r>
        <w:r w:rsidR="00855EB6">
          <w:rPr>
            <w:noProof/>
            <w:webHidden/>
          </w:rPr>
          <w:instrText xml:space="preserve"> PAGEREF _Toc527353191 \h </w:instrText>
        </w:r>
        <w:r w:rsidR="00855EB6">
          <w:rPr>
            <w:noProof/>
            <w:webHidden/>
          </w:rPr>
        </w:r>
        <w:r w:rsidR="00855EB6">
          <w:rPr>
            <w:noProof/>
            <w:webHidden/>
          </w:rPr>
          <w:fldChar w:fldCharType="separate"/>
        </w:r>
        <w:r w:rsidR="00416F0E">
          <w:rPr>
            <w:noProof/>
            <w:webHidden/>
          </w:rPr>
          <w:t>43</w:t>
        </w:r>
        <w:r w:rsidR="00855EB6">
          <w:rPr>
            <w:noProof/>
            <w:webHidden/>
          </w:rPr>
          <w:fldChar w:fldCharType="end"/>
        </w:r>
      </w:hyperlink>
    </w:p>
    <w:p w14:paraId="1F2EB693" w14:textId="491488CA"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92" w:history="1">
        <w:r w:rsidR="00855EB6" w:rsidRPr="007A2625">
          <w:rPr>
            <w:rStyle w:val="Hyperlink"/>
            <w:noProof/>
          </w:rPr>
          <w:t>2.3.1.2.3. Propisi o sredstvima za ishranu bilja</w:t>
        </w:r>
        <w:r w:rsidR="00855EB6">
          <w:rPr>
            <w:noProof/>
            <w:webHidden/>
          </w:rPr>
          <w:tab/>
        </w:r>
        <w:r w:rsidR="00855EB6">
          <w:rPr>
            <w:noProof/>
            <w:webHidden/>
          </w:rPr>
          <w:fldChar w:fldCharType="begin"/>
        </w:r>
        <w:r w:rsidR="00855EB6">
          <w:rPr>
            <w:noProof/>
            <w:webHidden/>
          </w:rPr>
          <w:instrText xml:space="preserve"> PAGEREF _Toc527353192 \h </w:instrText>
        </w:r>
        <w:r w:rsidR="00855EB6">
          <w:rPr>
            <w:noProof/>
            <w:webHidden/>
          </w:rPr>
        </w:r>
        <w:r w:rsidR="00855EB6">
          <w:rPr>
            <w:noProof/>
            <w:webHidden/>
          </w:rPr>
          <w:fldChar w:fldCharType="separate"/>
        </w:r>
        <w:r w:rsidR="00416F0E">
          <w:rPr>
            <w:noProof/>
            <w:webHidden/>
          </w:rPr>
          <w:t>43</w:t>
        </w:r>
        <w:r w:rsidR="00855EB6">
          <w:rPr>
            <w:noProof/>
            <w:webHidden/>
          </w:rPr>
          <w:fldChar w:fldCharType="end"/>
        </w:r>
      </w:hyperlink>
    </w:p>
    <w:p w14:paraId="5E1EE384" w14:textId="35B32036"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93" w:history="1">
        <w:r w:rsidR="00855EB6" w:rsidRPr="007A2625">
          <w:rPr>
            <w:rStyle w:val="Hyperlink"/>
            <w:noProof/>
          </w:rPr>
          <w:t xml:space="preserve">2.3.1.3. </w:t>
        </w:r>
        <w:r w:rsidR="00855EB6">
          <w:rPr>
            <w:rStyle w:val="Hyperlink"/>
            <w:noProof/>
          </w:rPr>
          <w:t xml:space="preserve">   </w:t>
        </w:r>
        <w:r w:rsidR="00855EB6" w:rsidRPr="007A2625">
          <w:rPr>
            <w:rStyle w:val="Hyperlink"/>
            <w:noProof/>
          </w:rPr>
          <w:t>Drugi propisi od značaja za bezbedno upravljanje hemikalijama</w:t>
        </w:r>
        <w:r w:rsidR="00855EB6">
          <w:rPr>
            <w:noProof/>
            <w:webHidden/>
          </w:rPr>
          <w:tab/>
        </w:r>
        <w:r w:rsidR="00855EB6">
          <w:rPr>
            <w:noProof/>
            <w:webHidden/>
          </w:rPr>
          <w:fldChar w:fldCharType="begin"/>
        </w:r>
        <w:r w:rsidR="00855EB6">
          <w:rPr>
            <w:noProof/>
            <w:webHidden/>
          </w:rPr>
          <w:instrText xml:space="preserve"> PAGEREF _Toc527353193 \h </w:instrText>
        </w:r>
        <w:r w:rsidR="00855EB6">
          <w:rPr>
            <w:noProof/>
            <w:webHidden/>
          </w:rPr>
        </w:r>
        <w:r w:rsidR="00855EB6">
          <w:rPr>
            <w:noProof/>
            <w:webHidden/>
          </w:rPr>
          <w:fldChar w:fldCharType="separate"/>
        </w:r>
        <w:r w:rsidR="00416F0E">
          <w:rPr>
            <w:noProof/>
            <w:webHidden/>
          </w:rPr>
          <w:t>44</w:t>
        </w:r>
        <w:r w:rsidR="00855EB6">
          <w:rPr>
            <w:noProof/>
            <w:webHidden/>
          </w:rPr>
          <w:fldChar w:fldCharType="end"/>
        </w:r>
      </w:hyperlink>
    </w:p>
    <w:p w14:paraId="620B2F0B" w14:textId="3AC7DA95"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94" w:history="1">
        <w:r w:rsidR="00855EB6" w:rsidRPr="007A2625">
          <w:rPr>
            <w:rStyle w:val="Hyperlink"/>
            <w:noProof/>
          </w:rPr>
          <w:t xml:space="preserve">2.3.1.3.1. Propisi u oblasti </w:t>
        </w:r>
        <w:r w:rsidR="00855EB6" w:rsidRPr="007A2625">
          <w:rPr>
            <w:rStyle w:val="Hyperlink"/>
            <w:noProof/>
            <w:lang w:val="sr-Latn-ME"/>
          </w:rPr>
          <w:t xml:space="preserve">zaštite </w:t>
        </w:r>
        <w:r w:rsidR="00855EB6" w:rsidRPr="007A2625">
          <w:rPr>
            <w:rStyle w:val="Hyperlink"/>
            <w:noProof/>
          </w:rPr>
          <w:t>životne sredine</w:t>
        </w:r>
        <w:r w:rsidR="00855EB6">
          <w:rPr>
            <w:noProof/>
            <w:webHidden/>
          </w:rPr>
          <w:tab/>
        </w:r>
        <w:r w:rsidR="00855EB6">
          <w:rPr>
            <w:noProof/>
            <w:webHidden/>
          </w:rPr>
          <w:fldChar w:fldCharType="begin"/>
        </w:r>
        <w:r w:rsidR="00855EB6">
          <w:rPr>
            <w:noProof/>
            <w:webHidden/>
          </w:rPr>
          <w:instrText xml:space="preserve"> PAGEREF _Toc527353194 \h </w:instrText>
        </w:r>
        <w:r w:rsidR="00855EB6">
          <w:rPr>
            <w:noProof/>
            <w:webHidden/>
          </w:rPr>
        </w:r>
        <w:r w:rsidR="00855EB6">
          <w:rPr>
            <w:noProof/>
            <w:webHidden/>
          </w:rPr>
          <w:fldChar w:fldCharType="separate"/>
        </w:r>
        <w:r w:rsidR="00416F0E">
          <w:rPr>
            <w:noProof/>
            <w:webHidden/>
          </w:rPr>
          <w:t>44</w:t>
        </w:r>
        <w:r w:rsidR="00855EB6">
          <w:rPr>
            <w:noProof/>
            <w:webHidden/>
          </w:rPr>
          <w:fldChar w:fldCharType="end"/>
        </w:r>
      </w:hyperlink>
    </w:p>
    <w:p w14:paraId="6218AF02" w14:textId="4B4378C4"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95" w:history="1">
        <w:r w:rsidR="00855EB6" w:rsidRPr="007A2625">
          <w:rPr>
            <w:rStyle w:val="Hyperlink"/>
            <w:noProof/>
          </w:rPr>
          <w:t>2.3.1.3.2.</w:t>
        </w:r>
        <w:r w:rsidR="00855EB6">
          <w:rPr>
            <w:rStyle w:val="Hyperlink"/>
            <w:noProof/>
          </w:rPr>
          <w:t xml:space="preserve">  </w:t>
        </w:r>
        <w:r w:rsidR="00855EB6" w:rsidRPr="007A2625">
          <w:rPr>
            <w:rStyle w:val="Hyperlink"/>
            <w:noProof/>
          </w:rPr>
          <w:t>Propisi u  oblasti  zaštite i zdravlja na radu</w:t>
        </w:r>
        <w:r w:rsidR="00855EB6">
          <w:rPr>
            <w:noProof/>
            <w:webHidden/>
          </w:rPr>
          <w:tab/>
        </w:r>
        <w:r w:rsidR="00855EB6">
          <w:rPr>
            <w:noProof/>
            <w:webHidden/>
          </w:rPr>
          <w:fldChar w:fldCharType="begin"/>
        </w:r>
        <w:r w:rsidR="00855EB6">
          <w:rPr>
            <w:noProof/>
            <w:webHidden/>
          </w:rPr>
          <w:instrText xml:space="preserve"> PAGEREF _Toc527353195 \h </w:instrText>
        </w:r>
        <w:r w:rsidR="00855EB6">
          <w:rPr>
            <w:noProof/>
            <w:webHidden/>
          </w:rPr>
        </w:r>
        <w:r w:rsidR="00855EB6">
          <w:rPr>
            <w:noProof/>
            <w:webHidden/>
          </w:rPr>
          <w:fldChar w:fldCharType="separate"/>
        </w:r>
        <w:r w:rsidR="00416F0E">
          <w:rPr>
            <w:noProof/>
            <w:webHidden/>
          </w:rPr>
          <w:t>47</w:t>
        </w:r>
        <w:r w:rsidR="00855EB6">
          <w:rPr>
            <w:noProof/>
            <w:webHidden/>
          </w:rPr>
          <w:fldChar w:fldCharType="end"/>
        </w:r>
      </w:hyperlink>
    </w:p>
    <w:p w14:paraId="67FEBCC9" w14:textId="4FDF1379"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96" w:history="1">
        <w:r w:rsidR="00855EB6" w:rsidRPr="007A2625">
          <w:rPr>
            <w:rStyle w:val="Hyperlink"/>
            <w:noProof/>
          </w:rPr>
          <w:t>2.3.1.3.3. Propisi u  oblasti  prevoza opasnih materija</w:t>
        </w:r>
        <w:r w:rsidR="00855EB6">
          <w:rPr>
            <w:noProof/>
            <w:webHidden/>
          </w:rPr>
          <w:tab/>
        </w:r>
        <w:r w:rsidR="00855EB6">
          <w:rPr>
            <w:noProof/>
            <w:webHidden/>
          </w:rPr>
          <w:fldChar w:fldCharType="begin"/>
        </w:r>
        <w:r w:rsidR="00855EB6">
          <w:rPr>
            <w:noProof/>
            <w:webHidden/>
          </w:rPr>
          <w:instrText xml:space="preserve"> PAGEREF _Toc527353196 \h </w:instrText>
        </w:r>
        <w:r w:rsidR="00855EB6">
          <w:rPr>
            <w:noProof/>
            <w:webHidden/>
          </w:rPr>
        </w:r>
        <w:r w:rsidR="00855EB6">
          <w:rPr>
            <w:noProof/>
            <w:webHidden/>
          </w:rPr>
          <w:fldChar w:fldCharType="separate"/>
        </w:r>
        <w:r w:rsidR="00416F0E">
          <w:rPr>
            <w:noProof/>
            <w:webHidden/>
          </w:rPr>
          <w:t>47</w:t>
        </w:r>
        <w:r w:rsidR="00855EB6">
          <w:rPr>
            <w:noProof/>
            <w:webHidden/>
          </w:rPr>
          <w:fldChar w:fldCharType="end"/>
        </w:r>
      </w:hyperlink>
    </w:p>
    <w:p w14:paraId="329D5BCA" w14:textId="477D6AB9"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97" w:history="1">
        <w:r w:rsidR="00855EB6" w:rsidRPr="007A2625">
          <w:rPr>
            <w:rStyle w:val="Hyperlink"/>
            <w:noProof/>
          </w:rPr>
          <w:t>2.3.1.3.4. Ostali propisi</w:t>
        </w:r>
        <w:r w:rsidR="00855EB6">
          <w:rPr>
            <w:noProof/>
            <w:webHidden/>
          </w:rPr>
          <w:tab/>
        </w:r>
        <w:r w:rsidR="00855EB6">
          <w:rPr>
            <w:noProof/>
            <w:webHidden/>
          </w:rPr>
          <w:fldChar w:fldCharType="begin"/>
        </w:r>
        <w:r w:rsidR="00855EB6">
          <w:rPr>
            <w:noProof/>
            <w:webHidden/>
          </w:rPr>
          <w:instrText xml:space="preserve"> PAGEREF _Toc527353197 \h </w:instrText>
        </w:r>
        <w:r w:rsidR="00855EB6">
          <w:rPr>
            <w:noProof/>
            <w:webHidden/>
          </w:rPr>
        </w:r>
        <w:r w:rsidR="00855EB6">
          <w:rPr>
            <w:noProof/>
            <w:webHidden/>
          </w:rPr>
          <w:fldChar w:fldCharType="separate"/>
        </w:r>
        <w:r w:rsidR="00416F0E">
          <w:rPr>
            <w:noProof/>
            <w:webHidden/>
          </w:rPr>
          <w:t>47</w:t>
        </w:r>
        <w:r w:rsidR="00855EB6">
          <w:rPr>
            <w:noProof/>
            <w:webHidden/>
          </w:rPr>
          <w:fldChar w:fldCharType="end"/>
        </w:r>
      </w:hyperlink>
    </w:p>
    <w:p w14:paraId="59D71605" w14:textId="2229F89C"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98" w:history="1">
        <w:r w:rsidR="00855EB6" w:rsidRPr="007A2625">
          <w:rPr>
            <w:rStyle w:val="Hyperlink"/>
            <w:noProof/>
          </w:rPr>
          <w:t xml:space="preserve">2.3.2. </w:t>
        </w:r>
        <w:r w:rsidR="00855EB6">
          <w:rPr>
            <w:rStyle w:val="Hyperlink"/>
            <w:noProof/>
          </w:rPr>
          <w:t xml:space="preserve">       </w:t>
        </w:r>
        <w:r w:rsidR="00855EB6" w:rsidRPr="007A2625">
          <w:rPr>
            <w:rStyle w:val="Hyperlink"/>
            <w:noProof/>
          </w:rPr>
          <w:t>Pregled  nacionalnih strategija, programa ili planova od značaja za upravljanje hemikalijama</w:t>
        </w:r>
        <w:r w:rsidR="00855EB6">
          <w:rPr>
            <w:noProof/>
            <w:webHidden/>
          </w:rPr>
          <w:tab/>
        </w:r>
        <w:r w:rsidR="00855EB6">
          <w:rPr>
            <w:noProof/>
            <w:webHidden/>
          </w:rPr>
          <w:fldChar w:fldCharType="begin"/>
        </w:r>
        <w:r w:rsidR="00855EB6">
          <w:rPr>
            <w:noProof/>
            <w:webHidden/>
          </w:rPr>
          <w:instrText xml:space="preserve"> PAGEREF _Toc527353198 \h </w:instrText>
        </w:r>
        <w:r w:rsidR="00855EB6">
          <w:rPr>
            <w:noProof/>
            <w:webHidden/>
          </w:rPr>
        </w:r>
        <w:r w:rsidR="00855EB6">
          <w:rPr>
            <w:noProof/>
            <w:webHidden/>
          </w:rPr>
          <w:fldChar w:fldCharType="separate"/>
        </w:r>
        <w:r w:rsidR="00416F0E">
          <w:rPr>
            <w:noProof/>
            <w:webHidden/>
          </w:rPr>
          <w:t>47</w:t>
        </w:r>
        <w:r w:rsidR="00855EB6">
          <w:rPr>
            <w:noProof/>
            <w:webHidden/>
          </w:rPr>
          <w:fldChar w:fldCharType="end"/>
        </w:r>
      </w:hyperlink>
    </w:p>
    <w:p w14:paraId="2B749C27" w14:textId="5AA51E3C"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199" w:history="1">
        <w:r w:rsidR="00855EB6" w:rsidRPr="007A2625">
          <w:rPr>
            <w:rStyle w:val="Hyperlink"/>
            <w:noProof/>
          </w:rPr>
          <w:t xml:space="preserve">2.3.3. </w:t>
        </w:r>
        <w:r w:rsidR="00855EB6">
          <w:rPr>
            <w:rStyle w:val="Hyperlink"/>
            <w:noProof/>
          </w:rPr>
          <w:t xml:space="preserve">      </w:t>
        </w:r>
        <w:r w:rsidR="00855EB6" w:rsidRPr="007A2625">
          <w:rPr>
            <w:rStyle w:val="Hyperlink"/>
            <w:noProof/>
          </w:rPr>
          <w:t>Evropske integracije</w:t>
        </w:r>
        <w:r w:rsidR="00855EB6">
          <w:rPr>
            <w:noProof/>
            <w:webHidden/>
          </w:rPr>
          <w:tab/>
        </w:r>
        <w:r w:rsidR="00855EB6">
          <w:rPr>
            <w:noProof/>
            <w:webHidden/>
          </w:rPr>
          <w:fldChar w:fldCharType="begin"/>
        </w:r>
        <w:r w:rsidR="00855EB6">
          <w:rPr>
            <w:noProof/>
            <w:webHidden/>
          </w:rPr>
          <w:instrText xml:space="preserve"> PAGEREF _Toc527353199 \h </w:instrText>
        </w:r>
        <w:r w:rsidR="00855EB6">
          <w:rPr>
            <w:noProof/>
            <w:webHidden/>
          </w:rPr>
        </w:r>
        <w:r w:rsidR="00855EB6">
          <w:rPr>
            <w:noProof/>
            <w:webHidden/>
          </w:rPr>
          <w:fldChar w:fldCharType="separate"/>
        </w:r>
        <w:r w:rsidR="00416F0E">
          <w:rPr>
            <w:noProof/>
            <w:webHidden/>
          </w:rPr>
          <w:t>50</w:t>
        </w:r>
        <w:r w:rsidR="00855EB6">
          <w:rPr>
            <w:noProof/>
            <w:webHidden/>
          </w:rPr>
          <w:fldChar w:fldCharType="end"/>
        </w:r>
      </w:hyperlink>
    </w:p>
    <w:p w14:paraId="339751F2" w14:textId="1A9F5B66"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00" w:history="1">
        <w:r w:rsidR="00855EB6" w:rsidRPr="007A2625">
          <w:rPr>
            <w:rStyle w:val="Hyperlink"/>
            <w:noProof/>
          </w:rPr>
          <w:t xml:space="preserve">2.3.3.1. </w:t>
        </w:r>
        <w:r w:rsidR="00855EB6">
          <w:rPr>
            <w:rStyle w:val="Hyperlink"/>
            <w:noProof/>
          </w:rPr>
          <w:t xml:space="preserve">   </w:t>
        </w:r>
        <w:r w:rsidR="00855EB6" w:rsidRPr="007A2625">
          <w:rPr>
            <w:rStyle w:val="Hyperlink"/>
            <w:noProof/>
          </w:rPr>
          <w:t>Usklađenost sa EU propisima o hemikalijama</w:t>
        </w:r>
        <w:r w:rsidR="00855EB6">
          <w:rPr>
            <w:noProof/>
            <w:webHidden/>
          </w:rPr>
          <w:tab/>
        </w:r>
        <w:r w:rsidR="00855EB6">
          <w:rPr>
            <w:noProof/>
            <w:webHidden/>
          </w:rPr>
          <w:fldChar w:fldCharType="begin"/>
        </w:r>
        <w:r w:rsidR="00855EB6">
          <w:rPr>
            <w:noProof/>
            <w:webHidden/>
          </w:rPr>
          <w:instrText xml:space="preserve"> PAGEREF _Toc527353200 \h </w:instrText>
        </w:r>
        <w:r w:rsidR="00855EB6">
          <w:rPr>
            <w:noProof/>
            <w:webHidden/>
          </w:rPr>
        </w:r>
        <w:r w:rsidR="00855EB6">
          <w:rPr>
            <w:noProof/>
            <w:webHidden/>
          </w:rPr>
          <w:fldChar w:fldCharType="separate"/>
        </w:r>
        <w:r w:rsidR="00416F0E">
          <w:rPr>
            <w:noProof/>
            <w:webHidden/>
          </w:rPr>
          <w:t>51</w:t>
        </w:r>
        <w:r w:rsidR="00855EB6">
          <w:rPr>
            <w:noProof/>
            <w:webHidden/>
          </w:rPr>
          <w:fldChar w:fldCharType="end"/>
        </w:r>
      </w:hyperlink>
    </w:p>
    <w:p w14:paraId="4F2F7938" w14:textId="1176325B"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01" w:history="1">
        <w:r w:rsidR="00855EB6" w:rsidRPr="007A2625">
          <w:rPr>
            <w:rStyle w:val="Hyperlink"/>
            <w:noProof/>
          </w:rPr>
          <w:t xml:space="preserve">2.3.4. </w:t>
        </w:r>
        <w:r w:rsidR="00855EB6">
          <w:rPr>
            <w:rStyle w:val="Hyperlink"/>
            <w:noProof/>
          </w:rPr>
          <w:t xml:space="preserve">    </w:t>
        </w:r>
        <w:r w:rsidR="00416F0E">
          <w:rPr>
            <w:rStyle w:val="Hyperlink"/>
            <w:noProof/>
          </w:rPr>
          <w:t xml:space="preserve">  </w:t>
        </w:r>
        <w:r w:rsidR="00855EB6">
          <w:rPr>
            <w:rStyle w:val="Hyperlink"/>
            <w:noProof/>
          </w:rPr>
          <w:t>M</w:t>
        </w:r>
        <w:r w:rsidR="00855EB6" w:rsidRPr="007A2625">
          <w:rPr>
            <w:rStyle w:val="Hyperlink"/>
            <w:noProof/>
          </w:rPr>
          <w:t>ehanizmi za ostvarivanje predviđenih ciljeva</w:t>
        </w:r>
        <w:r w:rsidR="00855EB6">
          <w:rPr>
            <w:noProof/>
            <w:webHidden/>
          </w:rPr>
          <w:tab/>
        </w:r>
        <w:r w:rsidR="00855EB6">
          <w:rPr>
            <w:noProof/>
            <w:webHidden/>
          </w:rPr>
          <w:fldChar w:fldCharType="begin"/>
        </w:r>
        <w:r w:rsidR="00855EB6">
          <w:rPr>
            <w:noProof/>
            <w:webHidden/>
          </w:rPr>
          <w:instrText xml:space="preserve"> PAGEREF _Toc527353201 \h </w:instrText>
        </w:r>
        <w:r w:rsidR="00855EB6">
          <w:rPr>
            <w:noProof/>
            <w:webHidden/>
          </w:rPr>
        </w:r>
        <w:r w:rsidR="00855EB6">
          <w:rPr>
            <w:noProof/>
            <w:webHidden/>
          </w:rPr>
          <w:fldChar w:fldCharType="separate"/>
        </w:r>
        <w:r w:rsidR="00416F0E">
          <w:rPr>
            <w:noProof/>
            <w:webHidden/>
          </w:rPr>
          <w:t>55</w:t>
        </w:r>
        <w:r w:rsidR="00855EB6">
          <w:rPr>
            <w:noProof/>
            <w:webHidden/>
          </w:rPr>
          <w:fldChar w:fldCharType="end"/>
        </w:r>
      </w:hyperlink>
    </w:p>
    <w:p w14:paraId="6B4A3E0C" w14:textId="522A8E59"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02" w:history="1">
        <w:r w:rsidR="00855EB6" w:rsidRPr="007A2625">
          <w:rPr>
            <w:rStyle w:val="Hyperlink"/>
            <w:noProof/>
          </w:rPr>
          <w:t>2.4.</w:t>
        </w:r>
        <w:r w:rsidR="00855EB6">
          <w:rPr>
            <w:rFonts w:asciiTheme="minorHAnsi" w:eastAsiaTheme="minorEastAsia" w:hAnsiTheme="minorHAnsi" w:cstheme="minorBidi"/>
            <w:noProof/>
          </w:rPr>
          <w:tab/>
        </w:r>
        <w:r w:rsidR="00855EB6" w:rsidRPr="007A2625">
          <w:rPr>
            <w:rStyle w:val="Hyperlink"/>
            <w:noProof/>
          </w:rPr>
          <w:t>MINISTARSTVA, AGENCIJE I DRUGE DRŽAVNE INSTITUCIJE</w:t>
        </w:r>
        <w:r w:rsidR="00855EB6">
          <w:rPr>
            <w:noProof/>
            <w:webHidden/>
          </w:rPr>
          <w:tab/>
        </w:r>
        <w:r w:rsidR="00855EB6">
          <w:rPr>
            <w:noProof/>
            <w:webHidden/>
          </w:rPr>
          <w:fldChar w:fldCharType="begin"/>
        </w:r>
        <w:r w:rsidR="00855EB6">
          <w:rPr>
            <w:noProof/>
            <w:webHidden/>
          </w:rPr>
          <w:instrText xml:space="preserve"> PAGEREF _Toc527353202 \h </w:instrText>
        </w:r>
        <w:r w:rsidR="00855EB6">
          <w:rPr>
            <w:noProof/>
            <w:webHidden/>
          </w:rPr>
        </w:r>
        <w:r w:rsidR="00855EB6">
          <w:rPr>
            <w:noProof/>
            <w:webHidden/>
          </w:rPr>
          <w:fldChar w:fldCharType="separate"/>
        </w:r>
        <w:r w:rsidR="00416F0E">
          <w:rPr>
            <w:noProof/>
            <w:webHidden/>
          </w:rPr>
          <w:t>57</w:t>
        </w:r>
        <w:r w:rsidR="00855EB6">
          <w:rPr>
            <w:noProof/>
            <w:webHidden/>
          </w:rPr>
          <w:fldChar w:fldCharType="end"/>
        </w:r>
      </w:hyperlink>
    </w:p>
    <w:p w14:paraId="1A3B30FF" w14:textId="0796E85B"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03" w:history="1">
        <w:r w:rsidR="00855EB6" w:rsidRPr="007A2625">
          <w:rPr>
            <w:rStyle w:val="Hyperlink"/>
            <w:noProof/>
          </w:rPr>
          <w:t xml:space="preserve">2.4.1. </w:t>
        </w:r>
        <w:r w:rsidR="00855EB6">
          <w:rPr>
            <w:rStyle w:val="Hyperlink"/>
            <w:noProof/>
          </w:rPr>
          <w:t xml:space="preserve">    </w:t>
        </w:r>
        <w:r w:rsidR="00855EB6" w:rsidRPr="007A2625">
          <w:rPr>
            <w:rStyle w:val="Hyperlink"/>
            <w:noProof/>
          </w:rPr>
          <w:t>Nadležnosti relevantnih državnih organa i institucija u pogledu upravljanja hemikalijama</w:t>
        </w:r>
        <w:r w:rsidR="00855EB6">
          <w:rPr>
            <w:noProof/>
            <w:webHidden/>
          </w:rPr>
          <w:tab/>
        </w:r>
        <w:r w:rsidR="00855EB6">
          <w:rPr>
            <w:noProof/>
            <w:webHidden/>
          </w:rPr>
          <w:fldChar w:fldCharType="begin"/>
        </w:r>
        <w:r w:rsidR="00855EB6">
          <w:rPr>
            <w:noProof/>
            <w:webHidden/>
          </w:rPr>
          <w:instrText xml:space="preserve"> PAGEREF _Toc527353203 \h </w:instrText>
        </w:r>
        <w:r w:rsidR="00855EB6">
          <w:rPr>
            <w:noProof/>
            <w:webHidden/>
          </w:rPr>
        </w:r>
        <w:r w:rsidR="00855EB6">
          <w:rPr>
            <w:noProof/>
            <w:webHidden/>
          </w:rPr>
          <w:fldChar w:fldCharType="separate"/>
        </w:r>
        <w:r w:rsidR="00416F0E">
          <w:rPr>
            <w:noProof/>
            <w:webHidden/>
          </w:rPr>
          <w:t>57</w:t>
        </w:r>
        <w:r w:rsidR="00855EB6">
          <w:rPr>
            <w:noProof/>
            <w:webHidden/>
          </w:rPr>
          <w:fldChar w:fldCharType="end"/>
        </w:r>
      </w:hyperlink>
    </w:p>
    <w:p w14:paraId="6BD369FF" w14:textId="25B3E100"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04" w:history="1">
        <w:r w:rsidR="00855EB6" w:rsidRPr="007A2625">
          <w:rPr>
            <w:rStyle w:val="Hyperlink"/>
            <w:noProof/>
          </w:rPr>
          <w:t xml:space="preserve">2.4.2. </w:t>
        </w:r>
        <w:r w:rsidR="00855EB6">
          <w:rPr>
            <w:rStyle w:val="Hyperlink"/>
            <w:noProof/>
          </w:rPr>
          <w:t xml:space="preserve">   </w:t>
        </w:r>
        <w:r w:rsidR="00855EB6" w:rsidRPr="007A2625">
          <w:rPr>
            <w:rStyle w:val="Hyperlink"/>
            <w:noProof/>
          </w:rPr>
          <w:t>Administrativni kapaciteti</w:t>
        </w:r>
        <w:r w:rsidR="00855EB6">
          <w:rPr>
            <w:noProof/>
            <w:webHidden/>
          </w:rPr>
          <w:tab/>
        </w:r>
        <w:r w:rsidR="00855EB6">
          <w:rPr>
            <w:noProof/>
            <w:webHidden/>
          </w:rPr>
          <w:fldChar w:fldCharType="begin"/>
        </w:r>
        <w:r w:rsidR="00855EB6">
          <w:rPr>
            <w:noProof/>
            <w:webHidden/>
          </w:rPr>
          <w:instrText xml:space="preserve"> PAGEREF _Toc527353204 \h </w:instrText>
        </w:r>
        <w:r w:rsidR="00855EB6">
          <w:rPr>
            <w:noProof/>
            <w:webHidden/>
          </w:rPr>
        </w:r>
        <w:r w:rsidR="00855EB6">
          <w:rPr>
            <w:noProof/>
            <w:webHidden/>
          </w:rPr>
          <w:fldChar w:fldCharType="separate"/>
        </w:r>
        <w:r w:rsidR="00416F0E">
          <w:rPr>
            <w:noProof/>
            <w:webHidden/>
          </w:rPr>
          <w:t>59</w:t>
        </w:r>
        <w:r w:rsidR="00855EB6">
          <w:rPr>
            <w:noProof/>
            <w:webHidden/>
          </w:rPr>
          <w:fldChar w:fldCharType="end"/>
        </w:r>
      </w:hyperlink>
    </w:p>
    <w:p w14:paraId="289640CB" w14:textId="371CED71"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05" w:history="1">
        <w:r w:rsidR="00855EB6" w:rsidRPr="007A2625">
          <w:rPr>
            <w:rStyle w:val="Hyperlink"/>
            <w:noProof/>
          </w:rPr>
          <w:t>2.5.</w:t>
        </w:r>
        <w:r w:rsidR="00855EB6">
          <w:rPr>
            <w:rFonts w:asciiTheme="minorHAnsi" w:eastAsiaTheme="minorEastAsia" w:hAnsiTheme="minorHAnsi" w:cstheme="minorBidi"/>
            <w:noProof/>
          </w:rPr>
          <w:tab/>
        </w:r>
        <w:r w:rsidR="00855EB6" w:rsidRPr="007A2625">
          <w:rPr>
            <w:rStyle w:val="Hyperlink"/>
            <w:noProof/>
          </w:rPr>
          <w:t>AKTIVNOSTI INDUSTRIJE, CIVILNOG SEKTORA, STRUKOVNIH I ISTRAŽIVAČKIH ORGANIZACIJA</w:t>
        </w:r>
        <w:r w:rsidR="00855EB6">
          <w:rPr>
            <w:noProof/>
            <w:webHidden/>
          </w:rPr>
          <w:tab/>
        </w:r>
        <w:r w:rsidR="00855EB6">
          <w:rPr>
            <w:noProof/>
            <w:webHidden/>
          </w:rPr>
          <w:fldChar w:fldCharType="begin"/>
        </w:r>
        <w:r w:rsidR="00855EB6">
          <w:rPr>
            <w:noProof/>
            <w:webHidden/>
          </w:rPr>
          <w:instrText xml:space="preserve"> PAGEREF _Toc527353205 \h </w:instrText>
        </w:r>
        <w:r w:rsidR="00855EB6">
          <w:rPr>
            <w:noProof/>
            <w:webHidden/>
          </w:rPr>
        </w:r>
        <w:r w:rsidR="00855EB6">
          <w:rPr>
            <w:noProof/>
            <w:webHidden/>
          </w:rPr>
          <w:fldChar w:fldCharType="separate"/>
        </w:r>
        <w:r w:rsidR="00416F0E">
          <w:rPr>
            <w:noProof/>
            <w:webHidden/>
          </w:rPr>
          <w:t>61</w:t>
        </w:r>
        <w:r w:rsidR="00855EB6">
          <w:rPr>
            <w:noProof/>
            <w:webHidden/>
          </w:rPr>
          <w:fldChar w:fldCharType="end"/>
        </w:r>
      </w:hyperlink>
    </w:p>
    <w:p w14:paraId="2740679E" w14:textId="77E9AFCD"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06" w:history="1">
        <w:r w:rsidR="00855EB6" w:rsidRPr="007A2625">
          <w:rPr>
            <w:rStyle w:val="Hyperlink"/>
            <w:noProof/>
          </w:rPr>
          <w:t xml:space="preserve">2.5.1. </w:t>
        </w:r>
        <w:r w:rsidR="00855EB6">
          <w:rPr>
            <w:rStyle w:val="Hyperlink"/>
            <w:noProof/>
          </w:rPr>
          <w:t xml:space="preserve">   </w:t>
        </w:r>
        <w:r w:rsidR="00855EB6" w:rsidRPr="007A2625">
          <w:rPr>
            <w:rStyle w:val="Hyperlink"/>
            <w:noProof/>
          </w:rPr>
          <w:t>Aktivnosti industrijskih asocijacija</w:t>
        </w:r>
        <w:r w:rsidR="00855EB6">
          <w:rPr>
            <w:noProof/>
            <w:webHidden/>
          </w:rPr>
          <w:tab/>
        </w:r>
        <w:r w:rsidR="00855EB6">
          <w:rPr>
            <w:noProof/>
            <w:webHidden/>
          </w:rPr>
          <w:fldChar w:fldCharType="begin"/>
        </w:r>
        <w:r w:rsidR="00855EB6">
          <w:rPr>
            <w:noProof/>
            <w:webHidden/>
          </w:rPr>
          <w:instrText xml:space="preserve"> PAGEREF _Toc527353206 \h </w:instrText>
        </w:r>
        <w:r w:rsidR="00855EB6">
          <w:rPr>
            <w:noProof/>
            <w:webHidden/>
          </w:rPr>
        </w:r>
        <w:r w:rsidR="00855EB6">
          <w:rPr>
            <w:noProof/>
            <w:webHidden/>
          </w:rPr>
          <w:fldChar w:fldCharType="separate"/>
        </w:r>
        <w:r w:rsidR="00416F0E">
          <w:rPr>
            <w:noProof/>
            <w:webHidden/>
          </w:rPr>
          <w:t>61</w:t>
        </w:r>
        <w:r w:rsidR="00855EB6">
          <w:rPr>
            <w:noProof/>
            <w:webHidden/>
          </w:rPr>
          <w:fldChar w:fldCharType="end"/>
        </w:r>
      </w:hyperlink>
    </w:p>
    <w:p w14:paraId="6CD3D0E4" w14:textId="14503E61"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07" w:history="1">
        <w:r w:rsidR="00855EB6" w:rsidRPr="007A2625">
          <w:rPr>
            <w:rStyle w:val="Hyperlink"/>
            <w:noProof/>
          </w:rPr>
          <w:t xml:space="preserve">2.5.2. </w:t>
        </w:r>
        <w:r w:rsidR="00855EB6">
          <w:rPr>
            <w:rStyle w:val="Hyperlink"/>
            <w:noProof/>
          </w:rPr>
          <w:t xml:space="preserve">   </w:t>
        </w:r>
        <w:r w:rsidR="00855EB6" w:rsidRPr="007A2625">
          <w:rPr>
            <w:rStyle w:val="Hyperlink"/>
            <w:noProof/>
          </w:rPr>
          <w:t>Aktivnosti civilnog sektora</w:t>
        </w:r>
        <w:r w:rsidR="00855EB6">
          <w:rPr>
            <w:noProof/>
            <w:webHidden/>
          </w:rPr>
          <w:tab/>
        </w:r>
        <w:r w:rsidR="00855EB6">
          <w:rPr>
            <w:noProof/>
            <w:webHidden/>
          </w:rPr>
          <w:fldChar w:fldCharType="begin"/>
        </w:r>
        <w:r w:rsidR="00855EB6">
          <w:rPr>
            <w:noProof/>
            <w:webHidden/>
          </w:rPr>
          <w:instrText xml:space="preserve"> PAGEREF _Toc527353207 \h </w:instrText>
        </w:r>
        <w:r w:rsidR="00855EB6">
          <w:rPr>
            <w:noProof/>
            <w:webHidden/>
          </w:rPr>
        </w:r>
        <w:r w:rsidR="00855EB6">
          <w:rPr>
            <w:noProof/>
            <w:webHidden/>
          </w:rPr>
          <w:fldChar w:fldCharType="separate"/>
        </w:r>
        <w:r w:rsidR="00416F0E">
          <w:rPr>
            <w:noProof/>
            <w:webHidden/>
          </w:rPr>
          <w:t>61</w:t>
        </w:r>
        <w:r w:rsidR="00855EB6">
          <w:rPr>
            <w:noProof/>
            <w:webHidden/>
          </w:rPr>
          <w:fldChar w:fldCharType="end"/>
        </w:r>
      </w:hyperlink>
    </w:p>
    <w:p w14:paraId="1501B963" w14:textId="32072A27"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08" w:history="1">
        <w:r w:rsidR="00855EB6" w:rsidRPr="007A2625">
          <w:rPr>
            <w:rStyle w:val="Hyperlink"/>
            <w:noProof/>
          </w:rPr>
          <w:t xml:space="preserve">2.5.3. </w:t>
        </w:r>
        <w:r w:rsidR="00855EB6">
          <w:rPr>
            <w:rStyle w:val="Hyperlink"/>
            <w:noProof/>
          </w:rPr>
          <w:t xml:space="preserve">   </w:t>
        </w:r>
        <w:r w:rsidR="00855EB6" w:rsidRPr="007A2625">
          <w:rPr>
            <w:rStyle w:val="Hyperlink"/>
            <w:noProof/>
          </w:rPr>
          <w:t>Aktivnosti strukovnih udruženja</w:t>
        </w:r>
        <w:r w:rsidR="00855EB6">
          <w:rPr>
            <w:noProof/>
            <w:webHidden/>
          </w:rPr>
          <w:tab/>
        </w:r>
        <w:r w:rsidR="00855EB6">
          <w:rPr>
            <w:noProof/>
            <w:webHidden/>
          </w:rPr>
          <w:fldChar w:fldCharType="begin"/>
        </w:r>
        <w:r w:rsidR="00855EB6">
          <w:rPr>
            <w:noProof/>
            <w:webHidden/>
          </w:rPr>
          <w:instrText xml:space="preserve"> PAGEREF _Toc527353208 \h </w:instrText>
        </w:r>
        <w:r w:rsidR="00855EB6">
          <w:rPr>
            <w:noProof/>
            <w:webHidden/>
          </w:rPr>
        </w:r>
        <w:r w:rsidR="00855EB6">
          <w:rPr>
            <w:noProof/>
            <w:webHidden/>
          </w:rPr>
          <w:fldChar w:fldCharType="separate"/>
        </w:r>
        <w:r w:rsidR="00416F0E">
          <w:rPr>
            <w:noProof/>
            <w:webHidden/>
          </w:rPr>
          <w:t>62</w:t>
        </w:r>
        <w:r w:rsidR="00855EB6">
          <w:rPr>
            <w:noProof/>
            <w:webHidden/>
          </w:rPr>
          <w:fldChar w:fldCharType="end"/>
        </w:r>
      </w:hyperlink>
    </w:p>
    <w:p w14:paraId="7E31B67F" w14:textId="23410C3F"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09" w:history="1">
        <w:r w:rsidR="00855EB6" w:rsidRPr="007A2625">
          <w:rPr>
            <w:rStyle w:val="Hyperlink"/>
            <w:noProof/>
          </w:rPr>
          <w:t xml:space="preserve">2.5.4. </w:t>
        </w:r>
        <w:r w:rsidR="00855EB6">
          <w:rPr>
            <w:rStyle w:val="Hyperlink"/>
            <w:noProof/>
          </w:rPr>
          <w:t xml:space="preserve">   </w:t>
        </w:r>
        <w:r w:rsidR="00855EB6" w:rsidRPr="007A2625">
          <w:rPr>
            <w:rStyle w:val="Hyperlink"/>
            <w:noProof/>
          </w:rPr>
          <w:t>Aktivnosti naučno-istraživačkog sektora</w:t>
        </w:r>
        <w:r w:rsidR="00855EB6">
          <w:rPr>
            <w:noProof/>
            <w:webHidden/>
          </w:rPr>
          <w:tab/>
        </w:r>
        <w:r w:rsidR="00855EB6">
          <w:rPr>
            <w:noProof/>
            <w:webHidden/>
          </w:rPr>
          <w:fldChar w:fldCharType="begin"/>
        </w:r>
        <w:r w:rsidR="00855EB6">
          <w:rPr>
            <w:noProof/>
            <w:webHidden/>
          </w:rPr>
          <w:instrText xml:space="preserve"> PAGEREF _Toc527353209 \h </w:instrText>
        </w:r>
        <w:r w:rsidR="00855EB6">
          <w:rPr>
            <w:noProof/>
            <w:webHidden/>
          </w:rPr>
        </w:r>
        <w:r w:rsidR="00855EB6">
          <w:rPr>
            <w:noProof/>
            <w:webHidden/>
          </w:rPr>
          <w:fldChar w:fldCharType="separate"/>
        </w:r>
        <w:r w:rsidR="00416F0E">
          <w:rPr>
            <w:noProof/>
            <w:webHidden/>
          </w:rPr>
          <w:t>62</w:t>
        </w:r>
        <w:r w:rsidR="00855EB6">
          <w:rPr>
            <w:noProof/>
            <w:webHidden/>
          </w:rPr>
          <w:fldChar w:fldCharType="end"/>
        </w:r>
      </w:hyperlink>
    </w:p>
    <w:p w14:paraId="5433146E" w14:textId="3D2C30EA"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10" w:history="1">
        <w:r w:rsidR="00855EB6" w:rsidRPr="007A2625">
          <w:rPr>
            <w:rStyle w:val="Hyperlink"/>
            <w:noProof/>
          </w:rPr>
          <w:t>2.6.</w:t>
        </w:r>
        <w:r w:rsidR="00855EB6">
          <w:rPr>
            <w:rFonts w:asciiTheme="minorHAnsi" w:eastAsiaTheme="minorEastAsia" w:hAnsiTheme="minorHAnsi" w:cstheme="minorBidi"/>
            <w:noProof/>
          </w:rPr>
          <w:tab/>
        </w:r>
        <w:r w:rsidR="00855EB6" w:rsidRPr="007A2625">
          <w:rPr>
            <w:rStyle w:val="Hyperlink"/>
            <w:noProof/>
          </w:rPr>
          <w:t>MEĐURESORSKA SARADNJA I KOORDINACIONI MEHANIZMI</w:t>
        </w:r>
        <w:r w:rsidR="00855EB6">
          <w:rPr>
            <w:noProof/>
            <w:webHidden/>
          </w:rPr>
          <w:tab/>
        </w:r>
        <w:r w:rsidR="00855EB6">
          <w:rPr>
            <w:noProof/>
            <w:webHidden/>
          </w:rPr>
          <w:fldChar w:fldCharType="begin"/>
        </w:r>
        <w:r w:rsidR="00855EB6">
          <w:rPr>
            <w:noProof/>
            <w:webHidden/>
          </w:rPr>
          <w:instrText xml:space="preserve"> PAGEREF _Toc527353210 \h </w:instrText>
        </w:r>
        <w:r w:rsidR="00855EB6">
          <w:rPr>
            <w:noProof/>
            <w:webHidden/>
          </w:rPr>
        </w:r>
        <w:r w:rsidR="00855EB6">
          <w:rPr>
            <w:noProof/>
            <w:webHidden/>
          </w:rPr>
          <w:fldChar w:fldCharType="separate"/>
        </w:r>
        <w:r w:rsidR="00416F0E">
          <w:rPr>
            <w:noProof/>
            <w:webHidden/>
          </w:rPr>
          <w:t>63</w:t>
        </w:r>
        <w:r w:rsidR="00855EB6">
          <w:rPr>
            <w:noProof/>
            <w:webHidden/>
          </w:rPr>
          <w:fldChar w:fldCharType="end"/>
        </w:r>
      </w:hyperlink>
    </w:p>
    <w:p w14:paraId="46A3A830" w14:textId="34092B46"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11" w:history="1">
        <w:r w:rsidR="00855EB6" w:rsidRPr="007A2625">
          <w:rPr>
            <w:rStyle w:val="Hyperlink"/>
            <w:noProof/>
          </w:rPr>
          <w:t xml:space="preserve">2.6.1. </w:t>
        </w:r>
        <w:r w:rsidR="00855EB6">
          <w:rPr>
            <w:rStyle w:val="Hyperlink"/>
            <w:noProof/>
          </w:rPr>
          <w:t xml:space="preserve">   </w:t>
        </w:r>
        <w:r w:rsidR="00855EB6" w:rsidRPr="007A2625">
          <w:rPr>
            <w:rStyle w:val="Hyperlink"/>
            <w:noProof/>
          </w:rPr>
          <w:t>Međuresorska saradnja i koordinacioni mehanizmi  pri izradi i realizaciji strategija</w:t>
        </w:r>
        <w:r w:rsidR="00855EB6">
          <w:rPr>
            <w:noProof/>
            <w:webHidden/>
          </w:rPr>
          <w:tab/>
        </w:r>
        <w:r w:rsidR="00855EB6">
          <w:rPr>
            <w:noProof/>
            <w:webHidden/>
          </w:rPr>
          <w:fldChar w:fldCharType="begin"/>
        </w:r>
        <w:r w:rsidR="00855EB6">
          <w:rPr>
            <w:noProof/>
            <w:webHidden/>
          </w:rPr>
          <w:instrText xml:space="preserve"> PAGEREF _Toc527353211 \h </w:instrText>
        </w:r>
        <w:r w:rsidR="00855EB6">
          <w:rPr>
            <w:noProof/>
            <w:webHidden/>
          </w:rPr>
        </w:r>
        <w:r w:rsidR="00855EB6">
          <w:rPr>
            <w:noProof/>
            <w:webHidden/>
          </w:rPr>
          <w:fldChar w:fldCharType="separate"/>
        </w:r>
        <w:r w:rsidR="00416F0E">
          <w:rPr>
            <w:noProof/>
            <w:webHidden/>
          </w:rPr>
          <w:t>63</w:t>
        </w:r>
        <w:r w:rsidR="00855EB6">
          <w:rPr>
            <w:noProof/>
            <w:webHidden/>
          </w:rPr>
          <w:fldChar w:fldCharType="end"/>
        </w:r>
      </w:hyperlink>
    </w:p>
    <w:p w14:paraId="0F780651" w14:textId="595B7E27"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12" w:history="1">
        <w:r w:rsidR="00855EB6" w:rsidRPr="007A2625">
          <w:rPr>
            <w:rStyle w:val="Hyperlink"/>
            <w:noProof/>
          </w:rPr>
          <w:t xml:space="preserve">2.6.2. </w:t>
        </w:r>
        <w:r w:rsidR="00855EB6">
          <w:rPr>
            <w:rStyle w:val="Hyperlink"/>
            <w:noProof/>
          </w:rPr>
          <w:t xml:space="preserve">   </w:t>
        </w:r>
        <w:r w:rsidR="00855EB6" w:rsidRPr="007A2625">
          <w:rPr>
            <w:rStyle w:val="Hyperlink"/>
            <w:noProof/>
          </w:rPr>
          <w:t>Koordinacija procesom evropske integracije</w:t>
        </w:r>
        <w:r w:rsidR="00855EB6">
          <w:rPr>
            <w:noProof/>
            <w:webHidden/>
          </w:rPr>
          <w:tab/>
        </w:r>
        <w:r w:rsidR="00855EB6">
          <w:rPr>
            <w:noProof/>
            <w:webHidden/>
          </w:rPr>
          <w:fldChar w:fldCharType="begin"/>
        </w:r>
        <w:r w:rsidR="00855EB6">
          <w:rPr>
            <w:noProof/>
            <w:webHidden/>
          </w:rPr>
          <w:instrText xml:space="preserve"> PAGEREF _Toc527353212 \h </w:instrText>
        </w:r>
        <w:r w:rsidR="00855EB6">
          <w:rPr>
            <w:noProof/>
            <w:webHidden/>
          </w:rPr>
        </w:r>
        <w:r w:rsidR="00855EB6">
          <w:rPr>
            <w:noProof/>
            <w:webHidden/>
          </w:rPr>
          <w:fldChar w:fldCharType="separate"/>
        </w:r>
        <w:r w:rsidR="00416F0E">
          <w:rPr>
            <w:noProof/>
            <w:webHidden/>
          </w:rPr>
          <w:t>63</w:t>
        </w:r>
        <w:r w:rsidR="00855EB6">
          <w:rPr>
            <w:noProof/>
            <w:webHidden/>
          </w:rPr>
          <w:fldChar w:fldCharType="end"/>
        </w:r>
      </w:hyperlink>
    </w:p>
    <w:p w14:paraId="0A9712D7" w14:textId="4F41E7F4"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13" w:history="1">
        <w:r w:rsidR="00855EB6" w:rsidRPr="007A2625">
          <w:rPr>
            <w:rStyle w:val="Hyperlink"/>
            <w:noProof/>
          </w:rPr>
          <w:t xml:space="preserve">2.6.3. </w:t>
        </w:r>
        <w:r w:rsidR="00855EB6">
          <w:rPr>
            <w:rStyle w:val="Hyperlink"/>
            <w:noProof/>
          </w:rPr>
          <w:t xml:space="preserve">  </w:t>
        </w:r>
        <w:r w:rsidR="00855EB6" w:rsidRPr="007A2625">
          <w:rPr>
            <w:rStyle w:val="Hyperlink"/>
            <w:noProof/>
          </w:rPr>
          <w:t>Nacionalna savjetodavna tijela</w:t>
        </w:r>
        <w:r w:rsidR="00855EB6">
          <w:rPr>
            <w:noProof/>
            <w:webHidden/>
          </w:rPr>
          <w:tab/>
        </w:r>
        <w:r w:rsidR="00855EB6">
          <w:rPr>
            <w:noProof/>
            <w:webHidden/>
          </w:rPr>
          <w:fldChar w:fldCharType="begin"/>
        </w:r>
        <w:r w:rsidR="00855EB6">
          <w:rPr>
            <w:noProof/>
            <w:webHidden/>
          </w:rPr>
          <w:instrText xml:space="preserve"> PAGEREF _Toc527353213 \h </w:instrText>
        </w:r>
        <w:r w:rsidR="00855EB6">
          <w:rPr>
            <w:noProof/>
            <w:webHidden/>
          </w:rPr>
        </w:r>
        <w:r w:rsidR="00855EB6">
          <w:rPr>
            <w:noProof/>
            <w:webHidden/>
          </w:rPr>
          <w:fldChar w:fldCharType="separate"/>
        </w:r>
        <w:r w:rsidR="00416F0E">
          <w:rPr>
            <w:noProof/>
            <w:webHidden/>
          </w:rPr>
          <w:t>64</w:t>
        </w:r>
        <w:r w:rsidR="00855EB6">
          <w:rPr>
            <w:noProof/>
            <w:webHidden/>
          </w:rPr>
          <w:fldChar w:fldCharType="end"/>
        </w:r>
      </w:hyperlink>
    </w:p>
    <w:p w14:paraId="60BA8B89" w14:textId="75D07BC9"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14" w:history="1">
        <w:r w:rsidR="00855EB6" w:rsidRPr="007A2625">
          <w:rPr>
            <w:rStyle w:val="Hyperlink"/>
            <w:noProof/>
          </w:rPr>
          <w:t xml:space="preserve">2.6.4. </w:t>
        </w:r>
        <w:r w:rsidR="00855EB6">
          <w:rPr>
            <w:rStyle w:val="Hyperlink"/>
            <w:noProof/>
          </w:rPr>
          <w:t xml:space="preserve">  </w:t>
        </w:r>
        <w:r w:rsidR="00855EB6" w:rsidRPr="007A2625">
          <w:rPr>
            <w:rStyle w:val="Hyperlink"/>
            <w:noProof/>
          </w:rPr>
          <w:t>Koordinaciono tijelo za nadzor na tržištu</w:t>
        </w:r>
        <w:r w:rsidR="00855EB6">
          <w:rPr>
            <w:noProof/>
            <w:webHidden/>
          </w:rPr>
          <w:tab/>
        </w:r>
        <w:r w:rsidR="00855EB6">
          <w:rPr>
            <w:noProof/>
            <w:webHidden/>
          </w:rPr>
          <w:fldChar w:fldCharType="begin"/>
        </w:r>
        <w:r w:rsidR="00855EB6">
          <w:rPr>
            <w:noProof/>
            <w:webHidden/>
          </w:rPr>
          <w:instrText xml:space="preserve"> PAGEREF _Toc527353214 \h </w:instrText>
        </w:r>
        <w:r w:rsidR="00855EB6">
          <w:rPr>
            <w:noProof/>
            <w:webHidden/>
          </w:rPr>
        </w:r>
        <w:r w:rsidR="00855EB6">
          <w:rPr>
            <w:noProof/>
            <w:webHidden/>
          </w:rPr>
          <w:fldChar w:fldCharType="separate"/>
        </w:r>
        <w:r w:rsidR="00416F0E">
          <w:rPr>
            <w:noProof/>
            <w:webHidden/>
          </w:rPr>
          <w:t>64</w:t>
        </w:r>
        <w:r w:rsidR="00855EB6">
          <w:rPr>
            <w:noProof/>
            <w:webHidden/>
          </w:rPr>
          <w:fldChar w:fldCharType="end"/>
        </w:r>
      </w:hyperlink>
    </w:p>
    <w:p w14:paraId="6F87E0E8" w14:textId="53E2030B"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15" w:history="1">
        <w:r w:rsidR="00855EB6" w:rsidRPr="007A2625">
          <w:rPr>
            <w:rStyle w:val="Hyperlink"/>
            <w:noProof/>
          </w:rPr>
          <w:t>2.7.</w:t>
        </w:r>
        <w:r w:rsidR="00855EB6">
          <w:rPr>
            <w:rFonts w:asciiTheme="minorHAnsi" w:eastAsiaTheme="minorEastAsia" w:hAnsiTheme="minorHAnsi" w:cstheme="minorBidi"/>
            <w:noProof/>
          </w:rPr>
          <w:tab/>
        </w:r>
        <w:r w:rsidR="00855EB6" w:rsidRPr="007A2625">
          <w:rPr>
            <w:rStyle w:val="Hyperlink"/>
            <w:noProof/>
          </w:rPr>
          <w:t>UPRAVLJANJE INFORMACIJAMA, PRISTUP I KORIŠĆENJE</w:t>
        </w:r>
        <w:r w:rsidR="00855EB6">
          <w:rPr>
            <w:noProof/>
            <w:webHidden/>
          </w:rPr>
          <w:tab/>
        </w:r>
        <w:r w:rsidR="00855EB6">
          <w:rPr>
            <w:noProof/>
            <w:webHidden/>
          </w:rPr>
          <w:fldChar w:fldCharType="begin"/>
        </w:r>
        <w:r w:rsidR="00855EB6">
          <w:rPr>
            <w:noProof/>
            <w:webHidden/>
          </w:rPr>
          <w:instrText xml:space="preserve"> PAGEREF _Toc527353215 \h </w:instrText>
        </w:r>
        <w:r w:rsidR="00855EB6">
          <w:rPr>
            <w:noProof/>
            <w:webHidden/>
          </w:rPr>
        </w:r>
        <w:r w:rsidR="00855EB6">
          <w:rPr>
            <w:noProof/>
            <w:webHidden/>
          </w:rPr>
          <w:fldChar w:fldCharType="separate"/>
        </w:r>
        <w:r w:rsidR="00416F0E">
          <w:rPr>
            <w:noProof/>
            <w:webHidden/>
          </w:rPr>
          <w:t>65</w:t>
        </w:r>
        <w:r w:rsidR="00855EB6">
          <w:rPr>
            <w:noProof/>
            <w:webHidden/>
          </w:rPr>
          <w:fldChar w:fldCharType="end"/>
        </w:r>
      </w:hyperlink>
    </w:p>
    <w:p w14:paraId="4ACC11D3" w14:textId="2D44ED3F"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16" w:history="1">
        <w:r w:rsidR="00855EB6" w:rsidRPr="007A2625">
          <w:rPr>
            <w:rStyle w:val="Hyperlink"/>
            <w:noProof/>
          </w:rPr>
          <w:t xml:space="preserve">2.7.1. </w:t>
        </w:r>
        <w:r w:rsidR="00855EB6">
          <w:rPr>
            <w:rStyle w:val="Hyperlink"/>
            <w:noProof/>
          </w:rPr>
          <w:t xml:space="preserve">  </w:t>
        </w:r>
        <w:r w:rsidR="00855EB6" w:rsidRPr="007A2625">
          <w:rPr>
            <w:rStyle w:val="Hyperlink"/>
            <w:noProof/>
          </w:rPr>
          <w:t>Upravljanje informacijama</w:t>
        </w:r>
        <w:r w:rsidR="00855EB6">
          <w:rPr>
            <w:noProof/>
            <w:webHidden/>
          </w:rPr>
          <w:tab/>
        </w:r>
        <w:r w:rsidR="00855EB6">
          <w:rPr>
            <w:noProof/>
            <w:webHidden/>
          </w:rPr>
          <w:fldChar w:fldCharType="begin"/>
        </w:r>
        <w:r w:rsidR="00855EB6">
          <w:rPr>
            <w:noProof/>
            <w:webHidden/>
          </w:rPr>
          <w:instrText xml:space="preserve"> PAGEREF _Toc527353216 \h </w:instrText>
        </w:r>
        <w:r w:rsidR="00855EB6">
          <w:rPr>
            <w:noProof/>
            <w:webHidden/>
          </w:rPr>
        </w:r>
        <w:r w:rsidR="00855EB6">
          <w:rPr>
            <w:noProof/>
            <w:webHidden/>
          </w:rPr>
          <w:fldChar w:fldCharType="separate"/>
        </w:r>
        <w:r w:rsidR="00416F0E">
          <w:rPr>
            <w:noProof/>
            <w:webHidden/>
          </w:rPr>
          <w:t>65</w:t>
        </w:r>
        <w:r w:rsidR="00855EB6">
          <w:rPr>
            <w:noProof/>
            <w:webHidden/>
          </w:rPr>
          <w:fldChar w:fldCharType="end"/>
        </w:r>
      </w:hyperlink>
    </w:p>
    <w:p w14:paraId="11D4BB13" w14:textId="77960C92"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17" w:history="1">
        <w:r w:rsidR="00855EB6" w:rsidRPr="007A2625">
          <w:rPr>
            <w:rStyle w:val="Hyperlink"/>
            <w:noProof/>
          </w:rPr>
          <w:t xml:space="preserve">2.7.2. </w:t>
        </w:r>
        <w:r w:rsidR="00855EB6">
          <w:rPr>
            <w:rStyle w:val="Hyperlink"/>
            <w:noProof/>
          </w:rPr>
          <w:t xml:space="preserve">  </w:t>
        </w:r>
        <w:r w:rsidR="00855EB6" w:rsidRPr="007A2625">
          <w:rPr>
            <w:rStyle w:val="Hyperlink"/>
            <w:noProof/>
          </w:rPr>
          <w:t>Informisanje javnosti i  pristup informacijama o životnoj sredini</w:t>
        </w:r>
        <w:r w:rsidR="00855EB6">
          <w:rPr>
            <w:noProof/>
            <w:webHidden/>
          </w:rPr>
          <w:tab/>
        </w:r>
        <w:r w:rsidR="00855EB6">
          <w:rPr>
            <w:noProof/>
            <w:webHidden/>
          </w:rPr>
          <w:fldChar w:fldCharType="begin"/>
        </w:r>
        <w:r w:rsidR="00855EB6">
          <w:rPr>
            <w:noProof/>
            <w:webHidden/>
          </w:rPr>
          <w:instrText xml:space="preserve"> PAGEREF _Toc527353217 \h </w:instrText>
        </w:r>
        <w:r w:rsidR="00855EB6">
          <w:rPr>
            <w:noProof/>
            <w:webHidden/>
          </w:rPr>
        </w:r>
        <w:r w:rsidR="00855EB6">
          <w:rPr>
            <w:noProof/>
            <w:webHidden/>
          </w:rPr>
          <w:fldChar w:fldCharType="separate"/>
        </w:r>
        <w:r w:rsidR="00416F0E">
          <w:rPr>
            <w:noProof/>
            <w:webHidden/>
          </w:rPr>
          <w:t>66</w:t>
        </w:r>
        <w:r w:rsidR="00855EB6">
          <w:rPr>
            <w:noProof/>
            <w:webHidden/>
          </w:rPr>
          <w:fldChar w:fldCharType="end"/>
        </w:r>
      </w:hyperlink>
    </w:p>
    <w:p w14:paraId="29197F33" w14:textId="3AF8E6BB"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18" w:history="1">
        <w:r w:rsidR="00855EB6" w:rsidRPr="007A2625">
          <w:rPr>
            <w:rStyle w:val="Hyperlink"/>
            <w:noProof/>
          </w:rPr>
          <w:t xml:space="preserve">2.7.3 </w:t>
        </w:r>
        <w:r w:rsidR="00855EB6">
          <w:rPr>
            <w:rStyle w:val="Hyperlink"/>
            <w:noProof/>
          </w:rPr>
          <w:t xml:space="preserve">   </w:t>
        </w:r>
        <w:r w:rsidR="00855EB6" w:rsidRPr="007A2625">
          <w:rPr>
            <w:rStyle w:val="Hyperlink"/>
            <w:noProof/>
          </w:rPr>
          <w:t>Učešće nevladinog sektora</w:t>
        </w:r>
        <w:r w:rsidR="00855EB6">
          <w:rPr>
            <w:noProof/>
            <w:webHidden/>
          </w:rPr>
          <w:tab/>
        </w:r>
        <w:r w:rsidR="00855EB6">
          <w:rPr>
            <w:noProof/>
            <w:webHidden/>
          </w:rPr>
          <w:fldChar w:fldCharType="begin"/>
        </w:r>
        <w:r w:rsidR="00855EB6">
          <w:rPr>
            <w:noProof/>
            <w:webHidden/>
          </w:rPr>
          <w:instrText xml:space="preserve"> PAGEREF _Toc527353218 \h </w:instrText>
        </w:r>
        <w:r w:rsidR="00855EB6">
          <w:rPr>
            <w:noProof/>
            <w:webHidden/>
          </w:rPr>
        </w:r>
        <w:r w:rsidR="00855EB6">
          <w:rPr>
            <w:noProof/>
            <w:webHidden/>
          </w:rPr>
          <w:fldChar w:fldCharType="separate"/>
        </w:r>
        <w:r w:rsidR="00416F0E">
          <w:rPr>
            <w:noProof/>
            <w:webHidden/>
          </w:rPr>
          <w:t>67</w:t>
        </w:r>
        <w:r w:rsidR="00855EB6">
          <w:rPr>
            <w:noProof/>
            <w:webHidden/>
          </w:rPr>
          <w:fldChar w:fldCharType="end"/>
        </w:r>
      </w:hyperlink>
    </w:p>
    <w:p w14:paraId="5231A350" w14:textId="18BEB5DC"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19" w:history="1">
        <w:r w:rsidR="00855EB6" w:rsidRPr="007A2625">
          <w:rPr>
            <w:rStyle w:val="Hyperlink"/>
            <w:noProof/>
          </w:rPr>
          <w:t>2.8.</w:t>
        </w:r>
        <w:r w:rsidR="00855EB6">
          <w:rPr>
            <w:rFonts w:asciiTheme="minorHAnsi" w:eastAsiaTheme="minorEastAsia" w:hAnsiTheme="minorHAnsi" w:cstheme="minorBidi"/>
            <w:noProof/>
          </w:rPr>
          <w:tab/>
        </w:r>
        <w:r w:rsidR="00855EB6" w:rsidRPr="007A2625">
          <w:rPr>
            <w:rStyle w:val="Hyperlink"/>
            <w:noProof/>
          </w:rPr>
          <w:t>LABORATORIJSKA INFRASTRUKTURA</w:t>
        </w:r>
        <w:r w:rsidR="00855EB6">
          <w:rPr>
            <w:noProof/>
            <w:webHidden/>
          </w:rPr>
          <w:tab/>
        </w:r>
        <w:r w:rsidR="00855EB6">
          <w:rPr>
            <w:noProof/>
            <w:webHidden/>
          </w:rPr>
          <w:fldChar w:fldCharType="begin"/>
        </w:r>
        <w:r w:rsidR="00855EB6">
          <w:rPr>
            <w:noProof/>
            <w:webHidden/>
          </w:rPr>
          <w:instrText xml:space="preserve"> PAGEREF _Toc527353219 \h </w:instrText>
        </w:r>
        <w:r w:rsidR="00855EB6">
          <w:rPr>
            <w:noProof/>
            <w:webHidden/>
          </w:rPr>
        </w:r>
        <w:r w:rsidR="00855EB6">
          <w:rPr>
            <w:noProof/>
            <w:webHidden/>
          </w:rPr>
          <w:fldChar w:fldCharType="separate"/>
        </w:r>
        <w:r w:rsidR="00416F0E">
          <w:rPr>
            <w:noProof/>
            <w:webHidden/>
          </w:rPr>
          <w:t>68</w:t>
        </w:r>
        <w:r w:rsidR="00855EB6">
          <w:rPr>
            <w:noProof/>
            <w:webHidden/>
          </w:rPr>
          <w:fldChar w:fldCharType="end"/>
        </w:r>
      </w:hyperlink>
    </w:p>
    <w:p w14:paraId="55532175" w14:textId="1E012696"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20" w:history="1">
        <w:r w:rsidR="00855EB6" w:rsidRPr="007A2625">
          <w:rPr>
            <w:rStyle w:val="Hyperlink"/>
            <w:noProof/>
          </w:rPr>
          <w:t>2.9.</w:t>
        </w:r>
        <w:r w:rsidR="00855EB6">
          <w:rPr>
            <w:rFonts w:asciiTheme="minorHAnsi" w:eastAsiaTheme="minorEastAsia" w:hAnsiTheme="minorHAnsi" w:cstheme="minorBidi"/>
            <w:noProof/>
          </w:rPr>
          <w:tab/>
        </w:r>
        <w:r w:rsidR="00855EB6" w:rsidRPr="007A2625">
          <w:rPr>
            <w:rStyle w:val="Hyperlink"/>
            <w:noProof/>
          </w:rPr>
          <w:t>PRIPREMLJENOST ZA VANREDNE SITUACIJE, UKLJUČUJUĆI HEMIJSKE UDESE</w:t>
        </w:r>
        <w:r w:rsidR="00855EB6">
          <w:rPr>
            <w:noProof/>
            <w:webHidden/>
          </w:rPr>
          <w:tab/>
        </w:r>
        <w:r w:rsidR="00855EB6">
          <w:rPr>
            <w:noProof/>
            <w:webHidden/>
          </w:rPr>
          <w:fldChar w:fldCharType="begin"/>
        </w:r>
        <w:r w:rsidR="00855EB6">
          <w:rPr>
            <w:noProof/>
            <w:webHidden/>
          </w:rPr>
          <w:instrText xml:space="preserve"> PAGEREF _Toc527353220 \h </w:instrText>
        </w:r>
        <w:r w:rsidR="00855EB6">
          <w:rPr>
            <w:noProof/>
            <w:webHidden/>
          </w:rPr>
        </w:r>
        <w:r w:rsidR="00855EB6">
          <w:rPr>
            <w:noProof/>
            <w:webHidden/>
          </w:rPr>
          <w:fldChar w:fldCharType="separate"/>
        </w:r>
        <w:r w:rsidR="00416F0E">
          <w:rPr>
            <w:noProof/>
            <w:webHidden/>
          </w:rPr>
          <w:t>70</w:t>
        </w:r>
        <w:r w:rsidR="00855EB6">
          <w:rPr>
            <w:noProof/>
            <w:webHidden/>
          </w:rPr>
          <w:fldChar w:fldCharType="end"/>
        </w:r>
      </w:hyperlink>
    </w:p>
    <w:p w14:paraId="713766D5" w14:textId="20BBF399" w:rsidR="00855EB6" w:rsidRDefault="00B55A8E" w:rsidP="00E04218">
      <w:pPr>
        <w:pStyle w:val="TOC2"/>
        <w:tabs>
          <w:tab w:val="left" w:pos="1100"/>
          <w:tab w:val="right" w:leader="dot" w:pos="9629"/>
        </w:tabs>
        <w:spacing w:before="60" w:after="0"/>
        <w:rPr>
          <w:rFonts w:asciiTheme="minorHAnsi" w:eastAsiaTheme="minorEastAsia" w:hAnsiTheme="minorHAnsi" w:cstheme="minorBidi"/>
          <w:noProof/>
        </w:rPr>
      </w:pPr>
      <w:hyperlink w:anchor="_Toc527353221" w:history="1">
        <w:r w:rsidR="00855EB6" w:rsidRPr="007A2625">
          <w:rPr>
            <w:rStyle w:val="Hyperlink"/>
            <w:noProof/>
          </w:rPr>
          <w:t>2.9.1.</w:t>
        </w:r>
        <w:r w:rsidR="00855EB6">
          <w:rPr>
            <w:rFonts w:asciiTheme="minorHAnsi" w:eastAsiaTheme="minorEastAsia" w:hAnsiTheme="minorHAnsi" w:cstheme="minorBidi"/>
            <w:noProof/>
          </w:rPr>
          <w:t xml:space="preserve">    </w:t>
        </w:r>
        <w:r w:rsidR="00855EB6" w:rsidRPr="007A2625">
          <w:rPr>
            <w:rStyle w:val="Hyperlink"/>
            <w:noProof/>
          </w:rPr>
          <w:t>Nadležnosti u vanrednoj situaciji</w:t>
        </w:r>
        <w:r w:rsidR="00855EB6">
          <w:rPr>
            <w:noProof/>
            <w:webHidden/>
          </w:rPr>
          <w:tab/>
        </w:r>
        <w:r w:rsidR="00855EB6">
          <w:rPr>
            <w:noProof/>
            <w:webHidden/>
          </w:rPr>
          <w:fldChar w:fldCharType="begin"/>
        </w:r>
        <w:r w:rsidR="00855EB6">
          <w:rPr>
            <w:noProof/>
            <w:webHidden/>
          </w:rPr>
          <w:instrText xml:space="preserve"> PAGEREF _Toc527353221 \h </w:instrText>
        </w:r>
        <w:r w:rsidR="00855EB6">
          <w:rPr>
            <w:noProof/>
            <w:webHidden/>
          </w:rPr>
        </w:r>
        <w:r w:rsidR="00855EB6">
          <w:rPr>
            <w:noProof/>
            <w:webHidden/>
          </w:rPr>
          <w:fldChar w:fldCharType="separate"/>
        </w:r>
        <w:r w:rsidR="00416F0E">
          <w:rPr>
            <w:noProof/>
            <w:webHidden/>
          </w:rPr>
          <w:t>70</w:t>
        </w:r>
        <w:r w:rsidR="00855EB6">
          <w:rPr>
            <w:noProof/>
            <w:webHidden/>
          </w:rPr>
          <w:fldChar w:fldCharType="end"/>
        </w:r>
      </w:hyperlink>
    </w:p>
    <w:p w14:paraId="7570F7B5" w14:textId="2C137D81"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22" w:history="1">
        <w:r w:rsidR="00855EB6" w:rsidRPr="007A2625">
          <w:rPr>
            <w:rStyle w:val="Hyperlink"/>
            <w:noProof/>
          </w:rPr>
          <w:t xml:space="preserve">2.9.2.  </w:t>
        </w:r>
        <w:r w:rsidR="00855EB6">
          <w:rPr>
            <w:rStyle w:val="Hyperlink"/>
            <w:noProof/>
          </w:rPr>
          <w:t xml:space="preserve">  </w:t>
        </w:r>
        <w:r w:rsidR="00855EB6" w:rsidRPr="007A2625">
          <w:rPr>
            <w:rStyle w:val="Hyperlink"/>
            <w:noProof/>
          </w:rPr>
          <w:t>Planiranje</w:t>
        </w:r>
        <w:r w:rsidR="00855EB6">
          <w:rPr>
            <w:noProof/>
            <w:webHidden/>
          </w:rPr>
          <w:tab/>
        </w:r>
        <w:r w:rsidR="00855EB6">
          <w:rPr>
            <w:noProof/>
            <w:webHidden/>
          </w:rPr>
          <w:fldChar w:fldCharType="begin"/>
        </w:r>
        <w:r w:rsidR="00855EB6">
          <w:rPr>
            <w:noProof/>
            <w:webHidden/>
          </w:rPr>
          <w:instrText xml:space="preserve"> PAGEREF _Toc527353222 \h </w:instrText>
        </w:r>
        <w:r w:rsidR="00855EB6">
          <w:rPr>
            <w:noProof/>
            <w:webHidden/>
          </w:rPr>
        </w:r>
        <w:r w:rsidR="00855EB6">
          <w:rPr>
            <w:noProof/>
            <w:webHidden/>
          </w:rPr>
          <w:fldChar w:fldCharType="separate"/>
        </w:r>
        <w:r w:rsidR="00416F0E">
          <w:rPr>
            <w:noProof/>
            <w:webHidden/>
          </w:rPr>
          <w:t>70</w:t>
        </w:r>
        <w:r w:rsidR="00855EB6">
          <w:rPr>
            <w:noProof/>
            <w:webHidden/>
          </w:rPr>
          <w:fldChar w:fldCharType="end"/>
        </w:r>
      </w:hyperlink>
    </w:p>
    <w:p w14:paraId="09DBBE30" w14:textId="07EB315E" w:rsidR="00855EB6" w:rsidRDefault="00B55A8E" w:rsidP="00E04218">
      <w:pPr>
        <w:pStyle w:val="TOC2"/>
        <w:tabs>
          <w:tab w:val="left" w:pos="1100"/>
          <w:tab w:val="right" w:leader="dot" w:pos="9629"/>
        </w:tabs>
        <w:spacing w:before="60" w:after="0"/>
        <w:rPr>
          <w:rFonts w:asciiTheme="minorHAnsi" w:eastAsiaTheme="minorEastAsia" w:hAnsiTheme="minorHAnsi" w:cstheme="minorBidi"/>
          <w:noProof/>
        </w:rPr>
      </w:pPr>
      <w:hyperlink w:anchor="_Toc527353223" w:history="1">
        <w:r w:rsidR="00855EB6" w:rsidRPr="007A2625">
          <w:rPr>
            <w:rStyle w:val="Hyperlink"/>
            <w:noProof/>
          </w:rPr>
          <w:t>2.9.3</w:t>
        </w:r>
        <w:r w:rsidR="00855EB6">
          <w:rPr>
            <w:rStyle w:val="Hyperlink"/>
            <w:noProof/>
          </w:rPr>
          <w:t xml:space="preserve">.    </w:t>
        </w:r>
        <w:r w:rsidR="00855EB6" w:rsidRPr="007A2625">
          <w:rPr>
            <w:rStyle w:val="Hyperlink"/>
            <w:noProof/>
          </w:rPr>
          <w:t>Reagovanje na vanredne situacije, uključujući hemijske udese</w:t>
        </w:r>
        <w:r w:rsidR="00855EB6">
          <w:rPr>
            <w:noProof/>
            <w:webHidden/>
          </w:rPr>
          <w:tab/>
        </w:r>
        <w:r w:rsidR="00855EB6">
          <w:rPr>
            <w:noProof/>
            <w:webHidden/>
          </w:rPr>
          <w:fldChar w:fldCharType="begin"/>
        </w:r>
        <w:r w:rsidR="00855EB6">
          <w:rPr>
            <w:noProof/>
            <w:webHidden/>
          </w:rPr>
          <w:instrText xml:space="preserve"> PAGEREF _Toc527353223 \h </w:instrText>
        </w:r>
        <w:r w:rsidR="00855EB6">
          <w:rPr>
            <w:noProof/>
            <w:webHidden/>
          </w:rPr>
        </w:r>
        <w:r w:rsidR="00855EB6">
          <w:rPr>
            <w:noProof/>
            <w:webHidden/>
          </w:rPr>
          <w:fldChar w:fldCharType="separate"/>
        </w:r>
        <w:r w:rsidR="00416F0E">
          <w:rPr>
            <w:noProof/>
            <w:webHidden/>
          </w:rPr>
          <w:t>71</w:t>
        </w:r>
        <w:r w:rsidR="00855EB6">
          <w:rPr>
            <w:noProof/>
            <w:webHidden/>
          </w:rPr>
          <w:fldChar w:fldCharType="end"/>
        </w:r>
      </w:hyperlink>
    </w:p>
    <w:p w14:paraId="4E1BEC69" w14:textId="1C90C6A0"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24" w:history="1">
        <w:r w:rsidR="00855EB6" w:rsidRPr="007A2625">
          <w:rPr>
            <w:rStyle w:val="Hyperlink"/>
            <w:noProof/>
          </w:rPr>
          <w:t xml:space="preserve">2.9.4. </w:t>
        </w:r>
        <w:r w:rsidR="00855EB6">
          <w:rPr>
            <w:rStyle w:val="Hyperlink"/>
            <w:noProof/>
          </w:rPr>
          <w:t xml:space="preserve">   </w:t>
        </w:r>
        <w:r w:rsidR="00855EB6" w:rsidRPr="007A2625">
          <w:rPr>
            <w:rStyle w:val="Hyperlink"/>
            <w:noProof/>
          </w:rPr>
          <w:t>Izgradnja kapaciteta za odgovor na hemijske udese</w:t>
        </w:r>
        <w:r w:rsidR="00855EB6">
          <w:rPr>
            <w:noProof/>
            <w:webHidden/>
          </w:rPr>
          <w:tab/>
        </w:r>
        <w:r w:rsidR="00855EB6">
          <w:rPr>
            <w:noProof/>
            <w:webHidden/>
          </w:rPr>
          <w:fldChar w:fldCharType="begin"/>
        </w:r>
        <w:r w:rsidR="00855EB6">
          <w:rPr>
            <w:noProof/>
            <w:webHidden/>
          </w:rPr>
          <w:instrText xml:space="preserve"> PAGEREF _Toc527353224 \h </w:instrText>
        </w:r>
        <w:r w:rsidR="00855EB6">
          <w:rPr>
            <w:noProof/>
            <w:webHidden/>
          </w:rPr>
        </w:r>
        <w:r w:rsidR="00855EB6">
          <w:rPr>
            <w:noProof/>
            <w:webHidden/>
          </w:rPr>
          <w:fldChar w:fldCharType="separate"/>
        </w:r>
        <w:r w:rsidR="00416F0E">
          <w:rPr>
            <w:noProof/>
            <w:webHidden/>
          </w:rPr>
          <w:t>73</w:t>
        </w:r>
        <w:r w:rsidR="00855EB6">
          <w:rPr>
            <w:noProof/>
            <w:webHidden/>
          </w:rPr>
          <w:fldChar w:fldCharType="end"/>
        </w:r>
      </w:hyperlink>
    </w:p>
    <w:p w14:paraId="20496218" w14:textId="48634472" w:rsidR="00855EB6" w:rsidRDefault="00B55A8E" w:rsidP="00E04218">
      <w:pPr>
        <w:pStyle w:val="TOC1"/>
        <w:tabs>
          <w:tab w:val="left" w:pos="880"/>
          <w:tab w:val="right" w:leader="dot" w:pos="9629"/>
        </w:tabs>
        <w:spacing w:before="60" w:after="0"/>
        <w:rPr>
          <w:rFonts w:asciiTheme="minorHAnsi" w:eastAsiaTheme="minorEastAsia" w:hAnsiTheme="minorHAnsi" w:cstheme="minorBidi"/>
          <w:noProof/>
        </w:rPr>
      </w:pPr>
      <w:hyperlink w:anchor="_Toc527353225" w:history="1">
        <w:r w:rsidR="00855EB6" w:rsidRPr="007A2625">
          <w:rPr>
            <w:rStyle w:val="Hyperlink"/>
            <w:noProof/>
          </w:rPr>
          <w:t>2.10.</w:t>
        </w:r>
        <w:r w:rsidR="00855EB6">
          <w:rPr>
            <w:rFonts w:asciiTheme="minorHAnsi" w:eastAsiaTheme="minorEastAsia" w:hAnsiTheme="minorHAnsi" w:cstheme="minorBidi"/>
            <w:noProof/>
          </w:rPr>
          <w:tab/>
        </w:r>
        <w:r w:rsidR="00855EB6" w:rsidRPr="007A2625">
          <w:rPr>
            <w:rStyle w:val="Hyperlink"/>
            <w:noProof/>
          </w:rPr>
          <w:t>SVIJEST O RIZICIMA OD HEMIKALIJA; INFORMISANJE I EDUKACIJA</w:t>
        </w:r>
        <w:r w:rsidR="00855EB6">
          <w:rPr>
            <w:noProof/>
            <w:webHidden/>
          </w:rPr>
          <w:tab/>
        </w:r>
        <w:r w:rsidR="00855EB6">
          <w:rPr>
            <w:noProof/>
            <w:webHidden/>
          </w:rPr>
          <w:fldChar w:fldCharType="begin"/>
        </w:r>
        <w:r w:rsidR="00855EB6">
          <w:rPr>
            <w:noProof/>
            <w:webHidden/>
          </w:rPr>
          <w:instrText xml:space="preserve"> PAGEREF _Toc527353225 \h </w:instrText>
        </w:r>
        <w:r w:rsidR="00855EB6">
          <w:rPr>
            <w:noProof/>
            <w:webHidden/>
          </w:rPr>
        </w:r>
        <w:r w:rsidR="00855EB6">
          <w:rPr>
            <w:noProof/>
            <w:webHidden/>
          </w:rPr>
          <w:fldChar w:fldCharType="separate"/>
        </w:r>
        <w:r w:rsidR="00416F0E">
          <w:rPr>
            <w:noProof/>
            <w:webHidden/>
          </w:rPr>
          <w:t>74</w:t>
        </w:r>
        <w:r w:rsidR="00855EB6">
          <w:rPr>
            <w:noProof/>
            <w:webHidden/>
          </w:rPr>
          <w:fldChar w:fldCharType="end"/>
        </w:r>
      </w:hyperlink>
    </w:p>
    <w:p w14:paraId="3A45066A" w14:textId="07D1F478"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26" w:history="1">
        <w:r w:rsidR="00855EB6" w:rsidRPr="007A2625">
          <w:rPr>
            <w:rStyle w:val="Hyperlink"/>
            <w:noProof/>
          </w:rPr>
          <w:t>2.10.1. Svijest potrošača i opšte javnosti o rizicima od hemikalija</w:t>
        </w:r>
        <w:r w:rsidR="00855EB6">
          <w:rPr>
            <w:noProof/>
            <w:webHidden/>
          </w:rPr>
          <w:tab/>
        </w:r>
        <w:r w:rsidR="00855EB6">
          <w:rPr>
            <w:noProof/>
            <w:webHidden/>
          </w:rPr>
          <w:fldChar w:fldCharType="begin"/>
        </w:r>
        <w:r w:rsidR="00855EB6">
          <w:rPr>
            <w:noProof/>
            <w:webHidden/>
          </w:rPr>
          <w:instrText xml:space="preserve"> PAGEREF _Toc527353226 \h </w:instrText>
        </w:r>
        <w:r w:rsidR="00855EB6">
          <w:rPr>
            <w:noProof/>
            <w:webHidden/>
          </w:rPr>
        </w:r>
        <w:r w:rsidR="00855EB6">
          <w:rPr>
            <w:noProof/>
            <w:webHidden/>
          </w:rPr>
          <w:fldChar w:fldCharType="separate"/>
        </w:r>
        <w:r w:rsidR="00416F0E">
          <w:rPr>
            <w:noProof/>
            <w:webHidden/>
          </w:rPr>
          <w:t>74</w:t>
        </w:r>
        <w:r w:rsidR="00855EB6">
          <w:rPr>
            <w:noProof/>
            <w:webHidden/>
          </w:rPr>
          <w:fldChar w:fldCharType="end"/>
        </w:r>
      </w:hyperlink>
    </w:p>
    <w:p w14:paraId="0513E63B" w14:textId="74CCB1C4"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27" w:history="1">
        <w:r w:rsidR="00855EB6" w:rsidRPr="007A2625">
          <w:rPr>
            <w:rStyle w:val="Hyperlink"/>
            <w:noProof/>
          </w:rPr>
          <w:t>2.10.2. Informisanje i edukacija ciljnih grupa i profesionalnih korisnika</w:t>
        </w:r>
        <w:r w:rsidR="00855EB6">
          <w:rPr>
            <w:noProof/>
            <w:webHidden/>
          </w:rPr>
          <w:tab/>
        </w:r>
        <w:r w:rsidR="00855EB6">
          <w:rPr>
            <w:noProof/>
            <w:webHidden/>
          </w:rPr>
          <w:fldChar w:fldCharType="begin"/>
        </w:r>
        <w:r w:rsidR="00855EB6">
          <w:rPr>
            <w:noProof/>
            <w:webHidden/>
          </w:rPr>
          <w:instrText xml:space="preserve"> PAGEREF _Toc527353227 \h </w:instrText>
        </w:r>
        <w:r w:rsidR="00855EB6">
          <w:rPr>
            <w:noProof/>
            <w:webHidden/>
          </w:rPr>
        </w:r>
        <w:r w:rsidR="00855EB6">
          <w:rPr>
            <w:noProof/>
            <w:webHidden/>
          </w:rPr>
          <w:fldChar w:fldCharType="separate"/>
        </w:r>
        <w:r w:rsidR="00416F0E">
          <w:rPr>
            <w:noProof/>
            <w:webHidden/>
          </w:rPr>
          <w:t>76</w:t>
        </w:r>
        <w:r w:rsidR="00855EB6">
          <w:rPr>
            <w:noProof/>
            <w:webHidden/>
          </w:rPr>
          <w:fldChar w:fldCharType="end"/>
        </w:r>
      </w:hyperlink>
    </w:p>
    <w:p w14:paraId="6774111D" w14:textId="1AF86642" w:rsidR="00855EB6" w:rsidRDefault="00B55A8E" w:rsidP="00E04218">
      <w:pPr>
        <w:pStyle w:val="TOC1"/>
        <w:tabs>
          <w:tab w:val="left" w:pos="880"/>
          <w:tab w:val="right" w:leader="dot" w:pos="9629"/>
        </w:tabs>
        <w:spacing w:before="60" w:after="0"/>
        <w:rPr>
          <w:rFonts w:asciiTheme="minorHAnsi" w:eastAsiaTheme="minorEastAsia" w:hAnsiTheme="minorHAnsi" w:cstheme="minorBidi"/>
          <w:noProof/>
        </w:rPr>
      </w:pPr>
      <w:hyperlink w:anchor="_Toc527353228" w:history="1">
        <w:r w:rsidR="00855EB6" w:rsidRPr="007A2625">
          <w:rPr>
            <w:rStyle w:val="Hyperlink"/>
            <w:noProof/>
          </w:rPr>
          <w:t>2.11.</w:t>
        </w:r>
        <w:r w:rsidR="00855EB6">
          <w:rPr>
            <w:rFonts w:asciiTheme="minorHAnsi" w:eastAsiaTheme="minorEastAsia" w:hAnsiTheme="minorHAnsi" w:cstheme="minorBidi"/>
            <w:noProof/>
          </w:rPr>
          <w:tab/>
        </w:r>
        <w:r w:rsidR="00855EB6" w:rsidRPr="007A2625">
          <w:rPr>
            <w:rStyle w:val="Hyperlink"/>
            <w:noProof/>
          </w:rPr>
          <w:t>MEĐUNARODNI SPORAZUMI U VEZI SA UPRAVLJANJEM HEMIKALIJAMA</w:t>
        </w:r>
        <w:r w:rsidR="00855EB6">
          <w:rPr>
            <w:noProof/>
            <w:webHidden/>
          </w:rPr>
          <w:tab/>
        </w:r>
        <w:r w:rsidR="00855EB6">
          <w:rPr>
            <w:noProof/>
            <w:webHidden/>
          </w:rPr>
          <w:fldChar w:fldCharType="begin"/>
        </w:r>
        <w:r w:rsidR="00855EB6">
          <w:rPr>
            <w:noProof/>
            <w:webHidden/>
          </w:rPr>
          <w:instrText xml:space="preserve"> PAGEREF _Toc527353228 \h </w:instrText>
        </w:r>
        <w:r w:rsidR="00855EB6">
          <w:rPr>
            <w:noProof/>
            <w:webHidden/>
          </w:rPr>
        </w:r>
        <w:r w:rsidR="00855EB6">
          <w:rPr>
            <w:noProof/>
            <w:webHidden/>
          </w:rPr>
          <w:fldChar w:fldCharType="separate"/>
        </w:r>
        <w:r w:rsidR="00416F0E">
          <w:rPr>
            <w:noProof/>
            <w:webHidden/>
          </w:rPr>
          <w:t>77</w:t>
        </w:r>
        <w:r w:rsidR="00855EB6">
          <w:rPr>
            <w:noProof/>
            <w:webHidden/>
          </w:rPr>
          <w:fldChar w:fldCharType="end"/>
        </w:r>
      </w:hyperlink>
    </w:p>
    <w:p w14:paraId="6AC181C4" w14:textId="29DD9EAC" w:rsidR="00855EB6" w:rsidRDefault="00B55A8E" w:rsidP="00E04218">
      <w:pPr>
        <w:pStyle w:val="TOC1"/>
        <w:tabs>
          <w:tab w:val="left" w:pos="880"/>
          <w:tab w:val="right" w:leader="dot" w:pos="9629"/>
        </w:tabs>
        <w:spacing w:before="60" w:after="0"/>
        <w:rPr>
          <w:rFonts w:asciiTheme="minorHAnsi" w:eastAsiaTheme="minorEastAsia" w:hAnsiTheme="minorHAnsi" w:cstheme="minorBidi"/>
          <w:noProof/>
        </w:rPr>
      </w:pPr>
      <w:hyperlink w:anchor="_Toc527353229" w:history="1">
        <w:r w:rsidR="00855EB6" w:rsidRPr="007A2625">
          <w:rPr>
            <w:rStyle w:val="Hyperlink"/>
            <w:noProof/>
          </w:rPr>
          <w:t>2.12.</w:t>
        </w:r>
        <w:r w:rsidR="00855EB6">
          <w:rPr>
            <w:rFonts w:asciiTheme="minorHAnsi" w:eastAsiaTheme="minorEastAsia" w:hAnsiTheme="minorHAnsi" w:cstheme="minorBidi"/>
            <w:noProof/>
          </w:rPr>
          <w:tab/>
        </w:r>
        <w:r w:rsidR="00855EB6" w:rsidRPr="007A2625">
          <w:rPr>
            <w:rStyle w:val="Hyperlink"/>
            <w:noProof/>
          </w:rPr>
          <w:t>ZAKLJUČCI I PREPORUKE</w:t>
        </w:r>
        <w:r w:rsidR="00855EB6">
          <w:rPr>
            <w:noProof/>
            <w:webHidden/>
          </w:rPr>
          <w:tab/>
        </w:r>
        <w:r w:rsidR="00855EB6">
          <w:rPr>
            <w:noProof/>
            <w:webHidden/>
          </w:rPr>
          <w:fldChar w:fldCharType="begin"/>
        </w:r>
        <w:r w:rsidR="00855EB6">
          <w:rPr>
            <w:noProof/>
            <w:webHidden/>
          </w:rPr>
          <w:instrText xml:space="preserve"> PAGEREF _Toc527353229 \h </w:instrText>
        </w:r>
        <w:r w:rsidR="00855EB6">
          <w:rPr>
            <w:noProof/>
            <w:webHidden/>
          </w:rPr>
        </w:r>
        <w:r w:rsidR="00855EB6">
          <w:rPr>
            <w:noProof/>
            <w:webHidden/>
          </w:rPr>
          <w:fldChar w:fldCharType="separate"/>
        </w:r>
        <w:r w:rsidR="00416F0E">
          <w:rPr>
            <w:noProof/>
            <w:webHidden/>
          </w:rPr>
          <w:t>79</w:t>
        </w:r>
        <w:r w:rsidR="00855EB6">
          <w:rPr>
            <w:noProof/>
            <w:webHidden/>
          </w:rPr>
          <w:fldChar w:fldCharType="end"/>
        </w:r>
      </w:hyperlink>
    </w:p>
    <w:p w14:paraId="1C9C1C30" w14:textId="46CDFE49"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30" w:history="1">
        <w:r w:rsidR="00855EB6" w:rsidRPr="007A2625">
          <w:rPr>
            <w:rStyle w:val="Hyperlink"/>
            <w:noProof/>
          </w:rPr>
          <w:t>2.12.1.  Osvrt na realizaciju prethodnog strateškog dokumenta</w:t>
        </w:r>
        <w:r w:rsidR="00855EB6">
          <w:rPr>
            <w:noProof/>
            <w:webHidden/>
          </w:rPr>
          <w:tab/>
        </w:r>
        <w:r w:rsidR="00855EB6">
          <w:rPr>
            <w:noProof/>
            <w:webHidden/>
          </w:rPr>
          <w:fldChar w:fldCharType="begin"/>
        </w:r>
        <w:r w:rsidR="00855EB6">
          <w:rPr>
            <w:noProof/>
            <w:webHidden/>
          </w:rPr>
          <w:instrText xml:space="preserve"> PAGEREF _Toc527353230 \h </w:instrText>
        </w:r>
        <w:r w:rsidR="00855EB6">
          <w:rPr>
            <w:noProof/>
            <w:webHidden/>
          </w:rPr>
        </w:r>
        <w:r w:rsidR="00855EB6">
          <w:rPr>
            <w:noProof/>
            <w:webHidden/>
          </w:rPr>
          <w:fldChar w:fldCharType="separate"/>
        </w:r>
        <w:r w:rsidR="00416F0E">
          <w:rPr>
            <w:noProof/>
            <w:webHidden/>
          </w:rPr>
          <w:t>79</w:t>
        </w:r>
        <w:r w:rsidR="00855EB6">
          <w:rPr>
            <w:noProof/>
            <w:webHidden/>
          </w:rPr>
          <w:fldChar w:fldCharType="end"/>
        </w:r>
      </w:hyperlink>
    </w:p>
    <w:p w14:paraId="2BF22B11" w14:textId="5FFBC44F"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31" w:history="1">
        <w:r w:rsidR="00855EB6" w:rsidRPr="007A2625">
          <w:rPr>
            <w:rStyle w:val="Hyperlink"/>
            <w:noProof/>
          </w:rPr>
          <w:t>2.12.2.  Ključni nalazi analize stanja i identifikacija prioritetnh problema i izazova</w:t>
        </w:r>
        <w:r w:rsidR="00855EB6">
          <w:rPr>
            <w:noProof/>
            <w:webHidden/>
          </w:rPr>
          <w:tab/>
        </w:r>
        <w:r w:rsidR="00855EB6">
          <w:rPr>
            <w:noProof/>
            <w:webHidden/>
          </w:rPr>
          <w:fldChar w:fldCharType="begin"/>
        </w:r>
        <w:r w:rsidR="00855EB6">
          <w:rPr>
            <w:noProof/>
            <w:webHidden/>
          </w:rPr>
          <w:instrText xml:space="preserve"> PAGEREF _Toc527353231 \h </w:instrText>
        </w:r>
        <w:r w:rsidR="00855EB6">
          <w:rPr>
            <w:noProof/>
            <w:webHidden/>
          </w:rPr>
        </w:r>
        <w:r w:rsidR="00855EB6">
          <w:rPr>
            <w:noProof/>
            <w:webHidden/>
          </w:rPr>
          <w:fldChar w:fldCharType="separate"/>
        </w:r>
        <w:r w:rsidR="00416F0E">
          <w:rPr>
            <w:noProof/>
            <w:webHidden/>
          </w:rPr>
          <w:t>79</w:t>
        </w:r>
        <w:r w:rsidR="00855EB6">
          <w:rPr>
            <w:noProof/>
            <w:webHidden/>
          </w:rPr>
          <w:fldChar w:fldCharType="end"/>
        </w:r>
      </w:hyperlink>
    </w:p>
    <w:p w14:paraId="046AE58D" w14:textId="739ECA34"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32" w:history="1">
        <w:r w:rsidR="00855EB6" w:rsidRPr="007A2625">
          <w:rPr>
            <w:rStyle w:val="Hyperlink"/>
            <w:noProof/>
          </w:rPr>
          <w:t>III)</w:t>
        </w:r>
        <w:r w:rsidR="00855EB6">
          <w:rPr>
            <w:rFonts w:asciiTheme="minorHAnsi" w:eastAsiaTheme="minorEastAsia" w:hAnsiTheme="minorHAnsi" w:cstheme="minorBidi"/>
            <w:noProof/>
          </w:rPr>
          <w:tab/>
        </w:r>
        <w:r w:rsidR="00855EB6" w:rsidRPr="007A2625">
          <w:rPr>
            <w:rStyle w:val="Hyperlink"/>
            <w:noProof/>
          </w:rPr>
          <w:t>CILJEVI, AKTIVNOSTI I PRAĆENJE SPROVOĐENJA STRATEGIJE</w:t>
        </w:r>
        <w:r w:rsidR="00855EB6">
          <w:rPr>
            <w:noProof/>
            <w:webHidden/>
          </w:rPr>
          <w:tab/>
        </w:r>
        <w:r w:rsidR="00855EB6">
          <w:rPr>
            <w:noProof/>
            <w:webHidden/>
          </w:rPr>
          <w:fldChar w:fldCharType="begin"/>
        </w:r>
        <w:r w:rsidR="00855EB6">
          <w:rPr>
            <w:noProof/>
            <w:webHidden/>
          </w:rPr>
          <w:instrText xml:space="preserve"> PAGEREF _Toc527353232 \h </w:instrText>
        </w:r>
        <w:r w:rsidR="00855EB6">
          <w:rPr>
            <w:noProof/>
            <w:webHidden/>
          </w:rPr>
        </w:r>
        <w:r w:rsidR="00855EB6">
          <w:rPr>
            <w:noProof/>
            <w:webHidden/>
          </w:rPr>
          <w:fldChar w:fldCharType="separate"/>
        </w:r>
        <w:r w:rsidR="00416F0E">
          <w:rPr>
            <w:noProof/>
            <w:webHidden/>
          </w:rPr>
          <w:t>89</w:t>
        </w:r>
        <w:r w:rsidR="00855EB6">
          <w:rPr>
            <w:noProof/>
            <w:webHidden/>
          </w:rPr>
          <w:fldChar w:fldCharType="end"/>
        </w:r>
      </w:hyperlink>
    </w:p>
    <w:p w14:paraId="13F4F272" w14:textId="48278E40"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33" w:history="1">
        <w:r w:rsidR="00855EB6" w:rsidRPr="007A2625">
          <w:rPr>
            <w:rStyle w:val="Hyperlink"/>
            <w:noProof/>
          </w:rPr>
          <w:t>3.1.</w:t>
        </w:r>
        <w:r w:rsidR="00855EB6">
          <w:rPr>
            <w:rFonts w:asciiTheme="minorHAnsi" w:eastAsiaTheme="minorEastAsia" w:hAnsiTheme="minorHAnsi" w:cstheme="minorBidi"/>
            <w:noProof/>
          </w:rPr>
          <w:tab/>
        </w:r>
        <w:r w:rsidR="00855EB6" w:rsidRPr="007A2625">
          <w:rPr>
            <w:rStyle w:val="Hyperlink"/>
            <w:noProof/>
          </w:rPr>
          <w:t>STRATE</w:t>
        </w:r>
        <w:r w:rsidR="00855EB6" w:rsidRPr="007A2625">
          <w:rPr>
            <w:rStyle w:val="Hyperlink"/>
            <w:noProof/>
            <w:lang w:val="sr-Latn-RS"/>
          </w:rPr>
          <w:t>ŠKI</w:t>
        </w:r>
        <w:r w:rsidR="00855EB6" w:rsidRPr="007A2625">
          <w:rPr>
            <w:rStyle w:val="Hyperlink"/>
            <w:noProof/>
          </w:rPr>
          <w:t xml:space="preserve"> </w:t>
        </w:r>
        <w:r w:rsidR="00855EB6" w:rsidRPr="007A2625">
          <w:rPr>
            <w:rStyle w:val="Hyperlink"/>
            <w:noProof/>
            <w:lang w:val="sr-Latn-RS"/>
          </w:rPr>
          <w:t>I</w:t>
        </w:r>
        <w:r w:rsidR="00855EB6" w:rsidRPr="007A2625">
          <w:rPr>
            <w:rStyle w:val="Hyperlink"/>
            <w:noProof/>
          </w:rPr>
          <w:t xml:space="preserve"> OPERATIVNI CILJEVI SA PRATEĆIM INDIKATORIMA USPJEHA</w:t>
        </w:r>
        <w:r w:rsidR="00855EB6" w:rsidRPr="007A2625">
          <w:rPr>
            <w:rStyle w:val="Hyperlink"/>
            <w:noProof/>
            <w:lang w:val="sr-Latn-RS"/>
          </w:rPr>
          <w:t xml:space="preserve"> I AKTIVNOSTIMA</w:t>
        </w:r>
        <w:r w:rsidR="00855EB6">
          <w:rPr>
            <w:noProof/>
            <w:webHidden/>
          </w:rPr>
          <w:tab/>
        </w:r>
        <w:r w:rsidR="00855EB6">
          <w:rPr>
            <w:noProof/>
            <w:webHidden/>
          </w:rPr>
          <w:fldChar w:fldCharType="begin"/>
        </w:r>
        <w:r w:rsidR="00855EB6">
          <w:rPr>
            <w:noProof/>
            <w:webHidden/>
          </w:rPr>
          <w:instrText xml:space="preserve"> PAGEREF _Toc527353233 \h </w:instrText>
        </w:r>
        <w:r w:rsidR="00855EB6">
          <w:rPr>
            <w:noProof/>
            <w:webHidden/>
          </w:rPr>
        </w:r>
        <w:r w:rsidR="00855EB6">
          <w:rPr>
            <w:noProof/>
            <w:webHidden/>
          </w:rPr>
          <w:fldChar w:fldCharType="separate"/>
        </w:r>
        <w:r w:rsidR="00416F0E">
          <w:rPr>
            <w:noProof/>
            <w:webHidden/>
          </w:rPr>
          <w:t>90</w:t>
        </w:r>
        <w:r w:rsidR="00855EB6">
          <w:rPr>
            <w:noProof/>
            <w:webHidden/>
          </w:rPr>
          <w:fldChar w:fldCharType="end"/>
        </w:r>
      </w:hyperlink>
    </w:p>
    <w:p w14:paraId="3705B6F0" w14:textId="74A7B4E5"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34" w:history="1">
        <w:r w:rsidR="00855EB6" w:rsidRPr="007A2625">
          <w:rPr>
            <w:rStyle w:val="Hyperlink"/>
            <w:noProof/>
            <w:lang w:val="sr-Latn-ME"/>
          </w:rPr>
          <w:t>3.2.</w:t>
        </w:r>
        <w:r w:rsidR="00855EB6">
          <w:rPr>
            <w:rFonts w:asciiTheme="minorHAnsi" w:eastAsiaTheme="minorEastAsia" w:hAnsiTheme="minorHAnsi" w:cstheme="minorBidi"/>
            <w:noProof/>
          </w:rPr>
          <w:tab/>
        </w:r>
        <w:r w:rsidR="00855EB6" w:rsidRPr="007A2625">
          <w:rPr>
            <w:rStyle w:val="Hyperlink"/>
            <w:noProof/>
            <w:lang w:val="sr-Latn-ME"/>
          </w:rPr>
          <w:t>PRAĆENJE SPROVOĐENJA STRATEGIJE, IZVJEŠTAVANJE I EVALUACIJA</w:t>
        </w:r>
        <w:r w:rsidR="00855EB6">
          <w:rPr>
            <w:noProof/>
            <w:webHidden/>
          </w:rPr>
          <w:tab/>
        </w:r>
        <w:r w:rsidR="00855EB6">
          <w:rPr>
            <w:noProof/>
            <w:webHidden/>
          </w:rPr>
          <w:fldChar w:fldCharType="begin"/>
        </w:r>
        <w:r w:rsidR="00855EB6">
          <w:rPr>
            <w:noProof/>
            <w:webHidden/>
          </w:rPr>
          <w:instrText xml:space="preserve"> PAGEREF _Toc527353234 \h </w:instrText>
        </w:r>
        <w:r w:rsidR="00855EB6">
          <w:rPr>
            <w:noProof/>
            <w:webHidden/>
          </w:rPr>
        </w:r>
        <w:r w:rsidR="00855EB6">
          <w:rPr>
            <w:noProof/>
            <w:webHidden/>
          </w:rPr>
          <w:fldChar w:fldCharType="separate"/>
        </w:r>
        <w:r w:rsidR="00416F0E">
          <w:rPr>
            <w:noProof/>
            <w:webHidden/>
          </w:rPr>
          <w:t>94</w:t>
        </w:r>
        <w:r w:rsidR="00855EB6">
          <w:rPr>
            <w:noProof/>
            <w:webHidden/>
          </w:rPr>
          <w:fldChar w:fldCharType="end"/>
        </w:r>
      </w:hyperlink>
    </w:p>
    <w:p w14:paraId="7147DF84" w14:textId="4BC200B3"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35" w:history="1">
        <w:r w:rsidR="00855EB6" w:rsidRPr="007A2625">
          <w:rPr>
            <w:rStyle w:val="Hyperlink"/>
            <w:noProof/>
          </w:rPr>
          <w:t xml:space="preserve">3.2.1. </w:t>
        </w:r>
        <w:r w:rsidR="00855EB6">
          <w:rPr>
            <w:rStyle w:val="Hyperlink"/>
            <w:noProof/>
          </w:rPr>
          <w:t xml:space="preserve">   </w:t>
        </w:r>
        <w:r w:rsidR="00855EB6" w:rsidRPr="007A2625">
          <w:rPr>
            <w:rStyle w:val="Hyperlink"/>
            <w:noProof/>
          </w:rPr>
          <w:t>Praćenje sprovođenja strategije i godišnje izvještavanje</w:t>
        </w:r>
        <w:r w:rsidR="00855EB6">
          <w:rPr>
            <w:noProof/>
            <w:webHidden/>
          </w:rPr>
          <w:tab/>
        </w:r>
        <w:r w:rsidR="00855EB6">
          <w:rPr>
            <w:noProof/>
            <w:webHidden/>
          </w:rPr>
          <w:fldChar w:fldCharType="begin"/>
        </w:r>
        <w:r w:rsidR="00855EB6">
          <w:rPr>
            <w:noProof/>
            <w:webHidden/>
          </w:rPr>
          <w:instrText xml:space="preserve"> PAGEREF _Toc527353235 \h </w:instrText>
        </w:r>
        <w:r w:rsidR="00855EB6">
          <w:rPr>
            <w:noProof/>
            <w:webHidden/>
          </w:rPr>
        </w:r>
        <w:r w:rsidR="00855EB6">
          <w:rPr>
            <w:noProof/>
            <w:webHidden/>
          </w:rPr>
          <w:fldChar w:fldCharType="separate"/>
        </w:r>
        <w:r w:rsidR="00416F0E">
          <w:rPr>
            <w:noProof/>
            <w:webHidden/>
          </w:rPr>
          <w:t>94</w:t>
        </w:r>
        <w:r w:rsidR="00855EB6">
          <w:rPr>
            <w:noProof/>
            <w:webHidden/>
          </w:rPr>
          <w:fldChar w:fldCharType="end"/>
        </w:r>
      </w:hyperlink>
    </w:p>
    <w:p w14:paraId="6D56ABFC" w14:textId="7A794224" w:rsidR="00855EB6" w:rsidRDefault="00B55A8E" w:rsidP="00E04218">
      <w:pPr>
        <w:pStyle w:val="TOC2"/>
        <w:tabs>
          <w:tab w:val="right" w:leader="dot" w:pos="9629"/>
        </w:tabs>
        <w:spacing w:before="60" w:after="0"/>
        <w:rPr>
          <w:rFonts w:asciiTheme="minorHAnsi" w:eastAsiaTheme="minorEastAsia" w:hAnsiTheme="minorHAnsi" w:cstheme="minorBidi"/>
          <w:noProof/>
        </w:rPr>
      </w:pPr>
      <w:hyperlink w:anchor="_Toc527353236" w:history="1">
        <w:r w:rsidR="00855EB6" w:rsidRPr="007A2625">
          <w:rPr>
            <w:rStyle w:val="Hyperlink"/>
            <w:noProof/>
          </w:rPr>
          <w:t xml:space="preserve">3.2.2. </w:t>
        </w:r>
        <w:r w:rsidR="00855EB6">
          <w:rPr>
            <w:rStyle w:val="Hyperlink"/>
            <w:noProof/>
          </w:rPr>
          <w:t xml:space="preserve">  </w:t>
        </w:r>
        <w:r w:rsidR="00855EB6" w:rsidRPr="007A2625">
          <w:rPr>
            <w:rStyle w:val="Hyperlink"/>
            <w:noProof/>
          </w:rPr>
          <w:t>Evaluacija i završno izvještavanje</w:t>
        </w:r>
        <w:r w:rsidR="00855EB6">
          <w:rPr>
            <w:noProof/>
            <w:webHidden/>
          </w:rPr>
          <w:tab/>
        </w:r>
        <w:r w:rsidR="00855EB6">
          <w:rPr>
            <w:noProof/>
            <w:webHidden/>
          </w:rPr>
          <w:fldChar w:fldCharType="begin"/>
        </w:r>
        <w:r w:rsidR="00855EB6">
          <w:rPr>
            <w:noProof/>
            <w:webHidden/>
          </w:rPr>
          <w:instrText xml:space="preserve"> PAGEREF _Toc527353236 \h </w:instrText>
        </w:r>
        <w:r w:rsidR="00855EB6">
          <w:rPr>
            <w:noProof/>
            <w:webHidden/>
          </w:rPr>
        </w:r>
        <w:r w:rsidR="00855EB6">
          <w:rPr>
            <w:noProof/>
            <w:webHidden/>
          </w:rPr>
          <w:fldChar w:fldCharType="separate"/>
        </w:r>
        <w:r w:rsidR="00416F0E">
          <w:rPr>
            <w:noProof/>
            <w:webHidden/>
          </w:rPr>
          <w:t>95</w:t>
        </w:r>
        <w:r w:rsidR="00855EB6">
          <w:rPr>
            <w:noProof/>
            <w:webHidden/>
          </w:rPr>
          <w:fldChar w:fldCharType="end"/>
        </w:r>
      </w:hyperlink>
    </w:p>
    <w:p w14:paraId="3110C514" w14:textId="562457F1"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37" w:history="1">
        <w:r w:rsidR="00855EB6" w:rsidRPr="007A2625">
          <w:rPr>
            <w:rStyle w:val="Hyperlink"/>
            <w:noProof/>
          </w:rPr>
          <w:t>IV)</w:t>
        </w:r>
        <w:r w:rsidR="00855EB6">
          <w:rPr>
            <w:rFonts w:asciiTheme="minorHAnsi" w:eastAsiaTheme="minorEastAsia" w:hAnsiTheme="minorHAnsi" w:cstheme="minorBidi"/>
            <w:noProof/>
          </w:rPr>
          <w:tab/>
        </w:r>
        <w:r w:rsidR="00855EB6" w:rsidRPr="007A2625">
          <w:rPr>
            <w:rStyle w:val="Hyperlink"/>
            <w:noProof/>
          </w:rPr>
          <w:t>REZIME</w:t>
        </w:r>
        <w:r w:rsidR="00855EB6">
          <w:rPr>
            <w:noProof/>
            <w:webHidden/>
          </w:rPr>
          <w:tab/>
        </w:r>
        <w:r w:rsidR="00855EB6">
          <w:rPr>
            <w:noProof/>
            <w:webHidden/>
          </w:rPr>
          <w:fldChar w:fldCharType="begin"/>
        </w:r>
        <w:r w:rsidR="00855EB6">
          <w:rPr>
            <w:noProof/>
            <w:webHidden/>
          </w:rPr>
          <w:instrText xml:space="preserve"> PAGEREF _Toc527353237 \h </w:instrText>
        </w:r>
        <w:r w:rsidR="00855EB6">
          <w:rPr>
            <w:noProof/>
            <w:webHidden/>
          </w:rPr>
        </w:r>
        <w:r w:rsidR="00855EB6">
          <w:rPr>
            <w:noProof/>
            <w:webHidden/>
          </w:rPr>
          <w:fldChar w:fldCharType="separate"/>
        </w:r>
        <w:r w:rsidR="00416F0E">
          <w:rPr>
            <w:noProof/>
            <w:webHidden/>
          </w:rPr>
          <w:t>96</w:t>
        </w:r>
        <w:r w:rsidR="00855EB6">
          <w:rPr>
            <w:noProof/>
            <w:webHidden/>
          </w:rPr>
          <w:fldChar w:fldCharType="end"/>
        </w:r>
      </w:hyperlink>
    </w:p>
    <w:p w14:paraId="6B6564B5" w14:textId="6441DF5B"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38" w:history="1">
        <w:r w:rsidR="00855EB6" w:rsidRPr="007A2625">
          <w:rPr>
            <w:rStyle w:val="Hyperlink"/>
            <w:noProof/>
            <w:lang w:val="sr-Latn-ME"/>
          </w:rPr>
          <w:t>4.1</w:t>
        </w:r>
        <w:r w:rsidR="00855EB6">
          <w:rPr>
            <w:rFonts w:asciiTheme="minorHAnsi" w:eastAsiaTheme="minorEastAsia" w:hAnsiTheme="minorHAnsi" w:cstheme="minorBidi"/>
            <w:noProof/>
          </w:rPr>
          <w:tab/>
        </w:r>
        <w:r w:rsidR="00855EB6" w:rsidRPr="007A2625">
          <w:rPr>
            <w:rStyle w:val="Hyperlink"/>
            <w:noProof/>
            <w:lang w:val="sr-Latn-ME"/>
          </w:rPr>
          <w:t>KRATKA INFORMACIJA O CILJEVIMA I OČEKIVANIM REZULTATIMA STRATEGIJE</w:t>
        </w:r>
        <w:r w:rsidR="00855EB6">
          <w:rPr>
            <w:noProof/>
            <w:webHidden/>
          </w:rPr>
          <w:tab/>
        </w:r>
        <w:r w:rsidR="00855EB6">
          <w:rPr>
            <w:noProof/>
            <w:webHidden/>
          </w:rPr>
          <w:fldChar w:fldCharType="begin"/>
        </w:r>
        <w:r w:rsidR="00855EB6">
          <w:rPr>
            <w:noProof/>
            <w:webHidden/>
          </w:rPr>
          <w:instrText xml:space="preserve"> PAGEREF _Toc527353238 \h </w:instrText>
        </w:r>
        <w:r w:rsidR="00855EB6">
          <w:rPr>
            <w:noProof/>
            <w:webHidden/>
          </w:rPr>
        </w:r>
        <w:r w:rsidR="00855EB6">
          <w:rPr>
            <w:noProof/>
            <w:webHidden/>
          </w:rPr>
          <w:fldChar w:fldCharType="separate"/>
        </w:r>
        <w:r w:rsidR="00416F0E">
          <w:rPr>
            <w:noProof/>
            <w:webHidden/>
          </w:rPr>
          <w:t>97</w:t>
        </w:r>
        <w:r w:rsidR="00855EB6">
          <w:rPr>
            <w:noProof/>
            <w:webHidden/>
          </w:rPr>
          <w:fldChar w:fldCharType="end"/>
        </w:r>
      </w:hyperlink>
    </w:p>
    <w:p w14:paraId="2BD568CB" w14:textId="15623745" w:rsidR="00855EB6" w:rsidRDefault="00B55A8E" w:rsidP="00E04218">
      <w:pPr>
        <w:pStyle w:val="TOC1"/>
        <w:tabs>
          <w:tab w:val="left" w:pos="440"/>
          <w:tab w:val="right" w:leader="dot" w:pos="9629"/>
        </w:tabs>
        <w:spacing w:before="60" w:after="0"/>
        <w:rPr>
          <w:rFonts w:asciiTheme="minorHAnsi" w:eastAsiaTheme="minorEastAsia" w:hAnsiTheme="minorHAnsi" w:cstheme="minorBidi"/>
          <w:noProof/>
        </w:rPr>
      </w:pPr>
      <w:hyperlink w:anchor="_Toc527353239" w:history="1">
        <w:r w:rsidR="00855EB6" w:rsidRPr="007A2625">
          <w:rPr>
            <w:rStyle w:val="Hyperlink"/>
            <w:noProof/>
          </w:rPr>
          <w:t>V)</w:t>
        </w:r>
        <w:r w:rsidR="00855EB6">
          <w:rPr>
            <w:rFonts w:asciiTheme="minorHAnsi" w:eastAsiaTheme="minorEastAsia" w:hAnsiTheme="minorHAnsi" w:cstheme="minorBidi"/>
            <w:noProof/>
          </w:rPr>
          <w:tab/>
        </w:r>
        <w:r w:rsidR="00E04218">
          <w:rPr>
            <w:rFonts w:asciiTheme="minorHAnsi" w:eastAsiaTheme="minorEastAsia" w:hAnsiTheme="minorHAnsi" w:cstheme="minorBidi"/>
            <w:noProof/>
          </w:rPr>
          <w:t xml:space="preserve">    </w:t>
        </w:r>
        <w:r w:rsidR="00855EB6" w:rsidRPr="007A2625">
          <w:rPr>
            <w:rStyle w:val="Hyperlink"/>
            <w:noProof/>
          </w:rPr>
          <w:t>AKCIONI PLAN</w:t>
        </w:r>
        <w:r w:rsidR="00855EB6">
          <w:rPr>
            <w:noProof/>
            <w:webHidden/>
          </w:rPr>
          <w:tab/>
        </w:r>
        <w:r w:rsidR="00855EB6">
          <w:rPr>
            <w:noProof/>
            <w:webHidden/>
          </w:rPr>
          <w:fldChar w:fldCharType="begin"/>
        </w:r>
        <w:r w:rsidR="00855EB6">
          <w:rPr>
            <w:noProof/>
            <w:webHidden/>
          </w:rPr>
          <w:instrText xml:space="preserve"> PAGEREF _Toc527353239 \h </w:instrText>
        </w:r>
        <w:r w:rsidR="00855EB6">
          <w:rPr>
            <w:noProof/>
            <w:webHidden/>
          </w:rPr>
        </w:r>
        <w:r w:rsidR="00855EB6">
          <w:rPr>
            <w:noProof/>
            <w:webHidden/>
          </w:rPr>
          <w:fldChar w:fldCharType="separate"/>
        </w:r>
        <w:r w:rsidR="00416F0E">
          <w:rPr>
            <w:noProof/>
            <w:webHidden/>
          </w:rPr>
          <w:t>98</w:t>
        </w:r>
        <w:r w:rsidR="00855EB6">
          <w:rPr>
            <w:noProof/>
            <w:webHidden/>
          </w:rPr>
          <w:fldChar w:fldCharType="end"/>
        </w:r>
      </w:hyperlink>
    </w:p>
    <w:p w14:paraId="35220319" w14:textId="60350D1A" w:rsidR="00855EB6" w:rsidRDefault="00B55A8E" w:rsidP="00E04218">
      <w:pPr>
        <w:pStyle w:val="TOC1"/>
        <w:tabs>
          <w:tab w:val="left" w:pos="660"/>
          <w:tab w:val="right" w:leader="dot" w:pos="9629"/>
        </w:tabs>
        <w:spacing w:before="60" w:after="0"/>
        <w:rPr>
          <w:rFonts w:asciiTheme="minorHAnsi" w:eastAsiaTheme="minorEastAsia" w:hAnsiTheme="minorHAnsi" w:cstheme="minorBidi"/>
          <w:noProof/>
        </w:rPr>
      </w:pPr>
      <w:hyperlink w:anchor="_Toc527353240" w:history="1">
        <w:r w:rsidR="00855EB6" w:rsidRPr="007A2625">
          <w:rPr>
            <w:rStyle w:val="Hyperlink"/>
            <w:noProof/>
            <w:lang w:val="sr-Latn-ME"/>
          </w:rPr>
          <w:t>5.1.</w:t>
        </w:r>
        <w:r w:rsidR="00855EB6">
          <w:rPr>
            <w:rFonts w:asciiTheme="minorHAnsi" w:eastAsiaTheme="minorEastAsia" w:hAnsiTheme="minorHAnsi" w:cstheme="minorBidi"/>
            <w:noProof/>
          </w:rPr>
          <w:tab/>
        </w:r>
        <w:r w:rsidR="00855EB6" w:rsidRPr="007A2625">
          <w:rPr>
            <w:rStyle w:val="Hyperlink"/>
            <w:noProof/>
            <w:lang w:val="sr-Latn-ME"/>
          </w:rPr>
          <w:t>AKCIONI PLAN</w:t>
        </w:r>
        <w:r w:rsidR="00855EB6" w:rsidRPr="007A2625">
          <w:rPr>
            <w:rStyle w:val="Hyperlink"/>
            <w:noProof/>
          </w:rPr>
          <w:t xml:space="preserve"> ZA SPROVO</w:t>
        </w:r>
        <w:r w:rsidR="00855EB6" w:rsidRPr="007A2625">
          <w:rPr>
            <w:rStyle w:val="Hyperlink"/>
            <w:noProof/>
            <w:lang w:val="sr-Latn-RS"/>
          </w:rPr>
          <w:t>ĐENJE NACIONALNE STRATEGIJE UPRAVLJANJA HEMIKALIJAMA</w:t>
        </w:r>
        <w:r w:rsidR="00855EB6">
          <w:rPr>
            <w:noProof/>
            <w:webHidden/>
          </w:rPr>
          <w:tab/>
        </w:r>
        <w:r w:rsidR="00855EB6">
          <w:rPr>
            <w:noProof/>
            <w:webHidden/>
          </w:rPr>
          <w:fldChar w:fldCharType="begin"/>
        </w:r>
        <w:r w:rsidR="00855EB6">
          <w:rPr>
            <w:noProof/>
            <w:webHidden/>
          </w:rPr>
          <w:instrText xml:space="preserve"> PAGEREF _Toc527353240 \h </w:instrText>
        </w:r>
        <w:r w:rsidR="00855EB6">
          <w:rPr>
            <w:noProof/>
            <w:webHidden/>
          </w:rPr>
        </w:r>
        <w:r w:rsidR="00855EB6">
          <w:rPr>
            <w:noProof/>
            <w:webHidden/>
          </w:rPr>
          <w:fldChar w:fldCharType="separate"/>
        </w:r>
        <w:r w:rsidR="00416F0E">
          <w:rPr>
            <w:noProof/>
            <w:webHidden/>
          </w:rPr>
          <w:t>99</w:t>
        </w:r>
        <w:r w:rsidR="00855EB6">
          <w:rPr>
            <w:noProof/>
            <w:webHidden/>
          </w:rPr>
          <w:fldChar w:fldCharType="end"/>
        </w:r>
      </w:hyperlink>
    </w:p>
    <w:p w14:paraId="5252C5F6" w14:textId="23EBED84" w:rsidR="002A27A9" w:rsidRDefault="000E1B12" w:rsidP="00E04218">
      <w:pPr>
        <w:spacing w:before="60" w:after="0"/>
        <w:rPr>
          <w:rFonts w:asciiTheme="minorHAnsi" w:hAnsiTheme="minorHAnsi" w:cstheme="minorHAnsi"/>
          <w:noProof/>
          <w:lang w:val="sr-Latn-ME"/>
        </w:rPr>
      </w:pPr>
      <w:r w:rsidRPr="00AB15C7">
        <w:rPr>
          <w:rFonts w:ascii="Cambria" w:hAnsi="Cambria"/>
          <w:b/>
          <w:bCs/>
          <w:noProof/>
        </w:rPr>
        <w:fldChar w:fldCharType="end"/>
      </w:r>
      <w:r w:rsidR="00AC4E8E" w:rsidRPr="00D87252">
        <w:rPr>
          <w:rFonts w:asciiTheme="minorHAnsi" w:hAnsiTheme="minorHAnsi" w:cstheme="minorHAnsi"/>
          <w:b/>
          <w:noProof/>
          <w:lang w:val="sr-Latn-ME"/>
        </w:rPr>
        <w:t>Prilog:</w:t>
      </w:r>
      <w:r w:rsidR="00AC4E8E" w:rsidRPr="00AC4E8E">
        <w:rPr>
          <w:rFonts w:asciiTheme="minorHAnsi" w:hAnsiTheme="minorHAnsi" w:cstheme="minorHAnsi"/>
          <w:noProof/>
          <w:lang w:val="sr-Latn-ME"/>
        </w:rPr>
        <w:t xml:space="preserve"> Pregled relevantnog nacionalnog </w:t>
      </w:r>
      <w:r w:rsidR="00A76A53">
        <w:rPr>
          <w:rFonts w:asciiTheme="minorHAnsi" w:hAnsiTheme="minorHAnsi" w:cstheme="minorHAnsi"/>
          <w:noProof/>
          <w:lang w:val="sr-Latn-ME"/>
        </w:rPr>
        <w:t>z</w:t>
      </w:r>
      <w:r w:rsidR="00AC4E8E" w:rsidRPr="00AC4E8E">
        <w:rPr>
          <w:rFonts w:asciiTheme="minorHAnsi" w:hAnsiTheme="minorHAnsi" w:cstheme="minorHAnsi"/>
          <w:noProof/>
          <w:lang w:val="sr-Latn-ME"/>
        </w:rPr>
        <w:t>akonodavstva...........................................................</w:t>
      </w:r>
      <w:r w:rsidR="00AC4E8E">
        <w:rPr>
          <w:rFonts w:asciiTheme="minorHAnsi" w:hAnsiTheme="minorHAnsi" w:cstheme="minorHAnsi"/>
          <w:noProof/>
          <w:lang w:val="sr-Latn-ME"/>
        </w:rPr>
        <w:t>..</w:t>
      </w:r>
      <w:r w:rsidR="00AC4E8E" w:rsidRPr="00AC4E8E">
        <w:rPr>
          <w:rFonts w:asciiTheme="minorHAnsi" w:hAnsiTheme="minorHAnsi" w:cstheme="minorHAnsi"/>
          <w:noProof/>
          <w:lang w:val="sr-Latn-ME"/>
        </w:rPr>
        <w:t>.................</w:t>
      </w:r>
      <w:r w:rsidR="00D62399" w:rsidRPr="00AC4E8E">
        <w:rPr>
          <w:rFonts w:asciiTheme="minorHAnsi" w:hAnsiTheme="minorHAnsi" w:cstheme="minorHAnsi"/>
          <w:noProof/>
          <w:lang w:val="sr-Latn-ME"/>
        </w:rPr>
        <w:t>1</w:t>
      </w:r>
      <w:r w:rsidR="00D62399">
        <w:rPr>
          <w:rFonts w:asciiTheme="minorHAnsi" w:hAnsiTheme="minorHAnsi" w:cstheme="minorHAnsi"/>
          <w:noProof/>
          <w:lang w:val="sr-Latn-ME"/>
        </w:rPr>
        <w:t>1</w:t>
      </w:r>
      <w:r w:rsidR="00E04218">
        <w:rPr>
          <w:rFonts w:asciiTheme="minorHAnsi" w:hAnsiTheme="minorHAnsi" w:cstheme="minorHAnsi"/>
          <w:noProof/>
          <w:lang w:val="sr-Latn-ME"/>
        </w:rPr>
        <w:t>5</w:t>
      </w:r>
    </w:p>
    <w:p w14:paraId="4C8145E2" w14:textId="77777777" w:rsidR="00A76A53" w:rsidRPr="00AC4E8E" w:rsidRDefault="00A76A53" w:rsidP="00A76A53">
      <w:pPr>
        <w:spacing w:after="0"/>
        <w:rPr>
          <w:rFonts w:asciiTheme="minorHAnsi" w:hAnsiTheme="minorHAnsi" w:cstheme="minorHAnsi"/>
          <w:noProof/>
          <w:lang w:val="sr-Latn-ME"/>
        </w:rPr>
      </w:pPr>
    </w:p>
    <w:p w14:paraId="1662CEF0" w14:textId="41F2CA44" w:rsidR="00E53E5F" w:rsidRPr="00E53E5F" w:rsidRDefault="00E53E5F" w:rsidP="00D87252">
      <w:pPr>
        <w:pStyle w:val="TOCHeading"/>
        <w:shd w:val="clear" w:color="auto" w:fill="B2A1C7"/>
        <w:tabs>
          <w:tab w:val="right" w:pos="9639"/>
        </w:tabs>
        <w:rPr>
          <w:noProof/>
          <w:color w:val="auto"/>
          <w:sz w:val="22"/>
          <w:szCs w:val="22"/>
          <w:lang w:val="en-US"/>
        </w:rPr>
      </w:pPr>
      <w:r w:rsidRPr="00E53E5F">
        <w:rPr>
          <w:noProof/>
          <w:color w:val="auto"/>
          <w:sz w:val="22"/>
          <w:szCs w:val="22"/>
          <w:lang w:val="en-US"/>
        </w:rPr>
        <w:lastRenderedPageBreak/>
        <w:t>LISTA GRAFIKONA i TABELA</w:t>
      </w:r>
      <w:r w:rsidR="00D87252">
        <w:rPr>
          <w:noProof/>
          <w:color w:val="auto"/>
          <w:sz w:val="22"/>
          <w:szCs w:val="22"/>
          <w:lang w:val="en-US"/>
        </w:rPr>
        <w:tab/>
      </w:r>
    </w:p>
    <w:p w14:paraId="65938087" w14:textId="4A952F0D" w:rsidR="00FF3A42" w:rsidRPr="00FF3A42" w:rsidRDefault="00FF3A42" w:rsidP="00E04218">
      <w:pPr>
        <w:spacing w:before="120" w:after="60"/>
        <w:jc w:val="both"/>
        <w:rPr>
          <w:rFonts w:ascii="Cambria" w:hAnsi="Cambria"/>
          <w:noProof/>
          <w:lang w:val="sr-Latn-ME"/>
        </w:rPr>
      </w:pPr>
      <w:r w:rsidRPr="00FF3A42">
        <w:rPr>
          <w:rFonts w:ascii="Cambria" w:hAnsi="Cambria"/>
          <w:i/>
          <w:noProof/>
          <w:lang w:val="sr-Latn-ME"/>
        </w:rPr>
        <w:t>Grafik 1</w:t>
      </w:r>
      <w:r w:rsidRPr="00FF3A42">
        <w:rPr>
          <w:rFonts w:ascii="Cambria" w:hAnsi="Cambria"/>
          <w:noProof/>
          <w:lang w:val="sr-Latn-ME"/>
        </w:rPr>
        <w:t>. Bruto domaći proizvod u Crnoj Gori 2007-2016</w:t>
      </w:r>
    </w:p>
    <w:p w14:paraId="66B69FF8" w14:textId="77777777" w:rsidR="00FF3A42" w:rsidRDefault="00FF3A42" w:rsidP="00E04218">
      <w:pPr>
        <w:spacing w:before="120" w:after="60"/>
        <w:jc w:val="both"/>
        <w:rPr>
          <w:rFonts w:ascii="Cambria" w:hAnsi="Cambria"/>
          <w:noProof/>
          <w:lang w:val="sr-Latn-ME"/>
        </w:rPr>
      </w:pPr>
      <w:r w:rsidRPr="009C0247">
        <w:rPr>
          <w:rFonts w:ascii="Cambria" w:hAnsi="Cambria"/>
          <w:i/>
          <w:noProof/>
          <w:lang w:val="sr-Latn-ME"/>
        </w:rPr>
        <w:t>Grafik 2</w:t>
      </w:r>
      <w:r w:rsidRPr="00FF3A42">
        <w:rPr>
          <w:rFonts w:ascii="Cambria" w:hAnsi="Cambria"/>
          <w:noProof/>
          <w:lang w:val="sr-Latn-ME"/>
        </w:rPr>
        <w:t>. Zaposlena lica prema sektorima djelatnosti</w:t>
      </w:r>
    </w:p>
    <w:p w14:paraId="0723E0A3" w14:textId="77777777" w:rsidR="00FF3A42" w:rsidRDefault="00FF3A42" w:rsidP="00E04218">
      <w:pPr>
        <w:spacing w:before="120" w:after="60"/>
        <w:jc w:val="both"/>
        <w:rPr>
          <w:rFonts w:ascii="Cambria" w:hAnsi="Cambria"/>
          <w:noProof/>
          <w:lang w:val="sr-Latn-ME"/>
        </w:rPr>
      </w:pPr>
      <w:r w:rsidRPr="00F1313E">
        <w:rPr>
          <w:rFonts w:ascii="Cambria" w:hAnsi="Cambria"/>
          <w:i/>
          <w:noProof/>
          <w:lang w:val="sr-Latn-ME"/>
        </w:rPr>
        <w:t>Grafik 3.</w:t>
      </w:r>
      <w:r w:rsidRPr="00FF3A42">
        <w:rPr>
          <w:rFonts w:ascii="Cambria" w:hAnsi="Cambria"/>
          <w:noProof/>
          <w:lang w:val="sr-Latn-ME"/>
        </w:rPr>
        <w:t xml:space="preserve"> Godišnji indeksi industrijske proizvodnje za period 2006-2016.</w:t>
      </w:r>
    </w:p>
    <w:p w14:paraId="066D8424" w14:textId="77777777" w:rsidR="00FF3A42" w:rsidRPr="00FF3A42" w:rsidRDefault="00FF3A42" w:rsidP="00E04218">
      <w:pPr>
        <w:spacing w:before="120" w:after="60"/>
        <w:jc w:val="both"/>
        <w:rPr>
          <w:rFonts w:ascii="Cambria" w:hAnsi="Cambria"/>
          <w:noProof/>
          <w:lang w:val="sr-Latn-ME"/>
        </w:rPr>
      </w:pPr>
      <w:r w:rsidRPr="00FF3A42">
        <w:rPr>
          <w:rFonts w:ascii="Cambria" w:hAnsi="Cambria"/>
          <w:i/>
          <w:noProof/>
          <w:lang w:val="sr-Latn-ME"/>
        </w:rPr>
        <w:t>Grafik 4</w:t>
      </w:r>
      <w:r w:rsidRPr="00FF3A42">
        <w:rPr>
          <w:rFonts w:ascii="Cambria" w:hAnsi="Cambria"/>
          <w:noProof/>
          <w:lang w:val="sr-Latn-ME"/>
        </w:rPr>
        <w:t>. Struktura korišćenog poljoprivrednog zemljišta u 2016. godini</w:t>
      </w:r>
    </w:p>
    <w:p w14:paraId="32731206" w14:textId="77777777" w:rsidR="00FF3A42" w:rsidRDefault="00FF3A42" w:rsidP="00E04218">
      <w:pPr>
        <w:spacing w:before="120" w:after="60"/>
        <w:jc w:val="both"/>
        <w:rPr>
          <w:rFonts w:ascii="Cambria" w:hAnsi="Cambria"/>
          <w:noProof/>
          <w:lang w:val="sr-Latn-ME"/>
        </w:rPr>
      </w:pPr>
      <w:r w:rsidRPr="00FF3A42">
        <w:rPr>
          <w:rFonts w:ascii="Cambria" w:hAnsi="Cambria"/>
          <w:i/>
          <w:noProof/>
          <w:lang w:val="sr-Latn-ME"/>
        </w:rPr>
        <w:t>Grafik 5</w:t>
      </w:r>
      <w:r w:rsidRPr="00FF3A42">
        <w:rPr>
          <w:rFonts w:ascii="Cambria" w:hAnsi="Cambria"/>
          <w:noProof/>
          <w:lang w:val="sr-Latn-ME"/>
        </w:rPr>
        <w:t>.</w:t>
      </w:r>
      <w:r w:rsidRPr="00FF3A42">
        <w:rPr>
          <w:rFonts w:ascii="Cambria" w:hAnsi="Cambria"/>
          <w:noProof/>
        </w:rPr>
        <w:t xml:space="preserve"> </w:t>
      </w:r>
      <w:r w:rsidRPr="00FF3A42">
        <w:rPr>
          <w:rFonts w:ascii="Cambria" w:hAnsi="Cambria"/>
          <w:noProof/>
          <w:lang w:val="sr-Latn-ME"/>
        </w:rPr>
        <w:t xml:space="preserve">Struktura pojedinih robnih grupa u ukupnom godišnjem prometu trgovine na veliko </w:t>
      </w:r>
    </w:p>
    <w:p w14:paraId="03874BD2" w14:textId="77777777" w:rsidR="009C0247" w:rsidRPr="009C0247" w:rsidRDefault="009C0247" w:rsidP="00E04218">
      <w:pPr>
        <w:spacing w:before="120" w:after="60"/>
        <w:jc w:val="both"/>
        <w:rPr>
          <w:rFonts w:ascii="Cambria" w:hAnsi="Cambria"/>
          <w:iCs/>
          <w:noProof/>
        </w:rPr>
      </w:pPr>
      <w:r w:rsidRPr="009C0247">
        <w:rPr>
          <w:rFonts w:ascii="Cambria" w:hAnsi="Cambria"/>
          <w:i/>
          <w:iCs/>
          <w:noProof/>
        </w:rPr>
        <w:t>Grafik 6</w:t>
      </w:r>
      <w:r w:rsidRPr="009C0247">
        <w:rPr>
          <w:rFonts w:ascii="Cambria" w:hAnsi="Cambria"/>
          <w:iCs/>
          <w:noProof/>
        </w:rPr>
        <w:t>.</w:t>
      </w:r>
      <w:r w:rsidRPr="009C0247">
        <w:rPr>
          <w:rFonts w:ascii="Cambria" w:hAnsi="Cambria"/>
          <w:noProof/>
        </w:rPr>
        <w:t xml:space="preserve"> </w:t>
      </w:r>
      <w:r w:rsidRPr="009C0247">
        <w:rPr>
          <w:rFonts w:ascii="Cambria" w:hAnsi="Cambria"/>
          <w:iCs/>
          <w:noProof/>
        </w:rPr>
        <w:t>Postupanje sa industrijskim otpadom, 2016. godina</w:t>
      </w:r>
    </w:p>
    <w:p w14:paraId="78747062" w14:textId="77777777" w:rsidR="009C0247" w:rsidRDefault="009C0247" w:rsidP="00E04218">
      <w:pPr>
        <w:spacing w:before="120" w:after="60"/>
        <w:jc w:val="both"/>
        <w:rPr>
          <w:rFonts w:ascii="Cambria" w:hAnsi="Cambria"/>
          <w:noProof/>
          <w:lang w:val="sr-Latn-ME"/>
        </w:rPr>
      </w:pPr>
      <w:r w:rsidRPr="009C0247">
        <w:rPr>
          <w:rFonts w:ascii="Cambria" w:hAnsi="Cambria"/>
          <w:i/>
          <w:noProof/>
          <w:lang w:val="sr-Latn-ME"/>
        </w:rPr>
        <w:t>Grafik 7</w:t>
      </w:r>
      <w:r w:rsidRPr="009C0247">
        <w:rPr>
          <w:rFonts w:ascii="Cambria" w:hAnsi="Cambria"/>
          <w:noProof/>
          <w:lang w:val="sr-Latn-ME"/>
        </w:rPr>
        <w:t>. Postupci obrade industrijskog otpada, 2016. godina</w:t>
      </w:r>
    </w:p>
    <w:p w14:paraId="2608492D" w14:textId="77777777" w:rsidR="009C0247" w:rsidRPr="00FF3A42" w:rsidRDefault="009C0247" w:rsidP="00E04218">
      <w:pPr>
        <w:spacing w:before="120" w:after="60"/>
        <w:jc w:val="both"/>
        <w:rPr>
          <w:rFonts w:ascii="Cambria" w:hAnsi="Cambria"/>
          <w:noProof/>
          <w:lang w:val="sr-Latn-ME"/>
        </w:rPr>
      </w:pPr>
      <w:r w:rsidRPr="009C0247">
        <w:rPr>
          <w:rFonts w:ascii="Cambria" w:hAnsi="Cambria"/>
          <w:i/>
          <w:noProof/>
          <w:lang w:val="sr-Latn-ME"/>
        </w:rPr>
        <w:t>Grafik 8</w:t>
      </w:r>
      <w:r w:rsidRPr="009C0247">
        <w:rPr>
          <w:rFonts w:ascii="Cambria" w:hAnsi="Cambria"/>
          <w:noProof/>
          <w:lang w:val="sr-Latn-ME"/>
        </w:rPr>
        <w:t>. Izvoz industrijskog otpada, 2016. godina</w:t>
      </w:r>
    </w:p>
    <w:p w14:paraId="26EC1AA4" w14:textId="77777777" w:rsidR="00F1313E" w:rsidRPr="00F1313E" w:rsidRDefault="00F1313E" w:rsidP="00E04218">
      <w:pPr>
        <w:spacing w:before="120" w:after="60"/>
        <w:jc w:val="both"/>
        <w:rPr>
          <w:rFonts w:ascii="Cambria" w:hAnsi="Cambria"/>
          <w:noProof/>
        </w:rPr>
      </w:pPr>
      <w:r w:rsidRPr="00F1313E">
        <w:rPr>
          <w:rFonts w:ascii="Cambria" w:hAnsi="Cambria"/>
          <w:i/>
          <w:noProof/>
        </w:rPr>
        <w:t>Tabela 1</w:t>
      </w:r>
      <w:r w:rsidRPr="00F1313E">
        <w:rPr>
          <w:rFonts w:ascii="Cambria" w:hAnsi="Cambria"/>
          <w:noProof/>
        </w:rPr>
        <w:t>. Makroekonomska kretanja u Crnoj Gori za period od 2012. do 2017.godine</w:t>
      </w:r>
    </w:p>
    <w:p w14:paraId="4AC6D082" w14:textId="77777777" w:rsidR="00F1313E" w:rsidRPr="00F1313E" w:rsidRDefault="00F1313E" w:rsidP="00E04218">
      <w:pPr>
        <w:spacing w:before="120" w:after="60"/>
        <w:jc w:val="both"/>
        <w:rPr>
          <w:rFonts w:ascii="Cambria" w:hAnsi="Cambria"/>
          <w:noProof/>
        </w:rPr>
      </w:pPr>
      <w:r w:rsidRPr="00F1313E">
        <w:rPr>
          <w:rFonts w:ascii="Cambria" w:hAnsi="Cambria"/>
          <w:i/>
          <w:noProof/>
        </w:rPr>
        <w:t>Tabela 2</w:t>
      </w:r>
      <w:r w:rsidRPr="00F1313E">
        <w:rPr>
          <w:rFonts w:ascii="Cambria" w:hAnsi="Cambria"/>
          <w:noProof/>
        </w:rPr>
        <w:t>. Bruto dodata vrijednost, stalne cijene, struktura u % po klasifikaciji djelatnosti</w:t>
      </w:r>
    </w:p>
    <w:p w14:paraId="4839D747" w14:textId="77777777" w:rsidR="00FF3A42" w:rsidRDefault="00F1313E" w:rsidP="00E04218">
      <w:pPr>
        <w:spacing w:before="120" w:after="60"/>
        <w:jc w:val="both"/>
        <w:rPr>
          <w:rFonts w:ascii="Cambria" w:hAnsi="Cambria"/>
          <w:noProof/>
          <w:lang w:val="sr-Latn-ME"/>
        </w:rPr>
      </w:pPr>
      <w:r w:rsidRPr="00F1313E">
        <w:rPr>
          <w:rFonts w:ascii="Cambria" w:hAnsi="Cambria"/>
          <w:i/>
          <w:noProof/>
          <w:lang w:val="sr-Latn-ME"/>
        </w:rPr>
        <w:t>Tabela 3.</w:t>
      </w:r>
      <w:r w:rsidRPr="00F1313E">
        <w:rPr>
          <w:rFonts w:ascii="Cambria" w:hAnsi="Cambria"/>
          <w:noProof/>
          <w:lang w:val="sr-Latn-ME"/>
        </w:rPr>
        <w:t xml:space="preserve"> Lista preduzeća upisanih u Registar hemikalija za 2016.</w:t>
      </w:r>
      <w:r>
        <w:rPr>
          <w:rFonts w:ascii="Cambria" w:hAnsi="Cambria"/>
          <w:noProof/>
          <w:lang w:val="sr-Latn-ME"/>
        </w:rPr>
        <w:t xml:space="preserve"> godinu</w:t>
      </w:r>
    </w:p>
    <w:p w14:paraId="6E04A6A4" w14:textId="77777777" w:rsidR="00F1313E" w:rsidRDefault="00F1313E" w:rsidP="00E04218">
      <w:pPr>
        <w:spacing w:before="120" w:after="60"/>
        <w:jc w:val="both"/>
        <w:rPr>
          <w:rFonts w:ascii="Cambria" w:hAnsi="Cambria"/>
          <w:noProof/>
          <w:lang w:val="sr-Latn-ME"/>
        </w:rPr>
      </w:pPr>
      <w:r w:rsidRPr="00F1313E">
        <w:rPr>
          <w:rFonts w:ascii="Cambria" w:hAnsi="Cambria"/>
          <w:i/>
          <w:noProof/>
          <w:lang w:val="sr-Latn-ME"/>
        </w:rPr>
        <w:t>Tabela 4</w:t>
      </w:r>
      <w:r w:rsidRPr="00F1313E">
        <w:rPr>
          <w:rFonts w:ascii="Cambria" w:hAnsi="Cambria"/>
          <w:noProof/>
          <w:lang w:val="sr-Latn-ME"/>
        </w:rPr>
        <w:t>. Podaci o najzastupljenijim hemikalijama za tržištu Crne Gore na osnovu upisa u Registar hemikalija za 2016. godinu</w:t>
      </w:r>
    </w:p>
    <w:p w14:paraId="4379D857" w14:textId="77777777" w:rsidR="00F1313E" w:rsidRPr="00F1313E" w:rsidRDefault="00F1313E" w:rsidP="00E04218">
      <w:pPr>
        <w:spacing w:before="120" w:after="60"/>
        <w:jc w:val="both"/>
        <w:rPr>
          <w:rFonts w:ascii="Cambria" w:hAnsi="Cambria"/>
          <w:noProof/>
          <w:lang w:val="sr-Latn-ME"/>
        </w:rPr>
      </w:pPr>
      <w:r w:rsidRPr="00F1313E">
        <w:rPr>
          <w:rFonts w:ascii="Cambria" w:hAnsi="Cambria"/>
          <w:i/>
          <w:noProof/>
          <w:lang w:val="sr-Latn-ME"/>
        </w:rPr>
        <w:t xml:space="preserve">Tabela 5. </w:t>
      </w:r>
      <w:r w:rsidRPr="00F1313E">
        <w:rPr>
          <w:rFonts w:ascii="Cambria" w:hAnsi="Cambria"/>
          <w:noProof/>
          <w:lang w:val="sr-Latn-ME"/>
        </w:rPr>
        <w:t xml:space="preserve">Seveso postrojenja većeg rizika shodno količinama opasnih materija </w:t>
      </w:r>
    </w:p>
    <w:p w14:paraId="346D57B3" w14:textId="77777777" w:rsidR="00F1313E" w:rsidRPr="00F1313E" w:rsidRDefault="00F1313E" w:rsidP="00E04218">
      <w:pPr>
        <w:spacing w:before="120" w:after="60"/>
        <w:jc w:val="both"/>
        <w:rPr>
          <w:rFonts w:ascii="Cambria" w:hAnsi="Cambria"/>
          <w:i/>
          <w:noProof/>
          <w:lang w:val="sr-Latn-ME"/>
        </w:rPr>
      </w:pPr>
      <w:r w:rsidRPr="00F1313E">
        <w:rPr>
          <w:rFonts w:ascii="Cambria" w:hAnsi="Cambria"/>
          <w:i/>
          <w:noProof/>
          <w:lang w:val="sr-Latn-ME"/>
        </w:rPr>
        <w:t xml:space="preserve">Tabela 6. </w:t>
      </w:r>
      <w:r w:rsidRPr="00F1313E">
        <w:rPr>
          <w:rFonts w:ascii="Cambria" w:hAnsi="Cambria"/>
          <w:noProof/>
          <w:lang w:val="sr-Latn-ME"/>
        </w:rPr>
        <w:t>Udio prerađivačke industrije u BPD Crne Gore za 2015. i 2016. godinu</w:t>
      </w:r>
    </w:p>
    <w:p w14:paraId="61CA3C8D" w14:textId="77777777" w:rsidR="00F1313E" w:rsidRPr="00F1313E" w:rsidRDefault="00F1313E" w:rsidP="00E04218">
      <w:pPr>
        <w:spacing w:before="120" w:after="60"/>
        <w:jc w:val="both"/>
        <w:rPr>
          <w:rFonts w:ascii="Cambria" w:hAnsi="Cambria"/>
          <w:i/>
          <w:noProof/>
          <w:lang w:val="sr-Latn-ME"/>
        </w:rPr>
      </w:pPr>
      <w:r w:rsidRPr="00F1313E">
        <w:rPr>
          <w:rFonts w:ascii="Cambria" w:hAnsi="Cambria"/>
          <w:i/>
          <w:noProof/>
          <w:lang w:val="sr-Latn-ME"/>
        </w:rPr>
        <w:t xml:space="preserve">Tabela 7. </w:t>
      </w:r>
      <w:r w:rsidRPr="00F1313E">
        <w:rPr>
          <w:rFonts w:ascii="Cambria" w:hAnsi="Cambria"/>
          <w:noProof/>
          <w:lang w:val="sr-Latn-ME"/>
        </w:rPr>
        <w:t>Stope industrijske proizvodnje u sektoru prerađivačke industrije</w:t>
      </w:r>
    </w:p>
    <w:p w14:paraId="2681D4DA" w14:textId="77777777" w:rsidR="00F1313E" w:rsidRPr="00F1313E" w:rsidRDefault="00F1313E" w:rsidP="00E04218">
      <w:pPr>
        <w:spacing w:before="120" w:after="60"/>
        <w:jc w:val="both"/>
        <w:rPr>
          <w:rFonts w:ascii="Cambria" w:hAnsi="Cambria"/>
          <w:noProof/>
          <w:lang w:val="sr-Latn-ME"/>
        </w:rPr>
      </w:pPr>
      <w:r w:rsidRPr="00F1313E">
        <w:rPr>
          <w:rFonts w:ascii="Cambria" w:hAnsi="Cambria"/>
          <w:i/>
          <w:noProof/>
          <w:lang w:val="sr-Latn-ME"/>
        </w:rPr>
        <w:t xml:space="preserve">Tabela 8. </w:t>
      </w:r>
      <w:r w:rsidRPr="00F1313E">
        <w:rPr>
          <w:rFonts w:ascii="Cambria" w:hAnsi="Cambria"/>
          <w:noProof/>
          <w:lang w:val="sr-Latn-ME"/>
        </w:rPr>
        <w:t>Indeks industrijske proizvodnje u podsektoru hemikalija i hemijskih proizvoda i proizvodnje osnovnih metala u periodu 2012-2016.</w:t>
      </w:r>
    </w:p>
    <w:p w14:paraId="5DCF6AB0" w14:textId="77777777" w:rsidR="00F1313E" w:rsidRDefault="00F1313E" w:rsidP="00E04218">
      <w:pPr>
        <w:spacing w:before="120" w:after="60"/>
        <w:rPr>
          <w:rFonts w:ascii="Cambria" w:hAnsi="Cambria"/>
          <w:noProof/>
          <w:lang w:val="sr-Latn-ME"/>
        </w:rPr>
      </w:pPr>
      <w:r w:rsidRPr="00940834">
        <w:rPr>
          <w:rFonts w:ascii="Cambria" w:hAnsi="Cambria"/>
          <w:i/>
          <w:noProof/>
          <w:lang w:val="sr-Latn-ME"/>
        </w:rPr>
        <w:t>Tabela 9.</w:t>
      </w:r>
      <w:r w:rsidRPr="00940834">
        <w:rPr>
          <w:rFonts w:ascii="Cambria" w:hAnsi="Cambria"/>
          <w:noProof/>
          <w:lang w:val="sr-Latn-ME"/>
        </w:rPr>
        <w:t xml:space="preserve"> Proizvodnja relevantnih industrijskih proizvoda po PRODCOM-u 2015-2016.</w:t>
      </w:r>
    </w:p>
    <w:p w14:paraId="793CC451" w14:textId="77777777" w:rsidR="00F1313E" w:rsidRDefault="00F1313E" w:rsidP="00E04218">
      <w:pPr>
        <w:spacing w:before="120" w:after="60"/>
        <w:rPr>
          <w:rFonts w:ascii="Cambria" w:hAnsi="Cambria"/>
          <w:bCs/>
          <w:noProof/>
        </w:rPr>
      </w:pPr>
      <w:r w:rsidRPr="00F1313E">
        <w:rPr>
          <w:rFonts w:ascii="Cambria" w:hAnsi="Cambria"/>
          <w:bCs/>
          <w:i/>
          <w:noProof/>
        </w:rPr>
        <w:t>Tabela 10.</w:t>
      </w:r>
      <w:r w:rsidRPr="00F1313E">
        <w:rPr>
          <w:rFonts w:ascii="Cambria" w:hAnsi="Cambria"/>
          <w:bCs/>
          <w:noProof/>
        </w:rPr>
        <w:t xml:space="preserve"> Promet i stopa učešća po robnim grupama koje uključuju hemikalije</w:t>
      </w:r>
    </w:p>
    <w:p w14:paraId="2B444439" w14:textId="77777777" w:rsidR="00F1313E" w:rsidRPr="00F1313E" w:rsidRDefault="00F1313E" w:rsidP="00E04218">
      <w:pPr>
        <w:spacing w:before="120" w:after="60"/>
        <w:rPr>
          <w:rFonts w:ascii="Cambria" w:hAnsi="Cambria"/>
          <w:noProof/>
          <w:lang w:val="sr-Latn-ME"/>
        </w:rPr>
      </w:pPr>
      <w:r w:rsidRPr="00F1313E">
        <w:rPr>
          <w:rFonts w:ascii="Cambria" w:hAnsi="Cambria"/>
          <w:i/>
          <w:noProof/>
          <w:lang w:val="sr-Latn-ME"/>
        </w:rPr>
        <w:t xml:space="preserve">Tabela 11. </w:t>
      </w:r>
      <w:r w:rsidRPr="00F1313E">
        <w:rPr>
          <w:rFonts w:ascii="Cambria" w:hAnsi="Cambria"/>
          <w:noProof/>
          <w:lang w:val="sr-Latn-ME"/>
        </w:rPr>
        <w:t>Lična potrošnja po grupama proizvoda u Crnoj Gori za 2015. i  2017. (mjesečni prosjek</w:t>
      </w:r>
      <w:r w:rsidRPr="00F1313E">
        <w:rPr>
          <w:rFonts w:ascii="Cambria" w:hAnsi="Cambria"/>
          <w:noProof/>
        </w:rPr>
        <w:t xml:space="preserve"> u €)</w:t>
      </w:r>
    </w:p>
    <w:p w14:paraId="74FA0EA7" w14:textId="77777777" w:rsidR="00F1313E" w:rsidRPr="00AB15C7" w:rsidRDefault="00F1313E" w:rsidP="00E04218">
      <w:pPr>
        <w:spacing w:before="120" w:after="60"/>
        <w:rPr>
          <w:rFonts w:ascii="Cambria" w:hAnsi="Cambria"/>
          <w:noProof/>
          <w:lang w:val="sr-Latn-ME"/>
        </w:rPr>
      </w:pPr>
      <w:r w:rsidRPr="00940834">
        <w:rPr>
          <w:rFonts w:ascii="Cambria" w:hAnsi="Cambria"/>
          <w:i/>
          <w:noProof/>
          <w:lang w:val="sr-Latn-ME"/>
        </w:rPr>
        <w:t>Tabela 12</w:t>
      </w:r>
      <w:r w:rsidRPr="00AB15C7">
        <w:rPr>
          <w:rFonts w:ascii="Cambria" w:hAnsi="Cambria"/>
          <w:noProof/>
          <w:lang w:val="sr-Latn-ME"/>
        </w:rPr>
        <w:t>. Potrošnja sredstava za zaštitu bilja u Crnoj Gori po godinama (u tonama)</w:t>
      </w:r>
    </w:p>
    <w:p w14:paraId="3811159A" w14:textId="77777777" w:rsidR="00F1313E" w:rsidRPr="00940834" w:rsidRDefault="00F1313E" w:rsidP="00E04218">
      <w:pPr>
        <w:spacing w:before="120" w:after="60"/>
        <w:rPr>
          <w:rFonts w:ascii="Cambria" w:hAnsi="Cambria"/>
          <w:noProof/>
          <w:lang w:val="sr-Latn-ME"/>
        </w:rPr>
      </w:pPr>
      <w:r w:rsidRPr="00F1313E">
        <w:rPr>
          <w:rFonts w:ascii="Cambria" w:hAnsi="Cambria"/>
          <w:i/>
          <w:noProof/>
          <w:lang w:val="sr-Latn-ME"/>
        </w:rPr>
        <w:t>Tabela 13</w:t>
      </w:r>
      <w:r w:rsidRPr="00F1313E">
        <w:rPr>
          <w:rFonts w:ascii="Cambria" w:hAnsi="Cambria"/>
          <w:noProof/>
          <w:lang w:val="sr-Latn-ME"/>
        </w:rPr>
        <w:t>. Generisani industrijski otpad prema sektorima 2016. u tonama</w:t>
      </w:r>
    </w:p>
    <w:p w14:paraId="02769562" w14:textId="77777777" w:rsidR="00F1313E" w:rsidRPr="00F1313E" w:rsidRDefault="00F1313E" w:rsidP="00E04218">
      <w:pPr>
        <w:spacing w:before="120" w:after="60"/>
        <w:jc w:val="both"/>
        <w:rPr>
          <w:rFonts w:ascii="Cambria" w:hAnsi="Cambria"/>
          <w:noProof/>
          <w:lang w:val="sr-Latn-ME"/>
        </w:rPr>
      </w:pPr>
      <w:r w:rsidRPr="00F1313E">
        <w:rPr>
          <w:rFonts w:ascii="Cambria" w:hAnsi="Cambria"/>
          <w:i/>
          <w:noProof/>
          <w:lang w:val="sr-Latn-ME"/>
        </w:rPr>
        <w:t>Tabela 14.</w:t>
      </w:r>
      <w:r w:rsidRPr="00F1313E">
        <w:rPr>
          <w:rFonts w:ascii="Cambria" w:hAnsi="Cambria"/>
          <w:noProof/>
          <w:lang w:val="sr-Latn-ME"/>
        </w:rPr>
        <w:t xml:space="preserve"> Generisani industrijski otpad prema grupama Kataloga otpada 2016. u tonama</w:t>
      </w:r>
    </w:p>
    <w:p w14:paraId="1A4D7B50" w14:textId="77777777" w:rsidR="00F1313E" w:rsidRPr="00F1313E" w:rsidRDefault="00F1313E" w:rsidP="00E04218">
      <w:pPr>
        <w:spacing w:before="120" w:after="60"/>
        <w:jc w:val="both"/>
        <w:rPr>
          <w:rFonts w:ascii="Cambria" w:hAnsi="Cambria"/>
          <w:noProof/>
        </w:rPr>
      </w:pPr>
      <w:r w:rsidRPr="00F1313E">
        <w:rPr>
          <w:rFonts w:ascii="Cambria" w:hAnsi="Cambria"/>
          <w:i/>
          <w:noProof/>
        </w:rPr>
        <w:t>Tabela 15.</w:t>
      </w:r>
      <w:r w:rsidRPr="00F1313E">
        <w:rPr>
          <w:rFonts w:ascii="Cambria" w:hAnsi="Cambria"/>
          <w:noProof/>
        </w:rPr>
        <w:t xml:space="preserve"> Tretman otpada u industrijskim preduzećima 2016 (u tonama)</w:t>
      </w:r>
    </w:p>
    <w:p w14:paraId="29807413" w14:textId="77777777" w:rsidR="009A2099" w:rsidRPr="009A2099" w:rsidRDefault="009A2099" w:rsidP="00E04218">
      <w:pPr>
        <w:spacing w:before="120" w:after="60"/>
        <w:jc w:val="both"/>
        <w:rPr>
          <w:rFonts w:ascii="Cambria" w:hAnsi="Cambria"/>
          <w:i/>
          <w:noProof/>
          <w:lang w:val="sr-Latn-ME"/>
        </w:rPr>
      </w:pPr>
      <w:r w:rsidRPr="009A2099">
        <w:rPr>
          <w:rFonts w:ascii="Cambria" w:hAnsi="Cambria"/>
          <w:i/>
          <w:noProof/>
        </w:rPr>
        <w:t>Tabela 16</w:t>
      </w:r>
      <w:r w:rsidRPr="009A2099">
        <w:rPr>
          <w:rFonts w:ascii="Cambria" w:hAnsi="Cambria"/>
          <w:noProof/>
        </w:rPr>
        <w:t>. Vrste i količina opasnog otpada na osnovu izdatih dozvola za izvoz u 2016. godini</w:t>
      </w:r>
    </w:p>
    <w:p w14:paraId="3FF1B65F" w14:textId="77777777" w:rsidR="009A2099" w:rsidRPr="009A2099" w:rsidRDefault="009A2099" w:rsidP="00E04218">
      <w:pPr>
        <w:spacing w:before="120" w:after="60"/>
        <w:jc w:val="both"/>
        <w:rPr>
          <w:rFonts w:ascii="Cambria" w:hAnsi="Cambria"/>
          <w:noProof/>
        </w:rPr>
      </w:pPr>
      <w:r w:rsidRPr="009A2099">
        <w:rPr>
          <w:rFonts w:ascii="Cambria" w:hAnsi="Cambria"/>
          <w:i/>
          <w:noProof/>
        </w:rPr>
        <w:t>Tabela 17</w:t>
      </w:r>
      <w:r w:rsidRPr="009A2099">
        <w:rPr>
          <w:rFonts w:ascii="Cambria" w:hAnsi="Cambria"/>
          <w:noProof/>
        </w:rPr>
        <w:t>. Podaci o zaostalim hemikalijama u bivšim fabrikama u Crnoj Gori</w:t>
      </w:r>
    </w:p>
    <w:p w14:paraId="36EE4091" w14:textId="77777777" w:rsidR="00F1313E" w:rsidRDefault="009A2099" w:rsidP="00E04218">
      <w:pPr>
        <w:spacing w:before="120" w:after="60"/>
        <w:jc w:val="both"/>
        <w:rPr>
          <w:rFonts w:ascii="Cambria" w:hAnsi="Cambria"/>
          <w:noProof/>
          <w:lang w:val="sr-Latn-ME"/>
        </w:rPr>
      </w:pPr>
      <w:r w:rsidRPr="009A2099">
        <w:rPr>
          <w:rFonts w:ascii="Cambria" w:hAnsi="Cambria"/>
          <w:i/>
          <w:noProof/>
          <w:lang w:val="sr-Latn-ME"/>
        </w:rPr>
        <w:t>Tabela 18.</w:t>
      </w:r>
      <w:r w:rsidRPr="009A2099">
        <w:rPr>
          <w:rFonts w:ascii="Cambria" w:hAnsi="Cambria"/>
          <w:noProof/>
          <w:lang w:val="sr-Latn-ME"/>
        </w:rPr>
        <w:t xml:space="preserve"> Inicijalne i nove POPs hemikalije</w:t>
      </w:r>
    </w:p>
    <w:p w14:paraId="6D2FBD49" w14:textId="77777777" w:rsidR="009A2099" w:rsidRDefault="009A2099" w:rsidP="00E04218">
      <w:pPr>
        <w:spacing w:before="120" w:after="60"/>
        <w:jc w:val="both"/>
        <w:rPr>
          <w:rFonts w:ascii="Cambria" w:hAnsi="Cambria"/>
          <w:bCs/>
          <w:noProof/>
        </w:rPr>
      </w:pPr>
      <w:r w:rsidRPr="009A2099">
        <w:rPr>
          <w:rFonts w:ascii="Cambria" w:hAnsi="Cambria"/>
          <w:bCs/>
          <w:i/>
          <w:noProof/>
        </w:rPr>
        <w:t>Tabela 19.</w:t>
      </w:r>
      <w:r w:rsidRPr="009A2099">
        <w:rPr>
          <w:rFonts w:ascii="Cambria" w:hAnsi="Cambria"/>
          <w:bCs/>
          <w:noProof/>
        </w:rPr>
        <w:t xml:space="preserve"> Utvrđena oboljenja, stanja i povreda u vanbolničkoj zdravstvenoj zaštiti u Crnoj Gori za dijagnoze sa šifrom T36 - T50 i T51 - T65</w:t>
      </w:r>
    </w:p>
    <w:p w14:paraId="5B7D85B7" w14:textId="77777777" w:rsidR="009A2099" w:rsidRPr="009A2099" w:rsidRDefault="009A2099" w:rsidP="00E04218">
      <w:pPr>
        <w:spacing w:before="120" w:after="60"/>
        <w:jc w:val="both"/>
        <w:rPr>
          <w:rFonts w:ascii="Cambria" w:hAnsi="Cambria"/>
          <w:bCs/>
          <w:noProof/>
        </w:rPr>
      </w:pPr>
      <w:r w:rsidRPr="009A2099">
        <w:rPr>
          <w:rFonts w:ascii="Cambria" w:hAnsi="Cambria"/>
          <w:bCs/>
          <w:i/>
          <w:noProof/>
          <w:lang w:val="sr-Latn-CS"/>
        </w:rPr>
        <w:t>Tabela 20.</w:t>
      </w:r>
      <w:r w:rsidRPr="009A2099">
        <w:rPr>
          <w:rFonts w:ascii="Cambria" w:hAnsi="Cambria"/>
          <w:bCs/>
          <w:noProof/>
          <w:lang w:val="sr-Latn-CS"/>
        </w:rPr>
        <w:t xml:space="preserve">  Broj bolničkih</w:t>
      </w:r>
      <w:r w:rsidRPr="009A2099">
        <w:rPr>
          <w:rFonts w:ascii="Cambria" w:hAnsi="Cambria"/>
          <w:bCs/>
          <w:noProof/>
        </w:rPr>
        <w:t xml:space="preserve"> otpusta u Crnoj Gori zbog trovanja ljekovima, ljekovitim i biološkim materijama (T36-T50) i toksičnog dejstva neljekovitih supstanci (T51-T65) </w:t>
      </w:r>
      <w:r w:rsidRPr="009A2099">
        <w:rPr>
          <w:rFonts w:ascii="Cambria" w:hAnsi="Cambria"/>
          <w:bCs/>
          <w:noProof/>
          <w:lang w:val="sr-Latn-CS"/>
        </w:rPr>
        <w:t>za period od 2010-2016.</w:t>
      </w:r>
    </w:p>
    <w:p w14:paraId="797FA268" w14:textId="77777777" w:rsidR="009A2099" w:rsidRPr="009A2099" w:rsidRDefault="009A2099" w:rsidP="00E04218">
      <w:pPr>
        <w:spacing w:before="120" w:after="60"/>
        <w:jc w:val="both"/>
        <w:rPr>
          <w:rFonts w:ascii="Cambria" w:hAnsi="Cambria"/>
          <w:noProof/>
          <w:lang w:val="sr-Latn-ME"/>
        </w:rPr>
      </w:pPr>
      <w:r w:rsidRPr="009A2099">
        <w:rPr>
          <w:rFonts w:ascii="Cambria" w:hAnsi="Cambria"/>
          <w:i/>
          <w:noProof/>
          <w:lang w:val="sr-Latn-ME"/>
        </w:rPr>
        <w:t>Tabela 21.</w:t>
      </w:r>
      <w:r w:rsidRPr="009A2099">
        <w:rPr>
          <w:rFonts w:ascii="Cambria" w:hAnsi="Cambria"/>
          <w:noProof/>
          <w:lang w:val="sr-Latn-ME"/>
        </w:rPr>
        <w:t xml:space="preserve"> Operativnih ciljevi Nacionalne strategije upravljanja hemikalijama </w:t>
      </w:r>
      <w:r w:rsidRPr="009A2099">
        <w:rPr>
          <w:rFonts w:ascii="Cambria" w:hAnsi="Cambria"/>
          <w:bCs/>
          <w:noProof/>
        </w:rPr>
        <w:t>sa pratećim indikatorima uspjeha</w:t>
      </w:r>
    </w:p>
    <w:p w14:paraId="30866352" w14:textId="77777777" w:rsidR="009A2099" w:rsidRPr="009A2099" w:rsidRDefault="009A2099" w:rsidP="00E04218">
      <w:pPr>
        <w:spacing w:before="120" w:after="60"/>
        <w:jc w:val="both"/>
        <w:rPr>
          <w:rFonts w:ascii="Cambria" w:hAnsi="Cambria"/>
          <w:noProof/>
        </w:rPr>
      </w:pPr>
      <w:r w:rsidRPr="009A2099">
        <w:rPr>
          <w:rFonts w:ascii="Cambria" w:hAnsi="Cambria"/>
          <w:i/>
          <w:noProof/>
        </w:rPr>
        <w:t>Tabela 22.</w:t>
      </w:r>
      <w:r w:rsidRPr="009A2099">
        <w:rPr>
          <w:rFonts w:ascii="Cambria" w:hAnsi="Cambria"/>
          <w:noProof/>
        </w:rPr>
        <w:t xml:space="preserve"> Akcioni plan  sprovo</w:t>
      </w:r>
      <w:r w:rsidRPr="009A2099">
        <w:rPr>
          <w:rFonts w:ascii="Cambria" w:hAnsi="Cambria"/>
          <w:noProof/>
          <w:lang w:val="sr-Latn-RS"/>
        </w:rPr>
        <w:t>đenje Nacionalne strategije upravljanja hemikalijama za period 2019-2022. godine</w:t>
      </w:r>
    </w:p>
    <w:p w14:paraId="2E9D1E3A" w14:textId="77777777" w:rsidR="009A2099" w:rsidRPr="009A2099" w:rsidRDefault="009A2099" w:rsidP="00E04218">
      <w:pPr>
        <w:spacing w:before="120" w:after="60"/>
        <w:jc w:val="both"/>
        <w:rPr>
          <w:rFonts w:ascii="Cambria" w:hAnsi="Cambria"/>
          <w:noProof/>
          <w:u w:val="single"/>
          <w:lang w:val="sr-Latn-ME"/>
        </w:rPr>
      </w:pPr>
      <w:r w:rsidRPr="009A2099">
        <w:rPr>
          <w:rFonts w:ascii="Cambria" w:hAnsi="Cambria"/>
          <w:noProof/>
          <w:u w:val="single"/>
          <w:lang w:val="sr-Latn-ME"/>
        </w:rPr>
        <w:lastRenderedPageBreak/>
        <w:t xml:space="preserve">Prilog </w:t>
      </w:r>
    </w:p>
    <w:p w14:paraId="5C9D5DF3" w14:textId="77777777" w:rsidR="009A2099" w:rsidRPr="009A2099" w:rsidRDefault="009A2099" w:rsidP="00E04218">
      <w:pPr>
        <w:spacing w:before="120" w:after="60"/>
        <w:jc w:val="both"/>
        <w:rPr>
          <w:rFonts w:ascii="Cambria" w:hAnsi="Cambria"/>
          <w:noProof/>
          <w:lang w:val="sr-Latn-ME"/>
        </w:rPr>
      </w:pPr>
      <w:r w:rsidRPr="009A2099">
        <w:rPr>
          <w:rFonts w:ascii="Cambria" w:hAnsi="Cambria"/>
          <w:i/>
          <w:noProof/>
          <w:lang w:val="sr-Latn-ME"/>
        </w:rPr>
        <w:t xml:space="preserve">Tabela A1. </w:t>
      </w:r>
      <w:r w:rsidRPr="009A2099">
        <w:rPr>
          <w:rFonts w:ascii="Cambria" w:hAnsi="Cambria"/>
          <w:noProof/>
          <w:lang w:val="sr-Latn-ME"/>
        </w:rPr>
        <w:t>Va</w:t>
      </w:r>
      <w:r w:rsidRPr="009A2099">
        <w:rPr>
          <w:rFonts w:ascii="Cambria" w:hAnsi="Cambria"/>
          <w:noProof/>
          <w:lang w:val="sr-Latn-RS"/>
        </w:rPr>
        <w:t xml:space="preserve">žeći propisi kojima se uređuje upravljanje </w:t>
      </w:r>
      <w:r w:rsidRPr="009A2099">
        <w:rPr>
          <w:rFonts w:ascii="Cambria" w:hAnsi="Cambria"/>
          <w:noProof/>
          <w:lang w:val="sr-Latn-ME"/>
        </w:rPr>
        <w:t>hemikalijama</w:t>
      </w:r>
    </w:p>
    <w:p w14:paraId="1C2A2D0A" w14:textId="77777777" w:rsidR="009A2099" w:rsidRPr="009A2099" w:rsidRDefault="009A2099" w:rsidP="00E04218">
      <w:pPr>
        <w:spacing w:before="120" w:after="60"/>
        <w:jc w:val="both"/>
        <w:rPr>
          <w:rFonts w:ascii="Cambria" w:hAnsi="Cambria"/>
          <w:i/>
          <w:noProof/>
          <w:lang w:val="sr-Latn-ME"/>
        </w:rPr>
      </w:pPr>
      <w:r w:rsidRPr="009A2099">
        <w:rPr>
          <w:rFonts w:ascii="Cambria" w:hAnsi="Cambria"/>
          <w:i/>
          <w:noProof/>
          <w:lang w:val="sr-Latn-ME"/>
        </w:rPr>
        <w:t xml:space="preserve">Tabela A2. </w:t>
      </w:r>
      <w:r w:rsidRPr="009A2099">
        <w:rPr>
          <w:rFonts w:ascii="Cambria" w:hAnsi="Cambria"/>
          <w:noProof/>
          <w:lang w:val="sr-Latn-ME"/>
        </w:rPr>
        <w:t>Va</w:t>
      </w:r>
      <w:r w:rsidRPr="009A2099">
        <w:rPr>
          <w:rFonts w:ascii="Cambria" w:hAnsi="Cambria"/>
          <w:noProof/>
          <w:lang w:val="sr-Latn-RS"/>
        </w:rPr>
        <w:t xml:space="preserve">žeći propisi koji se odnose na oblast </w:t>
      </w:r>
      <w:r w:rsidRPr="009A2099">
        <w:rPr>
          <w:rFonts w:ascii="Cambria" w:hAnsi="Cambria"/>
          <w:noProof/>
          <w:lang w:val="sr-Latn-ME"/>
        </w:rPr>
        <w:t>biocidnih proizvoda</w:t>
      </w:r>
    </w:p>
    <w:p w14:paraId="190E927B" w14:textId="77777777" w:rsidR="009A2099" w:rsidRDefault="00A76A53" w:rsidP="00E04218">
      <w:pPr>
        <w:spacing w:before="120" w:after="60"/>
        <w:jc w:val="both"/>
        <w:rPr>
          <w:rFonts w:ascii="Cambria" w:hAnsi="Cambria"/>
          <w:noProof/>
          <w:lang w:val="sr-Latn-ME"/>
        </w:rPr>
      </w:pPr>
      <w:r w:rsidRPr="00A76A53">
        <w:rPr>
          <w:rFonts w:ascii="Cambria" w:hAnsi="Cambria"/>
          <w:i/>
          <w:noProof/>
          <w:lang w:val="sr-Latn-ME"/>
        </w:rPr>
        <w:t>Tabela A3.</w:t>
      </w:r>
      <w:r w:rsidRPr="00A76A53">
        <w:rPr>
          <w:rFonts w:ascii="Cambria" w:hAnsi="Cambria"/>
          <w:noProof/>
          <w:lang w:val="sr-Latn-ME"/>
        </w:rPr>
        <w:t xml:space="preserve"> Važeći propisi koji se odnose na oblast sredstava za zaštitu bilja</w:t>
      </w:r>
    </w:p>
    <w:p w14:paraId="5F1634D9" w14:textId="77777777" w:rsidR="00A76A53" w:rsidRPr="00A76A53" w:rsidRDefault="00A76A53" w:rsidP="00E04218">
      <w:pPr>
        <w:spacing w:before="120" w:after="60"/>
        <w:jc w:val="both"/>
        <w:rPr>
          <w:rFonts w:ascii="Cambria" w:hAnsi="Cambria"/>
          <w:noProof/>
          <w:lang w:val="sr-Latn-ME"/>
        </w:rPr>
      </w:pPr>
      <w:r w:rsidRPr="00A76A53">
        <w:rPr>
          <w:rFonts w:ascii="Cambria" w:hAnsi="Cambria"/>
          <w:i/>
          <w:noProof/>
          <w:lang w:val="sr-Latn-ME"/>
        </w:rPr>
        <w:t xml:space="preserve">Tabela A4. </w:t>
      </w:r>
      <w:r w:rsidRPr="00A76A53">
        <w:rPr>
          <w:rFonts w:ascii="Cambria" w:hAnsi="Cambria"/>
          <w:noProof/>
          <w:lang w:val="sr-Latn-ME"/>
        </w:rPr>
        <w:t>Važeći propisi koji se odnose na oblast sredstava za ishranu bilja</w:t>
      </w:r>
    </w:p>
    <w:p w14:paraId="71F66390" w14:textId="77777777" w:rsidR="00A76A53" w:rsidRDefault="00A76A53" w:rsidP="00E04218">
      <w:pPr>
        <w:spacing w:before="120" w:after="60"/>
        <w:jc w:val="both"/>
        <w:rPr>
          <w:rFonts w:ascii="Cambria" w:hAnsi="Cambria"/>
          <w:i/>
          <w:noProof/>
          <w:lang w:val="sr-Latn-ME"/>
        </w:rPr>
      </w:pPr>
      <w:r w:rsidRPr="00A76A53">
        <w:rPr>
          <w:rFonts w:ascii="Cambria" w:hAnsi="Cambria"/>
          <w:i/>
          <w:noProof/>
          <w:lang w:val="sr-Latn-ME"/>
        </w:rPr>
        <w:t xml:space="preserve">Tabela A5. </w:t>
      </w:r>
      <w:r w:rsidRPr="00A76A53">
        <w:rPr>
          <w:rFonts w:ascii="Cambria" w:hAnsi="Cambria"/>
          <w:noProof/>
          <w:lang w:val="sr-Latn-ME"/>
        </w:rPr>
        <w:t>Važeći propisi koji se odnose na oblast životne sredine - Zakon o životnoj sredini</w:t>
      </w:r>
      <w:r w:rsidRPr="00A76A53">
        <w:rPr>
          <w:rFonts w:ascii="Cambria" w:hAnsi="Cambria"/>
          <w:i/>
          <w:noProof/>
          <w:lang w:val="sr-Latn-ME"/>
        </w:rPr>
        <w:t xml:space="preserve"> </w:t>
      </w:r>
    </w:p>
    <w:p w14:paraId="14567963" w14:textId="77777777" w:rsidR="00A76A53" w:rsidRPr="00A76A53" w:rsidRDefault="00A76A53" w:rsidP="00E04218">
      <w:pPr>
        <w:spacing w:before="120" w:after="60"/>
        <w:jc w:val="both"/>
        <w:rPr>
          <w:rFonts w:ascii="Cambria" w:hAnsi="Cambria"/>
          <w:noProof/>
          <w:lang w:val="sr-Latn-ME"/>
        </w:rPr>
      </w:pPr>
      <w:r w:rsidRPr="00A76A53">
        <w:rPr>
          <w:rFonts w:ascii="Cambria" w:hAnsi="Cambria"/>
          <w:i/>
          <w:noProof/>
          <w:lang w:val="sr-Latn-ME"/>
        </w:rPr>
        <w:t xml:space="preserve">Tabela A6. </w:t>
      </w:r>
      <w:r w:rsidRPr="00A76A53">
        <w:rPr>
          <w:rFonts w:ascii="Cambria" w:hAnsi="Cambria"/>
          <w:noProof/>
          <w:lang w:val="sr-Latn-ME"/>
        </w:rPr>
        <w:t>Važeći propisi koji se odnose na oblast životne sredine - Zakon o integrisanom sprečavanju i kontroli zagađivanja životne sredine</w:t>
      </w:r>
    </w:p>
    <w:p w14:paraId="547B77FF" w14:textId="77777777" w:rsidR="00A76A53" w:rsidRPr="00A76A53" w:rsidRDefault="00A76A53" w:rsidP="00E04218">
      <w:pPr>
        <w:spacing w:before="120" w:after="60"/>
        <w:jc w:val="both"/>
        <w:rPr>
          <w:rFonts w:ascii="Cambria" w:hAnsi="Cambria"/>
          <w:noProof/>
          <w:lang w:val="sr-Latn-ME"/>
        </w:rPr>
      </w:pPr>
      <w:r w:rsidRPr="00A76A53">
        <w:rPr>
          <w:rFonts w:ascii="Cambria" w:hAnsi="Cambria"/>
          <w:i/>
          <w:noProof/>
          <w:lang w:val="sr-Latn-ME"/>
        </w:rPr>
        <w:t xml:space="preserve">Tabela A7. </w:t>
      </w:r>
      <w:r w:rsidRPr="00A76A53">
        <w:rPr>
          <w:rFonts w:ascii="Cambria" w:hAnsi="Cambria"/>
          <w:noProof/>
          <w:lang w:val="sr-Latn-ME"/>
        </w:rPr>
        <w:t>Važeći propisi koji se odnose na oblast životne sredine-Zakon o procjeni uticaja na životnu sredinu</w:t>
      </w:r>
    </w:p>
    <w:p w14:paraId="1FB751D9" w14:textId="77777777" w:rsidR="00A76A53" w:rsidRPr="00A76A53" w:rsidRDefault="00A76A53" w:rsidP="00E04218">
      <w:pPr>
        <w:spacing w:before="120" w:after="60"/>
        <w:jc w:val="both"/>
        <w:rPr>
          <w:rFonts w:ascii="Cambria" w:hAnsi="Cambria"/>
          <w:noProof/>
          <w:lang w:val="sr-Latn-ME"/>
        </w:rPr>
      </w:pPr>
      <w:r w:rsidRPr="00A76A53">
        <w:rPr>
          <w:rFonts w:ascii="Cambria" w:hAnsi="Cambria"/>
          <w:i/>
          <w:noProof/>
          <w:lang w:val="sr-Latn-ME"/>
        </w:rPr>
        <w:t>Tabela A8.</w:t>
      </w:r>
      <w:r w:rsidRPr="00A76A53">
        <w:rPr>
          <w:rFonts w:ascii="Cambria" w:hAnsi="Cambria"/>
          <w:noProof/>
          <w:lang w:val="sr-Latn-ME"/>
        </w:rPr>
        <w:t xml:space="preserve"> Važeći propisi koji se odnose na oblast životne sredine - Zakon o strateškoj procjeni uticaja na životnu sredinu</w:t>
      </w:r>
    </w:p>
    <w:p w14:paraId="56CBAE00" w14:textId="77777777" w:rsidR="00A76A53" w:rsidRPr="00A76A53" w:rsidRDefault="00A76A53" w:rsidP="00E04218">
      <w:pPr>
        <w:autoSpaceDE w:val="0"/>
        <w:autoSpaceDN w:val="0"/>
        <w:adjustRightInd w:val="0"/>
        <w:spacing w:before="120" w:after="60"/>
        <w:rPr>
          <w:rFonts w:ascii="Cambria" w:hAnsi="Cambria"/>
          <w:noProof/>
          <w:color w:val="000000"/>
          <w:lang w:val="sr-Latn-ME"/>
        </w:rPr>
      </w:pPr>
      <w:r w:rsidRPr="00A76A53">
        <w:rPr>
          <w:rFonts w:ascii="Cambria" w:hAnsi="Cambria"/>
          <w:i/>
          <w:noProof/>
          <w:lang w:val="sr-Latn-ME"/>
        </w:rPr>
        <w:t>Tabela A9.</w:t>
      </w:r>
      <w:r w:rsidRPr="00A76A53">
        <w:rPr>
          <w:rFonts w:ascii="Cambria" w:hAnsi="Cambria"/>
          <w:noProof/>
          <w:lang w:val="sr-Latn-ME"/>
        </w:rPr>
        <w:t xml:space="preserve"> Važeći propisi koji se odnose na oblast upravljanja otpadom</w:t>
      </w:r>
    </w:p>
    <w:p w14:paraId="5EDF0A5E" w14:textId="77777777" w:rsidR="00A76A53" w:rsidRPr="00A76A53" w:rsidRDefault="00A76A53" w:rsidP="00E04218">
      <w:pPr>
        <w:spacing w:before="120" w:after="60"/>
        <w:jc w:val="both"/>
        <w:rPr>
          <w:rFonts w:ascii="Cambria" w:hAnsi="Cambria"/>
          <w:noProof/>
          <w:lang w:val="sr-Latn-ME"/>
        </w:rPr>
      </w:pPr>
      <w:r w:rsidRPr="00A76A53">
        <w:rPr>
          <w:rFonts w:ascii="Cambria" w:hAnsi="Cambria"/>
          <w:i/>
          <w:noProof/>
          <w:lang w:val="sr-Latn-ME"/>
        </w:rPr>
        <w:t>Tabela A10.</w:t>
      </w:r>
      <w:r w:rsidRPr="00A76A53">
        <w:rPr>
          <w:rFonts w:ascii="Cambria" w:hAnsi="Cambria"/>
          <w:noProof/>
          <w:lang w:val="sr-Latn-ME"/>
        </w:rPr>
        <w:t xml:space="preserve"> Važeći propisi koji se odnose na oblast zaštite vazduha</w:t>
      </w:r>
    </w:p>
    <w:p w14:paraId="13FE85AB" w14:textId="0395A01A" w:rsidR="00A76A53" w:rsidRPr="00A76A53" w:rsidRDefault="00A76A53" w:rsidP="00E04218">
      <w:pPr>
        <w:spacing w:before="120" w:after="60"/>
        <w:jc w:val="both"/>
        <w:rPr>
          <w:rFonts w:ascii="Cambria" w:hAnsi="Cambria"/>
          <w:noProof/>
          <w:lang w:val="sr-Latn-ME"/>
        </w:rPr>
      </w:pPr>
      <w:r w:rsidRPr="00A76A53">
        <w:rPr>
          <w:rFonts w:ascii="Cambria" w:hAnsi="Cambria"/>
          <w:i/>
          <w:noProof/>
          <w:lang w:val="sr-Latn-ME"/>
        </w:rPr>
        <w:t>Tabela A1</w:t>
      </w:r>
      <w:r w:rsidR="006400F3">
        <w:rPr>
          <w:rFonts w:ascii="Cambria" w:hAnsi="Cambria"/>
          <w:i/>
          <w:noProof/>
          <w:lang w:val="sr-Latn-ME"/>
        </w:rPr>
        <w:t>1</w:t>
      </w:r>
      <w:r w:rsidRPr="00A76A53">
        <w:rPr>
          <w:rFonts w:ascii="Cambria" w:hAnsi="Cambria"/>
          <w:i/>
          <w:noProof/>
          <w:lang w:val="sr-Latn-ME"/>
        </w:rPr>
        <w:t xml:space="preserve">. </w:t>
      </w:r>
      <w:r w:rsidRPr="00A76A53">
        <w:rPr>
          <w:rFonts w:ascii="Cambria" w:hAnsi="Cambria"/>
          <w:noProof/>
          <w:lang w:val="sr-Latn-ME"/>
        </w:rPr>
        <w:t>Važeći propisi koji se odnose na zaštitu na radu</w:t>
      </w:r>
      <w:r w:rsidRPr="00A76A53">
        <w:rPr>
          <w:rFonts w:ascii="Cambria" w:hAnsi="Cambria"/>
          <w:i/>
          <w:noProof/>
          <w:lang w:val="sr-Latn-ME"/>
        </w:rPr>
        <w:t xml:space="preserve"> </w:t>
      </w:r>
    </w:p>
    <w:p w14:paraId="265AA400" w14:textId="1E2BB746" w:rsidR="00A76A53" w:rsidRDefault="00A76A53" w:rsidP="00E04218">
      <w:pPr>
        <w:spacing w:before="120" w:after="60"/>
        <w:jc w:val="both"/>
        <w:rPr>
          <w:rFonts w:ascii="Cambria" w:hAnsi="Cambria"/>
          <w:noProof/>
          <w:lang w:val="sr-Latn-ME"/>
        </w:rPr>
      </w:pPr>
      <w:r w:rsidRPr="00A76A53">
        <w:rPr>
          <w:rFonts w:ascii="Cambria" w:hAnsi="Cambria"/>
          <w:i/>
          <w:noProof/>
          <w:lang w:val="sr-Latn-ME"/>
        </w:rPr>
        <w:t xml:space="preserve">Tabela </w:t>
      </w:r>
      <w:r w:rsidR="006400F3" w:rsidRPr="00A76A53">
        <w:rPr>
          <w:rFonts w:ascii="Cambria" w:hAnsi="Cambria"/>
          <w:i/>
          <w:noProof/>
          <w:lang w:val="sr-Latn-ME"/>
        </w:rPr>
        <w:t>A1</w:t>
      </w:r>
      <w:r w:rsidR="006400F3">
        <w:rPr>
          <w:rFonts w:ascii="Cambria" w:hAnsi="Cambria"/>
          <w:i/>
          <w:noProof/>
          <w:lang w:val="sr-Latn-ME"/>
        </w:rPr>
        <w:t>2</w:t>
      </w:r>
      <w:r w:rsidRPr="00A76A53">
        <w:rPr>
          <w:rFonts w:ascii="Cambria" w:hAnsi="Cambria"/>
          <w:i/>
          <w:noProof/>
          <w:lang w:val="sr-Latn-ME"/>
        </w:rPr>
        <w:t xml:space="preserve">. </w:t>
      </w:r>
      <w:r w:rsidRPr="00A76A53">
        <w:rPr>
          <w:rFonts w:ascii="Cambria" w:hAnsi="Cambria"/>
          <w:noProof/>
          <w:lang w:val="sr-Latn-ME"/>
        </w:rPr>
        <w:t>Važeći propisi koji se odnose na oblast prevoza opasnih materija</w:t>
      </w:r>
    </w:p>
    <w:p w14:paraId="7E525449" w14:textId="0E22CA41" w:rsidR="00A76A53" w:rsidRPr="00A76A53" w:rsidRDefault="00A76A53" w:rsidP="00E04218">
      <w:pPr>
        <w:spacing w:before="120" w:after="60"/>
        <w:jc w:val="both"/>
        <w:rPr>
          <w:rFonts w:ascii="Cambria" w:hAnsi="Cambria"/>
          <w:i/>
          <w:noProof/>
          <w:lang w:val="sr-Latn-ME"/>
        </w:rPr>
      </w:pPr>
      <w:r w:rsidRPr="00A76A53">
        <w:rPr>
          <w:rFonts w:ascii="Cambria" w:hAnsi="Cambria"/>
          <w:i/>
          <w:noProof/>
          <w:lang w:val="sr-Latn-ME"/>
        </w:rPr>
        <w:t xml:space="preserve">Tabela </w:t>
      </w:r>
      <w:r w:rsidR="006400F3" w:rsidRPr="00A76A53">
        <w:rPr>
          <w:rFonts w:ascii="Cambria" w:hAnsi="Cambria"/>
          <w:i/>
          <w:noProof/>
          <w:lang w:val="sr-Latn-ME"/>
        </w:rPr>
        <w:t>A1</w:t>
      </w:r>
      <w:r w:rsidR="006400F3">
        <w:rPr>
          <w:rFonts w:ascii="Cambria" w:hAnsi="Cambria"/>
          <w:i/>
          <w:noProof/>
          <w:lang w:val="sr-Latn-ME"/>
        </w:rPr>
        <w:t>3</w:t>
      </w:r>
      <w:r w:rsidRPr="00A76A53">
        <w:rPr>
          <w:rFonts w:ascii="Cambria" w:hAnsi="Cambria"/>
          <w:i/>
          <w:noProof/>
          <w:lang w:val="sr-Latn-ME"/>
        </w:rPr>
        <w:t xml:space="preserve">. </w:t>
      </w:r>
      <w:r w:rsidRPr="00A76A53">
        <w:rPr>
          <w:rFonts w:ascii="Cambria" w:hAnsi="Cambria"/>
          <w:noProof/>
          <w:lang w:val="sr-Latn-ME"/>
        </w:rPr>
        <w:t>Važeći propisi iz ostalih oblasti koji su od značaja za upravljanje hemikalijama</w:t>
      </w:r>
    </w:p>
    <w:p w14:paraId="37786EE1" w14:textId="77777777" w:rsidR="00A76A53" w:rsidRPr="00A76A53" w:rsidRDefault="00A76A53" w:rsidP="00E04218">
      <w:pPr>
        <w:spacing w:before="120" w:after="60"/>
        <w:jc w:val="both"/>
        <w:rPr>
          <w:rFonts w:ascii="Cambria" w:hAnsi="Cambria"/>
          <w:noProof/>
          <w:lang w:val="sr-Latn-ME"/>
        </w:rPr>
      </w:pPr>
    </w:p>
    <w:p w14:paraId="6B2A6386" w14:textId="77777777" w:rsidR="00E53E5F" w:rsidRPr="00E53E5F" w:rsidRDefault="00E53E5F" w:rsidP="00E04218">
      <w:pPr>
        <w:pStyle w:val="TOCHeading"/>
        <w:shd w:val="clear" w:color="auto" w:fill="B2A1C7"/>
        <w:spacing w:before="120" w:after="60"/>
        <w:rPr>
          <w:noProof/>
          <w:color w:val="auto"/>
          <w:sz w:val="22"/>
          <w:szCs w:val="22"/>
          <w:lang w:val="en-US"/>
        </w:rPr>
      </w:pPr>
      <w:r w:rsidRPr="00E53E5F">
        <w:rPr>
          <w:noProof/>
          <w:color w:val="auto"/>
          <w:sz w:val="22"/>
          <w:szCs w:val="22"/>
          <w:lang w:val="en-US"/>
        </w:rPr>
        <w:t>LISTA SKRAĆENICA</w:t>
      </w:r>
    </w:p>
    <w:p w14:paraId="2A8CBA3B"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AZ</w:t>
      </w:r>
      <w:r w:rsidR="003808E9" w:rsidRPr="00AB15C7">
        <w:rPr>
          <w:rFonts w:ascii="Cambria" w:hAnsi="Cambria"/>
          <w:b/>
          <w:noProof/>
          <w:lang w:val="sr-Latn-ME"/>
        </w:rPr>
        <w:t>P</w:t>
      </w:r>
      <w:r w:rsidRPr="00AB15C7">
        <w:rPr>
          <w:rFonts w:ascii="Cambria" w:hAnsi="Cambria"/>
          <w:b/>
          <w:noProof/>
          <w:lang w:val="sr-Latn-ME"/>
        </w:rPr>
        <w:t>ŽS</w:t>
      </w:r>
      <w:r w:rsidRPr="00AB15C7">
        <w:rPr>
          <w:rFonts w:ascii="Cambria" w:hAnsi="Cambria"/>
          <w:noProof/>
          <w:lang w:val="sr-Latn-ME"/>
        </w:rPr>
        <w:t xml:space="preserve"> - Agencija za zaštitu </w:t>
      </w:r>
      <w:r w:rsidR="003808E9" w:rsidRPr="00AB15C7">
        <w:rPr>
          <w:rFonts w:ascii="Cambria" w:hAnsi="Cambria"/>
          <w:noProof/>
          <w:lang w:val="sr-Latn-ME"/>
        </w:rPr>
        <w:t xml:space="preserve">prirode i </w:t>
      </w:r>
      <w:r w:rsidRPr="00AB15C7">
        <w:rPr>
          <w:rFonts w:ascii="Cambria" w:hAnsi="Cambria"/>
          <w:noProof/>
          <w:lang w:val="sr-Latn-ME"/>
        </w:rPr>
        <w:t>životne sredine</w:t>
      </w:r>
    </w:p>
    <w:p w14:paraId="73D134CF"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BAT</w:t>
      </w:r>
      <w:r w:rsidRPr="00AB15C7">
        <w:rPr>
          <w:rFonts w:ascii="Cambria" w:hAnsi="Cambria"/>
          <w:noProof/>
          <w:lang w:val="sr-Latn-ME"/>
        </w:rPr>
        <w:t xml:space="preserve"> (</w:t>
      </w:r>
      <w:r w:rsidRPr="00C35EA4">
        <w:rPr>
          <w:rFonts w:ascii="Cambria" w:hAnsi="Cambria"/>
          <w:i/>
          <w:noProof/>
          <w:lang w:val="sr-Latn-ME"/>
        </w:rPr>
        <w:t>Best Available Techniques</w:t>
      </w:r>
      <w:r w:rsidRPr="00AB15C7">
        <w:rPr>
          <w:rFonts w:ascii="Cambria" w:hAnsi="Cambria"/>
          <w:noProof/>
          <w:lang w:val="sr-Latn-ME"/>
        </w:rPr>
        <w:t>) – najbolje dostupne tehnike</w:t>
      </w:r>
    </w:p>
    <w:p w14:paraId="3BE3DF10"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BDP</w:t>
      </w:r>
      <w:r w:rsidRPr="00AB15C7">
        <w:rPr>
          <w:rFonts w:ascii="Cambria" w:hAnsi="Cambria"/>
          <w:noProof/>
          <w:lang w:val="sr-Latn-ME"/>
        </w:rPr>
        <w:t xml:space="preserve"> - bruto domaći proizod</w:t>
      </w:r>
    </w:p>
    <w:p w14:paraId="2FF13803" w14:textId="77777777" w:rsidR="000863BA" w:rsidRPr="00C35EA4" w:rsidRDefault="000863BA" w:rsidP="00E04218">
      <w:pPr>
        <w:spacing w:before="120" w:after="60"/>
        <w:rPr>
          <w:rFonts w:ascii="Cambria" w:hAnsi="Cambria"/>
          <w:noProof/>
          <w:lang w:val="sr-Latn-ME"/>
        </w:rPr>
      </w:pPr>
      <w:r>
        <w:rPr>
          <w:rFonts w:ascii="Cambria" w:hAnsi="Cambria"/>
          <w:b/>
          <w:noProof/>
          <w:lang w:val="sr-Latn-ME"/>
        </w:rPr>
        <w:t>BPR</w:t>
      </w:r>
      <w:r w:rsidRPr="00C35EA4">
        <w:rPr>
          <w:rFonts w:ascii="Cambria" w:hAnsi="Cambria"/>
          <w:noProof/>
          <w:lang w:val="sr-Latn-ME"/>
        </w:rPr>
        <w:t>-</w:t>
      </w:r>
      <w:r w:rsidR="009A645C" w:rsidRPr="00C35EA4">
        <w:rPr>
          <w:rFonts w:ascii="Cambria" w:hAnsi="Cambria"/>
          <w:noProof/>
          <w:lang w:val="sr-Latn-ME"/>
        </w:rPr>
        <w:t xml:space="preserve"> Uredba </w:t>
      </w:r>
      <w:r w:rsidR="009A645C" w:rsidRPr="00C35EA4">
        <w:rPr>
          <w:rFonts w:ascii="Cambria" w:hAnsi="Cambria"/>
          <w:noProof/>
        </w:rPr>
        <w:t>(EC) 528/20</w:t>
      </w:r>
      <w:r w:rsidR="00C35EA4" w:rsidRPr="00C35EA4">
        <w:rPr>
          <w:rFonts w:ascii="Cambria" w:hAnsi="Cambria"/>
          <w:noProof/>
        </w:rPr>
        <w:t>12 o biocidnim proizvodima</w:t>
      </w:r>
    </w:p>
    <w:p w14:paraId="53FEA4B4"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CETI</w:t>
      </w:r>
      <w:r w:rsidRPr="00AB15C7">
        <w:rPr>
          <w:rFonts w:ascii="Cambria" w:hAnsi="Cambria"/>
          <w:noProof/>
          <w:lang w:val="sr-Latn-ME"/>
        </w:rPr>
        <w:t xml:space="preserve"> - DOO Centar za ekotoksikološka ispitivanja </w:t>
      </w:r>
    </w:p>
    <w:p w14:paraId="6B017085"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CLRTAP</w:t>
      </w:r>
      <w:r w:rsidRPr="00AB15C7">
        <w:rPr>
          <w:rFonts w:ascii="Cambria" w:hAnsi="Cambria"/>
          <w:noProof/>
          <w:lang w:val="sr-Latn-ME"/>
        </w:rPr>
        <w:t xml:space="preserve"> (</w:t>
      </w:r>
      <w:r w:rsidRPr="00C35EA4">
        <w:rPr>
          <w:rFonts w:ascii="Cambria" w:hAnsi="Cambria"/>
          <w:i/>
          <w:noProof/>
          <w:lang w:val="sr-Latn-ME"/>
        </w:rPr>
        <w:t>Convention on Long Range Trans-boundary Air Pollution</w:t>
      </w:r>
      <w:r w:rsidRPr="00AB15C7">
        <w:rPr>
          <w:rFonts w:ascii="Cambria" w:hAnsi="Cambria"/>
          <w:noProof/>
          <w:lang w:val="sr-Latn-ME"/>
        </w:rPr>
        <w:t xml:space="preserve">) – </w:t>
      </w:r>
      <w:r w:rsidR="009A645C" w:rsidRPr="009A645C">
        <w:rPr>
          <w:rFonts w:ascii="Cambria" w:hAnsi="Cambria"/>
          <w:noProof/>
          <w:lang w:val="sr-Latn-ME"/>
        </w:rPr>
        <w:t>Konvencija o prekograničnom zagađenju vazduha na velikim udaljenostima</w:t>
      </w:r>
    </w:p>
    <w:p w14:paraId="31468412" w14:textId="77777777" w:rsidR="000863BA" w:rsidRDefault="000863BA" w:rsidP="00E04218">
      <w:pPr>
        <w:spacing w:before="120" w:after="60"/>
        <w:rPr>
          <w:rFonts w:ascii="Cambria" w:hAnsi="Cambria"/>
          <w:b/>
          <w:noProof/>
        </w:rPr>
      </w:pPr>
      <w:r w:rsidRPr="000863BA">
        <w:rPr>
          <w:rFonts w:ascii="Cambria" w:hAnsi="Cambria"/>
          <w:b/>
          <w:noProof/>
        </w:rPr>
        <w:t>CLP</w:t>
      </w:r>
      <w:r w:rsidR="009A645C" w:rsidRPr="00C35EA4">
        <w:rPr>
          <w:rFonts w:ascii="Cambria" w:hAnsi="Cambria"/>
          <w:noProof/>
        </w:rPr>
        <w:t>-</w:t>
      </w:r>
      <w:r w:rsidR="009A645C" w:rsidRPr="009A645C">
        <w:rPr>
          <w:rFonts w:ascii="Cambria" w:hAnsi="Cambria"/>
          <w:noProof/>
        </w:rPr>
        <w:t>Uredba (EC) 1</w:t>
      </w:r>
      <w:r w:rsidR="009A645C">
        <w:rPr>
          <w:rFonts w:ascii="Cambria" w:hAnsi="Cambria"/>
          <w:noProof/>
        </w:rPr>
        <w:t>272</w:t>
      </w:r>
      <w:r w:rsidR="009A645C" w:rsidRPr="009A645C">
        <w:rPr>
          <w:rFonts w:ascii="Cambria" w:hAnsi="Cambria"/>
          <w:noProof/>
        </w:rPr>
        <w:t>/200</w:t>
      </w:r>
      <w:r w:rsidR="009A645C">
        <w:rPr>
          <w:rFonts w:ascii="Cambria" w:hAnsi="Cambria"/>
          <w:noProof/>
        </w:rPr>
        <w:t>8</w:t>
      </w:r>
      <w:r w:rsidR="009A645C" w:rsidRPr="009A645C">
        <w:rPr>
          <w:rFonts w:ascii="Cambria" w:hAnsi="Cambria"/>
          <w:noProof/>
        </w:rPr>
        <w:t xml:space="preserve"> o klasifikaciji,  označavanju i pakovanju hemikalija</w:t>
      </w:r>
      <w:r w:rsidR="009A645C">
        <w:rPr>
          <w:rFonts w:ascii="Cambria" w:hAnsi="Cambria"/>
          <w:b/>
          <w:noProof/>
        </w:rPr>
        <w:t xml:space="preserve"> </w:t>
      </w:r>
    </w:p>
    <w:p w14:paraId="794573C9" w14:textId="77777777" w:rsidR="00165701" w:rsidRDefault="00165701" w:rsidP="00E04218">
      <w:pPr>
        <w:spacing w:before="120" w:after="60"/>
        <w:rPr>
          <w:rFonts w:ascii="Cambria" w:hAnsi="Cambria"/>
          <w:b/>
          <w:noProof/>
          <w:lang w:val="sr-Latn-ME"/>
        </w:rPr>
      </w:pPr>
      <w:r w:rsidRPr="00165701">
        <w:rPr>
          <w:rFonts w:ascii="Cambria" w:hAnsi="Cambria"/>
          <w:b/>
          <w:noProof/>
          <w:lang w:val="sr-Latn-ME"/>
        </w:rPr>
        <w:t xml:space="preserve">DVS- </w:t>
      </w:r>
      <w:r w:rsidRPr="00165701">
        <w:rPr>
          <w:rFonts w:ascii="Cambria" w:hAnsi="Cambria"/>
          <w:noProof/>
          <w:lang w:val="sr-Latn-ME"/>
        </w:rPr>
        <w:t>Direktorat za vanredne situacije</w:t>
      </w:r>
    </w:p>
    <w:p w14:paraId="7877F0A2"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 xml:space="preserve">ECHA </w:t>
      </w:r>
      <w:r w:rsidRPr="00AB15C7">
        <w:rPr>
          <w:rFonts w:ascii="Cambria" w:hAnsi="Cambria"/>
          <w:noProof/>
          <w:lang w:val="sr-Latn-ME"/>
        </w:rPr>
        <w:t>(</w:t>
      </w:r>
      <w:r w:rsidRPr="00C35EA4">
        <w:rPr>
          <w:rFonts w:ascii="Cambria" w:hAnsi="Cambria"/>
          <w:i/>
          <w:noProof/>
          <w:lang w:val="sr-Latn-ME"/>
        </w:rPr>
        <w:t>European Chemical Agency</w:t>
      </w:r>
      <w:r w:rsidRPr="00AB15C7">
        <w:rPr>
          <w:rFonts w:ascii="Cambria" w:hAnsi="Cambria"/>
          <w:noProof/>
          <w:lang w:val="sr-Latn-ME"/>
        </w:rPr>
        <w:t>) - Evropsk</w:t>
      </w:r>
      <w:r w:rsidR="009A645C">
        <w:rPr>
          <w:rFonts w:ascii="Cambria" w:hAnsi="Cambria"/>
          <w:noProof/>
          <w:lang w:val="sr-Latn-ME"/>
        </w:rPr>
        <w:t>a</w:t>
      </w:r>
      <w:r w:rsidRPr="00AB15C7">
        <w:rPr>
          <w:rFonts w:ascii="Cambria" w:hAnsi="Cambria"/>
          <w:noProof/>
          <w:lang w:val="sr-Latn-ME"/>
        </w:rPr>
        <w:t xml:space="preserve"> agencij</w:t>
      </w:r>
      <w:r w:rsidR="009A645C">
        <w:rPr>
          <w:rFonts w:ascii="Cambria" w:hAnsi="Cambria"/>
          <w:noProof/>
          <w:lang w:val="sr-Latn-ME"/>
        </w:rPr>
        <w:t>a</w:t>
      </w:r>
      <w:r w:rsidRPr="00AB15C7">
        <w:rPr>
          <w:rFonts w:ascii="Cambria" w:hAnsi="Cambria"/>
          <w:noProof/>
          <w:lang w:val="sr-Latn-ME"/>
        </w:rPr>
        <w:t xml:space="preserve"> za hemikalije </w:t>
      </w:r>
    </w:p>
    <w:p w14:paraId="2C57788E"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EMAS</w:t>
      </w:r>
      <w:r w:rsidR="00212C65" w:rsidRPr="00212C65">
        <w:rPr>
          <w:rFonts w:ascii="Arial" w:hAnsi="Arial" w:cs="Arial"/>
          <w:b/>
          <w:bCs/>
          <w:color w:val="6A6A6A"/>
          <w:shd w:val="clear" w:color="auto" w:fill="FFFFFF"/>
        </w:rPr>
        <w:t xml:space="preserve"> </w:t>
      </w:r>
      <w:r w:rsidR="00212C65">
        <w:rPr>
          <w:rFonts w:ascii="Arial" w:hAnsi="Arial" w:cs="Arial"/>
          <w:b/>
          <w:bCs/>
          <w:color w:val="6A6A6A"/>
          <w:shd w:val="clear" w:color="auto" w:fill="FFFFFF"/>
        </w:rPr>
        <w:t>(</w:t>
      </w:r>
      <w:r w:rsidR="00212C65" w:rsidRPr="00212C65">
        <w:rPr>
          <w:rFonts w:ascii="Cambria" w:hAnsi="Cambria"/>
          <w:bCs/>
          <w:i/>
          <w:noProof/>
        </w:rPr>
        <w:t>Eco-Management and Audit Scheme</w:t>
      </w:r>
      <w:r w:rsidR="00212C65" w:rsidRPr="00212C65">
        <w:rPr>
          <w:rFonts w:ascii="Cambria" w:hAnsi="Cambria"/>
          <w:b/>
          <w:noProof/>
        </w:rPr>
        <w:t>)</w:t>
      </w:r>
      <w:r w:rsidRPr="00AB15C7">
        <w:rPr>
          <w:rFonts w:ascii="Cambria" w:hAnsi="Cambria"/>
          <w:noProof/>
          <w:lang w:val="sr-Latn-ME"/>
        </w:rPr>
        <w:t xml:space="preserve"> - </w:t>
      </w:r>
      <w:r w:rsidR="00212C65">
        <w:rPr>
          <w:rFonts w:ascii="Cambria" w:hAnsi="Cambria"/>
          <w:noProof/>
          <w:lang w:val="sr-Latn-ME"/>
        </w:rPr>
        <w:t>S</w:t>
      </w:r>
      <w:r w:rsidRPr="00AB15C7">
        <w:rPr>
          <w:rFonts w:ascii="Cambria" w:hAnsi="Cambria"/>
          <w:noProof/>
          <w:lang w:val="sr-Latn-ME"/>
        </w:rPr>
        <w:t xml:space="preserve">istem Evropske unije za ekološko upravljanje </w:t>
      </w:r>
    </w:p>
    <w:p w14:paraId="32B8A33F"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EMEP</w:t>
      </w:r>
      <w:r w:rsidRPr="00AB15C7">
        <w:rPr>
          <w:rFonts w:ascii="Cambria" w:hAnsi="Cambria"/>
          <w:noProof/>
          <w:lang w:val="sr-Latn-ME"/>
        </w:rPr>
        <w:t xml:space="preserve"> (</w:t>
      </w:r>
      <w:r w:rsidRPr="00212C65">
        <w:rPr>
          <w:rFonts w:ascii="Cambria" w:hAnsi="Cambria"/>
          <w:i/>
          <w:noProof/>
          <w:lang w:val="sr-Latn-ME"/>
        </w:rPr>
        <w:t>Environmental Monitoring, Evaluation and Protection Program</w:t>
      </w:r>
      <w:r w:rsidRPr="00AB15C7">
        <w:rPr>
          <w:rFonts w:ascii="Cambria" w:hAnsi="Cambria"/>
          <w:noProof/>
          <w:lang w:val="sr-Latn-ME"/>
        </w:rPr>
        <w:t xml:space="preserve">) </w:t>
      </w:r>
      <w:r w:rsidR="00212C65">
        <w:rPr>
          <w:rFonts w:ascii="Cambria" w:hAnsi="Cambria"/>
          <w:noProof/>
          <w:lang w:val="sr-Latn-ME"/>
        </w:rPr>
        <w:t xml:space="preserve">- </w:t>
      </w:r>
      <w:r w:rsidR="00212C65" w:rsidRPr="00212C65">
        <w:rPr>
          <w:rFonts w:ascii="Cambria" w:hAnsi="Cambria"/>
          <w:noProof/>
          <w:lang w:val="sr-Latn-ME"/>
        </w:rPr>
        <w:t>Program praćenja i procjene prekograničnog prenosa zagađujućih materija u vazduhu na velikim udaljenostima u Evropi</w:t>
      </w:r>
    </w:p>
    <w:p w14:paraId="705B828C"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EU</w:t>
      </w:r>
      <w:r w:rsidRPr="00AB15C7">
        <w:rPr>
          <w:rFonts w:ascii="Cambria" w:hAnsi="Cambria"/>
          <w:noProof/>
          <w:lang w:val="sr-Latn-ME"/>
        </w:rPr>
        <w:t xml:space="preserve"> – Evropska unija</w:t>
      </w:r>
    </w:p>
    <w:p w14:paraId="01AC2CD3" w14:textId="77777777" w:rsidR="00212C65" w:rsidRDefault="00212C65" w:rsidP="00E04218">
      <w:pPr>
        <w:spacing w:before="120" w:after="60"/>
        <w:rPr>
          <w:rFonts w:ascii="Cambria" w:hAnsi="Cambria"/>
          <w:i/>
          <w:noProof/>
          <w:lang w:val="sr-Latn-ME"/>
        </w:rPr>
      </w:pPr>
      <w:r w:rsidRPr="00212C65">
        <w:rPr>
          <w:rFonts w:ascii="Cambria" w:hAnsi="Cambria"/>
          <w:b/>
          <w:noProof/>
          <w:lang w:val="sr-Latn-ME"/>
        </w:rPr>
        <w:t>GEF</w:t>
      </w:r>
      <w:r w:rsidRPr="00C35EA4">
        <w:rPr>
          <w:rFonts w:ascii="Cambria" w:hAnsi="Cambria"/>
          <w:i/>
          <w:noProof/>
          <w:lang w:val="sr-Latn-ME"/>
        </w:rPr>
        <w:t xml:space="preserve"> (</w:t>
      </w:r>
      <w:r>
        <w:rPr>
          <w:rFonts w:ascii="Cambria" w:hAnsi="Cambria"/>
          <w:i/>
          <w:noProof/>
          <w:lang w:val="sr-Latn-ME"/>
        </w:rPr>
        <w:t>Global Environmental Fund)-</w:t>
      </w:r>
      <w:r w:rsidRPr="00C35EA4">
        <w:rPr>
          <w:rFonts w:ascii="Cambria" w:hAnsi="Cambria"/>
          <w:noProof/>
          <w:lang w:val="sr-Latn-ME"/>
        </w:rPr>
        <w:t>Globalni fond za životnu sredinu</w:t>
      </w:r>
    </w:p>
    <w:p w14:paraId="454046C9"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ICCM</w:t>
      </w:r>
      <w:r w:rsidRPr="00AB15C7">
        <w:rPr>
          <w:rFonts w:ascii="Cambria" w:hAnsi="Cambria"/>
          <w:noProof/>
          <w:lang w:val="sr-Latn-ME"/>
        </w:rPr>
        <w:t xml:space="preserve"> - Međunarodna konferencija o upravljanju hemikalijama</w:t>
      </w:r>
      <w:r w:rsidR="00212C65">
        <w:rPr>
          <w:rFonts w:ascii="Cambria" w:hAnsi="Cambria"/>
          <w:noProof/>
          <w:lang w:val="sr-Latn-ME"/>
        </w:rPr>
        <w:t>-</w:t>
      </w:r>
    </w:p>
    <w:p w14:paraId="4DE86656"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IFCS</w:t>
      </w:r>
      <w:r w:rsidRPr="00AB15C7">
        <w:rPr>
          <w:rFonts w:ascii="Cambria" w:hAnsi="Cambria"/>
          <w:noProof/>
          <w:lang w:val="sr-Latn-ME"/>
        </w:rPr>
        <w:t xml:space="preserve">  - Međunarodn</w:t>
      </w:r>
      <w:r w:rsidR="003808E9" w:rsidRPr="00AB15C7">
        <w:rPr>
          <w:rFonts w:ascii="Cambria" w:hAnsi="Cambria"/>
          <w:noProof/>
          <w:lang w:val="sr-Latn-ME"/>
        </w:rPr>
        <w:t>i</w:t>
      </w:r>
      <w:r w:rsidRPr="00AB15C7">
        <w:rPr>
          <w:rFonts w:ascii="Cambria" w:hAnsi="Cambria"/>
          <w:noProof/>
          <w:lang w:val="sr-Latn-ME"/>
        </w:rPr>
        <w:t xml:space="preserve"> forum za hemijsku </w:t>
      </w:r>
      <w:r w:rsidR="00D56BDC" w:rsidRPr="00AB15C7">
        <w:rPr>
          <w:rFonts w:ascii="Cambria" w:hAnsi="Cambria"/>
          <w:noProof/>
          <w:lang w:val="sr-Latn-ME"/>
        </w:rPr>
        <w:t>bezbjednost</w:t>
      </w:r>
    </w:p>
    <w:p w14:paraId="67AACF80"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lastRenderedPageBreak/>
        <w:t xml:space="preserve">IJZ </w:t>
      </w:r>
      <w:r w:rsidRPr="00AB15C7">
        <w:rPr>
          <w:rFonts w:ascii="Cambria" w:hAnsi="Cambria"/>
          <w:noProof/>
          <w:lang w:val="sr-Latn-ME"/>
        </w:rPr>
        <w:t>– Institut za javno zdravlje</w:t>
      </w:r>
    </w:p>
    <w:p w14:paraId="1EE74EAC" w14:textId="77777777" w:rsidR="00C35EA4" w:rsidRDefault="00C35EA4" w:rsidP="00E04218">
      <w:pPr>
        <w:spacing w:before="120" w:after="60"/>
        <w:rPr>
          <w:rFonts w:ascii="Cambria" w:hAnsi="Cambria"/>
          <w:b/>
          <w:noProof/>
          <w:lang w:val="sr-Latn-ME"/>
        </w:rPr>
      </w:pPr>
      <w:r w:rsidRPr="00212C65">
        <w:rPr>
          <w:rFonts w:ascii="Cambria" w:hAnsi="Cambria"/>
          <w:b/>
          <w:noProof/>
          <w:lang w:val="sr-Latn-ME"/>
        </w:rPr>
        <w:t>ILO</w:t>
      </w:r>
      <w:r w:rsidRPr="00AB15C7">
        <w:rPr>
          <w:rFonts w:ascii="Cambria" w:hAnsi="Cambria"/>
          <w:b/>
          <w:noProof/>
          <w:lang w:val="sr-Latn-ME"/>
        </w:rPr>
        <w:t xml:space="preserve"> </w:t>
      </w:r>
      <w:r w:rsidR="00212C65" w:rsidRPr="00212C65">
        <w:rPr>
          <w:rFonts w:ascii="Cambria" w:hAnsi="Cambria"/>
          <w:noProof/>
          <w:lang w:val="sr-Latn-ME"/>
        </w:rPr>
        <w:t>(</w:t>
      </w:r>
      <w:r w:rsidR="00212C65" w:rsidRPr="00212C65">
        <w:rPr>
          <w:rFonts w:ascii="Cambria" w:hAnsi="Cambria"/>
          <w:i/>
          <w:noProof/>
          <w:lang w:val="sr-Latn-ME"/>
        </w:rPr>
        <w:t>International Labour Organization</w:t>
      </w:r>
      <w:r w:rsidR="00212C65">
        <w:t xml:space="preserve">)- </w:t>
      </w:r>
      <w:r w:rsidR="00212C65" w:rsidRPr="00212C65">
        <w:rPr>
          <w:rFonts w:ascii="Cambria" w:hAnsi="Cambria"/>
          <w:noProof/>
          <w:lang w:val="sr-Latn-ME"/>
        </w:rPr>
        <w:t>Međunarodna organizacija rada</w:t>
      </w:r>
    </w:p>
    <w:p w14:paraId="2AC1E8EA" w14:textId="77777777" w:rsidR="00802271" w:rsidRPr="00AB15C7" w:rsidRDefault="00024687" w:rsidP="00E04218">
      <w:pPr>
        <w:spacing w:before="120" w:after="60"/>
        <w:rPr>
          <w:rFonts w:ascii="Cambria" w:hAnsi="Cambria"/>
          <w:noProof/>
        </w:rPr>
      </w:pPr>
      <w:r w:rsidRPr="00AB15C7">
        <w:rPr>
          <w:rFonts w:ascii="Cambria" w:hAnsi="Cambria"/>
          <w:b/>
          <w:noProof/>
          <w:lang w:val="sr-Latn-ME"/>
        </w:rPr>
        <w:t>IOMC</w:t>
      </w:r>
      <w:r w:rsidRPr="00AB15C7">
        <w:rPr>
          <w:rFonts w:ascii="Cambria" w:hAnsi="Cambria"/>
          <w:noProof/>
          <w:lang w:val="sr-Latn-ME"/>
        </w:rPr>
        <w:t xml:space="preserve">  - Međuorganizacioni  program za pravilno upravljanje hemikalijama</w:t>
      </w:r>
      <w:r w:rsidR="00802271" w:rsidRPr="00802271">
        <w:rPr>
          <w:rFonts w:ascii="Cambria" w:hAnsi="Cambria"/>
          <w:b/>
          <w:noProof/>
          <w:lang w:val="sr-Latn-ME"/>
        </w:rPr>
        <w:t xml:space="preserve"> </w:t>
      </w:r>
    </w:p>
    <w:p w14:paraId="6C1116F9"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IPA</w:t>
      </w:r>
      <w:r w:rsidRPr="00AB15C7">
        <w:rPr>
          <w:rFonts w:ascii="Cambria" w:hAnsi="Cambria"/>
          <w:noProof/>
          <w:lang w:val="sr-Latn-ME"/>
        </w:rPr>
        <w:t xml:space="preserve"> – Instrument za predpristupnu podršku</w:t>
      </w:r>
    </w:p>
    <w:p w14:paraId="66AB309C"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IPPC</w:t>
      </w:r>
      <w:r w:rsidRPr="00AB15C7">
        <w:rPr>
          <w:rFonts w:ascii="Cambria" w:hAnsi="Cambria"/>
          <w:noProof/>
          <w:lang w:val="sr-Latn-ME"/>
        </w:rPr>
        <w:t xml:space="preserve"> (</w:t>
      </w:r>
      <w:r w:rsidRPr="00212C65">
        <w:rPr>
          <w:rFonts w:ascii="Cambria" w:hAnsi="Cambria"/>
          <w:i/>
          <w:noProof/>
          <w:lang w:val="sr-Latn-ME"/>
        </w:rPr>
        <w:t>Integrated Pollution Prevention and Control</w:t>
      </w:r>
      <w:r w:rsidRPr="00AB15C7">
        <w:rPr>
          <w:rFonts w:ascii="Cambria" w:hAnsi="Cambria"/>
          <w:noProof/>
          <w:lang w:val="sr-Latn-ME"/>
        </w:rPr>
        <w:t xml:space="preserve">) - integrisano sprječavanje i kontrola zagađenja </w:t>
      </w:r>
    </w:p>
    <w:p w14:paraId="5074CF13"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 xml:space="preserve">ISO - </w:t>
      </w:r>
      <w:r w:rsidR="00212C65" w:rsidRPr="00AB15C7">
        <w:rPr>
          <w:rFonts w:ascii="Cambria" w:hAnsi="Cambria"/>
          <w:noProof/>
          <w:lang w:val="sr-Latn-ME"/>
        </w:rPr>
        <w:t>(</w:t>
      </w:r>
      <w:r w:rsidRPr="00212C65">
        <w:rPr>
          <w:rFonts w:ascii="Cambria" w:hAnsi="Cambria"/>
          <w:i/>
          <w:noProof/>
          <w:lang w:val="sr-Latn-ME"/>
        </w:rPr>
        <w:t>International Organization for Standardization</w:t>
      </w:r>
      <w:r w:rsidR="00212C65" w:rsidRPr="00AB15C7">
        <w:rPr>
          <w:rFonts w:ascii="Cambria" w:hAnsi="Cambria"/>
          <w:noProof/>
          <w:lang w:val="sr-Latn-ME"/>
        </w:rPr>
        <w:t>)</w:t>
      </w:r>
      <w:r w:rsidRPr="00AB15C7">
        <w:rPr>
          <w:rFonts w:ascii="Cambria" w:hAnsi="Cambria"/>
          <w:noProof/>
          <w:lang w:val="sr-Latn-ME"/>
        </w:rPr>
        <w:t xml:space="preserve"> </w:t>
      </w:r>
      <w:r w:rsidR="00212C65">
        <w:rPr>
          <w:rFonts w:ascii="Cambria" w:hAnsi="Cambria"/>
          <w:noProof/>
          <w:lang w:val="sr-Latn-ME"/>
        </w:rPr>
        <w:t xml:space="preserve">- </w:t>
      </w:r>
      <w:r w:rsidRPr="00AB15C7">
        <w:rPr>
          <w:rFonts w:ascii="Cambria" w:hAnsi="Cambria"/>
          <w:noProof/>
          <w:lang w:val="sr-Latn-ME"/>
        </w:rPr>
        <w:t>Svjetska organizacija za standardizaciju</w:t>
      </w:r>
    </w:p>
    <w:p w14:paraId="2C38F627"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KAP</w:t>
      </w:r>
      <w:r w:rsidRPr="00AB15C7">
        <w:rPr>
          <w:rFonts w:ascii="Cambria" w:hAnsi="Cambria"/>
          <w:noProof/>
          <w:lang w:val="sr-Latn-ME"/>
        </w:rPr>
        <w:t xml:space="preserve"> – Kombinat aluminijuma Podgorica</w:t>
      </w:r>
    </w:p>
    <w:p w14:paraId="2047FF60"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MDK</w:t>
      </w:r>
      <w:r w:rsidRPr="00AB15C7">
        <w:rPr>
          <w:rFonts w:ascii="Cambria" w:hAnsi="Cambria"/>
          <w:noProof/>
          <w:lang w:val="sr-Latn-ME"/>
        </w:rPr>
        <w:t xml:space="preserve"> – maksimalno dozvoljene koncentracije</w:t>
      </w:r>
    </w:p>
    <w:p w14:paraId="051CCB1D"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ME</w:t>
      </w:r>
      <w:r w:rsidRPr="00AB15C7">
        <w:rPr>
          <w:rFonts w:ascii="Cambria" w:hAnsi="Cambria"/>
          <w:noProof/>
          <w:lang w:val="sr-Latn-ME"/>
        </w:rPr>
        <w:t xml:space="preserve"> – Ministarstvo ekonomije</w:t>
      </w:r>
    </w:p>
    <w:p w14:paraId="3CA8C4B8"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MONSTAT</w:t>
      </w:r>
      <w:r w:rsidRPr="00AB15C7">
        <w:rPr>
          <w:rFonts w:ascii="Cambria" w:hAnsi="Cambria"/>
          <w:noProof/>
          <w:lang w:val="sr-Latn-ME"/>
        </w:rPr>
        <w:t xml:space="preserve"> - Zavod za statistiku Crne Gore</w:t>
      </w:r>
    </w:p>
    <w:p w14:paraId="318F8EA0"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MORT</w:t>
      </w:r>
      <w:r w:rsidRPr="00AB15C7">
        <w:rPr>
          <w:rFonts w:ascii="Cambria" w:hAnsi="Cambria"/>
          <w:noProof/>
          <w:lang w:val="sr-Latn-ME"/>
        </w:rPr>
        <w:t xml:space="preserve"> - Ministarstvo održivog razvoja i turizma</w:t>
      </w:r>
    </w:p>
    <w:p w14:paraId="6B5F6A69"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MPRR</w:t>
      </w:r>
      <w:r w:rsidRPr="00AB15C7">
        <w:rPr>
          <w:rFonts w:ascii="Cambria" w:hAnsi="Cambria"/>
          <w:noProof/>
          <w:lang w:val="sr-Latn-ME"/>
        </w:rPr>
        <w:t xml:space="preserve"> – Ministarstvo poljoprivrede i ruralnog razvoja</w:t>
      </w:r>
    </w:p>
    <w:p w14:paraId="468239A0"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MRSS</w:t>
      </w:r>
      <w:r w:rsidRPr="00AB15C7">
        <w:rPr>
          <w:rFonts w:ascii="Cambria" w:hAnsi="Cambria"/>
          <w:noProof/>
          <w:lang w:val="sr-Latn-ME"/>
        </w:rPr>
        <w:t>– Ministarstvo rada i socijalnog staranja</w:t>
      </w:r>
    </w:p>
    <w:p w14:paraId="0CE99628"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MUP</w:t>
      </w:r>
      <w:r w:rsidRPr="00AB15C7">
        <w:rPr>
          <w:rFonts w:ascii="Cambria" w:hAnsi="Cambria"/>
          <w:noProof/>
          <w:lang w:val="sr-Latn-ME"/>
        </w:rPr>
        <w:t xml:space="preserve"> – Ministarstvo unutrašnjih poslova</w:t>
      </w:r>
    </w:p>
    <w:p w14:paraId="783226A3"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MZ</w:t>
      </w:r>
      <w:r w:rsidRPr="00AB15C7">
        <w:rPr>
          <w:rFonts w:ascii="Cambria" w:hAnsi="Cambria"/>
          <w:noProof/>
          <w:lang w:val="sr-Latn-ME"/>
        </w:rPr>
        <w:t xml:space="preserve"> – Ministarstvo zdravlja</w:t>
      </w:r>
    </w:p>
    <w:p w14:paraId="37013E91"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NIP</w:t>
      </w:r>
      <w:r w:rsidRPr="00AB15C7">
        <w:rPr>
          <w:rFonts w:ascii="Cambria" w:hAnsi="Cambria"/>
          <w:noProof/>
          <w:lang w:val="sr-Latn-ME"/>
        </w:rPr>
        <w:t xml:space="preserve"> - Nacionalni plan za implementaciju Stokholmske konvencije za period 2014-2021</w:t>
      </w:r>
    </w:p>
    <w:p w14:paraId="45CA0430" w14:textId="77777777" w:rsidR="00212C65" w:rsidRDefault="00212C65" w:rsidP="00E04218">
      <w:pPr>
        <w:spacing w:before="120" w:after="60"/>
        <w:rPr>
          <w:rFonts w:ascii="Cambria" w:hAnsi="Cambria"/>
          <w:b/>
          <w:noProof/>
          <w:lang w:val="sr-Latn-ME"/>
        </w:rPr>
      </w:pPr>
      <w:r>
        <w:rPr>
          <w:rFonts w:ascii="Cambria" w:hAnsi="Cambria"/>
          <w:b/>
          <w:noProof/>
          <w:lang w:val="sr-Latn-ME"/>
        </w:rPr>
        <w:t xml:space="preserve">PAH </w:t>
      </w:r>
      <w:r w:rsidR="00FB3D42" w:rsidRPr="00FB3D42">
        <w:rPr>
          <w:rFonts w:ascii="Cambria" w:hAnsi="Cambria"/>
          <w:noProof/>
          <w:lang w:val="sr-Latn-ME"/>
        </w:rPr>
        <w:t>(</w:t>
      </w:r>
      <w:r w:rsidR="00FB3D42" w:rsidRPr="00FB3D42">
        <w:rPr>
          <w:rFonts w:ascii="Cambria" w:hAnsi="Cambria"/>
          <w:i/>
          <w:noProof/>
          <w:lang w:val="sr-Latn-ME"/>
        </w:rPr>
        <w:t>Polycyclic aromatic Hydrocarbons</w:t>
      </w:r>
      <w:r w:rsidR="00FB3D42" w:rsidRPr="00FB3D42">
        <w:rPr>
          <w:rFonts w:ascii="Cambria" w:hAnsi="Cambria"/>
          <w:noProof/>
          <w:lang w:val="sr-Latn-ME"/>
        </w:rPr>
        <w:t>)- policiklični aromatični ugljovodonici</w:t>
      </w:r>
    </w:p>
    <w:p w14:paraId="720F7229" w14:textId="77777777" w:rsidR="00FB3D42" w:rsidRPr="00FB3D42" w:rsidRDefault="00FB3D42" w:rsidP="00E04218">
      <w:pPr>
        <w:spacing w:before="120" w:after="60"/>
        <w:rPr>
          <w:rFonts w:ascii="Cambria" w:hAnsi="Cambria"/>
          <w:noProof/>
          <w:lang w:val="sr-Latn-ME"/>
        </w:rPr>
      </w:pPr>
      <w:r w:rsidRPr="00FB3D42">
        <w:rPr>
          <w:rFonts w:ascii="Cambria" w:hAnsi="Cambria"/>
          <w:b/>
          <w:noProof/>
          <w:lang w:val="sr-Latn-ME"/>
        </w:rPr>
        <w:t xml:space="preserve">PBT </w:t>
      </w:r>
      <w:r w:rsidRPr="00FB3D42">
        <w:rPr>
          <w:rFonts w:ascii="Cambria" w:hAnsi="Cambria"/>
          <w:noProof/>
          <w:lang w:val="sr-Latn-ME"/>
        </w:rPr>
        <w:t xml:space="preserve"> (</w:t>
      </w:r>
      <w:r w:rsidRPr="00FB3D42">
        <w:rPr>
          <w:rFonts w:ascii="Cambria" w:hAnsi="Cambria"/>
          <w:i/>
          <w:noProof/>
          <w:lang w:val="sr-Latn-ME"/>
        </w:rPr>
        <w:t>Persistent, Bioaccumulative and Toxic</w:t>
      </w:r>
      <w:r w:rsidRPr="00FB3D42">
        <w:rPr>
          <w:rFonts w:ascii="Cambria" w:hAnsi="Cambria"/>
          <w:noProof/>
          <w:lang w:val="sr-Latn-ME"/>
        </w:rPr>
        <w:t xml:space="preserve">) </w:t>
      </w:r>
      <w:r>
        <w:rPr>
          <w:rFonts w:ascii="Cambria" w:hAnsi="Cambria"/>
          <w:noProof/>
          <w:lang w:val="sr-Latn-ME"/>
        </w:rPr>
        <w:t>– perzistentme, bioakumulativne i toksične supstance</w:t>
      </w:r>
    </w:p>
    <w:p w14:paraId="559B8F19" w14:textId="77777777" w:rsidR="00212C65" w:rsidRPr="00FB3D42" w:rsidRDefault="00FB3D42" w:rsidP="00E04218">
      <w:pPr>
        <w:spacing w:before="120" w:after="60"/>
        <w:rPr>
          <w:rFonts w:ascii="Cambria" w:hAnsi="Cambria"/>
          <w:noProof/>
          <w:lang w:val="sr-Latn-ME"/>
        </w:rPr>
      </w:pPr>
      <w:r>
        <w:rPr>
          <w:rFonts w:ascii="Cambria" w:hAnsi="Cambria"/>
          <w:b/>
          <w:noProof/>
          <w:lang w:val="sr-Latn-ME"/>
        </w:rPr>
        <w:t>PCB</w:t>
      </w:r>
      <w:r w:rsidRPr="00FB3D42">
        <w:rPr>
          <w:rFonts w:ascii="Cambria" w:hAnsi="Cambria"/>
          <w:b/>
          <w:noProof/>
          <w:lang w:val="sr-Latn-ME"/>
        </w:rPr>
        <w:t xml:space="preserve">  </w:t>
      </w:r>
      <w:r w:rsidRPr="00FB3D42">
        <w:rPr>
          <w:rFonts w:ascii="Cambria" w:hAnsi="Cambria"/>
          <w:noProof/>
          <w:lang w:val="sr-Latn-ME"/>
        </w:rPr>
        <w:t>(</w:t>
      </w:r>
      <w:r w:rsidRPr="00FB3D42">
        <w:rPr>
          <w:rFonts w:ascii="Cambria" w:hAnsi="Cambria"/>
          <w:i/>
          <w:noProof/>
        </w:rPr>
        <w:t>Polychlorinated Biphenyl</w:t>
      </w:r>
      <w:r w:rsidRPr="00FB3D42">
        <w:rPr>
          <w:rFonts w:ascii="Cambria" w:hAnsi="Cambria"/>
          <w:noProof/>
        </w:rPr>
        <w:t>)</w:t>
      </w:r>
      <w:r>
        <w:rPr>
          <w:rFonts w:ascii="Cambria" w:hAnsi="Cambria"/>
          <w:noProof/>
        </w:rPr>
        <w:t xml:space="preserve"> -</w:t>
      </w:r>
      <w:r w:rsidRPr="00FB3D42">
        <w:t xml:space="preserve"> </w:t>
      </w:r>
      <w:r>
        <w:rPr>
          <w:rFonts w:ascii="Cambria" w:hAnsi="Cambria"/>
          <w:lang w:val="sr-Latn-CS"/>
        </w:rPr>
        <w:t>p</w:t>
      </w:r>
      <w:r w:rsidRPr="00FB3D42">
        <w:rPr>
          <w:rFonts w:ascii="Cambria" w:hAnsi="Cambria"/>
          <w:lang w:val="sr-Latn-CS"/>
        </w:rPr>
        <w:t>olihlorovani bifenili</w:t>
      </w:r>
    </w:p>
    <w:p w14:paraId="4BCD83D4"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POPs</w:t>
      </w:r>
      <w:r w:rsidRPr="00AB15C7">
        <w:rPr>
          <w:rFonts w:ascii="Cambria" w:hAnsi="Cambria"/>
          <w:noProof/>
          <w:lang w:val="sr-Latn-ME"/>
        </w:rPr>
        <w:t xml:space="preserve"> (</w:t>
      </w:r>
      <w:r w:rsidRPr="00C35EA4">
        <w:rPr>
          <w:rFonts w:ascii="Cambria" w:hAnsi="Cambria"/>
          <w:i/>
          <w:noProof/>
          <w:lang w:val="sr-Latn-ME"/>
        </w:rPr>
        <w:t>Persistent Organic Pollutants</w:t>
      </w:r>
      <w:r w:rsidRPr="00AB15C7">
        <w:rPr>
          <w:rFonts w:ascii="Cambria" w:hAnsi="Cambria"/>
          <w:noProof/>
          <w:lang w:val="sr-Latn-ME"/>
        </w:rPr>
        <w:t xml:space="preserve">) – </w:t>
      </w:r>
      <w:r w:rsidR="003808E9" w:rsidRPr="00AB15C7">
        <w:rPr>
          <w:rFonts w:ascii="Cambria" w:hAnsi="Cambria"/>
          <w:noProof/>
          <w:lang w:val="sr-Latn-ME"/>
        </w:rPr>
        <w:t xml:space="preserve">dugotrajne </w:t>
      </w:r>
      <w:r w:rsidRPr="00AB15C7">
        <w:rPr>
          <w:rFonts w:ascii="Cambria" w:hAnsi="Cambria"/>
          <w:noProof/>
          <w:lang w:val="sr-Latn-ME"/>
        </w:rPr>
        <w:t xml:space="preserve">organske zagađujuće </w:t>
      </w:r>
      <w:r w:rsidR="003808E9" w:rsidRPr="00AB15C7">
        <w:rPr>
          <w:rFonts w:ascii="Cambria" w:hAnsi="Cambria"/>
          <w:noProof/>
          <w:lang w:val="sr-Latn-ME"/>
        </w:rPr>
        <w:t>supstance</w:t>
      </w:r>
    </w:p>
    <w:p w14:paraId="26473C60"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 xml:space="preserve">POPs Protokol </w:t>
      </w:r>
      <w:r w:rsidRPr="00AB15C7">
        <w:rPr>
          <w:rFonts w:ascii="Cambria" w:hAnsi="Cambria"/>
          <w:noProof/>
          <w:lang w:val="sr-Latn-ME"/>
        </w:rPr>
        <w:t>- Protokol o dugotrajnim organskim zagađujućim materijama</w:t>
      </w:r>
    </w:p>
    <w:p w14:paraId="15E3F8FB"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REACH</w:t>
      </w:r>
      <w:r w:rsidRPr="00AB15C7">
        <w:rPr>
          <w:rFonts w:ascii="Cambria" w:hAnsi="Cambria"/>
          <w:noProof/>
          <w:lang w:val="sr-Latn-ME"/>
        </w:rPr>
        <w:t xml:space="preserve"> – Uredba (EC) 1907/2006 koja se tiče registracije, evaluacije, autorizacije i zabrane hemikalija</w:t>
      </w:r>
    </w:p>
    <w:p w14:paraId="65D3814F"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 xml:space="preserve">SAICM </w:t>
      </w:r>
      <w:r w:rsidRPr="00AB15C7">
        <w:rPr>
          <w:rFonts w:ascii="Cambria" w:hAnsi="Cambria"/>
          <w:noProof/>
          <w:lang w:val="sr-Latn-ME"/>
        </w:rPr>
        <w:t>- Strateški pristup međunarodnom upravljanju hemikalijama</w:t>
      </w:r>
    </w:p>
    <w:p w14:paraId="7E14A284"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SSP</w:t>
      </w:r>
      <w:r w:rsidRPr="00AB15C7">
        <w:rPr>
          <w:rFonts w:ascii="Cambria" w:hAnsi="Cambria"/>
          <w:noProof/>
          <w:lang w:val="sr-Latn-ME"/>
        </w:rPr>
        <w:t xml:space="preserve"> - Sporazuma o stabilizaciji i pridruživanju </w:t>
      </w:r>
    </w:p>
    <w:p w14:paraId="78AB9497"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TE</w:t>
      </w:r>
      <w:r w:rsidRPr="00AB15C7">
        <w:rPr>
          <w:rFonts w:ascii="Cambria" w:hAnsi="Cambria"/>
          <w:noProof/>
          <w:lang w:val="sr-Latn-ME"/>
        </w:rPr>
        <w:t xml:space="preserve"> – Termoelektrane</w:t>
      </w:r>
    </w:p>
    <w:p w14:paraId="697061C2" w14:textId="77777777" w:rsidR="00802271" w:rsidRDefault="00802271" w:rsidP="00E04218">
      <w:pPr>
        <w:spacing w:before="120" w:after="60"/>
        <w:rPr>
          <w:rFonts w:ascii="Cambria" w:hAnsi="Cambria"/>
          <w:noProof/>
        </w:rPr>
      </w:pPr>
      <w:r w:rsidRPr="00AB15C7">
        <w:rPr>
          <w:rFonts w:ascii="Cambria" w:hAnsi="Cambria"/>
          <w:b/>
          <w:noProof/>
          <w:lang w:val="sr-Latn-ME"/>
        </w:rPr>
        <w:t>UBHVFP</w:t>
      </w:r>
      <w:r w:rsidRPr="00AB15C7">
        <w:rPr>
          <w:rFonts w:ascii="Cambria" w:hAnsi="Cambria"/>
          <w:noProof/>
          <w:lang w:val="sr-Latn-ME"/>
        </w:rPr>
        <w:t xml:space="preserve">– </w:t>
      </w:r>
      <w:r w:rsidRPr="00AB15C7">
        <w:rPr>
          <w:rFonts w:ascii="Cambria" w:hAnsi="Cambria"/>
          <w:noProof/>
        </w:rPr>
        <w:t>Uprava za bezbjednost hrane, veterinu i fitosanitarne poslove</w:t>
      </w:r>
    </w:p>
    <w:p w14:paraId="176347E4" w14:textId="77777777" w:rsidR="00212C65" w:rsidRPr="00212C65" w:rsidRDefault="00212C65" w:rsidP="00E04218">
      <w:pPr>
        <w:spacing w:before="120" w:after="60"/>
        <w:rPr>
          <w:rFonts w:ascii="Cambria" w:hAnsi="Cambria"/>
          <w:noProof/>
          <w:lang w:val="sr-Latn-ME"/>
        </w:rPr>
      </w:pPr>
      <w:r w:rsidRPr="00212C65">
        <w:rPr>
          <w:rFonts w:ascii="Cambria" w:hAnsi="Cambria"/>
          <w:b/>
          <w:noProof/>
          <w:lang w:val="sr-Latn-ME"/>
        </w:rPr>
        <w:t xml:space="preserve">UC </w:t>
      </w:r>
      <w:r>
        <w:rPr>
          <w:rFonts w:ascii="Cambria" w:hAnsi="Cambria"/>
          <w:b/>
          <w:noProof/>
          <w:lang w:val="sr-Latn-ME"/>
        </w:rPr>
        <w:t xml:space="preserve">- </w:t>
      </w:r>
      <w:r w:rsidRPr="00212C65">
        <w:rPr>
          <w:rFonts w:ascii="Cambria" w:hAnsi="Cambria"/>
          <w:noProof/>
          <w:lang w:val="sr-Latn-ME"/>
        </w:rPr>
        <w:t>Uprava Carina</w:t>
      </w:r>
    </w:p>
    <w:p w14:paraId="56C9A555" w14:textId="77777777" w:rsidR="00024687" w:rsidRPr="00AB15C7" w:rsidRDefault="00024687" w:rsidP="00E04218">
      <w:pPr>
        <w:spacing w:before="120" w:after="60"/>
        <w:rPr>
          <w:rFonts w:ascii="Cambria" w:hAnsi="Cambria"/>
          <w:b/>
          <w:noProof/>
          <w:lang w:val="sr-Latn-ME"/>
        </w:rPr>
      </w:pPr>
      <w:r w:rsidRPr="00AB15C7">
        <w:rPr>
          <w:rFonts w:ascii="Cambria" w:hAnsi="Cambria"/>
          <w:b/>
          <w:noProof/>
          <w:lang w:val="sr-Latn-ME"/>
        </w:rPr>
        <w:t xml:space="preserve">UIP </w:t>
      </w:r>
      <w:r w:rsidRPr="00AB15C7">
        <w:rPr>
          <w:rFonts w:ascii="Cambria" w:hAnsi="Cambria"/>
          <w:noProof/>
          <w:lang w:val="sr-Latn-ME"/>
        </w:rPr>
        <w:t>– Uprava za inspekcijske poslove</w:t>
      </w:r>
    </w:p>
    <w:p w14:paraId="10D88DDE" w14:textId="77777777" w:rsidR="00024687" w:rsidRPr="00AB15C7" w:rsidRDefault="00024687" w:rsidP="00E04218">
      <w:pPr>
        <w:spacing w:before="120" w:after="60"/>
        <w:rPr>
          <w:rFonts w:ascii="Cambria" w:hAnsi="Cambria"/>
          <w:noProof/>
          <w:lang w:val="sr-Latn-ME"/>
        </w:rPr>
      </w:pPr>
      <w:r w:rsidRPr="00AB15C7">
        <w:rPr>
          <w:rFonts w:ascii="Cambria" w:hAnsi="Cambria"/>
          <w:b/>
          <w:noProof/>
          <w:lang w:val="sr-Latn-ME"/>
        </w:rPr>
        <w:t>UNITAR</w:t>
      </w:r>
      <w:r w:rsidRPr="00AB15C7">
        <w:rPr>
          <w:rFonts w:ascii="Cambria" w:hAnsi="Cambria"/>
          <w:noProof/>
          <w:lang w:val="sr-Latn-ME"/>
        </w:rPr>
        <w:t xml:space="preserve"> (</w:t>
      </w:r>
      <w:r w:rsidRPr="00C35EA4">
        <w:rPr>
          <w:rFonts w:ascii="Cambria" w:hAnsi="Cambria"/>
          <w:i/>
          <w:noProof/>
          <w:lang w:val="sr-Latn-ME"/>
        </w:rPr>
        <w:t>Un</w:t>
      </w:r>
      <w:r w:rsidR="00C35EA4" w:rsidRPr="00C35EA4">
        <w:rPr>
          <w:rFonts w:ascii="Cambria" w:hAnsi="Cambria"/>
          <w:i/>
          <w:noProof/>
          <w:lang w:val="sr-Latn-ME"/>
        </w:rPr>
        <w:t>it</w:t>
      </w:r>
      <w:r w:rsidRPr="00C35EA4">
        <w:rPr>
          <w:rFonts w:ascii="Cambria" w:hAnsi="Cambria"/>
          <w:i/>
          <w:noProof/>
          <w:lang w:val="sr-Latn-ME"/>
        </w:rPr>
        <w:t>ed Nations Institute for Training and Research</w:t>
      </w:r>
      <w:r w:rsidRPr="00AB15C7">
        <w:rPr>
          <w:rFonts w:ascii="Cambria" w:hAnsi="Cambria"/>
          <w:noProof/>
          <w:lang w:val="sr-Latn-ME"/>
        </w:rPr>
        <w:t xml:space="preserve">) - Institut Ujedinjenih nacija za trening i istraživanje </w:t>
      </w:r>
    </w:p>
    <w:p w14:paraId="5EC724E9" w14:textId="77777777" w:rsidR="00C35EA4" w:rsidRDefault="00C35EA4" w:rsidP="00E04218">
      <w:pPr>
        <w:spacing w:before="120" w:after="60"/>
        <w:rPr>
          <w:rFonts w:ascii="Cambria" w:hAnsi="Cambria"/>
          <w:i/>
          <w:noProof/>
          <w:lang w:val="sr-Latn-ME"/>
        </w:rPr>
      </w:pPr>
      <w:r w:rsidRPr="00C35EA4">
        <w:rPr>
          <w:rFonts w:ascii="Cambria" w:hAnsi="Cambria"/>
          <w:b/>
          <w:noProof/>
          <w:lang w:val="sr-Latn-ME"/>
        </w:rPr>
        <w:t>UNDP</w:t>
      </w:r>
      <w:r w:rsidRPr="00C35EA4">
        <w:t xml:space="preserve"> </w:t>
      </w:r>
      <w:r>
        <w:t>(</w:t>
      </w:r>
      <w:r w:rsidRPr="00C35EA4">
        <w:rPr>
          <w:i/>
          <w:lang w:val="sr-Latn-ME"/>
        </w:rPr>
        <w:t>United Nations Development Programme</w:t>
      </w:r>
      <w:r>
        <w:rPr>
          <w:i/>
          <w:lang w:val="sr-Latn-ME"/>
        </w:rPr>
        <w:t xml:space="preserve">) - </w:t>
      </w:r>
      <w:r w:rsidRPr="00C35EA4">
        <w:rPr>
          <w:i/>
          <w:lang w:val="sr-Latn-ME"/>
        </w:rPr>
        <w:t xml:space="preserve"> </w:t>
      </w:r>
      <w:r w:rsidRPr="00C35EA4">
        <w:rPr>
          <w:rFonts w:ascii="Cambria" w:hAnsi="Cambria"/>
          <w:noProof/>
          <w:lang w:val="sr-Latn-ME"/>
        </w:rPr>
        <w:t>Program Ujedinjenih nacija za razvoj</w:t>
      </w:r>
    </w:p>
    <w:p w14:paraId="18DFDF61" w14:textId="77777777" w:rsidR="00C35EA4" w:rsidRDefault="00C35EA4" w:rsidP="00E04218">
      <w:pPr>
        <w:spacing w:before="120" w:after="60"/>
        <w:rPr>
          <w:rFonts w:ascii="Cambria" w:hAnsi="Cambria"/>
          <w:i/>
          <w:noProof/>
          <w:lang w:val="sr-Latn-ME"/>
        </w:rPr>
      </w:pPr>
      <w:r w:rsidRPr="00C35EA4">
        <w:rPr>
          <w:rFonts w:ascii="Cambria" w:hAnsi="Cambria"/>
          <w:b/>
          <w:noProof/>
          <w:lang w:val="sr-Latn-ME"/>
        </w:rPr>
        <w:t>UNEP</w:t>
      </w:r>
      <w:r w:rsidRPr="00C35EA4">
        <w:t xml:space="preserve"> </w:t>
      </w:r>
      <w:r w:rsidRPr="00C35EA4">
        <w:rPr>
          <w:i/>
        </w:rPr>
        <w:t>(</w:t>
      </w:r>
      <w:r w:rsidRPr="00C35EA4">
        <w:rPr>
          <w:bCs/>
          <w:i/>
        </w:rPr>
        <w:t>United Nations Environment Programme</w:t>
      </w:r>
      <w:r>
        <w:rPr>
          <w:i/>
          <w:lang w:val="sr-Latn-ME"/>
        </w:rPr>
        <w:t xml:space="preserve">) - </w:t>
      </w:r>
      <w:r w:rsidRPr="00C35EA4">
        <w:rPr>
          <w:rFonts w:ascii="Cambria" w:hAnsi="Cambria"/>
          <w:noProof/>
          <w:lang w:val="sr-Latn-ME"/>
        </w:rPr>
        <w:t>Program Ujedinjenih naciija za zaštitu životne sredine</w:t>
      </w:r>
    </w:p>
    <w:p w14:paraId="5F8952D2" w14:textId="77777777" w:rsidR="00FB3D42" w:rsidRDefault="00FB3D42" w:rsidP="00E04218">
      <w:pPr>
        <w:spacing w:before="120" w:after="60"/>
        <w:rPr>
          <w:rFonts w:ascii="Cambria" w:hAnsi="Cambria"/>
          <w:b/>
          <w:noProof/>
          <w:lang w:val="sr-Latn-ME"/>
        </w:rPr>
      </w:pPr>
      <w:r w:rsidRPr="00FB3D42">
        <w:rPr>
          <w:rFonts w:ascii="Cambria" w:hAnsi="Cambria"/>
          <w:b/>
          <w:noProof/>
          <w:lang w:val="sr-Latn-ME"/>
        </w:rPr>
        <w:t>vPvB</w:t>
      </w:r>
      <w:r w:rsidRPr="00C35EA4">
        <w:rPr>
          <w:rFonts w:ascii="Cambria" w:hAnsi="Cambria"/>
          <w:b/>
          <w:noProof/>
          <w:lang w:val="sr-Latn-ME"/>
        </w:rPr>
        <w:t xml:space="preserve"> </w:t>
      </w:r>
      <w:r w:rsidRPr="00FB3D42">
        <w:rPr>
          <w:rFonts w:ascii="Cambria" w:hAnsi="Cambria"/>
          <w:noProof/>
          <w:lang w:val="sr-Latn-ME"/>
        </w:rPr>
        <w:t>(</w:t>
      </w:r>
      <w:r w:rsidR="00165701" w:rsidRPr="00165701">
        <w:rPr>
          <w:rFonts w:ascii="Cambria" w:hAnsi="Cambria"/>
          <w:i/>
          <w:noProof/>
          <w:lang w:val="sr-Latn-ME"/>
        </w:rPr>
        <w:t xml:space="preserve">Very Persistent </w:t>
      </w:r>
      <w:r w:rsidRPr="00165701">
        <w:rPr>
          <w:rFonts w:ascii="Cambria" w:hAnsi="Cambria"/>
          <w:i/>
          <w:noProof/>
          <w:lang w:val="sr-Latn-ME"/>
        </w:rPr>
        <w:t xml:space="preserve">and </w:t>
      </w:r>
      <w:r w:rsidR="00165701" w:rsidRPr="00165701">
        <w:rPr>
          <w:rFonts w:ascii="Cambria" w:hAnsi="Cambria"/>
          <w:i/>
          <w:noProof/>
          <w:lang w:val="sr-Latn-ME"/>
        </w:rPr>
        <w:t>Very Bioaccumulative</w:t>
      </w:r>
      <w:r w:rsidRPr="00FB3D42">
        <w:rPr>
          <w:rFonts w:ascii="Cambria" w:hAnsi="Cambria"/>
          <w:noProof/>
          <w:lang w:val="sr-Latn-ME"/>
        </w:rPr>
        <w:t>) – veoma perzistentme, veoma bioakumulativne supstance</w:t>
      </w:r>
    </w:p>
    <w:p w14:paraId="323B202D" w14:textId="77777777" w:rsidR="001C74B7" w:rsidRPr="00C35EA4" w:rsidRDefault="00C35EA4" w:rsidP="00E04218">
      <w:pPr>
        <w:spacing w:before="120" w:after="60"/>
        <w:rPr>
          <w:rFonts w:ascii="Cambria" w:hAnsi="Cambria"/>
          <w:noProof/>
          <w:lang w:val="sr-Latn-ME"/>
        </w:rPr>
      </w:pPr>
      <w:r w:rsidRPr="00C35EA4">
        <w:rPr>
          <w:rFonts w:ascii="Cambria" w:hAnsi="Cambria"/>
          <w:b/>
          <w:noProof/>
          <w:lang w:val="sr-Latn-ME"/>
        </w:rPr>
        <w:t>WHO</w:t>
      </w:r>
      <w:r>
        <w:rPr>
          <w:rFonts w:ascii="Cambria" w:hAnsi="Cambria"/>
          <w:i/>
          <w:noProof/>
          <w:lang w:val="sr-Latn-ME"/>
        </w:rPr>
        <w:t xml:space="preserve"> (World Health Organisation) – </w:t>
      </w:r>
      <w:r w:rsidRPr="00C35EA4">
        <w:rPr>
          <w:rFonts w:ascii="Cambria" w:hAnsi="Cambria"/>
          <w:noProof/>
          <w:lang w:val="sr-Latn-ME"/>
        </w:rPr>
        <w:t>Svjetska zdravstvena organizacija</w:t>
      </w:r>
    </w:p>
    <w:p w14:paraId="538F6EB9" w14:textId="77777777" w:rsidR="00BC7668" w:rsidRPr="00AB15C7" w:rsidRDefault="00BC7668" w:rsidP="005921EF">
      <w:pPr>
        <w:rPr>
          <w:rFonts w:ascii="Cambria" w:hAnsi="Cambria"/>
          <w:noProof/>
          <w:lang w:val="sr-Latn-ME"/>
        </w:rPr>
        <w:sectPr w:rsidR="00BC7668" w:rsidRPr="00AB15C7" w:rsidSect="00E17B9B">
          <w:pgSz w:w="11907" w:h="16840"/>
          <w:pgMar w:top="1134" w:right="1134" w:bottom="1134" w:left="1134" w:header="709" w:footer="709" w:gutter="0"/>
          <w:cols w:space="720"/>
          <w:titlePg/>
          <w:docGrid w:linePitch="360"/>
        </w:sectPr>
      </w:pPr>
    </w:p>
    <w:p w14:paraId="4097805B" w14:textId="77777777" w:rsidR="0033011A" w:rsidRPr="00AB15C7" w:rsidRDefault="0033011A" w:rsidP="005921EF">
      <w:pPr>
        <w:tabs>
          <w:tab w:val="left" w:pos="720"/>
        </w:tabs>
        <w:spacing w:before="100" w:beforeAutospacing="1" w:after="100" w:afterAutospacing="1"/>
        <w:ind w:left="720"/>
        <w:jc w:val="both"/>
        <w:rPr>
          <w:rFonts w:ascii="Cambria" w:hAnsi="Cambria"/>
          <w:b/>
          <w:noProof/>
          <w:lang w:val="sr-Latn-ME"/>
        </w:rPr>
      </w:pPr>
      <w:bookmarkStart w:id="2" w:name="_Toc390417839"/>
    </w:p>
    <w:p w14:paraId="0F23F209"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710907FA"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0283F151"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1ACD6EB2"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561C53F8"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17CE2F82"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5C013C9B"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tbl>
      <w:tblPr>
        <w:tblW w:w="9818" w:type="dxa"/>
        <w:tblInd w:w="108" w:type="dxa"/>
        <w:tblBorders>
          <w:insideH w:val="single" w:sz="4" w:space="0" w:color="000000"/>
        </w:tblBorders>
        <w:shd w:val="clear" w:color="auto" w:fill="B2A1C7"/>
        <w:tblLayout w:type="fixed"/>
        <w:tblLook w:val="04A0" w:firstRow="1" w:lastRow="0" w:firstColumn="1" w:lastColumn="0" w:noHBand="0" w:noVBand="1"/>
      </w:tblPr>
      <w:tblGrid>
        <w:gridCol w:w="9818"/>
      </w:tblGrid>
      <w:tr w:rsidR="00BC7668" w:rsidRPr="00360F0F" w14:paraId="549ED654" w14:textId="77777777" w:rsidTr="00FE696F">
        <w:trPr>
          <w:trHeight w:val="446"/>
        </w:trPr>
        <w:tc>
          <w:tcPr>
            <w:tcW w:w="9818" w:type="dxa"/>
            <w:tcBorders>
              <w:top w:val="nil"/>
              <w:bottom w:val="nil"/>
            </w:tcBorders>
            <w:shd w:val="clear" w:color="auto" w:fill="B2A1C7"/>
          </w:tcPr>
          <w:p w14:paraId="367EF0DC" w14:textId="77777777" w:rsidR="00BC7668" w:rsidRPr="00F70A79" w:rsidRDefault="00BC7668" w:rsidP="00557C13">
            <w:pPr>
              <w:pStyle w:val="Heading1"/>
              <w:numPr>
                <w:ilvl w:val="0"/>
                <w:numId w:val="11"/>
              </w:numPr>
              <w:rPr>
                <w:noProof/>
                <w:szCs w:val="44"/>
                <w:lang w:val="en-US" w:eastAsia="en-US"/>
              </w:rPr>
            </w:pPr>
            <w:r w:rsidRPr="00F70A79">
              <w:rPr>
                <w:noProof/>
                <w:szCs w:val="44"/>
                <w:lang w:val="en-US" w:eastAsia="en-US"/>
              </w:rPr>
              <w:t xml:space="preserve">      </w:t>
            </w:r>
            <w:bookmarkStart w:id="3" w:name="_Toc527353168"/>
            <w:r w:rsidRPr="00F70A79">
              <w:rPr>
                <w:noProof/>
                <w:szCs w:val="44"/>
                <w:lang w:val="en-US" w:eastAsia="en-US"/>
              </w:rPr>
              <w:t>UVOD</w:t>
            </w:r>
            <w:bookmarkEnd w:id="3"/>
          </w:p>
          <w:p w14:paraId="3EEAE6A3" w14:textId="77777777" w:rsidR="00BC7668" w:rsidRPr="00360F0F" w:rsidRDefault="00BC7668" w:rsidP="00360F0F">
            <w:pPr>
              <w:pStyle w:val="Heading1"/>
              <w:rPr>
                <w:noProof/>
                <w:szCs w:val="44"/>
                <w:lang w:val="en-US" w:eastAsia="en-US"/>
              </w:rPr>
            </w:pPr>
          </w:p>
        </w:tc>
      </w:tr>
    </w:tbl>
    <w:p w14:paraId="6C91298F"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17F43303"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0E55A879"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072CEE25"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61B8C028"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07B099A6"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1D0323FD"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1C885A9C"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3608C0E7"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08DD3A88"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2A1B3A5D"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719ADC25"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5CFC79E4" w14:textId="77777777" w:rsidR="00BC7668" w:rsidRPr="00AB15C7" w:rsidRDefault="00BC7668" w:rsidP="005921EF">
      <w:pPr>
        <w:tabs>
          <w:tab w:val="left" w:pos="720"/>
        </w:tabs>
        <w:spacing w:before="100" w:beforeAutospacing="1" w:after="100" w:afterAutospacing="1"/>
        <w:ind w:left="720"/>
        <w:jc w:val="both"/>
        <w:rPr>
          <w:rFonts w:ascii="Cambria" w:hAnsi="Cambria"/>
          <w:b/>
          <w:noProof/>
          <w:lang w:val="sr-Latn-ME"/>
        </w:rPr>
      </w:pPr>
    </w:p>
    <w:p w14:paraId="5CDD02CF" w14:textId="77777777" w:rsidR="00BC7668" w:rsidRPr="00D87252" w:rsidRDefault="00D87252" w:rsidP="00D87252">
      <w:pPr>
        <w:tabs>
          <w:tab w:val="left" w:pos="720"/>
        </w:tabs>
        <w:spacing w:before="100" w:beforeAutospacing="1" w:after="100" w:afterAutospacing="1"/>
        <w:jc w:val="both"/>
        <w:rPr>
          <w:rFonts w:ascii="Cambria" w:hAnsi="Cambria"/>
          <w:b/>
          <w:noProof/>
          <w:lang w:val="sr-Latn-ME"/>
        </w:rPr>
      </w:pPr>
      <w:r>
        <w:rPr>
          <w:rFonts w:ascii="Cambria" w:hAnsi="Cambria"/>
          <w:b/>
          <w:noProof/>
          <w:lang w:val="sr-Latn-ME"/>
        </w:rPr>
        <w:lastRenderedPageBreak/>
        <w:tab/>
      </w:r>
      <w:r w:rsidR="00BC7668" w:rsidRPr="00D87252">
        <w:rPr>
          <w:rFonts w:ascii="Cambria" w:hAnsi="Cambria"/>
          <w:b/>
          <w:noProof/>
          <w:lang w:val="sr-Latn-ME"/>
        </w:rPr>
        <w:t>UVOD</w:t>
      </w:r>
    </w:p>
    <w:p w14:paraId="25C19704" w14:textId="710F8A54" w:rsidR="00A33298" w:rsidRPr="00AB15C7" w:rsidRDefault="00425B66" w:rsidP="00FB3D42">
      <w:pPr>
        <w:tabs>
          <w:tab w:val="left" w:pos="3114"/>
        </w:tabs>
        <w:spacing w:before="100" w:beforeAutospacing="1" w:after="100" w:afterAutospacing="1"/>
        <w:jc w:val="both"/>
        <w:rPr>
          <w:rFonts w:ascii="Cambria" w:hAnsi="Cambria"/>
          <w:noProof/>
          <w:lang w:val="sr-Latn-ME"/>
        </w:rPr>
      </w:pPr>
      <w:r>
        <w:rPr>
          <w:rFonts w:ascii="Cambria" w:hAnsi="Cambria"/>
          <w:noProof/>
          <w:lang w:val="sr-Latn-ME"/>
        </w:rPr>
        <w:t xml:space="preserve">Hemikalije </w:t>
      </w:r>
      <w:r w:rsidRPr="00AB15C7">
        <w:rPr>
          <w:rFonts w:ascii="Cambria" w:hAnsi="Cambria"/>
          <w:noProof/>
          <w:lang w:val="sr-Latn-ME"/>
        </w:rPr>
        <w:t>predstavljaju</w:t>
      </w:r>
      <w:r>
        <w:rPr>
          <w:rFonts w:ascii="Cambria" w:hAnsi="Cambria"/>
          <w:noProof/>
          <w:lang w:val="sr-Latn-ME"/>
        </w:rPr>
        <w:t xml:space="preserve"> veoma bitnu kariku privrednog</w:t>
      </w:r>
      <w:r w:rsidRPr="00AB15C7">
        <w:rPr>
          <w:rFonts w:ascii="Cambria" w:hAnsi="Cambria"/>
          <w:noProof/>
          <w:lang w:val="sr-Latn-ME"/>
        </w:rPr>
        <w:t xml:space="preserve"> razvoj</w:t>
      </w:r>
      <w:r>
        <w:rPr>
          <w:rFonts w:ascii="Cambria" w:hAnsi="Cambria"/>
          <w:noProof/>
          <w:lang w:val="sr-Latn-ME"/>
        </w:rPr>
        <w:t xml:space="preserve">a,  neophodne su za ostvarenje savremenog načina života i sastavni su dio  svakodnevice. </w:t>
      </w:r>
      <w:r w:rsidR="00A33298" w:rsidRPr="00AB15C7">
        <w:rPr>
          <w:rFonts w:ascii="Cambria" w:hAnsi="Cambria"/>
          <w:noProof/>
          <w:lang w:val="sr-Latn-ME"/>
        </w:rPr>
        <w:t xml:space="preserve">Svjetska proizvodnja svih vrsta hemikalija prelazi nekoliko stotina miliona tona svake godine i predstavlja značajnu komponentu međunarodne ekonomije i trgovine. Bez dobre prakse upravljanja i odlaganja, hemikalije, kao i otpad, predstavljaju rizik po zdravlje </w:t>
      </w:r>
      <w:r w:rsidRPr="00AB15C7">
        <w:rPr>
          <w:rFonts w:ascii="Cambria" w:hAnsi="Cambria"/>
          <w:noProof/>
          <w:lang w:val="sr-Latn-ME"/>
        </w:rPr>
        <w:t>ljud</w:t>
      </w:r>
      <w:r>
        <w:rPr>
          <w:rFonts w:ascii="Cambria" w:hAnsi="Cambria"/>
          <w:noProof/>
          <w:lang w:val="sr-Latn-ME"/>
        </w:rPr>
        <w:t>i</w:t>
      </w:r>
      <w:r w:rsidRPr="00AB15C7">
        <w:rPr>
          <w:rFonts w:ascii="Cambria" w:hAnsi="Cambria"/>
          <w:noProof/>
          <w:lang w:val="sr-Latn-ME"/>
        </w:rPr>
        <w:t xml:space="preserve"> </w:t>
      </w:r>
      <w:r w:rsidR="00A33298" w:rsidRPr="00AB15C7">
        <w:rPr>
          <w:rFonts w:ascii="Cambria" w:hAnsi="Cambria"/>
          <w:noProof/>
          <w:lang w:val="sr-Latn-ME"/>
        </w:rPr>
        <w:t xml:space="preserve">i životnu sredinu, sa negativnim efektima kojima su posebno ugroženi najsiromašniji članovi globalne zajednice, </w:t>
      </w:r>
      <w:r>
        <w:rPr>
          <w:rFonts w:ascii="Cambria" w:hAnsi="Cambria"/>
          <w:noProof/>
          <w:lang w:val="sr-Latn-ME"/>
        </w:rPr>
        <w:t xml:space="preserve">a </w:t>
      </w:r>
      <w:r w:rsidR="00A33298" w:rsidRPr="00AB15C7">
        <w:rPr>
          <w:rFonts w:ascii="Cambria" w:hAnsi="Cambria"/>
          <w:noProof/>
          <w:lang w:val="sr-Latn-ME"/>
        </w:rPr>
        <w:t>posebno žene i djeca. Širom svijeta rast</w:t>
      </w:r>
      <w:r>
        <w:rPr>
          <w:rFonts w:ascii="Cambria" w:hAnsi="Cambria"/>
          <w:noProof/>
          <w:lang w:val="sr-Latn-ME"/>
        </w:rPr>
        <w:t xml:space="preserve">e </w:t>
      </w:r>
      <w:r w:rsidR="00A33298" w:rsidRPr="00AB15C7">
        <w:rPr>
          <w:rFonts w:ascii="Cambria" w:hAnsi="Cambria"/>
          <w:noProof/>
          <w:lang w:val="sr-Latn-ME"/>
        </w:rPr>
        <w:t xml:space="preserve">posvećenost </w:t>
      </w:r>
      <w:r w:rsidR="0096294C">
        <w:rPr>
          <w:rFonts w:ascii="Cambria" w:hAnsi="Cambria"/>
          <w:noProof/>
          <w:lang w:val="sr-Latn-ME"/>
        </w:rPr>
        <w:t>uspostavljanju adekvatnog sistema upravljanja hemikalijama.</w:t>
      </w:r>
      <w:r w:rsidR="00A33298" w:rsidRPr="00AB15C7">
        <w:rPr>
          <w:rFonts w:ascii="Cambria" w:hAnsi="Cambria"/>
          <w:noProof/>
          <w:lang w:val="sr-Latn-ME"/>
        </w:rPr>
        <w:t xml:space="preserve"> </w:t>
      </w:r>
      <w:r>
        <w:rPr>
          <w:rFonts w:ascii="Cambria" w:hAnsi="Cambria"/>
          <w:noProof/>
          <w:lang w:val="sr-Latn-ME"/>
        </w:rPr>
        <w:t xml:space="preserve">S obzirom da hemikalije prožimaju mnoge sfere privrednog i društvenog razvoja, </w:t>
      </w:r>
      <w:r w:rsidR="00A33298" w:rsidRPr="00AB15C7">
        <w:rPr>
          <w:rFonts w:ascii="Cambria" w:hAnsi="Cambria"/>
          <w:noProof/>
          <w:lang w:val="sr-Latn-ME"/>
        </w:rPr>
        <w:t xml:space="preserve">međusektorskom saradnjom </w:t>
      </w:r>
      <w:r w:rsidR="0096294C">
        <w:rPr>
          <w:rFonts w:ascii="Cambria" w:hAnsi="Cambria"/>
          <w:noProof/>
          <w:lang w:val="sr-Latn-ME"/>
        </w:rPr>
        <w:t>državnih</w:t>
      </w:r>
      <w:r w:rsidR="00A33298" w:rsidRPr="00AB15C7">
        <w:rPr>
          <w:rFonts w:ascii="Cambria" w:hAnsi="Cambria"/>
          <w:noProof/>
          <w:lang w:val="sr-Latn-ME"/>
        </w:rPr>
        <w:t xml:space="preserve"> institucija i drugih zainteresovanih strana u ovoj oblasti</w:t>
      </w:r>
      <w:r>
        <w:rPr>
          <w:rFonts w:ascii="Cambria" w:hAnsi="Cambria"/>
          <w:noProof/>
          <w:lang w:val="sr-Latn-ME"/>
        </w:rPr>
        <w:t>,</w:t>
      </w:r>
      <w:r w:rsidR="002924FB">
        <w:rPr>
          <w:rFonts w:ascii="Cambria" w:hAnsi="Cambria"/>
          <w:noProof/>
          <w:lang w:val="sr-Latn-ME"/>
        </w:rPr>
        <w:t xml:space="preserve"> </w:t>
      </w:r>
      <w:r w:rsidR="00C21454">
        <w:rPr>
          <w:rFonts w:ascii="Cambria" w:hAnsi="Cambria"/>
          <w:noProof/>
          <w:lang w:val="sr-Latn-ME"/>
        </w:rPr>
        <w:t xml:space="preserve">kao i </w:t>
      </w:r>
      <w:r w:rsidR="0096294C">
        <w:rPr>
          <w:rFonts w:ascii="Cambria" w:hAnsi="Cambria"/>
          <w:noProof/>
          <w:lang w:val="sr-Latn-ME"/>
        </w:rPr>
        <w:t>d</w:t>
      </w:r>
      <w:r w:rsidR="00A33298" w:rsidRPr="00AB15C7">
        <w:rPr>
          <w:rFonts w:ascii="Cambria" w:hAnsi="Cambria"/>
          <w:noProof/>
          <w:lang w:val="sr-Latn-ME"/>
        </w:rPr>
        <w:t>obro koordinisanim i integrisanim pristupom upravljanju hemikalijama može se posti</w:t>
      </w:r>
      <w:r w:rsidR="0096294C">
        <w:rPr>
          <w:rFonts w:ascii="Cambria" w:hAnsi="Cambria"/>
          <w:noProof/>
          <w:lang w:val="sr-Latn-ME"/>
        </w:rPr>
        <w:t xml:space="preserve">ći visok nivo </w:t>
      </w:r>
      <w:r w:rsidR="0096294C" w:rsidRPr="0096294C">
        <w:rPr>
          <w:rFonts w:ascii="Cambria" w:hAnsi="Cambria"/>
          <w:noProof/>
          <w:lang w:val="sr-Latn-ME"/>
        </w:rPr>
        <w:t>zaštit</w:t>
      </w:r>
      <w:r w:rsidR="0096294C">
        <w:rPr>
          <w:rFonts w:ascii="Cambria" w:hAnsi="Cambria"/>
          <w:noProof/>
          <w:lang w:val="sr-Latn-ME"/>
        </w:rPr>
        <w:t>e</w:t>
      </w:r>
      <w:r w:rsidR="0096294C" w:rsidRPr="0096294C">
        <w:rPr>
          <w:rFonts w:ascii="Cambria" w:hAnsi="Cambria"/>
          <w:noProof/>
          <w:lang w:val="sr-Latn-ME"/>
        </w:rPr>
        <w:t xml:space="preserve"> zdravlja ljud</w:t>
      </w:r>
      <w:r w:rsidR="0096294C">
        <w:rPr>
          <w:rFonts w:ascii="Cambria" w:hAnsi="Cambria"/>
          <w:noProof/>
          <w:lang w:val="sr-Latn-ME"/>
        </w:rPr>
        <w:t>i</w:t>
      </w:r>
      <w:r w:rsidR="0096294C" w:rsidRPr="0096294C">
        <w:rPr>
          <w:rFonts w:ascii="Cambria" w:hAnsi="Cambria"/>
          <w:noProof/>
          <w:lang w:val="sr-Latn-ME"/>
        </w:rPr>
        <w:t xml:space="preserve"> i životne sredine</w:t>
      </w:r>
      <w:r w:rsidR="00A33298" w:rsidRPr="00AB15C7">
        <w:rPr>
          <w:rFonts w:ascii="Cambria" w:hAnsi="Cambria"/>
          <w:noProof/>
          <w:lang w:val="sr-Latn-ME"/>
        </w:rPr>
        <w:t xml:space="preserve">.   </w:t>
      </w:r>
    </w:p>
    <w:p w14:paraId="0ECB49CD" w14:textId="77777777" w:rsidR="0033011A" w:rsidRPr="00AB15C7" w:rsidRDefault="0033011A" w:rsidP="00557C13">
      <w:pPr>
        <w:numPr>
          <w:ilvl w:val="0"/>
          <w:numId w:val="18"/>
        </w:numPr>
        <w:spacing w:before="100" w:beforeAutospacing="1" w:after="120"/>
        <w:jc w:val="both"/>
        <w:rPr>
          <w:rFonts w:ascii="Cambria" w:hAnsi="Cambria"/>
          <w:b/>
          <w:noProof/>
          <w:lang w:val="sr-Latn-CS"/>
        </w:rPr>
      </w:pPr>
      <w:r w:rsidRPr="00AB15C7">
        <w:rPr>
          <w:rFonts w:ascii="Cambria" w:hAnsi="Cambria"/>
          <w:b/>
          <w:noProof/>
          <w:lang w:val="sr-Latn-CS"/>
        </w:rPr>
        <w:t xml:space="preserve">Međunarodni kontekst upravljanja hemikalijama </w:t>
      </w:r>
    </w:p>
    <w:p w14:paraId="27DAECAE" w14:textId="61800720" w:rsidR="00A3399A" w:rsidRPr="00AB15C7" w:rsidRDefault="00A33298" w:rsidP="00802271">
      <w:pPr>
        <w:tabs>
          <w:tab w:val="left" w:pos="3114"/>
        </w:tabs>
        <w:spacing w:after="100" w:afterAutospacing="1"/>
        <w:jc w:val="both"/>
        <w:rPr>
          <w:rFonts w:ascii="Cambria" w:hAnsi="Cambria"/>
          <w:noProof/>
          <w:lang w:val="sr-Latn-ME"/>
        </w:rPr>
      </w:pPr>
      <w:r w:rsidRPr="00AB15C7">
        <w:rPr>
          <w:rFonts w:ascii="Cambria" w:hAnsi="Cambria"/>
          <w:noProof/>
          <w:lang w:val="sr-Latn-ME"/>
        </w:rPr>
        <w:t xml:space="preserve">Sve države svijeta su se još 1992, kroz prihvatanje </w:t>
      </w:r>
      <w:r w:rsidRPr="00E61124">
        <w:rPr>
          <w:rFonts w:ascii="Cambria" w:hAnsi="Cambria"/>
          <w:b/>
          <w:noProof/>
          <w:lang w:val="sr-Latn-ME"/>
        </w:rPr>
        <w:t>Agende 21. i Poglavlja 19. UN konferencije o životnoj sredini i razvoju (UNCED)</w:t>
      </w:r>
      <w:r w:rsidRPr="00AB15C7">
        <w:rPr>
          <w:rFonts w:ascii="Cambria" w:hAnsi="Cambria"/>
          <w:noProof/>
          <w:lang w:val="sr-Latn-ME"/>
        </w:rPr>
        <w:t xml:space="preserve">, obavezale da će ojačati nacionalne </w:t>
      </w:r>
      <w:r w:rsidR="002924FB">
        <w:rPr>
          <w:rFonts w:ascii="Cambria" w:hAnsi="Cambria"/>
          <w:noProof/>
          <w:lang w:val="sr-Latn-ME"/>
        </w:rPr>
        <w:t>kapacitete</w:t>
      </w:r>
      <w:r w:rsidRPr="00AB15C7">
        <w:rPr>
          <w:rFonts w:ascii="Cambria" w:hAnsi="Cambria"/>
          <w:noProof/>
          <w:lang w:val="sr-Latn-ME"/>
        </w:rPr>
        <w:t xml:space="preserve">  za bezbjedno upravljanje hemikalijama, što uključuje: odgovarajuće zakonodavstvo, prikupljanje i praćenje podataka, uspostavljanje bezbjednog upravljanja hemikalijama, stvaranje administrativnih </w:t>
      </w:r>
      <w:r w:rsidR="002924FB">
        <w:rPr>
          <w:rFonts w:ascii="Cambria" w:hAnsi="Cambria"/>
          <w:noProof/>
          <w:lang w:val="sr-Latn-ME"/>
        </w:rPr>
        <w:t>kapaciteta</w:t>
      </w:r>
      <w:r w:rsidRPr="00AB15C7">
        <w:rPr>
          <w:rFonts w:ascii="Cambria" w:hAnsi="Cambria"/>
          <w:noProof/>
          <w:lang w:val="sr-Latn-ME"/>
        </w:rPr>
        <w:t xml:space="preserve"> za upravljanje hemikalijama uključujući </w:t>
      </w:r>
      <w:r w:rsidR="002924FB">
        <w:rPr>
          <w:rFonts w:ascii="Cambria" w:hAnsi="Cambria"/>
          <w:noProof/>
          <w:lang w:val="sr-Latn-ME"/>
        </w:rPr>
        <w:t>edukaciju</w:t>
      </w:r>
      <w:r w:rsidRPr="00AB15C7">
        <w:rPr>
          <w:rFonts w:ascii="Cambria" w:hAnsi="Cambria"/>
          <w:noProof/>
          <w:lang w:val="sr-Latn-ME"/>
        </w:rPr>
        <w:t xml:space="preserve">, uspostavljanje odgovarajućeg nadzora te uspostavljanje djelotvornog sistema pripravnosti i </w:t>
      </w:r>
      <w:r w:rsidR="002924FB">
        <w:rPr>
          <w:rFonts w:ascii="Cambria" w:hAnsi="Cambria"/>
          <w:noProof/>
          <w:lang w:val="sr-Latn-ME"/>
        </w:rPr>
        <w:t>reagovanja na hemijske udese</w:t>
      </w:r>
      <w:r w:rsidRPr="00AB15C7">
        <w:rPr>
          <w:rFonts w:ascii="Cambria" w:hAnsi="Cambria"/>
          <w:noProof/>
          <w:lang w:val="sr-Latn-ME"/>
        </w:rPr>
        <w:t xml:space="preserve">. Kroz razne međunarodne </w:t>
      </w:r>
      <w:r w:rsidR="002924FB">
        <w:rPr>
          <w:rFonts w:ascii="Cambria" w:hAnsi="Cambria"/>
          <w:noProof/>
          <w:lang w:val="sr-Latn-ME"/>
        </w:rPr>
        <w:t>sporazume,</w:t>
      </w:r>
      <w:r w:rsidRPr="00AB15C7">
        <w:rPr>
          <w:rFonts w:ascii="Cambria" w:hAnsi="Cambria"/>
          <w:noProof/>
          <w:lang w:val="sr-Latn-ME"/>
        </w:rPr>
        <w:t xml:space="preserve"> države su se obavezale na sprovođenje </w:t>
      </w:r>
      <w:r w:rsidR="003F02A2">
        <w:rPr>
          <w:rFonts w:ascii="Cambria" w:hAnsi="Cambria"/>
          <w:noProof/>
          <w:lang w:val="sr-Latn-ME"/>
        </w:rPr>
        <w:t xml:space="preserve">nekoliko </w:t>
      </w:r>
      <w:r w:rsidRPr="00AB15C7">
        <w:rPr>
          <w:rFonts w:ascii="Cambria" w:hAnsi="Cambria"/>
          <w:noProof/>
          <w:lang w:val="sr-Latn-ME"/>
        </w:rPr>
        <w:t xml:space="preserve"> konvencija</w:t>
      </w:r>
      <w:r w:rsidR="003F02A2">
        <w:rPr>
          <w:rFonts w:ascii="Cambria" w:hAnsi="Cambria"/>
          <w:noProof/>
          <w:lang w:val="sr-Latn-ME"/>
        </w:rPr>
        <w:t xml:space="preserve"> (od kojih treba </w:t>
      </w:r>
      <w:r w:rsidR="00F5466A">
        <w:rPr>
          <w:rFonts w:ascii="Cambria" w:hAnsi="Cambria"/>
          <w:noProof/>
          <w:lang w:val="sr-Latn-ME"/>
        </w:rPr>
        <w:t xml:space="preserve">posebno </w:t>
      </w:r>
      <w:r w:rsidR="003F02A2">
        <w:rPr>
          <w:rFonts w:ascii="Cambria" w:hAnsi="Cambria"/>
          <w:noProof/>
          <w:lang w:val="sr-Latn-ME"/>
        </w:rPr>
        <w:t>ista</w:t>
      </w:r>
      <w:r w:rsidR="00F5466A">
        <w:rPr>
          <w:rFonts w:ascii="Cambria" w:hAnsi="Cambria"/>
          <w:noProof/>
          <w:lang w:val="sr-Latn-ME"/>
        </w:rPr>
        <w:t>ć</w:t>
      </w:r>
      <w:r w:rsidR="003F02A2">
        <w:rPr>
          <w:rFonts w:ascii="Cambria" w:hAnsi="Cambria"/>
          <w:noProof/>
          <w:lang w:val="sr-Latn-ME"/>
        </w:rPr>
        <w:t xml:space="preserve">i </w:t>
      </w:r>
      <w:r w:rsidR="003F02A2" w:rsidRPr="002B6EDF">
        <w:rPr>
          <w:rFonts w:ascii="Cambria" w:hAnsi="Cambria"/>
          <w:b/>
          <w:noProof/>
          <w:lang w:val="sr-Latn-ME"/>
        </w:rPr>
        <w:t>Stokholmsku</w:t>
      </w:r>
      <w:r w:rsidR="00F5466A" w:rsidRPr="002B6EDF">
        <w:rPr>
          <w:rStyle w:val="FootnoteReference"/>
          <w:rFonts w:ascii="Cambria" w:hAnsi="Cambria"/>
          <w:b/>
          <w:noProof/>
          <w:lang w:val="sr-Latn-ME"/>
        </w:rPr>
        <w:footnoteReference w:id="1"/>
      </w:r>
      <w:r w:rsidR="003F02A2" w:rsidRPr="002B6EDF">
        <w:rPr>
          <w:rFonts w:ascii="Cambria" w:hAnsi="Cambria"/>
          <w:b/>
          <w:noProof/>
          <w:lang w:val="sr-Latn-ME"/>
        </w:rPr>
        <w:t>, Roterdamsku</w:t>
      </w:r>
      <w:r w:rsidR="00F5466A" w:rsidRPr="002B6EDF">
        <w:rPr>
          <w:rStyle w:val="FootnoteReference"/>
          <w:rFonts w:ascii="Cambria" w:hAnsi="Cambria"/>
          <w:b/>
          <w:noProof/>
          <w:lang w:val="sr-Latn-ME"/>
        </w:rPr>
        <w:footnoteReference w:id="2"/>
      </w:r>
      <w:r w:rsidR="003F02A2" w:rsidRPr="002B6EDF">
        <w:rPr>
          <w:rFonts w:ascii="Cambria" w:hAnsi="Cambria"/>
          <w:b/>
          <w:noProof/>
          <w:lang w:val="sr-Latn-ME"/>
        </w:rPr>
        <w:t xml:space="preserve">, </w:t>
      </w:r>
      <w:r w:rsidR="00C21454">
        <w:rPr>
          <w:rFonts w:ascii="Cambria" w:hAnsi="Cambria"/>
          <w:b/>
          <w:noProof/>
          <w:lang w:val="sr-Latn-ME"/>
        </w:rPr>
        <w:t>Bazelsku</w:t>
      </w:r>
      <w:r w:rsidR="00DA3202">
        <w:rPr>
          <w:rStyle w:val="FootnoteReference"/>
          <w:rFonts w:ascii="Cambria" w:hAnsi="Cambria"/>
          <w:b/>
          <w:noProof/>
          <w:lang w:val="sr-Latn-ME"/>
        </w:rPr>
        <w:footnoteReference w:id="3"/>
      </w:r>
      <w:r w:rsidR="00C21454">
        <w:rPr>
          <w:rFonts w:ascii="Cambria" w:hAnsi="Cambria"/>
          <w:b/>
          <w:noProof/>
          <w:lang w:val="sr-Latn-ME"/>
        </w:rPr>
        <w:t xml:space="preserve">, </w:t>
      </w:r>
      <w:r w:rsidR="003F02A2" w:rsidRPr="002B6EDF">
        <w:rPr>
          <w:rFonts w:ascii="Cambria" w:hAnsi="Cambria"/>
          <w:b/>
          <w:noProof/>
          <w:lang w:val="sr-Latn-ME"/>
        </w:rPr>
        <w:t>kao i novu Minamata konvenciju</w:t>
      </w:r>
      <w:r w:rsidR="00F5466A">
        <w:rPr>
          <w:rStyle w:val="FootnoteReference"/>
          <w:rFonts w:ascii="Cambria" w:hAnsi="Cambria"/>
          <w:noProof/>
          <w:lang w:val="sr-Latn-ME"/>
        </w:rPr>
        <w:footnoteReference w:id="4"/>
      </w:r>
      <w:r w:rsidR="003F02A2">
        <w:rPr>
          <w:rFonts w:ascii="Cambria" w:hAnsi="Cambria"/>
          <w:noProof/>
          <w:lang w:val="sr-Latn-ME"/>
        </w:rPr>
        <w:t>)</w:t>
      </w:r>
      <w:r w:rsidRPr="00AB15C7">
        <w:rPr>
          <w:rFonts w:ascii="Cambria" w:hAnsi="Cambria"/>
          <w:noProof/>
          <w:lang w:val="sr-Latn-ME"/>
        </w:rPr>
        <w:t xml:space="preserve"> kojima </w:t>
      </w:r>
      <w:r w:rsidR="002924FB">
        <w:rPr>
          <w:rFonts w:ascii="Cambria" w:hAnsi="Cambria"/>
          <w:noProof/>
          <w:lang w:val="sr-Latn-ME"/>
        </w:rPr>
        <w:t>se</w:t>
      </w:r>
      <w:r w:rsidRPr="00AB15C7">
        <w:rPr>
          <w:rFonts w:ascii="Cambria" w:hAnsi="Cambria"/>
          <w:noProof/>
          <w:lang w:val="sr-Latn-ME"/>
        </w:rPr>
        <w:t xml:space="preserve"> </w:t>
      </w:r>
      <w:r w:rsidR="002924FB">
        <w:rPr>
          <w:rFonts w:ascii="Cambria" w:hAnsi="Cambria"/>
          <w:noProof/>
          <w:lang w:val="sr-Latn-ME"/>
        </w:rPr>
        <w:t>postiže globalni odgovor na ključne izazove u pogledu</w:t>
      </w:r>
      <w:r w:rsidRPr="00AB15C7">
        <w:rPr>
          <w:rFonts w:ascii="Cambria" w:hAnsi="Cambria"/>
          <w:noProof/>
          <w:lang w:val="sr-Latn-ME"/>
        </w:rPr>
        <w:t xml:space="preserve"> bezbjedno</w:t>
      </w:r>
      <w:r w:rsidR="002924FB">
        <w:rPr>
          <w:rFonts w:ascii="Cambria" w:hAnsi="Cambria"/>
          <w:noProof/>
          <w:lang w:val="sr-Latn-ME"/>
        </w:rPr>
        <w:t>g</w:t>
      </w:r>
      <w:r w:rsidRPr="00AB15C7">
        <w:rPr>
          <w:rFonts w:ascii="Cambria" w:hAnsi="Cambria"/>
          <w:noProof/>
          <w:lang w:val="sr-Latn-ME"/>
        </w:rPr>
        <w:t xml:space="preserve"> upravljanje hemikalijama.</w:t>
      </w:r>
    </w:p>
    <w:p w14:paraId="14B69353" w14:textId="77777777" w:rsidR="00055C23" w:rsidRPr="00AB15C7" w:rsidRDefault="0053277F" w:rsidP="005921EF">
      <w:pPr>
        <w:tabs>
          <w:tab w:val="left" w:pos="3114"/>
        </w:tabs>
        <w:spacing w:before="100" w:beforeAutospacing="1" w:after="100" w:afterAutospacing="1"/>
        <w:jc w:val="both"/>
        <w:rPr>
          <w:rFonts w:ascii="Cambria" w:hAnsi="Cambria"/>
          <w:noProof/>
          <w:lang w:val="sr-Latn-ME"/>
        </w:rPr>
      </w:pPr>
      <w:r w:rsidRPr="00AB15C7">
        <w:rPr>
          <w:rFonts w:ascii="Cambria" w:hAnsi="Cambria"/>
          <w:i/>
          <w:noProof/>
          <w:lang w:val="sr-Latn-ME"/>
        </w:rPr>
        <w:t>Međuvladin</w:t>
      </w:r>
      <w:r w:rsidR="00F132C4" w:rsidRPr="00AB15C7">
        <w:rPr>
          <w:rFonts w:ascii="Cambria" w:hAnsi="Cambria"/>
          <w:i/>
          <w:noProof/>
          <w:lang w:val="sr-Latn-ME"/>
        </w:rPr>
        <w:t xml:space="preserve"> forum za hemijsku </w:t>
      </w:r>
      <w:r w:rsidR="00D56BDC" w:rsidRPr="00AB15C7">
        <w:rPr>
          <w:rFonts w:ascii="Cambria" w:hAnsi="Cambria"/>
          <w:i/>
          <w:noProof/>
          <w:lang w:val="sr-Latn-ME"/>
        </w:rPr>
        <w:t xml:space="preserve">bezbjednost </w:t>
      </w:r>
      <w:r w:rsidR="00F132C4" w:rsidRPr="00AB15C7">
        <w:rPr>
          <w:rFonts w:ascii="Cambria" w:hAnsi="Cambria"/>
          <w:noProof/>
          <w:lang w:val="sr-Latn-ME"/>
        </w:rPr>
        <w:t>(</w:t>
      </w:r>
      <w:r w:rsidR="00F132C4" w:rsidRPr="00AB15C7">
        <w:rPr>
          <w:rFonts w:ascii="Cambria" w:hAnsi="Cambria"/>
          <w:i/>
          <w:noProof/>
          <w:lang w:val="sr-Latn-ME"/>
        </w:rPr>
        <w:t>Intergovernmental Forum on Chemical Safety</w:t>
      </w:r>
      <w:r w:rsidR="00F132C4" w:rsidRPr="00AB15C7">
        <w:rPr>
          <w:rFonts w:ascii="Cambria" w:hAnsi="Cambria"/>
          <w:noProof/>
          <w:lang w:val="sr-Latn-ME"/>
        </w:rPr>
        <w:t xml:space="preserve">) podstiče države </w:t>
      </w:r>
      <w:r w:rsidR="00F5466A">
        <w:rPr>
          <w:rFonts w:ascii="Cambria" w:hAnsi="Cambria"/>
          <w:noProof/>
          <w:lang w:val="sr-Latn-ME"/>
        </w:rPr>
        <w:t>širom sv</w:t>
      </w:r>
      <w:r w:rsidR="00C21454">
        <w:rPr>
          <w:rFonts w:ascii="Cambria" w:hAnsi="Cambria"/>
          <w:noProof/>
          <w:lang w:val="sr-Latn-ME"/>
        </w:rPr>
        <w:t>ij</w:t>
      </w:r>
      <w:r w:rsidR="00F5466A">
        <w:rPr>
          <w:rFonts w:ascii="Cambria" w:hAnsi="Cambria"/>
          <w:noProof/>
          <w:lang w:val="sr-Latn-ME"/>
        </w:rPr>
        <w:t>eta</w:t>
      </w:r>
      <w:r w:rsidR="000D3736">
        <w:rPr>
          <w:rFonts w:ascii="Cambria" w:hAnsi="Cambria"/>
          <w:noProof/>
          <w:lang w:val="sr-Latn-ME"/>
        </w:rPr>
        <w:t xml:space="preserve"> </w:t>
      </w:r>
      <w:r w:rsidR="00F132C4" w:rsidRPr="00AB15C7">
        <w:rPr>
          <w:rFonts w:ascii="Cambria" w:hAnsi="Cambria"/>
          <w:noProof/>
          <w:lang w:val="sr-Latn-ME"/>
        </w:rPr>
        <w:t xml:space="preserve">da izrade svoje nacionalne strategije, programe i akcione planove za hemijsku </w:t>
      </w:r>
      <w:r w:rsidR="00D56BDC" w:rsidRPr="00AB15C7">
        <w:rPr>
          <w:rFonts w:ascii="Cambria" w:hAnsi="Cambria"/>
          <w:noProof/>
          <w:lang w:val="sr-Latn-ME"/>
        </w:rPr>
        <w:t>bezbjednost</w:t>
      </w:r>
      <w:r w:rsidR="00F132C4" w:rsidRPr="00AB15C7">
        <w:rPr>
          <w:rFonts w:ascii="Cambria" w:hAnsi="Cambria"/>
          <w:noProof/>
          <w:lang w:val="sr-Latn-ME"/>
        </w:rPr>
        <w:t>, što je posebno potvrđeno na Internacionalnoj konferenciji o upravljanju hemikalijama (</w:t>
      </w:r>
      <w:r w:rsidR="00F132C4" w:rsidRPr="00AB15C7">
        <w:rPr>
          <w:rFonts w:ascii="Cambria" w:hAnsi="Cambria"/>
          <w:i/>
          <w:noProof/>
          <w:lang w:val="sr-Latn-ME"/>
        </w:rPr>
        <w:t>International Conference on Chemical Management</w:t>
      </w:r>
      <w:r w:rsidR="00F132C4" w:rsidRPr="00AB15C7">
        <w:rPr>
          <w:rFonts w:ascii="Cambria" w:hAnsi="Cambria"/>
          <w:noProof/>
          <w:lang w:val="sr-Latn-ME"/>
        </w:rPr>
        <w:t xml:space="preserve"> – </w:t>
      </w:r>
      <w:r w:rsidR="00F132C4" w:rsidRPr="00AB15C7">
        <w:rPr>
          <w:rFonts w:ascii="Cambria" w:hAnsi="Cambria"/>
          <w:i/>
          <w:noProof/>
          <w:lang w:val="sr-Latn-ME"/>
        </w:rPr>
        <w:t>ICCM</w:t>
      </w:r>
      <w:r w:rsidR="00F132C4" w:rsidRPr="00AB15C7">
        <w:rPr>
          <w:rFonts w:ascii="Cambria" w:hAnsi="Cambria"/>
          <w:noProof/>
          <w:lang w:val="sr-Latn-ME"/>
        </w:rPr>
        <w:t>) održano</w:t>
      </w:r>
      <w:r w:rsidR="00E87104" w:rsidRPr="00AB15C7">
        <w:rPr>
          <w:rFonts w:ascii="Cambria" w:hAnsi="Cambria"/>
          <w:noProof/>
          <w:lang w:val="sr-Latn-ME"/>
        </w:rPr>
        <w:t>j</w:t>
      </w:r>
      <w:r w:rsidR="00F132C4" w:rsidRPr="00AB15C7">
        <w:rPr>
          <w:rFonts w:ascii="Cambria" w:hAnsi="Cambria"/>
          <w:noProof/>
          <w:lang w:val="sr-Latn-ME"/>
        </w:rPr>
        <w:t xml:space="preserve"> u Dubaiju 2006. godine, kada je usvojen i </w:t>
      </w:r>
      <w:r w:rsidR="00F132C4" w:rsidRPr="002924FB">
        <w:rPr>
          <w:rFonts w:ascii="Cambria" w:hAnsi="Cambria"/>
          <w:b/>
          <w:noProof/>
          <w:lang w:val="sr-Latn-ME"/>
        </w:rPr>
        <w:t>Strateški pristup međunarodnom upravljanju hemikalijama</w:t>
      </w:r>
      <w:r w:rsidR="00F132C4" w:rsidRPr="00AB15C7">
        <w:rPr>
          <w:rFonts w:ascii="Cambria" w:hAnsi="Cambria"/>
          <w:noProof/>
          <w:lang w:val="sr-Latn-ME"/>
        </w:rPr>
        <w:t xml:space="preserve"> (</w:t>
      </w:r>
      <w:r w:rsidR="00F132C4" w:rsidRPr="00AB15C7">
        <w:rPr>
          <w:rFonts w:ascii="Cambria" w:hAnsi="Cambria"/>
          <w:i/>
          <w:noProof/>
          <w:lang w:val="sr-Latn-ME"/>
        </w:rPr>
        <w:t>Strategic Approach to International Chemicals Management</w:t>
      </w:r>
      <w:r w:rsidR="00F132C4" w:rsidRPr="00AB15C7">
        <w:rPr>
          <w:rFonts w:ascii="Cambria" w:hAnsi="Cambria"/>
          <w:noProof/>
          <w:lang w:val="sr-Latn-ME"/>
        </w:rPr>
        <w:t xml:space="preserve"> – </w:t>
      </w:r>
      <w:r w:rsidR="00F132C4" w:rsidRPr="002924FB">
        <w:rPr>
          <w:rFonts w:ascii="Cambria" w:hAnsi="Cambria"/>
          <w:b/>
          <w:i/>
          <w:noProof/>
          <w:lang w:val="sr-Latn-ME"/>
        </w:rPr>
        <w:t>SAICM</w:t>
      </w:r>
      <w:r w:rsidR="00F132C4" w:rsidRPr="00AB15C7">
        <w:rPr>
          <w:rFonts w:ascii="Cambria" w:hAnsi="Cambria"/>
          <w:noProof/>
          <w:lang w:val="sr-Latn-ME"/>
        </w:rPr>
        <w:t xml:space="preserve">). SAICM program obavezuje države da naprave </w:t>
      </w:r>
      <w:r w:rsidR="002924FB">
        <w:rPr>
          <w:rFonts w:ascii="Cambria" w:hAnsi="Cambria"/>
          <w:noProof/>
          <w:lang w:val="sr-Latn-ME"/>
        </w:rPr>
        <w:t>pr</w:t>
      </w:r>
      <w:r w:rsidR="00F132C4" w:rsidRPr="00AB15C7">
        <w:rPr>
          <w:rFonts w:ascii="Cambria" w:hAnsi="Cambria"/>
          <w:noProof/>
          <w:lang w:val="sr-Latn-ME"/>
        </w:rPr>
        <w:t xml:space="preserve">ocjenu situacije i izrade nacionalne programe </w:t>
      </w:r>
      <w:r w:rsidR="00D56BDC" w:rsidRPr="00AB15C7">
        <w:rPr>
          <w:rFonts w:ascii="Cambria" w:hAnsi="Cambria"/>
          <w:noProof/>
          <w:lang w:val="sr-Latn-ME"/>
        </w:rPr>
        <w:t>bezbjedno</w:t>
      </w:r>
      <w:r w:rsidR="002924FB">
        <w:rPr>
          <w:rFonts w:ascii="Cambria" w:hAnsi="Cambria"/>
          <w:noProof/>
          <w:lang w:val="sr-Latn-ME"/>
        </w:rPr>
        <w:t>g</w:t>
      </w:r>
      <w:r w:rsidR="00D56BDC" w:rsidRPr="00AB15C7">
        <w:rPr>
          <w:rFonts w:ascii="Cambria" w:hAnsi="Cambria"/>
          <w:noProof/>
          <w:lang w:val="sr-Latn-ME"/>
        </w:rPr>
        <w:t xml:space="preserve"> </w:t>
      </w:r>
      <w:r w:rsidR="00F132C4" w:rsidRPr="00AB15C7">
        <w:rPr>
          <w:rFonts w:ascii="Cambria" w:hAnsi="Cambria"/>
          <w:noProof/>
          <w:lang w:val="sr-Latn-ME"/>
        </w:rPr>
        <w:t>upravljanja hemikalijama.</w:t>
      </w:r>
      <w:r w:rsidR="00055C23" w:rsidRPr="00AB15C7">
        <w:rPr>
          <w:rFonts w:ascii="Cambria" w:hAnsi="Cambria"/>
          <w:noProof/>
          <w:lang w:val="sr-Latn-ME"/>
        </w:rPr>
        <w:t xml:space="preserve"> </w:t>
      </w:r>
    </w:p>
    <w:p w14:paraId="3B3E8EE6" w14:textId="77777777" w:rsidR="00055C23" w:rsidRPr="00AB15C7" w:rsidRDefault="00055C23" w:rsidP="005921EF">
      <w:pPr>
        <w:tabs>
          <w:tab w:val="left" w:pos="3114"/>
        </w:tabs>
        <w:spacing w:before="100" w:beforeAutospacing="1" w:after="100" w:afterAutospacing="1"/>
        <w:jc w:val="both"/>
        <w:rPr>
          <w:rFonts w:ascii="Cambria" w:hAnsi="Cambria"/>
          <w:noProof/>
          <w:lang w:val="sr-Latn-ME"/>
        </w:rPr>
      </w:pPr>
      <w:r w:rsidRPr="00AB15C7">
        <w:rPr>
          <w:rFonts w:ascii="Cambria" w:hAnsi="Cambria"/>
          <w:noProof/>
          <w:lang w:val="sr-Latn-ME"/>
        </w:rPr>
        <w:t xml:space="preserve">Analizom postojećeg stanja u području bezbjednog upravljanja hemikalijama utvrđeno je da u svijetu postoje različiti primjeri pristupu toj kompleksnoj problematici. Dok su se u nekim državama </w:t>
      </w:r>
      <w:r w:rsidR="002924FB">
        <w:rPr>
          <w:rFonts w:ascii="Cambria" w:hAnsi="Cambria"/>
          <w:noProof/>
          <w:lang w:val="sr-Latn-ME"/>
        </w:rPr>
        <w:t>prilikom pr</w:t>
      </w:r>
      <w:r w:rsidRPr="00AB15C7">
        <w:rPr>
          <w:rFonts w:ascii="Cambria" w:hAnsi="Cambria"/>
          <w:noProof/>
          <w:lang w:val="sr-Latn-ME"/>
        </w:rPr>
        <w:t xml:space="preserve">ocjene situacije i uspostavljanja sistema hemijske bezbjednosti usredotočili na kvantifikaciju proizvodnje i prometa hemikalija, odnosno na </w:t>
      </w:r>
      <w:r w:rsidR="002924FB">
        <w:rPr>
          <w:rFonts w:ascii="Cambria" w:hAnsi="Cambria"/>
          <w:noProof/>
          <w:lang w:val="sr-Latn-ME"/>
        </w:rPr>
        <w:t>pr</w:t>
      </w:r>
      <w:r w:rsidRPr="00AB15C7">
        <w:rPr>
          <w:rFonts w:ascii="Cambria" w:hAnsi="Cambria"/>
          <w:noProof/>
          <w:lang w:val="sr-Latn-ME"/>
        </w:rPr>
        <w:t>ocjenu zagađenosti životne sredine i posljedica u smislu negativnog uticaja na zdravlje, u drugim slučajevima napori su bili usmjereni na ocjenu podobnosti »instrumenata upravljanja«, kao što su primjereno zakonodavstvo, administrativne i institucionalne sposobnosti, nadzor, informacioni sistem i praćenje, obrazovanje, informisanje javnosti i slično.</w:t>
      </w:r>
    </w:p>
    <w:p w14:paraId="69FCECC9" w14:textId="77777777" w:rsidR="00055C23" w:rsidRPr="00AB15C7" w:rsidRDefault="00055C23" w:rsidP="005921EF">
      <w:pPr>
        <w:spacing w:before="100" w:beforeAutospacing="1" w:after="100" w:afterAutospacing="1"/>
        <w:jc w:val="both"/>
        <w:rPr>
          <w:rFonts w:ascii="Cambria" w:hAnsi="Cambria"/>
          <w:noProof/>
          <w:lang w:val="sr-Latn-ME"/>
        </w:rPr>
      </w:pPr>
      <w:r w:rsidRPr="00AB15C7">
        <w:rPr>
          <w:rFonts w:ascii="Cambria" w:hAnsi="Cambria"/>
          <w:noProof/>
          <w:lang w:val="sr-Latn-ME"/>
        </w:rPr>
        <w:t xml:space="preserve">U državama koje su pristupale Evropskoj uniji, težište u izradi programa za uspostavljanje djelotvornog sistema hemijske bezbjednosti stavljano je na ocjenu usklađenosti propisa i prakse pojedine države s propisima Evropske unije. Takav pristup se bazira na postavci da </w:t>
      </w:r>
      <w:r w:rsidRPr="002B6EDF">
        <w:rPr>
          <w:rFonts w:ascii="Cambria" w:hAnsi="Cambria"/>
          <w:b/>
          <w:noProof/>
          <w:lang w:val="sr-Latn-ME"/>
        </w:rPr>
        <w:t>pravna tekovina Evropske unije</w:t>
      </w:r>
      <w:r w:rsidRPr="00AB15C7">
        <w:rPr>
          <w:rFonts w:ascii="Cambria" w:hAnsi="Cambria"/>
          <w:noProof/>
          <w:lang w:val="sr-Latn-ME"/>
        </w:rPr>
        <w:t xml:space="preserve"> </w:t>
      </w:r>
      <w:r w:rsidRPr="00AB15C7">
        <w:rPr>
          <w:rFonts w:ascii="Cambria" w:hAnsi="Cambria"/>
          <w:noProof/>
          <w:lang w:val="sr-Latn-ME"/>
        </w:rPr>
        <w:lastRenderedPageBreak/>
        <w:t>utvrđuje minimalne uslove koje svaka država članica treba zadovoljiti u</w:t>
      </w:r>
      <w:r w:rsidR="006875DA">
        <w:rPr>
          <w:rFonts w:ascii="Cambria" w:hAnsi="Cambria"/>
          <w:noProof/>
          <w:lang w:val="sr-Latn-ME"/>
        </w:rPr>
        <w:t xml:space="preserve"> pogledu</w:t>
      </w:r>
      <w:r w:rsidRPr="00AB15C7">
        <w:rPr>
          <w:rFonts w:ascii="Cambria" w:hAnsi="Cambria"/>
          <w:noProof/>
          <w:lang w:val="sr-Latn-ME"/>
        </w:rPr>
        <w:t xml:space="preserve"> </w:t>
      </w:r>
      <w:r w:rsidR="002924FB" w:rsidRPr="00AB15C7">
        <w:rPr>
          <w:rFonts w:ascii="Cambria" w:hAnsi="Cambria"/>
          <w:noProof/>
          <w:lang w:val="sr-Latn-ME"/>
        </w:rPr>
        <w:t xml:space="preserve">zdravlja ljudi </w:t>
      </w:r>
      <w:r w:rsidR="002924FB">
        <w:rPr>
          <w:rFonts w:ascii="Cambria" w:hAnsi="Cambria"/>
          <w:noProof/>
          <w:lang w:val="sr-Latn-ME"/>
        </w:rPr>
        <w:t xml:space="preserve">i </w:t>
      </w:r>
      <w:r w:rsidRPr="00AB15C7">
        <w:rPr>
          <w:rFonts w:ascii="Cambria" w:hAnsi="Cambria"/>
          <w:noProof/>
          <w:lang w:val="sr-Latn-ME"/>
        </w:rPr>
        <w:t>zaštiti životne sredine od mogućih štetnih uticaja hemikalija. Pritom, ni jedna država članica ne smije koristiti taj sistem za sprječavanje slobode protoka ljudi, roba i usluga. Uz to, pravni sistem Evropske unije u zaštiti životne sredine i ljudskog zdravlja se stalno nadograđuje i unapređuje uz blisku saradnju država članica i njihovih stručnjaka, slijedeći prvenstveno nova naučna dostignuća i pozitivna iskustva iz prakse. Najbolji primjer</w:t>
      </w:r>
      <w:r w:rsidR="002924FB">
        <w:rPr>
          <w:rFonts w:ascii="Cambria" w:hAnsi="Cambria"/>
          <w:noProof/>
          <w:lang w:val="sr-Latn-ME"/>
        </w:rPr>
        <w:t xml:space="preserve"> za takav pristup</w:t>
      </w:r>
      <w:r w:rsidRPr="00AB15C7">
        <w:rPr>
          <w:rFonts w:ascii="Cambria" w:hAnsi="Cambria"/>
          <w:noProof/>
          <w:lang w:val="sr-Latn-ME"/>
        </w:rPr>
        <w:t xml:space="preserve"> </w:t>
      </w:r>
      <w:r w:rsidR="002924FB" w:rsidRPr="00AB15C7">
        <w:rPr>
          <w:rFonts w:ascii="Cambria" w:hAnsi="Cambria"/>
          <w:noProof/>
          <w:lang w:val="sr-Latn-ME"/>
        </w:rPr>
        <w:t xml:space="preserve">je </w:t>
      </w:r>
      <w:r w:rsidRPr="00AB15C7">
        <w:rPr>
          <w:rFonts w:ascii="Cambria" w:hAnsi="Cambria"/>
          <w:noProof/>
          <w:lang w:val="sr-Latn-ME"/>
        </w:rPr>
        <w:t>REACH Uredba (EZ 1907/2006), kao krovni zakonodavni okvir Evropske unije za upravljanje hemikalijama.</w:t>
      </w:r>
    </w:p>
    <w:p w14:paraId="3EEEAEF9" w14:textId="77777777" w:rsidR="001B7BB6" w:rsidRDefault="00D74244" w:rsidP="00557C13">
      <w:pPr>
        <w:numPr>
          <w:ilvl w:val="0"/>
          <w:numId w:val="17"/>
        </w:numPr>
        <w:spacing w:before="100" w:beforeAutospacing="1" w:after="100" w:afterAutospacing="1"/>
        <w:jc w:val="both"/>
        <w:rPr>
          <w:rFonts w:ascii="Cambria" w:hAnsi="Cambria"/>
          <w:noProof/>
          <w:lang w:val="sr-Latn-ME"/>
        </w:rPr>
      </w:pPr>
      <w:r w:rsidRPr="00966FF1">
        <w:rPr>
          <w:rFonts w:ascii="Cambria" w:hAnsi="Cambria"/>
          <w:b/>
          <w:bCs/>
          <w:noProof/>
          <w:lang w:val="sr-Latn-CS" w:eastAsia="x-none"/>
        </w:rPr>
        <w:t xml:space="preserve">Nacionalni kontekst upravljanja hemikalijama </w:t>
      </w:r>
    </w:p>
    <w:p w14:paraId="6564944D" w14:textId="51361B33" w:rsidR="000C17DD" w:rsidRPr="00966FF1" w:rsidRDefault="00F132C4" w:rsidP="001B7BB6">
      <w:pPr>
        <w:spacing w:before="100" w:beforeAutospacing="1" w:after="100" w:afterAutospacing="1"/>
        <w:jc w:val="both"/>
        <w:rPr>
          <w:rFonts w:ascii="Cambria" w:hAnsi="Cambria"/>
          <w:noProof/>
          <w:lang w:val="sr-Latn-ME"/>
        </w:rPr>
      </w:pPr>
      <w:r w:rsidRPr="00966FF1">
        <w:rPr>
          <w:rFonts w:ascii="Cambria" w:hAnsi="Cambria"/>
          <w:noProof/>
          <w:lang w:val="sr-Latn-ME"/>
        </w:rPr>
        <w:t xml:space="preserve">Crna Gora je </w:t>
      </w:r>
      <w:r w:rsidR="0035434E" w:rsidRPr="00966FF1">
        <w:rPr>
          <w:rFonts w:ascii="Cambria" w:hAnsi="Cambria"/>
          <w:noProof/>
          <w:lang w:val="sr-Latn-ME"/>
        </w:rPr>
        <w:t xml:space="preserve">pristupila </w:t>
      </w:r>
      <w:r w:rsidR="007D7019" w:rsidRPr="00966FF1">
        <w:rPr>
          <w:rFonts w:ascii="Cambria" w:hAnsi="Cambria"/>
          <w:noProof/>
          <w:lang w:val="sr-Latn-ME"/>
        </w:rPr>
        <w:t xml:space="preserve">uspostavljanju savremenog sistema upravljanja hemikalijama u 2007. godini,  </w:t>
      </w:r>
      <w:r w:rsidRPr="00966FF1">
        <w:rPr>
          <w:rFonts w:ascii="Cambria" w:hAnsi="Cambria"/>
          <w:noProof/>
          <w:lang w:val="sr-Latn-ME"/>
        </w:rPr>
        <w:t xml:space="preserve">kada je donešen prvi Zakon o hemikalijama. </w:t>
      </w:r>
      <w:r w:rsidR="00322C89" w:rsidRPr="00966FF1">
        <w:rPr>
          <w:rFonts w:ascii="Cambria" w:hAnsi="Cambria"/>
          <w:noProof/>
          <w:lang w:val="sr-Latn-ME"/>
        </w:rPr>
        <w:t xml:space="preserve">Ovim </w:t>
      </w:r>
      <w:r w:rsidRPr="00966FF1">
        <w:rPr>
          <w:rFonts w:ascii="Cambria" w:eastAsia="ArialMT" w:hAnsi="Cambria"/>
          <w:noProof/>
          <w:lang w:val="sr-Latn-ME"/>
        </w:rPr>
        <w:t>Zakonom o hemikalijama (Sl. list RCG br. 11/07)</w:t>
      </w:r>
      <w:r w:rsidR="001B1E53" w:rsidRPr="00966FF1">
        <w:rPr>
          <w:rFonts w:ascii="Cambria" w:eastAsia="ArialMT" w:hAnsi="Cambria"/>
          <w:noProof/>
          <w:lang w:val="sr-Latn-ME"/>
        </w:rPr>
        <w:t xml:space="preserve"> </w:t>
      </w:r>
      <w:r w:rsidR="00A56913" w:rsidRPr="00966FF1">
        <w:rPr>
          <w:rFonts w:ascii="Cambria" w:eastAsia="ArialMT" w:hAnsi="Cambria"/>
          <w:noProof/>
          <w:lang w:val="sr-Latn-ME"/>
        </w:rPr>
        <w:t xml:space="preserve">je </w:t>
      </w:r>
      <w:r w:rsidRPr="00966FF1">
        <w:rPr>
          <w:rFonts w:ascii="Cambria" w:eastAsia="ArialMT" w:hAnsi="Cambria"/>
          <w:noProof/>
          <w:lang w:val="sr-Latn-ME"/>
        </w:rPr>
        <w:t>utvrđen postupak prijavljivanja i stavljanja u promet novih i postojećih hemikalija, uvoz i izvoz, i druga pitanja od značaja za zaštitu zdravlja ljudi i životne sredine. Za</w:t>
      </w:r>
      <w:r w:rsidR="001B1E53" w:rsidRPr="00966FF1">
        <w:rPr>
          <w:rFonts w:ascii="Cambria" w:eastAsia="ArialMT" w:hAnsi="Cambria"/>
          <w:noProof/>
          <w:lang w:val="sr-Latn-ME"/>
        </w:rPr>
        <w:t xml:space="preserve"> ovaj za</w:t>
      </w:r>
      <w:r w:rsidRPr="00966FF1">
        <w:rPr>
          <w:rFonts w:ascii="Cambria" w:eastAsia="ArialMT" w:hAnsi="Cambria"/>
          <w:noProof/>
          <w:lang w:val="sr-Latn-ME"/>
        </w:rPr>
        <w:t xml:space="preserve">kon </w:t>
      </w:r>
      <w:r w:rsidR="007C1934" w:rsidRPr="00966FF1">
        <w:rPr>
          <w:rFonts w:ascii="Cambria" w:eastAsia="TimesNewRomanPSMT" w:hAnsi="Cambria"/>
          <w:noProof/>
          <w:lang w:val="sr-Latn-ME"/>
        </w:rPr>
        <w:t xml:space="preserve">je </w:t>
      </w:r>
      <w:r w:rsidRPr="00966FF1">
        <w:rPr>
          <w:rFonts w:ascii="Cambria" w:hAnsi="Cambria"/>
          <w:noProof/>
          <w:lang w:val="sr-Latn-ME"/>
        </w:rPr>
        <w:t xml:space="preserve">bilo </w:t>
      </w:r>
      <w:r w:rsidR="007C1934" w:rsidRPr="00966FF1">
        <w:rPr>
          <w:rFonts w:ascii="Cambria" w:hAnsi="Cambria"/>
          <w:noProof/>
          <w:lang w:val="sr-Latn-ME"/>
        </w:rPr>
        <w:t xml:space="preserve">nadležno </w:t>
      </w:r>
      <w:r w:rsidR="001B1E53" w:rsidRPr="00966FF1">
        <w:rPr>
          <w:rFonts w:ascii="Cambria" w:hAnsi="Cambria"/>
          <w:noProof/>
          <w:lang w:val="sr-Latn-ME"/>
        </w:rPr>
        <w:t>m</w:t>
      </w:r>
      <w:r w:rsidRPr="00966FF1">
        <w:rPr>
          <w:rFonts w:ascii="Cambria" w:hAnsi="Cambria"/>
          <w:noProof/>
          <w:lang w:val="sr-Latn-ME"/>
        </w:rPr>
        <w:t xml:space="preserve">inistarstvo </w:t>
      </w:r>
      <w:r w:rsidR="0034598E">
        <w:rPr>
          <w:rFonts w:ascii="Cambria" w:hAnsi="Cambria"/>
          <w:noProof/>
          <w:lang w:val="sr-Latn-ME"/>
        </w:rPr>
        <w:t>nadležno</w:t>
      </w:r>
      <w:r w:rsidRPr="00966FF1">
        <w:rPr>
          <w:rFonts w:ascii="Cambria" w:hAnsi="Cambria"/>
          <w:noProof/>
          <w:lang w:val="sr-Latn-ME"/>
        </w:rPr>
        <w:t xml:space="preserve"> za poslove zdravlja</w:t>
      </w:r>
      <w:r w:rsidR="00C5205D" w:rsidRPr="00966FF1">
        <w:rPr>
          <w:rFonts w:ascii="Cambria" w:hAnsi="Cambria"/>
          <w:noProof/>
          <w:lang w:val="sr-Latn-ME"/>
        </w:rPr>
        <w:t>.</w:t>
      </w:r>
      <w:r w:rsidRPr="00966FF1">
        <w:rPr>
          <w:rFonts w:ascii="Cambria" w:hAnsi="Cambria"/>
          <w:noProof/>
          <w:lang w:val="sr-Latn-ME"/>
        </w:rPr>
        <w:t xml:space="preserve"> </w:t>
      </w:r>
    </w:p>
    <w:p w14:paraId="35AAF199" w14:textId="77777777" w:rsidR="00151B33" w:rsidRDefault="00F132C4" w:rsidP="005921EF">
      <w:pPr>
        <w:widowControl w:val="0"/>
        <w:autoSpaceDE w:val="0"/>
        <w:autoSpaceDN w:val="0"/>
        <w:jc w:val="both"/>
        <w:rPr>
          <w:rFonts w:ascii="Cambria" w:hAnsi="Cambria"/>
          <w:noProof/>
          <w:color w:val="000000"/>
          <w:lang w:val="sr-Latn-ME"/>
        </w:rPr>
      </w:pPr>
      <w:r w:rsidRPr="00AB15C7">
        <w:rPr>
          <w:rFonts w:ascii="Cambria" w:hAnsi="Cambria"/>
          <w:noProof/>
          <w:lang w:val="sr-Latn-ME"/>
        </w:rPr>
        <w:t>2012. godine usvojen je Zakon o hemikalijama („Sl</w:t>
      </w:r>
      <w:r w:rsidR="001B1E53">
        <w:rPr>
          <w:rFonts w:ascii="Cambria" w:hAnsi="Cambria"/>
          <w:noProof/>
          <w:lang w:val="sr-Latn-ME"/>
        </w:rPr>
        <w:t>.</w:t>
      </w:r>
      <w:r w:rsidRPr="00AB15C7">
        <w:rPr>
          <w:rFonts w:ascii="Cambria" w:hAnsi="Cambria"/>
          <w:noProof/>
          <w:lang w:val="sr-Latn-ME"/>
        </w:rPr>
        <w:t xml:space="preserve"> list </w:t>
      </w:r>
      <w:r w:rsidR="001B1E53">
        <w:rPr>
          <w:rFonts w:ascii="Cambria" w:hAnsi="Cambria"/>
          <w:noProof/>
          <w:lang w:val="sr-Latn-ME"/>
        </w:rPr>
        <w:t>CG</w:t>
      </w:r>
      <w:r w:rsidRPr="00AB15C7">
        <w:rPr>
          <w:rFonts w:ascii="Cambria" w:hAnsi="Cambria"/>
          <w:noProof/>
          <w:lang w:val="sr-Latn-ME"/>
        </w:rPr>
        <w:t>“, b</w:t>
      </w:r>
      <w:r w:rsidR="001B1E53">
        <w:rPr>
          <w:rFonts w:ascii="Cambria" w:hAnsi="Cambria"/>
          <w:noProof/>
          <w:lang w:val="sr-Latn-ME"/>
        </w:rPr>
        <w:t xml:space="preserve">r. </w:t>
      </w:r>
      <w:r w:rsidRPr="00AB15C7">
        <w:rPr>
          <w:rFonts w:ascii="Cambria" w:hAnsi="Cambria"/>
          <w:noProof/>
          <w:lang w:val="sr-Latn-ME"/>
        </w:rPr>
        <w:t xml:space="preserve">18/12) koji je </w:t>
      </w:r>
      <w:r w:rsidR="001B1E53">
        <w:rPr>
          <w:rFonts w:ascii="Cambria" w:hAnsi="Cambria"/>
          <w:noProof/>
          <w:lang w:val="sr-Latn-ME"/>
        </w:rPr>
        <w:t xml:space="preserve">u djelimično transponovao odredbe REACH i drugih propisa EU u oblasti hemikalija, a </w:t>
      </w:r>
      <w:r w:rsidRPr="00AB15C7">
        <w:rPr>
          <w:rFonts w:ascii="Cambria" w:hAnsi="Cambria"/>
          <w:noProof/>
          <w:lang w:val="sr-Latn-ME"/>
        </w:rPr>
        <w:t xml:space="preserve">predstavljao </w:t>
      </w:r>
      <w:r w:rsidR="001B1E53">
        <w:rPr>
          <w:rFonts w:ascii="Cambria" w:hAnsi="Cambria"/>
          <w:noProof/>
          <w:lang w:val="sr-Latn-ME"/>
        </w:rPr>
        <w:t xml:space="preserve">je i </w:t>
      </w:r>
      <w:r w:rsidRPr="00AB15C7">
        <w:rPr>
          <w:rFonts w:ascii="Cambria" w:hAnsi="Cambria"/>
          <w:noProof/>
          <w:lang w:val="sr-Latn-ME"/>
        </w:rPr>
        <w:t xml:space="preserve">značajan zaokret </w:t>
      </w:r>
      <w:r w:rsidR="001B1E53">
        <w:rPr>
          <w:rFonts w:ascii="Cambria" w:hAnsi="Cambria"/>
          <w:noProof/>
          <w:lang w:val="sr-Latn-ME"/>
        </w:rPr>
        <w:t>pogledu nadležnosti jer je ovim</w:t>
      </w:r>
      <w:r w:rsidRPr="00AB15C7">
        <w:rPr>
          <w:rFonts w:ascii="Cambria" w:hAnsi="Cambria"/>
          <w:noProof/>
          <w:lang w:val="sr-Latn-ME"/>
        </w:rPr>
        <w:t xml:space="preserve"> zakonom nadležnost </w:t>
      </w:r>
      <w:r w:rsidR="001B1E53">
        <w:rPr>
          <w:rFonts w:ascii="Cambria" w:hAnsi="Cambria"/>
          <w:noProof/>
          <w:lang w:val="sr-Latn-ME"/>
        </w:rPr>
        <w:t>za upravljanje hemikalijama prenijeta na</w:t>
      </w:r>
      <w:r w:rsidRPr="00AB15C7">
        <w:rPr>
          <w:rFonts w:ascii="Cambria" w:hAnsi="Cambria"/>
          <w:noProof/>
          <w:lang w:val="sr-Latn-ME"/>
        </w:rPr>
        <w:t xml:space="preserve"> </w:t>
      </w:r>
      <w:r w:rsidR="001B1E53">
        <w:rPr>
          <w:rFonts w:ascii="Cambria" w:hAnsi="Cambria"/>
          <w:noProof/>
          <w:lang w:val="sr-Latn-ME"/>
        </w:rPr>
        <w:t>m</w:t>
      </w:r>
      <w:r w:rsidRPr="00AB15C7">
        <w:rPr>
          <w:rFonts w:ascii="Cambria" w:hAnsi="Cambria"/>
          <w:noProof/>
          <w:lang w:val="sr-Latn-ME"/>
        </w:rPr>
        <w:t>inistarstvo nadležno za poslove zaštite životne sredine</w:t>
      </w:r>
      <w:r w:rsidR="001B1E53">
        <w:rPr>
          <w:rFonts w:ascii="Cambria" w:hAnsi="Cambria"/>
          <w:noProof/>
          <w:lang w:val="sr-Latn-ME"/>
        </w:rPr>
        <w:t>.</w:t>
      </w:r>
      <w:r w:rsidRPr="00AB15C7">
        <w:rPr>
          <w:rFonts w:ascii="Cambria" w:hAnsi="Cambria"/>
          <w:noProof/>
          <w:lang w:val="sr-Latn-ME"/>
        </w:rPr>
        <w:t xml:space="preserve"> </w:t>
      </w:r>
      <w:r w:rsidR="002C0B2B" w:rsidRPr="00AB15C7">
        <w:rPr>
          <w:rFonts w:ascii="Cambria" w:hAnsi="Cambria"/>
          <w:noProof/>
          <w:lang w:val="sr-Latn-ME"/>
        </w:rPr>
        <w:t>Prim</w:t>
      </w:r>
      <w:r w:rsidR="009E6F26">
        <w:rPr>
          <w:rFonts w:ascii="Cambria" w:hAnsi="Cambria"/>
          <w:noProof/>
          <w:lang w:val="sr-Latn-ME"/>
        </w:rPr>
        <w:t>j</w:t>
      </w:r>
      <w:r w:rsidR="002C0B2B" w:rsidRPr="00AB15C7">
        <w:rPr>
          <w:rFonts w:ascii="Cambria" w:hAnsi="Cambria"/>
          <w:noProof/>
          <w:lang w:val="sr-Latn-ME"/>
        </w:rPr>
        <w:t>ena ovog Z</w:t>
      </w:r>
      <w:r w:rsidRPr="00AB15C7">
        <w:rPr>
          <w:rFonts w:ascii="Cambria" w:hAnsi="Cambria"/>
          <w:noProof/>
          <w:lang w:val="sr-Latn-ME"/>
        </w:rPr>
        <w:t>akon</w:t>
      </w:r>
      <w:r w:rsidR="002C0B2B" w:rsidRPr="00AB15C7">
        <w:rPr>
          <w:rFonts w:ascii="Cambria" w:hAnsi="Cambria"/>
          <w:noProof/>
          <w:lang w:val="sr-Latn-ME"/>
        </w:rPr>
        <w:t>a po</w:t>
      </w:r>
      <w:r w:rsidR="002C0B2B" w:rsidRPr="00AB15C7">
        <w:rPr>
          <w:rFonts w:ascii="Cambria" w:hAnsi="Cambria"/>
          <w:noProof/>
          <w:lang w:val="sr-Latn-RS"/>
        </w:rPr>
        <w:t>čela je</w:t>
      </w:r>
      <w:r w:rsidRPr="00AB15C7">
        <w:rPr>
          <w:rFonts w:ascii="Cambria" w:hAnsi="Cambria"/>
          <w:noProof/>
          <w:lang w:val="sr-Latn-ME"/>
        </w:rPr>
        <w:t xml:space="preserve"> 1.</w:t>
      </w:r>
      <w:r w:rsidR="001E5D21" w:rsidRPr="00AB15C7">
        <w:rPr>
          <w:rFonts w:ascii="Cambria" w:hAnsi="Cambria"/>
          <w:noProof/>
          <w:lang w:val="sr-Latn-ME"/>
        </w:rPr>
        <w:t xml:space="preserve"> III </w:t>
      </w:r>
      <w:r w:rsidR="00620FFC" w:rsidRPr="00AB15C7">
        <w:rPr>
          <w:rFonts w:ascii="Cambria" w:hAnsi="Cambria"/>
          <w:noProof/>
          <w:lang w:val="sr-Latn-ME"/>
        </w:rPr>
        <w:t>2013</w:t>
      </w:r>
      <w:r w:rsidR="00CE2243" w:rsidRPr="00AB15C7">
        <w:rPr>
          <w:rFonts w:ascii="Cambria" w:hAnsi="Cambria"/>
          <w:noProof/>
          <w:lang w:val="sr-Latn-ME"/>
        </w:rPr>
        <w:t>.</w:t>
      </w:r>
      <w:r w:rsidRPr="00AB15C7">
        <w:rPr>
          <w:rFonts w:ascii="Cambria" w:hAnsi="Cambria"/>
          <w:noProof/>
          <w:lang w:val="sr-Latn-ME"/>
        </w:rPr>
        <w:t xml:space="preserve"> </w:t>
      </w:r>
      <w:r w:rsidR="00CE2243" w:rsidRPr="00AB15C7">
        <w:rPr>
          <w:rFonts w:ascii="Cambria" w:hAnsi="Cambria"/>
          <w:noProof/>
          <w:lang w:val="sr-Latn-ME"/>
        </w:rPr>
        <w:t>Č</w:t>
      </w:r>
      <w:r w:rsidR="00620FFC" w:rsidRPr="00AB15C7">
        <w:rPr>
          <w:rFonts w:ascii="Cambria" w:hAnsi="Cambria"/>
          <w:noProof/>
          <w:lang w:val="sr-Latn-ME"/>
        </w:rPr>
        <w:t>l</w:t>
      </w:r>
      <w:r w:rsidRPr="00AB15C7">
        <w:rPr>
          <w:rFonts w:ascii="Cambria" w:hAnsi="Cambria"/>
          <w:noProof/>
          <w:lang w:val="sr-Latn-ME"/>
        </w:rPr>
        <w:t xml:space="preserve">an 58 </w:t>
      </w:r>
      <w:r w:rsidR="00620FFC" w:rsidRPr="00AB15C7">
        <w:rPr>
          <w:rFonts w:ascii="Cambria" w:hAnsi="Cambria"/>
          <w:noProof/>
          <w:lang w:val="sr-Latn-ME"/>
        </w:rPr>
        <w:t>Z</w:t>
      </w:r>
      <w:r w:rsidRPr="00AB15C7">
        <w:rPr>
          <w:rFonts w:ascii="Cambria" w:hAnsi="Cambria"/>
          <w:noProof/>
          <w:lang w:val="sr-Latn-ME"/>
        </w:rPr>
        <w:t xml:space="preserve">akona </w:t>
      </w:r>
      <w:r w:rsidR="007D7019" w:rsidRPr="00AB15C7">
        <w:rPr>
          <w:rFonts w:ascii="Cambria" w:hAnsi="Cambria"/>
          <w:noProof/>
          <w:lang w:val="sr-Latn-ME"/>
        </w:rPr>
        <w:t xml:space="preserve">utvrdio je </w:t>
      </w:r>
      <w:r w:rsidRPr="00AB15C7">
        <w:rPr>
          <w:rFonts w:ascii="Cambria" w:hAnsi="Cambria"/>
          <w:noProof/>
          <w:lang w:val="sr-Latn-ME"/>
        </w:rPr>
        <w:t xml:space="preserve">obavezu donošenja </w:t>
      </w:r>
      <w:r w:rsidR="00BF012A" w:rsidRPr="00AB15C7">
        <w:rPr>
          <w:rFonts w:ascii="Cambria" w:hAnsi="Cambria"/>
          <w:noProof/>
          <w:color w:val="000000"/>
          <w:lang w:val="sr-Latn-ME"/>
        </w:rPr>
        <w:t>S</w:t>
      </w:r>
      <w:r w:rsidRPr="00AB15C7">
        <w:rPr>
          <w:rFonts w:ascii="Cambria" w:hAnsi="Cambria"/>
          <w:noProof/>
          <w:color w:val="000000"/>
          <w:lang w:val="sr-Latn-ME"/>
        </w:rPr>
        <w:t>tra</w:t>
      </w:r>
      <w:r w:rsidR="008E61DA" w:rsidRPr="00AB15C7">
        <w:rPr>
          <w:rFonts w:ascii="Cambria" w:hAnsi="Cambria"/>
          <w:noProof/>
          <w:color w:val="000000"/>
          <w:lang w:val="sr-Latn-ME"/>
        </w:rPr>
        <w:t>tegije</w:t>
      </w:r>
      <w:r w:rsidR="007C1934" w:rsidRPr="00AB15C7">
        <w:rPr>
          <w:rFonts w:ascii="Cambria" w:hAnsi="Cambria"/>
          <w:noProof/>
          <w:color w:val="000000"/>
          <w:lang w:val="sr-Latn-ME"/>
        </w:rPr>
        <w:t xml:space="preserve"> upravljanja hemikalijama</w:t>
      </w:r>
      <w:r w:rsidRPr="00AB15C7">
        <w:rPr>
          <w:rFonts w:ascii="Cambria" w:hAnsi="Cambria"/>
          <w:noProof/>
          <w:color w:val="000000"/>
          <w:lang w:val="sr-Latn-ME"/>
        </w:rPr>
        <w:t xml:space="preserve">. </w:t>
      </w:r>
    </w:p>
    <w:p w14:paraId="5E9A372C" w14:textId="57DB6A70" w:rsidR="007D7019" w:rsidRPr="00AB15C7" w:rsidRDefault="007D7019" w:rsidP="005921EF">
      <w:pPr>
        <w:widowControl w:val="0"/>
        <w:autoSpaceDE w:val="0"/>
        <w:autoSpaceDN w:val="0"/>
        <w:jc w:val="both"/>
        <w:rPr>
          <w:rFonts w:ascii="Cambria" w:hAnsi="Cambria"/>
          <w:noProof/>
          <w:color w:val="000000"/>
        </w:rPr>
      </w:pPr>
      <w:bookmarkStart w:id="4" w:name="_Hlk527036129"/>
      <w:r w:rsidRPr="00AB15C7">
        <w:rPr>
          <w:rFonts w:ascii="Cambria" w:hAnsi="Cambria"/>
          <w:noProof/>
          <w:color w:val="000000"/>
          <w:lang w:val="sr-Latn-ME"/>
        </w:rPr>
        <w:t xml:space="preserve">Strategija upravljanja hemikalijama za period 2015-2018. godine </w:t>
      </w:r>
      <w:bookmarkEnd w:id="4"/>
      <w:r w:rsidR="006875DA" w:rsidRPr="00AB15C7">
        <w:rPr>
          <w:rFonts w:ascii="Cambria" w:hAnsi="Cambria"/>
          <w:noProof/>
          <w:color w:val="000000"/>
          <w:lang w:val="sr-Latn-ME"/>
        </w:rPr>
        <w:t>done</w:t>
      </w:r>
      <w:r w:rsidR="006875DA">
        <w:rPr>
          <w:rFonts w:ascii="Cambria" w:hAnsi="Cambria"/>
          <w:noProof/>
          <w:color w:val="000000"/>
          <w:lang w:val="sr-Latn-ME"/>
        </w:rPr>
        <w:t>š</w:t>
      </w:r>
      <w:r w:rsidR="006875DA" w:rsidRPr="00AB15C7">
        <w:rPr>
          <w:rFonts w:ascii="Cambria" w:hAnsi="Cambria"/>
          <w:noProof/>
          <w:color w:val="000000"/>
          <w:lang w:val="sr-Latn-ME"/>
        </w:rPr>
        <w:t xml:space="preserve">ena </w:t>
      </w:r>
      <w:r w:rsidRPr="00AB15C7">
        <w:rPr>
          <w:rFonts w:ascii="Cambria" w:hAnsi="Cambria"/>
          <w:noProof/>
          <w:color w:val="000000"/>
          <w:lang w:val="sr-Latn-ME"/>
        </w:rPr>
        <w:t xml:space="preserve">na osnovu </w:t>
      </w:r>
      <w:r w:rsidR="00151B33" w:rsidRPr="00151B33">
        <w:rPr>
          <w:rFonts w:ascii="Cambria" w:hAnsi="Cambria"/>
          <w:noProof/>
          <w:color w:val="000000"/>
          <w:lang w:val="sr-Latn-ME"/>
        </w:rPr>
        <w:t>Zakon</w:t>
      </w:r>
      <w:r w:rsidR="00151B33">
        <w:rPr>
          <w:rFonts w:ascii="Cambria" w:hAnsi="Cambria"/>
          <w:noProof/>
          <w:color w:val="000000"/>
          <w:lang w:val="sr-Latn-ME"/>
        </w:rPr>
        <w:t>a</w:t>
      </w:r>
      <w:r w:rsidR="00151B33" w:rsidRPr="00151B33">
        <w:rPr>
          <w:rFonts w:ascii="Cambria" w:hAnsi="Cambria"/>
          <w:noProof/>
          <w:color w:val="000000"/>
          <w:lang w:val="sr-Latn-ME"/>
        </w:rPr>
        <w:t xml:space="preserve"> o hemikalijama („Sl. list CG“, br. 18/12) </w:t>
      </w:r>
      <w:r w:rsidRPr="00AB15C7">
        <w:rPr>
          <w:rFonts w:ascii="Cambria" w:hAnsi="Cambria"/>
          <w:noProof/>
          <w:color w:val="000000"/>
          <w:lang w:val="sr-Latn-ME"/>
        </w:rPr>
        <w:t>dala je strateški okvir i akcion</w:t>
      </w:r>
      <w:r w:rsidR="002C0B2B" w:rsidRPr="00AB15C7">
        <w:rPr>
          <w:rFonts w:ascii="Cambria" w:hAnsi="Cambria"/>
          <w:noProof/>
          <w:color w:val="000000"/>
          <w:lang w:val="sr-Latn-ME"/>
        </w:rPr>
        <w:t>i</w:t>
      </w:r>
      <w:r w:rsidRPr="00AB15C7">
        <w:rPr>
          <w:rFonts w:ascii="Cambria" w:hAnsi="Cambria"/>
          <w:noProof/>
          <w:color w:val="000000"/>
          <w:lang w:val="sr-Latn-ME"/>
        </w:rPr>
        <w:t xml:space="preserve"> plan za uspostavljanje</w:t>
      </w:r>
      <w:r w:rsidRPr="00AB15C7">
        <w:rPr>
          <w:rFonts w:ascii="Cambria" w:hAnsi="Cambria"/>
          <w:b/>
          <w:noProof/>
          <w:color w:val="000000"/>
          <w:lang w:val="sr-Latn-ME"/>
        </w:rPr>
        <w:t xml:space="preserve"> </w:t>
      </w:r>
      <w:r w:rsidR="001B1E53">
        <w:rPr>
          <w:rFonts w:ascii="Cambria" w:hAnsi="Cambria"/>
          <w:noProof/>
          <w:color w:val="000000"/>
          <w:lang w:val="sr-Latn-ME"/>
        </w:rPr>
        <w:t>sistema</w:t>
      </w:r>
      <w:r w:rsidRPr="00AB15C7">
        <w:rPr>
          <w:rFonts w:ascii="Cambria" w:hAnsi="Cambria"/>
          <w:noProof/>
          <w:color w:val="000000"/>
          <w:lang w:val="sr-Latn-ME"/>
        </w:rPr>
        <w:t xml:space="preserve"> upravljanja hemikalijama, od proizvodnje, odnosno uvoza do odlaganja, koji doprinosi održivom razvoju Crne Gore</w:t>
      </w:r>
      <w:r w:rsidR="001B1E53">
        <w:rPr>
          <w:rFonts w:ascii="Cambria" w:hAnsi="Cambria"/>
          <w:noProof/>
          <w:color w:val="000000"/>
          <w:lang w:val="sr-Latn-ME"/>
        </w:rPr>
        <w:t>, a u saglasnosti je sa relevan</w:t>
      </w:r>
      <w:r w:rsidR="005B0ED4">
        <w:rPr>
          <w:rFonts w:ascii="Cambria" w:hAnsi="Cambria"/>
          <w:noProof/>
          <w:color w:val="000000"/>
          <w:lang w:val="sr-Latn-ME"/>
        </w:rPr>
        <w:t>tnim principima i praksom utvrđenom u EU</w:t>
      </w:r>
      <w:r w:rsidRPr="00AB15C7">
        <w:rPr>
          <w:rFonts w:ascii="Cambria" w:hAnsi="Cambria"/>
          <w:noProof/>
          <w:color w:val="000000"/>
          <w:lang w:val="sr-Latn-ME"/>
        </w:rPr>
        <w:t>.</w:t>
      </w:r>
      <w:r w:rsidR="002C0B2B" w:rsidRPr="00AB15C7">
        <w:rPr>
          <w:rFonts w:ascii="Cambria" w:hAnsi="Cambria"/>
          <w:noProof/>
          <w:color w:val="000000"/>
          <w:lang w:val="sr-Latn-ME"/>
        </w:rPr>
        <w:t xml:space="preserve"> Akcioni plan</w:t>
      </w:r>
      <w:r w:rsidR="00151B33" w:rsidRPr="00151B33">
        <w:rPr>
          <w:rFonts w:ascii="Cambria" w:hAnsi="Cambria"/>
          <w:noProof/>
          <w:color w:val="000000"/>
          <w:lang w:val="sr-Latn-ME"/>
        </w:rPr>
        <w:t xml:space="preserve"> za period 2015-2018. godine</w:t>
      </w:r>
      <w:r w:rsidR="002C0B2B" w:rsidRPr="00AB15C7">
        <w:rPr>
          <w:rFonts w:ascii="Cambria" w:hAnsi="Cambria"/>
          <w:noProof/>
          <w:color w:val="000000"/>
          <w:lang w:val="sr-Latn-ME"/>
        </w:rPr>
        <w:t xml:space="preserve"> u velikoj m</w:t>
      </w:r>
      <w:r w:rsidR="006875DA">
        <w:rPr>
          <w:rFonts w:ascii="Cambria" w:hAnsi="Cambria"/>
          <w:noProof/>
          <w:color w:val="000000"/>
          <w:lang w:val="sr-Latn-ME"/>
        </w:rPr>
        <w:t>j</w:t>
      </w:r>
      <w:r w:rsidR="002C0B2B" w:rsidRPr="00AB15C7">
        <w:rPr>
          <w:rFonts w:ascii="Cambria" w:hAnsi="Cambria"/>
          <w:noProof/>
          <w:color w:val="000000"/>
          <w:lang w:val="sr-Latn-ME"/>
        </w:rPr>
        <w:t>eri je realizovan</w:t>
      </w:r>
      <w:r w:rsidR="005B0ED4">
        <w:rPr>
          <w:rFonts w:ascii="Cambria" w:hAnsi="Cambria"/>
          <w:noProof/>
          <w:color w:val="000000"/>
          <w:lang w:val="sr-Latn-ME"/>
        </w:rPr>
        <w:t xml:space="preserve">, </w:t>
      </w:r>
      <w:r w:rsidR="002C0B2B" w:rsidRPr="00AB15C7">
        <w:rPr>
          <w:rFonts w:ascii="Cambria" w:hAnsi="Cambria"/>
          <w:noProof/>
          <w:color w:val="000000"/>
          <w:lang w:val="sr-Latn-ME"/>
        </w:rPr>
        <w:t xml:space="preserve"> ali za neke od mjera </w:t>
      </w:r>
      <w:r w:rsidR="002C0B2B" w:rsidRPr="00AB15C7">
        <w:rPr>
          <w:rFonts w:ascii="Cambria" w:hAnsi="Cambria"/>
          <w:noProof/>
          <w:color w:val="000000"/>
          <w:lang w:val="en-GB"/>
        </w:rPr>
        <w:t>djelimično</w:t>
      </w:r>
      <w:r w:rsidR="005B0ED4">
        <w:rPr>
          <w:rFonts w:ascii="Cambria" w:hAnsi="Cambria"/>
          <w:noProof/>
          <w:color w:val="000000"/>
          <w:lang w:val="en-GB"/>
        </w:rPr>
        <w:t xml:space="preserve"> </w:t>
      </w:r>
      <w:r w:rsidR="002C0B2B" w:rsidRPr="00AB15C7">
        <w:rPr>
          <w:rFonts w:ascii="Cambria" w:hAnsi="Cambria"/>
          <w:noProof/>
          <w:color w:val="000000"/>
          <w:lang w:val="en-GB"/>
        </w:rPr>
        <w:t>usl</w:t>
      </w:r>
      <w:r w:rsidR="006875DA">
        <w:rPr>
          <w:rFonts w:ascii="Cambria" w:hAnsi="Cambria"/>
          <w:noProof/>
          <w:color w:val="000000"/>
          <w:lang w:val="en-GB"/>
        </w:rPr>
        <w:t>j</w:t>
      </w:r>
      <w:r w:rsidR="002C0B2B" w:rsidRPr="00AB15C7">
        <w:rPr>
          <w:rFonts w:ascii="Cambria" w:hAnsi="Cambria"/>
          <w:noProof/>
          <w:color w:val="000000"/>
          <w:lang w:val="en-GB"/>
        </w:rPr>
        <w:t>ed činjenice da skoro sve mjere navedene u Akcionom planu Strategije imaju kontinuirani period implementacije</w:t>
      </w:r>
      <w:r w:rsidR="002C0B2B" w:rsidRPr="00AB15C7">
        <w:rPr>
          <w:rFonts w:ascii="Cambria" w:hAnsi="Cambria"/>
          <w:noProof/>
          <w:color w:val="000000"/>
        </w:rPr>
        <w:t>.</w:t>
      </w:r>
      <w:r w:rsidR="00151B33">
        <w:rPr>
          <w:rFonts w:ascii="Cambria" w:hAnsi="Cambria"/>
          <w:noProof/>
          <w:color w:val="000000"/>
        </w:rPr>
        <w:t xml:space="preserve"> </w:t>
      </w:r>
    </w:p>
    <w:p w14:paraId="5D436DB9" w14:textId="178F2C9F" w:rsidR="002C0B2B" w:rsidRPr="00AB15C7" w:rsidRDefault="002C0B2B" w:rsidP="005921EF">
      <w:pPr>
        <w:widowControl w:val="0"/>
        <w:autoSpaceDE w:val="0"/>
        <w:autoSpaceDN w:val="0"/>
        <w:jc w:val="both"/>
        <w:rPr>
          <w:rFonts w:ascii="Cambria" w:hAnsi="Cambria"/>
          <w:noProof/>
          <w:color w:val="000000"/>
          <w:lang w:val="sr-Latn-ME"/>
        </w:rPr>
      </w:pPr>
      <w:r w:rsidRPr="00AB15C7">
        <w:rPr>
          <w:rFonts w:ascii="Cambria" w:hAnsi="Cambria"/>
          <w:noProof/>
          <w:color w:val="000000"/>
          <w:lang w:val="sr-Latn-ME"/>
        </w:rPr>
        <w:t>Novi Zakon o hemikalijama</w:t>
      </w:r>
      <w:r w:rsidR="00426A24" w:rsidRPr="00AB15C7">
        <w:rPr>
          <w:rFonts w:ascii="Cambria" w:hAnsi="Cambria"/>
          <w:noProof/>
          <w:color w:val="000000"/>
          <w:lang w:val="sr-Latn-ME"/>
        </w:rPr>
        <w:t xml:space="preserve"> ("Sl. list CG" br. 51/17)</w:t>
      </w:r>
      <w:r w:rsidRPr="00AB15C7">
        <w:rPr>
          <w:rFonts w:ascii="Cambria" w:hAnsi="Cambria"/>
          <w:noProof/>
          <w:color w:val="000000"/>
          <w:lang w:val="sr-Latn-ME"/>
        </w:rPr>
        <w:t xml:space="preserve"> usvojen je u julu 2017. </w:t>
      </w:r>
      <w:r w:rsidR="007C7DC7" w:rsidRPr="00AB15C7">
        <w:rPr>
          <w:rFonts w:ascii="Cambria" w:hAnsi="Cambria"/>
          <w:noProof/>
          <w:color w:val="000000"/>
          <w:lang w:val="sr-Latn-ME"/>
        </w:rPr>
        <w:t>Ovaj zakon je zam</w:t>
      </w:r>
      <w:r w:rsidR="006875DA">
        <w:rPr>
          <w:rFonts w:ascii="Cambria" w:hAnsi="Cambria"/>
          <w:noProof/>
          <w:color w:val="000000"/>
          <w:lang w:val="sr-Latn-ME"/>
        </w:rPr>
        <w:t>ij</w:t>
      </w:r>
      <w:r w:rsidR="007C7DC7" w:rsidRPr="00AB15C7">
        <w:rPr>
          <w:rFonts w:ascii="Cambria" w:hAnsi="Cambria"/>
          <w:noProof/>
          <w:color w:val="000000"/>
          <w:lang w:val="sr-Latn-ME"/>
        </w:rPr>
        <w:t>enio istoimeni zakon iz 2012, i donosi nadogradnju i unapređenje politike u oblasti upravljanja hemi</w:t>
      </w:r>
      <w:r w:rsidR="006875DA">
        <w:rPr>
          <w:rFonts w:ascii="Cambria" w:hAnsi="Cambria"/>
          <w:noProof/>
          <w:color w:val="000000"/>
          <w:lang w:val="sr-Latn-ME"/>
        </w:rPr>
        <w:t>k</w:t>
      </w:r>
      <w:r w:rsidR="007C7DC7" w:rsidRPr="00AB15C7">
        <w:rPr>
          <w:rFonts w:ascii="Cambria" w:hAnsi="Cambria"/>
          <w:noProof/>
          <w:color w:val="000000"/>
          <w:lang w:val="sr-Latn-ME"/>
        </w:rPr>
        <w:t xml:space="preserve">alijama i dalje usklaglašavanje sa REACH i drugim EU propisima u oblasti hemikalija. </w:t>
      </w:r>
    </w:p>
    <w:p w14:paraId="7ED52AC5" w14:textId="77777777" w:rsidR="002B6EDF" w:rsidRDefault="00426A24" w:rsidP="002B6EDF">
      <w:pPr>
        <w:widowControl w:val="0"/>
        <w:autoSpaceDE w:val="0"/>
        <w:autoSpaceDN w:val="0"/>
        <w:spacing w:after="0"/>
        <w:jc w:val="both"/>
        <w:rPr>
          <w:rFonts w:ascii="Cambria" w:hAnsi="Cambria"/>
          <w:noProof/>
          <w:color w:val="000000"/>
          <w:lang w:val="sr-Latn-ME"/>
        </w:rPr>
      </w:pPr>
      <w:r w:rsidRPr="00AB15C7">
        <w:rPr>
          <w:rFonts w:ascii="Cambria" w:hAnsi="Cambria"/>
          <w:noProof/>
          <w:color w:val="000000"/>
          <w:lang w:val="en-GB"/>
        </w:rPr>
        <w:t>Članom 63 Zakona o hemikalijama ("Sl</w:t>
      </w:r>
      <w:r w:rsidR="00D22C86" w:rsidRPr="00AB15C7">
        <w:rPr>
          <w:rFonts w:ascii="Cambria" w:hAnsi="Cambria"/>
          <w:noProof/>
          <w:color w:val="000000"/>
          <w:lang w:val="en-GB"/>
        </w:rPr>
        <w:t>.</w:t>
      </w:r>
      <w:r w:rsidRPr="00AB15C7">
        <w:rPr>
          <w:rFonts w:ascii="Cambria" w:hAnsi="Cambria"/>
          <w:noProof/>
          <w:color w:val="000000"/>
          <w:lang w:val="en-GB"/>
        </w:rPr>
        <w:t xml:space="preserve"> list CG", br</w:t>
      </w:r>
      <w:r w:rsidR="00D22C86" w:rsidRPr="00AB15C7">
        <w:rPr>
          <w:rFonts w:ascii="Cambria" w:hAnsi="Cambria"/>
          <w:noProof/>
          <w:color w:val="000000"/>
          <w:lang w:val="en-GB"/>
        </w:rPr>
        <w:t>.</w:t>
      </w:r>
      <w:r w:rsidRPr="00AB15C7">
        <w:rPr>
          <w:rFonts w:ascii="Cambria" w:hAnsi="Cambria"/>
          <w:noProof/>
          <w:color w:val="000000"/>
          <w:lang w:val="en-GB"/>
        </w:rPr>
        <w:t xml:space="preserve"> 51/17) predviđeno je donošenje Nacionalne strategije upravljanja hemikalijama (u daljem tekstu: Nacionalna strategija) u cilju obezb</w:t>
      </w:r>
      <w:r w:rsidR="006875DA">
        <w:rPr>
          <w:rFonts w:ascii="Cambria" w:hAnsi="Cambria"/>
          <w:noProof/>
          <w:color w:val="000000"/>
          <w:lang w:val="en-GB"/>
        </w:rPr>
        <w:t>j</w:t>
      </w:r>
      <w:r w:rsidRPr="00AB15C7">
        <w:rPr>
          <w:rFonts w:ascii="Cambria" w:hAnsi="Cambria"/>
          <w:noProof/>
          <w:color w:val="000000"/>
          <w:lang w:val="en-GB"/>
        </w:rPr>
        <w:t xml:space="preserve">eđivanja </w:t>
      </w:r>
      <w:r w:rsidRPr="00AB15C7">
        <w:rPr>
          <w:rFonts w:ascii="Cambria" w:hAnsi="Cambria"/>
          <w:noProof/>
          <w:color w:val="000000"/>
        </w:rPr>
        <w:t>adekvatnog upravljanja hemikalijama, od proizvodnje, odnosno uvoza do odlaganja, u narednom četvorogodišnjem periodu</w:t>
      </w:r>
      <w:r w:rsidR="005B0ED4" w:rsidRPr="005B0ED4">
        <w:rPr>
          <w:rFonts w:ascii="Cambria" w:hAnsi="Cambria"/>
          <w:noProof/>
          <w:color w:val="000000"/>
          <w:lang w:val="en-GB"/>
        </w:rPr>
        <w:t xml:space="preserve"> </w:t>
      </w:r>
      <w:r w:rsidR="005B0ED4" w:rsidRPr="00AB15C7">
        <w:rPr>
          <w:rFonts w:ascii="Cambria" w:hAnsi="Cambria"/>
          <w:noProof/>
          <w:color w:val="000000"/>
          <w:lang w:val="en-GB"/>
        </w:rPr>
        <w:t xml:space="preserve"> 2019-2022. godine</w:t>
      </w:r>
      <w:r w:rsidRPr="00AB15C7">
        <w:rPr>
          <w:rFonts w:ascii="Cambria" w:hAnsi="Cambria"/>
          <w:noProof/>
          <w:color w:val="000000"/>
        </w:rPr>
        <w:t xml:space="preserve">. </w:t>
      </w:r>
      <w:r w:rsidR="002B6EDF">
        <w:rPr>
          <w:rFonts w:ascii="Cambria" w:hAnsi="Cambria"/>
          <w:noProof/>
          <w:color w:val="000000"/>
        </w:rPr>
        <w:t xml:space="preserve"> </w:t>
      </w:r>
      <w:r w:rsidRPr="00AB15C7">
        <w:rPr>
          <w:rFonts w:ascii="Cambria" w:hAnsi="Cambria"/>
          <w:noProof/>
          <w:color w:val="000000"/>
          <w:lang w:val="sr-Latn-ME"/>
        </w:rPr>
        <w:t xml:space="preserve">Nacionalna strategija treba da </w:t>
      </w:r>
      <w:r w:rsidR="008F3B4B" w:rsidRPr="00AB15C7">
        <w:rPr>
          <w:rFonts w:ascii="Cambria" w:hAnsi="Cambria"/>
          <w:noProof/>
          <w:color w:val="000000"/>
          <w:lang w:val="sr-Latn-ME"/>
        </w:rPr>
        <w:t>obuhvati</w:t>
      </w:r>
      <w:r w:rsidRPr="00AB15C7">
        <w:rPr>
          <w:rFonts w:ascii="Cambria" w:hAnsi="Cambria"/>
          <w:noProof/>
          <w:color w:val="000000"/>
          <w:lang w:val="sr-Latn-ME"/>
        </w:rPr>
        <w:t xml:space="preserve">: </w:t>
      </w:r>
    </w:p>
    <w:p w14:paraId="52D6BC3B" w14:textId="77777777" w:rsidR="00426A24" w:rsidRPr="00AB15C7" w:rsidRDefault="00426A24" w:rsidP="002B6EDF">
      <w:pPr>
        <w:widowControl w:val="0"/>
        <w:autoSpaceDE w:val="0"/>
        <w:autoSpaceDN w:val="0"/>
        <w:spacing w:after="0"/>
        <w:jc w:val="both"/>
        <w:rPr>
          <w:rFonts w:ascii="Cambria" w:hAnsi="Cambria"/>
          <w:noProof/>
          <w:color w:val="000000"/>
          <w:lang w:val="sr-Latn-ME"/>
        </w:rPr>
      </w:pPr>
      <w:r w:rsidRPr="00AB15C7">
        <w:rPr>
          <w:rFonts w:ascii="Cambria" w:hAnsi="Cambria"/>
          <w:noProof/>
          <w:color w:val="000000"/>
          <w:lang w:val="sr-Latn-ME"/>
        </w:rPr>
        <w:t xml:space="preserve">1) procjenu stanja i problema u oblasti upravljanja hemikalijama; </w:t>
      </w:r>
    </w:p>
    <w:p w14:paraId="12FFF63C" w14:textId="77777777" w:rsidR="00426A24" w:rsidRPr="00AB15C7" w:rsidRDefault="00426A24" w:rsidP="00E61124">
      <w:pPr>
        <w:widowControl w:val="0"/>
        <w:autoSpaceDE w:val="0"/>
        <w:autoSpaceDN w:val="0"/>
        <w:spacing w:after="0"/>
        <w:jc w:val="both"/>
        <w:rPr>
          <w:rFonts w:ascii="Cambria" w:hAnsi="Cambria"/>
          <w:noProof/>
          <w:color w:val="000000"/>
          <w:lang w:val="sr-Latn-ME"/>
        </w:rPr>
      </w:pPr>
      <w:r w:rsidRPr="00AB15C7">
        <w:rPr>
          <w:rFonts w:ascii="Cambria" w:hAnsi="Cambria"/>
          <w:noProof/>
          <w:color w:val="000000"/>
          <w:lang w:val="sr-Latn-ME"/>
        </w:rPr>
        <w:t xml:space="preserve">2) prioritetne aktivnosti i mjere za očuvanje zdravlja ljudi i životne sredine; </w:t>
      </w:r>
    </w:p>
    <w:p w14:paraId="00960443" w14:textId="77777777" w:rsidR="00426A24" w:rsidRPr="00AB15C7" w:rsidRDefault="00426A24" w:rsidP="00E61124">
      <w:pPr>
        <w:widowControl w:val="0"/>
        <w:autoSpaceDE w:val="0"/>
        <w:autoSpaceDN w:val="0"/>
        <w:spacing w:after="0"/>
        <w:jc w:val="both"/>
        <w:rPr>
          <w:rFonts w:ascii="Cambria" w:hAnsi="Cambria"/>
          <w:noProof/>
          <w:color w:val="000000"/>
          <w:lang w:val="sr-Latn-ME"/>
        </w:rPr>
      </w:pPr>
      <w:r w:rsidRPr="00AB15C7">
        <w:rPr>
          <w:rFonts w:ascii="Cambria" w:hAnsi="Cambria"/>
          <w:noProof/>
          <w:color w:val="000000"/>
          <w:lang w:val="sr-Latn-ME"/>
        </w:rPr>
        <w:t xml:space="preserve">3) srednjoročne i dugoročne nacionalne strateške ciljeve; </w:t>
      </w:r>
    </w:p>
    <w:p w14:paraId="162E351E" w14:textId="77777777" w:rsidR="00426A24" w:rsidRPr="00AB15C7" w:rsidRDefault="00426A24" w:rsidP="00E61124">
      <w:pPr>
        <w:widowControl w:val="0"/>
        <w:autoSpaceDE w:val="0"/>
        <w:autoSpaceDN w:val="0"/>
        <w:spacing w:after="0"/>
        <w:jc w:val="both"/>
        <w:rPr>
          <w:rFonts w:ascii="Cambria" w:hAnsi="Cambria"/>
          <w:noProof/>
          <w:color w:val="000000"/>
          <w:lang w:val="sr-Latn-ME"/>
        </w:rPr>
      </w:pPr>
      <w:r w:rsidRPr="00AB15C7">
        <w:rPr>
          <w:rFonts w:ascii="Cambria" w:hAnsi="Cambria"/>
          <w:noProof/>
          <w:color w:val="000000"/>
          <w:lang w:val="sr-Latn-ME"/>
        </w:rPr>
        <w:t xml:space="preserve">4) prioritetne zadatke na svim područjima hemijske bezbjednosti; </w:t>
      </w:r>
    </w:p>
    <w:p w14:paraId="05B86AEA" w14:textId="77777777" w:rsidR="00426A24" w:rsidRPr="00AB15C7" w:rsidRDefault="00426A24" w:rsidP="00E61124">
      <w:pPr>
        <w:widowControl w:val="0"/>
        <w:autoSpaceDE w:val="0"/>
        <w:autoSpaceDN w:val="0"/>
        <w:spacing w:after="0"/>
        <w:jc w:val="both"/>
        <w:rPr>
          <w:rFonts w:ascii="Cambria" w:hAnsi="Cambria"/>
          <w:noProof/>
          <w:color w:val="000000"/>
          <w:lang w:val="sr-Latn-ME"/>
        </w:rPr>
      </w:pPr>
      <w:r w:rsidRPr="00AB15C7">
        <w:rPr>
          <w:rFonts w:ascii="Cambria" w:hAnsi="Cambria"/>
          <w:noProof/>
          <w:color w:val="000000"/>
          <w:lang w:val="sr-Latn-ME"/>
        </w:rPr>
        <w:t>5) akcione planove za sprovođenje Nacionalne strategije sa prioritetima i izvorima finansiranja.</w:t>
      </w:r>
    </w:p>
    <w:p w14:paraId="0EEA35AA" w14:textId="77777777" w:rsidR="000C17DD" w:rsidRPr="00AB15C7" w:rsidRDefault="00F132C4" w:rsidP="005921EF">
      <w:pPr>
        <w:pStyle w:val="NoSpacing1"/>
        <w:spacing w:line="276" w:lineRule="auto"/>
        <w:jc w:val="both"/>
        <w:rPr>
          <w:rFonts w:ascii="Cambria" w:hAnsi="Cambria"/>
          <w:noProof/>
          <w:lang w:val="sr-Latn-ME"/>
        </w:rPr>
      </w:pPr>
      <w:r w:rsidRPr="00AB15C7">
        <w:rPr>
          <w:rFonts w:ascii="Cambria" w:eastAsia="Times New Roman" w:hAnsi="Cambria"/>
          <w:noProof/>
          <w:color w:val="000000"/>
          <w:lang w:val="sr-Latn-ME"/>
        </w:rPr>
        <w:t xml:space="preserve">Godišnji izvještaj o sprovođenju </w:t>
      </w:r>
      <w:r w:rsidR="004B7500" w:rsidRPr="00AB15C7">
        <w:rPr>
          <w:rFonts w:ascii="Cambria" w:eastAsia="Times New Roman" w:hAnsi="Cambria"/>
          <w:noProof/>
          <w:color w:val="000000"/>
          <w:lang w:val="sr-Latn-ME"/>
        </w:rPr>
        <w:t>S</w:t>
      </w:r>
      <w:r w:rsidRPr="00AB15C7">
        <w:rPr>
          <w:rFonts w:ascii="Cambria" w:eastAsia="Times New Roman" w:hAnsi="Cambria"/>
          <w:noProof/>
          <w:color w:val="000000"/>
          <w:lang w:val="sr-Latn-ME"/>
        </w:rPr>
        <w:t xml:space="preserve">trategije sačinjava Ministarstvo i dostavlja Vladi na usvajanje do 31. </w:t>
      </w:r>
      <w:r w:rsidR="005B0ED4">
        <w:rPr>
          <w:rFonts w:ascii="Cambria" w:eastAsia="Times New Roman" w:hAnsi="Cambria"/>
          <w:noProof/>
          <w:color w:val="000000"/>
          <w:lang w:val="sr-Latn-ME"/>
        </w:rPr>
        <w:t>marta</w:t>
      </w:r>
      <w:r w:rsidR="00CE2243" w:rsidRPr="00AB15C7">
        <w:rPr>
          <w:rFonts w:ascii="Cambria" w:eastAsia="Times New Roman" w:hAnsi="Cambria"/>
          <w:noProof/>
          <w:color w:val="000000"/>
          <w:lang w:val="sr-Latn-ME"/>
        </w:rPr>
        <w:t xml:space="preserve"> </w:t>
      </w:r>
      <w:r w:rsidRPr="00AB15C7">
        <w:rPr>
          <w:rFonts w:ascii="Cambria" w:eastAsia="Times New Roman" w:hAnsi="Cambria"/>
          <w:noProof/>
          <w:color w:val="000000"/>
          <w:lang w:val="sr-Latn-ME"/>
        </w:rPr>
        <w:t xml:space="preserve">tekuće za prethodnu godinu. </w:t>
      </w:r>
    </w:p>
    <w:p w14:paraId="4A1981C1" w14:textId="684401B5" w:rsidR="00FA7498" w:rsidRDefault="00F132C4" w:rsidP="005921EF">
      <w:pPr>
        <w:spacing w:before="100" w:beforeAutospacing="1" w:after="100" w:afterAutospacing="1"/>
        <w:jc w:val="both"/>
        <w:rPr>
          <w:rFonts w:ascii="Cambria" w:hAnsi="Cambria"/>
          <w:noProof/>
          <w:lang w:val="sr-Latn-ME"/>
        </w:rPr>
      </w:pPr>
      <w:r w:rsidRPr="00AB15C7">
        <w:rPr>
          <w:rFonts w:ascii="Cambria" w:hAnsi="Cambria"/>
          <w:noProof/>
          <w:lang w:val="sr-Latn-ME"/>
        </w:rPr>
        <w:t>Sticanjem statusa kandidata za članstvo u Evropskoj uniji, u Crnoj Gori ubrzao se i proces preno</w:t>
      </w:r>
      <w:r w:rsidR="00D22C86" w:rsidRPr="00AB15C7">
        <w:rPr>
          <w:rFonts w:ascii="Cambria" w:hAnsi="Cambria"/>
          <w:noProof/>
          <w:lang w:val="sr-Latn-ME"/>
        </w:rPr>
        <w:t>šenja</w:t>
      </w:r>
      <w:r w:rsidRPr="00AB15C7">
        <w:rPr>
          <w:rFonts w:ascii="Cambria" w:hAnsi="Cambria"/>
          <w:noProof/>
          <w:lang w:val="sr-Latn-ME"/>
        </w:rPr>
        <w:t xml:space="preserve"> </w:t>
      </w:r>
      <w:r w:rsidR="003831C7" w:rsidRPr="00AB15C7">
        <w:rPr>
          <w:rFonts w:ascii="Cambria" w:hAnsi="Cambria"/>
          <w:noProof/>
          <w:lang w:val="sr-Latn-ME"/>
        </w:rPr>
        <w:t>D</w:t>
      </w:r>
      <w:r w:rsidRPr="00AB15C7">
        <w:rPr>
          <w:rFonts w:ascii="Cambria" w:hAnsi="Cambria"/>
          <w:noProof/>
          <w:lang w:val="sr-Latn-ME"/>
        </w:rPr>
        <w:t xml:space="preserve">irektiva i </w:t>
      </w:r>
      <w:r w:rsidR="0034598E">
        <w:rPr>
          <w:rFonts w:ascii="Cambria" w:hAnsi="Cambria"/>
          <w:noProof/>
          <w:lang w:val="sr-Latn-ME"/>
        </w:rPr>
        <w:t>Regulativa</w:t>
      </w:r>
      <w:r w:rsidRPr="00AB15C7">
        <w:rPr>
          <w:rFonts w:ascii="Cambria" w:hAnsi="Cambria"/>
          <w:noProof/>
          <w:lang w:val="sr-Latn-ME"/>
        </w:rPr>
        <w:t xml:space="preserve"> Evropske unije u crnogorsko zakonodavstvo i njihova implementacija u svim </w:t>
      </w:r>
      <w:r w:rsidR="005B0ED4">
        <w:rPr>
          <w:rFonts w:ascii="Cambria" w:hAnsi="Cambria"/>
          <w:noProof/>
          <w:lang w:val="sr-Latn-ME"/>
        </w:rPr>
        <w:t>oblastima</w:t>
      </w:r>
      <w:r w:rsidRPr="00AB15C7">
        <w:rPr>
          <w:rFonts w:ascii="Cambria" w:hAnsi="Cambria"/>
          <w:noProof/>
          <w:lang w:val="sr-Latn-ME"/>
        </w:rPr>
        <w:t xml:space="preserve">, pa i u vrlo složenom području hemijske </w:t>
      </w:r>
      <w:r w:rsidR="00D56BDC" w:rsidRPr="00AB15C7">
        <w:rPr>
          <w:rFonts w:ascii="Cambria" w:hAnsi="Cambria"/>
          <w:noProof/>
          <w:lang w:val="sr-Latn-ME"/>
        </w:rPr>
        <w:t>bezbjednosti</w:t>
      </w:r>
      <w:r w:rsidR="005B0ED4">
        <w:rPr>
          <w:rFonts w:ascii="Cambria" w:hAnsi="Cambria"/>
          <w:noProof/>
          <w:lang w:val="sr-Latn-ME"/>
        </w:rPr>
        <w:t>,</w:t>
      </w:r>
      <w:r w:rsidR="00D56BDC" w:rsidRPr="00AB15C7">
        <w:rPr>
          <w:rFonts w:ascii="Cambria" w:hAnsi="Cambria"/>
          <w:noProof/>
          <w:lang w:val="sr-Latn-ME"/>
        </w:rPr>
        <w:t xml:space="preserve"> </w:t>
      </w:r>
      <w:r w:rsidR="00426A24" w:rsidRPr="00AB15C7">
        <w:rPr>
          <w:rFonts w:ascii="Cambria" w:hAnsi="Cambria"/>
          <w:noProof/>
          <w:lang w:val="sr-Latn-ME"/>
        </w:rPr>
        <w:t xml:space="preserve">tako da je do danas </w:t>
      </w:r>
      <w:r w:rsidRPr="00AB15C7">
        <w:rPr>
          <w:rFonts w:ascii="Cambria" w:hAnsi="Cambria"/>
          <w:noProof/>
          <w:lang w:val="sr-Latn-ME"/>
        </w:rPr>
        <w:t>usvojen</w:t>
      </w:r>
      <w:r w:rsidR="00426A24" w:rsidRPr="00AB15C7">
        <w:rPr>
          <w:rFonts w:ascii="Cambria" w:hAnsi="Cambria"/>
          <w:noProof/>
          <w:lang w:val="sr-Latn-ME"/>
        </w:rPr>
        <w:t>a</w:t>
      </w:r>
      <w:r w:rsidRPr="00AB15C7">
        <w:rPr>
          <w:rFonts w:ascii="Cambria" w:hAnsi="Cambria"/>
          <w:noProof/>
          <w:lang w:val="sr-Latn-ME"/>
        </w:rPr>
        <w:t xml:space="preserve"> </w:t>
      </w:r>
      <w:r w:rsidR="008D369E" w:rsidRPr="00AB15C7">
        <w:rPr>
          <w:rFonts w:ascii="Cambria" w:hAnsi="Cambria"/>
          <w:noProof/>
          <w:lang w:val="sr-Latn-ME"/>
        </w:rPr>
        <w:t>većina</w:t>
      </w:r>
      <w:r w:rsidRPr="00AB15C7">
        <w:rPr>
          <w:rFonts w:ascii="Cambria" w:hAnsi="Cambria"/>
          <w:noProof/>
          <w:lang w:val="sr-Latn-ME"/>
        </w:rPr>
        <w:t xml:space="preserve"> zakona </w:t>
      </w:r>
      <w:r w:rsidR="008D369E" w:rsidRPr="00AB15C7">
        <w:rPr>
          <w:rFonts w:ascii="Cambria" w:hAnsi="Cambria"/>
          <w:noProof/>
          <w:lang w:val="sr-Latn-ME"/>
        </w:rPr>
        <w:t xml:space="preserve">i s njima povezanih podzakonskih akata </w:t>
      </w:r>
      <w:r w:rsidRPr="00AB15C7">
        <w:rPr>
          <w:rFonts w:ascii="Cambria" w:hAnsi="Cambria"/>
          <w:noProof/>
          <w:lang w:val="sr-Latn-ME"/>
        </w:rPr>
        <w:t>koji su važni za sistem</w:t>
      </w:r>
      <w:r w:rsidR="00696668" w:rsidRPr="00AB15C7">
        <w:rPr>
          <w:rFonts w:ascii="Cambria" w:hAnsi="Cambria"/>
          <w:noProof/>
          <w:lang w:val="sr-Latn-ME"/>
        </w:rPr>
        <w:t xml:space="preserve"> </w:t>
      </w:r>
      <w:r w:rsidR="005B0ED4">
        <w:rPr>
          <w:rFonts w:ascii="Cambria" w:hAnsi="Cambria"/>
          <w:noProof/>
          <w:lang w:val="sr-Latn-ME"/>
        </w:rPr>
        <w:t>upravljanja hemikalijama</w:t>
      </w:r>
      <w:r w:rsidR="00FA7498" w:rsidRPr="00AB15C7">
        <w:rPr>
          <w:rFonts w:ascii="Cambria" w:hAnsi="Cambria"/>
          <w:noProof/>
          <w:lang w:val="sr-Latn-ME"/>
        </w:rPr>
        <w:t>. Evropska unija preporu</w:t>
      </w:r>
      <w:r w:rsidR="00830007" w:rsidRPr="00AB15C7">
        <w:rPr>
          <w:rFonts w:ascii="Cambria" w:hAnsi="Cambria"/>
          <w:noProof/>
          <w:lang w:val="sr-Latn-ME"/>
        </w:rPr>
        <w:t>je</w:t>
      </w:r>
      <w:r w:rsidR="00FA7498" w:rsidRPr="00AB15C7">
        <w:rPr>
          <w:rFonts w:ascii="Cambria" w:hAnsi="Cambria"/>
          <w:noProof/>
          <w:lang w:val="sr-Latn-ME"/>
        </w:rPr>
        <w:t xml:space="preserve"> izradu Strategije upravljanja hemikalijama kao osnove za uspostavljanje </w:t>
      </w:r>
      <w:r w:rsidR="00FA7498" w:rsidRPr="00AB15C7">
        <w:rPr>
          <w:rFonts w:ascii="Cambria" w:hAnsi="Cambria"/>
          <w:noProof/>
          <w:lang w:val="sr-Latn-ME"/>
        </w:rPr>
        <w:lastRenderedPageBreak/>
        <w:t xml:space="preserve">integrisanog, djelotvornog i racionalnog sistema za </w:t>
      </w:r>
      <w:r w:rsidR="00D56BDC" w:rsidRPr="00AB15C7">
        <w:rPr>
          <w:rFonts w:ascii="Cambria" w:hAnsi="Cambria"/>
          <w:noProof/>
          <w:lang w:val="sr-Latn-ME"/>
        </w:rPr>
        <w:t>bezbjedno</w:t>
      </w:r>
      <w:r w:rsidR="00FA7498" w:rsidRPr="00AB15C7">
        <w:rPr>
          <w:rFonts w:ascii="Cambria" w:hAnsi="Cambria"/>
          <w:noProof/>
          <w:lang w:val="sr-Latn-ME"/>
        </w:rPr>
        <w:t xml:space="preserve"> upravljanje hemikalijama usklađenog s propisima i praksom Evropske unije. </w:t>
      </w:r>
    </w:p>
    <w:p w14:paraId="4F9393C7" w14:textId="77777777" w:rsidR="00D74244" w:rsidRPr="00AB15C7" w:rsidRDefault="00A60B70" w:rsidP="00557C13">
      <w:pPr>
        <w:pStyle w:val="NoSpacing1"/>
        <w:numPr>
          <w:ilvl w:val="0"/>
          <w:numId w:val="16"/>
        </w:numPr>
        <w:spacing w:after="120" w:line="276" w:lineRule="auto"/>
        <w:jc w:val="both"/>
        <w:rPr>
          <w:rFonts w:ascii="Cambria" w:eastAsia="Times New Roman" w:hAnsi="Cambria"/>
          <w:b/>
          <w:bCs/>
          <w:noProof/>
          <w:lang w:val="sr-Latn-CS" w:eastAsia="x-none"/>
        </w:rPr>
      </w:pPr>
      <w:r>
        <w:rPr>
          <w:rFonts w:ascii="Cambria" w:eastAsia="Times New Roman" w:hAnsi="Cambria"/>
          <w:b/>
          <w:bCs/>
          <w:noProof/>
          <w:lang w:val="sr-Latn-CS" w:eastAsia="x-none"/>
        </w:rPr>
        <w:t xml:space="preserve">Metodologija </w:t>
      </w:r>
      <w:r w:rsidR="00CF7EF9">
        <w:rPr>
          <w:rFonts w:ascii="Cambria" w:eastAsia="Times New Roman" w:hAnsi="Cambria"/>
          <w:b/>
          <w:bCs/>
          <w:noProof/>
          <w:lang w:val="sr-Latn-CS" w:eastAsia="x-none"/>
        </w:rPr>
        <w:t xml:space="preserve">i sadržina </w:t>
      </w:r>
      <w:r>
        <w:rPr>
          <w:rFonts w:ascii="Cambria" w:eastAsia="Times New Roman" w:hAnsi="Cambria"/>
          <w:b/>
          <w:bCs/>
          <w:noProof/>
          <w:lang w:val="sr-Latn-CS" w:eastAsia="x-none"/>
        </w:rPr>
        <w:t>s</w:t>
      </w:r>
      <w:r w:rsidR="00D74244" w:rsidRPr="00AB15C7">
        <w:rPr>
          <w:rFonts w:ascii="Cambria" w:eastAsia="Times New Roman" w:hAnsi="Cambria"/>
          <w:b/>
          <w:bCs/>
          <w:noProof/>
          <w:lang w:val="sr-Latn-CS" w:eastAsia="x-none"/>
        </w:rPr>
        <w:t>trategije</w:t>
      </w:r>
    </w:p>
    <w:p w14:paraId="6B992689" w14:textId="77777777" w:rsidR="00A3399A" w:rsidRPr="00AB15C7" w:rsidRDefault="00A3399A" w:rsidP="00802271">
      <w:pPr>
        <w:spacing w:after="100" w:afterAutospacing="1"/>
        <w:jc w:val="both"/>
        <w:rPr>
          <w:rFonts w:ascii="Cambria" w:hAnsi="Cambria"/>
          <w:noProof/>
          <w:lang w:val="sr-Latn-ME"/>
        </w:rPr>
      </w:pPr>
      <w:r w:rsidRPr="00AB15C7">
        <w:rPr>
          <w:rFonts w:ascii="Cambria" w:hAnsi="Cambria"/>
          <w:noProof/>
          <w:lang w:val="sr-Latn-ME"/>
        </w:rPr>
        <w:t>Nacionaln</w:t>
      </w:r>
      <w:r w:rsidR="008F3B4B" w:rsidRPr="00AB15C7">
        <w:rPr>
          <w:rFonts w:ascii="Cambria" w:hAnsi="Cambria"/>
          <w:noProof/>
          <w:lang w:val="sr-Latn-ME"/>
        </w:rPr>
        <w:t>a</w:t>
      </w:r>
      <w:r w:rsidRPr="00AB15C7">
        <w:rPr>
          <w:rFonts w:ascii="Cambria" w:hAnsi="Cambria"/>
          <w:noProof/>
          <w:lang w:val="sr-Latn-ME"/>
        </w:rPr>
        <w:t xml:space="preserve"> strategij</w:t>
      </w:r>
      <w:r w:rsidR="008F3B4B" w:rsidRPr="00AB15C7">
        <w:rPr>
          <w:rFonts w:ascii="Cambria" w:hAnsi="Cambria"/>
          <w:noProof/>
          <w:lang w:val="sr-Latn-ME"/>
        </w:rPr>
        <w:t>a</w:t>
      </w:r>
      <w:r w:rsidRPr="00AB15C7">
        <w:rPr>
          <w:rFonts w:ascii="Cambria" w:hAnsi="Cambria"/>
          <w:noProof/>
          <w:lang w:val="sr-Latn-ME"/>
        </w:rPr>
        <w:t xml:space="preserve"> upravljanja hemikalijama 2019-2022 </w:t>
      </w:r>
      <w:r w:rsidR="008F3B4B" w:rsidRPr="00AB15C7">
        <w:rPr>
          <w:rFonts w:ascii="Cambria" w:hAnsi="Cambria"/>
          <w:noProof/>
          <w:lang w:val="sr-Latn-ME"/>
        </w:rPr>
        <w:t>treba da</w:t>
      </w:r>
      <w:r w:rsidR="005B0ED4">
        <w:rPr>
          <w:rFonts w:ascii="Cambria" w:hAnsi="Cambria"/>
          <w:noProof/>
          <w:lang w:val="sr-Latn-ME"/>
        </w:rPr>
        <w:t>,</w:t>
      </w:r>
      <w:r w:rsidRPr="00AB15C7">
        <w:rPr>
          <w:rFonts w:ascii="Cambria" w:hAnsi="Cambria"/>
          <w:noProof/>
          <w:lang w:val="sr-Latn-ME"/>
        </w:rPr>
        <w:t xml:space="preserve"> na bazi opsežne analize i ocjene stanja hemijske bezbjednosti </w:t>
      </w:r>
      <w:r w:rsidR="005B0ED4">
        <w:rPr>
          <w:rFonts w:ascii="Cambria" w:hAnsi="Cambria"/>
          <w:noProof/>
          <w:lang w:val="sr-Latn-ME"/>
        </w:rPr>
        <w:t xml:space="preserve">u Crnoj Gori, </w:t>
      </w:r>
      <w:r w:rsidRPr="00AB15C7">
        <w:rPr>
          <w:rFonts w:ascii="Cambria" w:hAnsi="Cambria"/>
          <w:noProof/>
          <w:lang w:val="sr-Latn-ME"/>
        </w:rPr>
        <w:t xml:space="preserve">utvrdi glavne strateške pravce i mjere za </w:t>
      </w:r>
      <w:r w:rsidR="00373259">
        <w:rPr>
          <w:rFonts w:ascii="Cambria" w:hAnsi="Cambria"/>
          <w:noProof/>
          <w:lang w:val="sr-Latn-ME"/>
        </w:rPr>
        <w:t>razvoj</w:t>
      </w:r>
      <w:r w:rsidRPr="00AB15C7">
        <w:rPr>
          <w:rFonts w:ascii="Cambria" w:hAnsi="Cambria"/>
          <w:noProof/>
          <w:lang w:val="sr-Latn-ME"/>
        </w:rPr>
        <w:t xml:space="preserve"> racionalnog, djelotvornog, dinamičnog i integrisanog sistema upravljanja hemikalijama u Crnoj Gori, koji će biti u potpunosti usaglašen sa zakonodavstvom i praksom Evropske unije i kroz međuresornu saradnju </w:t>
      </w:r>
      <w:r w:rsidR="005B0ED4">
        <w:rPr>
          <w:rFonts w:ascii="Cambria" w:hAnsi="Cambria"/>
          <w:noProof/>
          <w:lang w:val="sr-Latn-ME"/>
        </w:rPr>
        <w:t>obezbjedi</w:t>
      </w:r>
      <w:r w:rsidRPr="00AB15C7">
        <w:rPr>
          <w:rFonts w:ascii="Cambria" w:hAnsi="Cambria"/>
          <w:noProof/>
          <w:lang w:val="sr-Latn-ME"/>
        </w:rPr>
        <w:t xml:space="preserve"> ravnomjeran razvoj svih aspekata zaštite zdravlja i životne sredine od štetnih uticaja hemikalija</w:t>
      </w:r>
      <w:r w:rsidR="005B0ED4">
        <w:rPr>
          <w:rFonts w:ascii="Cambria" w:hAnsi="Cambria"/>
          <w:noProof/>
          <w:lang w:val="sr-Latn-ME"/>
        </w:rPr>
        <w:t>,</w:t>
      </w:r>
      <w:r w:rsidRPr="00AB15C7">
        <w:rPr>
          <w:rFonts w:ascii="Cambria" w:hAnsi="Cambria"/>
          <w:noProof/>
          <w:lang w:val="sr-Latn-ME"/>
        </w:rPr>
        <w:t xml:space="preserve"> uz odgovarajuću nadogradnju postojećih sistema. </w:t>
      </w:r>
    </w:p>
    <w:p w14:paraId="55BFCE53" w14:textId="6AAF92BF" w:rsidR="00A3399A" w:rsidRPr="00AB15C7" w:rsidRDefault="00A3399A" w:rsidP="005921EF">
      <w:pPr>
        <w:spacing w:before="100" w:beforeAutospacing="1" w:after="100" w:afterAutospacing="1"/>
        <w:jc w:val="both"/>
        <w:rPr>
          <w:rFonts w:ascii="Cambria" w:hAnsi="Cambria"/>
          <w:noProof/>
          <w:lang w:val="sr-Latn-ME"/>
        </w:rPr>
      </w:pPr>
      <w:r w:rsidRPr="00AB15C7">
        <w:rPr>
          <w:rFonts w:ascii="Cambria" w:hAnsi="Cambria"/>
          <w:noProof/>
          <w:lang w:val="sr-Latn-ME"/>
        </w:rPr>
        <w:t>Evropska unija je u području be</w:t>
      </w:r>
      <w:r w:rsidR="001C0C23" w:rsidRPr="00AB15C7">
        <w:rPr>
          <w:rFonts w:ascii="Cambria" w:hAnsi="Cambria"/>
          <w:noProof/>
          <w:lang w:val="sr-Latn-ME"/>
        </w:rPr>
        <w:t>z</w:t>
      </w:r>
      <w:r w:rsidRPr="00AB15C7">
        <w:rPr>
          <w:rFonts w:ascii="Cambria" w:hAnsi="Cambria"/>
          <w:noProof/>
          <w:lang w:val="sr-Latn-ME"/>
        </w:rPr>
        <w:t>bjednog upravljanja hemikalijama utvrdila nekoliko ciljeva. Primarni cilj je zaštita zdravlja</w:t>
      </w:r>
      <w:r w:rsidR="00A13E77">
        <w:rPr>
          <w:rFonts w:ascii="Cambria" w:hAnsi="Cambria"/>
          <w:noProof/>
          <w:lang w:val="sr-Latn-ME"/>
        </w:rPr>
        <w:t xml:space="preserve"> ljudi</w:t>
      </w:r>
      <w:r w:rsidRPr="00AB15C7">
        <w:rPr>
          <w:rFonts w:ascii="Cambria" w:hAnsi="Cambria"/>
          <w:noProof/>
          <w:lang w:val="sr-Latn-ME"/>
        </w:rPr>
        <w:t xml:space="preserve"> i životne sredine od štetnih uticaja hemikalija. Drugi cilj je </w:t>
      </w:r>
      <w:r w:rsidR="00A60B70" w:rsidRPr="00AB15C7">
        <w:rPr>
          <w:rFonts w:ascii="Cambria" w:hAnsi="Cambria"/>
          <w:noProof/>
          <w:lang w:val="sr-Latn-ME"/>
        </w:rPr>
        <w:t>izgrad</w:t>
      </w:r>
      <w:r w:rsidR="00A60B70">
        <w:rPr>
          <w:rFonts w:ascii="Cambria" w:hAnsi="Cambria"/>
          <w:noProof/>
          <w:lang w:val="sr-Latn-ME"/>
        </w:rPr>
        <w:t xml:space="preserve">nja </w:t>
      </w:r>
      <w:r w:rsidR="00A60B70" w:rsidRPr="00AB15C7">
        <w:rPr>
          <w:rFonts w:ascii="Cambria" w:hAnsi="Cambria"/>
          <w:noProof/>
          <w:lang w:val="sr-Latn-ME"/>
        </w:rPr>
        <w:t>zajedničko</w:t>
      </w:r>
      <w:r w:rsidR="00A60B70">
        <w:rPr>
          <w:rFonts w:ascii="Cambria" w:hAnsi="Cambria"/>
          <w:noProof/>
          <w:lang w:val="sr-Latn-ME"/>
        </w:rPr>
        <w:t>g</w:t>
      </w:r>
      <w:r w:rsidR="00A60B70" w:rsidRPr="00AB15C7">
        <w:rPr>
          <w:rFonts w:ascii="Cambria" w:hAnsi="Cambria"/>
          <w:noProof/>
          <w:lang w:val="sr-Latn-ME"/>
        </w:rPr>
        <w:t xml:space="preserve"> tržišt</w:t>
      </w:r>
      <w:r w:rsidR="00A60B70">
        <w:rPr>
          <w:rFonts w:ascii="Cambria" w:hAnsi="Cambria"/>
          <w:noProof/>
          <w:lang w:val="sr-Latn-ME"/>
        </w:rPr>
        <w:t xml:space="preserve">a </w:t>
      </w:r>
      <w:r w:rsidR="00A60B70" w:rsidRPr="00AB15C7">
        <w:rPr>
          <w:rFonts w:ascii="Cambria" w:hAnsi="Cambria"/>
          <w:noProof/>
          <w:lang w:val="sr-Latn-ME"/>
        </w:rPr>
        <w:t xml:space="preserve">u </w:t>
      </w:r>
      <w:r w:rsidR="00A60B70">
        <w:rPr>
          <w:rFonts w:ascii="Cambria" w:hAnsi="Cambria"/>
          <w:noProof/>
          <w:lang w:val="sr-Latn-ME"/>
        </w:rPr>
        <w:t>pogledu</w:t>
      </w:r>
      <w:r w:rsidR="00A60B70" w:rsidRPr="00AB15C7">
        <w:rPr>
          <w:rFonts w:ascii="Cambria" w:hAnsi="Cambria"/>
          <w:noProof/>
          <w:lang w:val="sr-Latn-ME"/>
        </w:rPr>
        <w:t xml:space="preserve"> hemikalija</w:t>
      </w:r>
      <w:r w:rsidR="00A60B70">
        <w:rPr>
          <w:rFonts w:ascii="Cambria" w:hAnsi="Cambria"/>
          <w:noProof/>
          <w:lang w:val="sr-Latn-ME"/>
        </w:rPr>
        <w:t xml:space="preserve"> kroz</w:t>
      </w:r>
      <w:r w:rsidR="00A60B70" w:rsidRPr="00AB15C7">
        <w:rPr>
          <w:rFonts w:ascii="Cambria" w:hAnsi="Cambria"/>
          <w:noProof/>
          <w:lang w:val="sr-Latn-ME"/>
        </w:rPr>
        <w:t xml:space="preserve"> </w:t>
      </w:r>
      <w:r w:rsidRPr="00AB15C7">
        <w:rPr>
          <w:rFonts w:ascii="Cambria" w:hAnsi="Cambria"/>
          <w:noProof/>
          <w:lang w:val="sr-Latn-ME"/>
        </w:rPr>
        <w:t xml:space="preserve">usklađivanje zakonodavstva država članica. Treći cilj je </w:t>
      </w:r>
      <w:r w:rsidR="00A60B70">
        <w:rPr>
          <w:rFonts w:ascii="Cambria" w:hAnsi="Cambria"/>
          <w:noProof/>
          <w:lang w:val="sr-Latn-ME"/>
        </w:rPr>
        <w:t>ostvarivanje principa</w:t>
      </w:r>
      <w:r w:rsidR="00A60B70" w:rsidRPr="00AB15C7">
        <w:rPr>
          <w:rFonts w:ascii="Cambria" w:hAnsi="Cambria"/>
          <w:noProof/>
          <w:lang w:val="sr-Latn-ME"/>
        </w:rPr>
        <w:t xml:space="preserve"> </w:t>
      </w:r>
      <w:r w:rsidRPr="00AB15C7">
        <w:rPr>
          <w:rFonts w:ascii="Cambria" w:hAnsi="Cambria"/>
          <w:noProof/>
          <w:lang w:val="sr-Latn-ME"/>
        </w:rPr>
        <w:t>održiv</w:t>
      </w:r>
      <w:r w:rsidR="00A60B70">
        <w:rPr>
          <w:rFonts w:ascii="Cambria" w:hAnsi="Cambria"/>
          <w:noProof/>
          <w:lang w:val="sr-Latn-ME"/>
        </w:rPr>
        <w:t>og</w:t>
      </w:r>
      <w:r w:rsidRPr="00AB15C7">
        <w:rPr>
          <w:rFonts w:ascii="Cambria" w:hAnsi="Cambria"/>
          <w:noProof/>
          <w:lang w:val="sr-Latn-ME"/>
        </w:rPr>
        <w:t xml:space="preserve"> razvoj</w:t>
      </w:r>
      <w:r w:rsidR="00A60B70">
        <w:rPr>
          <w:rFonts w:ascii="Cambria" w:hAnsi="Cambria"/>
          <w:noProof/>
          <w:lang w:val="sr-Latn-ME"/>
        </w:rPr>
        <w:t xml:space="preserve">a u </w:t>
      </w:r>
      <w:r w:rsidRPr="00AB15C7">
        <w:rPr>
          <w:rFonts w:ascii="Cambria" w:hAnsi="Cambria"/>
          <w:noProof/>
          <w:lang w:val="sr-Latn-ME"/>
        </w:rPr>
        <w:t>držav</w:t>
      </w:r>
      <w:r w:rsidR="00A60B70">
        <w:rPr>
          <w:rFonts w:ascii="Cambria" w:hAnsi="Cambria"/>
          <w:noProof/>
          <w:lang w:val="sr-Latn-ME"/>
        </w:rPr>
        <w:t>ama</w:t>
      </w:r>
      <w:r w:rsidRPr="00AB15C7">
        <w:rPr>
          <w:rFonts w:ascii="Cambria" w:hAnsi="Cambria"/>
          <w:noProof/>
          <w:lang w:val="sr-Latn-ME"/>
        </w:rPr>
        <w:t xml:space="preserve"> članica</w:t>
      </w:r>
      <w:r w:rsidR="00A60B70">
        <w:rPr>
          <w:rFonts w:ascii="Cambria" w:hAnsi="Cambria"/>
          <w:noProof/>
          <w:lang w:val="sr-Latn-ME"/>
        </w:rPr>
        <w:t xml:space="preserve">ma i na nivou </w:t>
      </w:r>
      <w:r w:rsidRPr="00AB15C7">
        <w:rPr>
          <w:rFonts w:ascii="Cambria" w:hAnsi="Cambria"/>
          <w:noProof/>
          <w:lang w:val="sr-Latn-ME"/>
        </w:rPr>
        <w:t>Evropske unije</w:t>
      </w:r>
      <w:r w:rsidR="005B0ED4">
        <w:rPr>
          <w:rFonts w:ascii="Cambria" w:hAnsi="Cambria"/>
          <w:noProof/>
          <w:lang w:val="sr-Latn-ME"/>
        </w:rPr>
        <w:t xml:space="preserve"> uz podsticanje razvoja bez</w:t>
      </w:r>
      <w:r w:rsidR="00A60B70">
        <w:rPr>
          <w:rFonts w:ascii="Cambria" w:hAnsi="Cambria"/>
          <w:noProof/>
          <w:lang w:val="sr-Latn-ME"/>
        </w:rPr>
        <w:t>b</w:t>
      </w:r>
      <w:r w:rsidR="005B0ED4">
        <w:rPr>
          <w:rFonts w:ascii="Cambria" w:hAnsi="Cambria"/>
          <w:noProof/>
          <w:lang w:val="sr-Latn-ME"/>
        </w:rPr>
        <w:t>jednijih alternativa</w:t>
      </w:r>
      <w:r w:rsidRPr="00AB15C7">
        <w:rPr>
          <w:rFonts w:ascii="Cambria" w:hAnsi="Cambria"/>
          <w:noProof/>
          <w:lang w:val="sr-Latn-ME"/>
        </w:rPr>
        <w:t xml:space="preserve">. Ti se ciljevi postižu kroz </w:t>
      </w:r>
      <w:r w:rsidR="00A60B70">
        <w:rPr>
          <w:rFonts w:ascii="Cambria" w:hAnsi="Cambria"/>
          <w:noProof/>
          <w:lang w:val="sr-Latn-ME"/>
        </w:rPr>
        <w:t xml:space="preserve">jedinstveno </w:t>
      </w:r>
      <w:r w:rsidRPr="00AB15C7">
        <w:rPr>
          <w:rFonts w:ascii="Cambria" w:hAnsi="Cambria"/>
          <w:noProof/>
          <w:lang w:val="sr-Latn-ME"/>
        </w:rPr>
        <w:t xml:space="preserve">zakonodavstvo Evropske unije, odnosno </w:t>
      </w:r>
      <w:r w:rsidR="00A60B70" w:rsidRPr="00AB15C7">
        <w:rPr>
          <w:rFonts w:ascii="Cambria" w:hAnsi="Cambria"/>
          <w:noProof/>
          <w:lang w:val="sr-Latn-ME"/>
        </w:rPr>
        <w:t>zajedničk</w:t>
      </w:r>
      <w:r w:rsidR="00A60B70">
        <w:rPr>
          <w:rFonts w:ascii="Cambria" w:hAnsi="Cambria"/>
          <w:noProof/>
          <w:lang w:val="sr-Latn-ME"/>
        </w:rPr>
        <w:t>u</w:t>
      </w:r>
      <w:r w:rsidR="00A60B70" w:rsidRPr="00AB15C7">
        <w:rPr>
          <w:rFonts w:ascii="Cambria" w:hAnsi="Cambria"/>
          <w:noProof/>
          <w:lang w:val="sr-Latn-ME"/>
        </w:rPr>
        <w:t xml:space="preserve"> </w:t>
      </w:r>
      <w:r w:rsidRPr="00AB15C7">
        <w:rPr>
          <w:rFonts w:ascii="Cambria" w:hAnsi="Cambria"/>
          <w:noProof/>
          <w:lang w:val="sr-Latn-ME"/>
        </w:rPr>
        <w:t>pravnu tekovinu</w:t>
      </w:r>
      <w:r w:rsidR="00A60B70">
        <w:rPr>
          <w:rFonts w:ascii="Cambria" w:hAnsi="Cambria"/>
          <w:noProof/>
          <w:lang w:val="sr-Latn-ME"/>
        </w:rPr>
        <w:t xml:space="preserve"> u oblasti hemikalija</w:t>
      </w:r>
      <w:r w:rsidRPr="00AB15C7">
        <w:rPr>
          <w:rFonts w:ascii="Cambria" w:hAnsi="Cambria"/>
          <w:noProof/>
          <w:lang w:val="sr-Latn-ME"/>
        </w:rPr>
        <w:t>.</w:t>
      </w:r>
      <w:r w:rsidR="007B5C7E">
        <w:rPr>
          <w:rFonts w:ascii="Cambria" w:hAnsi="Cambria"/>
          <w:noProof/>
          <w:lang w:val="sr-Latn-ME"/>
        </w:rPr>
        <w:t xml:space="preserve"> </w:t>
      </w:r>
      <w:r w:rsidRPr="00AB15C7">
        <w:rPr>
          <w:rFonts w:ascii="Cambria" w:hAnsi="Cambria"/>
          <w:noProof/>
          <w:lang w:val="sr-Latn-ME"/>
        </w:rPr>
        <w:t xml:space="preserve">Imajući u vidu status Crne Gore kao države kandidata za članstvo u Evropskoj uniji, jedan od prioriteta je i </w:t>
      </w:r>
      <w:r w:rsidR="00A60B70">
        <w:rPr>
          <w:rFonts w:ascii="Cambria" w:hAnsi="Cambria"/>
          <w:noProof/>
          <w:lang w:val="sr-Latn-ME"/>
        </w:rPr>
        <w:t xml:space="preserve">postizanje visokog </w:t>
      </w:r>
      <w:r w:rsidRPr="00AB15C7">
        <w:rPr>
          <w:rFonts w:ascii="Cambria" w:hAnsi="Cambria"/>
          <w:noProof/>
          <w:lang w:val="sr-Latn-ME"/>
        </w:rPr>
        <w:t>stepen</w:t>
      </w:r>
      <w:r w:rsidR="00A60B70">
        <w:rPr>
          <w:rFonts w:ascii="Cambria" w:hAnsi="Cambria"/>
          <w:noProof/>
          <w:lang w:val="sr-Latn-ME"/>
        </w:rPr>
        <w:t>a</w:t>
      </w:r>
      <w:r w:rsidRPr="00AB15C7">
        <w:rPr>
          <w:rFonts w:ascii="Cambria" w:hAnsi="Cambria"/>
          <w:noProof/>
          <w:lang w:val="sr-Latn-ME"/>
        </w:rPr>
        <w:t xml:space="preserve"> usklađenosti zakonodavstva i prakse </w:t>
      </w:r>
      <w:r w:rsidR="00E51E8D" w:rsidRPr="00AB15C7">
        <w:rPr>
          <w:rFonts w:ascii="Cambria" w:hAnsi="Cambria"/>
          <w:noProof/>
          <w:lang w:val="sr-Latn-ME"/>
        </w:rPr>
        <w:t xml:space="preserve">u upravljanju hemikalijama </w:t>
      </w:r>
      <w:r w:rsidR="00A60B70">
        <w:rPr>
          <w:rFonts w:ascii="Cambria" w:hAnsi="Cambria"/>
          <w:noProof/>
          <w:lang w:val="sr-Latn-ME"/>
        </w:rPr>
        <w:t>sa EU</w:t>
      </w:r>
      <w:r w:rsidRPr="00AB15C7">
        <w:rPr>
          <w:rFonts w:ascii="Cambria" w:hAnsi="Cambria"/>
          <w:noProof/>
          <w:lang w:val="sr-Latn-ME"/>
        </w:rPr>
        <w:t xml:space="preserve">. </w:t>
      </w:r>
    </w:p>
    <w:p w14:paraId="3A5B2FBA" w14:textId="46648CC4" w:rsidR="00A3399A" w:rsidRPr="00AB15C7" w:rsidRDefault="00A3399A" w:rsidP="00A13E77">
      <w:pPr>
        <w:pStyle w:val="NoSpacing1"/>
        <w:spacing w:line="276" w:lineRule="auto"/>
        <w:jc w:val="both"/>
        <w:rPr>
          <w:rFonts w:ascii="Cambria" w:hAnsi="Cambria"/>
          <w:noProof/>
          <w:lang w:val="sr-Latn-ME"/>
        </w:rPr>
      </w:pPr>
      <w:r w:rsidRPr="00AB15C7">
        <w:rPr>
          <w:rFonts w:ascii="Cambria" w:hAnsi="Cambria"/>
          <w:noProof/>
          <w:lang w:val="sr-Latn-ME"/>
        </w:rPr>
        <w:t xml:space="preserve">Prilikom izrade </w:t>
      </w:r>
      <w:r w:rsidR="00A60B70">
        <w:rPr>
          <w:rFonts w:ascii="Cambria" w:hAnsi="Cambria"/>
          <w:noProof/>
          <w:lang w:val="sr-Latn-ME"/>
        </w:rPr>
        <w:t>Nacionalne s</w:t>
      </w:r>
      <w:r w:rsidRPr="00AB15C7">
        <w:rPr>
          <w:rFonts w:ascii="Cambria" w:hAnsi="Cambria"/>
          <w:noProof/>
          <w:lang w:val="sr-Latn-ME"/>
        </w:rPr>
        <w:t xml:space="preserve">trategije upravljanja hemikalijama imalo se na umu da </w:t>
      </w:r>
      <w:r w:rsidR="00440908">
        <w:rPr>
          <w:rFonts w:ascii="Cambria" w:hAnsi="Cambria"/>
          <w:noProof/>
          <w:lang w:val="sr-Latn-ME"/>
        </w:rPr>
        <w:t>je</w:t>
      </w:r>
      <w:r w:rsidRPr="00AB15C7">
        <w:rPr>
          <w:rFonts w:ascii="Cambria" w:hAnsi="Cambria"/>
          <w:noProof/>
          <w:lang w:val="sr-Latn-ME"/>
        </w:rPr>
        <w:t xml:space="preserve"> odgovornost za različite aspekte zaštite zdravlja</w:t>
      </w:r>
      <w:r w:rsidR="00A60B70">
        <w:rPr>
          <w:rFonts w:ascii="Cambria" w:hAnsi="Cambria"/>
          <w:noProof/>
          <w:lang w:val="sr-Latn-ME"/>
        </w:rPr>
        <w:t xml:space="preserve"> ljudi i životne sredine</w:t>
      </w:r>
      <w:r w:rsidRPr="00AB15C7">
        <w:rPr>
          <w:rFonts w:ascii="Cambria" w:hAnsi="Cambria"/>
          <w:noProof/>
          <w:lang w:val="sr-Latn-ME"/>
        </w:rPr>
        <w:t xml:space="preserve"> od eventualnih štetnih efekata hemikalija </w:t>
      </w:r>
      <w:r w:rsidR="002240B7">
        <w:rPr>
          <w:rFonts w:ascii="Cambria" w:hAnsi="Cambria"/>
          <w:noProof/>
          <w:lang w:val="sr-Latn-ME"/>
        </w:rPr>
        <w:t xml:space="preserve">obrađena </w:t>
      </w:r>
      <w:r w:rsidRPr="00AB15C7">
        <w:rPr>
          <w:rFonts w:ascii="Cambria" w:hAnsi="Cambria"/>
          <w:noProof/>
          <w:lang w:val="sr-Latn-ME"/>
        </w:rPr>
        <w:t xml:space="preserve">u različitim poglavljima </w:t>
      </w:r>
      <w:r w:rsidR="00A60B70">
        <w:rPr>
          <w:rFonts w:ascii="Cambria" w:hAnsi="Cambria"/>
          <w:noProof/>
          <w:lang w:val="sr-Latn-ME"/>
        </w:rPr>
        <w:t>p</w:t>
      </w:r>
      <w:r w:rsidRPr="00AB15C7">
        <w:rPr>
          <w:rFonts w:ascii="Cambria" w:hAnsi="Cambria"/>
          <w:noProof/>
          <w:lang w:val="sr-Latn-ME"/>
        </w:rPr>
        <w:t>ravne tekovine Evropske unije</w:t>
      </w:r>
      <w:r w:rsidR="00A04DA1" w:rsidRPr="00AB15C7">
        <w:rPr>
          <w:rFonts w:ascii="Cambria" w:hAnsi="Cambria"/>
          <w:noProof/>
          <w:lang w:val="sr-Latn-ME"/>
        </w:rPr>
        <w:t xml:space="preserve">, i to </w:t>
      </w:r>
      <w:r w:rsidR="00A60B70">
        <w:rPr>
          <w:rFonts w:ascii="Cambria" w:hAnsi="Cambria"/>
          <w:noProof/>
          <w:lang w:val="sr-Latn-ME"/>
        </w:rPr>
        <w:t xml:space="preserve">primarno u </w:t>
      </w:r>
      <w:r w:rsidR="00A04DA1" w:rsidRPr="00AB15C7">
        <w:rPr>
          <w:rFonts w:ascii="Cambria" w:hAnsi="Cambria"/>
          <w:noProof/>
          <w:lang w:val="sr-Latn-ME"/>
        </w:rPr>
        <w:t>poglavlj</w:t>
      </w:r>
      <w:r w:rsidR="00A60B70">
        <w:rPr>
          <w:rFonts w:ascii="Cambria" w:hAnsi="Cambria"/>
          <w:noProof/>
          <w:lang w:val="sr-Latn-ME"/>
        </w:rPr>
        <w:t>u</w:t>
      </w:r>
      <w:r w:rsidR="00A04DA1" w:rsidRPr="00AB15C7">
        <w:rPr>
          <w:rFonts w:ascii="Cambria" w:hAnsi="Cambria"/>
          <w:noProof/>
          <w:lang w:val="sr-Latn-ME"/>
        </w:rPr>
        <w:t xml:space="preserve"> 27. koje se odnosi na zaštitu životne sredine, ali i </w:t>
      </w:r>
      <w:r w:rsidR="00A60B70">
        <w:rPr>
          <w:rFonts w:ascii="Cambria" w:hAnsi="Cambria"/>
          <w:noProof/>
          <w:lang w:val="sr-Latn-ME"/>
        </w:rPr>
        <w:t xml:space="preserve">u </w:t>
      </w:r>
      <w:r w:rsidR="00A04DA1" w:rsidRPr="00AB15C7">
        <w:rPr>
          <w:rFonts w:ascii="Cambria" w:hAnsi="Cambria"/>
          <w:noProof/>
          <w:lang w:val="sr-Latn-ME"/>
        </w:rPr>
        <w:t>poglavlj</w:t>
      </w:r>
      <w:r w:rsidR="00A60B70">
        <w:rPr>
          <w:rFonts w:ascii="Cambria" w:hAnsi="Cambria"/>
          <w:noProof/>
          <w:lang w:val="sr-Latn-ME"/>
        </w:rPr>
        <w:t>u</w:t>
      </w:r>
      <w:r w:rsidR="00A04DA1" w:rsidRPr="00AB15C7">
        <w:rPr>
          <w:rFonts w:ascii="Cambria" w:hAnsi="Cambria"/>
          <w:noProof/>
          <w:lang w:val="sr-Latn-ME"/>
        </w:rPr>
        <w:t xml:space="preserve"> 1. (Sloboda kretanja robe), poglavlj</w:t>
      </w:r>
      <w:r w:rsidR="00A60B70">
        <w:rPr>
          <w:rFonts w:ascii="Cambria" w:hAnsi="Cambria"/>
          <w:noProof/>
          <w:lang w:val="sr-Latn-ME"/>
        </w:rPr>
        <w:t>u</w:t>
      </w:r>
      <w:r w:rsidR="00A04DA1" w:rsidRPr="00AB15C7">
        <w:rPr>
          <w:rFonts w:ascii="Cambria" w:hAnsi="Cambria"/>
          <w:noProof/>
          <w:lang w:val="sr-Latn-ME"/>
        </w:rPr>
        <w:t xml:space="preserve"> 12. (Bezbjednost hrane, veterinarstvo </w:t>
      </w:r>
      <w:r w:rsidR="00A60B70">
        <w:rPr>
          <w:rFonts w:ascii="Cambria" w:hAnsi="Cambria"/>
          <w:noProof/>
          <w:lang w:val="sr-Latn-ME"/>
        </w:rPr>
        <w:t>i</w:t>
      </w:r>
      <w:r w:rsidR="00A04DA1" w:rsidRPr="00AB15C7">
        <w:rPr>
          <w:rFonts w:ascii="Cambria" w:hAnsi="Cambria"/>
          <w:noProof/>
          <w:lang w:val="sr-Latn-ME"/>
        </w:rPr>
        <w:t xml:space="preserve"> fitosanitarni nadzor) i poglavlj</w:t>
      </w:r>
      <w:r w:rsidR="00A60B70">
        <w:rPr>
          <w:rFonts w:ascii="Cambria" w:hAnsi="Cambria"/>
          <w:noProof/>
          <w:lang w:val="sr-Latn-ME"/>
        </w:rPr>
        <w:t>u</w:t>
      </w:r>
      <w:r w:rsidR="00A04DA1" w:rsidRPr="00AB15C7">
        <w:rPr>
          <w:rFonts w:ascii="Cambria" w:hAnsi="Cambria"/>
          <w:noProof/>
          <w:lang w:val="sr-Latn-ME"/>
        </w:rPr>
        <w:t xml:space="preserve"> 28. (</w:t>
      </w:r>
      <w:r w:rsidR="00A04DA1" w:rsidRPr="00AB15C7">
        <w:rPr>
          <w:rFonts w:ascii="Cambria" w:hAnsi="Cambria"/>
          <w:noProof/>
        </w:rPr>
        <w:t>Zaštita potrošača i zdravlja</w:t>
      </w:r>
      <w:r w:rsidR="00A04DA1" w:rsidRPr="00AB15C7">
        <w:rPr>
          <w:rFonts w:ascii="Cambria" w:hAnsi="Cambria"/>
          <w:noProof/>
          <w:lang w:val="sr-Latn-ME"/>
        </w:rPr>
        <w:t>).</w:t>
      </w:r>
      <w:r w:rsidR="00A13E77">
        <w:rPr>
          <w:rFonts w:ascii="Cambria" w:hAnsi="Cambria"/>
          <w:noProof/>
          <w:lang w:val="sr-Latn-ME"/>
        </w:rPr>
        <w:t xml:space="preserve"> Z</w:t>
      </w:r>
      <w:r w:rsidRPr="00AB15C7">
        <w:rPr>
          <w:rFonts w:ascii="Cambria" w:hAnsi="Cambria"/>
          <w:noProof/>
          <w:lang w:val="sr-Latn-ME"/>
        </w:rPr>
        <w:t xml:space="preserve">bog svega navedenog, u opštem pristupu </w:t>
      </w:r>
      <w:r w:rsidR="002240B7">
        <w:rPr>
          <w:rFonts w:ascii="Cambria" w:hAnsi="Cambria"/>
          <w:noProof/>
          <w:lang w:val="sr-Latn-ME"/>
        </w:rPr>
        <w:t>analize</w:t>
      </w:r>
      <w:r w:rsidR="00A13E77">
        <w:rPr>
          <w:rFonts w:ascii="Cambria" w:hAnsi="Cambria"/>
          <w:noProof/>
          <w:lang w:val="sr-Latn-ME"/>
        </w:rPr>
        <w:t xml:space="preserve"> stanja i utvrđivanju daljih aktivnosti za unaprijeđenje </w:t>
      </w:r>
      <w:r w:rsidR="00440908">
        <w:rPr>
          <w:rFonts w:ascii="Cambria" w:hAnsi="Cambria"/>
          <w:noProof/>
          <w:lang w:val="sr-Latn-ME"/>
        </w:rPr>
        <w:t>sistema upravljanja hemikalijama</w:t>
      </w:r>
      <w:r w:rsidRPr="00AB15C7">
        <w:rPr>
          <w:rFonts w:ascii="Cambria" w:hAnsi="Cambria"/>
          <w:noProof/>
          <w:lang w:val="sr-Latn-ME"/>
        </w:rPr>
        <w:t xml:space="preserve"> </w:t>
      </w:r>
      <w:r w:rsidR="002240B7">
        <w:rPr>
          <w:rFonts w:ascii="Cambria" w:hAnsi="Cambria"/>
          <w:noProof/>
          <w:lang w:val="sr-Latn-ME"/>
        </w:rPr>
        <w:t>u okviru</w:t>
      </w:r>
      <w:r w:rsidRPr="00AB15C7">
        <w:rPr>
          <w:rFonts w:ascii="Cambria" w:hAnsi="Cambria"/>
          <w:noProof/>
          <w:lang w:val="sr-Latn-ME"/>
        </w:rPr>
        <w:t xml:space="preserve"> </w:t>
      </w:r>
      <w:r w:rsidR="00440908">
        <w:rPr>
          <w:rFonts w:ascii="Cambria" w:hAnsi="Cambria"/>
          <w:noProof/>
          <w:lang w:val="sr-Latn-ME"/>
        </w:rPr>
        <w:t>ove s</w:t>
      </w:r>
      <w:r w:rsidRPr="00AB15C7">
        <w:rPr>
          <w:rFonts w:ascii="Cambria" w:hAnsi="Cambria"/>
          <w:noProof/>
          <w:lang w:val="sr-Latn-ME"/>
        </w:rPr>
        <w:t>trategije</w:t>
      </w:r>
      <w:r w:rsidR="002240B7">
        <w:rPr>
          <w:rFonts w:ascii="Cambria" w:hAnsi="Cambria"/>
          <w:noProof/>
          <w:lang w:val="sr-Latn-ME"/>
        </w:rPr>
        <w:t xml:space="preserve">, </w:t>
      </w:r>
      <w:r w:rsidRPr="00AB15C7">
        <w:rPr>
          <w:rFonts w:ascii="Cambria" w:hAnsi="Cambria"/>
          <w:noProof/>
          <w:lang w:val="sr-Latn-ME"/>
        </w:rPr>
        <w:t xml:space="preserve"> pristupni proces Crne Gore Evropskoj uniji</w:t>
      </w:r>
      <w:r w:rsidR="002240B7">
        <w:rPr>
          <w:rFonts w:ascii="Cambria" w:hAnsi="Cambria"/>
          <w:noProof/>
          <w:lang w:val="sr-Latn-ME"/>
        </w:rPr>
        <w:t xml:space="preserve"> i s njime povezane aktivnosti predstavljale su veoma značajan aspekt</w:t>
      </w:r>
      <w:r w:rsidRPr="00AB15C7">
        <w:rPr>
          <w:rFonts w:ascii="Cambria" w:hAnsi="Cambria"/>
          <w:noProof/>
          <w:lang w:val="sr-Latn-ME"/>
        </w:rPr>
        <w:t>.</w:t>
      </w:r>
    </w:p>
    <w:p w14:paraId="4FB88D55" w14:textId="504308CE" w:rsidR="00436256" w:rsidRDefault="00A3399A" w:rsidP="00436256">
      <w:pPr>
        <w:spacing w:before="100" w:beforeAutospacing="1" w:after="100" w:afterAutospacing="1"/>
        <w:jc w:val="both"/>
        <w:rPr>
          <w:rFonts w:ascii="Cambria" w:hAnsi="Cambria"/>
          <w:noProof/>
          <w:lang w:val="sr-Latn-ME"/>
        </w:rPr>
      </w:pPr>
      <w:r w:rsidRPr="00AB15C7">
        <w:rPr>
          <w:rFonts w:ascii="Cambria" w:hAnsi="Cambria"/>
          <w:noProof/>
          <w:lang w:val="sr-Latn-ME"/>
        </w:rPr>
        <w:t>Shvatanje hemijske bezbjednosti (</w:t>
      </w:r>
      <w:r w:rsidRPr="00AB15C7">
        <w:rPr>
          <w:rFonts w:ascii="Cambria" w:hAnsi="Cambria"/>
          <w:i/>
          <w:noProof/>
          <w:lang w:val="sr-Latn-ME"/>
        </w:rPr>
        <w:t>eng. Chemical Safety</w:t>
      </w:r>
      <w:r w:rsidRPr="00AB15C7">
        <w:rPr>
          <w:rFonts w:ascii="Cambria" w:hAnsi="Cambria"/>
          <w:noProof/>
          <w:lang w:val="sr-Latn-ME"/>
        </w:rPr>
        <w:t>) slijedi definiciju Međunarodnog programa hemijske bezbjednosti (</w:t>
      </w:r>
      <w:r w:rsidRPr="00AB15C7">
        <w:rPr>
          <w:rFonts w:ascii="Cambria" w:hAnsi="Cambria"/>
          <w:i/>
          <w:noProof/>
          <w:lang w:val="sr-Latn-ME"/>
        </w:rPr>
        <w:t>International Programme on Chemical Safety – UNEP, ILO, WHO</w:t>
      </w:r>
      <w:r w:rsidRPr="00AB15C7">
        <w:rPr>
          <w:rFonts w:ascii="Cambria" w:hAnsi="Cambria"/>
          <w:noProof/>
          <w:lang w:val="sr-Latn-ME"/>
        </w:rPr>
        <w:t>) da »hemijska bezbjednost predstavlja upravljanje</w:t>
      </w:r>
      <w:r w:rsidR="00440908">
        <w:rPr>
          <w:rFonts w:ascii="Cambria" w:hAnsi="Cambria"/>
          <w:noProof/>
          <w:lang w:val="sr-Latn-ME"/>
        </w:rPr>
        <w:t xml:space="preserve"> hemikalijama</w:t>
      </w:r>
      <w:r w:rsidRPr="00AB15C7">
        <w:rPr>
          <w:rFonts w:ascii="Cambria" w:hAnsi="Cambria"/>
          <w:noProof/>
          <w:lang w:val="sr-Latn-ME"/>
        </w:rPr>
        <w:t xml:space="preserve"> i prevenciju štetnih uticaja hemikalija na </w:t>
      </w:r>
      <w:r w:rsidR="00440908">
        <w:rPr>
          <w:rFonts w:ascii="Cambria" w:hAnsi="Cambria"/>
          <w:noProof/>
          <w:lang w:val="sr-Latn-ME"/>
        </w:rPr>
        <w:t>zdravlje ljudi</w:t>
      </w:r>
      <w:r w:rsidRPr="00AB15C7">
        <w:rPr>
          <w:rFonts w:ascii="Cambria" w:hAnsi="Cambria"/>
          <w:noProof/>
          <w:lang w:val="sr-Latn-ME"/>
        </w:rPr>
        <w:t xml:space="preserve"> i životnu sredinu, koji mogu biti uzrokovani kratkotrajnom ili dugotrajnom izloženo</w:t>
      </w:r>
      <w:r w:rsidR="00440908">
        <w:rPr>
          <w:rFonts w:ascii="Cambria" w:hAnsi="Cambria"/>
          <w:noProof/>
          <w:lang w:val="sr-Latn-ME"/>
        </w:rPr>
        <w:t xml:space="preserve">šću </w:t>
      </w:r>
      <w:r w:rsidRPr="00AB15C7">
        <w:rPr>
          <w:rFonts w:ascii="Cambria" w:hAnsi="Cambria"/>
          <w:noProof/>
          <w:lang w:val="sr-Latn-ME"/>
        </w:rPr>
        <w:t xml:space="preserve">hemikalijama u proizvodnji, skladištenju, prevozu, </w:t>
      </w:r>
      <w:r w:rsidR="00D321DF">
        <w:rPr>
          <w:rFonts w:ascii="Cambria" w:hAnsi="Cambria"/>
          <w:noProof/>
          <w:lang w:val="sr-Latn-ME"/>
        </w:rPr>
        <w:t>kao i</w:t>
      </w:r>
      <w:r w:rsidR="00D321DF" w:rsidRPr="00AB15C7">
        <w:rPr>
          <w:rFonts w:ascii="Cambria" w:hAnsi="Cambria"/>
          <w:noProof/>
          <w:lang w:val="sr-Latn-ME"/>
        </w:rPr>
        <w:t xml:space="preserve"> </w:t>
      </w:r>
      <w:r w:rsidRPr="00AB15C7">
        <w:rPr>
          <w:rFonts w:ascii="Cambria" w:hAnsi="Cambria"/>
          <w:noProof/>
          <w:lang w:val="sr-Latn-ME"/>
        </w:rPr>
        <w:t>korišćenju i odlaganju hemikalija».</w:t>
      </w:r>
      <w:r w:rsidR="007B5C7E">
        <w:rPr>
          <w:rFonts w:ascii="Cambria" w:hAnsi="Cambria"/>
          <w:noProof/>
          <w:lang w:val="sr-Latn-ME"/>
        </w:rPr>
        <w:t xml:space="preserve"> </w:t>
      </w:r>
      <w:r w:rsidRPr="00AB15C7">
        <w:rPr>
          <w:rFonts w:ascii="Cambria" w:hAnsi="Cambria"/>
          <w:noProof/>
          <w:lang w:val="sr-Latn-ME"/>
        </w:rPr>
        <w:t>Slijedeći osnovnu definiciju hemijske bezbjednosti, kao i preporuke pomenutih među</w:t>
      </w:r>
      <w:r w:rsidR="00440908">
        <w:rPr>
          <w:rFonts w:ascii="Cambria" w:hAnsi="Cambria"/>
          <w:noProof/>
          <w:lang w:val="sr-Latn-ME"/>
        </w:rPr>
        <w:t>narodnih</w:t>
      </w:r>
      <w:r w:rsidRPr="00AB15C7">
        <w:rPr>
          <w:rFonts w:ascii="Cambria" w:hAnsi="Cambria"/>
          <w:noProof/>
          <w:lang w:val="sr-Latn-ME"/>
        </w:rPr>
        <w:t xml:space="preserve"> organizacija, odlučeno je da se u izradi ocjene </w:t>
      </w:r>
      <w:r w:rsidR="00440908">
        <w:rPr>
          <w:rFonts w:ascii="Cambria" w:hAnsi="Cambria"/>
          <w:noProof/>
          <w:lang w:val="sr-Latn-ME"/>
        </w:rPr>
        <w:t>stanja</w:t>
      </w:r>
      <w:r w:rsidRPr="00AB15C7">
        <w:rPr>
          <w:rFonts w:ascii="Cambria" w:hAnsi="Cambria"/>
          <w:noProof/>
          <w:lang w:val="sr-Latn-ME"/>
        </w:rPr>
        <w:t>, kao i strategije dugoročnog razvoja hemijske bezbjednosti to kompleksno područje obuhvati vrlo široko</w:t>
      </w:r>
      <w:r w:rsidR="0027617F" w:rsidRPr="00AB15C7">
        <w:rPr>
          <w:rFonts w:ascii="Cambria" w:hAnsi="Cambria"/>
          <w:noProof/>
          <w:lang w:val="sr-Latn-ME"/>
        </w:rPr>
        <w:t xml:space="preserve"> te da obuhvati i hemikalije koje su zbog svojih specifičnih karakteristika i namjene ure</w:t>
      </w:r>
      <w:r w:rsidR="00440908">
        <w:rPr>
          <w:rFonts w:ascii="Cambria" w:hAnsi="Cambria"/>
          <w:noProof/>
          <w:lang w:val="sr-Latn-ME"/>
        </w:rPr>
        <w:t>đ</w:t>
      </w:r>
      <w:r w:rsidR="0027617F" w:rsidRPr="00AB15C7">
        <w:rPr>
          <w:rFonts w:ascii="Cambria" w:hAnsi="Cambria"/>
          <w:noProof/>
          <w:lang w:val="sr-Latn-ME"/>
        </w:rPr>
        <w:t xml:space="preserve">ene posebnim propisima poput biocida, sredstava za zaštitu bilja, </w:t>
      </w:r>
      <w:r w:rsidR="00440908">
        <w:rPr>
          <w:rFonts w:ascii="Cambria" w:hAnsi="Cambria"/>
          <w:noProof/>
          <w:lang w:val="sr-Latn-ME"/>
        </w:rPr>
        <w:t>đ</w:t>
      </w:r>
      <w:r w:rsidR="0027617F" w:rsidRPr="00AB15C7">
        <w:rPr>
          <w:rFonts w:ascii="Cambria" w:hAnsi="Cambria"/>
          <w:noProof/>
          <w:lang w:val="sr-Latn-ME"/>
        </w:rPr>
        <w:t>ub</w:t>
      </w:r>
      <w:r w:rsidR="00F84AE7" w:rsidRPr="00AB15C7">
        <w:rPr>
          <w:rFonts w:ascii="Cambria" w:hAnsi="Cambria"/>
          <w:noProof/>
          <w:lang w:val="sr-Latn-ME"/>
        </w:rPr>
        <w:t>riva i sl</w:t>
      </w:r>
      <w:r w:rsidRPr="00AB15C7">
        <w:rPr>
          <w:rFonts w:ascii="Cambria" w:hAnsi="Cambria"/>
          <w:noProof/>
          <w:lang w:val="sr-Latn-ME"/>
        </w:rPr>
        <w:t>.</w:t>
      </w:r>
      <w:r w:rsidR="00440908">
        <w:rPr>
          <w:rFonts w:ascii="Cambria" w:hAnsi="Cambria"/>
          <w:noProof/>
          <w:lang w:val="sr-Latn-ME"/>
        </w:rPr>
        <w:t xml:space="preserve"> Z</w:t>
      </w:r>
      <w:r w:rsidRPr="00AB15C7">
        <w:rPr>
          <w:rFonts w:ascii="Cambria" w:hAnsi="Cambria"/>
          <w:noProof/>
          <w:lang w:val="sr-Latn-ME"/>
        </w:rPr>
        <w:t>bog specifičnosti zakonodavstva</w:t>
      </w:r>
      <w:r w:rsidR="00F84AE7" w:rsidRPr="00AB15C7">
        <w:rPr>
          <w:rFonts w:ascii="Cambria" w:hAnsi="Cambria"/>
          <w:noProof/>
          <w:lang w:val="sr-Latn-ME"/>
        </w:rPr>
        <w:t xml:space="preserve"> u pogledu l</w:t>
      </w:r>
      <w:r w:rsidR="00DA5F6D" w:rsidRPr="00AB15C7">
        <w:rPr>
          <w:rFonts w:ascii="Cambria" w:hAnsi="Cambria"/>
          <w:noProof/>
          <w:lang w:val="sr-Latn-ME"/>
        </w:rPr>
        <w:t>j</w:t>
      </w:r>
      <w:r w:rsidR="00F84AE7" w:rsidRPr="00AB15C7">
        <w:rPr>
          <w:rFonts w:ascii="Cambria" w:hAnsi="Cambria"/>
          <w:noProof/>
          <w:lang w:val="sr-Latn-ME"/>
        </w:rPr>
        <w:t>ekova i medicin</w:t>
      </w:r>
      <w:r w:rsidR="00DA5F6D" w:rsidRPr="00AB15C7">
        <w:rPr>
          <w:rFonts w:ascii="Cambria" w:hAnsi="Cambria"/>
          <w:noProof/>
          <w:lang w:val="sr-Latn-ME"/>
        </w:rPr>
        <w:t>s</w:t>
      </w:r>
      <w:r w:rsidR="00F84AE7" w:rsidRPr="00AB15C7">
        <w:rPr>
          <w:rFonts w:ascii="Cambria" w:hAnsi="Cambria"/>
          <w:noProof/>
          <w:lang w:val="sr-Latn-ME"/>
        </w:rPr>
        <w:t>kih sredstava,</w:t>
      </w:r>
      <w:r w:rsidR="00440908">
        <w:rPr>
          <w:rFonts w:ascii="Cambria" w:hAnsi="Cambria"/>
          <w:noProof/>
          <w:lang w:val="sr-Latn-ME"/>
        </w:rPr>
        <w:t xml:space="preserve"> kozmetike,</w:t>
      </w:r>
      <w:r w:rsidR="00F84AE7" w:rsidRPr="00AB15C7">
        <w:rPr>
          <w:rFonts w:ascii="Cambria" w:hAnsi="Cambria"/>
          <w:noProof/>
          <w:lang w:val="sr-Latn-ME"/>
        </w:rPr>
        <w:t xml:space="preserve"> prehrambenih aditiva</w:t>
      </w:r>
      <w:r w:rsidR="00D22C86" w:rsidRPr="00AB15C7">
        <w:rPr>
          <w:rFonts w:ascii="Cambria" w:hAnsi="Cambria"/>
          <w:noProof/>
          <w:lang w:val="sr-Latn-ME"/>
        </w:rPr>
        <w:t xml:space="preserve"> i</w:t>
      </w:r>
      <w:r w:rsidR="00F84AE7" w:rsidRPr="00AB15C7">
        <w:rPr>
          <w:rFonts w:ascii="Cambria" w:hAnsi="Cambria"/>
          <w:noProof/>
          <w:lang w:val="sr-Latn-ME"/>
        </w:rPr>
        <w:t xml:space="preserve"> </w:t>
      </w:r>
      <w:r w:rsidR="00DA5F6D" w:rsidRPr="00AB15C7">
        <w:rPr>
          <w:rFonts w:ascii="Cambria" w:hAnsi="Cambria"/>
          <w:noProof/>
          <w:lang w:val="sr-Latn-ME"/>
        </w:rPr>
        <w:t>eksploziva</w:t>
      </w:r>
      <w:r w:rsidRPr="00AB15C7">
        <w:rPr>
          <w:rFonts w:ascii="Cambria" w:hAnsi="Cambria"/>
          <w:noProof/>
          <w:lang w:val="sr-Latn-ME"/>
        </w:rPr>
        <w:t xml:space="preserve">, ova </w:t>
      </w:r>
      <w:r w:rsidR="00E54EF3">
        <w:rPr>
          <w:rFonts w:ascii="Cambria" w:hAnsi="Cambria"/>
          <w:noProof/>
          <w:lang w:val="sr-Latn-ME"/>
        </w:rPr>
        <w:t>s</w:t>
      </w:r>
      <w:r w:rsidRPr="00AB15C7">
        <w:rPr>
          <w:rFonts w:ascii="Cambria" w:hAnsi="Cambria"/>
          <w:noProof/>
          <w:lang w:val="sr-Latn-ME"/>
        </w:rPr>
        <w:t xml:space="preserve">trategija neće se baviti </w:t>
      </w:r>
      <w:r w:rsidR="00F84AE7" w:rsidRPr="00AB15C7">
        <w:rPr>
          <w:rFonts w:ascii="Cambria" w:hAnsi="Cambria"/>
          <w:noProof/>
          <w:lang w:val="sr-Latn-ME"/>
        </w:rPr>
        <w:t>hemikalijama u proizvodima prehrambene</w:t>
      </w:r>
      <w:r w:rsidR="00440908">
        <w:rPr>
          <w:rFonts w:ascii="Cambria" w:hAnsi="Cambria"/>
          <w:noProof/>
          <w:lang w:val="sr-Latn-ME"/>
        </w:rPr>
        <w:t xml:space="preserve">, </w:t>
      </w:r>
      <w:r w:rsidR="00F84AE7" w:rsidRPr="00AB15C7">
        <w:rPr>
          <w:rFonts w:ascii="Cambria" w:hAnsi="Cambria"/>
          <w:noProof/>
          <w:lang w:val="sr-Latn-ME"/>
        </w:rPr>
        <w:t xml:space="preserve">farmaceutske </w:t>
      </w:r>
      <w:r w:rsidR="00440908">
        <w:rPr>
          <w:rFonts w:ascii="Cambria" w:hAnsi="Cambria"/>
          <w:noProof/>
          <w:lang w:val="sr-Latn-ME"/>
        </w:rPr>
        <w:t xml:space="preserve">i kozmetičke </w:t>
      </w:r>
      <w:r w:rsidR="00F84AE7" w:rsidRPr="00AB15C7">
        <w:rPr>
          <w:rFonts w:ascii="Cambria" w:hAnsi="Cambria"/>
          <w:noProof/>
          <w:lang w:val="sr-Latn-ME"/>
        </w:rPr>
        <w:t>industrije, niti supstancama i proizvodima koji su opasni zbog radioaktivnih svojstava i eksplozivima.</w:t>
      </w:r>
    </w:p>
    <w:p w14:paraId="25E71625" w14:textId="7872DDEE" w:rsidR="000C17DD" w:rsidRPr="00AB15C7" w:rsidRDefault="00FA7498" w:rsidP="00360F0F">
      <w:pPr>
        <w:spacing w:before="100" w:beforeAutospacing="1" w:after="100" w:afterAutospacing="1"/>
        <w:jc w:val="both"/>
        <w:rPr>
          <w:rFonts w:ascii="Cambria" w:hAnsi="Cambria"/>
          <w:noProof/>
          <w:lang w:val="sr-Latn-ME"/>
        </w:rPr>
      </w:pPr>
      <w:r w:rsidRPr="00AB15C7">
        <w:rPr>
          <w:rFonts w:ascii="Cambria" w:hAnsi="Cambria"/>
          <w:noProof/>
          <w:lang w:val="sr-Latn-ME"/>
        </w:rPr>
        <w:t>Za izradu ažurirane Nacionalne strategije</w:t>
      </w:r>
      <w:r w:rsidR="0034598E">
        <w:rPr>
          <w:rFonts w:ascii="Cambria" w:hAnsi="Cambria"/>
          <w:noProof/>
          <w:lang w:val="sr-Latn-ME"/>
        </w:rPr>
        <w:t xml:space="preserve"> za period 2019-2022, korišćen j</w:t>
      </w:r>
      <w:r w:rsidRPr="00AB15C7">
        <w:rPr>
          <w:rFonts w:ascii="Cambria" w:hAnsi="Cambria"/>
          <w:noProof/>
          <w:lang w:val="sr-Latn-ME"/>
        </w:rPr>
        <w:t xml:space="preserve">e </w:t>
      </w:r>
      <w:r w:rsidR="00B4194A" w:rsidRPr="00AB15C7">
        <w:rPr>
          <w:rFonts w:ascii="Cambria" w:hAnsi="Cambria"/>
          <w:b/>
          <w:noProof/>
          <w:lang w:val="sr-Latn-ME"/>
        </w:rPr>
        <w:t xml:space="preserve">UNITAR </w:t>
      </w:r>
      <w:r w:rsidRPr="00AB15C7">
        <w:rPr>
          <w:rFonts w:ascii="Cambria" w:hAnsi="Cambria"/>
          <w:b/>
          <w:noProof/>
          <w:lang w:val="sr-Latn-ME"/>
        </w:rPr>
        <w:t>vodič</w:t>
      </w:r>
      <w:r w:rsidRPr="00AB15C7">
        <w:rPr>
          <w:rFonts w:ascii="Cambria" w:hAnsi="Cambria"/>
          <w:noProof/>
          <w:lang w:val="sr-Latn-ME"/>
        </w:rPr>
        <w:t xml:space="preserve"> </w:t>
      </w:r>
      <w:r w:rsidR="00B4194A" w:rsidRPr="00AB15C7">
        <w:rPr>
          <w:rFonts w:ascii="Cambria" w:hAnsi="Cambria"/>
          <w:b/>
          <w:noProof/>
          <w:lang w:val="sr-Latn-ME"/>
        </w:rPr>
        <w:t>za pripremu nacionalnog profila za upravljanje hemikalija</w:t>
      </w:r>
      <w:r w:rsidR="00B4194A" w:rsidRPr="00AB15C7">
        <w:rPr>
          <w:rFonts w:ascii="Cambria" w:hAnsi="Cambria"/>
          <w:noProof/>
          <w:lang w:val="sr-Latn-ME"/>
        </w:rPr>
        <w:t xml:space="preserve"> </w:t>
      </w:r>
      <w:r w:rsidR="002B6EDF">
        <w:rPr>
          <w:rStyle w:val="FootnoteReference"/>
          <w:rFonts w:ascii="Cambria" w:hAnsi="Cambria"/>
          <w:noProof/>
          <w:lang w:val="sr-Latn-ME"/>
        </w:rPr>
        <w:footnoteReference w:id="5"/>
      </w:r>
      <w:r w:rsidR="009B7EFE" w:rsidRPr="00AB15C7">
        <w:rPr>
          <w:rFonts w:ascii="Cambria" w:hAnsi="Cambria"/>
          <w:noProof/>
          <w:lang w:val="sr-Latn-ME"/>
        </w:rPr>
        <w:t xml:space="preserve">, </w:t>
      </w:r>
      <w:r w:rsidRPr="00AB15C7">
        <w:rPr>
          <w:rFonts w:ascii="Cambria" w:hAnsi="Cambria"/>
          <w:noProof/>
          <w:lang w:val="sr-Latn-ME"/>
        </w:rPr>
        <w:t xml:space="preserve">koji izrađen od strane Instituta Ujedinjenih nacija za </w:t>
      </w:r>
      <w:r w:rsidRPr="00AB15C7">
        <w:rPr>
          <w:rFonts w:ascii="Cambria" w:hAnsi="Cambria"/>
          <w:noProof/>
          <w:lang w:val="sr-Latn-ME"/>
        </w:rPr>
        <w:lastRenderedPageBreak/>
        <w:t>trening i istraživanje</w:t>
      </w:r>
      <w:r w:rsidR="002B6EDF">
        <w:rPr>
          <w:rFonts w:ascii="Cambria" w:hAnsi="Cambria"/>
          <w:noProof/>
          <w:lang w:val="sr-Latn-ME"/>
        </w:rPr>
        <w:t>-UNITAR</w:t>
      </w:r>
      <w:r w:rsidR="002B6EDF">
        <w:rPr>
          <w:rStyle w:val="FootnoteReference"/>
          <w:rFonts w:ascii="Cambria" w:hAnsi="Cambria"/>
          <w:noProof/>
          <w:lang w:val="sr-Latn-ME"/>
        </w:rPr>
        <w:footnoteReference w:id="6"/>
      </w:r>
      <w:r w:rsidRPr="00AB15C7">
        <w:rPr>
          <w:rFonts w:ascii="Cambria" w:hAnsi="Cambria"/>
          <w:noProof/>
          <w:lang w:val="sr-Latn-ME"/>
        </w:rPr>
        <w:t xml:space="preserve"> pod okriljem </w:t>
      </w:r>
      <w:r w:rsidR="002B6EDF">
        <w:rPr>
          <w:rFonts w:ascii="Cambria" w:hAnsi="Cambria"/>
          <w:noProof/>
          <w:lang w:val="sr-Latn-ME"/>
        </w:rPr>
        <w:t>M</w:t>
      </w:r>
      <w:r w:rsidRPr="00AB15C7">
        <w:rPr>
          <w:rFonts w:ascii="Cambria" w:hAnsi="Cambria"/>
          <w:noProof/>
          <w:lang w:val="sr-Latn-ME"/>
        </w:rPr>
        <w:t>eđuorganizacionog programa za pravilno upravljanje hemikalijam</w:t>
      </w:r>
      <w:r w:rsidR="002B6EDF">
        <w:rPr>
          <w:rFonts w:ascii="Cambria" w:hAnsi="Cambria"/>
          <w:noProof/>
          <w:lang w:val="sr-Latn-ME"/>
        </w:rPr>
        <w:t>a-IOMC</w:t>
      </w:r>
      <w:r w:rsidR="002B6EDF">
        <w:rPr>
          <w:rStyle w:val="FootnoteReference"/>
          <w:rFonts w:ascii="Cambria" w:hAnsi="Cambria"/>
          <w:noProof/>
          <w:lang w:val="sr-Latn-ME"/>
        </w:rPr>
        <w:footnoteReference w:id="7"/>
      </w:r>
      <w:r w:rsidRPr="00AB15C7">
        <w:rPr>
          <w:rFonts w:ascii="Cambria" w:hAnsi="Cambria"/>
          <w:noProof/>
          <w:lang w:val="sr-Latn-ME"/>
        </w:rPr>
        <w:t xml:space="preserve">, </w:t>
      </w:r>
      <w:r w:rsidR="009B7EFE" w:rsidRPr="00AB15C7">
        <w:rPr>
          <w:rFonts w:ascii="Cambria" w:hAnsi="Cambria"/>
          <w:noProof/>
          <w:lang w:val="sr-Latn-ME"/>
        </w:rPr>
        <w:t xml:space="preserve">a usvojen je </w:t>
      </w:r>
      <w:r w:rsidRPr="00AB15C7">
        <w:rPr>
          <w:rFonts w:ascii="Cambria" w:hAnsi="Cambria"/>
          <w:noProof/>
          <w:lang w:val="sr-Latn-ME"/>
        </w:rPr>
        <w:t xml:space="preserve">od strane Međunarodnog foruma za hemijsku </w:t>
      </w:r>
      <w:r w:rsidR="00D56BDC" w:rsidRPr="00AB15C7">
        <w:rPr>
          <w:rFonts w:ascii="Cambria" w:hAnsi="Cambria"/>
          <w:noProof/>
          <w:lang w:val="sr-Latn-ME"/>
        </w:rPr>
        <w:t>bezbjednost</w:t>
      </w:r>
      <w:r w:rsidR="002B6EDF">
        <w:rPr>
          <w:rFonts w:ascii="Cambria" w:hAnsi="Cambria"/>
          <w:noProof/>
          <w:lang w:val="sr-Latn-ME"/>
        </w:rPr>
        <w:t>-IFCS</w:t>
      </w:r>
      <w:r w:rsidR="002B6EDF">
        <w:rPr>
          <w:rStyle w:val="FootnoteReference"/>
          <w:rFonts w:ascii="Cambria" w:hAnsi="Cambria"/>
          <w:noProof/>
          <w:lang w:val="sr-Latn-ME"/>
        </w:rPr>
        <w:footnoteReference w:id="8"/>
      </w:r>
      <w:r w:rsidRPr="00AB15C7">
        <w:rPr>
          <w:rFonts w:ascii="Cambria" w:hAnsi="Cambria"/>
          <w:noProof/>
          <w:lang w:val="sr-Latn-ME"/>
        </w:rPr>
        <w:t xml:space="preserve">. Ovaj dokument je izrađen kako bi se pomoglo zemljama u pripremi </w:t>
      </w:r>
      <w:r w:rsidR="009B2942">
        <w:rPr>
          <w:rFonts w:ascii="Cambria" w:hAnsi="Cambria"/>
          <w:noProof/>
          <w:lang w:val="sr-Latn-ME"/>
        </w:rPr>
        <w:t>n</w:t>
      </w:r>
      <w:r w:rsidRPr="00AB15C7">
        <w:rPr>
          <w:rFonts w:ascii="Cambria" w:hAnsi="Cambria"/>
          <w:noProof/>
          <w:lang w:val="sr-Latn-ME"/>
        </w:rPr>
        <w:t xml:space="preserve">acionalnih strategija kojima će se procijeniti infrastruktura i kapaciteti potrebni za kvalitetno upravljanje hemikalijama kroz proces koji uključuje sve zainteresovane strane na nivou države. U skladu sa preporukama ovog vodiča Nacionalna strategija </w:t>
      </w:r>
      <w:r w:rsidR="0011738A" w:rsidRPr="00AB15C7">
        <w:rPr>
          <w:rFonts w:ascii="Cambria" w:hAnsi="Cambria"/>
          <w:noProof/>
          <w:lang w:val="sr-Latn-ME"/>
        </w:rPr>
        <w:t xml:space="preserve">obrađuje sve relevantne aspekte za </w:t>
      </w:r>
      <w:r w:rsidR="00A8197B" w:rsidRPr="00AB15C7">
        <w:rPr>
          <w:rFonts w:ascii="Cambria" w:hAnsi="Cambria"/>
          <w:noProof/>
          <w:lang w:val="sr-Latn-ME"/>
        </w:rPr>
        <w:t>u</w:t>
      </w:r>
      <w:r w:rsidR="0011738A" w:rsidRPr="00AB15C7">
        <w:rPr>
          <w:rFonts w:ascii="Cambria" w:hAnsi="Cambria"/>
          <w:noProof/>
          <w:lang w:val="sr-Latn-ME"/>
        </w:rPr>
        <w:t>pravljanje hemikalijama</w:t>
      </w:r>
      <w:r w:rsidR="0033011A" w:rsidRPr="00AB15C7">
        <w:rPr>
          <w:rFonts w:ascii="Cambria" w:hAnsi="Cambria"/>
          <w:noProof/>
          <w:lang w:val="sr-Latn-ME"/>
        </w:rPr>
        <w:t>,</w:t>
      </w:r>
      <w:r w:rsidR="0011738A" w:rsidRPr="00AB15C7">
        <w:rPr>
          <w:rFonts w:ascii="Cambria" w:hAnsi="Cambria"/>
          <w:noProof/>
          <w:lang w:val="sr-Latn-ME"/>
        </w:rPr>
        <w:t xml:space="preserve"> i to</w:t>
      </w:r>
      <w:r w:rsidR="00A8197B" w:rsidRPr="00AB15C7">
        <w:rPr>
          <w:rFonts w:ascii="Cambria" w:hAnsi="Cambria"/>
          <w:noProof/>
          <w:lang w:val="sr-Latn-ME"/>
        </w:rPr>
        <w:t>:</w:t>
      </w:r>
      <w:r w:rsidR="002B6EDF">
        <w:rPr>
          <w:rFonts w:ascii="Cambria" w:hAnsi="Cambria"/>
          <w:noProof/>
          <w:lang w:val="sr-Latn-ME"/>
        </w:rPr>
        <w:t xml:space="preserve"> </w:t>
      </w:r>
      <w:r w:rsidRPr="00AB15C7">
        <w:rPr>
          <w:rFonts w:ascii="Cambria" w:hAnsi="Cambria"/>
          <w:noProof/>
          <w:lang w:val="sr-Latn-ME"/>
        </w:rPr>
        <w:t>Opšte informacije</w:t>
      </w:r>
      <w:r w:rsidR="002B6EDF">
        <w:rPr>
          <w:rFonts w:ascii="Cambria" w:hAnsi="Cambria"/>
          <w:noProof/>
          <w:lang w:val="sr-Latn-ME"/>
        </w:rPr>
        <w:t xml:space="preserve">; </w:t>
      </w:r>
      <w:r w:rsidRPr="00AB15C7">
        <w:rPr>
          <w:rFonts w:ascii="Cambria" w:hAnsi="Cambria"/>
          <w:noProof/>
          <w:lang w:val="sr-Latn-ME"/>
        </w:rPr>
        <w:t xml:space="preserve">Proizvodnja, uvoz, izvoz, upotreba </w:t>
      </w:r>
      <w:r w:rsidR="00B930FF" w:rsidRPr="00AB15C7">
        <w:rPr>
          <w:rFonts w:ascii="Cambria" w:hAnsi="Cambria"/>
          <w:noProof/>
          <w:lang w:val="sr-Latn-ME"/>
        </w:rPr>
        <w:t xml:space="preserve">hemikalija </w:t>
      </w:r>
      <w:r w:rsidRPr="00AB15C7">
        <w:rPr>
          <w:rFonts w:ascii="Cambria" w:hAnsi="Cambria"/>
          <w:noProof/>
          <w:lang w:val="sr-Latn-ME"/>
        </w:rPr>
        <w:t xml:space="preserve">i </w:t>
      </w:r>
      <w:r w:rsidR="001230F2" w:rsidRPr="00AB15C7">
        <w:rPr>
          <w:rFonts w:ascii="Cambria" w:hAnsi="Cambria"/>
          <w:noProof/>
          <w:lang w:val="sr-Latn-ME"/>
        </w:rPr>
        <w:t>upravljanje</w:t>
      </w:r>
      <w:r w:rsidR="00B930FF" w:rsidRPr="00AB15C7">
        <w:rPr>
          <w:rFonts w:ascii="Cambria" w:hAnsi="Cambria"/>
          <w:noProof/>
          <w:lang w:val="sr-Latn-ME"/>
        </w:rPr>
        <w:t xml:space="preserve"> otpad</w:t>
      </w:r>
      <w:r w:rsidR="001230F2" w:rsidRPr="00AB15C7">
        <w:rPr>
          <w:rFonts w:ascii="Cambria" w:hAnsi="Cambria"/>
          <w:noProof/>
          <w:lang w:val="sr-Latn-ME"/>
        </w:rPr>
        <w:t>om</w:t>
      </w:r>
      <w:r w:rsidR="002B6EDF">
        <w:rPr>
          <w:rFonts w:ascii="Cambria" w:hAnsi="Cambria"/>
          <w:noProof/>
          <w:lang w:val="sr-Latn-ME"/>
        </w:rPr>
        <w:t xml:space="preserve">; </w:t>
      </w:r>
      <w:r w:rsidRPr="00AB15C7">
        <w:rPr>
          <w:rFonts w:ascii="Cambria" w:hAnsi="Cambria"/>
          <w:noProof/>
          <w:lang w:val="sr-Latn-ME"/>
        </w:rPr>
        <w:t>Zakonodavni instrumenti i mehanizmi za upravljanje hemikalijama</w:t>
      </w:r>
      <w:r w:rsidR="002B6EDF">
        <w:rPr>
          <w:rFonts w:ascii="Cambria" w:hAnsi="Cambria"/>
          <w:noProof/>
          <w:lang w:val="sr-Latn-ME"/>
        </w:rPr>
        <w:t xml:space="preserve">; </w:t>
      </w:r>
      <w:r w:rsidRPr="00AB15C7">
        <w:rPr>
          <w:rFonts w:ascii="Cambria" w:hAnsi="Cambria"/>
          <w:noProof/>
          <w:lang w:val="sr-Latn-ME"/>
        </w:rPr>
        <w:t>Ministarstva, agencije i druge državne institucije za upravljanje hemikalijama</w:t>
      </w:r>
      <w:r w:rsidR="002B6EDF">
        <w:rPr>
          <w:rFonts w:ascii="Cambria" w:hAnsi="Cambria"/>
          <w:noProof/>
          <w:lang w:val="sr-Latn-ME"/>
        </w:rPr>
        <w:t xml:space="preserve">; </w:t>
      </w:r>
      <w:r w:rsidR="009B2942">
        <w:rPr>
          <w:rFonts w:ascii="Cambria" w:hAnsi="Cambria"/>
          <w:noProof/>
          <w:lang w:val="sr-Latn-ME"/>
        </w:rPr>
        <w:t>A</w:t>
      </w:r>
      <w:r w:rsidRPr="00AB15C7">
        <w:rPr>
          <w:rFonts w:ascii="Cambria" w:hAnsi="Cambria"/>
          <w:noProof/>
          <w:lang w:val="sr-Latn-ME"/>
        </w:rPr>
        <w:t xml:space="preserve">ktivnosti industrije, civilnog sektora, </w:t>
      </w:r>
      <w:r w:rsidR="00E55FA3" w:rsidRPr="00E55FA3">
        <w:rPr>
          <w:rFonts w:ascii="Cambria" w:hAnsi="Cambria"/>
          <w:noProof/>
          <w:lang w:val="sr-Latn-ME"/>
        </w:rPr>
        <w:t>stru</w:t>
      </w:r>
      <w:r w:rsidR="00E54EF3">
        <w:rPr>
          <w:rFonts w:ascii="Cambria" w:hAnsi="Cambria"/>
          <w:noProof/>
          <w:lang w:val="sr-Latn-ME"/>
        </w:rPr>
        <w:t xml:space="preserve">kovnih </w:t>
      </w:r>
      <w:r w:rsidR="00E55FA3" w:rsidRPr="00E55FA3">
        <w:rPr>
          <w:rFonts w:ascii="Cambria" w:hAnsi="Cambria"/>
          <w:noProof/>
          <w:lang w:val="sr-Latn-ME"/>
        </w:rPr>
        <w:t>i istraživačkih organizacija</w:t>
      </w:r>
      <w:r w:rsidR="002B6EDF">
        <w:rPr>
          <w:rFonts w:ascii="Cambria" w:hAnsi="Cambria"/>
          <w:noProof/>
          <w:lang w:val="sr-Latn-ME"/>
        </w:rPr>
        <w:t xml:space="preserve">; </w:t>
      </w:r>
      <w:r w:rsidRPr="00AB15C7">
        <w:rPr>
          <w:rFonts w:ascii="Cambria" w:hAnsi="Cambria"/>
          <w:noProof/>
          <w:lang w:val="sr-Latn-ME"/>
        </w:rPr>
        <w:t>Međuresorn</w:t>
      </w:r>
      <w:r w:rsidR="00C9621B" w:rsidRPr="00AB15C7">
        <w:rPr>
          <w:rFonts w:ascii="Cambria" w:hAnsi="Cambria"/>
          <w:noProof/>
          <w:lang w:val="sr-Latn-ME"/>
        </w:rPr>
        <w:t>a</w:t>
      </w:r>
      <w:r w:rsidRPr="00AB15C7">
        <w:rPr>
          <w:rFonts w:ascii="Cambria" w:hAnsi="Cambria"/>
          <w:noProof/>
          <w:lang w:val="sr-Latn-ME"/>
        </w:rPr>
        <w:t xml:space="preserve"> </w:t>
      </w:r>
      <w:r w:rsidR="00C9621B" w:rsidRPr="00AB15C7">
        <w:rPr>
          <w:rFonts w:ascii="Cambria" w:hAnsi="Cambria"/>
          <w:noProof/>
          <w:lang w:val="sr-Latn-ME"/>
        </w:rPr>
        <w:t>saradnja</w:t>
      </w:r>
      <w:r w:rsidRPr="00AB15C7">
        <w:rPr>
          <w:rFonts w:ascii="Cambria" w:hAnsi="Cambria"/>
          <w:noProof/>
          <w:lang w:val="sr-Latn-ME"/>
        </w:rPr>
        <w:t xml:space="preserve"> i koordinacioni mehanizmi</w:t>
      </w:r>
      <w:r w:rsidR="002B6EDF">
        <w:rPr>
          <w:rFonts w:ascii="Cambria" w:hAnsi="Cambria"/>
          <w:noProof/>
          <w:lang w:val="sr-Latn-ME"/>
        </w:rPr>
        <w:t xml:space="preserve">; </w:t>
      </w:r>
      <w:r w:rsidRPr="00AB15C7">
        <w:rPr>
          <w:rFonts w:ascii="Cambria" w:hAnsi="Cambria"/>
          <w:noProof/>
          <w:lang w:val="sr-Latn-ME"/>
        </w:rPr>
        <w:t>Upravljanje informacijama, pristup i korišćenje</w:t>
      </w:r>
      <w:r w:rsidR="002B6EDF">
        <w:rPr>
          <w:rFonts w:ascii="Cambria" w:hAnsi="Cambria"/>
          <w:noProof/>
          <w:lang w:val="sr-Latn-ME"/>
        </w:rPr>
        <w:t xml:space="preserve">; </w:t>
      </w:r>
      <w:r w:rsidR="0035574D">
        <w:rPr>
          <w:rFonts w:ascii="Cambria" w:hAnsi="Cambria"/>
          <w:noProof/>
          <w:lang w:val="sr-Latn-ME"/>
        </w:rPr>
        <w:t>Laboratorijska</w:t>
      </w:r>
      <w:r w:rsidRPr="00AB15C7">
        <w:rPr>
          <w:rFonts w:ascii="Cambria" w:hAnsi="Cambria"/>
          <w:noProof/>
          <w:lang w:val="sr-Latn-ME"/>
        </w:rPr>
        <w:t xml:space="preserve"> infrastruktura</w:t>
      </w:r>
      <w:r w:rsidR="002B6EDF">
        <w:rPr>
          <w:rFonts w:ascii="Cambria" w:hAnsi="Cambria"/>
          <w:noProof/>
          <w:lang w:val="sr-Latn-ME"/>
        </w:rPr>
        <w:t xml:space="preserve">; </w:t>
      </w:r>
      <w:r w:rsidRPr="00372201">
        <w:rPr>
          <w:rFonts w:ascii="Cambria" w:hAnsi="Cambria"/>
          <w:noProof/>
          <w:lang w:val="sr-Latn-ME"/>
        </w:rPr>
        <w:t xml:space="preserve">Pripremljenost za </w:t>
      </w:r>
      <w:r w:rsidR="0035574D" w:rsidRPr="00372201">
        <w:rPr>
          <w:rFonts w:ascii="Cambria" w:hAnsi="Cambria"/>
          <w:noProof/>
          <w:lang w:val="sr-Latn-ME"/>
        </w:rPr>
        <w:t>vanredne situacije</w:t>
      </w:r>
      <w:r w:rsidRPr="00372201">
        <w:rPr>
          <w:rFonts w:ascii="Cambria" w:hAnsi="Cambria"/>
          <w:noProof/>
          <w:lang w:val="sr-Latn-ME"/>
        </w:rPr>
        <w:t xml:space="preserve">, </w:t>
      </w:r>
      <w:r w:rsidR="00372201" w:rsidRPr="00372201">
        <w:rPr>
          <w:rFonts w:ascii="Cambria" w:hAnsi="Cambria"/>
          <w:noProof/>
          <w:lang w:val="sr-Latn-ME"/>
        </w:rPr>
        <w:t xml:space="preserve"> </w:t>
      </w:r>
      <w:r w:rsidR="00E55FA3" w:rsidRPr="00E55FA3">
        <w:rPr>
          <w:rFonts w:ascii="Cambria" w:hAnsi="Cambria"/>
          <w:noProof/>
          <w:lang w:val="sr-Latn-ME"/>
        </w:rPr>
        <w:t xml:space="preserve">uključujući hemijske </w:t>
      </w:r>
      <w:r w:rsidR="00D025A9">
        <w:rPr>
          <w:rFonts w:ascii="Cambria" w:hAnsi="Cambria"/>
          <w:noProof/>
          <w:lang w:val="sr-Latn-ME"/>
        </w:rPr>
        <w:t>udese</w:t>
      </w:r>
      <w:r w:rsidR="002B6EDF">
        <w:rPr>
          <w:rFonts w:ascii="Cambria" w:hAnsi="Cambria"/>
          <w:noProof/>
          <w:lang w:val="sr-Latn-ME"/>
        </w:rPr>
        <w:t xml:space="preserve">; </w:t>
      </w:r>
      <w:r w:rsidR="0035574D" w:rsidRPr="0035574D">
        <w:rPr>
          <w:rFonts w:ascii="Cambria" w:hAnsi="Cambria"/>
          <w:noProof/>
          <w:lang w:val="sr-Latn-ME"/>
        </w:rPr>
        <w:t>Svijest o rizicima od hemikalija; informisanje i edukacija</w:t>
      </w:r>
      <w:r w:rsidR="002B6EDF">
        <w:rPr>
          <w:rFonts w:ascii="Cambria" w:hAnsi="Cambria"/>
          <w:noProof/>
          <w:lang w:val="sr-Latn-ME"/>
        </w:rPr>
        <w:t xml:space="preserve">; </w:t>
      </w:r>
      <w:r w:rsidR="00E55FA3" w:rsidRPr="00E55FA3">
        <w:rPr>
          <w:rFonts w:ascii="Cambria" w:hAnsi="Cambria"/>
          <w:noProof/>
          <w:lang w:val="sr-Latn-ME"/>
        </w:rPr>
        <w:t>Međunarodni sporazumi u vezi sa upravljanjem hemikalijama</w:t>
      </w:r>
      <w:r w:rsidR="002B6EDF">
        <w:rPr>
          <w:rFonts w:ascii="Cambria" w:hAnsi="Cambria"/>
          <w:noProof/>
          <w:lang w:val="sr-Latn-ME"/>
        </w:rPr>
        <w:t xml:space="preserve">; </w:t>
      </w:r>
      <w:r w:rsidRPr="00AB15C7">
        <w:rPr>
          <w:rFonts w:ascii="Cambria" w:hAnsi="Cambria"/>
          <w:noProof/>
          <w:lang w:val="sr-Latn-ME"/>
        </w:rPr>
        <w:t>Zaključci i preporuke</w:t>
      </w:r>
      <w:r w:rsidR="002B6EDF">
        <w:rPr>
          <w:rFonts w:ascii="Cambria" w:hAnsi="Cambria"/>
          <w:noProof/>
          <w:lang w:val="sr-Latn-ME"/>
        </w:rPr>
        <w:t xml:space="preserve">; </w:t>
      </w:r>
      <w:r w:rsidRPr="00AB15C7">
        <w:rPr>
          <w:rFonts w:ascii="Cambria" w:hAnsi="Cambria"/>
          <w:noProof/>
          <w:lang w:val="sr-Latn-ME"/>
        </w:rPr>
        <w:t>Akcioni plan</w:t>
      </w:r>
      <w:r w:rsidR="00424C76" w:rsidRPr="00AB15C7">
        <w:rPr>
          <w:rFonts w:ascii="Cambria" w:hAnsi="Cambria"/>
          <w:noProof/>
          <w:lang w:val="sr-Latn-ME"/>
        </w:rPr>
        <w:t>.</w:t>
      </w:r>
    </w:p>
    <w:p w14:paraId="6FBDFD81" w14:textId="2665F725" w:rsidR="00A8197B" w:rsidRPr="00AB15C7" w:rsidRDefault="002904CB" w:rsidP="005921EF">
      <w:pPr>
        <w:pStyle w:val="NoSpacing11"/>
        <w:spacing w:after="0"/>
        <w:jc w:val="both"/>
        <w:rPr>
          <w:rFonts w:ascii="Cambria" w:eastAsia="Times New Roman" w:hAnsi="Cambria"/>
          <w:noProof/>
          <w:lang w:val="sr-Latn-ME"/>
        </w:rPr>
      </w:pPr>
      <w:r w:rsidRPr="00AB15C7">
        <w:rPr>
          <w:rFonts w:ascii="Cambria" w:eastAsia="Times New Roman" w:hAnsi="Cambria"/>
          <w:noProof/>
          <w:lang w:val="sr-Latn-ME"/>
        </w:rPr>
        <w:t xml:space="preserve">Imajući u vidu mali obim proizvodnje </w:t>
      </w:r>
      <w:r w:rsidR="00A8197B" w:rsidRPr="00AB15C7">
        <w:rPr>
          <w:rFonts w:ascii="Cambria" w:eastAsia="Times New Roman" w:hAnsi="Cambria"/>
          <w:noProof/>
          <w:lang w:val="sr-Latn-ME"/>
        </w:rPr>
        <w:t xml:space="preserve">hemikalija </w:t>
      </w:r>
      <w:r w:rsidRPr="00AB15C7">
        <w:rPr>
          <w:rFonts w:ascii="Cambria" w:eastAsia="Times New Roman" w:hAnsi="Cambria"/>
          <w:noProof/>
          <w:lang w:val="sr-Latn-ME"/>
        </w:rPr>
        <w:t>i veličinu s hemikalijama povezanog tržišta u Crnoj Gori</w:t>
      </w:r>
      <w:r w:rsidR="00C30D42" w:rsidRPr="00AB15C7">
        <w:rPr>
          <w:rFonts w:ascii="Cambria" w:eastAsia="Times New Roman" w:hAnsi="Cambria"/>
          <w:noProof/>
          <w:lang w:val="sr-Latn-ME"/>
        </w:rPr>
        <w:t xml:space="preserve">, </w:t>
      </w:r>
      <w:r w:rsidR="0011738A" w:rsidRPr="00AB15C7">
        <w:rPr>
          <w:rFonts w:ascii="Cambria" w:eastAsia="Times New Roman" w:hAnsi="Cambria"/>
          <w:noProof/>
          <w:lang w:val="sr-Latn-ME"/>
        </w:rPr>
        <w:t xml:space="preserve">ali </w:t>
      </w:r>
      <w:r w:rsidR="00C30D42" w:rsidRPr="00AB15C7">
        <w:rPr>
          <w:rFonts w:ascii="Cambria" w:eastAsia="Times New Roman" w:hAnsi="Cambria"/>
          <w:noProof/>
          <w:lang w:val="sr-Latn-ME"/>
        </w:rPr>
        <w:t>i zaht</w:t>
      </w:r>
      <w:r w:rsidR="00A95211">
        <w:rPr>
          <w:rFonts w:ascii="Cambria" w:eastAsia="Times New Roman" w:hAnsi="Cambria"/>
          <w:noProof/>
          <w:lang w:val="sr-Latn-ME"/>
        </w:rPr>
        <w:t>j</w:t>
      </w:r>
      <w:r w:rsidR="00C30D42" w:rsidRPr="00AB15C7">
        <w:rPr>
          <w:rFonts w:ascii="Cambria" w:eastAsia="Times New Roman" w:hAnsi="Cambria"/>
          <w:noProof/>
          <w:lang w:val="sr-Latn-ME"/>
        </w:rPr>
        <w:t xml:space="preserve">eve </w:t>
      </w:r>
      <w:r w:rsidR="00C30D42" w:rsidRPr="00AB15C7">
        <w:rPr>
          <w:rFonts w:ascii="Cambria" w:eastAsia="Times New Roman" w:hAnsi="Cambria"/>
          <w:b/>
          <w:noProof/>
          <w:lang w:val="sr-Latn-ME"/>
        </w:rPr>
        <w:t xml:space="preserve">Uredbe </w:t>
      </w:r>
      <w:r w:rsidR="00E70976" w:rsidRPr="00AB15C7">
        <w:rPr>
          <w:rFonts w:ascii="Cambria" w:eastAsia="Times New Roman" w:hAnsi="Cambria"/>
          <w:b/>
          <w:noProof/>
          <w:lang w:val="sr-Latn-ME"/>
        </w:rPr>
        <w:t>o načinu i postupku izrade, usklađivanja i praćenja sprovođenja strategijskih dokumenata</w:t>
      </w:r>
      <w:r w:rsidR="0034598E">
        <w:rPr>
          <w:rFonts w:ascii="Cambria" w:eastAsia="Times New Roman" w:hAnsi="Cambria"/>
          <w:b/>
          <w:noProof/>
          <w:lang w:val="sr-Latn-ME"/>
        </w:rPr>
        <w:t xml:space="preserve"> („Sl. List CG“, br: 54/18)</w:t>
      </w:r>
      <w:r w:rsidR="00E70976" w:rsidRPr="00AB15C7">
        <w:rPr>
          <w:rFonts w:ascii="Cambria" w:eastAsia="Times New Roman" w:hAnsi="Cambria"/>
          <w:noProof/>
          <w:lang w:val="sr-Latn-ME"/>
        </w:rPr>
        <w:t xml:space="preserve"> </w:t>
      </w:r>
      <w:r w:rsidR="00C30D42" w:rsidRPr="00AB15C7">
        <w:rPr>
          <w:rFonts w:ascii="Cambria" w:eastAsia="Times New Roman" w:hAnsi="Cambria"/>
          <w:noProof/>
          <w:lang w:val="sr-Latn-ME"/>
        </w:rPr>
        <w:t>i</w:t>
      </w:r>
      <w:r w:rsidR="00E70976" w:rsidRPr="00AB15C7">
        <w:rPr>
          <w:rFonts w:ascii="Cambria" w:eastAsia="Times New Roman" w:hAnsi="Cambria"/>
          <w:noProof/>
          <w:lang w:val="sr-Latn-ME"/>
        </w:rPr>
        <w:t xml:space="preserve"> koja je donesena u toku izrade strategije</w:t>
      </w:r>
      <w:r w:rsidRPr="00AB15C7">
        <w:rPr>
          <w:rFonts w:ascii="Cambria" w:eastAsia="Times New Roman" w:hAnsi="Cambria"/>
          <w:noProof/>
          <w:lang w:val="sr-Latn-ME"/>
        </w:rPr>
        <w:t xml:space="preserve">, </w:t>
      </w:r>
      <w:r w:rsidR="00E9567F" w:rsidRPr="00AB15C7">
        <w:rPr>
          <w:rFonts w:ascii="Cambria" w:eastAsia="Times New Roman" w:hAnsi="Cambria"/>
          <w:noProof/>
          <w:lang w:val="sr-Latn-ME"/>
        </w:rPr>
        <w:t xml:space="preserve">kao i prateće </w:t>
      </w:r>
      <w:r w:rsidR="00E9567F" w:rsidRPr="00AB15C7">
        <w:rPr>
          <w:rFonts w:ascii="Cambria" w:eastAsia="Times New Roman" w:hAnsi="Cambria"/>
          <w:b/>
          <w:bCs/>
          <w:noProof/>
        </w:rPr>
        <w:t xml:space="preserve">Metodologije razvijanja politika, izrade i praćenja sprovođenja strategijskih dokumenata </w:t>
      </w:r>
      <w:r w:rsidR="00E9567F" w:rsidRPr="00AB15C7">
        <w:rPr>
          <w:rFonts w:ascii="Cambria" w:eastAsia="Times New Roman" w:hAnsi="Cambria"/>
          <w:bCs/>
          <w:noProof/>
        </w:rPr>
        <w:t xml:space="preserve">kojom je između ostalog utvrđen i </w:t>
      </w:r>
      <w:r w:rsidR="0011738A" w:rsidRPr="00AB15C7">
        <w:rPr>
          <w:rFonts w:ascii="Cambria" w:hAnsi="Cambria"/>
          <w:bCs/>
          <w:noProof/>
        </w:rPr>
        <w:t>obavezan sadržaj</w:t>
      </w:r>
      <w:r w:rsidR="00A8197B" w:rsidRPr="00AB15C7">
        <w:rPr>
          <w:rFonts w:ascii="Cambria" w:hAnsi="Cambria"/>
          <w:bCs/>
          <w:noProof/>
        </w:rPr>
        <w:t xml:space="preserve"> strategija</w:t>
      </w:r>
      <w:r w:rsidR="0011738A" w:rsidRPr="00AB15C7">
        <w:rPr>
          <w:rFonts w:ascii="Cambria" w:hAnsi="Cambria"/>
          <w:b/>
          <w:bCs/>
          <w:noProof/>
        </w:rPr>
        <w:t>,</w:t>
      </w:r>
      <w:r w:rsidRPr="00AB15C7">
        <w:rPr>
          <w:rFonts w:ascii="Cambria" w:eastAsia="Times New Roman" w:hAnsi="Cambria"/>
          <w:noProof/>
          <w:lang w:val="sr-Latn-ME"/>
        </w:rPr>
        <w:t xml:space="preserve"> </w:t>
      </w:r>
      <w:r w:rsidR="00A8197B" w:rsidRPr="00AB15C7">
        <w:rPr>
          <w:rFonts w:ascii="Cambria" w:eastAsia="Times New Roman" w:hAnsi="Cambria"/>
          <w:noProof/>
          <w:lang w:val="sr-Latn-ME"/>
        </w:rPr>
        <w:t xml:space="preserve">struktura i sadržaj </w:t>
      </w:r>
      <w:r w:rsidR="009B2942">
        <w:rPr>
          <w:rFonts w:ascii="Cambria" w:hAnsi="Cambria"/>
          <w:noProof/>
        </w:rPr>
        <w:t>Nacionalne s</w:t>
      </w:r>
      <w:r w:rsidRPr="00AB15C7">
        <w:rPr>
          <w:rFonts w:ascii="Cambria" w:hAnsi="Cambria"/>
          <w:noProof/>
        </w:rPr>
        <w:t>trategij</w:t>
      </w:r>
      <w:r w:rsidR="00A8197B" w:rsidRPr="00AB15C7">
        <w:rPr>
          <w:rFonts w:ascii="Cambria" w:hAnsi="Cambria"/>
          <w:noProof/>
        </w:rPr>
        <w:t>e</w:t>
      </w:r>
      <w:r w:rsidRPr="00AB15C7">
        <w:rPr>
          <w:rFonts w:ascii="Cambria" w:hAnsi="Cambria"/>
          <w:noProof/>
        </w:rPr>
        <w:t xml:space="preserve"> </w:t>
      </w:r>
      <w:r w:rsidRPr="00AB15C7">
        <w:rPr>
          <w:rFonts w:ascii="Cambria" w:hAnsi="Cambria"/>
          <w:noProof/>
          <w:lang w:val="sr-Latn-ME"/>
        </w:rPr>
        <w:t>upravljanja hemikalijama</w:t>
      </w:r>
      <w:r w:rsidRPr="00AB15C7">
        <w:rPr>
          <w:rFonts w:ascii="Cambria" w:hAnsi="Cambria"/>
          <w:noProof/>
        </w:rPr>
        <w:t xml:space="preserve"> s Akcionim planom za period 2019-2022. </w:t>
      </w:r>
      <w:r w:rsidR="00A8197B" w:rsidRPr="00AB15C7">
        <w:rPr>
          <w:rFonts w:ascii="Cambria" w:eastAsia="Times New Roman" w:hAnsi="Cambria"/>
          <w:noProof/>
          <w:lang w:val="sr-Latn-ME"/>
        </w:rPr>
        <w:t xml:space="preserve">prilagođena je nacionalnim okolnostima tako da </w:t>
      </w:r>
      <w:r w:rsidR="0011738A" w:rsidRPr="00AB15C7">
        <w:rPr>
          <w:rFonts w:ascii="Cambria" w:hAnsi="Cambria"/>
          <w:noProof/>
        </w:rPr>
        <w:t xml:space="preserve">sadrži </w:t>
      </w:r>
      <w:r w:rsidR="00A8197B" w:rsidRPr="00AB15C7">
        <w:rPr>
          <w:rFonts w:ascii="Cambria" w:hAnsi="Cambria"/>
          <w:noProof/>
        </w:rPr>
        <w:t xml:space="preserve">relevantne aspekte </w:t>
      </w:r>
      <w:r w:rsidR="00856C87" w:rsidRPr="00AB15C7">
        <w:rPr>
          <w:rFonts w:ascii="Cambria" w:hAnsi="Cambria"/>
          <w:noProof/>
        </w:rPr>
        <w:t xml:space="preserve">navedene u </w:t>
      </w:r>
      <w:r w:rsidRPr="00AB15C7">
        <w:rPr>
          <w:rFonts w:ascii="Cambria" w:eastAsia="Times New Roman" w:hAnsi="Cambria"/>
          <w:noProof/>
          <w:lang w:val="sr-Latn-ME"/>
        </w:rPr>
        <w:t xml:space="preserve">UNITAR </w:t>
      </w:r>
      <w:r w:rsidR="00856C87" w:rsidRPr="00AB15C7">
        <w:rPr>
          <w:rFonts w:ascii="Cambria" w:eastAsia="Times New Roman" w:hAnsi="Cambria"/>
          <w:noProof/>
          <w:lang w:val="sr-Latn-ME"/>
        </w:rPr>
        <w:t>vodiču</w:t>
      </w:r>
      <w:r w:rsidR="00A8197B" w:rsidRPr="00AB15C7">
        <w:rPr>
          <w:rFonts w:ascii="Cambria" w:eastAsia="Times New Roman" w:hAnsi="Cambria"/>
          <w:noProof/>
          <w:lang w:val="sr-Latn-ME"/>
        </w:rPr>
        <w:t>, ali istovremeno zadovoljava zaht</w:t>
      </w:r>
      <w:r w:rsidR="00D321DF">
        <w:rPr>
          <w:rFonts w:ascii="Cambria" w:eastAsia="Times New Roman" w:hAnsi="Cambria"/>
          <w:noProof/>
          <w:lang w:val="sr-Latn-ME"/>
        </w:rPr>
        <w:t>j</w:t>
      </w:r>
      <w:r w:rsidR="00A8197B" w:rsidRPr="00AB15C7">
        <w:rPr>
          <w:rFonts w:ascii="Cambria" w:eastAsia="Times New Roman" w:hAnsi="Cambria"/>
          <w:noProof/>
          <w:lang w:val="sr-Latn-ME"/>
        </w:rPr>
        <w:t>eve gore pomenute Uredbe i Metodologije</w:t>
      </w:r>
      <w:r w:rsidRPr="00AB15C7">
        <w:rPr>
          <w:rFonts w:ascii="Cambria" w:eastAsia="Times New Roman" w:hAnsi="Cambria"/>
          <w:noProof/>
          <w:lang w:val="sr-Latn-ME"/>
        </w:rPr>
        <w:t>.</w:t>
      </w:r>
      <w:r w:rsidR="00A8197B" w:rsidRPr="00AB15C7">
        <w:rPr>
          <w:rFonts w:ascii="Cambria" w:eastAsia="Times New Roman" w:hAnsi="Cambria"/>
          <w:noProof/>
          <w:lang w:val="sr-Latn-ME"/>
        </w:rPr>
        <w:t xml:space="preserve"> Stoga, Nacionalna strategija sadrži sl</w:t>
      </w:r>
      <w:r w:rsidR="00FC5579" w:rsidRPr="00AB15C7">
        <w:rPr>
          <w:rFonts w:ascii="Cambria" w:eastAsia="Times New Roman" w:hAnsi="Cambria"/>
          <w:noProof/>
          <w:lang w:val="sr-Latn-ME"/>
        </w:rPr>
        <w:t>j</w:t>
      </w:r>
      <w:r w:rsidR="00A8197B" w:rsidRPr="00AB15C7">
        <w:rPr>
          <w:rFonts w:ascii="Cambria" w:eastAsia="Times New Roman" w:hAnsi="Cambria"/>
          <w:noProof/>
          <w:lang w:val="sr-Latn-ME"/>
        </w:rPr>
        <w:t xml:space="preserve">edeća poglavlja i podpoglavlja: </w:t>
      </w:r>
    </w:p>
    <w:p w14:paraId="66B3287C" w14:textId="77777777" w:rsidR="00A8197B" w:rsidRPr="00AB15C7" w:rsidRDefault="00A8197B" w:rsidP="00557C13">
      <w:pPr>
        <w:pStyle w:val="NoSpacing11"/>
        <w:numPr>
          <w:ilvl w:val="0"/>
          <w:numId w:val="29"/>
        </w:numPr>
        <w:spacing w:after="0"/>
        <w:jc w:val="both"/>
        <w:rPr>
          <w:rFonts w:ascii="Cambria" w:eastAsia="Times New Roman" w:hAnsi="Cambria"/>
          <w:noProof/>
          <w:lang w:val="sr-Latn-ME"/>
        </w:rPr>
      </w:pPr>
      <w:r w:rsidRPr="00AB15C7">
        <w:rPr>
          <w:rFonts w:ascii="Cambria" w:eastAsia="Times New Roman" w:hAnsi="Cambria"/>
          <w:noProof/>
          <w:lang w:val="sr-Latn-ME"/>
        </w:rPr>
        <w:t>Uvod</w:t>
      </w:r>
    </w:p>
    <w:p w14:paraId="0225092C" w14:textId="77777777" w:rsidR="00A8197B" w:rsidRPr="00AB15C7" w:rsidRDefault="00A8197B" w:rsidP="00557C13">
      <w:pPr>
        <w:pStyle w:val="NoSpacing11"/>
        <w:numPr>
          <w:ilvl w:val="0"/>
          <w:numId w:val="29"/>
        </w:numPr>
        <w:spacing w:after="0"/>
        <w:jc w:val="both"/>
        <w:rPr>
          <w:rFonts w:ascii="Cambria" w:eastAsia="Times New Roman" w:hAnsi="Cambria"/>
          <w:noProof/>
          <w:lang w:val="sr-Latn-ME"/>
        </w:rPr>
      </w:pPr>
      <w:r w:rsidRPr="00AB15C7">
        <w:rPr>
          <w:rFonts w:ascii="Cambria" w:eastAsia="Times New Roman" w:hAnsi="Cambria"/>
          <w:noProof/>
          <w:lang w:val="sr-Latn-ME"/>
        </w:rPr>
        <w:t>Analiza stanja</w:t>
      </w:r>
    </w:p>
    <w:p w14:paraId="61DD9494" w14:textId="77777777" w:rsidR="00A8197B" w:rsidRPr="00AB15C7" w:rsidRDefault="00A8197B" w:rsidP="00557C13">
      <w:pPr>
        <w:pStyle w:val="NoSpacing11"/>
        <w:numPr>
          <w:ilvl w:val="1"/>
          <w:numId w:val="31"/>
        </w:numPr>
        <w:spacing w:after="0"/>
        <w:ind w:left="1350" w:hanging="630"/>
        <w:jc w:val="both"/>
        <w:rPr>
          <w:rFonts w:ascii="Cambria" w:eastAsia="Times New Roman" w:hAnsi="Cambria"/>
          <w:noProof/>
          <w:lang w:val="sr-Latn-ME"/>
        </w:rPr>
      </w:pPr>
      <w:bookmarkStart w:id="5" w:name="_Hlk522531532"/>
      <w:r w:rsidRPr="00AB15C7">
        <w:rPr>
          <w:rFonts w:ascii="Cambria" w:eastAsia="Times New Roman" w:hAnsi="Cambria"/>
          <w:noProof/>
          <w:lang w:val="sr-Latn-ME"/>
        </w:rPr>
        <w:t xml:space="preserve">Opšte informacije </w:t>
      </w:r>
      <w:r w:rsidR="00FC5579" w:rsidRPr="00AB15C7">
        <w:rPr>
          <w:rFonts w:ascii="Cambria" w:eastAsia="Times New Roman" w:hAnsi="Cambria"/>
          <w:noProof/>
          <w:lang w:val="sr-Latn-ME"/>
        </w:rPr>
        <w:t>o Crnoj Gori</w:t>
      </w:r>
    </w:p>
    <w:p w14:paraId="0C99E96F" w14:textId="77777777" w:rsidR="00A8197B" w:rsidRPr="00AB15C7" w:rsidRDefault="00A8197B" w:rsidP="00557C13">
      <w:pPr>
        <w:pStyle w:val="NoSpacing11"/>
        <w:numPr>
          <w:ilvl w:val="1"/>
          <w:numId w:val="31"/>
        </w:numPr>
        <w:spacing w:after="0"/>
        <w:ind w:left="1350" w:hanging="630"/>
        <w:jc w:val="both"/>
        <w:rPr>
          <w:rFonts w:ascii="Cambria" w:eastAsia="Times New Roman" w:hAnsi="Cambria"/>
          <w:noProof/>
          <w:lang w:val="sr-Latn-ME"/>
        </w:rPr>
      </w:pPr>
      <w:r w:rsidRPr="00AB15C7">
        <w:rPr>
          <w:rFonts w:ascii="Cambria" w:eastAsia="Times New Roman" w:hAnsi="Cambria"/>
          <w:noProof/>
          <w:lang w:val="sr-Latn-ME"/>
        </w:rPr>
        <w:t xml:space="preserve">Proizvodnja, uvoz, izvoz, upotreba hemikalija i upravljanje otpadom </w:t>
      </w:r>
    </w:p>
    <w:p w14:paraId="079CEE84" w14:textId="77777777" w:rsidR="00A8197B" w:rsidRPr="00AB15C7" w:rsidRDefault="00A8197B" w:rsidP="00557C13">
      <w:pPr>
        <w:pStyle w:val="NoSpacing11"/>
        <w:numPr>
          <w:ilvl w:val="1"/>
          <w:numId w:val="31"/>
        </w:numPr>
        <w:spacing w:after="0"/>
        <w:ind w:left="1350" w:hanging="630"/>
        <w:jc w:val="both"/>
        <w:rPr>
          <w:rFonts w:ascii="Cambria" w:eastAsia="Times New Roman" w:hAnsi="Cambria"/>
          <w:noProof/>
          <w:lang w:val="sr-Latn-ME"/>
        </w:rPr>
      </w:pPr>
      <w:r w:rsidRPr="00AB15C7">
        <w:rPr>
          <w:rFonts w:ascii="Cambria" w:eastAsia="Times New Roman" w:hAnsi="Cambria"/>
          <w:noProof/>
          <w:lang w:val="sr-Latn-ME"/>
        </w:rPr>
        <w:t xml:space="preserve">Zakonodavni instrumenti i mehanizmi za upravljanje hemikalijama </w:t>
      </w:r>
    </w:p>
    <w:p w14:paraId="2A76F15B" w14:textId="77777777" w:rsidR="00A8197B" w:rsidRPr="00AB15C7" w:rsidRDefault="00A8197B" w:rsidP="00557C13">
      <w:pPr>
        <w:pStyle w:val="NoSpacing11"/>
        <w:numPr>
          <w:ilvl w:val="1"/>
          <w:numId w:val="31"/>
        </w:numPr>
        <w:spacing w:after="0"/>
        <w:ind w:left="1350" w:hanging="630"/>
        <w:jc w:val="both"/>
        <w:rPr>
          <w:rFonts w:ascii="Cambria" w:eastAsia="Times New Roman" w:hAnsi="Cambria"/>
          <w:noProof/>
          <w:lang w:val="sr-Latn-ME"/>
        </w:rPr>
      </w:pPr>
      <w:r w:rsidRPr="00AB15C7">
        <w:rPr>
          <w:rFonts w:ascii="Cambria" w:eastAsia="Times New Roman" w:hAnsi="Cambria"/>
          <w:noProof/>
          <w:lang w:val="sr-Latn-ME"/>
        </w:rPr>
        <w:t>Ministarstva, agencije i druge državne institucije za upravljanje hemikalijama</w:t>
      </w:r>
    </w:p>
    <w:p w14:paraId="3015FAC3" w14:textId="77777777" w:rsidR="00A8197B" w:rsidRPr="00AB15C7" w:rsidRDefault="0035574D" w:rsidP="00557C13">
      <w:pPr>
        <w:pStyle w:val="NoSpacing11"/>
        <w:numPr>
          <w:ilvl w:val="1"/>
          <w:numId w:val="31"/>
        </w:numPr>
        <w:spacing w:after="0"/>
        <w:ind w:left="1350" w:hanging="630"/>
        <w:jc w:val="both"/>
        <w:rPr>
          <w:rFonts w:ascii="Cambria" w:eastAsia="Times New Roman" w:hAnsi="Cambria"/>
          <w:noProof/>
          <w:lang w:val="sr-Latn-ME"/>
        </w:rPr>
      </w:pPr>
      <w:r>
        <w:rPr>
          <w:rFonts w:ascii="Cambria" w:eastAsia="Times New Roman" w:hAnsi="Cambria"/>
          <w:noProof/>
          <w:lang w:val="sr-Latn-ME"/>
        </w:rPr>
        <w:t>A</w:t>
      </w:r>
      <w:r w:rsidR="00A8197B" w:rsidRPr="00AB15C7">
        <w:rPr>
          <w:rFonts w:ascii="Cambria" w:eastAsia="Times New Roman" w:hAnsi="Cambria"/>
          <w:noProof/>
          <w:lang w:val="sr-Latn-ME"/>
        </w:rPr>
        <w:t>ktivnosti industrije, civilnog sektora, stru</w:t>
      </w:r>
      <w:r w:rsidR="00E54EF3">
        <w:rPr>
          <w:rFonts w:ascii="Cambria" w:eastAsia="Times New Roman" w:hAnsi="Cambria"/>
          <w:noProof/>
          <w:lang w:val="sr-Latn-ME"/>
        </w:rPr>
        <w:t>kovnih</w:t>
      </w:r>
      <w:r w:rsidR="00A8197B" w:rsidRPr="00AB15C7">
        <w:rPr>
          <w:rFonts w:ascii="Cambria" w:eastAsia="Times New Roman" w:hAnsi="Cambria"/>
          <w:noProof/>
          <w:lang w:val="sr-Latn-ME"/>
        </w:rPr>
        <w:t xml:space="preserve"> i istraživačk</w:t>
      </w:r>
      <w:r w:rsidR="00E55FA3">
        <w:rPr>
          <w:rFonts w:ascii="Cambria" w:eastAsia="Times New Roman" w:hAnsi="Cambria"/>
          <w:noProof/>
          <w:lang w:val="sr-Latn-ME"/>
        </w:rPr>
        <w:t>ih</w:t>
      </w:r>
      <w:r w:rsidR="00A8197B" w:rsidRPr="00AB15C7">
        <w:rPr>
          <w:rFonts w:ascii="Cambria" w:eastAsia="Times New Roman" w:hAnsi="Cambria"/>
          <w:noProof/>
          <w:lang w:val="sr-Latn-ME"/>
        </w:rPr>
        <w:t xml:space="preserve"> </w:t>
      </w:r>
      <w:r w:rsidR="00E55FA3">
        <w:rPr>
          <w:rFonts w:ascii="Cambria" w:eastAsia="Times New Roman" w:hAnsi="Cambria"/>
          <w:noProof/>
          <w:lang w:val="sr-Latn-ME"/>
        </w:rPr>
        <w:t>organizacija</w:t>
      </w:r>
    </w:p>
    <w:p w14:paraId="5641E859" w14:textId="77777777" w:rsidR="00A8197B" w:rsidRPr="00AB15C7" w:rsidRDefault="00A8197B" w:rsidP="00557C13">
      <w:pPr>
        <w:pStyle w:val="NoSpacing11"/>
        <w:numPr>
          <w:ilvl w:val="1"/>
          <w:numId w:val="31"/>
        </w:numPr>
        <w:spacing w:after="0"/>
        <w:ind w:left="1350" w:hanging="630"/>
        <w:jc w:val="both"/>
        <w:rPr>
          <w:rFonts w:ascii="Cambria" w:eastAsia="Times New Roman" w:hAnsi="Cambria"/>
          <w:noProof/>
          <w:lang w:val="sr-Latn-ME"/>
        </w:rPr>
      </w:pPr>
      <w:r w:rsidRPr="00AB15C7">
        <w:rPr>
          <w:rFonts w:ascii="Cambria" w:eastAsia="Times New Roman" w:hAnsi="Cambria"/>
          <w:noProof/>
          <w:lang w:val="sr-Latn-ME"/>
        </w:rPr>
        <w:t xml:space="preserve">Međuresorna saradnja i koordinacioni mehanizmi  </w:t>
      </w:r>
    </w:p>
    <w:p w14:paraId="397B928C" w14:textId="77777777" w:rsidR="00A8197B" w:rsidRPr="00AB15C7" w:rsidRDefault="00A8197B" w:rsidP="00557C13">
      <w:pPr>
        <w:pStyle w:val="NoSpacing11"/>
        <w:numPr>
          <w:ilvl w:val="1"/>
          <w:numId w:val="31"/>
        </w:numPr>
        <w:spacing w:after="0"/>
        <w:ind w:left="1350" w:hanging="630"/>
        <w:jc w:val="both"/>
        <w:rPr>
          <w:rFonts w:ascii="Cambria" w:eastAsia="Times New Roman" w:hAnsi="Cambria"/>
          <w:noProof/>
          <w:lang w:val="sr-Latn-ME"/>
        </w:rPr>
      </w:pPr>
      <w:r w:rsidRPr="00AB15C7">
        <w:rPr>
          <w:rFonts w:ascii="Cambria" w:eastAsia="Times New Roman" w:hAnsi="Cambria"/>
          <w:noProof/>
          <w:lang w:val="sr-Latn-ME"/>
        </w:rPr>
        <w:t>Upravljanje informacijama, pristup i korišćenje</w:t>
      </w:r>
    </w:p>
    <w:p w14:paraId="54B1D422" w14:textId="77777777" w:rsidR="00A8197B" w:rsidRPr="00AB15C7" w:rsidRDefault="0035574D" w:rsidP="00557C13">
      <w:pPr>
        <w:pStyle w:val="NoSpacing11"/>
        <w:numPr>
          <w:ilvl w:val="1"/>
          <w:numId w:val="31"/>
        </w:numPr>
        <w:spacing w:after="0"/>
        <w:ind w:left="1350" w:hanging="630"/>
        <w:jc w:val="both"/>
        <w:rPr>
          <w:rFonts w:ascii="Cambria" w:eastAsia="Times New Roman" w:hAnsi="Cambria"/>
          <w:noProof/>
          <w:lang w:val="sr-Latn-ME"/>
        </w:rPr>
      </w:pPr>
      <w:r>
        <w:rPr>
          <w:rFonts w:ascii="Cambria" w:eastAsia="Times New Roman" w:hAnsi="Cambria"/>
          <w:noProof/>
          <w:lang w:val="sr-Latn-ME"/>
        </w:rPr>
        <w:t>Laboratorijska</w:t>
      </w:r>
      <w:r w:rsidR="00A8197B" w:rsidRPr="00AB15C7">
        <w:rPr>
          <w:rFonts w:ascii="Cambria" w:eastAsia="Times New Roman" w:hAnsi="Cambria"/>
          <w:noProof/>
          <w:lang w:val="sr-Latn-ME"/>
        </w:rPr>
        <w:t xml:space="preserve"> infrastruktura</w:t>
      </w:r>
    </w:p>
    <w:p w14:paraId="4523FCEF" w14:textId="72CDE133" w:rsidR="00A8197B" w:rsidRPr="00AB15C7" w:rsidRDefault="00A8197B" w:rsidP="00557C13">
      <w:pPr>
        <w:pStyle w:val="NoSpacing11"/>
        <w:numPr>
          <w:ilvl w:val="1"/>
          <w:numId w:val="31"/>
        </w:numPr>
        <w:spacing w:after="0"/>
        <w:ind w:left="1350" w:hanging="630"/>
        <w:jc w:val="both"/>
        <w:rPr>
          <w:rFonts w:ascii="Cambria" w:eastAsia="Times New Roman" w:hAnsi="Cambria"/>
          <w:noProof/>
          <w:lang w:val="sr-Latn-ME"/>
        </w:rPr>
      </w:pPr>
      <w:r w:rsidRPr="00AB15C7">
        <w:rPr>
          <w:rFonts w:ascii="Cambria" w:eastAsia="Times New Roman" w:hAnsi="Cambria"/>
          <w:noProof/>
          <w:lang w:val="sr-Latn-ME"/>
        </w:rPr>
        <w:t xml:space="preserve">Pripremljenost za </w:t>
      </w:r>
      <w:r w:rsidR="0035574D" w:rsidRPr="0035574D">
        <w:rPr>
          <w:rFonts w:ascii="Cambria" w:eastAsia="Times New Roman" w:hAnsi="Cambria"/>
          <w:noProof/>
          <w:lang w:val="sr-Latn-ME"/>
        </w:rPr>
        <w:t>vanredne situacije</w:t>
      </w:r>
      <w:r w:rsidRPr="00AB15C7">
        <w:rPr>
          <w:rFonts w:ascii="Cambria" w:eastAsia="Times New Roman" w:hAnsi="Cambria"/>
          <w:noProof/>
          <w:lang w:val="sr-Latn-ME"/>
        </w:rPr>
        <w:t xml:space="preserve">, </w:t>
      </w:r>
      <w:r w:rsidR="00E55FA3" w:rsidRPr="00E55FA3">
        <w:rPr>
          <w:rFonts w:ascii="Cambria" w:eastAsia="Times New Roman" w:hAnsi="Cambria"/>
          <w:noProof/>
          <w:lang w:val="sr-Latn-ME"/>
        </w:rPr>
        <w:t xml:space="preserve">uključujući hemijske </w:t>
      </w:r>
      <w:r w:rsidR="00D025A9">
        <w:rPr>
          <w:rFonts w:ascii="Cambria" w:eastAsia="Times New Roman" w:hAnsi="Cambria"/>
          <w:noProof/>
          <w:lang w:val="sr-Latn-ME"/>
        </w:rPr>
        <w:t>udese</w:t>
      </w:r>
    </w:p>
    <w:p w14:paraId="10AB3BD6" w14:textId="77777777" w:rsidR="00E55FA3" w:rsidRPr="00E55FA3" w:rsidRDefault="00E55FA3" w:rsidP="00557C13">
      <w:pPr>
        <w:pStyle w:val="NoSpacing11"/>
        <w:numPr>
          <w:ilvl w:val="1"/>
          <w:numId w:val="31"/>
        </w:numPr>
        <w:spacing w:after="0"/>
        <w:ind w:left="1350" w:hanging="630"/>
        <w:jc w:val="both"/>
        <w:rPr>
          <w:rFonts w:ascii="Cambria" w:hAnsi="Cambria"/>
          <w:noProof/>
          <w:lang w:val="sr-Latn-ME"/>
        </w:rPr>
      </w:pPr>
      <w:r w:rsidRPr="00E54EF3">
        <w:rPr>
          <w:rFonts w:ascii="Cambria" w:eastAsia="Times New Roman" w:hAnsi="Cambria"/>
          <w:noProof/>
          <w:lang w:val="sr-Latn-ME"/>
        </w:rPr>
        <w:t>Svijest</w:t>
      </w:r>
      <w:r w:rsidRPr="00E55FA3">
        <w:rPr>
          <w:rFonts w:ascii="Cambria" w:hAnsi="Cambria"/>
          <w:noProof/>
          <w:lang w:val="sr-Latn-ME"/>
        </w:rPr>
        <w:t xml:space="preserve"> o rizicima od hemikalija; informisanje i edukacija </w:t>
      </w:r>
    </w:p>
    <w:bookmarkEnd w:id="5"/>
    <w:p w14:paraId="14234082" w14:textId="77777777" w:rsidR="00E55FA3" w:rsidRPr="00E55FA3" w:rsidRDefault="00E55FA3" w:rsidP="00557C13">
      <w:pPr>
        <w:pStyle w:val="NoSpacing11"/>
        <w:numPr>
          <w:ilvl w:val="1"/>
          <w:numId w:val="31"/>
        </w:numPr>
        <w:spacing w:after="0"/>
        <w:ind w:left="1350" w:hanging="630"/>
        <w:jc w:val="both"/>
        <w:rPr>
          <w:rFonts w:ascii="Cambria" w:hAnsi="Cambria"/>
          <w:noProof/>
          <w:lang w:val="sr-Latn-ME"/>
        </w:rPr>
      </w:pPr>
      <w:r w:rsidRPr="00E54EF3">
        <w:rPr>
          <w:rFonts w:ascii="Cambria" w:eastAsia="Times New Roman" w:hAnsi="Cambria"/>
          <w:noProof/>
          <w:lang w:val="sr-Latn-ME"/>
        </w:rPr>
        <w:t>Međunarodni</w:t>
      </w:r>
      <w:r w:rsidRPr="00E55FA3">
        <w:rPr>
          <w:rFonts w:ascii="Cambria" w:hAnsi="Cambria"/>
          <w:noProof/>
          <w:lang w:val="sr-Latn-ME"/>
        </w:rPr>
        <w:t xml:space="preserve"> sporazumi u vezi sa upravljanjem hemikalijama</w:t>
      </w:r>
    </w:p>
    <w:p w14:paraId="276E84CF" w14:textId="77777777" w:rsidR="00A8197B" w:rsidRPr="00AB15C7" w:rsidRDefault="00424C76" w:rsidP="00557C13">
      <w:pPr>
        <w:pStyle w:val="NoSpacing11"/>
        <w:numPr>
          <w:ilvl w:val="1"/>
          <w:numId w:val="31"/>
        </w:numPr>
        <w:spacing w:after="0"/>
        <w:ind w:left="1350" w:hanging="630"/>
        <w:jc w:val="both"/>
        <w:rPr>
          <w:rFonts w:ascii="Cambria" w:eastAsia="Times New Roman" w:hAnsi="Cambria"/>
          <w:noProof/>
          <w:lang w:val="sr-Latn-ME"/>
        </w:rPr>
      </w:pPr>
      <w:r w:rsidRPr="00AB15C7">
        <w:rPr>
          <w:rFonts w:ascii="Cambria" w:eastAsia="Times New Roman" w:hAnsi="Cambria"/>
          <w:noProof/>
          <w:lang w:val="sr-Latn-ME"/>
        </w:rPr>
        <w:t>Z</w:t>
      </w:r>
      <w:r w:rsidR="00A8197B" w:rsidRPr="00AB15C7">
        <w:rPr>
          <w:rFonts w:ascii="Cambria" w:eastAsia="Times New Roman" w:hAnsi="Cambria"/>
          <w:noProof/>
          <w:lang w:val="sr-Latn-ME"/>
        </w:rPr>
        <w:t>aključci i preporuke</w:t>
      </w:r>
    </w:p>
    <w:p w14:paraId="55E9BAE9" w14:textId="77777777" w:rsidR="00344C4F" w:rsidRPr="00AB15C7" w:rsidRDefault="00344C4F" w:rsidP="00557C13">
      <w:pPr>
        <w:pStyle w:val="NoSpacing11"/>
        <w:numPr>
          <w:ilvl w:val="0"/>
          <w:numId w:val="29"/>
        </w:numPr>
        <w:spacing w:after="0"/>
        <w:jc w:val="both"/>
        <w:rPr>
          <w:rFonts w:ascii="Cambria" w:eastAsia="Times New Roman" w:hAnsi="Cambria"/>
          <w:noProof/>
          <w:lang w:val="sr-Latn-ME"/>
        </w:rPr>
      </w:pPr>
      <w:r w:rsidRPr="00AB15C7">
        <w:rPr>
          <w:rFonts w:ascii="Cambria" w:eastAsia="Times New Roman" w:hAnsi="Cambria"/>
          <w:noProof/>
          <w:lang w:val="sr-Latn-ME"/>
        </w:rPr>
        <w:t xml:space="preserve">Ciljevi, aktivnosti i </w:t>
      </w:r>
      <w:r w:rsidR="00E54EF3">
        <w:rPr>
          <w:rFonts w:ascii="Cambria" w:eastAsia="Times New Roman" w:hAnsi="Cambria"/>
          <w:noProof/>
          <w:lang w:val="sr-Latn-ME"/>
        </w:rPr>
        <w:t>praćenje sprovođenja strategije</w:t>
      </w:r>
    </w:p>
    <w:p w14:paraId="02B461F4" w14:textId="77777777" w:rsidR="00A8197B" w:rsidRPr="00AB15C7" w:rsidRDefault="00A8197B" w:rsidP="00557C13">
      <w:pPr>
        <w:pStyle w:val="NoSpacing11"/>
        <w:numPr>
          <w:ilvl w:val="1"/>
          <w:numId w:val="32"/>
        </w:numPr>
        <w:spacing w:after="0"/>
        <w:ind w:left="1260" w:hanging="540"/>
        <w:jc w:val="both"/>
        <w:rPr>
          <w:rFonts w:ascii="Cambria" w:eastAsia="Times New Roman" w:hAnsi="Cambria"/>
          <w:noProof/>
          <w:lang w:val="sr-Latn-ME"/>
        </w:rPr>
      </w:pPr>
      <w:bookmarkStart w:id="6" w:name="_Hlk522358212"/>
      <w:r w:rsidRPr="00AB15C7">
        <w:rPr>
          <w:rFonts w:ascii="Cambria" w:eastAsia="Times New Roman" w:hAnsi="Cambria"/>
          <w:noProof/>
          <w:lang w:val="sr-Latn-ME"/>
        </w:rPr>
        <w:t>Strategijski</w:t>
      </w:r>
      <w:r w:rsidR="00E54EF3">
        <w:rPr>
          <w:rFonts w:ascii="Cambria" w:eastAsia="Times New Roman" w:hAnsi="Cambria"/>
          <w:noProof/>
          <w:lang w:val="sr-Latn-ME"/>
        </w:rPr>
        <w:t xml:space="preserve"> i</w:t>
      </w:r>
      <w:r w:rsidRPr="00AB15C7">
        <w:rPr>
          <w:rFonts w:ascii="Cambria" w:eastAsia="Times New Roman" w:hAnsi="Cambria"/>
          <w:noProof/>
          <w:lang w:val="sr-Latn-ME"/>
        </w:rPr>
        <w:t xml:space="preserve"> operativni ciljevi sa pratećim indikatorima uspjeha</w:t>
      </w:r>
    </w:p>
    <w:p w14:paraId="5D1E70EE" w14:textId="77777777" w:rsidR="00A8197B" w:rsidRPr="00AB15C7" w:rsidRDefault="00A8197B" w:rsidP="00557C13">
      <w:pPr>
        <w:pStyle w:val="NoSpacing11"/>
        <w:numPr>
          <w:ilvl w:val="1"/>
          <w:numId w:val="32"/>
        </w:numPr>
        <w:spacing w:after="0"/>
        <w:ind w:left="1260" w:hanging="540"/>
        <w:jc w:val="both"/>
        <w:rPr>
          <w:rFonts w:ascii="Cambria" w:eastAsia="Times New Roman" w:hAnsi="Cambria"/>
          <w:noProof/>
          <w:lang w:val="sr-Latn-ME"/>
        </w:rPr>
      </w:pPr>
      <w:r w:rsidRPr="00AB15C7">
        <w:rPr>
          <w:rFonts w:ascii="Cambria" w:eastAsia="Times New Roman" w:hAnsi="Cambria"/>
          <w:noProof/>
          <w:lang w:val="sr-Latn-ME"/>
        </w:rPr>
        <w:t>Ključne aktivnosti za sprovođenje operativnih ciljeva</w:t>
      </w:r>
    </w:p>
    <w:p w14:paraId="5813D20C" w14:textId="596E4D24" w:rsidR="00A8197B" w:rsidRPr="002240B7" w:rsidRDefault="00AF3C55" w:rsidP="00557C13">
      <w:pPr>
        <w:pStyle w:val="NoSpacing11"/>
        <w:numPr>
          <w:ilvl w:val="1"/>
          <w:numId w:val="32"/>
        </w:numPr>
        <w:spacing w:after="0"/>
        <w:ind w:left="1260" w:hanging="540"/>
        <w:jc w:val="both"/>
        <w:rPr>
          <w:rFonts w:ascii="Cambria" w:eastAsia="Times New Roman" w:hAnsi="Cambria"/>
          <w:noProof/>
          <w:lang w:val="sr-Latn-ME"/>
        </w:rPr>
      </w:pPr>
      <w:r w:rsidRPr="002240B7">
        <w:rPr>
          <w:rFonts w:ascii="Cambria" w:eastAsia="Times New Roman" w:hAnsi="Cambria"/>
          <w:noProof/>
          <w:lang w:val="sr-Latn-ME"/>
        </w:rPr>
        <w:t>P</w:t>
      </w:r>
      <w:r w:rsidR="00A8197B" w:rsidRPr="002240B7">
        <w:rPr>
          <w:rFonts w:ascii="Cambria" w:eastAsia="Times New Roman" w:hAnsi="Cambria"/>
          <w:noProof/>
          <w:lang w:val="sr-Latn-ME"/>
        </w:rPr>
        <w:t>raćenje sprovođenja</w:t>
      </w:r>
      <w:r w:rsidRPr="002240B7">
        <w:rPr>
          <w:rFonts w:ascii="Cambria" w:eastAsia="Times New Roman" w:hAnsi="Cambria"/>
          <w:noProof/>
          <w:lang w:val="sr-Latn-ME"/>
        </w:rPr>
        <w:t xml:space="preserve"> strategije</w:t>
      </w:r>
      <w:r w:rsidR="002240B7" w:rsidRPr="002240B7">
        <w:rPr>
          <w:rFonts w:ascii="Cambria" w:eastAsia="Times New Roman" w:hAnsi="Cambria"/>
          <w:noProof/>
          <w:lang w:val="sr-Latn-ME"/>
        </w:rPr>
        <w:t xml:space="preserve">, </w:t>
      </w:r>
      <w:r w:rsidR="002240B7">
        <w:rPr>
          <w:rFonts w:ascii="Cambria" w:eastAsia="Times New Roman" w:hAnsi="Cambria"/>
          <w:noProof/>
          <w:lang w:val="sr-Latn-ME"/>
        </w:rPr>
        <w:t>i</w:t>
      </w:r>
      <w:r w:rsidR="00A8197B" w:rsidRPr="002240B7">
        <w:rPr>
          <w:rFonts w:ascii="Cambria" w:eastAsia="Times New Roman" w:hAnsi="Cambria"/>
          <w:noProof/>
          <w:lang w:val="sr-Latn-ME"/>
        </w:rPr>
        <w:t>zvještavanj</w:t>
      </w:r>
      <w:r w:rsidRPr="002240B7">
        <w:rPr>
          <w:rFonts w:ascii="Cambria" w:eastAsia="Times New Roman" w:hAnsi="Cambria"/>
          <w:noProof/>
          <w:lang w:val="sr-Latn-ME"/>
        </w:rPr>
        <w:t>e</w:t>
      </w:r>
      <w:r w:rsidR="00A8197B" w:rsidRPr="002240B7">
        <w:rPr>
          <w:rFonts w:ascii="Cambria" w:eastAsia="Times New Roman" w:hAnsi="Cambria"/>
          <w:noProof/>
          <w:lang w:val="sr-Latn-ME"/>
        </w:rPr>
        <w:t xml:space="preserve"> i evaluacij</w:t>
      </w:r>
      <w:r w:rsidRPr="002240B7">
        <w:rPr>
          <w:rFonts w:ascii="Cambria" w:eastAsia="Times New Roman" w:hAnsi="Cambria"/>
          <w:noProof/>
          <w:lang w:val="sr-Latn-ME"/>
        </w:rPr>
        <w:t>a</w:t>
      </w:r>
    </w:p>
    <w:bookmarkEnd w:id="6"/>
    <w:p w14:paraId="0B6DFDB0" w14:textId="77777777" w:rsidR="002904CB" w:rsidRPr="00AB15C7" w:rsidRDefault="00FC5579" w:rsidP="00557C13">
      <w:pPr>
        <w:pStyle w:val="NoSpacing11"/>
        <w:numPr>
          <w:ilvl w:val="0"/>
          <w:numId w:val="29"/>
        </w:numPr>
        <w:spacing w:after="0"/>
        <w:jc w:val="both"/>
        <w:rPr>
          <w:rFonts w:ascii="Cambria" w:eastAsia="Times New Roman" w:hAnsi="Cambria"/>
          <w:noProof/>
          <w:lang w:val="sr-Latn-ME"/>
        </w:rPr>
      </w:pPr>
      <w:r w:rsidRPr="00AB15C7">
        <w:rPr>
          <w:rFonts w:ascii="Cambria" w:eastAsia="Times New Roman" w:hAnsi="Cambria"/>
          <w:noProof/>
          <w:lang w:val="sr-Latn-ME"/>
        </w:rPr>
        <w:t>Rezime (</w:t>
      </w:r>
      <w:r w:rsidR="00D44B9B">
        <w:rPr>
          <w:rFonts w:ascii="Cambria" w:eastAsia="Times New Roman" w:hAnsi="Cambria"/>
          <w:noProof/>
          <w:lang w:val="sr-Latn-ME"/>
        </w:rPr>
        <w:t>Kratka i</w:t>
      </w:r>
      <w:r w:rsidR="00A8197B" w:rsidRPr="00AB15C7">
        <w:rPr>
          <w:rFonts w:ascii="Cambria" w:eastAsia="Times New Roman" w:hAnsi="Cambria"/>
          <w:noProof/>
          <w:lang w:val="sr-Latn-ME"/>
        </w:rPr>
        <w:t>nformacija o ciljevima i očekivanim rezultatima strategije</w:t>
      </w:r>
      <w:r w:rsidRPr="00AB15C7">
        <w:rPr>
          <w:rFonts w:ascii="Cambria" w:eastAsia="Times New Roman" w:hAnsi="Cambria"/>
          <w:noProof/>
          <w:lang w:val="sr-Latn-ME"/>
        </w:rPr>
        <w:t>)</w:t>
      </w:r>
    </w:p>
    <w:p w14:paraId="15AA0EEC" w14:textId="77777777" w:rsidR="00424C76" w:rsidRPr="00AB15C7" w:rsidRDefault="00424C76" w:rsidP="00557C13">
      <w:pPr>
        <w:pStyle w:val="NoSpacing11"/>
        <w:numPr>
          <w:ilvl w:val="0"/>
          <w:numId w:val="29"/>
        </w:numPr>
        <w:spacing w:after="0"/>
        <w:jc w:val="both"/>
        <w:rPr>
          <w:rFonts w:ascii="Cambria" w:eastAsia="Times New Roman" w:hAnsi="Cambria"/>
          <w:noProof/>
          <w:lang w:val="sr-Latn-ME"/>
        </w:rPr>
      </w:pPr>
      <w:r w:rsidRPr="00AB15C7">
        <w:rPr>
          <w:rFonts w:ascii="Cambria" w:eastAsia="Times New Roman" w:hAnsi="Cambria"/>
          <w:noProof/>
          <w:lang w:val="sr-Latn-ME"/>
        </w:rPr>
        <w:t>Akcioni plan</w:t>
      </w:r>
    </w:p>
    <w:p w14:paraId="380B403D" w14:textId="77777777" w:rsidR="00344C4F" w:rsidRPr="00AB15C7" w:rsidRDefault="00AF3C55" w:rsidP="005921EF">
      <w:pPr>
        <w:pStyle w:val="NoSpacing11"/>
        <w:spacing w:after="0"/>
        <w:ind w:left="720"/>
        <w:jc w:val="both"/>
        <w:rPr>
          <w:rFonts w:ascii="Cambria" w:eastAsia="Times New Roman" w:hAnsi="Cambria"/>
          <w:noProof/>
          <w:lang w:val="sr-Latn-ME"/>
        </w:rPr>
      </w:pPr>
      <w:r>
        <w:rPr>
          <w:rFonts w:ascii="Cambria" w:eastAsia="Times New Roman" w:hAnsi="Cambria"/>
          <w:noProof/>
          <w:lang w:val="sr-Latn-ME"/>
        </w:rPr>
        <w:t>Prilog</w:t>
      </w:r>
    </w:p>
    <w:p w14:paraId="22AC2919" w14:textId="77777777" w:rsidR="002904CB" w:rsidRPr="00AB15C7" w:rsidRDefault="002904CB" w:rsidP="005921EF">
      <w:pPr>
        <w:pStyle w:val="NoSpacing11"/>
        <w:spacing w:after="0"/>
        <w:jc w:val="both"/>
        <w:rPr>
          <w:rFonts w:ascii="Cambria" w:eastAsia="Times New Roman" w:hAnsi="Cambria"/>
          <w:noProof/>
          <w:lang w:val="sr-Latn-ME"/>
        </w:rPr>
      </w:pPr>
    </w:p>
    <w:p w14:paraId="41B15BC1" w14:textId="4E7E7888" w:rsidR="00AF3C55" w:rsidRPr="00AF3C55" w:rsidRDefault="00E54EF3" w:rsidP="00BB628D">
      <w:pPr>
        <w:pStyle w:val="NoSpacing1"/>
        <w:spacing w:line="276" w:lineRule="auto"/>
        <w:jc w:val="both"/>
        <w:rPr>
          <w:rFonts w:ascii="Cambria" w:eastAsia="Times New Roman" w:hAnsi="Cambria"/>
          <w:noProof/>
          <w:lang w:val="sr-Latn-ME"/>
        </w:rPr>
      </w:pPr>
      <w:r w:rsidRPr="00AF3C55">
        <w:rPr>
          <w:rFonts w:ascii="Cambria" w:eastAsia="Times New Roman" w:hAnsi="Cambria"/>
          <w:noProof/>
          <w:lang w:val="sr-Latn-ME"/>
        </w:rPr>
        <w:lastRenderedPageBreak/>
        <w:t xml:space="preserve">U cilju ostvarivanja </w:t>
      </w:r>
      <w:r w:rsidR="00BB628D" w:rsidRPr="00AF3C55">
        <w:rPr>
          <w:rFonts w:ascii="Cambria" w:eastAsia="Times New Roman" w:hAnsi="Cambria"/>
          <w:noProof/>
          <w:lang w:val="sr-Latn-ME"/>
        </w:rPr>
        <w:t>neophodne m</w:t>
      </w:r>
      <w:r w:rsidRPr="00AF3C55">
        <w:rPr>
          <w:rFonts w:ascii="Cambria" w:eastAsia="Times New Roman" w:hAnsi="Cambria"/>
          <w:noProof/>
          <w:lang w:val="sr-Latn-ME"/>
        </w:rPr>
        <w:t xml:space="preserve">eđuresorne saradnje </w:t>
      </w:r>
      <w:r w:rsidR="00BB628D" w:rsidRPr="00AF3C55">
        <w:rPr>
          <w:rFonts w:ascii="Cambria" w:eastAsia="Times New Roman" w:hAnsi="Cambria"/>
          <w:noProof/>
          <w:lang w:val="sr-Latn-ME"/>
        </w:rPr>
        <w:t>i koordinacije</w:t>
      </w:r>
      <w:r w:rsidR="00CF7EF9">
        <w:rPr>
          <w:rFonts w:ascii="Cambria" w:eastAsia="Times New Roman" w:hAnsi="Cambria"/>
          <w:noProof/>
          <w:lang w:val="sr-Latn-ME"/>
        </w:rPr>
        <w:t xml:space="preserve"> </w:t>
      </w:r>
      <w:r w:rsidR="00BB628D" w:rsidRPr="00AF3C55">
        <w:rPr>
          <w:rFonts w:ascii="Cambria" w:eastAsia="Times New Roman" w:hAnsi="Cambria"/>
          <w:noProof/>
          <w:lang w:val="sr-Latn-ME"/>
        </w:rPr>
        <w:t xml:space="preserve">u prikupljanju informacija  potrebnih za procjenu stanja  i određivanju ciljeva,  aktivnosti i prioritetnih zadataka </w:t>
      </w:r>
      <w:r w:rsidR="00B633B3" w:rsidRPr="00AF3C55">
        <w:rPr>
          <w:rFonts w:ascii="Cambria" w:eastAsia="Times New Roman" w:hAnsi="Cambria"/>
          <w:noProof/>
          <w:lang w:val="sr-Latn-ME"/>
        </w:rPr>
        <w:t>u</w:t>
      </w:r>
      <w:r w:rsidR="00BB628D" w:rsidRPr="00AF3C55">
        <w:rPr>
          <w:rFonts w:ascii="Cambria" w:eastAsia="Times New Roman" w:hAnsi="Cambria"/>
          <w:noProof/>
          <w:lang w:val="sr-Latn-ME"/>
        </w:rPr>
        <w:t xml:space="preserve"> svim </w:t>
      </w:r>
      <w:r w:rsidR="00B633B3" w:rsidRPr="00AF3C55">
        <w:rPr>
          <w:rFonts w:ascii="Cambria" w:eastAsia="Times New Roman" w:hAnsi="Cambria"/>
          <w:noProof/>
          <w:lang w:val="sr-Latn-ME"/>
        </w:rPr>
        <w:t>područjima</w:t>
      </w:r>
      <w:r w:rsidR="00BB628D" w:rsidRPr="00AF3C55">
        <w:rPr>
          <w:rFonts w:ascii="Cambria" w:eastAsia="Times New Roman" w:hAnsi="Cambria"/>
          <w:noProof/>
          <w:lang w:val="sr-Latn-ME"/>
        </w:rPr>
        <w:t xml:space="preserve"> hemijske bezbjednost formirana je </w:t>
      </w:r>
      <w:r w:rsidR="00BB628D" w:rsidRPr="00AF3C55">
        <w:rPr>
          <w:rFonts w:ascii="Cambria" w:eastAsia="Times New Roman" w:hAnsi="Cambria"/>
          <w:noProof/>
          <w:u w:val="single"/>
          <w:lang w:val="sr-Latn-ME"/>
        </w:rPr>
        <w:t>Radna grupa za izradu Nacionalne strategije upravljanja hemikalijama</w:t>
      </w:r>
      <w:r w:rsidR="00BB628D" w:rsidRPr="00AF3C55">
        <w:rPr>
          <w:rFonts w:ascii="Cambria" w:eastAsia="Times New Roman" w:hAnsi="Cambria"/>
          <w:noProof/>
          <w:lang w:val="sr-Latn-ME"/>
        </w:rPr>
        <w:t>. Osim predstavnika Ministarstva održivog razvoja i turizma (MORT),</w:t>
      </w:r>
      <w:r w:rsidR="00B633B3" w:rsidRPr="00AF3C55">
        <w:rPr>
          <w:rFonts w:ascii="Cambria" w:eastAsia="Times New Roman" w:hAnsi="Cambria"/>
          <w:noProof/>
          <w:lang w:val="sr-Latn-ME"/>
        </w:rPr>
        <w:t xml:space="preserve"> kao primarno nadležnog organa za upravljanje hemikalijama</w:t>
      </w:r>
      <w:r w:rsidR="00640155">
        <w:rPr>
          <w:rFonts w:ascii="Cambria" w:eastAsia="Times New Roman" w:hAnsi="Cambria"/>
          <w:noProof/>
          <w:lang w:val="sr-Latn-ME"/>
        </w:rPr>
        <w:t xml:space="preserve">, </w:t>
      </w:r>
      <w:r w:rsidR="00BB628D" w:rsidRPr="00AF3C55">
        <w:rPr>
          <w:rFonts w:ascii="Cambria" w:eastAsia="Times New Roman" w:hAnsi="Cambria"/>
          <w:noProof/>
          <w:lang w:val="sr-Latn-ME"/>
        </w:rPr>
        <w:t xml:space="preserve"> Radna grupa se sastoj</w:t>
      </w:r>
      <w:r w:rsidR="00640155">
        <w:rPr>
          <w:rFonts w:ascii="Cambria" w:eastAsia="Times New Roman" w:hAnsi="Cambria"/>
          <w:noProof/>
          <w:lang w:val="sr-Latn-ME"/>
        </w:rPr>
        <w:t>ala</w:t>
      </w:r>
      <w:r w:rsidR="00BB628D" w:rsidRPr="00AF3C55">
        <w:rPr>
          <w:rFonts w:ascii="Cambria" w:eastAsia="Times New Roman" w:hAnsi="Cambria"/>
          <w:noProof/>
          <w:lang w:val="sr-Latn-ME"/>
        </w:rPr>
        <w:t xml:space="preserve"> od  predstavnika Agencije za zaštitu prirode i životne sredine (AZPŽS), Uprave za inspekcijske poslove (UIP), Uprave za bezbjednost hrane, veterinu i fitosanitarne poslove (UBHVFP), Ministarstva rada i socijalnog staranja (MRSS), Ministarstva ekonomije (ME), Uprave Carina (UC), </w:t>
      </w:r>
      <w:r w:rsidR="005331A9">
        <w:rPr>
          <w:rFonts w:ascii="Cambria" w:eastAsia="Times New Roman" w:hAnsi="Cambria"/>
          <w:noProof/>
          <w:lang w:val="sr-Latn-ME"/>
        </w:rPr>
        <w:t xml:space="preserve">Ministarstva zdravlja (MZ), </w:t>
      </w:r>
      <w:r w:rsidR="00BB628D" w:rsidRPr="00AF3C55">
        <w:rPr>
          <w:rFonts w:ascii="Cambria" w:eastAsia="Times New Roman" w:hAnsi="Cambria"/>
          <w:noProof/>
          <w:lang w:val="sr-Latn-ME"/>
        </w:rPr>
        <w:t xml:space="preserve">Instituta za javno zdravlje (IJZ),  Centra za ekotoksikološka istraživanja (CETI) i Univerziteta Crne Gore (UCG).  </w:t>
      </w:r>
      <w:r w:rsidR="00AF3C55" w:rsidRPr="00AF3C55">
        <w:rPr>
          <w:rFonts w:ascii="Cambria" w:eastAsia="Times New Roman" w:hAnsi="Cambria"/>
          <w:noProof/>
          <w:lang w:val="sr-Latn-ME"/>
        </w:rPr>
        <w:t>Za koordinaciju rada Radne grupe bio je zadužen MORT.</w:t>
      </w:r>
    </w:p>
    <w:p w14:paraId="4C19D361" w14:textId="77777777" w:rsidR="00AF3C55" w:rsidRPr="00AF3C55" w:rsidRDefault="00AF3C55" w:rsidP="00BB628D">
      <w:pPr>
        <w:pStyle w:val="NoSpacing1"/>
        <w:spacing w:line="276" w:lineRule="auto"/>
        <w:jc w:val="both"/>
        <w:rPr>
          <w:rFonts w:ascii="Cambria" w:eastAsia="Times New Roman" w:hAnsi="Cambria"/>
          <w:noProof/>
          <w:lang w:val="sr-Latn-ME"/>
        </w:rPr>
      </w:pPr>
    </w:p>
    <w:p w14:paraId="15CF0908" w14:textId="77777777" w:rsidR="00BB628D" w:rsidRPr="00AF3C55" w:rsidRDefault="00B633B3" w:rsidP="00360F0F">
      <w:pPr>
        <w:jc w:val="both"/>
        <w:rPr>
          <w:rFonts w:ascii="Cambria" w:hAnsi="Cambria"/>
          <w:noProof/>
          <w:lang w:val="sr-Latn-ME"/>
        </w:rPr>
      </w:pPr>
      <w:r w:rsidRPr="00AF3C55">
        <w:rPr>
          <w:rFonts w:ascii="Cambria" w:hAnsi="Cambria"/>
          <w:noProof/>
          <w:lang w:val="sr-Latn-ME"/>
        </w:rPr>
        <w:t xml:space="preserve">Za stručnu i </w:t>
      </w:r>
      <w:r w:rsidR="006F3CCA" w:rsidRPr="00AF3C55">
        <w:rPr>
          <w:rFonts w:ascii="Cambria" w:hAnsi="Cambria"/>
          <w:noProof/>
          <w:lang w:val="sr-Latn-ME"/>
        </w:rPr>
        <w:t xml:space="preserve">tehničku podršku u pogledu izrade strategije, uključujući </w:t>
      </w:r>
      <w:r w:rsidR="006F3CCA" w:rsidRPr="00AF3C55">
        <w:rPr>
          <w:rFonts w:ascii="Cambria" w:hAnsi="Cambria"/>
          <w:noProof/>
        </w:rPr>
        <w:t>prikupljanje i analizu podataka</w:t>
      </w:r>
      <w:r w:rsidRPr="00AF3C55">
        <w:rPr>
          <w:rFonts w:ascii="Cambria" w:hAnsi="Cambria"/>
          <w:noProof/>
          <w:lang w:val="sr-Latn-ME"/>
        </w:rPr>
        <w:t xml:space="preserve"> </w:t>
      </w:r>
      <w:r w:rsidR="006F3CCA" w:rsidRPr="00AF3C55">
        <w:rPr>
          <w:rFonts w:ascii="Cambria" w:hAnsi="Cambria"/>
          <w:noProof/>
          <w:lang w:val="sr-Latn-ME"/>
        </w:rPr>
        <w:t>uzimaju</w:t>
      </w:r>
      <w:r w:rsidR="00AF3C55" w:rsidRPr="00AF3C55">
        <w:rPr>
          <w:rFonts w:ascii="Cambria" w:hAnsi="Cambria"/>
          <w:noProof/>
          <w:lang w:val="sr-Latn-ME"/>
        </w:rPr>
        <w:t>ć</w:t>
      </w:r>
      <w:r w:rsidR="006F3CCA" w:rsidRPr="00AF3C55">
        <w:rPr>
          <w:rFonts w:ascii="Cambria" w:hAnsi="Cambria"/>
          <w:noProof/>
          <w:lang w:val="sr-Latn-ME"/>
        </w:rPr>
        <w:t xml:space="preserve">i u obzir </w:t>
      </w:r>
      <w:r w:rsidR="00AF3C55" w:rsidRPr="00AF3C55">
        <w:rPr>
          <w:rFonts w:ascii="Cambria" w:hAnsi="Cambria"/>
          <w:noProof/>
          <w:lang w:val="sr-Latn-ME"/>
        </w:rPr>
        <w:t xml:space="preserve">sve relevantne akte, direktno ili indirektno povezane sa upravljanjem hemikalijama, kao i relevantne međunarodne sporazume i konvencije u oblasti upravljanja hemikalijama, </w:t>
      </w:r>
      <w:r w:rsidRPr="00AF3C55">
        <w:rPr>
          <w:rFonts w:ascii="Cambria" w:hAnsi="Cambria"/>
          <w:noProof/>
          <w:lang w:val="sr-Latn-ME"/>
        </w:rPr>
        <w:t>uz</w:t>
      </w:r>
      <w:r w:rsidR="00AF3C55" w:rsidRPr="00AF3C55">
        <w:rPr>
          <w:rFonts w:ascii="Cambria" w:hAnsi="Cambria"/>
          <w:noProof/>
          <w:lang w:val="sr-Latn-ME"/>
        </w:rPr>
        <w:t xml:space="preserve"> finansijsku </w:t>
      </w:r>
      <w:r w:rsidRPr="00AF3C55">
        <w:rPr>
          <w:rFonts w:ascii="Cambria" w:hAnsi="Cambria"/>
          <w:noProof/>
          <w:lang w:val="sr-Latn-ME"/>
        </w:rPr>
        <w:t>podršku UNDP</w:t>
      </w:r>
      <w:r w:rsidR="00AF3C55" w:rsidRPr="00AF3C55">
        <w:rPr>
          <w:rFonts w:ascii="Cambria" w:hAnsi="Cambria"/>
          <w:noProof/>
          <w:lang w:val="sr-Latn-ME"/>
        </w:rPr>
        <w:t xml:space="preserve">, </w:t>
      </w:r>
      <w:r w:rsidRPr="00AF3C55">
        <w:rPr>
          <w:rFonts w:ascii="Cambria" w:hAnsi="Cambria"/>
          <w:noProof/>
          <w:lang w:val="sr-Latn-ME"/>
        </w:rPr>
        <w:t>angažovan je internacionalni konsultant sa višegodišnjim iskustvom u oblasti upravljanja hemikalijama</w:t>
      </w:r>
      <w:r w:rsidR="00AF3C55" w:rsidRPr="00AF3C55">
        <w:rPr>
          <w:rFonts w:ascii="Cambria" w:hAnsi="Cambria"/>
          <w:noProof/>
          <w:lang w:val="sr-Latn-ME"/>
        </w:rPr>
        <w:t>.</w:t>
      </w:r>
    </w:p>
    <w:p w14:paraId="7FEDF1F1" w14:textId="4FBEA26C" w:rsidR="00355A1F" w:rsidRPr="00AB15C7" w:rsidRDefault="00974E00" w:rsidP="00FB147E">
      <w:pPr>
        <w:jc w:val="both"/>
        <w:rPr>
          <w:rFonts w:ascii="Cambria" w:hAnsi="Cambria"/>
          <w:noProof/>
          <w:lang w:val="sr-Latn-ME"/>
        </w:rPr>
      </w:pPr>
      <w:r w:rsidRPr="00AB15C7">
        <w:rPr>
          <w:rFonts w:ascii="Cambria" w:hAnsi="Cambria"/>
          <w:noProof/>
          <w:lang w:val="sr-Latn-ME"/>
        </w:rPr>
        <w:t xml:space="preserve">Shodno Zakonu o hemikalijama, </w:t>
      </w:r>
      <w:r w:rsidR="007C39F5">
        <w:rPr>
          <w:rFonts w:ascii="Cambria" w:hAnsi="Cambria"/>
          <w:noProof/>
          <w:lang w:val="sr-Latn-ME"/>
        </w:rPr>
        <w:t>s</w:t>
      </w:r>
      <w:r w:rsidRPr="00AB15C7">
        <w:rPr>
          <w:rFonts w:ascii="Cambria" w:hAnsi="Cambria"/>
          <w:noProof/>
          <w:lang w:val="sr-Latn-ME"/>
        </w:rPr>
        <w:t xml:space="preserve">trategija pokriva četvorogodišnji period 2019–2022. </w:t>
      </w:r>
      <w:r w:rsidR="00355A1F">
        <w:rPr>
          <w:rFonts w:ascii="Cambria" w:hAnsi="Cambria"/>
          <w:noProof/>
          <w:lang w:val="sr-Latn-ME"/>
        </w:rPr>
        <w:t>i utvrđuje</w:t>
      </w:r>
      <w:r w:rsidRPr="00AB15C7">
        <w:rPr>
          <w:rFonts w:ascii="Cambria" w:hAnsi="Cambria"/>
          <w:noProof/>
          <w:lang w:val="sr-Latn-ME"/>
        </w:rPr>
        <w:t xml:space="preserve"> odgovarajuće </w:t>
      </w:r>
      <w:r w:rsidR="00640155">
        <w:rPr>
          <w:rFonts w:ascii="Cambria" w:hAnsi="Cambria"/>
          <w:noProof/>
          <w:lang w:val="sr-Latn-ME"/>
        </w:rPr>
        <w:t>aktivnosti</w:t>
      </w:r>
      <w:r w:rsidRPr="00AB15C7">
        <w:rPr>
          <w:rFonts w:ascii="Cambria" w:hAnsi="Cambria"/>
          <w:noProof/>
          <w:lang w:val="sr-Latn-ME"/>
        </w:rPr>
        <w:t xml:space="preserve"> koje je moguće sprovesti u ovom periodu imajući u vidu </w:t>
      </w:r>
      <w:r w:rsidR="00FB147E">
        <w:rPr>
          <w:rFonts w:ascii="Cambria" w:hAnsi="Cambria"/>
          <w:noProof/>
          <w:lang w:val="sr-Latn-ME"/>
        </w:rPr>
        <w:t>identifikovane</w:t>
      </w:r>
      <w:r w:rsidRPr="00AB15C7">
        <w:rPr>
          <w:rFonts w:ascii="Cambria" w:hAnsi="Cambria"/>
          <w:noProof/>
          <w:lang w:val="sr-Latn-ME"/>
        </w:rPr>
        <w:t xml:space="preserve"> </w:t>
      </w:r>
      <w:r w:rsidR="00FB147E" w:rsidRPr="00AB15C7">
        <w:rPr>
          <w:rFonts w:ascii="Cambria" w:hAnsi="Cambria"/>
          <w:noProof/>
          <w:lang w:val="sr-Latn-ME"/>
        </w:rPr>
        <w:t>prednosti, slabosti i nedostat</w:t>
      </w:r>
      <w:r w:rsidR="00FB147E">
        <w:rPr>
          <w:rFonts w:ascii="Cambria" w:hAnsi="Cambria"/>
          <w:noProof/>
          <w:lang w:val="sr-Latn-ME"/>
        </w:rPr>
        <w:t>a</w:t>
      </w:r>
      <w:r w:rsidR="00FB147E" w:rsidRPr="00AB15C7">
        <w:rPr>
          <w:rFonts w:ascii="Cambria" w:hAnsi="Cambria"/>
          <w:noProof/>
          <w:lang w:val="sr-Latn-ME"/>
        </w:rPr>
        <w:t>k</w:t>
      </w:r>
      <w:r w:rsidR="00FB147E">
        <w:rPr>
          <w:rFonts w:ascii="Cambria" w:hAnsi="Cambria"/>
          <w:noProof/>
          <w:lang w:val="sr-Latn-ME"/>
        </w:rPr>
        <w:t>e,</w:t>
      </w:r>
      <w:r w:rsidR="00FB147E" w:rsidRPr="00AB15C7">
        <w:rPr>
          <w:rFonts w:ascii="Cambria" w:hAnsi="Cambria"/>
          <w:noProof/>
          <w:lang w:val="sr-Latn-ME"/>
        </w:rPr>
        <w:t xml:space="preserve"> </w:t>
      </w:r>
      <w:r w:rsidRPr="00AB15C7">
        <w:rPr>
          <w:rFonts w:ascii="Cambria" w:hAnsi="Cambria"/>
          <w:noProof/>
          <w:lang w:val="sr-Latn-ME"/>
        </w:rPr>
        <w:t xml:space="preserve">postojeći </w:t>
      </w:r>
      <w:r w:rsidR="00355A1F">
        <w:rPr>
          <w:rFonts w:ascii="Cambria" w:hAnsi="Cambria"/>
          <w:noProof/>
          <w:lang w:val="sr-Latn-ME"/>
        </w:rPr>
        <w:t xml:space="preserve">zakonodavni </w:t>
      </w:r>
      <w:r w:rsidRPr="00AB15C7">
        <w:rPr>
          <w:rFonts w:ascii="Cambria" w:hAnsi="Cambria"/>
          <w:noProof/>
          <w:lang w:val="sr-Latn-ME"/>
        </w:rPr>
        <w:t>i institucionalni okvir</w:t>
      </w:r>
      <w:r w:rsidR="00FB147E">
        <w:rPr>
          <w:rFonts w:ascii="Cambria" w:hAnsi="Cambria"/>
          <w:noProof/>
          <w:lang w:val="sr-Latn-ME"/>
        </w:rPr>
        <w:t>,</w:t>
      </w:r>
      <w:r w:rsidR="00FB147E" w:rsidRPr="00FB147E">
        <w:rPr>
          <w:rFonts w:ascii="Cambria" w:hAnsi="Cambria"/>
          <w:noProof/>
          <w:lang w:val="sr-Latn-ME"/>
        </w:rPr>
        <w:t xml:space="preserve"> </w:t>
      </w:r>
      <w:r w:rsidR="00FB147E" w:rsidRPr="00AB15C7">
        <w:rPr>
          <w:rFonts w:ascii="Cambria" w:hAnsi="Cambria"/>
          <w:noProof/>
          <w:lang w:val="sr-Latn-ME"/>
        </w:rPr>
        <w:t xml:space="preserve">administrativne i tehničke </w:t>
      </w:r>
      <w:r w:rsidR="00FB147E">
        <w:rPr>
          <w:rFonts w:ascii="Cambria" w:hAnsi="Cambria"/>
          <w:noProof/>
          <w:lang w:val="sr-Latn-ME"/>
        </w:rPr>
        <w:t xml:space="preserve">kapacitete, </w:t>
      </w:r>
      <w:r w:rsidR="00FB147E" w:rsidRPr="00AB15C7">
        <w:rPr>
          <w:rFonts w:ascii="Cambria" w:hAnsi="Cambria"/>
          <w:noProof/>
          <w:lang w:val="sr-Latn-ME"/>
        </w:rPr>
        <w:t>kao i prioritetn</w:t>
      </w:r>
      <w:r w:rsidR="00FB147E">
        <w:rPr>
          <w:rFonts w:ascii="Cambria" w:hAnsi="Cambria"/>
          <w:noProof/>
          <w:lang w:val="sr-Latn-ME"/>
        </w:rPr>
        <w:t>e</w:t>
      </w:r>
      <w:r w:rsidR="00FB147E" w:rsidRPr="00AB15C7">
        <w:rPr>
          <w:rFonts w:ascii="Cambria" w:hAnsi="Cambria"/>
          <w:noProof/>
          <w:lang w:val="sr-Latn-ME"/>
        </w:rPr>
        <w:t xml:space="preserve"> potreb</w:t>
      </w:r>
      <w:r w:rsidR="00FB147E">
        <w:rPr>
          <w:rFonts w:ascii="Cambria" w:hAnsi="Cambria"/>
          <w:noProof/>
          <w:lang w:val="sr-Latn-ME"/>
        </w:rPr>
        <w:t>e</w:t>
      </w:r>
      <w:r w:rsidR="00FB147E" w:rsidRPr="00AB15C7">
        <w:rPr>
          <w:rFonts w:ascii="Cambria" w:hAnsi="Cambria"/>
          <w:noProof/>
          <w:lang w:val="sr-Latn-ME"/>
        </w:rPr>
        <w:t xml:space="preserve"> za nacionalnu akciju.</w:t>
      </w:r>
      <w:r w:rsidR="00FB147E">
        <w:rPr>
          <w:rFonts w:ascii="Cambria" w:hAnsi="Cambria"/>
          <w:noProof/>
          <w:lang w:val="sr-Latn-ME"/>
        </w:rPr>
        <w:t xml:space="preserve"> </w:t>
      </w:r>
      <w:r w:rsidR="007C39F5">
        <w:rPr>
          <w:rFonts w:ascii="Cambria" w:hAnsi="Cambria"/>
          <w:noProof/>
          <w:lang w:val="sr-Latn-ME"/>
        </w:rPr>
        <w:t>Pored toga analiza stanja u okviru strategije</w:t>
      </w:r>
      <w:r w:rsidRPr="00AB15C7">
        <w:rPr>
          <w:rFonts w:ascii="Cambria" w:hAnsi="Cambria"/>
          <w:noProof/>
          <w:lang w:val="sr-Latn-ME"/>
        </w:rPr>
        <w:t xml:space="preserve"> </w:t>
      </w:r>
      <w:r w:rsidR="007C39F5">
        <w:rPr>
          <w:rFonts w:ascii="Cambria" w:hAnsi="Cambria"/>
          <w:noProof/>
          <w:lang w:val="sr-Latn-ME"/>
        </w:rPr>
        <w:t>pruža</w:t>
      </w:r>
      <w:r w:rsidRPr="00AB15C7">
        <w:rPr>
          <w:rFonts w:ascii="Cambria" w:hAnsi="Cambria"/>
          <w:noProof/>
          <w:lang w:val="sr-Latn-ME"/>
        </w:rPr>
        <w:t xml:space="preserve"> širu sliku koja sadrži informacije o svim relevantnim pitanjima </w:t>
      </w:r>
      <w:r w:rsidR="00355A1F">
        <w:rPr>
          <w:rFonts w:ascii="Cambria" w:hAnsi="Cambria"/>
          <w:noProof/>
          <w:lang w:val="sr-Latn-ME"/>
        </w:rPr>
        <w:t xml:space="preserve">bitnim za upravljanje hemikalijama </w:t>
      </w:r>
      <w:r w:rsidRPr="00AB15C7">
        <w:rPr>
          <w:rFonts w:ascii="Cambria" w:hAnsi="Cambria"/>
          <w:noProof/>
          <w:lang w:val="sr-Latn-ME"/>
        </w:rPr>
        <w:t xml:space="preserve">u </w:t>
      </w:r>
      <w:r w:rsidR="002240B7" w:rsidRPr="00AB15C7">
        <w:rPr>
          <w:rFonts w:ascii="Cambria" w:hAnsi="Cambria"/>
          <w:noProof/>
          <w:lang w:val="sr-Latn-ME"/>
        </w:rPr>
        <w:t>dugoročn</w:t>
      </w:r>
      <w:r w:rsidR="002240B7">
        <w:rPr>
          <w:rFonts w:ascii="Cambria" w:hAnsi="Cambria"/>
          <w:noProof/>
          <w:lang w:val="sr-Latn-ME"/>
        </w:rPr>
        <w:t>o</w:t>
      </w:r>
      <w:r w:rsidR="002240B7" w:rsidRPr="00AB15C7">
        <w:rPr>
          <w:rFonts w:ascii="Cambria" w:hAnsi="Cambria"/>
          <w:noProof/>
          <w:lang w:val="sr-Latn-ME"/>
        </w:rPr>
        <w:t xml:space="preserve">m </w:t>
      </w:r>
      <w:r w:rsidRPr="00AB15C7">
        <w:rPr>
          <w:rFonts w:ascii="Cambria" w:hAnsi="Cambria"/>
          <w:noProof/>
          <w:lang w:val="sr-Latn-ME"/>
        </w:rPr>
        <w:t>periodu kako bi ovaj strateški dokument mogao da posluži kao dokaz jasne vizije u pogledu politike bezbjednog upravljanja hemikalijama</w:t>
      </w:r>
      <w:r w:rsidR="007C39F5">
        <w:rPr>
          <w:rFonts w:ascii="Cambria" w:hAnsi="Cambria"/>
          <w:noProof/>
          <w:lang w:val="sr-Latn-ME"/>
        </w:rPr>
        <w:t xml:space="preserve"> u Crnoj Gori</w:t>
      </w:r>
      <w:r w:rsidRPr="00AB15C7">
        <w:rPr>
          <w:rFonts w:ascii="Cambria" w:hAnsi="Cambria"/>
          <w:noProof/>
          <w:lang w:val="sr-Latn-ME"/>
        </w:rPr>
        <w:t xml:space="preserve">, što predstavlja osnovni preduslov za prikupljanje sredstava neophodnih za sprovođenje planiranih </w:t>
      </w:r>
      <w:r w:rsidR="007C39F5">
        <w:rPr>
          <w:rFonts w:ascii="Cambria" w:hAnsi="Cambria"/>
          <w:noProof/>
          <w:lang w:val="sr-Latn-ME"/>
        </w:rPr>
        <w:t>aktivnosti</w:t>
      </w:r>
      <w:r w:rsidRPr="00AB15C7">
        <w:rPr>
          <w:rFonts w:ascii="Cambria" w:hAnsi="Cambria"/>
          <w:noProof/>
          <w:lang w:val="sr-Latn-ME"/>
        </w:rPr>
        <w:t>, kako iz donatorskih, tako i iz domaćih budžetskih fondova.</w:t>
      </w:r>
      <w:r w:rsidR="00355A1F" w:rsidRPr="00355A1F">
        <w:rPr>
          <w:rFonts w:ascii="Cambria" w:hAnsi="Cambria"/>
          <w:noProof/>
          <w:lang w:val="sr-Latn-ME"/>
        </w:rPr>
        <w:t xml:space="preserve"> </w:t>
      </w:r>
    </w:p>
    <w:p w14:paraId="6667B5B1" w14:textId="5F69EC23" w:rsidR="00E61124" w:rsidRPr="00E61124" w:rsidRDefault="00E61124" w:rsidP="00E61124">
      <w:pPr>
        <w:jc w:val="both"/>
        <w:rPr>
          <w:rFonts w:ascii="Cambria" w:hAnsi="Cambria"/>
          <w:noProof/>
          <w:lang w:val="sr-Latn-ME"/>
        </w:rPr>
      </w:pPr>
      <w:r w:rsidRPr="00E61124">
        <w:rPr>
          <w:rFonts w:ascii="Cambria" w:hAnsi="Cambria"/>
          <w:noProof/>
          <w:lang w:val="sr-Latn-ME"/>
        </w:rPr>
        <w:t xml:space="preserve">Kako bi održala kvalitet, ova Strategija treba redovno da se ažurira. Njeno ažuriranje mora biti sprovedeno na sveobuhvatan način, ili se mogu </w:t>
      </w:r>
      <w:r w:rsidR="00D321DF" w:rsidRPr="00E61124">
        <w:rPr>
          <w:rFonts w:ascii="Cambria" w:hAnsi="Cambria"/>
          <w:noProof/>
          <w:lang w:val="sr-Latn-ME"/>
        </w:rPr>
        <w:t>ažur</w:t>
      </w:r>
      <w:r w:rsidR="00D321DF">
        <w:rPr>
          <w:rFonts w:ascii="Cambria" w:hAnsi="Cambria"/>
          <w:noProof/>
          <w:lang w:val="sr-Latn-ME"/>
        </w:rPr>
        <w:t>i</w:t>
      </w:r>
      <w:r w:rsidR="00D321DF" w:rsidRPr="00E61124">
        <w:rPr>
          <w:rFonts w:ascii="Cambria" w:hAnsi="Cambria"/>
          <w:noProof/>
          <w:lang w:val="sr-Latn-ME"/>
        </w:rPr>
        <w:t>r</w:t>
      </w:r>
      <w:r w:rsidR="00D321DF">
        <w:rPr>
          <w:rFonts w:ascii="Cambria" w:hAnsi="Cambria"/>
          <w:noProof/>
          <w:lang w:val="sr-Latn-ME"/>
        </w:rPr>
        <w:t>a</w:t>
      </w:r>
      <w:r w:rsidR="00D321DF" w:rsidRPr="00E61124">
        <w:rPr>
          <w:rFonts w:ascii="Cambria" w:hAnsi="Cambria"/>
          <w:noProof/>
          <w:lang w:val="sr-Latn-ME"/>
        </w:rPr>
        <w:t xml:space="preserve">ti </w:t>
      </w:r>
      <w:r w:rsidRPr="00E61124">
        <w:rPr>
          <w:rFonts w:ascii="Cambria" w:hAnsi="Cambria"/>
          <w:noProof/>
          <w:lang w:val="sr-Latn-ME"/>
        </w:rPr>
        <w:t xml:space="preserve">određena poglavlja, npr. kao rezultat posebnih nacionalnih ili međunarodnih dešavanja. </w:t>
      </w:r>
      <w:r>
        <w:rPr>
          <w:rFonts w:ascii="Cambria" w:hAnsi="Cambria"/>
          <w:noProof/>
          <w:lang w:val="sr-Latn-ME"/>
        </w:rPr>
        <w:t>Aktivnosti</w:t>
      </w:r>
      <w:r w:rsidRPr="00E61124">
        <w:rPr>
          <w:rFonts w:ascii="Cambria" w:hAnsi="Cambria"/>
          <w:noProof/>
          <w:lang w:val="sr-Latn-ME"/>
        </w:rPr>
        <w:t xml:space="preserve"> čija se primjena </w:t>
      </w:r>
      <w:r w:rsidR="002B6EDF">
        <w:rPr>
          <w:rFonts w:ascii="Cambria" w:hAnsi="Cambria"/>
          <w:noProof/>
          <w:lang w:val="sr-Latn-ME"/>
        </w:rPr>
        <w:t xml:space="preserve">predviđa </w:t>
      </w:r>
      <w:r w:rsidRPr="00E61124">
        <w:rPr>
          <w:rFonts w:ascii="Cambria" w:hAnsi="Cambria"/>
          <w:noProof/>
          <w:lang w:val="sr-Latn-ME"/>
        </w:rPr>
        <w:t xml:space="preserve">u dugoročnijem periodu, iz razloga jer njihovo sprovođenje </w:t>
      </w:r>
      <w:r>
        <w:rPr>
          <w:rFonts w:ascii="Cambria" w:hAnsi="Cambria"/>
          <w:noProof/>
          <w:lang w:val="sr-Latn-ME"/>
        </w:rPr>
        <w:t>treba da se kontinuirano nastavi i nakon 2022.</w:t>
      </w:r>
      <w:r w:rsidRPr="00E61124">
        <w:rPr>
          <w:rFonts w:ascii="Cambria" w:hAnsi="Cambria"/>
          <w:noProof/>
          <w:lang w:val="sr-Latn-ME"/>
        </w:rPr>
        <w:t>,</w:t>
      </w:r>
      <w:r>
        <w:rPr>
          <w:rFonts w:ascii="Cambria" w:hAnsi="Cambria"/>
          <w:noProof/>
          <w:lang w:val="sr-Latn-ME"/>
        </w:rPr>
        <w:t xml:space="preserve"> treba </w:t>
      </w:r>
      <w:r w:rsidRPr="00E61124">
        <w:rPr>
          <w:rFonts w:ascii="Cambria" w:hAnsi="Cambria"/>
          <w:noProof/>
          <w:lang w:val="sr-Latn-ME"/>
        </w:rPr>
        <w:t xml:space="preserve">pažljivo </w:t>
      </w:r>
      <w:r>
        <w:rPr>
          <w:rFonts w:ascii="Cambria" w:hAnsi="Cambria"/>
          <w:noProof/>
          <w:lang w:val="sr-Latn-ME"/>
        </w:rPr>
        <w:t>evaluirati</w:t>
      </w:r>
      <w:r w:rsidRPr="00E61124">
        <w:rPr>
          <w:rFonts w:ascii="Cambria" w:hAnsi="Cambria"/>
          <w:noProof/>
          <w:lang w:val="sr-Latn-ME"/>
        </w:rPr>
        <w:t xml:space="preserve"> u pogledu </w:t>
      </w:r>
      <w:r w:rsidR="00CF7EF9">
        <w:rPr>
          <w:rFonts w:ascii="Cambria" w:hAnsi="Cambria"/>
          <w:noProof/>
          <w:lang w:val="sr-Latn-ME"/>
        </w:rPr>
        <w:t xml:space="preserve">postignutih </w:t>
      </w:r>
      <w:r w:rsidRPr="00E61124">
        <w:rPr>
          <w:rFonts w:ascii="Cambria" w:hAnsi="Cambria"/>
          <w:noProof/>
          <w:lang w:val="sr-Latn-ME"/>
        </w:rPr>
        <w:t>efekata i scenarija upravljanja hemikalijama sa i bez njihove primjene</w:t>
      </w:r>
      <w:r w:rsidR="00CF7EF9">
        <w:rPr>
          <w:rFonts w:ascii="Cambria" w:hAnsi="Cambria"/>
          <w:noProof/>
          <w:lang w:val="sr-Latn-ME"/>
        </w:rPr>
        <w:t xml:space="preserve">, a radi prilagođavanja okolnostima vezanim za pridruživanje EU </w:t>
      </w:r>
      <w:r w:rsidRPr="00E61124">
        <w:rPr>
          <w:rFonts w:ascii="Cambria" w:hAnsi="Cambria"/>
          <w:noProof/>
          <w:lang w:val="sr-Latn-ME"/>
        </w:rPr>
        <w:t xml:space="preserve">. </w:t>
      </w:r>
    </w:p>
    <w:p w14:paraId="33B22CFB" w14:textId="77777777" w:rsidR="001278E2" w:rsidRPr="001278E2" w:rsidRDefault="001278E2" w:rsidP="00557C13">
      <w:pPr>
        <w:pStyle w:val="ListParagraph"/>
        <w:numPr>
          <w:ilvl w:val="0"/>
          <w:numId w:val="51"/>
        </w:numPr>
        <w:spacing w:after="120"/>
        <w:rPr>
          <w:rFonts w:ascii="Cambria" w:hAnsi="Cambria"/>
          <w:b/>
          <w:noProof/>
          <w:lang w:val="sr-Latn-ME"/>
        </w:rPr>
      </w:pPr>
      <w:r w:rsidRPr="001278E2">
        <w:rPr>
          <w:rFonts w:ascii="Cambria" w:hAnsi="Cambria"/>
          <w:b/>
          <w:noProof/>
          <w:lang w:val="sr-Latn-ME"/>
        </w:rPr>
        <w:t>Usklađenost sa po</w:t>
      </w:r>
      <w:r w:rsidR="00D6015E">
        <w:rPr>
          <w:rFonts w:ascii="Cambria" w:hAnsi="Cambria"/>
          <w:b/>
          <w:noProof/>
          <w:lang w:val="sr-Latn-ME"/>
        </w:rPr>
        <w:t>s</w:t>
      </w:r>
      <w:r w:rsidRPr="001278E2">
        <w:rPr>
          <w:rFonts w:ascii="Cambria" w:hAnsi="Cambria"/>
          <w:b/>
          <w:noProof/>
          <w:lang w:val="sr-Latn-ME"/>
        </w:rPr>
        <w:t>tojećim strateškim okvirom</w:t>
      </w:r>
    </w:p>
    <w:p w14:paraId="55745F51" w14:textId="77777777" w:rsidR="007C39F5" w:rsidRPr="007C39F5" w:rsidRDefault="00D6015E" w:rsidP="001E0726">
      <w:pPr>
        <w:spacing w:after="0"/>
        <w:jc w:val="both"/>
        <w:rPr>
          <w:rFonts w:ascii="Cambria" w:hAnsi="Cambria"/>
          <w:noProof/>
          <w:lang w:val="sr-Latn-ME"/>
        </w:rPr>
      </w:pPr>
      <w:r>
        <w:rPr>
          <w:rFonts w:ascii="Cambria" w:hAnsi="Cambria"/>
          <w:noProof/>
          <w:lang w:val="sr-Latn-ME"/>
        </w:rPr>
        <w:t xml:space="preserve">Nacionalna strategija upravljanja hemikalijama za period 2019-2022. </w:t>
      </w:r>
      <w:r w:rsidR="00974E00" w:rsidRPr="00AB15C7">
        <w:rPr>
          <w:rFonts w:ascii="Cambria" w:hAnsi="Cambria"/>
          <w:noProof/>
          <w:lang w:val="sr-Latn-ME"/>
        </w:rPr>
        <w:t xml:space="preserve"> </w:t>
      </w:r>
      <w:r>
        <w:rPr>
          <w:rFonts w:ascii="Cambria" w:hAnsi="Cambria"/>
          <w:noProof/>
          <w:lang w:val="sr-Latn-ME"/>
        </w:rPr>
        <w:t>izra</w:t>
      </w:r>
      <w:r w:rsidR="00355A1F">
        <w:rPr>
          <w:rFonts w:ascii="Cambria" w:hAnsi="Cambria"/>
          <w:noProof/>
          <w:lang w:val="sr-Latn-ME"/>
        </w:rPr>
        <w:t xml:space="preserve">đena </w:t>
      </w:r>
      <w:r w:rsidR="00974E00" w:rsidRPr="00AB15C7">
        <w:rPr>
          <w:rFonts w:ascii="Cambria" w:hAnsi="Cambria"/>
          <w:noProof/>
          <w:lang w:val="sr-Latn-ME"/>
        </w:rPr>
        <w:t xml:space="preserve"> </w:t>
      </w:r>
      <w:r w:rsidR="00CF7EF9">
        <w:rPr>
          <w:rFonts w:ascii="Cambria" w:hAnsi="Cambria"/>
          <w:noProof/>
          <w:lang w:val="sr-Latn-ME"/>
        </w:rPr>
        <w:t xml:space="preserve">je uzimajući u obzir </w:t>
      </w:r>
      <w:r w:rsidR="007C39F5">
        <w:rPr>
          <w:rFonts w:ascii="Cambria" w:hAnsi="Cambria"/>
          <w:noProof/>
          <w:lang w:val="sr-Latn-ME"/>
        </w:rPr>
        <w:t>o</w:t>
      </w:r>
      <w:r w:rsidR="007C39F5" w:rsidRPr="007C39F5">
        <w:rPr>
          <w:rFonts w:ascii="Cambria" w:hAnsi="Cambria"/>
          <w:noProof/>
          <w:lang w:val="sr-Latn-ME"/>
        </w:rPr>
        <w:t>pšt</w:t>
      </w:r>
      <w:r w:rsidR="00CF7EF9">
        <w:rPr>
          <w:rFonts w:ascii="Cambria" w:hAnsi="Cambria"/>
          <w:noProof/>
          <w:lang w:val="sr-Latn-ME"/>
        </w:rPr>
        <w:t>e</w:t>
      </w:r>
      <w:r w:rsidR="007C39F5" w:rsidRPr="007C39F5">
        <w:rPr>
          <w:rFonts w:ascii="Cambria" w:hAnsi="Cambria"/>
          <w:noProof/>
          <w:lang w:val="sr-Latn-ME"/>
        </w:rPr>
        <w:t xml:space="preserve"> stratešk</w:t>
      </w:r>
      <w:r w:rsidR="00CF7EF9">
        <w:rPr>
          <w:rFonts w:ascii="Cambria" w:hAnsi="Cambria"/>
          <w:noProof/>
          <w:lang w:val="sr-Latn-ME"/>
        </w:rPr>
        <w:t>e</w:t>
      </w:r>
      <w:r w:rsidR="007C39F5" w:rsidRPr="007C39F5">
        <w:rPr>
          <w:rFonts w:ascii="Cambria" w:hAnsi="Cambria"/>
          <w:noProof/>
          <w:lang w:val="sr-Latn-ME"/>
        </w:rPr>
        <w:t xml:space="preserve"> pravc</w:t>
      </w:r>
      <w:r w:rsidR="00CF7EF9">
        <w:rPr>
          <w:rFonts w:ascii="Cambria" w:hAnsi="Cambria"/>
          <w:noProof/>
          <w:lang w:val="sr-Latn-ME"/>
        </w:rPr>
        <w:t>e</w:t>
      </w:r>
      <w:r w:rsidR="007C39F5" w:rsidRPr="007C39F5">
        <w:rPr>
          <w:rFonts w:ascii="Cambria" w:hAnsi="Cambria"/>
          <w:noProof/>
          <w:lang w:val="sr-Latn-ME"/>
        </w:rPr>
        <w:t xml:space="preserve"> Crne Gore definisan</w:t>
      </w:r>
      <w:r w:rsidR="00CF7EF9">
        <w:rPr>
          <w:rFonts w:ascii="Cambria" w:hAnsi="Cambria"/>
          <w:noProof/>
          <w:lang w:val="sr-Latn-ME"/>
        </w:rPr>
        <w:t>e</w:t>
      </w:r>
      <w:r w:rsidR="007C39F5">
        <w:rPr>
          <w:rFonts w:ascii="Cambria" w:hAnsi="Cambria"/>
          <w:noProof/>
          <w:lang w:val="sr-Latn-ME"/>
        </w:rPr>
        <w:t xml:space="preserve"> </w:t>
      </w:r>
      <w:r w:rsidR="007C39F5" w:rsidRPr="007C39F5">
        <w:rPr>
          <w:rFonts w:ascii="Cambria" w:hAnsi="Cambria"/>
          <w:noProof/>
          <w:lang w:val="sr-Latn-ME"/>
        </w:rPr>
        <w:t>u sl</w:t>
      </w:r>
      <w:r w:rsidR="00D07124">
        <w:rPr>
          <w:rFonts w:ascii="Cambria" w:hAnsi="Cambria"/>
          <w:noProof/>
          <w:lang w:val="sr-Latn-ME"/>
        </w:rPr>
        <w:t>j</w:t>
      </w:r>
      <w:r w:rsidR="007C39F5" w:rsidRPr="007C39F5">
        <w:rPr>
          <w:rFonts w:ascii="Cambria" w:hAnsi="Cambria"/>
          <w:noProof/>
          <w:lang w:val="sr-Latn-ME"/>
        </w:rPr>
        <w:t>edećim strateškim dokumentima:</w:t>
      </w:r>
    </w:p>
    <w:p w14:paraId="6C7980DD" w14:textId="77777777" w:rsidR="007C39F5" w:rsidRPr="00D6015E" w:rsidRDefault="007C39F5" w:rsidP="00557C13">
      <w:pPr>
        <w:pStyle w:val="ListParagraph"/>
        <w:numPr>
          <w:ilvl w:val="0"/>
          <w:numId w:val="52"/>
        </w:numPr>
        <w:spacing w:after="0"/>
        <w:jc w:val="both"/>
        <w:rPr>
          <w:rFonts w:ascii="Cambria" w:hAnsi="Cambria"/>
          <w:noProof/>
          <w:lang w:val="sr-Latn-ME"/>
        </w:rPr>
      </w:pPr>
      <w:r w:rsidRPr="00D6015E">
        <w:rPr>
          <w:rFonts w:ascii="Cambria" w:hAnsi="Cambria"/>
          <w:b/>
          <w:noProof/>
          <w:lang w:val="sr-Latn-ME"/>
        </w:rPr>
        <w:t>Program pristupanja Crne Gore Evropskoj Uniji</w:t>
      </w:r>
      <w:r w:rsidRPr="00D6015E">
        <w:rPr>
          <w:rFonts w:ascii="Cambria" w:hAnsi="Cambria"/>
          <w:noProof/>
          <w:lang w:val="sr-Latn-ME"/>
        </w:rPr>
        <w:t xml:space="preserve">  koji u pogledu upravljanja hemikalijama sadrži dinamiku daljeg usaglašavanja nacionalnih propisa sa odgovarajućim propisima EU;</w:t>
      </w:r>
    </w:p>
    <w:p w14:paraId="0C518158" w14:textId="77777777" w:rsidR="007C39F5" w:rsidRPr="00D6015E" w:rsidRDefault="007C39F5" w:rsidP="00557C13">
      <w:pPr>
        <w:pStyle w:val="ListParagraph"/>
        <w:numPr>
          <w:ilvl w:val="0"/>
          <w:numId w:val="52"/>
        </w:numPr>
        <w:spacing w:after="0"/>
        <w:jc w:val="both"/>
        <w:rPr>
          <w:rFonts w:ascii="Cambria" w:hAnsi="Cambria"/>
          <w:noProof/>
          <w:lang w:val="sr-Latn-ME"/>
        </w:rPr>
      </w:pPr>
      <w:r w:rsidRPr="00D6015E">
        <w:rPr>
          <w:rFonts w:ascii="Cambria" w:hAnsi="Cambria"/>
          <w:b/>
          <w:noProof/>
          <w:lang w:val="sr-Latn-ME"/>
        </w:rPr>
        <w:t>Pravci razvoja Crne Gore</w:t>
      </w:r>
      <w:r w:rsidRPr="00D6015E">
        <w:rPr>
          <w:rFonts w:ascii="Cambria" w:hAnsi="Cambria"/>
          <w:noProof/>
          <w:lang w:val="sr-Latn-ME"/>
        </w:rPr>
        <w:t>, koji u pogledu upravljanja hemikalijama apostrofira potrebu za uspostavljanjem Nacionalnog Help deska, nacionalnog Centra za kontrolu trovanja i Registra hemikalija u odgovarajućoj formi;</w:t>
      </w:r>
    </w:p>
    <w:p w14:paraId="2DDBC58B" w14:textId="0F257C0D" w:rsidR="007C39F5" w:rsidRPr="00D6015E" w:rsidRDefault="007C39F5" w:rsidP="00557C13">
      <w:pPr>
        <w:pStyle w:val="ListParagraph"/>
        <w:numPr>
          <w:ilvl w:val="0"/>
          <w:numId w:val="52"/>
        </w:numPr>
        <w:spacing w:after="0"/>
        <w:jc w:val="both"/>
        <w:rPr>
          <w:rFonts w:ascii="Cambria" w:hAnsi="Cambria"/>
          <w:noProof/>
          <w:lang w:val="sr-Latn-ME"/>
        </w:rPr>
      </w:pPr>
      <w:r w:rsidRPr="00D6015E">
        <w:rPr>
          <w:rFonts w:ascii="Cambria" w:hAnsi="Cambria"/>
          <w:b/>
          <w:noProof/>
          <w:lang w:val="sr-Latn-ME"/>
        </w:rPr>
        <w:t>Nacionalna strategija održivog razvoja</w:t>
      </w:r>
      <w:r w:rsidRPr="00D6015E">
        <w:rPr>
          <w:rFonts w:ascii="Cambria" w:hAnsi="Cambria"/>
          <w:noProof/>
          <w:lang w:val="sr-Latn-ME"/>
        </w:rPr>
        <w:t xml:space="preserve">  koja utvr</w:t>
      </w:r>
      <w:r w:rsidR="00D6015E" w:rsidRPr="00D6015E">
        <w:rPr>
          <w:rFonts w:ascii="Cambria" w:hAnsi="Cambria"/>
          <w:noProof/>
          <w:lang w:val="sr-Latn-ME"/>
        </w:rPr>
        <w:t>đuj</w:t>
      </w:r>
      <w:r w:rsidRPr="00D6015E">
        <w:rPr>
          <w:rFonts w:ascii="Cambria" w:hAnsi="Cambria"/>
          <w:noProof/>
          <w:lang w:val="sr-Latn-ME"/>
        </w:rPr>
        <w:t>e principe, strateške ciljeve i smjernice za dostizanje dugoročnog održivog razvoja društva do 2030, uzimajući u obzir preuzete međunarodne obaveze u skladu sa ciljevima održivog razvoja Ujedinjenih nacija i obavezama iz procesa pristupanja EU. Između ostalog, određene m</w:t>
      </w:r>
      <w:r w:rsidR="001112C6">
        <w:rPr>
          <w:rFonts w:ascii="Cambria" w:hAnsi="Cambria"/>
          <w:noProof/>
          <w:lang w:val="sr-Latn-ME"/>
        </w:rPr>
        <w:t>j</w:t>
      </w:r>
      <w:r w:rsidRPr="00D6015E">
        <w:rPr>
          <w:rFonts w:ascii="Cambria" w:hAnsi="Cambria"/>
          <w:noProof/>
          <w:lang w:val="sr-Latn-ME"/>
        </w:rPr>
        <w:t>ere se koje se odnose na Cilj 12. Obezbijediti održive obrasce potrošnje i proizvodnje, uključuju i unapredjenje u oblasti upravljanja hemikalijama;</w:t>
      </w:r>
    </w:p>
    <w:p w14:paraId="63361E4A" w14:textId="77777777" w:rsidR="001278E2" w:rsidRPr="00D6015E" w:rsidRDefault="007C39F5" w:rsidP="00557C13">
      <w:pPr>
        <w:pStyle w:val="ListParagraph"/>
        <w:numPr>
          <w:ilvl w:val="0"/>
          <w:numId w:val="52"/>
        </w:numPr>
        <w:spacing w:after="0"/>
        <w:jc w:val="both"/>
        <w:rPr>
          <w:rFonts w:ascii="Cambria" w:hAnsi="Cambria"/>
          <w:noProof/>
          <w:lang w:val="sr-Latn-ME"/>
        </w:rPr>
      </w:pPr>
      <w:r w:rsidRPr="00D6015E">
        <w:rPr>
          <w:rFonts w:ascii="Cambria" w:hAnsi="Cambria"/>
          <w:b/>
          <w:noProof/>
          <w:lang w:val="sr-Latn-ME"/>
        </w:rPr>
        <w:lastRenderedPageBreak/>
        <w:t>Strategija regionalnog razvoja</w:t>
      </w:r>
      <w:r w:rsidRPr="00D6015E">
        <w:rPr>
          <w:rFonts w:ascii="Cambria" w:hAnsi="Cambria"/>
          <w:noProof/>
          <w:lang w:val="sr-Latn-ME"/>
        </w:rPr>
        <w:t xml:space="preserve">, koja definiše ključne prioritete razvoja na nacionalnom nivou. </w:t>
      </w:r>
      <w:r w:rsidR="001278E2" w:rsidRPr="00D6015E">
        <w:rPr>
          <w:rFonts w:ascii="Cambria" w:hAnsi="Cambria"/>
          <w:noProof/>
          <w:lang w:val="sr-Latn-ME"/>
        </w:rPr>
        <w:t xml:space="preserve">Između ostalog, ovom strategijom podstiče se </w:t>
      </w:r>
      <w:r w:rsidRPr="00D6015E">
        <w:rPr>
          <w:rFonts w:ascii="Cambria" w:hAnsi="Cambria"/>
          <w:noProof/>
          <w:lang w:val="sr-Latn-ME"/>
        </w:rPr>
        <w:t xml:space="preserve">promocija održivog </w:t>
      </w:r>
      <w:r w:rsidR="00D6015E" w:rsidRPr="00D6015E">
        <w:rPr>
          <w:rFonts w:ascii="Cambria" w:hAnsi="Cambria"/>
          <w:noProof/>
          <w:lang w:val="sr-Latn-ME"/>
        </w:rPr>
        <w:t xml:space="preserve">regionalnog </w:t>
      </w:r>
      <w:r w:rsidRPr="00D6015E">
        <w:rPr>
          <w:rFonts w:ascii="Cambria" w:hAnsi="Cambria"/>
          <w:noProof/>
          <w:lang w:val="sr-Latn-ME"/>
        </w:rPr>
        <w:t>razvoja zasnovanog na zaštiti prirode, minim</w:t>
      </w:r>
      <w:r w:rsidR="00D6015E" w:rsidRPr="00D6015E">
        <w:rPr>
          <w:rFonts w:ascii="Cambria" w:hAnsi="Cambria"/>
          <w:noProof/>
          <w:lang w:val="sr-Latn-ME"/>
        </w:rPr>
        <w:t>izaciji</w:t>
      </w:r>
      <w:r w:rsidRPr="00D6015E">
        <w:rPr>
          <w:rFonts w:ascii="Cambria" w:hAnsi="Cambria"/>
          <w:noProof/>
          <w:lang w:val="sr-Latn-ME"/>
        </w:rPr>
        <w:t xml:space="preserve"> zagađenja vazduha, zaštite voda i efikasno upravljanje čvrstim otpadom i otpadnim vodama, zaštita od buke, bezbjedno upravljanje hemikalijama i kontrola industrijskog zagađenja.</w:t>
      </w:r>
    </w:p>
    <w:p w14:paraId="2F34DE2D" w14:textId="77777777" w:rsidR="00360F0F" w:rsidRDefault="00360F0F" w:rsidP="001E0726">
      <w:pPr>
        <w:spacing w:after="0"/>
        <w:jc w:val="both"/>
        <w:rPr>
          <w:rFonts w:ascii="Cambria" w:hAnsi="Cambria"/>
          <w:noProof/>
          <w:lang w:val="sr-Latn-ME"/>
        </w:rPr>
      </w:pPr>
    </w:p>
    <w:p w14:paraId="2E34F0F3" w14:textId="3A3F733E" w:rsidR="001278E2" w:rsidRPr="001278E2" w:rsidRDefault="00355A1F" w:rsidP="001E0726">
      <w:pPr>
        <w:spacing w:after="0"/>
        <w:jc w:val="both"/>
        <w:rPr>
          <w:rFonts w:ascii="Cambria" w:hAnsi="Cambria"/>
          <w:noProof/>
          <w:lang w:val="sr-Latn-ME"/>
        </w:rPr>
      </w:pPr>
      <w:r>
        <w:rPr>
          <w:rFonts w:ascii="Cambria" w:hAnsi="Cambria"/>
          <w:noProof/>
          <w:lang w:val="sr-Latn-ME"/>
        </w:rPr>
        <w:t>Ciljevi utvrđeni ovom strategijom u saglasnosti su da preporukama iz drugih sektorskih</w:t>
      </w:r>
      <w:r w:rsidR="001278E2" w:rsidRPr="001278E2">
        <w:rPr>
          <w:rFonts w:ascii="Cambria" w:hAnsi="Cambria"/>
          <w:noProof/>
          <w:lang w:val="sr-Latn-ME"/>
        </w:rPr>
        <w:t xml:space="preserve"> strateški</w:t>
      </w:r>
      <w:r>
        <w:rPr>
          <w:rFonts w:ascii="Cambria" w:hAnsi="Cambria"/>
          <w:noProof/>
          <w:lang w:val="sr-Latn-ME"/>
        </w:rPr>
        <w:t xml:space="preserve">h </w:t>
      </w:r>
      <w:r w:rsidR="001278E2" w:rsidRPr="001278E2">
        <w:rPr>
          <w:rFonts w:ascii="Cambria" w:hAnsi="Cambria"/>
          <w:noProof/>
          <w:lang w:val="sr-Latn-ME"/>
        </w:rPr>
        <w:t>dokument</w:t>
      </w:r>
      <w:r>
        <w:rPr>
          <w:rFonts w:ascii="Cambria" w:hAnsi="Cambria"/>
          <w:noProof/>
          <w:lang w:val="sr-Latn-ME"/>
        </w:rPr>
        <w:t xml:space="preserve">a i planova </w:t>
      </w:r>
      <w:r w:rsidR="00CF7EF9">
        <w:rPr>
          <w:rFonts w:ascii="Cambria" w:hAnsi="Cambria"/>
          <w:noProof/>
          <w:lang w:val="sr-Latn-ME"/>
        </w:rPr>
        <w:t xml:space="preserve">koji su </w:t>
      </w:r>
      <w:r w:rsidR="001278E2" w:rsidRPr="001278E2">
        <w:rPr>
          <w:rFonts w:ascii="Cambria" w:hAnsi="Cambria"/>
          <w:noProof/>
          <w:lang w:val="sr-Latn-ME"/>
        </w:rPr>
        <w:t>od značaja za upravljanje hemikalijama</w:t>
      </w:r>
      <w:r w:rsidR="00E61124" w:rsidRPr="00E61124">
        <w:rPr>
          <w:rFonts w:ascii="Cambria" w:hAnsi="Cambria"/>
          <w:noProof/>
          <w:lang w:val="sr-Latn-ME"/>
        </w:rPr>
        <w:t xml:space="preserve"> </w:t>
      </w:r>
      <w:r w:rsidR="00E61124">
        <w:rPr>
          <w:rFonts w:ascii="Cambria" w:hAnsi="Cambria"/>
          <w:noProof/>
          <w:lang w:val="sr-Latn-ME"/>
        </w:rPr>
        <w:t>i po</w:t>
      </w:r>
      <w:r w:rsidR="00E61124" w:rsidRPr="00AB15C7">
        <w:rPr>
          <w:rFonts w:ascii="Cambria" w:hAnsi="Cambria"/>
          <w:noProof/>
          <w:lang w:val="sr-Latn-ME"/>
        </w:rPr>
        <w:t xml:space="preserve">vezani </w:t>
      </w:r>
      <w:r w:rsidR="00E61124">
        <w:rPr>
          <w:rFonts w:ascii="Cambria" w:hAnsi="Cambria"/>
          <w:noProof/>
          <w:lang w:val="sr-Latn-ME"/>
        </w:rPr>
        <w:t>sa</w:t>
      </w:r>
      <w:r w:rsidR="00E61124" w:rsidRPr="00AB15C7">
        <w:rPr>
          <w:rFonts w:ascii="Cambria" w:hAnsi="Cambria"/>
          <w:noProof/>
          <w:lang w:val="sr-Latn-ME"/>
        </w:rPr>
        <w:t xml:space="preserve"> ispunjavanje</w:t>
      </w:r>
      <w:r w:rsidR="00E61124">
        <w:rPr>
          <w:rFonts w:ascii="Cambria" w:hAnsi="Cambria"/>
          <w:noProof/>
          <w:lang w:val="sr-Latn-ME"/>
        </w:rPr>
        <w:t>m</w:t>
      </w:r>
      <w:r w:rsidR="00E61124" w:rsidRPr="00AB15C7">
        <w:rPr>
          <w:rFonts w:ascii="Cambria" w:hAnsi="Cambria"/>
          <w:noProof/>
          <w:lang w:val="sr-Latn-ME"/>
        </w:rPr>
        <w:t xml:space="preserve"> </w:t>
      </w:r>
      <w:r w:rsidR="00E61124">
        <w:rPr>
          <w:rFonts w:ascii="Cambria" w:hAnsi="Cambria"/>
          <w:noProof/>
          <w:lang w:val="sr-Latn-ME"/>
        </w:rPr>
        <w:t xml:space="preserve">preuzetih </w:t>
      </w:r>
      <w:r w:rsidR="00E61124" w:rsidRPr="00AB15C7">
        <w:rPr>
          <w:rFonts w:ascii="Cambria" w:hAnsi="Cambria"/>
          <w:noProof/>
          <w:lang w:val="sr-Latn-ME"/>
        </w:rPr>
        <w:t>međunarodnih obaveza</w:t>
      </w:r>
      <w:r w:rsidR="001278E2">
        <w:rPr>
          <w:rFonts w:ascii="Cambria" w:hAnsi="Cambria"/>
          <w:noProof/>
          <w:lang w:val="sr-Latn-ME"/>
        </w:rPr>
        <w:t>,</w:t>
      </w:r>
      <w:r w:rsidR="001278E2" w:rsidRPr="001278E2">
        <w:rPr>
          <w:rFonts w:ascii="Cambria" w:hAnsi="Cambria"/>
          <w:noProof/>
          <w:lang w:val="sr-Latn-ME"/>
        </w:rPr>
        <w:t xml:space="preserve"> </w:t>
      </w:r>
      <w:r w:rsidR="001278E2">
        <w:rPr>
          <w:rFonts w:ascii="Cambria" w:hAnsi="Cambria"/>
          <w:noProof/>
          <w:lang w:val="sr-Latn-ME"/>
        </w:rPr>
        <w:t>i to</w:t>
      </w:r>
      <w:r w:rsidR="001278E2" w:rsidRPr="001278E2">
        <w:rPr>
          <w:rFonts w:ascii="Cambria" w:hAnsi="Cambria"/>
          <w:noProof/>
          <w:lang w:val="sr-Latn-ME"/>
        </w:rPr>
        <w:t>:</w:t>
      </w:r>
    </w:p>
    <w:p w14:paraId="400C5B9D" w14:textId="77777777" w:rsidR="001278E2" w:rsidRPr="00D6015E" w:rsidRDefault="001278E2" w:rsidP="00557C13">
      <w:pPr>
        <w:pStyle w:val="ListParagraph"/>
        <w:numPr>
          <w:ilvl w:val="2"/>
          <w:numId w:val="53"/>
        </w:numPr>
        <w:spacing w:after="0"/>
        <w:ind w:left="720"/>
        <w:jc w:val="both"/>
        <w:rPr>
          <w:rFonts w:ascii="Cambria" w:hAnsi="Cambria"/>
          <w:noProof/>
          <w:lang w:val="sr-Latn-ME"/>
        </w:rPr>
      </w:pPr>
      <w:r w:rsidRPr="00D6015E">
        <w:rPr>
          <w:rFonts w:ascii="Cambria" w:hAnsi="Cambria"/>
          <w:b/>
          <w:noProof/>
          <w:lang w:val="sr-Latn-ME"/>
        </w:rPr>
        <w:t xml:space="preserve">Nacionalna strategija za transpoziciju, implementaciju i primjenu pravne tekovine EU u oblasti životne sredine i klimatskih promjena s akcionim planom za period 2016-2020 </w:t>
      </w:r>
      <w:r w:rsidRPr="00D6015E">
        <w:rPr>
          <w:rFonts w:ascii="Cambria" w:hAnsi="Cambria"/>
          <w:noProof/>
          <w:lang w:val="sr-Latn-ME"/>
        </w:rPr>
        <w:t xml:space="preserve">koja </w:t>
      </w:r>
      <w:r w:rsidR="00D6015E" w:rsidRPr="00D6015E">
        <w:rPr>
          <w:rFonts w:ascii="Cambria" w:hAnsi="Cambria"/>
          <w:noProof/>
          <w:lang w:val="sr-Latn-ME"/>
        </w:rPr>
        <w:t>utvrđuje da</w:t>
      </w:r>
      <w:r w:rsidRPr="00D6015E">
        <w:rPr>
          <w:rFonts w:ascii="Cambria" w:hAnsi="Cambria"/>
          <w:noProof/>
          <w:lang w:val="sr-Latn-ME"/>
        </w:rPr>
        <w:t xml:space="preserve"> </w:t>
      </w:r>
      <w:r w:rsidR="00D6015E" w:rsidRPr="00D6015E">
        <w:rPr>
          <w:rFonts w:ascii="Cambria" w:hAnsi="Cambria"/>
          <w:noProof/>
          <w:lang w:val="sr-Latn-ME"/>
        </w:rPr>
        <w:t>k</w:t>
      </w:r>
      <w:r w:rsidRPr="00D6015E">
        <w:rPr>
          <w:rFonts w:ascii="Cambria" w:hAnsi="Cambria"/>
          <w:noProof/>
          <w:lang w:val="sr-Latn-ME"/>
        </w:rPr>
        <w:t>ada je riječ o podsektorima posebn</w:t>
      </w:r>
      <w:r w:rsidR="00D6015E" w:rsidRPr="00D6015E">
        <w:rPr>
          <w:rFonts w:ascii="Cambria" w:hAnsi="Cambria"/>
          <w:noProof/>
          <w:lang w:val="sr-Latn-ME"/>
        </w:rPr>
        <w:t>u</w:t>
      </w:r>
      <w:r w:rsidRPr="00D6015E">
        <w:rPr>
          <w:rFonts w:ascii="Cambria" w:hAnsi="Cambria"/>
          <w:noProof/>
          <w:lang w:val="sr-Latn-ME"/>
        </w:rPr>
        <w:t xml:space="preserve"> pažnj</w:t>
      </w:r>
      <w:r w:rsidR="00D6015E" w:rsidRPr="00D6015E">
        <w:rPr>
          <w:rFonts w:ascii="Cambria" w:hAnsi="Cambria"/>
          <w:noProof/>
          <w:lang w:val="sr-Latn-ME"/>
        </w:rPr>
        <w:t>u treba</w:t>
      </w:r>
      <w:r w:rsidRPr="00D6015E">
        <w:rPr>
          <w:rFonts w:ascii="Cambria" w:hAnsi="Cambria"/>
          <w:noProof/>
          <w:lang w:val="sr-Latn-ME"/>
        </w:rPr>
        <w:t xml:space="preserve"> se posvetiti horizontalnom zakonodavstvu, kvalitetu voda, upravljanju otpadom, zaštiti prirode, klimatskim promjenama, industrijskom zagađenju i hemikalijama.</w:t>
      </w:r>
    </w:p>
    <w:p w14:paraId="35237EDC" w14:textId="051C60F2" w:rsidR="001278E2" w:rsidRPr="00D6015E" w:rsidRDefault="005B5239" w:rsidP="00557C13">
      <w:pPr>
        <w:pStyle w:val="ListParagraph"/>
        <w:numPr>
          <w:ilvl w:val="2"/>
          <w:numId w:val="53"/>
        </w:numPr>
        <w:spacing w:after="0"/>
        <w:ind w:left="720"/>
        <w:jc w:val="both"/>
        <w:rPr>
          <w:rFonts w:ascii="Cambria" w:hAnsi="Cambria"/>
          <w:noProof/>
          <w:lang w:val="sr-Latn-ME"/>
        </w:rPr>
      </w:pPr>
      <w:r w:rsidRPr="00D6015E">
        <w:rPr>
          <w:rFonts w:ascii="Cambria" w:hAnsi="Cambria"/>
          <w:b/>
          <w:noProof/>
          <w:lang w:val="sr-Latn-ME"/>
        </w:rPr>
        <w:t>S</w:t>
      </w:r>
      <w:r w:rsidR="001278E2" w:rsidRPr="00D6015E">
        <w:rPr>
          <w:rFonts w:ascii="Cambria" w:hAnsi="Cambria"/>
          <w:b/>
          <w:noProof/>
          <w:lang w:val="sr-Latn-ME"/>
        </w:rPr>
        <w:t>trategija upravljanja hemikalijama sa Akcionim planom za period 2015-2018.</w:t>
      </w:r>
      <w:r w:rsidRPr="00D6015E">
        <w:rPr>
          <w:rFonts w:ascii="Cambria" w:hAnsi="Cambria"/>
          <w:b/>
          <w:noProof/>
          <w:lang w:val="sr-Latn-ME"/>
        </w:rPr>
        <w:t xml:space="preserve"> </w:t>
      </w:r>
      <w:r w:rsidRPr="00D6015E">
        <w:rPr>
          <w:rFonts w:ascii="Cambria" w:hAnsi="Cambria"/>
          <w:noProof/>
          <w:lang w:val="sr-Latn-ME"/>
        </w:rPr>
        <w:t>koj</w:t>
      </w:r>
      <w:r w:rsidR="00D6015E" w:rsidRPr="00D6015E">
        <w:rPr>
          <w:rFonts w:ascii="Cambria" w:hAnsi="Cambria"/>
          <w:noProof/>
          <w:lang w:val="sr-Latn-ME"/>
        </w:rPr>
        <w:t>a</w:t>
      </w:r>
      <w:r w:rsidRPr="00D6015E">
        <w:rPr>
          <w:rFonts w:ascii="Cambria" w:hAnsi="Cambria"/>
          <w:b/>
          <w:noProof/>
          <w:lang w:val="sr-Latn-ME"/>
        </w:rPr>
        <w:t xml:space="preserve"> </w:t>
      </w:r>
      <w:r w:rsidR="001278E2" w:rsidRPr="00D6015E">
        <w:rPr>
          <w:rFonts w:ascii="Cambria" w:hAnsi="Cambria"/>
          <w:noProof/>
          <w:lang w:val="sr-Latn-ME"/>
        </w:rPr>
        <w:t xml:space="preserve"> </w:t>
      </w:r>
      <w:r w:rsidRPr="00D6015E">
        <w:rPr>
          <w:rFonts w:ascii="Cambria" w:hAnsi="Cambria"/>
          <w:noProof/>
          <w:lang w:val="sr-Latn-ME"/>
        </w:rPr>
        <w:t>sadrži</w:t>
      </w:r>
      <w:r w:rsidR="001278E2" w:rsidRPr="00D6015E">
        <w:rPr>
          <w:rFonts w:ascii="Cambria" w:hAnsi="Cambria"/>
          <w:noProof/>
          <w:lang w:val="sr-Latn-ME"/>
        </w:rPr>
        <w:t xml:space="preserve"> mjere </w:t>
      </w:r>
      <w:r w:rsidR="00D6015E" w:rsidRPr="00D6015E">
        <w:rPr>
          <w:rFonts w:ascii="Cambria" w:hAnsi="Cambria"/>
          <w:noProof/>
          <w:lang w:val="sr-Latn-ME"/>
        </w:rPr>
        <w:t>za</w:t>
      </w:r>
      <w:r w:rsidRPr="00D6015E">
        <w:rPr>
          <w:rFonts w:ascii="Cambria" w:hAnsi="Cambria"/>
          <w:noProof/>
          <w:lang w:val="sr-Latn-ME"/>
        </w:rPr>
        <w:t xml:space="preserve"> uspostavljanje sistema upravljanja hemikalijama</w:t>
      </w:r>
      <w:r w:rsidR="001278E2" w:rsidRPr="00D6015E">
        <w:rPr>
          <w:rFonts w:ascii="Cambria" w:hAnsi="Cambria"/>
          <w:noProof/>
          <w:lang w:val="sr-Latn-ME"/>
        </w:rPr>
        <w:t xml:space="preserve">, od kojih je značajan broj sproveden, ali djelimično usled činjenice da skoro sve </w:t>
      </w:r>
      <w:r w:rsidRPr="00D6015E">
        <w:rPr>
          <w:rFonts w:ascii="Cambria" w:hAnsi="Cambria"/>
          <w:noProof/>
          <w:lang w:val="sr-Latn-ME"/>
        </w:rPr>
        <w:t xml:space="preserve">predložene </w:t>
      </w:r>
      <w:r w:rsidR="001278E2" w:rsidRPr="00D6015E">
        <w:rPr>
          <w:rFonts w:ascii="Cambria" w:hAnsi="Cambria"/>
          <w:noProof/>
          <w:lang w:val="sr-Latn-ME"/>
        </w:rPr>
        <w:t>mjere imaju kontinuirani period implementacije</w:t>
      </w:r>
      <w:r w:rsidR="00CE38D3">
        <w:rPr>
          <w:rFonts w:ascii="Cambria" w:hAnsi="Cambria"/>
          <w:noProof/>
          <w:lang w:val="sr-Latn-ME"/>
        </w:rPr>
        <w:t xml:space="preserve">. Treba istaći da </w:t>
      </w:r>
      <w:r w:rsidR="00CE38D3" w:rsidRPr="00CE38D3">
        <w:rPr>
          <w:rFonts w:ascii="Cambria" w:hAnsi="Cambria"/>
          <w:noProof/>
          <w:lang w:val="sr-Latn-ME"/>
        </w:rPr>
        <w:t>još uv</w:t>
      </w:r>
      <w:r w:rsidR="000863BA">
        <w:rPr>
          <w:rFonts w:ascii="Cambria" w:hAnsi="Cambria"/>
          <w:noProof/>
          <w:lang w:val="sr-Latn-ME"/>
        </w:rPr>
        <w:t>j</w:t>
      </w:r>
      <w:r w:rsidR="00CE38D3" w:rsidRPr="00CE38D3">
        <w:rPr>
          <w:rFonts w:ascii="Cambria" w:hAnsi="Cambria"/>
          <w:noProof/>
          <w:lang w:val="sr-Latn-ME"/>
        </w:rPr>
        <w:t>ek ostaje da se dovrši realizacija određenih m</w:t>
      </w:r>
      <w:r w:rsidR="00746B63">
        <w:rPr>
          <w:rFonts w:ascii="Cambria" w:hAnsi="Cambria"/>
          <w:noProof/>
          <w:lang w:val="sr-Latn-ME"/>
        </w:rPr>
        <w:t>j</w:t>
      </w:r>
      <w:r w:rsidR="00CE38D3" w:rsidRPr="00CE38D3">
        <w:rPr>
          <w:rFonts w:ascii="Cambria" w:hAnsi="Cambria"/>
          <w:noProof/>
          <w:lang w:val="sr-Latn-ME"/>
        </w:rPr>
        <w:t xml:space="preserve">era poput onih koje se odnose na jačanje administrativnih kapaciteta i stručne obučenosti kadrova za vršenje poslova evaluacije i ocjene tehničkih dosijea za hemikalije i biocidne proizvode, edukaciju inspektora u vezi sa kontrolom subjekata koji se bave proizvodnjom, prometom ili profesionalnom upotrebom, podizanje svijesti o pravilnom skladištenju i uništavanju otpada i sl.  </w:t>
      </w:r>
      <w:r w:rsidR="001278E2" w:rsidRPr="00D6015E">
        <w:rPr>
          <w:rFonts w:ascii="Cambria" w:hAnsi="Cambria"/>
          <w:noProof/>
          <w:lang w:val="sr-Latn-ME"/>
        </w:rPr>
        <w:t xml:space="preserve"> </w:t>
      </w:r>
      <w:r w:rsidR="00CE38D3">
        <w:rPr>
          <w:rFonts w:ascii="Cambria" w:hAnsi="Cambria"/>
          <w:noProof/>
          <w:lang w:val="sr-Latn-ME"/>
        </w:rPr>
        <w:t xml:space="preserve">Stoga, </w:t>
      </w:r>
      <w:r w:rsidRPr="00D6015E">
        <w:rPr>
          <w:rFonts w:ascii="Cambria" w:hAnsi="Cambria"/>
          <w:noProof/>
          <w:lang w:val="sr-Latn-ME"/>
        </w:rPr>
        <w:t xml:space="preserve">radi postizanja cilja treba nastaviti sa daljim aktivnostima </w:t>
      </w:r>
      <w:r w:rsidR="00D6015E" w:rsidRPr="00D6015E">
        <w:rPr>
          <w:rFonts w:ascii="Cambria" w:hAnsi="Cambria"/>
          <w:noProof/>
          <w:lang w:val="sr-Latn-ME"/>
        </w:rPr>
        <w:t xml:space="preserve">i njihovim prilagođavanjima novim obavezama </w:t>
      </w:r>
      <w:r w:rsidRPr="00D6015E">
        <w:rPr>
          <w:rFonts w:ascii="Cambria" w:hAnsi="Cambria"/>
          <w:noProof/>
          <w:lang w:val="sr-Latn-ME"/>
        </w:rPr>
        <w:t xml:space="preserve">i nakon isteka perioda na koji se akcioni plan </w:t>
      </w:r>
      <w:r w:rsidR="00CE38D3">
        <w:rPr>
          <w:rFonts w:ascii="Cambria" w:hAnsi="Cambria"/>
          <w:noProof/>
          <w:lang w:val="sr-Latn-ME"/>
        </w:rPr>
        <w:t xml:space="preserve">ove strategije </w:t>
      </w:r>
      <w:r w:rsidRPr="00D6015E">
        <w:rPr>
          <w:rFonts w:ascii="Cambria" w:hAnsi="Cambria"/>
          <w:noProof/>
          <w:lang w:val="sr-Latn-ME"/>
        </w:rPr>
        <w:t>odnosi</w:t>
      </w:r>
      <w:r w:rsidR="00CE38D3">
        <w:rPr>
          <w:rFonts w:ascii="Cambria" w:hAnsi="Cambria"/>
          <w:noProof/>
          <w:lang w:val="sr-Latn-ME"/>
        </w:rPr>
        <w:t>o</w:t>
      </w:r>
      <w:r w:rsidR="001278E2" w:rsidRPr="00D6015E">
        <w:rPr>
          <w:rFonts w:ascii="Cambria" w:hAnsi="Cambria"/>
          <w:noProof/>
          <w:lang w:val="sr-Latn-ME"/>
        </w:rPr>
        <w:t>. U cilju daljeg razvoja sistema upravljanja hemikalijama potrebno je utvrditi strateške pravce</w:t>
      </w:r>
      <w:r w:rsidRPr="00D6015E">
        <w:rPr>
          <w:rFonts w:ascii="Cambria" w:hAnsi="Cambria"/>
          <w:noProof/>
          <w:lang w:val="sr-Latn-ME"/>
        </w:rPr>
        <w:t>, prioritete</w:t>
      </w:r>
      <w:r w:rsidR="001278E2" w:rsidRPr="00D6015E">
        <w:rPr>
          <w:rFonts w:ascii="Cambria" w:hAnsi="Cambria"/>
          <w:noProof/>
          <w:lang w:val="sr-Latn-ME"/>
        </w:rPr>
        <w:t xml:space="preserve"> i aktivnosti koji doprinose ostvarenju ciljeva u ovoj oblasti za naredni četvorogodišnji period. </w:t>
      </w:r>
    </w:p>
    <w:p w14:paraId="2DC69C2F" w14:textId="77777777" w:rsidR="002904CB" w:rsidRDefault="001278E2" w:rsidP="00557C13">
      <w:pPr>
        <w:pStyle w:val="ListParagraph"/>
        <w:numPr>
          <w:ilvl w:val="2"/>
          <w:numId w:val="53"/>
        </w:numPr>
        <w:spacing w:after="0"/>
        <w:ind w:left="720"/>
        <w:jc w:val="both"/>
        <w:rPr>
          <w:rFonts w:ascii="Cambria" w:hAnsi="Cambria"/>
          <w:noProof/>
          <w:lang w:val="sr-Latn-ME"/>
        </w:rPr>
      </w:pPr>
      <w:r w:rsidRPr="00D6015E">
        <w:rPr>
          <w:rFonts w:ascii="Cambria" w:hAnsi="Cambria"/>
          <w:b/>
          <w:noProof/>
          <w:lang w:val="sr-Latn-ME"/>
        </w:rPr>
        <w:t>Nacionalni plan za implementaciju Stokholmske konvencije sa Akcionim planom za period 2014-2021. (NIP)</w:t>
      </w:r>
      <w:r w:rsidRPr="00D6015E">
        <w:rPr>
          <w:rFonts w:ascii="Cambria" w:hAnsi="Cambria"/>
          <w:noProof/>
          <w:lang w:val="sr-Latn-ME"/>
        </w:rPr>
        <w:t xml:space="preserve"> </w:t>
      </w:r>
      <w:r w:rsidR="005B5239" w:rsidRPr="00D6015E">
        <w:rPr>
          <w:rFonts w:ascii="Cambria" w:hAnsi="Cambria"/>
          <w:noProof/>
          <w:lang w:val="sr-Latn-ME"/>
        </w:rPr>
        <w:t xml:space="preserve">koji sadrži mjere potrebne za ispunjavanje </w:t>
      </w:r>
      <w:r w:rsidRPr="00D6015E">
        <w:rPr>
          <w:rFonts w:ascii="Cambria" w:hAnsi="Cambria"/>
          <w:noProof/>
          <w:lang w:val="sr-Latn-ME"/>
        </w:rPr>
        <w:t>obaveza koje proističu iz Stokholmske konvencije</w:t>
      </w:r>
      <w:r w:rsidR="005B5239" w:rsidRPr="005B5239">
        <w:rPr>
          <w:noProof/>
        </w:rPr>
        <w:t xml:space="preserve"> </w:t>
      </w:r>
      <w:r w:rsidR="005B5239" w:rsidRPr="00D6015E">
        <w:rPr>
          <w:rFonts w:ascii="Cambria" w:hAnsi="Cambria"/>
          <w:noProof/>
          <w:lang w:val="sr-Latn-ME"/>
        </w:rPr>
        <w:t>o dugotrajnim organskim zagađ</w:t>
      </w:r>
      <w:r w:rsidR="003F02A2" w:rsidRPr="00D6015E">
        <w:rPr>
          <w:rFonts w:ascii="Cambria" w:hAnsi="Cambria"/>
          <w:noProof/>
          <w:lang w:val="sr-Latn-ME"/>
        </w:rPr>
        <w:t>ujućim supstancama</w:t>
      </w:r>
      <w:r w:rsidR="005B5239" w:rsidRPr="00D6015E">
        <w:rPr>
          <w:rFonts w:ascii="Cambria" w:hAnsi="Cambria"/>
          <w:noProof/>
          <w:lang w:val="sr-Latn-ME"/>
        </w:rPr>
        <w:t xml:space="preserve"> (POPs)</w:t>
      </w:r>
      <w:r w:rsidR="00D6015E" w:rsidRPr="00D6015E">
        <w:rPr>
          <w:rFonts w:ascii="Cambria" w:hAnsi="Cambria"/>
          <w:noProof/>
          <w:lang w:val="sr-Latn-ME"/>
        </w:rPr>
        <w:t>.</w:t>
      </w:r>
      <w:r w:rsidRPr="00D6015E">
        <w:rPr>
          <w:rFonts w:ascii="Cambria" w:hAnsi="Cambria"/>
          <w:noProof/>
          <w:lang w:val="sr-Latn-ME"/>
        </w:rPr>
        <w:t xml:space="preserve"> S obzirom, da je Stokholmska konvencija je </w:t>
      </w:r>
      <w:r w:rsidR="003F02A2" w:rsidRPr="00D6015E">
        <w:rPr>
          <w:rFonts w:ascii="Cambria" w:hAnsi="Cambria"/>
          <w:noProof/>
          <w:lang w:val="sr-Latn-ME"/>
        </w:rPr>
        <w:t xml:space="preserve">inicijalno </w:t>
      </w:r>
      <w:r w:rsidRPr="00D6015E">
        <w:rPr>
          <w:rFonts w:ascii="Cambria" w:hAnsi="Cambria"/>
          <w:noProof/>
          <w:lang w:val="sr-Latn-ME"/>
        </w:rPr>
        <w:t>obuhvatala  12 POPs hemikalija, ali da je nakon 2009. godine amandmanima na anekse Stokholmske konvencije ovaj broj proširen novim POPs hemikalija, u toku je projekat Revizije Nacionalnog plana implementacije Stokholmske konvencije o dugotrajnim organskim zagađivačima (POPs), sa ciljem da se ažuriraju inventari starih POPs hemikalija i izrade inventari novih POPs hemikalija i predlože mjere za eliminaciju</w:t>
      </w:r>
      <w:r w:rsidR="00D6015E" w:rsidRPr="00D6015E">
        <w:rPr>
          <w:rFonts w:ascii="Cambria" w:hAnsi="Cambria"/>
          <w:noProof/>
          <w:lang w:val="sr-Latn-ME"/>
        </w:rPr>
        <w:t>,</w:t>
      </w:r>
      <w:r w:rsidRPr="00D6015E">
        <w:rPr>
          <w:rFonts w:ascii="Cambria" w:hAnsi="Cambria"/>
          <w:noProof/>
          <w:lang w:val="sr-Latn-ME"/>
        </w:rPr>
        <w:t xml:space="preserve"> odnosno smanjenje rizika i izloženosti POPs u skladu sa revidiranim nalazima.</w:t>
      </w:r>
    </w:p>
    <w:p w14:paraId="37627DE2" w14:textId="77777777" w:rsidR="001E0726" w:rsidRDefault="001E0726" w:rsidP="001E0726">
      <w:pPr>
        <w:pStyle w:val="ListParagraph"/>
        <w:spacing w:after="0"/>
        <w:ind w:left="1440"/>
        <w:jc w:val="both"/>
        <w:rPr>
          <w:rFonts w:ascii="Cambria" w:hAnsi="Cambria"/>
          <w:noProof/>
          <w:lang w:val="sr-Latn-ME"/>
        </w:rPr>
      </w:pPr>
    </w:p>
    <w:p w14:paraId="58841387" w14:textId="77777777" w:rsidR="001E0726" w:rsidRDefault="001E0726" w:rsidP="001E0726">
      <w:pPr>
        <w:pStyle w:val="ListParagraph"/>
        <w:spacing w:after="0"/>
        <w:ind w:left="1440"/>
        <w:jc w:val="both"/>
        <w:rPr>
          <w:rFonts w:ascii="Cambria" w:hAnsi="Cambria"/>
          <w:noProof/>
          <w:lang w:val="sr-Latn-ME"/>
        </w:rPr>
      </w:pPr>
    </w:p>
    <w:p w14:paraId="5DEE065F" w14:textId="77777777" w:rsidR="001E0726" w:rsidRDefault="001E0726" w:rsidP="001E0726">
      <w:pPr>
        <w:pStyle w:val="ListParagraph"/>
        <w:spacing w:after="0"/>
        <w:ind w:left="1440"/>
        <w:jc w:val="both"/>
        <w:rPr>
          <w:rFonts w:ascii="Cambria" w:hAnsi="Cambria"/>
          <w:noProof/>
          <w:lang w:val="sr-Latn-ME"/>
        </w:rPr>
      </w:pPr>
    </w:p>
    <w:p w14:paraId="0F774CAC" w14:textId="77777777" w:rsidR="001E0726" w:rsidRDefault="001E0726" w:rsidP="001E0726">
      <w:pPr>
        <w:pStyle w:val="ListParagraph"/>
        <w:spacing w:after="0"/>
        <w:ind w:left="1440"/>
        <w:jc w:val="both"/>
        <w:rPr>
          <w:rFonts w:ascii="Cambria" w:hAnsi="Cambria"/>
          <w:noProof/>
          <w:lang w:val="sr-Latn-ME"/>
        </w:rPr>
      </w:pPr>
    </w:p>
    <w:p w14:paraId="6EC51402" w14:textId="77777777" w:rsidR="001E0726" w:rsidRPr="001E0726" w:rsidRDefault="001E0726" w:rsidP="001E0726">
      <w:pPr>
        <w:pStyle w:val="ListParagraph"/>
        <w:spacing w:after="0"/>
        <w:ind w:left="1440"/>
        <w:jc w:val="both"/>
        <w:rPr>
          <w:rFonts w:ascii="Cambria" w:hAnsi="Cambria"/>
          <w:noProof/>
          <w:lang w:val="sr-Latn-ME"/>
        </w:rPr>
      </w:pPr>
    </w:p>
    <w:p w14:paraId="199D9367" w14:textId="77777777" w:rsidR="002904CB" w:rsidRPr="00AB15C7" w:rsidRDefault="002904CB" w:rsidP="005921EF">
      <w:pPr>
        <w:rPr>
          <w:rFonts w:ascii="Cambria" w:hAnsi="Cambria"/>
          <w:noProof/>
          <w:lang w:val="sr-Latn-ME"/>
        </w:rPr>
      </w:pPr>
    </w:p>
    <w:p w14:paraId="4D2CA7DD" w14:textId="77777777" w:rsidR="0005493B" w:rsidRDefault="0005493B" w:rsidP="005921EF">
      <w:pPr>
        <w:rPr>
          <w:rFonts w:ascii="Cambria" w:hAnsi="Cambria"/>
          <w:noProof/>
          <w:lang w:val="sr-Latn-ME"/>
        </w:rPr>
      </w:pPr>
    </w:p>
    <w:p w14:paraId="4530B422" w14:textId="77777777" w:rsidR="0005493B" w:rsidRDefault="0005493B" w:rsidP="005921EF">
      <w:pPr>
        <w:rPr>
          <w:rFonts w:ascii="Cambria" w:hAnsi="Cambria"/>
          <w:noProof/>
          <w:lang w:val="sr-Latn-ME"/>
        </w:rPr>
      </w:pPr>
    </w:p>
    <w:p w14:paraId="787B56F0" w14:textId="77777777" w:rsidR="0005493B" w:rsidRPr="00AB15C7" w:rsidRDefault="0005493B" w:rsidP="005921EF">
      <w:pPr>
        <w:rPr>
          <w:rFonts w:ascii="Cambria" w:hAnsi="Cambria"/>
          <w:noProof/>
          <w:lang w:val="sr-Latn-ME"/>
        </w:rPr>
      </w:pPr>
    </w:p>
    <w:p w14:paraId="2EC3262E" w14:textId="77777777" w:rsidR="004B290C" w:rsidRPr="00AB15C7" w:rsidRDefault="004B290C" w:rsidP="005921EF">
      <w:pPr>
        <w:rPr>
          <w:rFonts w:ascii="Cambria" w:hAnsi="Cambria"/>
          <w:noProof/>
          <w:lang w:val="sr-Latn-ME"/>
        </w:rPr>
      </w:pPr>
    </w:p>
    <w:p w14:paraId="5BC22294" w14:textId="1A3C3739" w:rsidR="00D32C8D" w:rsidRDefault="00D32C8D" w:rsidP="005921EF">
      <w:pPr>
        <w:rPr>
          <w:rFonts w:ascii="Cambria" w:hAnsi="Cambria"/>
          <w:noProof/>
          <w:lang w:val="sr-Latn-ME"/>
        </w:rPr>
      </w:pPr>
    </w:p>
    <w:p w14:paraId="131F3524" w14:textId="2F4658BB" w:rsidR="00360F0F" w:rsidRDefault="00360F0F" w:rsidP="005921EF">
      <w:pPr>
        <w:rPr>
          <w:rFonts w:ascii="Cambria" w:hAnsi="Cambria"/>
          <w:noProof/>
          <w:lang w:val="sr-Latn-ME"/>
        </w:rPr>
      </w:pPr>
    </w:p>
    <w:p w14:paraId="38C6CFAE" w14:textId="3E1A2692" w:rsidR="00360F0F" w:rsidRDefault="00360F0F" w:rsidP="005921EF">
      <w:pPr>
        <w:rPr>
          <w:rFonts w:ascii="Cambria" w:hAnsi="Cambria"/>
          <w:noProof/>
          <w:lang w:val="sr-Latn-ME"/>
        </w:rPr>
      </w:pPr>
    </w:p>
    <w:p w14:paraId="0C467926" w14:textId="06A24C93" w:rsidR="00360F0F" w:rsidRDefault="00360F0F" w:rsidP="005921EF">
      <w:pPr>
        <w:rPr>
          <w:rFonts w:ascii="Cambria" w:hAnsi="Cambria"/>
          <w:noProof/>
          <w:lang w:val="sr-Latn-ME"/>
        </w:rPr>
      </w:pPr>
    </w:p>
    <w:p w14:paraId="1B60457F" w14:textId="5756E56A" w:rsidR="00360F0F" w:rsidRDefault="00360F0F" w:rsidP="005921EF">
      <w:pPr>
        <w:rPr>
          <w:rFonts w:ascii="Cambria" w:hAnsi="Cambria"/>
          <w:noProof/>
          <w:lang w:val="sr-Latn-ME"/>
        </w:rPr>
      </w:pPr>
    </w:p>
    <w:p w14:paraId="3BABE9E7" w14:textId="4D3906F4" w:rsidR="00360F0F" w:rsidRDefault="00360F0F" w:rsidP="005921EF">
      <w:pPr>
        <w:rPr>
          <w:rFonts w:ascii="Cambria" w:hAnsi="Cambria"/>
          <w:noProof/>
          <w:lang w:val="sr-Latn-ME"/>
        </w:rPr>
      </w:pPr>
    </w:p>
    <w:p w14:paraId="1FCC95C9" w14:textId="069AFD04" w:rsidR="00360F0F" w:rsidRDefault="00360F0F" w:rsidP="005921EF">
      <w:pPr>
        <w:rPr>
          <w:rFonts w:ascii="Cambria" w:hAnsi="Cambria"/>
          <w:noProof/>
          <w:lang w:val="sr-Latn-ME"/>
        </w:rPr>
      </w:pPr>
    </w:p>
    <w:p w14:paraId="02E93063" w14:textId="46F206B4" w:rsidR="00360F0F" w:rsidRDefault="00360F0F" w:rsidP="005921EF">
      <w:pPr>
        <w:rPr>
          <w:rFonts w:ascii="Cambria" w:hAnsi="Cambria"/>
          <w:noProof/>
          <w:lang w:val="sr-Latn-ME"/>
        </w:rPr>
      </w:pPr>
    </w:p>
    <w:p w14:paraId="4DF7FED5" w14:textId="77777777" w:rsidR="00360F0F" w:rsidRPr="00AB15C7" w:rsidRDefault="00360F0F" w:rsidP="005921EF">
      <w:pPr>
        <w:rPr>
          <w:rFonts w:ascii="Cambria" w:hAnsi="Cambria"/>
          <w:noProof/>
          <w:lang w:val="sr-Latn-ME"/>
        </w:rPr>
      </w:pPr>
    </w:p>
    <w:p w14:paraId="034A5497" w14:textId="77777777" w:rsidR="009A5AAD" w:rsidRPr="00AB15C7" w:rsidRDefault="009A5AAD" w:rsidP="005921EF">
      <w:pPr>
        <w:pStyle w:val="Heading3"/>
        <w:spacing w:before="0"/>
        <w:rPr>
          <w:rFonts w:cs="Arial"/>
          <w:noProof/>
          <w:sz w:val="22"/>
          <w:szCs w:val="22"/>
          <w:lang w:val="sr-Latn-ME"/>
        </w:rPr>
      </w:pPr>
    </w:p>
    <w:tbl>
      <w:tblPr>
        <w:tblW w:w="0" w:type="auto"/>
        <w:tblInd w:w="108" w:type="dxa"/>
        <w:tblBorders>
          <w:insideH w:val="single" w:sz="4" w:space="0" w:color="000000"/>
        </w:tblBorders>
        <w:shd w:val="clear" w:color="auto" w:fill="B2A1C7"/>
        <w:tblLayout w:type="fixed"/>
        <w:tblLook w:val="04A0" w:firstRow="1" w:lastRow="0" w:firstColumn="1" w:lastColumn="0" w:noHBand="0" w:noVBand="1"/>
      </w:tblPr>
      <w:tblGrid>
        <w:gridCol w:w="9626"/>
      </w:tblGrid>
      <w:tr w:rsidR="00AD3776" w:rsidRPr="00F70A79" w14:paraId="482ADB94" w14:textId="77777777" w:rsidTr="00AD3776">
        <w:trPr>
          <w:trHeight w:val="432"/>
        </w:trPr>
        <w:tc>
          <w:tcPr>
            <w:tcW w:w="9626" w:type="dxa"/>
            <w:tcBorders>
              <w:top w:val="nil"/>
              <w:bottom w:val="nil"/>
            </w:tcBorders>
            <w:shd w:val="clear" w:color="auto" w:fill="B2A1C7"/>
          </w:tcPr>
          <w:p w14:paraId="559BCD64" w14:textId="77777777" w:rsidR="003F2FA1" w:rsidRPr="00F70A79" w:rsidRDefault="00AD3776" w:rsidP="00557C13">
            <w:pPr>
              <w:pStyle w:val="Heading1"/>
              <w:numPr>
                <w:ilvl w:val="0"/>
                <w:numId w:val="11"/>
              </w:numPr>
              <w:rPr>
                <w:noProof/>
                <w:szCs w:val="44"/>
                <w:lang w:val="en-US" w:eastAsia="en-US"/>
              </w:rPr>
            </w:pPr>
            <w:bookmarkStart w:id="7" w:name="_Toc406411315"/>
            <w:r w:rsidRPr="00F70A79">
              <w:rPr>
                <w:noProof/>
                <w:szCs w:val="44"/>
                <w:lang w:val="en-US" w:eastAsia="en-US"/>
              </w:rPr>
              <w:t xml:space="preserve">   </w:t>
            </w:r>
            <w:bookmarkStart w:id="8" w:name="_Toc527353169"/>
            <w:bookmarkEnd w:id="7"/>
            <w:r w:rsidR="00EE74F0" w:rsidRPr="00F70A79">
              <w:rPr>
                <w:noProof/>
                <w:szCs w:val="44"/>
                <w:lang w:val="en-US" w:eastAsia="en-US"/>
              </w:rPr>
              <w:t>ANALIZA STANJA</w:t>
            </w:r>
            <w:bookmarkEnd w:id="8"/>
          </w:p>
          <w:p w14:paraId="5523596F" w14:textId="77777777" w:rsidR="001C0B8A" w:rsidRPr="00F70A79" w:rsidRDefault="001C0B8A" w:rsidP="005921EF">
            <w:pPr>
              <w:rPr>
                <w:rFonts w:ascii="Cambria" w:hAnsi="Cambria"/>
                <w:noProof/>
                <w:sz w:val="44"/>
                <w:szCs w:val="44"/>
              </w:rPr>
            </w:pPr>
          </w:p>
        </w:tc>
      </w:tr>
    </w:tbl>
    <w:p w14:paraId="2F3697F4" w14:textId="77777777" w:rsidR="00963B5B" w:rsidRPr="00AB15C7" w:rsidRDefault="00963B5B" w:rsidP="005921EF">
      <w:pPr>
        <w:spacing w:before="100" w:beforeAutospacing="1" w:after="100" w:afterAutospacing="1"/>
        <w:jc w:val="both"/>
        <w:rPr>
          <w:rFonts w:ascii="Cambria" w:hAnsi="Cambria"/>
          <w:noProof/>
          <w:lang w:val="sr-Latn-ME"/>
        </w:rPr>
      </w:pPr>
    </w:p>
    <w:p w14:paraId="5C7047A7" w14:textId="77777777" w:rsidR="00EE74F0" w:rsidRPr="00AB15C7" w:rsidRDefault="00EE74F0" w:rsidP="005921EF">
      <w:pPr>
        <w:spacing w:before="100" w:beforeAutospacing="1" w:after="100" w:afterAutospacing="1"/>
        <w:jc w:val="both"/>
        <w:rPr>
          <w:rFonts w:ascii="Cambria" w:hAnsi="Cambria"/>
          <w:noProof/>
          <w:lang w:val="sr-Latn-ME"/>
        </w:rPr>
      </w:pPr>
    </w:p>
    <w:p w14:paraId="5A79AD9B" w14:textId="77777777" w:rsidR="00EE74F0" w:rsidRPr="00AB15C7" w:rsidRDefault="00EE74F0" w:rsidP="005921EF">
      <w:pPr>
        <w:spacing w:before="100" w:beforeAutospacing="1" w:after="100" w:afterAutospacing="1"/>
        <w:jc w:val="both"/>
        <w:rPr>
          <w:rFonts w:ascii="Cambria" w:hAnsi="Cambria"/>
          <w:noProof/>
          <w:lang w:val="sr-Latn-ME"/>
        </w:rPr>
      </w:pPr>
    </w:p>
    <w:p w14:paraId="0905E848" w14:textId="77777777" w:rsidR="00EE74F0" w:rsidRPr="00AB15C7" w:rsidRDefault="00EE74F0" w:rsidP="005921EF">
      <w:pPr>
        <w:spacing w:before="100" w:beforeAutospacing="1" w:after="100" w:afterAutospacing="1"/>
        <w:jc w:val="both"/>
        <w:rPr>
          <w:rFonts w:ascii="Cambria" w:hAnsi="Cambria"/>
          <w:noProof/>
          <w:lang w:val="sr-Latn-ME"/>
        </w:rPr>
      </w:pPr>
    </w:p>
    <w:p w14:paraId="42ACC4E2" w14:textId="77777777" w:rsidR="00EE74F0" w:rsidRPr="00AB15C7" w:rsidRDefault="00EE74F0" w:rsidP="005921EF">
      <w:pPr>
        <w:spacing w:before="100" w:beforeAutospacing="1" w:after="100" w:afterAutospacing="1"/>
        <w:jc w:val="both"/>
        <w:rPr>
          <w:rFonts w:ascii="Cambria" w:hAnsi="Cambria"/>
          <w:noProof/>
          <w:lang w:val="sr-Latn-ME"/>
        </w:rPr>
      </w:pPr>
    </w:p>
    <w:p w14:paraId="7909EAD0" w14:textId="77777777" w:rsidR="00EE74F0" w:rsidRDefault="00EE74F0" w:rsidP="005921EF">
      <w:pPr>
        <w:spacing w:before="100" w:beforeAutospacing="1" w:after="100" w:afterAutospacing="1"/>
        <w:jc w:val="both"/>
        <w:rPr>
          <w:rFonts w:ascii="Cambria" w:hAnsi="Cambria"/>
          <w:noProof/>
          <w:lang w:val="sr-Latn-ME"/>
        </w:rPr>
      </w:pPr>
    </w:p>
    <w:p w14:paraId="0C82302A" w14:textId="77777777" w:rsidR="00F70A79" w:rsidRDefault="00F70A79" w:rsidP="005921EF">
      <w:pPr>
        <w:spacing w:before="100" w:beforeAutospacing="1" w:after="100" w:afterAutospacing="1"/>
        <w:jc w:val="both"/>
        <w:rPr>
          <w:rFonts w:ascii="Cambria" w:hAnsi="Cambria"/>
          <w:noProof/>
          <w:lang w:val="sr-Latn-ME"/>
        </w:rPr>
      </w:pPr>
    </w:p>
    <w:p w14:paraId="797E85CF" w14:textId="77777777" w:rsidR="00D87252" w:rsidRDefault="00D87252" w:rsidP="005921EF">
      <w:pPr>
        <w:spacing w:before="100" w:beforeAutospacing="1" w:after="100" w:afterAutospacing="1"/>
        <w:jc w:val="both"/>
        <w:rPr>
          <w:rFonts w:ascii="Cambria" w:hAnsi="Cambria"/>
          <w:noProof/>
          <w:lang w:val="sr-Latn-ME"/>
        </w:rPr>
      </w:pPr>
    </w:p>
    <w:p w14:paraId="05E04C24" w14:textId="77777777" w:rsidR="00D87252" w:rsidRDefault="00D87252" w:rsidP="005921EF">
      <w:pPr>
        <w:spacing w:before="100" w:beforeAutospacing="1" w:after="100" w:afterAutospacing="1"/>
        <w:jc w:val="both"/>
        <w:rPr>
          <w:rFonts w:ascii="Cambria" w:hAnsi="Cambria"/>
          <w:noProof/>
          <w:lang w:val="sr-Latn-ME"/>
        </w:rPr>
      </w:pPr>
    </w:p>
    <w:p w14:paraId="08D5B0F6" w14:textId="77777777" w:rsidR="00D87252" w:rsidRDefault="00D87252" w:rsidP="005921EF">
      <w:pPr>
        <w:spacing w:before="100" w:beforeAutospacing="1" w:after="100" w:afterAutospacing="1"/>
        <w:jc w:val="both"/>
        <w:rPr>
          <w:rFonts w:ascii="Cambria" w:hAnsi="Cambria"/>
          <w:noProof/>
          <w:lang w:val="sr-Latn-ME"/>
        </w:rPr>
      </w:pPr>
    </w:p>
    <w:p w14:paraId="08F28378" w14:textId="77777777" w:rsidR="00F70A79" w:rsidRPr="00AB15C7" w:rsidRDefault="00F70A79" w:rsidP="00E51999">
      <w:pPr>
        <w:spacing w:before="100" w:beforeAutospacing="1" w:after="100" w:afterAutospacing="1"/>
        <w:jc w:val="both"/>
        <w:rPr>
          <w:rFonts w:ascii="Cambria" w:hAnsi="Cambria"/>
          <w:noProof/>
          <w:lang w:val="sr-Latn-ME"/>
        </w:rPr>
      </w:pPr>
    </w:p>
    <w:p w14:paraId="5AAA4B9D" w14:textId="77777777" w:rsidR="00EE74F0" w:rsidRPr="00AB15C7" w:rsidRDefault="00EE74F0" w:rsidP="005921EF">
      <w:pPr>
        <w:spacing w:before="100" w:beforeAutospacing="1" w:after="100" w:afterAutospacing="1"/>
        <w:jc w:val="both"/>
        <w:rPr>
          <w:rFonts w:ascii="Cambria" w:hAnsi="Cambria"/>
          <w:noProof/>
          <w:lang w:val="sr-Latn-ME"/>
        </w:rPr>
      </w:pPr>
    </w:p>
    <w:p w14:paraId="5223A8A4" w14:textId="77777777" w:rsidR="0063579F" w:rsidRPr="00AB15C7" w:rsidRDefault="00DB752F" w:rsidP="00557C13">
      <w:pPr>
        <w:pStyle w:val="Heading1"/>
        <w:numPr>
          <w:ilvl w:val="1"/>
          <w:numId w:val="33"/>
        </w:numPr>
        <w:rPr>
          <w:noProof/>
          <w:sz w:val="22"/>
          <w:szCs w:val="22"/>
          <w:lang w:val="en-US"/>
        </w:rPr>
      </w:pPr>
      <w:bookmarkStart w:id="9" w:name="_Toc527353170"/>
      <w:r w:rsidRPr="00AB15C7">
        <w:rPr>
          <w:noProof/>
          <w:sz w:val="22"/>
          <w:szCs w:val="22"/>
          <w:lang w:val="en-US"/>
        </w:rPr>
        <w:lastRenderedPageBreak/>
        <w:t>OPŠTE INFORMACIJE O CRNOJ GORI</w:t>
      </w:r>
      <w:bookmarkEnd w:id="9"/>
    </w:p>
    <w:p w14:paraId="3D0976EB" w14:textId="77777777" w:rsidR="0063579F" w:rsidRPr="00AB15C7" w:rsidRDefault="0063579F" w:rsidP="005921EF">
      <w:pPr>
        <w:spacing w:after="0"/>
        <w:rPr>
          <w:rFonts w:ascii="Cambria" w:hAnsi="Cambria"/>
          <w:noProof/>
          <w:lang w:eastAsia="x-none"/>
        </w:rPr>
      </w:pPr>
    </w:p>
    <w:p w14:paraId="2F23D8F5" w14:textId="5611EA90" w:rsidR="00A47EEF" w:rsidRDefault="00A47EEF" w:rsidP="00802271">
      <w:pPr>
        <w:pStyle w:val="Heading2"/>
        <w:numPr>
          <w:ilvl w:val="2"/>
          <w:numId w:val="2"/>
        </w:numPr>
        <w:spacing w:after="120"/>
        <w:rPr>
          <w:noProof/>
          <w:sz w:val="22"/>
          <w:szCs w:val="22"/>
          <w:shd w:val="clear" w:color="auto" w:fill="FFFFFF"/>
        </w:rPr>
      </w:pPr>
      <w:bookmarkStart w:id="10" w:name="_Toc527353171"/>
      <w:r w:rsidRPr="00AB15C7">
        <w:rPr>
          <w:noProof/>
          <w:sz w:val="22"/>
          <w:szCs w:val="22"/>
          <w:shd w:val="clear" w:color="auto" w:fill="FFFFFF"/>
        </w:rPr>
        <w:t>Prirodno-geografsk</w:t>
      </w:r>
      <w:r w:rsidR="00151B33">
        <w:rPr>
          <w:noProof/>
          <w:sz w:val="22"/>
          <w:szCs w:val="22"/>
          <w:shd w:val="clear" w:color="auto" w:fill="FFFFFF"/>
          <w:lang w:val="en-US"/>
        </w:rPr>
        <w:t>e, demografske i dru</w:t>
      </w:r>
      <w:r w:rsidR="00151B33">
        <w:rPr>
          <w:noProof/>
          <w:sz w:val="22"/>
          <w:szCs w:val="22"/>
          <w:shd w:val="clear" w:color="auto" w:fill="FFFFFF"/>
          <w:lang w:val="sr-Latn-RS"/>
        </w:rPr>
        <w:t>štveno-</w:t>
      </w:r>
      <w:r w:rsidR="00151B33">
        <w:rPr>
          <w:noProof/>
          <w:sz w:val="22"/>
          <w:szCs w:val="22"/>
          <w:shd w:val="clear" w:color="auto" w:fill="FFFFFF"/>
          <w:lang w:val="en-US"/>
        </w:rPr>
        <w:t>političke karakteristike</w:t>
      </w:r>
      <w:bookmarkEnd w:id="10"/>
    </w:p>
    <w:p w14:paraId="7DD6E89D" w14:textId="088E485B" w:rsidR="00A41DF4" w:rsidRPr="00AB15C7" w:rsidRDefault="00F132C4" w:rsidP="005921EF">
      <w:pPr>
        <w:spacing w:after="0"/>
        <w:jc w:val="both"/>
        <w:rPr>
          <w:rFonts w:ascii="Cambria" w:hAnsi="Cambria"/>
          <w:noProof/>
        </w:rPr>
      </w:pPr>
      <w:r w:rsidRPr="00AB15C7">
        <w:rPr>
          <w:rFonts w:ascii="Cambria" w:hAnsi="Cambria"/>
          <w:noProof/>
          <w:lang w:val="sr-Latn-ME"/>
        </w:rPr>
        <w:t>Crna Gora je</w:t>
      </w:r>
      <w:r w:rsidR="00A47EEF" w:rsidRPr="00AB15C7">
        <w:rPr>
          <w:rFonts w:ascii="Cambria" w:hAnsi="Cambria"/>
          <w:noProof/>
          <w:lang w:val="sr-Latn-ME"/>
        </w:rPr>
        <w:t xml:space="preserve"> pretežno planinska, istovremeno i </w:t>
      </w:r>
      <w:r w:rsidRPr="00AB15C7">
        <w:rPr>
          <w:rFonts w:ascii="Cambria" w:hAnsi="Cambria"/>
          <w:noProof/>
          <w:lang w:val="sr-Latn-ME"/>
        </w:rPr>
        <w:t xml:space="preserve">jadransko-mediteranska </w:t>
      </w:r>
      <w:r w:rsidR="00CC6A88" w:rsidRPr="00AB15C7">
        <w:rPr>
          <w:rFonts w:ascii="Cambria" w:hAnsi="Cambria"/>
          <w:noProof/>
          <w:lang w:val="sr-Latn-ME"/>
        </w:rPr>
        <w:t>zemlja</w:t>
      </w:r>
      <w:r w:rsidR="00967194">
        <w:rPr>
          <w:rFonts w:ascii="Cambria" w:hAnsi="Cambria"/>
          <w:noProof/>
          <w:lang w:val="sr-Latn-ME"/>
        </w:rPr>
        <w:t xml:space="preserve"> sa </w:t>
      </w:r>
      <w:r w:rsidR="00967194">
        <w:rPr>
          <w:rFonts w:ascii="Cambria" w:hAnsi="Cambria"/>
          <w:noProof/>
        </w:rPr>
        <w:t>u</w:t>
      </w:r>
      <w:r w:rsidR="006F312B" w:rsidRPr="00AB15C7">
        <w:rPr>
          <w:rFonts w:ascii="Cambria" w:hAnsi="Cambria"/>
          <w:noProof/>
        </w:rPr>
        <w:t>kupn</w:t>
      </w:r>
      <w:r w:rsidR="00967194">
        <w:rPr>
          <w:rFonts w:ascii="Cambria" w:hAnsi="Cambria"/>
          <w:noProof/>
        </w:rPr>
        <w:t>om</w:t>
      </w:r>
      <w:r w:rsidR="006F312B" w:rsidRPr="00AB15C7">
        <w:rPr>
          <w:rFonts w:ascii="Cambria" w:hAnsi="Cambria"/>
          <w:noProof/>
        </w:rPr>
        <w:t xml:space="preserve"> </w:t>
      </w:r>
      <w:r w:rsidR="00967194" w:rsidRPr="00AB15C7">
        <w:rPr>
          <w:rFonts w:ascii="Cambria" w:hAnsi="Cambria"/>
          <w:noProof/>
        </w:rPr>
        <w:t>površin</w:t>
      </w:r>
      <w:r w:rsidR="00967194">
        <w:rPr>
          <w:rFonts w:ascii="Cambria" w:hAnsi="Cambria"/>
          <w:noProof/>
        </w:rPr>
        <w:t>om</w:t>
      </w:r>
      <w:r w:rsidR="00967194" w:rsidRPr="00AB15C7">
        <w:rPr>
          <w:rFonts w:ascii="Cambria" w:hAnsi="Cambria"/>
          <w:noProof/>
        </w:rPr>
        <w:t xml:space="preserve"> </w:t>
      </w:r>
      <w:r w:rsidR="006F312B" w:rsidRPr="00AB15C7">
        <w:rPr>
          <w:rFonts w:ascii="Cambria" w:hAnsi="Cambria"/>
          <w:noProof/>
        </w:rPr>
        <w:t xml:space="preserve">državne teritorije </w:t>
      </w:r>
      <w:r w:rsidR="00967194">
        <w:rPr>
          <w:rFonts w:ascii="Cambria" w:hAnsi="Cambria"/>
          <w:noProof/>
        </w:rPr>
        <w:t>od</w:t>
      </w:r>
      <w:r w:rsidR="00967194" w:rsidRPr="00AB15C7">
        <w:rPr>
          <w:rFonts w:ascii="Cambria" w:hAnsi="Cambria"/>
          <w:noProof/>
        </w:rPr>
        <w:t xml:space="preserve"> </w:t>
      </w:r>
      <w:r w:rsidR="006F312B" w:rsidRPr="00AB15C7">
        <w:rPr>
          <w:rFonts w:ascii="Cambria" w:hAnsi="Cambria"/>
          <w:noProof/>
        </w:rPr>
        <w:t>13.812 km</w:t>
      </w:r>
      <w:r w:rsidR="006F312B" w:rsidRPr="00AB15C7">
        <w:rPr>
          <w:rFonts w:ascii="Cambria" w:hAnsi="Cambria"/>
          <w:noProof/>
          <w:vertAlign w:val="superscript"/>
        </w:rPr>
        <w:t>2</w:t>
      </w:r>
      <w:r w:rsidR="006F312B" w:rsidRPr="00AB15C7">
        <w:rPr>
          <w:rFonts w:ascii="Cambria" w:hAnsi="Cambria"/>
          <w:noProof/>
        </w:rPr>
        <w:t xml:space="preserve">. </w:t>
      </w:r>
      <w:r w:rsidR="006647B8" w:rsidRPr="00AB15C7">
        <w:rPr>
          <w:rFonts w:ascii="Cambria" w:hAnsi="Cambria"/>
          <w:noProof/>
        </w:rPr>
        <w:t>Dužina obale je 293,5 km</w:t>
      </w:r>
      <w:r w:rsidR="00981662" w:rsidRPr="00AB15C7">
        <w:rPr>
          <w:rFonts w:ascii="Cambria" w:hAnsi="Cambria"/>
          <w:noProof/>
        </w:rPr>
        <w:t xml:space="preserve">, a </w:t>
      </w:r>
      <w:r w:rsidR="00981662" w:rsidRPr="00AB15C7">
        <w:rPr>
          <w:rFonts w:ascii="Cambria" w:hAnsi="Cambria"/>
          <w:noProof/>
          <w:lang w:val="sr-Latn-ME"/>
        </w:rPr>
        <w:t>dužina kopnenih granica iznosi 614km</w:t>
      </w:r>
      <w:r w:rsidRPr="00AB15C7">
        <w:rPr>
          <w:rFonts w:ascii="Cambria" w:hAnsi="Cambria"/>
          <w:noProof/>
          <w:lang w:val="sr-Latn-ME"/>
        </w:rPr>
        <w:t xml:space="preserve">. </w:t>
      </w:r>
      <w:r w:rsidR="00197DE8" w:rsidRPr="00AB15C7">
        <w:rPr>
          <w:rFonts w:ascii="Cambria" w:hAnsi="Cambria"/>
          <w:noProof/>
        </w:rPr>
        <w:t>Prema podacima iz Prostornog plana do 2020. godine, od ukupne površine Crne Gore, pod šumom je 6.225 km</w:t>
      </w:r>
      <w:r w:rsidR="00197DE8" w:rsidRPr="00AB15C7">
        <w:rPr>
          <w:rFonts w:ascii="Cambria" w:hAnsi="Cambria"/>
          <w:noProof/>
          <w:vertAlign w:val="superscript"/>
        </w:rPr>
        <w:t>2</w:t>
      </w:r>
      <w:r w:rsidR="00197DE8" w:rsidRPr="00AB15C7">
        <w:rPr>
          <w:rFonts w:ascii="Cambria" w:hAnsi="Cambria"/>
          <w:noProof/>
        </w:rPr>
        <w:t xml:space="preserve"> , ili 45% površine. Poljoprivredno zemljište se prostire na oko 5.145 km</w:t>
      </w:r>
      <w:r w:rsidR="00197DE8" w:rsidRPr="00AB15C7">
        <w:rPr>
          <w:rFonts w:ascii="Cambria" w:hAnsi="Cambria"/>
          <w:noProof/>
          <w:vertAlign w:val="superscript"/>
        </w:rPr>
        <w:t>2</w:t>
      </w:r>
      <w:r w:rsidR="00197DE8" w:rsidRPr="00AB15C7">
        <w:rPr>
          <w:rFonts w:ascii="Cambria" w:hAnsi="Cambria"/>
          <w:noProof/>
        </w:rPr>
        <w:t xml:space="preserve"> , tj. zauzima 37%, </w:t>
      </w:r>
      <w:r w:rsidR="0017230A" w:rsidRPr="00AB15C7">
        <w:rPr>
          <w:rFonts w:ascii="Cambria" w:hAnsi="Cambria"/>
          <w:noProof/>
        </w:rPr>
        <w:t xml:space="preserve">od </w:t>
      </w:r>
      <w:r w:rsidR="0017230A" w:rsidRPr="00AB15C7">
        <w:rPr>
          <w:rFonts w:ascii="Cambria" w:hAnsi="Cambria"/>
          <w:noProof/>
          <w:lang w:val="sr-Latn-RS"/>
        </w:rPr>
        <w:t>čega</w:t>
      </w:r>
      <w:r w:rsidR="0017230A" w:rsidRPr="00AB15C7">
        <w:rPr>
          <w:rFonts w:ascii="Cambria" w:hAnsi="Cambria"/>
          <w:noProof/>
        </w:rPr>
        <w:t xml:space="preserve"> se u poljoprivredne svrhe koristi 16%</w:t>
      </w:r>
      <w:r w:rsidR="007B5C7E">
        <w:rPr>
          <w:rFonts w:ascii="Cambria" w:hAnsi="Cambria"/>
          <w:noProof/>
        </w:rPr>
        <w:t>.</w:t>
      </w:r>
      <w:r w:rsidR="0017230A" w:rsidRPr="00AB15C7">
        <w:rPr>
          <w:rFonts w:ascii="Cambria" w:hAnsi="Cambria"/>
          <w:noProof/>
        </w:rPr>
        <w:t xml:space="preserve"> N</w:t>
      </w:r>
      <w:r w:rsidR="00197DE8" w:rsidRPr="00AB15C7">
        <w:rPr>
          <w:rFonts w:ascii="Cambria" w:hAnsi="Cambria"/>
          <w:noProof/>
        </w:rPr>
        <w:t xml:space="preserve">aselja, putevi, vode, kamenjar i ostale kategorije </w:t>
      </w:r>
      <w:r w:rsidR="0017230A" w:rsidRPr="00AB15C7">
        <w:rPr>
          <w:rFonts w:ascii="Cambria" w:hAnsi="Cambria"/>
          <w:noProof/>
        </w:rPr>
        <w:t xml:space="preserve">čine </w:t>
      </w:r>
      <w:r w:rsidR="00197DE8" w:rsidRPr="00AB15C7">
        <w:rPr>
          <w:rFonts w:ascii="Cambria" w:hAnsi="Cambria"/>
          <w:noProof/>
        </w:rPr>
        <w:t>oko 18% teritorije – 2.442 km</w:t>
      </w:r>
      <w:r w:rsidR="00197DE8" w:rsidRPr="00AB15C7">
        <w:rPr>
          <w:rFonts w:ascii="Cambria" w:hAnsi="Cambria"/>
          <w:noProof/>
          <w:vertAlign w:val="superscript"/>
        </w:rPr>
        <w:t>2</w:t>
      </w:r>
      <w:r w:rsidR="00197DE8" w:rsidRPr="00AB15C7">
        <w:rPr>
          <w:rFonts w:ascii="Cambria" w:hAnsi="Cambria"/>
          <w:noProof/>
        </w:rPr>
        <w:t xml:space="preserve">. Za razliku od gorenavedene procjene površine pod šumom, prema novijem podatku, dobijenom Nacionalnom inventurom šuma (NIŠ), šume različite strukture i kategorija pokrivaju znatno veći prostor </w:t>
      </w:r>
      <w:r w:rsidR="00421B1C" w:rsidRPr="00AB15C7">
        <w:rPr>
          <w:rFonts w:ascii="Cambria" w:hAnsi="Cambria"/>
          <w:noProof/>
        </w:rPr>
        <w:t>tj.</w:t>
      </w:r>
      <w:r w:rsidR="00197DE8" w:rsidRPr="00AB15C7">
        <w:rPr>
          <w:rFonts w:ascii="Cambria" w:hAnsi="Cambria"/>
          <w:noProof/>
        </w:rPr>
        <w:t xml:space="preserve"> 59,9 % ukupne teritorije Crne Gore. </w:t>
      </w:r>
      <w:r w:rsidR="007B5C7E">
        <w:rPr>
          <w:rFonts w:ascii="Cambria" w:hAnsi="Cambria"/>
          <w:noProof/>
        </w:rPr>
        <w:t xml:space="preserve"> </w:t>
      </w:r>
      <w:r w:rsidR="00712EF6" w:rsidRPr="00AB15C7">
        <w:rPr>
          <w:rFonts w:ascii="Cambria" w:hAnsi="Cambria"/>
          <w:noProof/>
        </w:rPr>
        <w:t>Više od 90% površine Crne Gore čine prostori iznad 200 metara nadmorske</w:t>
      </w:r>
      <w:r w:rsidR="00197DE8" w:rsidRPr="00AB15C7">
        <w:rPr>
          <w:rFonts w:ascii="Cambria" w:hAnsi="Cambria"/>
          <w:noProof/>
        </w:rPr>
        <w:t xml:space="preserve"> </w:t>
      </w:r>
      <w:r w:rsidR="00712EF6" w:rsidRPr="00AB15C7">
        <w:rPr>
          <w:rFonts w:ascii="Cambria" w:hAnsi="Cambria"/>
          <w:noProof/>
        </w:rPr>
        <w:t xml:space="preserve">visine (mnv), 45% površine državne teritorije pripada prostorima ispod 1.000 mnv, a oko 15% području visokih planina (iznad 1.500 mnv). </w:t>
      </w:r>
      <w:r w:rsidR="004C6B73" w:rsidRPr="00AB15C7">
        <w:rPr>
          <w:rFonts w:ascii="Cambria" w:hAnsi="Cambria"/>
          <w:noProof/>
        </w:rPr>
        <w:t>Rijeke otiču u dva sliva – crnomorski, s ukupnom površinom od oko 7.260 km</w:t>
      </w:r>
      <w:r w:rsidR="004C6B73" w:rsidRPr="00347C4B">
        <w:rPr>
          <w:rFonts w:ascii="Cambria" w:hAnsi="Cambria"/>
          <w:noProof/>
          <w:vertAlign w:val="superscript"/>
        </w:rPr>
        <w:t>2</w:t>
      </w:r>
      <w:r w:rsidR="004C6B73" w:rsidRPr="00AB15C7">
        <w:rPr>
          <w:rFonts w:ascii="Cambria" w:hAnsi="Cambria"/>
          <w:noProof/>
        </w:rPr>
        <w:t xml:space="preserve"> (ili 52,5% teritorije), i jadranski, sa oko</w:t>
      </w:r>
      <w:r w:rsidR="00347C4B">
        <w:rPr>
          <w:rFonts w:ascii="Cambria" w:hAnsi="Cambria"/>
          <w:noProof/>
        </w:rPr>
        <w:t xml:space="preserve"> </w:t>
      </w:r>
      <w:r w:rsidR="004C6B73" w:rsidRPr="00AB15C7">
        <w:rPr>
          <w:rFonts w:ascii="Cambria" w:hAnsi="Cambria"/>
          <w:noProof/>
        </w:rPr>
        <w:t>6.560 km</w:t>
      </w:r>
      <w:r w:rsidR="004C6B73" w:rsidRPr="00347C4B">
        <w:rPr>
          <w:rFonts w:ascii="Cambria" w:hAnsi="Cambria"/>
          <w:noProof/>
          <w:vertAlign w:val="superscript"/>
        </w:rPr>
        <w:t>2</w:t>
      </w:r>
      <w:r w:rsidR="004C6B73" w:rsidRPr="00AB15C7">
        <w:rPr>
          <w:rFonts w:ascii="Cambria" w:hAnsi="Cambria"/>
          <w:noProof/>
        </w:rPr>
        <w:t xml:space="preserve"> (ili 47,5% teritorije).</w:t>
      </w:r>
    </w:p>
    <w:p w14:paraId="38A6D6BB" w14:textId="77777777" w:rsidR="00EE509F" w:rsidRPr="00AB15C7" w:rsidRDefault="00EE509F" w:rsidP="005921EF">
      <w:pPr>
        <w:spacing w:after="0"/>
        <w:jc w:val="both"/>
        <w:rPr>
          <w:rFonts w:ascii="Cambria" w:hAnsi="Cambria"/>
          <w:noProof/>
          <w:lang w:val="sr-Latn-ME"/>
        </w:rPr>
      </w:pPr>
    </w:p>
    <w:p w14:paraId="562B3B57" w14:textId="38C2E06F" w:rsidR="00EE509F" w:rsidRPr="00AB15C7" w:rsidRDefault="00981662" w:rsidP="005921EF">
      <w:pPr>
        <w:spacing w:after="0"/>
        <w:jc w:val="both"/>
        <w:rPr>
          <w:rFonts w:ascii="Cambria" w:hAnsi="Cambria"/>
          <w:noProof/>
        </w:rPr>
      </w:pPr>
      <w:r w:rsidRPr="00AB15C7">
        <w:rPr>
          <w:rFonts w:ascii="Cambria" w:hAnsi="Cambria"/>
          <w:noProof/>
          <w:lang w:val="sr-Latn-ME"/>
        </w:rPr>
        <w:t xml:space="preserve">Prema podacima Popisa stanovništva iz 2011. godine Crna Gora </w:t>
      </w:r>
      <w:r w:rsidR="00EC6F5E" w:rsidRPr="00AB15C7">
        <w:rPr>
          <w:rFonts w:ascii="Cambria" w:hAnsi="Cambria"/>
          <w:noProof/>
          <w:lang w:val="sr-Latn-ME"/>
        </w:rPr>
        <w:t xml:space="preserve">je </w:t>
      </w:r>
      <w:r w:rsidRPr="00AB15C7">
        <w:rPr>
          <w:rFonts w:ascii="Cambria" w:hAnsi="Cambria"/>
          <w:noProof/>
          <w:lang w:val="sr-Latn-ME"/>
        </w:rPr>
        <w:t>ima</w:t>
      </w:r>
      <w:r w:rsidR="00EC6F5E" w:rsidRPr="00AB15C7">
        <w:rPr>
          <w:rFonts w:ascii="Cambria" w:hAnsi="Cambria"/>
          <w:noProof/>
          <w:lang w:val="sr-Latn-ME"/>
        </w:rPr>
        <w:t>la</w:t>
      </w:r>
      <w:r w:rsidRPr="00AB15C7">
        <w:rPr>
          <w:rFonts w:ascii="Cambria" w:hAnsi="Cambria"/>
          <w:noProof/>
          <w:lang w:val="sr-Latn-ME"/>
        </w:rPr>
        <w:t xml:space="preserve"> </w:t>
      </w:r>
      <w:r w:rsidR="00A47EEF" w:rsidRPr="00AB15C7">
        <w:rPr>
          <w:rFonts w:ascii="Cambria" w:hAnsi="Cambria"/>
          <w:noProof/>
          <w:lang w:val="sr-Latn-ME"/>
        </w:rPr>
        <w:t xml:space="preserve"> </w:t>
      </w:r>
      <w:r w:rsidRPr="00AB15C7">
        <w:rPr>
          <w:rFonts w:ascii="Cambria" w:hAnsi="Cambria"/>
          <w:noProof/>
          <w:lang w:val="sr-Latn-ME"/>
        </w:rPr>
        <w:t>620.029 stanovnika</w:t>
      </w:r>
      <w:r w:rsidR="00EE509F" w:rsidRPr="00AB15C7">
        <w:rPr>
          <w:rFonts w:ascii="Cambria" w:hAnsi="Cambria"/>
          <w:noProof/>
          <w:lang w:val="sr-Latn-ME"/>
        </w:rPr>
        <w:t xml:space="preserve">, </w:t>
      </w:r>
      <w:r w:rsidR="00A47EEF" w:rsidRPr="00AB15C7">
        <w:rPr>
          <w:rFonts w:ascii="Cambria" w:hAnsi="Cambria"/>
          <w:noProof/>
        </w:rPr>
        <w:t xml:space="preserve"> </w:t>
      </w:r>
      <w:r w:rsidR="00EE509F" w:rsidRPr="00AB15C7">
        <w:rPr>
          <w:rFonts w:ascii="Cambria" w:hAnsi="Cambria"/>
          <w:noProof/>
        </w:rPr>
        <w:t>sa</w:t>
      </w:r>
      <w:r w:rsidR="006F312B" w:rsidRPr="00AB15C7">
        <w:rPr>
          <w:rFonts w:ascii="Cambria" w:hAnsi="Cambria"/>
          <w:noProof/>
        </w:rPr>
        <w:t xml:space="preserve"> gustin</w:t>
      </w:r>
      <w:r w:rsidR="00EE509F" w:rsidRPr="00AB15C7">
        <w:rPr>
          <w:rFonts w:ascii="Cambria" w:hAnsi="Cambria"/>
          <w:noProof/>
        </w:rPr>
        <w:t>om</w:t>
      </w:r>
      <w:r w:rsidR="006F312B" w:rsidRPr="00AB15C7">
        <w:rPr>
          <w:rFonts w:ascii="Cambria" w:hAnsi="Cambria"/>
          <w:noProof/>
        </w:rPr>
        <w:t xml:space="preserve"> naseljenosti </w:t>
      </w:r>
      <w:r w:rsidR="00EE509F" w:rsidRPr="00AB15C7">
        <w:rPr>
          <w:rFonts w:ascii="Cambria" w:hAnsi="Cambria"/>
          <w:noProof/>
        </w:rPr>
        <w:t xml:space="preserve">od </w:t>
      </w:r>
      <w:r w:rsidR="006F312B" w:rsidRPr="00AB15C7">
        <w:rPr>
          <w:rFonts w:ascii="Cambria" w:hAnsi="Cambria"/>
          <w:noProof/>
        </w:rPr>
        <w:t>44,9 stanovnika po km</w:t>
      </w:r>
      <w:r w:rsidR="006F312B" w:rsidRPr="00AB15C7">
        <w:rPr>
          <w:rFonts w:ascii="Cambria" w:hAnsi="Cambria"/>
          <w:noProof/>
          <w:vertAlign w:val="superscript"/>
        </w:rPr>
        <w:t>2</w:t>
      </w:r>
      <w:r w:rsidR="00EE509F" w:rsidRPr="00AB15C7">
        <w:rPr>
          <w:rFonts w:ascii="Cambria" w:hAnsi="Cambria"/>
          <w:noProof/>
        </w:rPr>
        <w:t xml:space="preserve"> koja Crnu Goru svrstava u grupu rijetko naseljenih evropskih zemalja</w:t>
      </w:r>
      <w:r w:rsidR="006F312B" w:rsidRPr="00AB15C7">
        <w:rPr>
          <w:rFonts w:ascii="Cambria" w:hAnsi="Cambria"/>
          <w:noProof/>
        </w:rPr>
        <w:t xml:space="preserve">. </w:t>
      </w:r>
      <w:r w:rsidR="00A41DF4" w:rsidRPr="00AB15C7">
        <w:rPr>
          <w:rFonts w:ascii="Cambria" w:hAnsi="Cambria"/>
          <w:noProof/>
        </w:rPr>
        <w:t xml:space="preserve">Od ukupnog broja stanovnika, 306.236 stanovnika je muškog pola, a 313,793 je ženskog pola. Mlađa populacija do 19 godina čini 24,9% stanovništva, 62,9% je starosti između 19 i 65 godina, a 12,2% je starije od 65 godina. </w:t>
      </w:r>
      <w:r w:rsidR="00966F87" w:rsidRPr="00AB15C7">
        <w:rPr>
          <w:rFonts w:ascii="Cambria" w:hAnsi="Cambria"/>
          <w:noProof/>
        </w:rPr>
        <w:t xml:space="preserve">Prema statističkim podacima o aktivnosti u 2011. god. osoba sa 15 i više godina ima 510.278 od čega je aktivnih 232.010 i neaktivnih 268.288. </w:t>
      </w:r>
      <w:r w:rsidR="00EE509F" w:rsidRPr="00AB15C7">
        <w:rPr>
          <w:rFonts w:ascii="Cambria" w:hAnsi="Cambria"/>
          <w:noProof/>
        </w:rPr>
        <w:t xml:space="preserve">Prema procjeni stanovništva Zavoda za statistiku u Crnoj Gori je sredinom 2017. godine živjelo 622.373 stanovnika. </w:t>
      </w:r>
    </w:p>
    <w:p w14:paraId="53906A45" w14:textId="77777777" w:rsidR="00EE509F" w:rsidRPr="00AB15C7" w:rsidRDefault="00EE509F" w:rsidP="005921EF">
      <w:pPr>
        <w:spacing w:after="0"/>
        <w:jc w:val="both"/>
        <w:rPr>
          <w:rFonts w:ascii="Cambria" w:hAnsi="Cambria"/>
          <w:noProof/>
        </w:rPr>
      </w:pPr>
    </w:p>
    <w:p w14:paraId="3788FB9D" w14:textId="71B76BD8" w:rsidR="00FF3A42" w:rsidRDefault="006F312B" w:rsidP="005921EF">
      <w:pPr>
        <w:spacing w:after="0"/>
        <w:jc w:val="both"/>
        <w:rPr>
          <w:rFonts w:ascii="Cambria" w:hAnsi="Cambria"/>
          <w:noProof/>
          <w:lang w:val="sr-Latn-ME"/>
        </w:rPr>
      </w:pPr>
      <w:r w:rsidRPr="00AB15C7">
        <w:rPr>
          <w:rFonts w:ascii="Cambria" w:hAnsi="Cambria"/>
          <w:noProof/>
        </w:rPr>
        <w:t>U administrativnom smislu, državna teritorija podijeljena je na 23 opštine/jedinice lokalne samouprave</w:t>
      </w:r>
      <w:r w:rsidR="00151B33">
        <w:rPr>
          <w:rFonts w:ascii="Cambria" w:hAnsi="Cambria"/>
          <w:noProof/>
        </w:rPr>
        <w:t xml:space="preserve"> </w:t>
      </w:r>
      <w:r w:rsidR="00151B33" w:rsidRPr="00151B33">
        <w:rPr>
          <w:rFonts w:ascii="Cambria" w:hAnsi="Cambria"/>
          <w:noProof/>
        </w:rPr>
        <w:t>(21 opština, Glavni grad-Podgorica i Prijestonica-Cetinje).</w:t>
      </w:r>
      <w:r w:rsidRPr="00AB15C7">
        <w:rPr>
          <w:rFonts w:ascii="Cambria" w:hAnsi="Cambria"/>
          <w:noProof/>
        </w:rPr>
        <w:t>.</w:t>
      </w:r>
      <w:r w:rsidR="00EE509F" w:rsidRPr="00AB15C7">
        <w:rPr>
          <w:rFonts w:ascii="Cambria" w:hAnsi="Cambria"/>
          <w:noProof/>
        </w:rPr>
        <w:t xml:space="preserve"> </w:t>
      </w:r>
      <w:r w:rsidR="0087208A" w:rsidRPr="00AB15C7">
        <w:rPr>
          <w:rFonts w:ascii="Cambria" w:hAnsi="Cambria"/>
          <w:noProof/>
          <w:lang w:val="sr-Latn-ME"/>
        </w:rPr>
        <w:t xml:space="preserve">Glavni grad Podgorica ima gotovo 1/3 ukupnog stanovništva Crne Gore. </w:t>
      </w:r>
      <w:r w:rsidR="00F91E99" w:rsidRPr="00AB15C7">
        <w:rPr>
          <w:rFonts w:ascii="Cambria" w:hAnsi="Cambria"/>
          <w:noProof/>
        </w:rPr>
        <w:t xml:space="preserve">Teritorija </w:t>
      </w:r>
      <w:r w:rsidR="00FF008F" w:rsidRPr="00AB15C7">
        <w:rPr>
          <w:rFonts w:ascii="Cambria" w:hAnsi="Cambria"/>
          <w:noProof/>
          <w:lang w:val="sr-Latn-ME"/>
        </w:rPr>
        <w:t>Crne Gore</w:t>
      </w:r>
      <w:r w:rsidR="00FF008F" w:rsidRPr="00AB15C7">
        <w:rPr>
          <w:rFonts w:ascii="Cambria" w:hAnsi="Cambria"/>
          <w:noProof/>
        </w:rPr>
        <w:t xml:space="preserve"> </w:t>
      </w:r>
      <w:r w:rsidR="00F91E99" w:rsidRPr="00AB15C7">
        <w:rPr>
          <w:rFonts w:ascii="Cambria" w:hAnsi="Cambria"/>
          <w:noProof/>
        </w:rPr>
        <w:t>je neravnomjerno naseljena</w:t>
      </w:r>
      <w:r w:rsidR="007B5C7E">
        <w:rPr>
          <w:rFonts w:ascii="Cambria" w:hAnsi="Cambria"/>
          <w:noProof/>
        </w:rPr>
        <w:t>.</w:t>
      </w:r>
      <w:r w:rsidR="00FF008F" w:rsidRPr="00AB15C7">
        <w:rPr>
          <w:rFonts w:ascii="Cambria" w:hAnsi="Cambria"/>
          <w:noProof/>
          <w:lang w:val="sr-Latn-ME"/>
        </w:rPr>
        <w:t xml:space="preserve"> </w:t>
      </w:r>
      <w:r w:rsidR="004C6B73" w:rsidRPr="00AB15C7">
        <w:rPr>
          <w:rFonts w:ascii="Cambria" w:hAnsi="Cambria"/>
          <w:noProof/>
        </w:rPr>
        <w:t xml:space="preserve">U urbanim zonama živi 63,23% ukupnog stanovništva, a u ruralnim 36,77%. </w:t>
      </w:r>
      <w:r w:rsidR="00FF008F" w:rsidRPr="00AB15C7">
        <w:rPr>
          <w:rFonts w:ascii="Cambria" w:hAnsi="Cambria"/>
          <w:noProof/>
        </w:rPr>
        <w:t>U novije vrijeme migracija stanovništva je povećana iz manje razvijenih područja sjevernog dijela Crne Gore ka središnjem i primorskom dijelu, gdje su uslovi življenja povoljniji.</w:t>
      </w:r>
      <w:r w:rsidR="00FF008F" w:rsidRPr="00AB15C7">
        <w:rPr>
          <w:rFonts w:ascii="Cambria" w:hAnsi="Cambria"/>
          <w:noProof/>
          <w:lang w:val="sr-Latn-ME"/>
        </w:rPr>
        <w:t xml:space="preserve"> </w:t>
      </w:r>
    </w:p>
    <w:p w14:paraId="21071CCB" w14:textId="37FC17A3" w:rsidR="00347C4B" w:rsidRPr="00AB15C7" w:rsidRDefault="00347C4B" w:rsidP="007B5C7E">
      <w:pPr>
        <w:spacing w:after="0"/>
        <w:jc w:val="center"/>
        <w:rPr>
          <w:rFonts w:ascii="Cambria" w:hAnsi="Cambria"/>
          <w:i/>
          <w:noProof/>
          <w:lang w:val="sr-Latn-ME"/>
        </w:rPr>
      </w:pPr>
    </w:p>
    <w:p w14:paraId="7C6641D3" w14:textId="6C9050B4" w:rsidR="0087208A" w:rsidRPr="00AB15C7" w:rsidRDefault="00DD1486" w:rsidP="00347C4B">
      <w:pPr>
        <w:spacing w:after="240"/>
        <w:jc w:val="both"/>
        <w:rPr>
          <w:rFonts w:ascii="Cambria" w:hAnsi="Cambria"/>
          <w:noProof/>
          <w:color w:val="252525"/>
          <w:shd w:val="clear" w:color="auto" w:fill="FFFFFF"/>
        </w:rPr>
      </w:pPr>
      <w:bookmarkStart w:id="11" w:name="_Toc371684880"/>
      <w:bookmarkStart w:id="12" w:name="_Toc371685323"/>
      <w:bookmarkStart w:id="13" w:name="_Toc372119621"/>
      <w:bookmarkEnd w:id="1"/>
      <w:bookmarkEnd w:id="2"/>
      <w:r w:rsidRPr="00AB15C7">
        <w:rPr>
          <w:rFonts w:ascii="Cambria" w:hAnsi="Cambria"/>
          <w:noProof/>
          <w:color w:val="252525"/>
          <w:shd w:val="clear" w:color="auto" w:fill="FFFFFF"/>
        </w:rPr>
        <w:t xml:space="preserve">Crna Gora je nezavisna i suverena država, </w:t>
      </w:r>
      <w:r w:rsidR="004C6B73" w:rsidRPr="00AB15C7">
        <w:rPr>
          <w:rFonts w:ascii="Cambria" w:hAnsi="Cambria"/>
          <w:noProof/>
          <w:color w:val="252525"/>
          <w:shd w:val="clear" w:color="auto" w:fill="FFFFFF"/>
        </w:rPr>
        <w:t>uređena kao republika s parlamentarnim političkim sistemom.</w:t>
      </w:r>
      <w:r w:rsidRPr="00AB15C7">
        <w:rPr>
          <w:rFonts w:ascii="Cambria" w:hAnsi="Cambria"/>
          <w:noProof/>
          <w:color w:val="252525"/>
          <w:shd w:val="clear" w:color="auto" w:fill="FFFFFF"/>
        </w:rPr>
        <w:t xml:space="preserve"> Ona je takođe građanska, demokratska,</w:t>
      </w:r>
      <w:r w:rsidR="004C6B73" w:rsidRPr="00AB15C7">
        <w:rPr>
          <w:rFonts w:ascii="Cambria" w:hAnsi="Cambria"/>
          <w:noProof/>
          <w:color w:val="252525"/>
          <w:shd w:val="clear" w:color="auto" w:fill="FFFFFF"/>
        </w:rPr>
        <w:t xml:space="preserve"> </w:t>
      </w:r>
      <w:r w:rsidRPr="00AB15C7">
        <w:rPr>
          <w:rFonts w:ascii="Cambria" w:hAnsi="Cambria"/>
          <w:noProof/>
          <w:color w:val="252525"/>
          <w:shd w:val="clear" w:color="auto" w:fill="FFFFFF"/>
        </w:rPr>
        <w:t>ekološka i država socijalne pravde, zasnovana na vladavini prava.</w:t>
      </w:r>
      <w:r w:rsidR="004C6B73" w:rsidRPr="00AB15C7">
        <w:rPr>
          <w:rFonts w:ascii="Cambria" w:hAnsi="Cambria"/>
          <w:noProof/>
          <w:color w:val="252525"/>
          <w:shd w:val="clear" w:color="auto" w:fill="FFFFFF"/>
        </w:rPr>
        <w:t xml:space="preserve"> </w:t>
      </w:r>
      <w:r w:rsidR="00EE509F" w:rsidRPr="00AB15C7">
        <w:rPr>
          <w:rFonts w:ascii="Cambria" w:hAnsi="Cambria"/>
          <w:noProof/>
          <w:color w:val="252525"/>
          <w:shd w:val="clear" w:color="auto" w:fill="FFFFFF"/>
        </w:rPr>
        <w:t>Vlast je uređena podjelom vlasti na zakonodavnu, izvršnu i sudsku. Zakonodavnu vlast vrši Skupština, izvršnu Vlada, a sudsku sudovi. Na čelu države nalazi se predsjednik Crne Gore koji se bira neposredno, na osnovu opšteg biračkog prava, na vrijeme od pet godina. Radom Vlade rukovodi premijer.</w:t>
      </w:r>
      <w:r w:rsidR="0087208A" w:rsidRPr="00AB15C7">
        <w:rPr>
          <w:rFonts w:ascii="Cambria" w:hAnsi="Cambria"/>
          <w:noProof/>
          <w:color w:val="252525"/>
          <w:shd w:val="clear" w:color="auto" w:fill="FFFFFF"/>
        </w:rPr>
        <w:t xml:space="preserve"> </w:t>
      </w:r>
    </w:p>
    <w:p w14:paraId="79F84598" w14:textId="77777777" w:rsidR="00DF6D1F" w:rsidRPr="00AB15C7" w:rsidRDefault="00AB4ED3" w:rsidP="00347C4B">
      <w:pPr>
        <w:spacing w:after="240"/>
        <w:jc w:val="both"/>
        <w:rPr>
          <w:rFonts w:ascii="Cambria" w:hAnsi="Cambria"/>
          <w:noProof/>
          <w:color w:val="252525"/>
          <w:shd w:val="clear" w:color="auto" w:fill="FFFFFF"/>
          <w:lang w:val="sr-Latn-ME"/>
        </w:rPr>
      </w:pPr>
      <w:r w:rsidRPr="00AB15C7">
        <w:rPr>
          <w:rFonts w:ascii="Cambria" w:hAnsi="Cambria"/>
          <w:noProof/>
          <w:color w:val="252525"/>
          <w:shd w:val="clear" w:color="auto" w:fill="FFFFFF"/>
        </w:rPr>
        <w:t>Integracija u EU jedan je od ključnih strateških ciljeva Crne Gore; stoga, već duže od decenije postupak približavanja EU oblikuje razvoj okvira, politika i institucija u svim oblastima, uključujući sektor životne sredine.</w:t>
      </w:r>
      <w:r w:rsidRPr="00AB15C7">
        <w:rPr>
          <w:rFonts w:ascii="Cambria" w:hAnsi="Cambria"/>
          <w:noProof/>
          <w:color w:val="252525"/>
          <w:shd w:val="clear" w:color="auto" w:fill="FFFFFF"/>
          <w:vertAlign w:val="superscript"/>
        </w:rPr>
        <w:footnoteReference w:id="9"/>
      </w:r>
      <w:r w:rsidRPr="00AB15C7">
        <w:rPr>
          <w:rFonts w:ascii="Cambria" w:hAnsi="Cambria"/>
          <w:noProof/>
          <w:color w:val="252525"/>
          <w:shd w:val="clear" w:color="auto" w:fill="FFFFFF"/>
        </w:rPr>
        <w:t xml:space="preserve"> </w:t>
      </w:r>
      <w:r w:rsidRPr="00AB15C7">
        <w:rPr>
          <w:rFonts w:ascii="Cambria" w:hAnsi="Cambria"/>
          <w:noProof/>
          <w:color w:val="252525"/>
          <w:shd w:val="clear" w:color="auto" w:fill="FFFFFF"/>
          <w:lang w:val="sr-Latn-ME"/>
        </w:rPr>
        <w:t xml:space="preserve">Sporazumom o stabilizaciji i pridruživanju </w:t>
      </w:r>
      <w:r w:rsidRPr="00AB15C7">
        <w:rPr>
          <w:rFonts w:ascii="Cambria" w:hAnsi="Cambria"/>
          <w:noProof/>
          <w:lang w:val="sr-Latn-ME"/>
        </w:rPr>
        <w:t xml:space="preserve">(SSP) koji je </w:t>
      </w:r>
      <w:r w:rsidR="00DF6D1F" w:rsidRPr="00AB15C7">
        <w:rPr>
          <w:rFonts w:ascii="Cambria" w:hAnsi="Cambria"/>
          <w:noProof/>
          <w:lang w:val="sr-Latn-ME"/>
        </w:rPr>
        <w:t xml:space="preserve">stupio na snagu u maju 2010. nakon što su ga ratifikovale sve države potpisnice,  </w:t>
      </w:r>
      <w:r w:rsidRPr="00AB15C7">
        <w:rPr>
          <w:rFonts w:ascii="Cambria" w:hAnsi="Cambria"/>
          <w:noProof/>
          <w:color w:val="252525"/>
          <w:shd w:val="clear" w:color="auto" w:fill="FFFFFF"/>
          <w:lang w:val="sr-Latn-ME"/>
        </w:rPr>
        <w:t xml:space="preserve">omogućeno je učešće Crne Gore u programima EU. </w:t>
      </w:r>
      <w:r w:rsidR="00DF6D1F" w:rsidRPr="00AB15C7">
        <w:rPr>
          <w:rFonts w:ascii="Cambria" w:hAnsi="Cambria"/>
          <w:noProof/>
          <w:lang w:val="sr-Latn-ME"/>
        </w:rPr>
        <w:t xml:space="preserve">U </w:t>
      </w:r>
      <w:r w:rsidR="00DF6D1F" w:rsidRPr="00AB15C7">
        <w:rPr>
          <w:rFonts w:ascii="Cambria" w:hAnsi="Cambria"/>
          <w:noProof/>
          <w:lang w:val="sr-Latn-ME"/>
        </w:rPr>
        <w:lastRenderedPageBreak/>
        <w:t xml:space="preserve">decembru 2010, </w:t>
      </w:r>
      <w:r w:rsidR="00DF6D1F" w:rsidRPr="00347C4B">
        <w:rPr>
          <w:rFonts w:ascii="Cambria" w:hAnsi="Cambria"/>
          <w:noProof/>
          <w:color w:val="252525"/>
          <w:shd w:val="clear" w:color="auto" w:fill="FFFFFF"/>
        </w:rPr>
        <w:t>Evropski</w:t>
      </w:r>
      <w:r w:rsidR="00DF6D1F" w:rsidRPr="00AB15C7">
        <w:rPr>
          <w:rFonts w:ascii="Cambria" w:hAnsi="Cambria"/>
          <w:noProof/>
          <w:lang w:val="sr-Latn-ME"/>
        </w:rPr>
        <w:t xml:space="preserve"> savjet je Crnoj Gori dodijelio status zemlje kandidata. Pristupni pregovori s Crnom Gorom otvoreni su u junu 2012. </w:t>
      </w:r>
    </w:p>
    <w:p w14:paraId="4492C17E" w14:textId="77777777" w:rsidR="00AB4ED3" w:rsidRPr="00AB15C7" w:rsidRDefault="00DF6D1F" w:rsidP="00347C4B">
      <w:pPr>
        <w:pStyle w:val="NoSpacing11"/>
        <w:spacing w:after="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U pogledu politike u oblasti zaštite životne sredine, Crna Gora pristupila je glavnim međunarodnim forumima za zaštitu životne sredine, uspostavila institucije i usvojila savremene zakonske norme u ovoj oblasti. Crna Gora pristupila je određenom broju multilateralnih sporazuma (konvencija) o zaštiti životne sredine </w:t>
      </w:r>
      <w:r w:rsidRPr="00347C4B">
        <w:rPr>
          <w:rFonts w:ascii="Cambria" w:eastAsia="Times New Roman" w:hAnsi="Cambria"/>
          <w:noProof/>
          <w:color w:val="252525"/>
          <w:shd w:val="clear" w:color="auto" w:fill="FFFFFF"/>
        </w:rPr>
        <w:t>usvajanjem</w:t>
      </w:r>
      <w:r w:rsidRPr="00AB15C7">
        <w:rPr>
          <w:rFonts w:ascii="Cambria" w:hAnsi="Cambria"/>
          <w:noProof/>
          <w:color w:val="252525"/>
          <w:shd w:val="clear" w:color="auto" w:fill="FFFFFF"/>
        </w:rPr>
        <w:t xml:space="preserve"> instrumenata sukcesije ili postupkom pristupanja odnosno ratifikacije. </w:t>
      </w:r>
      <w:r w:rsidR="00AB4ED3" w:rsidRPr="00AB15C7">
        <w:rPr>
          <w:rFonts w:ascii="Cambria" w:hAnsi="Cambria"/>
          <w:noProof/>
          <w:color w:val="252525"/>
          <w:shd w:val="clear" w:color="auto" w:fill="FFFFFF"/>
        </w:rPr>
        <w:t>U Nacionalnoj strategiji za transpoziciju, implementaciju i primjenu pravne tekovine EU u oblasti životne sredine i klimatskih promjena, s Akcionim planom za period 2016</w:t>
      </w:r>
      <w:r w:rsidRPr="00AB15C7">
        <w:rPr>
          <w:rFonts w:ascii="Cambria" w:hAnsi="Cambria"/>
          <w:noProof/>
          <w:color w:val="252525"/>
          <w:shd w:val="clear" w:color="auto" w:fill="FFFFFF"/>
        </w:rPr>
        <w:t>-</w:t>
      </w:r>
      <w:r w:rsidR="00AB4ED3" w:rsidRPr="00AB15C7">
        <w:rPr>
          <w:rFonts w:ascii="Cambria" w:hAnsi="Cambria"/>
          <w:noProof/>
          <w:color w:val="252525"/>
          <w:shd w:val="clear" w:color="auto" w:fill="FFFFFF"/>
        </w:rPr>
        <w:t xml:space="preserve">2020. godine utvrđeni su vremenski okvir i aktivnosti u vezi s transpozicijom i implementacijom većeg dijela pravne tekovine EU u oblasti životne sredine i klimatskih promjena do kraja 2020. godine. </w:t>
      </w:r>
    </w:p>
    <w:p w14:paraId="4D15E08E" w14:textId="1DD1E585" w:rsidR="0063579F" w:rsidRDefault="0063579F" w:rsidP="005921EF">
      <w:pPr>
        <w:pStyle w:val="NoSpacing1"/>
        <w:spacing w:line="276" w:lineRule="auto"/>
        <w:jc w:val="both"/>
        <w:rPr>
          <w:rFonts w:ascii="Cambria" w:hAnsi="Cambria"/>
          <w:noProof/>
          <w:lang w:val="sr-Latn-ME"/>
        </w:rPr>
      </w:pPr>
    </w:p>
    <w:p w14:paraId="5B5482FF" w14:textId="77777777" w:rsidR="000C17DD" w:rsidRPr="00AB15C7" w:rsidRDefault="00486EB8" w:rsidP="00802271">
      <w:pPr>
        <w:pStyle w:val="Heading2"/>
        <w:numPr>
          <w:ilvl w:val="2"/>
          <w:numId w:val="2"/>
        </w:numPr>
        <w:spacing w:after="120"/>
        <w:rPr>
          <w:noProof/>
          <w:sz w:val="22"/>
          <w:szCs w:val="22"/>
          <w:shd w:val="clear" w:color="auto" w:fill="FFFFFF"/>
        </w:rPr>
      </w:pPr>
      <w:bookmarkStart w:id="14" w:name="_Toc527353172"/>
      <w:r w:rsidRPr="00AB15C7">
        <w:rPr>
          <w:noProof/>
          <w:sz w:val="22"/>
          <w:szCs w:val="22"/>
          <w:shd w:val="clear" w:color="auto" w:fill="FFFFFF"/>
        </w:rPr>
        <w:t>Privredni sektor</w:t>
      </w:r>
      <w:bookmarkEnd w:id="14"/>
    </w:p>
    <w:p w14:paraId="5432618E" w14:textId="77777777" w:rsidR="00746F57" w:rsidRPr="00AB15C7" w:rsidRDefault="00423238" w:rsidP="005921EF">
      <w:pPr>
        <w:pStyle w:val="NoSpacing11"/>
        <w:spacing w:after="0"/>
        <w:jc w:val="both"/>
        <w:rPr>
          <w:rFonts w:ascii="Cambria" w:eastAsia="Times New Roman" w:hAnsi="Cambria"/>
          <w:noProof/>
          <w:color w:val="252525"/>
          <w:shd w:val="clear" w:color="auto" w:fill="FFFFFF"/>
        </w:rPr>
      </w:pPr>
      <w:r w:rsidRPr="00AB15C7">
        <w:rPr>
          <w:rFonts w:ascii="Cambria" w:eastAsia="Times New Roman" w:hAnsi="Cambria"/>
          <w:noProof/>
          <w:color w:val="252525"/>
          <w:shd w:val="clear" w:color="auto" w:fill="FFFFFF"/>
        </w:rPr>
        <w:t>Trend značajnog ekonomskog prosperiteta bio je prisutan u Crnoj Gori početkom 2000-tih. Naime, od te godine BDP bilježi pozitivne stope rasta koje su iznosile preko 6% tokom 2006, 2007. i 2008. godine. Ovi pozitivni trendovi su naglo prekinuti jakim negativnim uticajem finansijske krize, koja se u Crnoj Gori počela osjećati krajem 2008. godine, pri čemu je postala evidentna tokom 2009. godine, u kojoj je BDP smanjen za 5,7%</w:t>
      </w:r>
      <w:r w:rsidR="00921782" w:rsidRPr="00AB15C7">
        <w:rPr>
          <w:rFonts w:ascii="Cambria" w:eastAsia="Times New Roman" w:hAnsi="Cambria"/>
          <w:noProof/>
          <w:color w:val="252525"/>
          <w:shd w:val="clear" w:color="auto" w:fill="FFFFFF"/>
        </w:rPr>
        <w:t xml:space="preserve"> (grafik 1.)</w:t>
      </w:r>
      <w:r w:rsidRPr="00AB15C7">
        <w:rPr>
          <w:rFonts w:ascii="Cambria" w:eastAsia="Times New Roman" w:hAnsi="Cambria"/>
          <w:noProof/>
          <w:color w:val="252525"/>
          <w:shd w:val="clear" w:color="auto" w:fill="FFFFFF"/>
        </w:rPr>
        <w:t xml:space="preserve">. </w:t>
      </w:r>
    </w:p>
    <w:p w14:paraId="2BD55429" w14:textId="77777777" w:rsidR="00DB752F" w:rsidRPr="00AB15C7" w:rsidRDefault="00DB752F" w:rsidP="005921EF">
      <w:pPr>
        <w:pStyle w:val="NoSpacing11"/>
        <w:spacing w:after="0"/>
        <w:jc w:val="both"/>
        <w:rPr>
          <w:rFonts w:ascii="Cambria" w:eastAsia="Times New Roman" w:hAnsi="Cambria"/>
          <w:noProof/>
          <w:color w:val="252525"/>
          <w:shd w:val="clear" w:color="auto" w:fill="FFFFFF"/>
        </w:rPr>
      </w:pPr>
    </w:p>
    <w:p w14:paraId="320A7EFD" w14:textId="77777777" w:rsidR="00746F57" w:rsidRPr="00AB15C7" w:rsidRDefault="00B325C3" w:rsidP="005921EF">
      <w:pPr>
        <w:pStyle w:val="NoSpacing11"/>
        <w:spacing w:after="0"/>
        <w:jc w:val="center"/>
        <w:rPr>
          <w:rFonts w:ascii="Cambria" w:eastAsia="Times New Roman" w:hAnsi="Cambria"/>
          <w:noProof/>
          <w:color w:val="252525"/>
          <w:shd w:val="clear" w:color="auto" w:fill="FFFFFF"/>
        </w:rPr>
      </w:pPr>
      <w:r w:rsidRPr="00AB15C7">
        <w:rPr>
          <w:rFonts w:ascii="Cambria" w:eastAsia="Times New Roman" w:hAnsi="Cambria"/>
          <w:noProof/>
          <w:color w:val="252525"/>
          <w:shd w:val="clear" w:color="auto" w:fill="FFFFFF"/>
        </w:rPr>
        <w:drawing>
          <wp:inline distT="0" distB="0" distL="0" distR="0" wp14:anchorId="4D0D7C10" wp14:editId="1DF6BD89">
            <wp:extent cx="4693285" cy="27676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8324" b="5661"/>
                    <a:stretch/>
                  </pic:blipFill>
                  <pic:spPr bwMode="auto">
                    <a:xfrm>
                      <a:off x="0" y="0"/>
                      <a:ext cx="4708379" cy="2776514"/>
                    </a:xfrm>
                    <a:prstGeom prst="rect">
                      <a:avLst/>
                    </a:prstGeom>
                    <a:noFill/>
                    <a:ln>
                      <a:noFill/>
                    </a:ln>
                    <a:extLst>
                      <a:ext uri="{53640926-AAD7-44D8-BBD7-CCE9431645EC}">
                        <a14:shadowObscured xmlns:a14="http://schemas.microsoft.com/office/drawing/2010/main"/>
                      </a:ext>
                    </a:extLst>
                  </pic:spPr>
                </pic:pic>
              </a:graphicData>
            </a:graphic>
          </wp:inline>
        </w:drawing>
      </w:r>
    </w:p>
    <w:p w14:paraId="57B67E6F" w14:textId="77777777" w:rsidR="00347C4B" w:rsidRDefault="00347C4B" w:rsidP="005921EF">
      <w:pPr>
        <w:pStyle w:val="NoSpacing11"/>
        <w:spacing w:after="0"/>
        <w:jc w:val="center"/>
        <w:rPr>
          <w:rFonts w:ascii="Cambria" w:hAnsi="Cambria"/>
          <w:i/>
          <w:noProof/>
          <w:color w:val="252525"/>
          <w:shd w:val="clear" w:color="auto" w:fill="FFFFFF"/>
          <w:lang w:val="sr-Latn-ME"/>
        </w:rPr>
      </w:pPr>
    </w:p>
    <w:p w14:paraId="0F1D4FF4" w14:textId="77777777" w:rsidR="00B34ECE" w:rsidRDefault="00B34ECE" w:rsidP="005921EF">
      <w:pPr>
        <w:pStyle w:val="NoSpacing11"/>
        <w:spacing w:after="0"/>
        <w:jc w:val="center"/>
        <w:rPr>
          <w:rFonts w:ascii="Cambria" w:hAnsi="Cambria"/>
          <w:noProof/>
          <w:color w:val="252525"/>
          <w:shd w:val="clear" w:color="auto" w:fill="FFFFFF"/>
          <w:lang w:val="sr-Latn-ME"/>
        </w:rPr>
      </w:pPr>
      <w:r w:rsidRPr="006F4EFD">
        <w:rPr>
          <w:rFonts w:ascii="Cambria" w:hAnsi="Cambria"/>
          <w:i/>
          <w:noProof/>
          <w:color w:val="252525"/>
          <w:shd w:val="clear" w:color="auto" w:fill="FFFFFF"/>
          <w:lang w:val="sr-Latn-ME"/>
        </w:rPr>
        <w:t>Grafik 1</w:t>
      </w:r>
      <w:r w:rsidRPr="00AB15C7">
        <w:rPr>
          <w:rFonts w:ascii="Cambria" w:hAnsi="Cambria"/>
          <w:noProof/>
          <w:color w:val="252525"/>
          <w:shd w:val="clear" w:color="auto" w:fill="FFFFFF"/>
          <w:lang w:val="sr-Latn-ME"/>
        </w:rPr>
        <w:t>. Bruto domaći proizvod u Crnoj Gori 2007-2016</w:t>
      </w:r>
    </w:p>
    <w:p w14:paraId="7290FF22" w14:textId="77777777" w:rsidR="00347C4B" w:rsidRPr="00347C4B" w:rsidRDefault="00347C4B" w:rsidP="00347C4B">
      <w:pPr>
        <w:pStyle w:val="NoSpacing11"/>
        <w:spacing w:after="0"/>
        <w:jc w:val="center"/>
        <w:rPr>
          <w:rFonts w:ascii="Cambria" w:hAnsi="Cambria"/>
          <w:i/>
          <w:noProof/>
          <w:color w:val="252525"/>
          <w:shd w:val="clear" w:color="auto" w:fill="FFFFFF"/>
          <w:lang w:val="sr-Latn-RS"/>
        </w:rPr>
      </w:pPr>
      <w:r w:rsidRPr="00347C4B">
        <w:rPr>
          <w:rFonts w:ascii="Cambria" w:hAnsi="Cambria"/>
          <w:i/>
          <w:noProof/>
          <w:color w:val="252525"/>
          <w:shd w:val="clear" w:color="auto" w:fill="FFFFFF"/>
          <w:lang w:val="sr-Latn-RS"/>
        </w:rPr>
        <w:t>Izvor: MONSTAT</w:t>
      </w:r>
    </w:p>
    <w:p w14:paraId="3F989DBC" w14:textId="77777777" w:rsidR="00347C4B" w:rsidRPr="00AB15C7" w:rsidRDefault="00347C4B" w:rsidP="005921EF">
      <w:pPr>
        <w:pStyle w:val="NoSpacing11"/>
        <w:spacing w:after="0"/>
        <w:jc w:val="center"/>
        <w:rPr>
          <w:rFonts w:ascii="Cambria" w:hAnsi="Cambria"/>
          <w:noProof/>
          <w:color w:val="252525"/>
          <w:shd w:val="clear" w:color="auto" w:fill="FFFFFF"/>
          <w:lang w:val="sr-Latn-ME"/>
        </w:rPr>
      </w:pPr>
    </w:p>
    <w:p w14:paraId="5CE7FBCE" w14:textId="77777777" w:rsidR="00746F57" w:rsidRPr="00AB15C7" w:rsidRDefault="00423238" w:rsidP="005921EF">
      <w:pPr>
        <w:pStyle w:val="NoSpacing11"/>
        <w:spacing w:before="240" w:after="0"/>
        <w:jc w:val="both"/>
        <w:rPr>
          <w:rFonts w:ascii="Cambria" w:eastAsia="Times New Roman" w:hAnsi="Cambria"/>
          <w:noProof/>
          <w:color w:val="252525"/>
          <w:shd w:val="clear" w:color="auto" w:fill="FFFFFF"/>
        </w:rPr>
      </w:pPr>
      <w:r w:rsidRPr="00AB15C7">
        <w:rPr>
          <w:rFonts w:ascii="Cambria" w:eastAsia="Times New Roman" w:hAnsi="Cambria"/>
          <w:noProof/>
          <w:color w:val="252525"/>
          <w:shd w:val="clear" w:color="auto" w:fill="FFFFFF"/>
        </w:rPr>
        <w:t>Uprkos značajnom padu ekonomske aktivnosti</w:t>
      </w:r>
      <w:r w:rsidR="00331B6E" w:rsidRPr="00AB15C7">
        <w:rPr>
          <w:rFonts w:ascii="Cambria" w:eastAsia="Times New Roman" w:hAnsi="Cambria"/>
          <w:noProof/>
          <w:color w:val="252525"/>
          <w:shd w:val="clear" w:color="auto" w:fill="FFFFFF"/>
        </w:rPr>
        <w:t xml:space="preserve"> uzrokovanih globalnom ekonomskom krizom</w:t>
      </w:r>
      <w:r w:rsidRPr="00AB15C7">
        <w:rPr>
          <w:rFonts w:ascii="Cambria" w:eastAsia="Times New Roman" w:hAnsi="Cambria"/>
          <w:noProof/>
          <w:color w:val="252525"/>
          <w:shd w:val="clear" w:color="auto" w:fill="FFFFFF"/>
        </w:rPr>
        <w:t>, crnogorska ekonomija u posljednj</w:t>
      </w:r>
      <w:r w:rsidR="00331B6E" w:rsidRPr="00AB15C7">
        <w:rPr>
          <w:rFonts w:ascii="Cambria" w:eastAsia="Times New Roman" w:hAnsi="Cambria"/>
          <w:noProof/>
          <w:color w:val="252525"/>
          <w:shd w:val="clear" w:color="auto" w:fill="FFFFFF"/>
        </w:rPr>
        <w:t xml:space="preserve">ih </w:t>
      </w:r>
      <w:r w:rsidRPr="00AB15C7">
        <w:rPr>
          <w:rFonts w:ascii="Cambria" w:eastAsia="Times New Roman" w:hAnsi="Cambria"/>
          <w:noProof/>
          <w:color w:val="252525"/>
          <w:shd w:val="clear" w:color="auto" w:fill="FFFFFF"/>
        </w:rPr>
        <w:t>godin</w:t>
      </w:r>
      <w:r w:rsidR="00331B6E" w:rsidRPr="00AB15C7">
        <w:rPr>
          <w:rFonts w:ascii="Cambria" w:eastAsia="Times New Roman" w:hAnsi="Cambria"/>
          <w:noProof/>
          <w:color w:val="252525"/>
          <w:shd w:val="clear" w:color="auto" w:fill="FFFFFF"/>
        </w:rPr>
        <w:t>a</w:t>
      </w:r>
      <w:r w:rsidRPr="00AB15C7">
        <w:rPr>
          <w:rFonts w:ascii="Cambria" w:eastAsia="Times New Roman" w:hAnsi="Cambria"/>
          <w:noProof/>
          <w:color w:val="252525"/>
          <w:shd w:val="clear" w:color="auto" w:fill="FFFFFF"/>
        </w:rPr>
        <w:t xml:space="preserve"> bilježi trendove oporavka</w:t>
      </w:r>
      <w:r w:rsidR="00413A3C" w:rsidRPr="00AB15C7">
        <w:rPr>
          <w:rFonts w:ascii="Cambria" w:eastAsia="Times New Roman" w:hAnsi="Cambria"/>
          <w:noProof/>
          <w:color w:val="252525"/>
          <w:shd w:val="clear" w:color="auto" w:fill="FFFFFF"/>
        </w:rPr>
        <w:t>, uz blage fluktuacije, što se može vidjeti iz</w:t>
      </w:r>
      <w:r w:rsidR="00331B6E" w:rsidRPr="00AB15C7">
        <w:rPr>
          <w:rFonts w:ascii="Cambria" w:eastAsia="Times New Roman" w:hAnsi="Cambria"/>
          <w:noProof/>
          <w:color w:val="252525"/>
          <w:shd w:val="clear" w:color="auto" w:fill="FFFFFF"/>
        </w:rPr>
        <w:t xml:space="preserve"> podataka o makroekonomsk</w:t>
      </w:r>
      <w:r w:rsidR="00746F57" w:rsidRPr="00AB15C7">
        <w:rPr>
          <w:rFonts w:ascii="Cambria" w:eastAsia="Times New Roman" w:hAnsi="Cambria"/>
          <w:noProof/>
          <w:color w:val="252525"/>
          <w:shd w:val="clear" w:color="auto" w:fill="FFFFFF"/>
        </w:rPr>
        <w:t>im kretanjima 2012-2017 MONSTAT</w:t>
      </w:r>
      <w:r w:rsidR="00921782" w:rsidRPr="00AB15C7">
        <w:rPr>
          <w:rFonts w:ascii="Cambria" w:eastAsia="Times New Roman" w:hAnsi="Cambria"/>
          <w:noProof/>
          <w:color w:val="252525"/>
          <w:shd w:val="clear" w:color="auto" w:fill="FFFFFF"/>
        </w:rPr>
        <w:t xml:space="preserve"> (tabela 1.)</w:t>
      </w:r>
      <w:r w:rsidR="00413A3C" w:rsidRPr="00AB15C7">
        <w:rPr>
          <w:rFonts w:ascii="Cambria" w:eastAsia="Times New Roman" w:hAnsi="Cambria"/>
          <w:noProof/>
          <w:color w:val="252525"/>
          <w:shd w:val="clear" w:color="auto" w:fill="FFFFFF"/>
        </w:rPr>
        <w:t>.</w:t>
      </w:r>
    </w:p>
    <w:p w14:paraId="440FD7C5" w14:textId="77777777" w:rsidR="007A2E7C" w:rsidRDefault="007A2E7C" w:rsidP="00347C4B">
      <w:pPr>
        <w:pStyle w:val="NoSpacing11"/>
        <w:spacing w:after="120"/>
        <w:jc w:val="center"/>
        <w:rPr>
          <w:rFonts w:ascii="Cambria" w:eastAsia="Times New Roman" w:hAnsi="Cambria"/>
          <w:i/>
          <w:noProof/>
          <w:color w:val="252525"/>
          <w:shd w:val="clear" w:color="auto" w:fill="FFFFFF"/>
        </w:rPr>
      </w:pPr>
      <w:bookmarkStart w:id="15" w:name="_Hlk524088857"/>
    </w:p>
    <w:p w14:paraId="50890526" w14:textId="6B934C67" w:rsidR="007A2E7C" w:rsidRDefault="007A2E7C" w:rsidP="00347C4B">
      <w:pPr>
        <w:pStyle w:val="NoSpacing11"/>
        <w:spacing w:after="120"/>
        <w:jc w:val="center"/>
        <w:rPr>
          <w:rFonts w:ascii="Cambria" w:eastAsia="Times New Roman" w:hAnsi="Cambria"/>
          <w:i/>
          <w:noProof/>
          <w:color w:val="252525"/>
          <w:shd w:val="clear" w:color="auto" w:fill="FFFFFF"/>
        </w:rPr>
      </w:pPr>
    </w:p>
    <w:p w14:paraId="0CE6F8BE" w14:textId="4EF92480" w:rsidR="007A2E7C" w:rsidRDefault="007A2E7C" w:rsidP="00347C4B">
      <w:pPr>
        <w:pStyle w:val="NoSpacing11"/>
        <w:spacing w:after="120"/>
        <w:jc w:val="center"/>
        <w:rPr>
          <w:rFonts w:ascii="Cambria" w:eastAsia="Times New Roman" w:hAnsi="Cambria"/>
          <w:i/>
          <w:noProof/>
          <w:color w:val="252525"/>
          <w:shd w:val="clear" w:color="auto" w:fill="FFFFFF"/>
        </w:rPr>
      </w:pPr>
    </w:p>
    <w:p w14:paraId="46FA13B9" w14:textId="77777777" w:rsidR="007A2E7C" w:rsidRDefault="007A2E7C" w:rsidP="00347C4B">
      <w:pPr>
        <w:pStyle w:val="NoSpacing11"/>
        <w:spacing w:after="120"/>
        <w:jc w:val="center"/>
        <w:rPr>
          <w:rFonts w:ascii="Cambria" w:eastAsia="Times New Roman" w:hAnsi="Cambria"/>
          <w:i/>
          <w:noProof/>
          <w:color w:val="252525"/>
          <w:shd w:val="clear" w:color="auto" w:fill="FFFFFF"/>
        </w:rPr>
      </w:pPr>
    </w:p>
    <w:p w14:paraId="517F0F77" w14:textId="77777777" w:rsidR="007A2E7C" w:rsidRDefault="007A2E7C" w:rsidP="00347C4B">
      <w:pPr>
        <w:pStyle w:val="NoSpacing11"/>
        <w:spacing w:after="120"/>
        <w:jc w:val="center"/>
        <w:rPr>
          <w:rFonts w:ascii="Cambria" w:eastAsia="Times New Roman" w:hAnsi="Cambria"/>
          <w:i/>
          <w:noProof/>
          <w:color w:val="252525"/>
          <w:shd w:val="clear" w:color="auto" w:fill="FFFFFF"/>
        </w:rPr>
      </w:pPr>
    </w:p>
    <w:p w14:paraId="4AB3E4C1" w14:textId="3397615E" w:rsidR="00746F57" w:rsidRPr="00AB15C7" w:rsidRDefault="00921782" w:rsidP="00347C4B">
      <w:pPr>
        <w:pStyle w:val="NoSpacing11"/>
        <w:spacing w:after="120"/>
        <w:jc w:val="center"/>
        <w:rPr>
          <w:rFonts w:ascii="Cambria" w:eastAsia="Times New Roman" w:hAnsi="Cambria"/>
          <w:noProof/>
          <w:color w:val="252525"/>
          <w:shd w:val="clear" w:color="auto" w:fill="FFFFFF"/>
        </w:rPr>
      </w:pPr>
      <w:r w:rsidRPr="00347C4B">
        <w:rPr>
          <w:rFonts w:ascii="Cambria" w:eastAsia="Times New Roman" w:hAnsi="Cambria"/>
          <w:i/>
          <w:noProof/>
          <w:color w:val="252525"/>
          <w:shd w:val="clear" w:color="auto" w:fill="FFFFFF"/>
        </w:rPr>
        <w:lastRenderedPageBreak/>
        <w:t>Tabela 1</w:t>
      </w:r>
      <w:r w:rsidR="00B34ECE" w:rsidRPr="00AB15C7">
        <w:rPr>
          <w:rFonts w:ascii="Cambria" w:eastAsia="Times New Roman" w:hAnsi="Cambria"/>
          <w:noProof/>
          <w:color w:val="252525"/>
          <w:shd w:val="clear" w:color="auto" w:fill="FFFFFF"/>
        </w:rPr>
        <w:t>. Makroekonomska kretanja u Crnoj Gori za period od 2012. do 2017.godine</w:t>
      </w:r>
    </w:p>
    <w:tbl>
      <w:tblPr>
        <w:tblW w:w="9753" w:type="dxa"/>
        <w:tblInd w:w="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173"/>
        <w:gridCol w:w="900"/>
        <w:gridCol w:w="900"/>
        <w:gridCol w:w="900"/>
        <w:gridCol w:w="900"/>
        <w:gridCol w:w="990"/>
        <w:gridCol w:w="990"/>
      </w:tblGrid>
      <w:tr w:rsidR="00DB752F" w:rsidRPr="00AB15C7" w14:paraId="0F2BC024" w14:textId="77777777" w:rsidTr="00CF7EF9">
        <w:tc>
          <w:tcPr>
            <w:tcW w:w="4173" w:type="dxa"/>
            <w:tcBorders>
              <w:bottom w:val="single" w:sz="4" w:space="0" w:color="auto"/>
            </w:tcBorders>
            <w:shd w:val="clear" w:color="auto" w:fill="F2F2F2"/>
          </w:tcPr>
          <w:bookmarkEnd w:id="15"/>
          <w:p w14:paraId="725B8E8F" w14:textId="77777777" w:rsidR="00C16852" w:rsidRPr="00AB15C7" w:rsidRDefault="00347C4B" w:rsidP="00347C4B">
            <w:pPr>
              <w:spacing w:before="120" w:after="120"/>
              <w:jc w:val="center"/>
              <w:rPr>
                <w:rFonts w:ascii="Cambria" w:hAnsi="Cambria" w:cs="Arial"/>
                <w:b/>
                <w:bCs/>
                <w:noProof/>
              </w:rPr>
            </w:pPr>
            <w:r w:rsidRPr="00AB15C7">
              <w:rPr>
                <w:rFonts w:ascii="Cambria" w:hAnsi="Cambria" w:cs="Arial"/>
                <w:b/>
                <w:bCs/>
                <w:noProof/>
              </w:rPr>
              <w:t xml:space="preserve">MAKROEKONOMSKI INDIKATORI </w:t>
            </w:r>
          </w:p>
        </w:tc>
        <w:tc>
          <w:tcPr>
            <w:tcW w:w="900" w:type="dxa"/>
            <w:tcBorders>
              <w:bottom w:val="single" w:sz="4" w:space="0" w:color="auto"/>
            </w:tcBorders>
            <w:shd w:val="clear" w:color="auto" w:fill="F2F2F2"/>
          </w:tcPr>
          <w:p w14:paraId="3D790AF8" w14:textId="77777777" w:rsidR="00C16852" w:rsidRPr="00AB15C7" w:rsidRDefault="00C16852" w:rsidP="00347C4B">
            <w:pPr>
              <w:spacing w:before="120" w:after="120"/>
              <w:jc w:val="center"/>
              <w:rPr>
                <w:rFonts w:ascii="Cambria" w:hAnsi="Cambria" w:cs="Arial"/>
                <w:b/>
                <w:bCs/>
                <w:noProof/>
              </w:rPr>
            </w:pPr>
            <w:r w:rsidRPr="00AB15C7">
              <w:rPr>
                <w:rFonts w:ascii="Cambria" w:hAnsi="Cambria" w:cs="Arial"/>
                <w:b/>
                <w:bCs/>
                <w:noProof/>
              </w:rPr>
              <w:t>2012</w:t>
            </w:r>
          </w:p>
        </w:tc>
        <w:tc>
          <w:tcPr>
            <w:tcW w:w="900" w:type="dxa"/>
            <w:tcBorders>
              <w:bottom w:val="single" w:sz="4" w:space="0" w:color="auto"/>
            </w:tcBorders>
            <w:shd w:val="clear" w:color="auto" w:fill="F2F2F2"/>
          </w:tcPr>
          <w:p w14:paraId="67A6B238" w14:textId="77777777" w:rsidR="00C16852" w:rsidRPr="00AB15C7" w:rsidRDefault="00C16852" w:rsidP="00347C4B">
            <w:pPr>
              <w:spacing w:before="120" w:after="120"/>
              <w:jc w:val="center"/>
              <w:rPr>
                <w:rFonts w:ascii="Cambria" w:hAnsi="Cambria" w:cs="Arial"/>
                <w:b/>
                <w:bCs/>
                <w:noProof/>
              </w:rPr>
            </w:pPr>
            <w:r w:rsidRPr="00AB15C7">
              <w:rPr>
                <w:rFonts w:ascii="Cambria" w:hAnsi="Cambria" w:cs="Arial"/>
                <w:b/>
                <w:bCs/>
                <w:noProof/>
              </w:rPr>
              <w:t>2013</w:t>
            </w:r>
          </w:p>
        </w:tc>
        <w:tc>
          <w:tcPr>
            <w:tcW w:w="900" w:type="dxa"/>
            <w:tcBorders>
              <w:bottom w:val="single" w:sz="4" w:space="0" w:color="auto"/>
            </w:tcBorders>
            <w:shd w:val="clear" w:color="auto" w:fill="F2F2F2"/>
          </w:tcPr>
          <w:p w14:paraId="010FFE4A" w14:textId="77777777" w:rsidR="00C16852" w:rsidRPr="00AB15C7" w:rsidRDefault="00C16852" w:rsidP="00347C4B">
            <w:pPr>
              <w:spacing w:before="120" w:after="120"/>
              <w:jc w:val="center"/>
              <w:rPr>
                <w:rFonts w:ascii="Cambria" w:hAnsi="Cambria" w:cs="Arial"/>
                <w:b/>
                <w:bCs/>
                <w:noProof/>
              </w:rPr>
            </w:pPr>
            <w:r w:rsidRPr="00AB15C7">
              <w:rPr>
                <w:rFonts w:ascii="Cambria" w:hAnsi="Cambria" w:cs="Arial"/>
                <w:b/>
                <w:bCs/>
                <w:noProof/>
              </w:rPr>
              <w:t>2014</w:t>
            </w:r>
          </w:p>
        </w:tc>
        <w:tc>
          <w:tcPr>
            <w:tcW w:w="900" w:type="dxa"/>
            <w:tcBorders>
              <w:bottom w:val="single" w:sz="4" w:space="0" w:color="auto"/>
            </w:tcBorders>
            <w:shd w:val="clear" w:color="auto" w:fill="F2F2F2"/>
          </w:tcPr>
          <w:p w14:paraId="5D9B1E98" w14:textId="77777777" w:rsidR="00C16852" w:rsidRPr="00AB15C7" w:rsidRDefault="00C16852" w:rsidP="00347C4B">
            <w:pPr>
              <w:spacing w:before="120" w:after="120"/>
              <w:jc w:val="center"/>
              <w:rPr>
                <w:rFonts w:ascii="Cambria" w:hAnsi="Cambria" w:cs="Arial"/>
                <w:b/>
                <w:bCs/>
                <w:noProof/>
              </w:rPr>
            </w:pPr>
            <w:r w:rsidRPr="00AB15C7">
              <w:rPr>
                <w:rFonts w:ascii="Cambria" w:hAnsi="Cambria" w:cs="Arial"/>
                <w:b/>
                <w:bCs/>
                <w:noProof/>
              </w:rPr>
              <w:t>2015</w:t>
            </w:r>
          </w:p>
        </w:tc>
        <w:tc>
          <w:tcPr>
            <w:tcW w:w="990" w:type="dxa"/>
            <w:tcBorders>
              <w:bottom w:val="single" w:sz="4" w:space="0" w:color="auto"/>
            </w:tcBorders>
            <w:shd w:val="clear" w:color="auto" w:fill="F2F2F2"/>
          </w:tcPr>
          <w:p w14:paraId="22F19286" w14:textId="77777777" w:rsidR="00C16852" w:rsidRPr="00AB15C7" w:rsidRDefault="00C16852" w:rsidP="00347C4B">
            <w:pPr>
              <w:spacing w:before="120" w:after="120"/>
              <w:jc w:val="center"/>
              <w:rPr>
                <w:rFonts w:ascii="Cambria" w:hAnsi="Cambria" w:cs="Arial"/>
                <w:b/>
                <w:bCs/>
                <w:noProof/>
              </w:rPr>
            </w:pPr>
            <w:r w:rsidRPr="00AB15C7">
              <w:rPr>
                <w:rFonts w:ascii="Cambria" w:hAnsi="Cambria" w:cs="Arial"/>
                <w:b/>
                <w:bCs/>
                <w:noProof/>
              </w:rPr>
              <w:t>2016</w:t>
            </w:r>
          </w:p>
        </w:tc>
        <w:tc>
          <w:tcPr>
            <w:tcW w:w="990" w:type="dxa"/>
            <w:tcBorders>
              <w:bottom w:val="single" w:sz="4" w:space="0" w:color="auto"/>
            </w:tcBorders>
            <w:shd w:val="clear" w:color="auto" w:fill="F2F2F2"/>
          </w:tcPr>
          <w:p w14:paraId="288EF3CD" w14:textId="77777777" w:rsidR="00C16852" w:rsidRPr="00AB15C7" w:rsidRDefault="00C16852" w:rsidP="00347C4B">
            <w:pPr>
              <w:spacing w:before="120" w:after="120"/>
              <w:jc w:val="center"/>
              <w:rPr>
                <w:rFonts w:ascii="Cambria" w:hAnsi="Cambria" w:cs="Arial"/>
                <w:b/>
                <w:bCs/>
                <w:noProof/>
              </w:rPr>
            </w:pPr>
            <w:r w:rsidRPr="00AB15C7">
              <w:rPr>
                <w:rFonts w:ascii="Cambria" w:hAnsi="Cambria" w:cs="Arial"/>
                <w:b/>
                <w:bCs/>
                <w:noProof/>
              </w:rPr>
              <w:t>2017</w:t>
            </w:r>
          </w:p>
        </w:tc>
      </w:tr>
      <w:tr w:rsidR="00413A3C" w:rsidRPr="00AB15C7" w14:paraId="14F7416D" w14:textId="77777777" w:rsidTr="00CF7EF9">
        <w:trPr>
          <w:trHeight w:val="224"/>
        </w:trPr>
        <w:tc>
          <w:tcPr>
            <w:tcW w:w="9753" w:type="dxa"/>
            <w:gridSpan w:val="7"/>
            <w:tcBorders>
              <w:top w:val="single" w:sz="4" w:space="0" w:color="auto"/>
              <w:bottom w:val="single" w:sz="4" w:space="0" w:color="auto"/>
            </w:tcBorders>
            <w:shd w:val="clear" w:color="auto" w:fill="auto"/>
          </w:tcPr>
          <w:p w14:paraId="1C76CF31" w14:textId="77777777" w:rsidR="00413A3C" w:rsidRPr="00AB15C7" w:rsidRDefault="00413A3C" w:rsidP="005921EF">
            <w:pPr>
              <w:spacing w:before="20" w:after="20"/>
              <w:jc w:val="center"/>
              <w:rPr>
                <w:rFonts w:ascii="Cambria" w:eastAsia="Calibri" w:hAnsi="Cambria"/>
                <w:b/>
                <w:noProof/>
                <w:color w:val="252525"/>
                <w:shd w:val="clear" w:color="auto" w:fill="FFFFFF"/>
              </w:rPr>
            </w:pPr>
            <w:r w:rsidRPr="00AB15C7">
              <w:rPr>
                <w:rFonts w:ascii="Cambria" w:eastAsia="Calibri" w:hAnsi="Cambria"/>
                <w:b/>
                <w:noProof/>
                <w:color w:val="252525"/>
                <w:shd w:val="clear" w:color="auto" w:fill="FFFFFF"/>
              </w:rPr>
              <w:t>Realni sektor</w:t>
            </w:r>
          </w:p>
        </w:tc>
      </w:tr>
      <w:tr w:rsidR="00DB752F" w:rsidRPr="00AB15C7" w14:paraId="4167E47F" w14:textId="77777777" w:rsidTr="006F4EFD">
        <w:trPr>
          <w:trHeight w:val="363"/>
        </w:trPr>
        <w:tc>
          <w:tcPr>
            <w:tcW w:w="4173" w:type="dxa"/>
            <w:tcBorders>
              <w:top w:val="single" w:sz="4" w:space="0" w:color="auto"/>
              <w:bottom w:val="single" w:sz="4" w:space="0" w:color="auto"/>
            </w:tcBorders>
            <w:shd w:val="clear" w:color="auto" w:fill="F2F2F2" w:themeFill="background1" w:themeFillShade="F2"/>
          </w:tcPr>
          <w:p w14:paraId="6C95B608"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Bruto domaći proizvod (BDP) tekuće cijene (mil</w:t>
            </w:r>
            <w:r w:rsidR="00413A3C" w:rsidRPr="006F4EFD">
              <w:rPr>
                <w:rFonts w:ascii="Cambria" w:hAnsi="Cambria" w:cs="Arial"/>
                <w:b/>
                <w:bCs/>
                <w:noProof/>
              </w:rPr>
              <w:t>. €</w:t>
            </w:r>
            <w:r w:rsidRPr="006F4EFD">
              <w:rPr>
                <w:rFonts w:ascii="Cambria" w:hAnsi="Cambria" w:cs="Arial"/>
                <w:b/>
                <w:bCs/>
                <w:noProof/>
              </w:rPr>
              <w:t>)</w:t>
            </w:r>
          </w:p>
        </w:tc>
        <w:tc>
          <w:tcPr>
            <w:tcW w:w="900" w:type="dxa"/>
            <w:tcBorders>
              <w:top w:val="single" w:sz="4" w:space="0" w:color="auto"/>
              <w:bottom w:val="single" w:sz="4" w:space="0" w:color="auto"/>
            </w:tcBorders>
            <w:shd w:val="clear" w:color="auto" w:fill="auto"/>
          </w:tcPr>
          <w:p w14:paraId="46753D07"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w:t>
            </w:r>
            <w:r w:rsidR="007F38DA" w:rsidRPr="00AB15C7">
              <w:rPr>
                <w:rFonts w:ascii="Cambria" w:hAnsi="Cambria"/>
                <w:noProof/>
                <w:color w:val="252525"/>
                <w:shd w:val="clear" w:color="auto" w:fill="FFFFFF"/>
              </w:rPr>
              <w:t>.</w:t>
            </w:r>
            <w:r w:rsidRPr="00AB15C7">
              <w:rPr>
                <w:rFonts w:ascii="Cambria" w:hAnsi="Cambria"/>
                <w:noProof/>
                <w:color w:val="252525"/>
                <w:shd w:val="clear" w:color="auto" w:fill="FFFFFF"/>
              </w:rPr>
              <w:t xml:space="preserve">181 </w:t>
            </w:r>
          </w:p>
        </w:tc>
        <w:tc>
          <w:tcPr>
            <w:tcW w:w="900" w:type="dxa"/>
            <w:tcBorders>
              <w:top w:val="single" w:sz="4" w:space="0" w:color="auto"/>
              <w:bottom w:val="single" w:sz="4" w:space="0" w:color="auto"/>
            </w:tcBorders>
            <w:shd w:val="clear" w:color="auto" w:fill="auto"/>
          </w:tcPr>
          <w:p w14:paraId="1AB31395"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w:t>
            </w:r>
            <w:r w:rsidR="007F38DA" w:rsidRPr="00AB15C7">
              <w:rPr>
                <w:rFonts w:ascii="Cambria" w:hAnsi="Cambria"/>
                <w:noProof/>
                <w:color w:val="252525"/>
                <w:shd w:val="clear" w:color="auto" w:fill="FFFFFF"/>
              </w:rPr>
              <w:t>.</w:t>
            </w:r>
            <w:r w:rsidRPr="00AB15C7">
              <w:rPr>
                <w:rFonts w:ascii="Cambria" w:hAnsi="Cambria"/>
                <w:noProof/>
                <w:color w:val="252525"/>
                <w:shd w:val="clear" w:color="auto" w:fill="FFFFFF"/>
              </w:rPr>
              <w:t xml:space="preserve">362 </w:t>
            </w:r>
          </w:p>
        </w:tc>
        <w:tc>
          <w:tcPr>
            <w:tcW w:w="900" w:type="dxa"/>
            <w:tcBorders>
              <w:top w:val="single" w:sz="4" w:space="0" w:color="auto"/>
              <w:bottom w:val="single" w:sz="4" w:space="0" w:color="auto"/>
            </w:tcBorders>
          </w:tcPr>
          <w:p w14:paraId="6302ED08"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w:t>
            </w:r>
            <w:r w:rsidR="007F38DA" w:rsidRPr="00AB15C7">
              <w:rPr>
                <w:rFonts w:ascii="Cambria" w:hAnsi="Cambria"/>
                <w:noProof/>
                <w:color w:val="252525"/>
                <w:shd w:val="clear" w:color="auto" w:fill="FFFFFF"/>
              </w:rPr>
              <w:t>.</w:t>
            </w:r>
            <w:r w:rsidRPr="00AB15C7">
              <w:rPr>
                <w:rFonts w:ascii="Cambria" w:hAnsi="Cambria"/>
                <w:noProof/>
                <w:color w:val="252525"/>
                <w:shd w:val="clear" w:color="auto" w:fill="FFFFFF"/>
              </w:rPr>
              <w:t xml:space="preserve">458 </w:t>
            </w:r>
          </w:p>
        </w:tc>
        <w:tc>
          <w:tcPr>
            <w:tcW w:w="900" w:type="dxa"/>
            <w:tcBorders>
              <w:top w:val="single" w:sz="4" w:space="0" w:color="auto"/>
              <w:bottom w:val="single" w:sz="4" w:space="0" w:color="auto"/>
            </w:tcBorders>
          </w:tcPr>
          <w:p w14:paraId="024C24B3"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w:t>
            </w:r>
            <w:r w:rsidR="007F38DA" w:rsidRPr="00AB15C7">
              <w:rPr>
                <w:rFonts w:ascii="Cambria" w:hAnsi="Cambria"/>
                <w:noProof/>
                <w:color w:val="252525"/>
                <w:shd w:val="clear" w:color="auto" w:fill="FFFFFF"/>
              </w:rPr>
              <w:t>.</w:t>
            </w:r>
            <w:r w:rsidRPr="00AB15C7">
              <w:rPr>
                <w:rFonts w:ascii="Cambria" w:hAnsi="Cambria"/>
                <w:noProof/>
                <w:color w:val="252525"/>
                <w:shd w:val="clear" w:color="auto" w:fill="FFFFFF"/>
              </w:rPr>
              <w:t xml:space="preserve">655 </w:t>
            </w:r>
          </w:p>
        </w:tc>
        <w:tc>
          <w:tcPr>
            <w:tcW w:w="990" w:type="dxa"/>
            <w:tcBorders>
              <w:top w:val="single" w:sz="4" w:space="0" w:color="auto"/>
              <w:bottom w:val="single" w:sz="4" w:space="0" w:color="auto"/>
            </w:tcBorders>
          </w:tcPr>
          <w:p w14:paraId="3E28A3DF"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w:t>
            </w:r>
            <w:r w:rsidR="007F38DA" w:rsidRPr="00AB15C7">
              <w:rPr>
                <w:rFonts w:ascii="Cambria" w:hAnsi="Cambria"/>
                <w:noProof/>
                <w:color w:val="252525"/>
                <w:shd w:val="clear" w:color="auto" w:fill="FFFFFF"/>
              </w:rPr>
              <w:t>.</w:t>
            </w:r>
            <w:r w:rsidRPr="00AB15C7">
              <w:rPr>
                <w:rFonts w:ascii="Cambria" w:hAnsi="Cambria"/>
                <w:noProof/>
                <w:color w:val="252525"/>
                <w:shd w:val="clear" w:color="auto" w:fill="FFFFFF"/>
              </w:rPr>
              <w:t xml:space="preserve">954 </w:t>
            </w:r>
          </w:p>
        </w:tc>
        <w:tc>
          <w:tcPr>
            <w:tcW w:w="990" w:type="dxa"/>
            <w:tcBorders>
              <w:top w:val="single" w:sz="4" w:space="0" w:color="auto"/>
              <w:bottom w:val="single" w:sz="4" w:space="0" w:color="auto"/>
            </w:tcBorders>
          </w:tcPr>
          <w:p w14:paraId="3823685F"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w:t>
            </w:r>
            <w:r w:rsidR="007F38DA" w:rsidRPr="00AB15C7">
              <w:rPr>
                <w:rFonts w:ascii="Cambria" w:hAnsi="Cambria"/>
                <w:noProof/>
                <w:color w:val="252525"/>
                <w:shd w:val="clear" w:color="auto" w:fill="FFFFFF"/>
              </w:rPr>
              <w:t>.</w:t>
            </w:r>
            <w:r w:rsidRPr="00AB15C7">
              <w:rPr>
                <w:rFonts w:ascii="Cambria" w:hAnsi="Cambria"/>
                <w:noProof/>
                <w:color w:val="252525"/>
                <w:shd w:val="clear" w:color="auto" w:fill="FFFFFF"/>
              </w:rPr>
              <w:t>237</w:t>
            </w:r>
          </w:p>
        </w:tc>
      </w:tr>
      <w:tr w:rsidR="00DB752F" w:rsidRPr="00AB15C7" w14:paraId="35052673" w14:textId="77777777" w:rsidTr="006F4EFD">
        <w:trPr>
          <w:trHeight w:val="301"/>
        </w:trPr>
        <w:tc>
          <w:tcPr>
            <w:tcW w:w="4173" w:type="dxa"/>
            <w:tcBorders>
              <w:top w:val="single" w:sz="4" w:space="0" w:color="auto"/>
            </w:tcBorders>
            <w:shd w:val="clear" w:color="auto" w:fill="F2F2F2" w:themeFill="background1" w:themeFillShade="F2"/>
          </w:tcPr>
          <w:p w14:paraId="49B5A9C3"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BDP realni rast u %</w:t>
            </w:r>
          </w:p>
        </w:tc>
        <w:tc>
          <w:tcPr>
            <w:tcW w:w="900" w:type="dxa"/>
            <w:tcBorders>
              <w:top w:val="single" w:sz="4" w:space="0" w:color="auto"/>
            </w:tcBorders>
            <w:shd w:val="clear" w:color="auto" w:fill="auto"/>
          </w:tcPr>
          <w:p w14:paraId="593E7E92"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-2,7</w:t>
            </w:r>
          </w:p>
        </w:tc>
        <w:tc>
          <w:tcPr>
            <w:tcW w:w="900" w:type="dxa"/>
            <w:tcBorders>
              <w:top w:val="single" w:sz="4" w:space="0" w:color="auto"/>
            </w:tcBorders>
            <w:shd w:val="clear" w:color="auto" w:fill="auto"/>
          </w:tcPr>
          <w:p w14:paraId="4D8A93FC"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3,5</w:t>
            </w:r>
          </w:p>
        </w:tc>
        <w:tc>
          <w:tcPr>
            <w:tcW w:w="900" w:type="dxa"/>
            <w:tcBorders>
              <w:top w:val="single" w:sz="4" w:space="0" w:color="auto"/>
            </w:tcBorders>
          </w:tcPr>
          <w:p w14:paraId="585C086E"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1,8</w:t>
            </w:r>
          </w:p>
        </w:tc>
        <w:tc>
          <w:tcPr>
            <w:tcW w:w="900" w:type="dxa"/>
            <w:tcBorders>
              <w:top w:val="single" w:sz="4" w:space="0" w:color="auto"/>
            </w:tcBorders>
          </w:tcPr>
          <w:p w14:paraId="5DBC54A7"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3,4</w:t>
            </w:r>
          </w:p>
        </w:tc>
        <w:tc>
          <w:tcPr>
            <w:tcW w:w="990" w:type="dxa"/>
            <w:tcBorders>
              <w:top w:val="single" w:sz="4" w:space="0" w:color="auto"/>
            </w:tcBorders>
          </w:tcPr>
          <w:p w14:paraId="1D086BB4"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2,9</w:t>
            </w:r>
          </w:p>
        </w:tc>
        <w:tc>
          <w:tcPr>
            <w:tcW w:w="990" w:type="dxa"/>
            <w:tcBorders>
              <w:top w:val="single" w:sz="4" w:space="0" w:color="auto"/>
            </w:tcBorders>
          </w:tcPr>
          <w:p w14:paraId="6718947B"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4,4</w:t>
            </w:r>
          </w:p>
        </w:tc>
      </w:tr>
      <w:tr w:rsidR="00DB752F" w:rsidRPr="00AB15C7" w14:paraId="0AED4AC0" w14:textId="77777777" w:rsidTr="006F4EFD">
        <w:tc>
          <w:tcPr>
            <w:tcW w:w="4173" w:type="dxa"/>
            <w:shd w:val="clear" w:color="auto" w:fill="F2F2F2" w:themeFill="background1" w:themeFillShade="F2"/>
          </w:tcPr>
          <w:p w14:paraId="21A0D59B"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BDP per capita (€)</w:t>
            </w:r>
          </w:p>
        </w:tc>
        <w:tc>
          <w:tcPr>
            <w:tcW w:w="900" w:type="dxa"/>
            <w:shd w:val="clear" w:color="auto" w:fill="auto"/>
          </w:tcPr>
          <w:p w14:paraId="322F6E41"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5.126 </w:t>
            </w:r>
          </w:p>
        </w:tc>
        <w:tc>
          <w:tcPr>
            <w:tcW w:w="900" w:type="dxa"/>
            <w:shd w:val="clear" w:color="auto" w:fill="auto"/>
          </w:tcPr>
          <w:p w14:paraId="60A5905F"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5.412 </w:t>
            </w:r>
          </w:p>
        </w:tc>
        <w:tc>
          <w:tcPr>
            <w:tcW w:w="900" w:type="dxa"/>
          </w:tcPr>
          <w:p w14:paraId="4AA087C5"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5.561 </w:t>
            </w:r>
          </w:p>
        </w:tc>
        <w:tc>
          <w:tcPr>
            <w:tcW w:w="900" w:type="dxa"/>
          </w:tcPr>
          <w:p w14:paraId="0B8562B1"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5.826 </w:t>
            </w:r>
          </w:p>
        </w:tc>
        <w:tc>
          <w:tcPr>
            <w:tcW w:w="990" w:type="dxa"/>
          </w:tcPr>
          <w:p w14:paraId="1727D6C7"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6.354</w:t>
            </w:r>
          </w:p>
        </w:tc>
        <w:tc>
          <w:tcPr>
            <w:tcW w:w="990" w:type="dxa"/>
          </w:tcPr>
          <w:p w14:paraId="6E6745CA"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w:t>
            </w:r>
          </w:p>
        </w:tc>
      </w:tr>
      <w:tr w:rsidR="00DB752F" w:rsidRPr="00AB15C7" w14:paraId="143CA1A1" w14:textId="77777777" w:rsidTr="006F4EFD">
        <w:tc>
          <w:tcPr>
            <w:tcW w:w="4173" w:type="dxa"/>
            <w:shd w:val="clear" w:color="auto" w:fill="F2F2F2" w:themeFill="background1" w:themeFillShade="F2"/>
          </w:tcPr>
          <w:p w14:paraId="4C595EAC"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BDP per capita PPP (</w:t>
            </w:r>
            <w:r w:rsidRPr="006F4EFD">
              <w:rPr>
                <w:rFonts w:ascii="Cambria" w:hAnsi="Cambria" w:cs="Arial"/>
                <w:b/>
                <w:bCs/>
                <w:noProof/>
                <w:sz w:val="18"/>
              </w:rPr>
              <w:t>internacionalni dolar</w:t>
            </w:r>
            <w:r w:rsidRPr="006F4EFD">
              <w:rPr>
                <w:rFonts w:ascii="Cambria" w:hAnsi="Cambria" w:cs="Arial"/>
                <w:b/>
                <w:bCs/>
                <w:noProof/>
              </w:rPr>
              <w:t>)</w:t>
            </w:r>
          </w:p>
        </w:tc>
        <w:tc>
          <w:tcPr>
            <w:tcW w:w="900" w:type="dxa"/>
            <w:shd w:val="clear" w:color="auto" w:fill="auto"/>
          </w:tcPr>
          <w:p w14:paraId="1B91CBCC"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13.990 </w:t>
            </w:r>
          </w:p>
        </w:tc>
        <w:tc>
          <w:tcPr>
            <w:tcW w:w="900" w:type="dxa"/>
            <w:shd w:val="clear" w:color="auto" w:fill="auto"/>
          </w:tcPr>
          <w:p w14:paraId="43440662"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14.666</w:t>
            </w:r>
          </w:p>
        </w:tc>
        <w:tc>
          <w:tcPr>
            <w:tcW w:w="900" w:type="dxa"/>
          </w:tcPr>
          <w:p w14:paraId="23B5BD10"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15.353</w:t>
            </w:r>
          </w:p>
        </w:tc>
        <w:tc>
          <w:tcPr>
            <w:tcW w:w="900" w:type="dxa"/>
          </w:tcPr>
          <w:p w14:paraId="0E22D207"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16.123</w:t>
            </w:r>
          </w:p>
        </w:tc>
        <w:tc>
          <w:tcPr>
            <w:tcW w:w="990" w:type="dxa"/>
          </w:tcPr>
          <w:p w14:paraId="68E00765"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17.022</w:t>
            </w:r>
          </w:p>
        </w:tc>
        <w:tc>
          <w:tcPr>
            <w:tcW w:w="990" w:type="dxa"/>
          </w:tcPr>
          <w:p w14:paraId="75889803"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w:t>
            </w:r>
          </w:p>
        </w:tc>
      </w:tr>
      <w:tr w:rsidR="00DB752F" w:rsidRPr="00AB15C7" w14:paraId="5AE8DA55" w14:textId="77777777" w:rsidTr="006F4EFD">
        <w:tc>
          <w:tcPr>
            <w:tcW w:w="4173" w:type="dxa"/>
            <w:shd w:val="clear" w:color="auto" w:fill="F2F2F2" w:themeFill="background1" w:themeFillShade="F2"/>
          </w:tcPr>
          <w:p w14:paraId="75115EBF"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 xml:space="preserve">BDP per capita (% </w:t>
            </w:r>
            <w:r w:rsidRPr="006F4EFD">
              <w:rPr>
                <w:rFonts w:ascii="Cambria" w:hAnsi="Cambria" w:cs="Arial"/>
                <w:b/>
                <w:bCs/>
                <w:noProof/>
                <w:sz w:val="20"/>
              </w:rPr>
              <w:t>učešća u prosjeku EU</w:t>
            </w:r>
            <w:r w:rsidRPr="006F4EFD">
              <w:rPr>
                <w:rFonts w:ascii="Cambria" w:hAnsi="Cambria" w:cs="Arial"/>
                <w:b/>
                <w:bCs/>
                <w:noProof/>
              </w:rPr>
              <w:t>)</w:t>
            </w:r>
          </w:p>
        </w:tc>
        <w:tc>
          <w:tcPr>
            <w:tcW w:w="900" w:type="dxa"/>
            <w:shd w:val="clear" w:color="auto" w:fill="auto"/>
          </w:tcPr>
          <w:p w14:paraId="366CCD9B"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39,0 </w:t>
            </w:r>
          </w:p>
        </w:tc>
        <w:tc>
          <w:tcPr>
            <w:tcW w:w="900" w:type="dxa"/>
            <w:shd w:val="clear" w:color="auto" w:fill="auto"/>
          </w:tcPr>
          <w:p w14:paraId="071895D8"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41,0</w:t>
            </w:r>
          </w:p>
        </w:tc>
        <w:tc>
          <w:tcPr>
            <w:tcW w:w="900" w:type="dxa"/>
          </w:tcPr>
          <w:p w14:paraId="55392D79"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41,0</w:t>
            </w:r>
          </w:p>
        </w:tc>
        <w:tc>
          <w:tcPr>
            <w:tcW w:w="900" w:type="dxa"/>
          </w:tcPr>
          <w:p w14:paraId="0D926908"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42,0</w:t>
            </w:r>
          </w:p>
        </w:tc>
        <w:tc>
          <w:tcPr>
            <w:tcW w:w="990" w:type="dxa"/>
          </w:tcPr>
          <w:p w14:paraId="44D404DD"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45,0</w:t>
            </w:r>
          </w:p>
        </w:tc>
        <w:tc>
          <w:tcPr>
            <w:tcW w:w="990" w:type="dxa"/>
          </w:tcPr>
          <w:p w14:paraId="14CB6B87"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w:t>
            </w:r>
          </w:p>
        </w:tc>
      </w:tr>
      <w:tr w:rsidR="00DB752F" w:rsidRPr="00AB15C7" w14:paraId="5C26BC7F" w14:textId="77777777" w:rsidTr="006F4EFD">
        <w:tc>
          <w:tcPr>
            <w:tcW w:w="4173" w:type="dxa"/>
            <w:shd w:val="clear" w:color="auto" w:fill="F2F2F2" w:themeFill="background1" w:themeFillShade="F2"/>
          </w:tcPr>
          <w:p w14:paraId="320CC2E0" w14:textId="77777777" w:rsidR="00C16852" w:rsidRPr="006F4EFD" w:rsidRDefault="00352E3D" w:rsidP="006F4EFD">
            <w:pPr>
              <w:spacing w:after="0"/>
              <w:rPr>
                <w:rFonts w:ascii="Cambria" w:hAnsi="Cambria" w:cs="Arial"/>
                <w:b/>
                <w:bCs/>
                <w:noProof/>
              </w:rPr>
            </w:pPr>
            <w:r w:rsidRPr="006F4EFD">
              <w:rPr>
                <w:rFonts w:ascii="Cambria" w:hAnsi="Cambria" w:cs="Arial"/>
                <w:b/>
                <w:bCs/>
                <w:noProof/>
              </w:rPr>
              <w:t>Inflacija, metod potrošačkih cijena -</w:t>
            </w:r>
            <w:r w:rsidR="00C16852" w:rsidRPr="006F4EFD">
              <w:rPr>
                <w:rFonts w:ascii="Cambria" w:hAnsi="Cambria" w:cs="Arial"/>
                <w:b/>
                <w:bCs/>
                <w:noProof/>
              </w:rPr>
              <w:t>CPI godišnji rast na kraju perioda u %</w:t>
            </w:r>
          </w:p>
        </w:tc>
        <w:tc>
          <w:tcPr>
            <w:tcW w:w="900" w:type="dxa"/>
            <w:shd w:val="clear" w:color="auto" w:fill="auto"/>
          </w:tcPr>
          <w:p w14:paraId="2E9CD69B"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5,1 </w:t>
            </w:r>
          </w:p>
        </w:tc>
        <w:tc>
          <w:tcPr>
            <w:tcW w:w="900" w:type="dxa"/>
            <w:shd w:val="clear" w:color="auto" w:fill="auto"/>
          </w:tcPr>
          <w:p w14:paraId="51E1B9DF"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0,3</w:t>
            </w:r>
          </w:p>
        </w:tc>
        <w:tc>
          <w:tcPr>
            <w:tcW w:w="900" w:type="dxa"/>
          </w:tcPr>
          <w:p w14:paraId="5BA47760"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-0,3</w:t>
            </w:r>
          </w:p>
        </w:tc>
        <w:tc>
          <w:tcPr>
            <w:tcW w:w="900" w:type="dxa"/>
          </w:tcPr>
          <w:p w14:paraId="4F849622"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1,4</w:t>
            </w:r>
          </w:p>
        </w:tc>
        <w:tc>
          <w:tcPr>
            <w:tcW w:w="990" w:type="dxa"/>
          </w:tcPr>
          <w:p w14:paraId="2C8084A6"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0,9</w:t>
            </w:r>
          </w:p>
        </w:tc>
        <w:tc>
          <w:tcPr>
            <w:tcW w:w="990" w:type="dxa"/>
          </w:tcPr>
          <w:p w14:paraId="596D962A"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1,9</w:t>
            </w:r>
          </w:p>
        </w:tc>
      </w:tr>
      <w:tr w:rsidR="00DB752F" w:rsidRPr="00AB15C7" w14:paraId="67F02680" w14:textId="77777777" w:rsidTr="006F4EFD">
        <w:tc>
          <w:tcPr>
            <w:tcW w:w="4173" w:type="dxa"/>
            <w:shd w:val="clear" w:color="auto" w:fill="F2F2F2" w:themeFill="background1" w:themeFillShade="F2"/>
          </w:tcPr>
          <w:p w14:paraId="551A3BE9"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Proizvodjačke cijene godišnji rast na kraju perioda %</w:t>
            </w:r>
          </w:p>
        </w:tc>
        <w:tc>
          <w:tcPr>
            <w:tcW w:w="900" w:type="dxa"/>
            <w:shd w:val="clear" w:color="auto" w:fill="auto"/>
          </w:tcPr>
          <w:p w14:paraId="6A79496F" w14:textId="77777777" w:rsidR="00C16852" w:rsidRPr="00AB15C7" w:rsidRDefault="00C16852" w:rsidP="005921EF">
            <w:pPr>
              <w:spacing w:before="20" w:after="20"/>
              <w:rPr>
                <w:rFonts w:ascii="Cambria" w:hAnsi="Cambria"/>
                <w:noProof/>
              </w:rPr>
            </w:pPr>
            <w:r w:rsidRPr="00AB15C7">
              <w:rPr>
                <w:rFonts w:ascii="Cambria" w:hAnsi="Cambria"/>
                <w:noProof/>
              </w:rPr>
              <w:t xml:space="preserve">5,6 </w:t>
            </w:r>
          </w:p>
        </w:tc>
        <w:tc>
          <w:tcPr>
            <w:tcW w:w="900" w:type="dxa"/>
            <w:shd w:val="clear" w:color="auto" w:fill="auto"/>
          </w:tcPr>
          <w:p w14:paraId="4A0327D3"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rPr>
              <w:t>-0,6</w:t>
            </w:r>
          </w:p>
        </w:tc>
        <w:tc>
          <w:tcPr>
            <w:tcW w:w="900" w:type="dxa"/>
          </w:tcPr>
          <w:p w14:paraId="761BB732"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rPr>
              <w:t>0,9</w:t>
            </w:r>
          </w:p>
        </w:tc>
        <w:tc>
          <w:tcPr>
            <w:tcW w:w="900" w:type="dxa"/>
          </w:tcPr>
          <w:p w14:paraId="204FE86F"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rPr>
              <w:t>0,0</w:t>
            </w:r>
          </w:p>
        </w:tc>
        <w:tc>
          <w:tcPr>
            <w:tcW w:w="990" w:type="dxa"/>
          </w:tcPr>
          <w:p w14:paraId="3494BA20"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rPr>
              <w:t>-0,3</w:t>
            </w:r>
          </w:p>
        </w:tc>
        <w:tc>
          <w:tcPr>
            <w:tcW w:w="990" w:type="dxa"/>
          </w:tcPr>
          <w:p w14:paraId="48B52242"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rPr>
              <w:t>0,1</w:t>
            </w:r>
          </w:p>
        </w:tc>
      </w:tr>
      <w:tr w:rsidR="00DB752F" w:rsidRPr="00AB15C7" w14:paraId="176E24E5" w14:textId="77777777" w:rsidTr="006F4EFD">
        <w:tc>
          <w:tcPr>
            <w:tcW w:w="4173" w:type="dxa"/>
            <w:shd w:val="clear" w:color="auto" w:fill="F2F2F2" w:themeFill="background1" w:themeFillShade="F2"/>
          </w:tcPr>
          <w:p w14:paraId="0301E541" w14:textId="77777777" w:rsidR="00C16852" w:rsidRPr="006F4EFD" w:rsidRDefault="00352E3D" w:rsidP="006F4EFD">
            <w:pPr>
              <w:spacing w:after="0"/>
              <w:rPr>
                <w:rFonts w:ascii="Cambria" w:hAnsi="Cambria" w:cs="Arial"/>
                <w:b/>
                <w:bCs/>
                <w:noProof/>
              </w:rPr>
            </w:pPr>
            <w:r w:rsidRPr="006F4EFD">
              <w:rPr>
                <w:rFonts w:ascii="Cambria" w:hAnsi="Cambria" w:cs="Arial"/>
                <w:b/>
                <w:bCs/>
                <w:noProof/>
              </w:rPr>
              <w:t>Industrijska proizvodnja rast u %</w:t>
            </w:r>
          </w:p>
        </w:tc>
        <w:tc>
          <w:tcPr>
            <w:tcW w:w="900" w:type="dxa"/>
            <w:shd w:val="clear" w:color="auto" w:fill="auto"/>
          </w:tcPr>
          <w:p w14:paraId="7AC49F8A"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-7,1</w:t>
            </w:r>
          </w:p>
        </w:tc>
        <w:tc>
          <w:tcPr>
            <w:tcW w:w="900" w:type="dxa"/>
            <w:shd w:val="clear" w:color="auto" w:fill="auto"/>
          </w:tcPr>
          <w:p w14:paraId="6429626D"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10,6</w:t>
            </w:r>
          </w:p>
        </w:tc>
        <w:tc>
          <w:tcPr>
            <w:tcW w:w="900" w:type="dxa"/>
          </w:tcPr>
          <w:p w14:paraId="22B1D2BB" w14:textId="77777777" w:rsidR="00C16852"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-11,4  </w:t>
            </w:r>
          </w:p>
        </w:tc>
        <w:tc>
          <w:tcPr>
            <w:tcW w:w="900" w:type="dxa"/>
          </w:tcPr>
          <w:p w14:paraId="1AEE0F53" w14:textId="77777777" w:rsidR="00C16852"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7,9</w:t>
            </w:r>
          </w:p>
        </w:tc>
        <w:tc>
          <w:tcPr>
            <w:tcW w:w="990" w:type="dxa"/>
          </w:tcPr>
          <w:p w14:paraId="39CEB041" w14:textId="77777777" w:rsidR="00C16852"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-4,4</w:t>
            </w:r>
          </w:p>
        </w:tc>
        <w:tc>
          <w:tcPr>
            <w:tcW w:w="990" w:type="dxa"/>
          </w:tcPr>
          <w:p w14:paraId="494C83EE" w14:textId="77777777" w:rsidR="00C16852"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-4,2</w:t>
            </w:r>
          </w:p>
        </w:tc>
      </w:tr>
      <w:tr w:rsidR="00DB752F" w:rsidRPr="00AB15C7" w14:paraId="58F110E1" w14:textId="77777777" w:rsidTr="006F4EFD">
        <w:tc>
          <w:tcPr>
            <w:tcW w:w="4173" w:type="dxa"/>
            <w:shd w:val="clear" w:color="auto" w:fill="F2F2F2" w:themeFill="background1" w:themeFillShade="F2"/>
          </w:tcPr>
          <w:p w14:paraId="778A1A16" w14:textId="77777777" w:rsidR="00352E3D" w:rsidRPr="006F4EFD" w:rsidRDefault="00352E3D" w:rsidP="006F4EFD">
            <w:pPr>
              <w:spacing w:after="0"/>
              <w:rPr>
                <w:rFonts w:ascii="Cambria" w:hAnsi="Cambria" w:cs="Arial"/>
                <w:b/>
                <w:bCs/>
                <w:noProof/>
              </w:rPr>
            </w:pPr>
            <w:r w:rsidRPr="006F4EFD">
              <w:rPr>
                <w:rFonts w:ascii="Cambria" w:hAnsi="Cambria" w:cs="Arial"/>
                <w:b/>
                <w:bCs/>
                <w:noProof/>
              </w:rPr>
              <w:t>Vađenje rude i kamena</w:t>
            </w:r>
            <w:r w:rsidR="007F38DA" w:rsidRPr="006F4EFD">
              <w:rPr>
                <w:rFonts w:ascii="Cambria" w:hAnsi="Cambria" w:cs="Arial"/>
                <w:b/>
                <w:bCs/>
                <w:noProof/>
              </w:rPr>
              <w:t>,</w:t>
            </w:r>
            <w:r w:rsidRPr="006F4EFD">
              <w:rPr>
                <w:rFonts w:ascii="Cambria" w:hAnsi="Cambria" w:cs="Arial"/>
                <w:b/>
                <w:bCs/>
                <w:noProof/>
              </w:rPr>
              <w:t xml:space="preserve"> rast u %</w:t>
            </w:r>
          </w:p>
        </w:tc>
        <w:tc>
          <w:tcPr>
            <w:tcW w:w="900" w:type="dxa"/>
            <w:shd w:val="clear" w:color="auto" w:fill="auto"/>
          </w:tcPr>
          <w:p w14:paraId="0817C757"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-21,0 </w:t>
            </w:r>
          </w:p>
        </w:tc>
        <w:tc>
          <w:tcPr>
            <w:tcW w:w="900" w:type="dxa"/>
            <w:shd w:val="clear" w:color="auto" w:fill="auto"/>
          </w:tcPr>
          <w:p w14:paraId="13470623"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-1,4</w:t>
            </w:r>
          </w:p>
        </w:tc>
        <w:tc>
          <w:tcPr>
            <w:tcW w:w="900" w:type="dxa"/>
          </w:tcPr>
          <w:p w14:paraId="26C322AA"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14,4</w:t>
            </w:r>
          </w:p>
        </w:tc>
        <w:tc>
          <w:tcPr>
            <w:tcW w:w="900" w:type="dxa"/>
          </w:tcPr>
          <w:p w14:paraId="2715A535"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-8,1</w:t>
            </w:r>
          </w:p>
        </w:tc>
        <w:tc>
          <w:tcPr>
            <w:tcW w:w="990" w:type="dxa"/>
          </w:tcPr>
          <w:p w14:paraId="046FA6BE"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-18,1</w:t>
            </w:r>
          </w:p>
        </w:tc>
        <w:tc>
          <w:tcPr>
            <w:tcW w:w="990" w:type="dxa"/>
          </w:tcPr>
          <w:p w14:paraId="4A5C7B40"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113,9</w:t>
            </w:r>
          </w:p>
        </w:tc>
      </w:tr>
      <w:tr w:rsidR="00DB752F" w:rsidRPr="00AB15C7" w14:paraId="701821ED" w14:textId="77777777" w:rsidTr="006F4EFD">
        <w:tc>
          <w:tcPr>
            <w:tcW w:w="4173" w:type="dxa"/>
            <w:shd w:val="clear" w:color="auto" w:fill="F2F2F2" w:themeFill="background1" w:themeFillShade="F2"/>
          </w:tcPr>
          <w:p w14:paraId="33215E48" w14:textId="77777777" w:rsidR="007F38DA" w:rsidRPr="006F4EFD" w:rsidRDefault="007F38DA" w:rsidP="006F4EFD">
            <w:pPr>
              <w:spacing w:after="0"/>
              <w:rPr>
                <w:rFonts w:ascii="Cambria" w:hAnsi="Cambria" w:cs="Arial"/>
                <w:b/>
                <w:bCs/>
                <w:noProof/>
              </w:rPr>
            </w:pPr>
            <w:r w:rsidRPr="006F4EFD">
              <w:rPr>
                <w:rFonts w:ascii="Cambria" w:hAnsi="Cambria" w:cs="Arial"/>
                <w:b/>
                <w:bCs/>
                <w:noProof/>
              </w:rPr>
              <w:t>Preradjivačka industrija, rast u %</w:t>
            </w:r>
          </w:p>
        </w:tc>
        <w:tc>
          <w:tcPr>
            <w:tcW w:w="900" w:type="dxa"/>
            <w:shd w:val="clear" w:color="auto" w:fill="auto"/>
          </w:tcPr>
          <w:p w14:paraId="222AC221" w14:textId="77777777" w:rsidR="007F38DA" w:rsidRPr="00AB15C7" w:rsidRDefault="007F38DA"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-10,1</w:t>
            </w:r>
          </w:p>
        </w:tc>
        <w:tc>
          <w:tcPr>
            <w:tcW w:w="900" w:type="dxa"/>
            <w:shd w:val="clear" w:color="auto" w:fill="auto"/>
          </w:tcPr>
          <w:p w14:paraId="5D663AE3" w14:textId="77777777" w:rsidR="007F38DA" w:rsidRPr="00AB15C7" w:rsidRDefault="007F38DA"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-5,0</w:t>
            </w:r>
          </w:p>
        </w:tc>
        <w:tc>
          <w:tcPr>
            <w:tcW w:w="900" w:type="dxa"/>
          </w:tcPr>
          <w:p w14:paraId="35EDFA92" w14:textId="77777777" w:rsidR="007F38DA" w:rsidRPr="00AB15C7" w:rsidRDefault="007F38DA"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-6,7 </w:t>
            </w:r>
          </w:p>
        </w:tc>
        <w:tc>
          <w:tcPr>
            <w:tcW w:w="900" w:type="dxa"/>
          </w:tcPr>
          <w:p w14:paraId="05B2804B" w14:textId="77777777" w:rsidR="007F38DA" w:rsidRPr="00AB15C7" w:rsidRDefault="007F38DA"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19,9</w:t>
            </w:r>
          </w:p>
        </w:tc>
        <w:tc>
          <w:tcPr>
            <w:tcW w:w="990" w:type="dxa"/>
          </w:tcPr>
          <w:p w14:paraId="2BF07B23" w14:textId="77777777" w:rsidR="007F38DA" w:rsidRPr="00AB15C7" w:rsidRDefault="007F38DA"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-7,8</w:t>
            </w:r>
          </w:p>
        </w:tc>
        <w:tc>
          <w:tcPr>
            <w:tcW w:w="990" w:type="dxa"/>
          </w:tcPr>
          <w:p w14:paraId="43B0C8E7" w14:textId="77777777" w:rsidR="007F38DA" w:rsidRPr="00AB15C7" w:rsidRDefault="007F38DA"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-3,0</w:t>
            </w:r>
          </w:p>
        </w:tc>
      </w:tr>
      <w:tr w:rsidR="00DB752F" w:rsidRPr="00AB15C7" w14:paraId="0E0F35BA" w14:textId="77777777" w:rsidTr="006F4EFD">
        <w:tc>
          <w:tcPr>
            <w:tcW w:w="4173" w:type="dxa"/>
            <w:shd w:val="clear" w:color="auto" w:fill="F2F2F2" w:themeFill="background1" w:themeFillShade="F2"/>
          </w:tcPr>
          <w:p w14:paraId="68DA8365" w14:textId="77777777" w:rsidR="00352E3D" w:rsidRPr="006F4EFD" w:rsidRDefault="00352E3D" w:rsidP="006F4EFD">
            <w:pPr>
              <w:spacing w:after="0"/>
              <w:rPr>
                <w:rFonts w:ascii="Cambria" w:hAnsi="Cambria" w:cs="Arial"/>
                <w:b/>
                <w:bCs/>
                <w:noProof/>
              </w:rPr>
            </w:pPr>
            <w:r w:rsidRPr="006F4EFD">
              <w:rPr>
                <w:rFonts w:ascii="Cambria" w:hAnsi="Cambria" w:cs="Arial"/>
                <w:b/>
                <w:bCs/>
                <w:noProof/>
              </w:rPr>
              <w:t>Proizvodnja električne energije</w:t>
            </w:r>
            <w:r w:rsidR="007F38DA" w:rsidRPr="006F4EFD">
              <w:rPr>
                <w:rFonts w:ascii="Cambria" w:hAnsi="Cambria" w:cs="Arial"/>
                <w:b/>
                <w:bCs/>
                <w:noProof/>
              </w:rPr>
              <w:t>,</w:t>
            </w:r>
            <w:r w:rsidRPr="006F4EFD">
              <w:rPr>
                <w:rFonts w:ascii="Cambria" w:hAnsi="Cambria" w:cs="Arial"/>
                <w:b/>
                <w:bCs/>
                <w:noProof/>
              </w:rPr>
              <w:t xml:space="preserve"> rast u %</w:t>
            </w:r>
          </w:p>
        </w:tc>
        <w:tc>
          <w:tcPr>
            <w:tcW w:w="900" w:type="dxa"/>
            <w:shd w:val="clear" w:color="auto" w:fill="auto"/>
          </w:tcPr>
          <w:p w14:paraId="21EFB51A"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1,4 </w:t>
            </w:r>
          </w:p>
        </w:tc>
        <w:tc>
          <w:tcPr>
            <w:tcW w:w="900" w:type="dxa"/>
            <w:shd w:val="clear" w:color="auto" w:fill="auto"/>
          </w:tcPr>
          <w:p w14:paraId="04036025"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38,7</w:t>
            </w:r>
          </w:p>
        </w:tc>
        <w:tc>
          <w:tcPr>
            <w:tcW w:w="900" w:type="dxa"/>
          </w:tcPr>
          <w:p w14:paraId="108C19AD"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-19,6</w:t>
            </w:r>
          </w:p>
        </w:tc>
        <w:tc>
          <w:tcPr>
            <w:tcW w:w="900" w:type="dxa"/>
          </w:tcPr>
          <w:p w14:paraId="69C1B818"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-5,9</w:t>
            </w:r>
          </w:p>
        </w:tc>
        <w:tc>
          <w:tcPr>
            <w:tcW w:w="990" w:type="dxa"/>
          </w:tcPr>
          <w:p w14:paraId="47C05E0A"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3,5</w:t>
            </w:r>
          </w:p>
        </w:tc>
        <w:tc>
          <w:tcPr>
            <w:tcW w:w="990" w:type="dxa"/>
          </w:tcPr>
          <w:p w14:paraId="39E47FFF"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-24,6</w:t>
            </w:r>
          </w:p>
        </w:tc>
      </w:tr>
      <w:tr w:rsidR="00DB752F" w:rsidRPr="00AB15C7" w14:paraId="67BC44FD" w14:textId="77777777" w:rsidTr="006F4EFD">
        <w:tc>
          <w:tcPr>
            <w:tcW w:w="4173" w:type="dxa"/>
            <w:shd w:val="clear" w:color="auto" w:fill="F2F2F2" w:themeFill="background1" w:themeFillShade="F2"/>
          </w:tcPr>
          <w:p w14:paraId="788CDD1C" w14:textId="77777777" w:rsidR="00352E3D" w:rsidRPr="006F4EFD" w:rsidRDefault="00352E3D" w:rsidP="006F4EFD">
            <w:pPr>
              <w:spacing w:after="0"/>
              <w:rPr>
                <w:rFonts w:ascii="Cambria" w:hAnsi="Cambria" w:cs="Arial"/>
                <w:b/>
                <w:bCs/>
                <w:noProof/>
              </w:rPr>
            </w:pPr>
            <w:r w:rsidRPr="006F4EFD">
              <w:rPr>
                <w:rFonts w:ascii="Cambria" w:hAnsi="Cambria" w:cs="Arial"/>
                <w:b/>
                <w:bCs/>
                <w:noProof/>
              </w:rPr>
              <w:t>Noćenja u turizmu rast u %</w:t>
            </w:r>
          </w:p>
        </w:tc>
        <w:tc>
          <w:tcPr>
            <w:tcW w:w="900" w:type="dxa"/>
            <w:shd w:val="clear" w:color="auto" w:fill="auto"/>
          </w:tcPr>
          <w:p w14:paraId="4F0B7262"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4,3 </w:t>
            </w:r>
          </w:p>
        </w:tc>
        <w:tc>
          <w:tcPr>
            <w:tcW w:w="900" w:type="dxa"/>
            <w:shd w:val="clear" w:color="auto" w:fill="auto"/>
          </w:tcPr>
          <w:p w14:paraId="052FF325"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2,8</w:t>
            </w:r>
          </w:p>
        </w:tc>
        <w:tc>
          <w:tcPr>
            <w:tcW w:w="900" w:type="dxa"/>
          </w:tcPr>
          <w:p w14:paraId="1B8F883E"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1,5</w:t>
            </w:r>
          </w:p>
        </w:tc>
        <w:tc>
          <w:tcPr>
            <w:tcW w:w="900" w:type="dxa"/>
          </w:tcPr>
          <w:p w14:paraId="6C6A7608"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15,7</w:t>
            </w:r>
          </w:p>
        </w:tc>
        <w:tc>
          <w:tcPr>
            <w:tcW w:w="990" w:type="dxa"/>
          </w:tcPr>
          <w:p w14:paraId="4B3F03FF"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1,8</w:t>
            </w:r>
          </w:p>
        </w:tc>
        <w:tc>
          <w:tcPr>
            <w:tcW w:w="990" w:type="dxa"/>
          </w:tcPr>
          <w:p w14:paraId="4B89277A" w14:textId="77777777" w:rsidR="00352E3D" w:rsidRPr="00AB15C7" w:rsidRDefault="00352E3D"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6,3</w:t>
            </w:r>
          </w:p>
        </w:tc>
      </w:tr>
      <w:tr w:rsidR="00DB752F" w:rsidRPr="00AB15C7" w14:paraId="77450B3E" w14:textId="77777777" w:rsidTr="006F4EFD">
        <w:tc>
          <w:tcPr>
            <w:tcW w:w="4173" w:type="dxa"/>
            <w:shd w:val="clear" w:color="auto" w:fill="F2F2F2" w:themeFill="background1" w:themeFillShade="F2"/>
          </w:tcPr>
          <w:p w14:paraId="3CAF9DAA" w14:textId="77777777" w:rsidR="00C16852" w:rsidRPr="006F4EFD" w:rsidRDefault="00352E3D" w:rsidP="006F4EFD">
            <w:pPr>
              <w:spacing w:after="0"/>
              <w:rPr>
                <w:rFonts w:ascii="Cambria" w:hAnsi="Cambria" w:cs="Arial"/>
                <w:b/>
                <w:bCs/>
                <w:noProof/>
              </w:rPr>
            </w:pPr>
            <w:r w:rsidRPr="006F4EFD">
              <w:rPr>
                <w:rFonts w:ascii="Cambria" w:hAnsi="Cambria" w:cs="Arial"/>
                <w:b/>
                <w:bCs/>
                <w:noProof/>
              </w:rPr>
              <w:t>Promet u maloprodaji realni rast %</w:t>
            </w:r>
          </w:p>
        </w:tc>
        <w:tc>
          <w:tcPr>
            <w:tcW w:w="900" w:type="dxa"/>
            <w:shd w:val="clear" w:color="auto" w:fill="auto"/>
          </w:tcPr>
          <w:p w14:paraId="384050FC" w14:textId="77777777" w:rsidR="00C16852"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4,3 </w:t>
            </w:r>
          </w:p>
        </w:tc>
        <w:tc>
          <w:tcPr>
            <w:tcW w:w="900" w:type="dxa"/>
            <w:shd w:val="clear" w:color="auto" w:fill="auto"/>
          </w:tcPr>
          <w:p w14:paraId="166F9F4D" w14:textId="77777777" w:rsidR="00C16852"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9,5</w:t>
            </w:r>
          </w:p>
        </w:tc>
        <w:tc>
          <w:tcPr>
            <w:tcW w:w="900" w:type="dxa"/>
          </w:tcPr>
          <w:p w14:paraId="533F18F3" w14:textId="77777777" w:rsidR="00C16852"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3,8</w:t>
            </w:r>
          </w:p>
        </w:tc>
        <w:tc>
          <w:tcPr>
            <w:tcW w:w="900" w:type="dxa"/>
          </w:tcPr>
          <w:p w14:paraId="36AD0329" w14:textId="77777777" w:rsidR="00C16852"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2,2</w:t>
            </w:r>
          </w:p>
        </w:tc>
        <w:tc>
          <w:tcPr>
            <w:tcW w:w="990" w:type="dxa"/>
          </w:tcPr>
          <w:p w14:paraId="265F106A" w14:textId="77777777" w:rsidR="00C16852"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2,4</w:t>
            </w:r>
          </w:p>
        </w:tc>
        <w:tc>
          <w:tcPr>
            <w:tcW w:w="990" w:type="dxa"/>
          </w:tcPr>
          <w:p w14:paraId="28058827" w14:textId="77777777" w:rsidR="00C16852"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3,3</w:t>
            </w:r>
          </w:p>
        </w:tc>
      </w:tr>
      <w:tr w:rsidR="00DB752F" w:rsidRPr="00AB15C7" w14:paraId="42BBB9AA" w14:textId="77777777" w:rsidTr="006F4EFD">
        <w:tc>
          <w:tcPr>
            <w:tcW w:w="4173" w:type="dxa"/>
            <w:shd w:val="clear" w:color="auto" w:fill="F2F2F2" w:themeFill="background1" w:themeFillShade="F2"/>
          </w:tcPr>
          <w:p w14:paraId="2ECD49E1" w14:textId="77777777" w:rsidR="009F562B" w:rsidRPr="006F4EFD" w:rsidRDefault="009F562B" w:rsidP="006F4EFD">
            <w:pPr>
              <w:spacing w:after="0"/>
              <w:rPr>
                <w:rFonts w:ascii="Cambria" w:hAnsi="Cambria" w:cs="Arial"/>
                <w:b/>
                <w:bCs/>
                <w:noProof/>
              </w:rPr>
            </w:pPr>
            <w:r w:rsidRPr="006F4EFD">
              <w:rPr>
                <w:rFonts w:ascii="Cambria" w:hAnsi="Cambria" w:cs="Arial"/>
                <w:b/>
                <w:bCs/>
                <w:noProof/>
              </w:rPr>
              <w:t>Transport (telekomunikacije - mobilna telefonija) realni rast u %</w:t>
            </w:r>
          </w:p>
        </w:tc>
        <w:tc>
          <w:tcPr>
            <w:tcW w:w="900" w:type="dxa"/>
            <w:shd w:val="clear" w:color="auto" w:fill="auto"/>
          </w:tcPr>
          <w:p w14:paraId="1497F610" w14:textId="77777777" w:rsidR="009F562B" w:rsidRPr="00AB15C7" w:rsidRDefault="009F562B" w:rsidP="005921EF">
            <w:pPr>
              <w:spacing w:before="20" w:after="20"/>
              <w:rPr>
                <w:rFonts w:ascii="Cambria" w:hAnsi="Cambria"/>
                <w:noProof/>
              </w:rPr>
            </w:pPr>
            <w:r w:rsidRPr="00AB15C7">
              <w:rPr>
                <w:rFonts w:ascii="Cambria" w:hAnsi="Cambria"/>
                <w:noProof/>
              </w:rPr>
              <w:t xml:space="preserve">9,3 </w:t>
            </w:r>
          </w:p>
        </w:tc>
        <w:tc>
          <w:tcPr>
            <w:tcW w:w="900" w:type="dxa"/>
            <w:shd w:val="clear" w:color="auto" w:fill="auto"/>
          </w:tcPr>
          <w:p w14:paraId="24C77591" w14:textId="77777777" w:rsidR="009F562B" w:rsidRPr="00AB15C7" w:rsidRDefault="009F562B" w:rsidP="005921EF">
            <w:pPr>
              <w:spacing w:before="20" w:after="20"/>
              <w:rPr>
                <w:rFonts w:ascii="Cambria" w:hAnsi="Cambria"/>
                <w:noProof/>
              </w:rPr>
            </w:pPr>
            <w:r w:rsidRPr="00AB15C7">
              <w:rPr>
                <w:rFonts w:ascii="Cambria" w:hAnsi="Cambria"/>
                <w:noProof/>
              </w:rPr>
              <w:t>0,9</w:t>
            </w:r>
          </w:p>
        </w:tc>
        <w:tc>
          <w:tcPr>
            <w:tcW w:w="900" w:type="dxa"/>
          </w:tcPr>
          <w:p w14:paraId="12F60688" w14:textId="77777777" w:rsidR="009F562B"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rPr>
              <w:t>10,7</w:t>
            </w:r>
          </w:p>
        </w:tc>
        <w:tc>
          <w:tcPr>
            <w:tcW w:w="900" w:type="dxa"/>
          </w:tcPr>
          <w:p w14:paraId="0365547F" w14:textId="77777777" w:rsidR="009F562B"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rPr>
              <w:t>1,0</w:t>
            </w:r>
          </w:p>
        </w:tc>
        <w:tc>
          <w:tcPr>
            <w:tcW w:w="990" w:type="dxa"/>
          </w:tcPr>
          <w:p w14:paraId="61672B61" w14:textId="77777777" w:rsidR="009F562B"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rPr>
              <w:t>1,3</w:t>
            </w:r>
          </w:p>
        </w:tc>
        <w:tc>
          <w:tcPr>
            <w:tcW w:w="990" w:type="dxa"/>
          </w:tcPr>
          <w:p w14:paraId="4DF81EA0" w14:textId="77777777" w:rsidR="009F562B"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rPr>
              <w:t>0,5</w:t>
            </w:r>
          </w:p>
        </w:tc>
      </w:tr>
      <w:tr w:rsidR="00DB752F" w:rsidRPr="00AB15C7" w14:paraId="55FE3D39" w14:textId="77777777" w:rsidTr="006F4EFD">
        <w:tc>
          <w:tcPr>
            <w:tcW w:w="4173" w:type="dxa"/>
            <w:shd w:val="clear" w:color="auto" w:fill="F2F2F2" w:themeFill="background1" w:themeFillShade="F2"/>
          </w:tcPr>
          <w:p w14:paraId="36CE8AEC" w14:textId="77777777" w:rsidR="009F562B" w:rsidRPr="006F4EFD" w:rsidRDefault="009F562B" w:rsidP="006F4EFD">
            <w:pPr>
              <w:spacing w:after="0"/>
              <w:rPr>
                <w:rFonts w:ascii="Cambria" w:hAnsi="Cambria" w:cs="Arial"/>
                <w:b/>
                <w:bCs/>
                <w:noProof/>
              </w:rPr>
            </w:pPr>
            <w:r w:rsidRPr="006F4EFD">
              <w:rPr>
                <w:rFonts w:ascii="Cambria" w:hAnsi="Cambria" w:cs="Arial"/>
                <w:b/>
                <w:bCs/>
                <w:noProof/>
              </w:rPr>
              <w:t>Vrijednost radova u gradjevinarstvu realni rast u %</w:t>
            </w:r>
          </w:p>
        </w:tc>
        <w:tc>
          <w:tcPr>
            <w:tcW w:w="900" w:type="dxa"/>
            <w:shd w:val="clear" w:color="auto" w:fill="auto"/>
          </w:tcPr>
          <w:p w14:paraId="2CB4433F" w14:textId="77777777" w:rsidR="009F562B"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-13,2 </w:t>
            </w:r>
          </w:p>
        </w:tc>
        <w:tc>
          <w:tcPr>
            <w:tcW w:w="900" w:type="dxa"/>
            <w:shd w:val="clear" w:color="auto" w:fill="auto"/>
          </w:tcPr>
          <w:p w14:paraId="1A84949E" w14:textId="77777777" w:rsidR="009F562B"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9,7</w:t>
            </w:r>
          </w:p>
        </w:tc>
        <w:tc>
          <w:tcPr>
            <w:tcW w:w="900" w:type="dxa"/>
          </w:tcPr>
          <w:p w14:paraId="6B4624DF" w14:textId="77777777" w:rsidR="009F562B"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2,0</w:t>
            </w:r>
          </w:p>
        </w:tc>
        <w:tc>
          <w:tcPr>
            <w:tcW w:w="900" w:type="dxa"/>
          </w:tcPr>
          <w:p w14:paraId="7D01770B" w14:textId="77777777" w:rsidR="009F562B"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5,8</w:t>
            </w:r>
          </w:p>
        </w:tc>
        <w:tc>
          <w:tcPr>
            <w:tcW w:w="990" w:type="dxa"/>
          </w:tcPr>
          <w:p w14:paraId="3C40E0E6" w14:textId="77777777" w:rsidR="009F562B"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31,5</w:t>
            </w:r>
          </w:p>
        </w:tc>
        <w:tc>
          <w:tcPr>
            <w:tcW w:w="990" w:type="dxa"/>
          </w:tcPr>
          <w:p w14:paraId="2000B3CB" w14:textId="77777777" w:rsidR="009F562B" w:rsidRPr="00AB15C7" w:rsidRDefault="009F562B"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51,5</w:t>
            </w:r>
          </w:p>
        </w:tc>
      </w:tr>
      <w:tr w:rsidR="00413A3C" w:rsidRPr="00347C4B" w14:paraId="5C90A10F" w14:textId="77777777" w:rsidTr="00CF7EF9">
        <w:tc>
          <w:tcPr>
            <w:tcW w:w="9753" w:type="dxa"/>
            <w:gridSpan w:val="7"/>
            <w:shd w:val="clear" w:color="auto" w:fill="auto"/>
          </w:tcPr>
          <w:p w14:paraId="157FA2AE" w14:textId="77777777" w:rsidR="00413A3C" w:rsidRPr="00347C4B" w:rsidRDefault="00413A3C" w:rsidP="00347C4B">
            <w:pPr>
              <w:spacing w:before="20" w:after="20"/>
              <w:jc w:val="center"/>
              <w:rPr>
                <w:rFonts w:ascii="Cambria" w:eastAsia="Calibri" w:hAnsi="Cambria"/>
                <w:b/>
                <w:noProof/>
                <w:color w:val="252525"/>
                <w:shd w:val="clear" w:color="auto" w:fill="FFFFFF"/>
              </w:rPr>
            </w:pPr>
            <w:r w:rsidRPr="00347C4B">
              <w:rPr>
                <w:rFonts w:ascii="Cambria" w:eastAsia="Calibri" w:hAnsi="Cambria"/>
                <w:b/>
                <w:noProof/>
                <w:color w:val="252525"/>
                <w:shd w:val="clear" w:color="auto" w:fill="FFFFFF"/>
              </w:rPr>
              <w:t>Zaposlenost</w:t>
            </w:r>
          </w:p>
        </w:tc>
      </w:tr>
      <w:tr w:rsidR="00DB752F" w:rsidRPr="00AB15C7" w14:paraId="41DB39FE" w14:textId="77777777" w:rsidTr="006F4EFD">
        <w:tc>
          <w:tcPr>
            <w:tcW w:w="4173" w:type="dxa"/>
            <w:shd w:val="clear" w:color="auto" w:fill="F2F2F2" w:themeFill="background1" w:themeFillShade="F2"/>
          </w:tcPr>
          <w:p w14:paraId="337FB0F7"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Broj zaposlenih lica</w:t>
            </w:r>
          </w:p>
        </w:tc>
        <w:tc>
          <w:tcPr>
            <w:tcW w:w="900" w:type="dxa"/>
            <w:shd w:val="clear" w:color="auto" w:fill="auto"/>
          </w:tcPr>
          <w:p w14:paraId="44B4B884" w14:textId="77777777" w:rsidR="00C16852" w:rsidRPr="00AB15C7" w:rsidRDefault="00C16852"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166.531</w:t>
            </w:r>
          </w:p>
        </w:tc>
        <w:tc>
          <w:tcPr>
            <w:tcW w:w="900" w:type="dxa"/>
            <w:shd w:val="clear" w:color="auto" w:fill="auto"/>
          </w:tcPr>
          <w:p w14:paraId="6417700D" w14:textId="77777777" w:rsidR="00C16852" w:rsidRPr="00AB15C7" w:rsidRDefault="00C16852"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171.474</w:t>
            </w:r>
          </w:p>
        </w:tc>
        <w:tc>
          <w:tcPr>
            <w:tcW w:w="900" w:type="dxa"/>
          </w:tcPr>
          <w:p w14:paraId="7232833A" w14:textId="77777777" w:rsidR="00C16852" w:rsidRPr="00AB15C7" w:rsidRDefault="009F562B"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173.595 </w:t>
            </w:r>
          </w:p>
        </w:tc>
        <w:tc>
          <w:tcPr>
            <w:tcW w:w="900" w:type="dxa"/>
          </w:tcPr>
          <w:p w14:paraId="16E1467A" w14:textId="77777777" w:rsidR="00C16852" w:rsidRPr="00AB15C7" w:rsidRDefault="009F562B"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175.617</w:t>
            </w:r>
          </w:p>
        </w:tc>
        <w:tc>
          <w:tcPr>
            <w:tcW w:w="990" w:type="dxa"/>
          </w:tcPr>
          <w:p w14:paraId="5B597A47" w14:textId="77777777" w:rsidR="00C16852" w:rsidRPr="00AB15C7" w:rsidRDefault="009F562B"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177.908</w:t>
            </w:r>
          </w:p>
        </w:tc>
        <w:tc>
          <w:tcPr>
            <w:tcW w:w="990" w:type="dxa"/>
          </w:tcPr>
          <w:p w14:paraId="12B4EC55" w14:textId="77777777" w:rsidR="00C16852" w:rsidRPr="00AB15C7" w:rsidRDefault="009F562B" w:rsidP="005921EF">
            <w:pPr>
              <w:pStyle w:val="NoSpacing11"/>
              <w:spacing w:before="20" w:after="20"/>
              <w:ind w:right="-104"/>
              <w:jc w:val="both"/>
              <w:rPr>
                <w:rFonts w:ascii="Cambria" w:hAnsi="Cambria"/>
                <w:noProof/>
                <w:color w:val="252525"/>
                <w:shd w:val="clear" w:color="auto" w:fill="FFFFFF"/>
              </w:rPr>
            </w:pPr>
            <w:r w:rsidRPr="00AB15C7">
              <w:rPr>
                <w:rFonts w:ascii="Cambria" w:hAnsi="Cambria"/>
                <w:noProof/>
                <w:color w:val="252525"/>
                <w:shd w:val="clear" w:color="auto" w:fill="FFFFFF"/>
              </w:rPr>
              <w:t>182.368</w:t>
            </w:r>
          </w:p>
        </w:tc>
      </w:tr>
      <w:tr w:rsidR="00DB752F" w:rsidRPr="00AB15C7" w14:paraId="08FCD0DD" w14:textId="77777777" w:rsidTr="006F4EFD">
        <w:tc>
          <w:tcPr>
            <w:tcW w:w="4173" w:type="dxa"/>
            <w:shd w:val="clear" w:color="auto" w:fill="F2F2F2" w:themeFill="background1" w:themeFillShade="F2"/>
          </w:tcPr>
          <w:p w14:paraId="124C9932" w14:textId="77777777" w:rsidR="0010115C" w:rsidRPr="006F4EFD" w:rsidRDefault="0010115C" w:rsidP="006F4EFD">
            <w:pPr>
              <w:spacing w:after="0"/>
              <w:rPr>
                <w:rFonts w:ascii="Cambria" w:hAnsi="Cambria" w:cs="Arial"/>
                <w:b/>
                <w:bCs/>
                <w:noProof/>
              </w:rPr>
            </w:pPr>
            <w:r w:rsidRPr="006F4EFD">
              <w:rPr>
                <w:rFonts w:ascii="Cambria" w:hAnsi="Cambria" w:cs="Arial"/>
                <w:b/>
                <w:bCs/>
                <w:noProof/>
              </w:rPr>
              <w:t>Broj nezaposlenih kraj perioda</w:t>
            </w:r>
          </w:p>
        </w:tc>
        <w:tc>
          <w:tcPr>
            <w:tcW w:w="900" w:type="dxa"/>
            <w:shd w:val="clear" w:color="auto" w:fill="auto"/>
          </w:tcPr>
          <w:p w14:paraId="1F9DD76D" w14:textId="77777777" w:rsidR="0010115C"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31.232 </w:t>
            </w:r>
          </w:p>
        </w:tc>
        <w:tc>
          <w:tcPr>
            <w:tcW w:w="900" w:type="dxa"/>
            <w:shd w:val="clear" w:color="auto" w:fill="auto"/>
          </w:tcPr>
          <w:p w14:paraId="055E3649" w14:textId="77777777" w:rsidR="0010115C"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34.514</w:t>
            </w:r>
          </w:p>
        </w:tc>
        <w:tc>
          <w:tcPr>
            <w:tcW w:w="900" w:type="dxa"/>
          </w:tcPr>
          <w:p w14:paraId="0A553F27" w14:textId="77777777" w:rsidR="0010115C"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34.687</w:t>
            </w:r>
          </w:p>
        </w:tc>
        <w:tc>
          <w:tcPr>
            <w:tcW w:w="900" w:type="dxa"/>
          </w:tcPr>
          <w:p w14:paraId="03646A3A" w14:textId="77777777" w:rsidR="0010115C"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39.991</w:t>
            </w:r>
          </w:p>
        </w:tc>
        <w:tc>
          <w:tcPr>
            <w:tcW w:w="990" w:type="dxa"/>
          </w:tcPr>
          <w:p w14:paraId="3E4BE93E" w14:textId="77777777" w:rsidR="0010115C"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49.487</w:t>
            </w:r>
          </w:p>
        </w:tc>
        <w:tc>
          <w:tcPr>
            <w:tcW w:w="990" w:type="dxa"/>
          </w:tcPr>
          <w:p w14:paraId="013FD5E1" w14:textId="77777777" w:rsidR="0010115C"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50.510</w:t>
            </w:r>
          </w:p>
        </w:tc>
      </w:tr>
      <w:tr w:rsidR="00DB752F" w:rsidRPr="00AB15C7" w14:paraId="61189BA4" w14:textId="77777777" w:rsidTr="006F4EFD">
        <w:tc>
          <w:tcPr>
            <w:tcW w:w="4173" w:type="dxa"/>
            <w:shd w:val="clear" w:color="auto" w:fill="F2F2F2" w:themeFill="background1" w:themeFillShade="F2"/>
          </w:tcPr>
          <w:p w14:paraId="65E563A2"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Stopa nezaposlenosti</w:t>
            </w:r>
          </w:p>
        </w:tc>
        <w:tc>
          <w:tcPr>
            <w:tcW w:w="900" w:type="dxa"/>
            <w:shd w:val="clear" w:color="auto" w:fill="auto"/>
          </w:tcPr>
          <w:p w14:paraId="2C2C2FC8"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13,5 </w:t>
            </w:r>
          </w:p>
        </w:tc>
        <w:tc>
          <w:tcPr>
            <w:tcW w:w="900" w:type="dxa"/>
            <w:shd w:val="clear" w:color="auto" w:fill="auto"/>
          </w:tcPr>
          <w:p w14:paraId="3631D96F"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14,9</w:t>
            </w:r>
          </w:p>
        </w:tc>
        <w:tc>
          <w:tcPr>
            <w:tcW w:w="900" w:type="dxa"/>
          </w:tcPr>
          <w:p w14:paraId="316F3FA2"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14,9</w:t>
            </w:r>
          </w:p>
        </w:tc>
        <w:tc>
          <w:tcPr>
            <w:tcW w:w="900" w:type="dxa"/>
          </w:tcPr>
          <w:p w14:paraId="13E8E832"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17.2</w:t>
            </w:r>
          </w:p>
        </w:tc>
        <w:tc>
          <w:tcPr>
            <w:tcW w:w="990" w:type="dxa"/>
          </w:tcPr>
          <w:p w14:paraId="69207E6F"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21,3</w:t>
            </w:r>
          </w:p>
        </w:tc>
        <w:tc>
          <w:tcPr>
            <w:tcW w:w="990" w:type="dxa"/>
          </w:tcPr>
          <w:p w14:paraId="1E9F51FA"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22</w:t>
            </w:r>
            <w:r w:rsidR="007F38DA" w:rsidRPr="00AB15C7">
              <w:rPr>
                <w:rFonts w:ascii="Cambria" w:hAnsi="Cambria"/>
                <w:noProof/>
                <w:color w:val="252525"/>
                <w:shd w:val="clear" w:color="auto" w:fill="FFFFFF"/>
              </w:rPr>
              <w:t>,</w:t>
            </w:r>
            <w:r w:rsidRPr="00AB15C7">
              <w:rPr>
                <w:rFonts w:ascii="Cambria" w:hAnsi="Cambria"/>
                <w:noProof/>
                <w:color w:val="252525"/>
                <w:shd w:val="clear" w:color="auto" w:fill="FFFFFF"/>
              </w:rPr>
              <w:t>1</w:t>
            </w:r>
          </w:p>
        </w:tc>
      </w:tr>
      <w:tr w:rsidR="00413A3C" w:rsidRPr="00347C4B" w14:paraId="137E7135" w14:textId="77777777" w:rsidTr="00CF7EF9">
        <w:tc>
          <w:tcPr>
            <w:tcW w:w="9753" w:type="dxa"/>
            <w:gridSpan w:val="7"/>
            <w:shd w:val="clear" w:color="auto" w:fill="auto"/>
          </w:tcPr>
          <w:p w14:paraId="0817C8C9" w14:textId="77777777" w:rsidR="00413A3C" w:rsidRPr="00347C4B" w:rsidRDefault="00413A3C" w:rsidP="00347C4B">
            <w:pPr>
              <w:spacing w:before="20" w:after="20"/>
              <w:jc w:val="center"/>
              <w:rPr>
                <w:rFonts w:ascii="Cambria" w:eastAsia="Calibri" w:hAnsi="Cambria"/>
                <w:b/>
                <w:noProof/>
                <w:color w:val="252525"/>
                <w:shd w:val="clear" w:color="auto" w:fill="FFFFFF"/>
              </w:rPr>
            </w:pPr>
            <w:r w:rsidRPr="00347C4B">
              <w:rPr>
                <w:rFonts w:ascii="Cambria" w:eastAsia="Calibri" w:hAnsi="Cambria"/>
                <w:b/>
                <w:noProof/>
                <w:color w:val="252525"/>
                <w:shd w:val="clear" w:color="auto" w:fill="FFFFFF"/>
              </w:rPr>
              <w:t>Spoljnotrgovinska razmjena</w:t>
            </w:r>
          </w:p>
        </w:tc>
      </w:tr>
      <w:tr w:rsidR="00DB752F" w:rsidRPr="00AB15C7" w14:paraId="611FC1A4" w14:textId="77777777" w:rsidTr="006F4EFD">
        <w:tc>
          <w:tcPr>
            <w:tcW w:w="4173" w:type="dxa"/>
            <w:shd w:val="clear" w:color="auto" w:fill="F2F2F2" w:themeFill="background1" w:themeFillShade="F2"/>
          </w:tcPr>
          <w:p w14:paraId="74C9BBD8"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Izvoz roba i usluga (mil</w:t>
            </w:r>
            <w:r w:rsidR="00413A3C" w:rsidRPr="006F4EFD">
              <w:rPr>
                <w:rFonts w:ascii="Cambria" w:hAnsi="Cambria" w:cs="Arial"/>
                <w:b/>
                <w:bCs/>
                <w:noProof/>
              </w:rPr>
              <w:t>.</w:t>
            </w:r>
            <w:r w:rsidRPr="006F4EFD">
              <w:rPr>
                <w:rFonts w:ascii="Cambria" w:hAnsi="Cambria" w:cs="Arial"/>
                <w:b/>
                <w:bCs/>
                <w:noProof/>
              </w:rPr>
              <w:t xml:space="preserve"> €)</w:t>
            </w:r>
          </w:p>
        </w:tc>
        <w:tc>
          <w:tcPr>
            <w:tcW w:w="900" w:type="dxa"/>
            <w:shd w:val="clear" w:color="auto" w:fill="auto"/>
          </w:tcPr>
          <w:p w14:paraId="7A383325" w14:textId="77777777" w:rsidR="00C16852" w:rsidRPr="00AB15C7" w:rsidRDefault="0010115C" w:rsidP="005921EF">
            <w:pPr>
              <w:pStyle w:val="NoSpacing11"/>
              <w:spacing w:before="20" w:after="20"/>
              <w:ind w:right="-195"/>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1.389,4 </w:t>
            </w:r>
          </w:p>
        </w:tc>
        <w:tc>
          <w:tcPr>
            <w:tcW w:w="900" w:type="dxa"/>
            <w:shd w:val="clear" w:color="auto" w:fill="auto"/>
          </w:tcPr>
          <w:p w14:paraId="590EFF03" w14:textId="77777777" w:rsidR="00C16852" w:rsidRPr="00AB15C7" w:rsidRDefault="0010115C"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1.390,1</w:t>
            </w:r>
          </w:p>
        </w:tc>
        <w:tc>
          <w:tcPr>
            <w:tcW w:w="900" w:type="dxa"/>
          </w:tcPr>
          <w:p w14:paraId="2F59F793" w14:textId="77777777" w:rsidR="00C16852" w:rsidRPr="00AB15C7" w:rsidRDefault="0010115C"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1.388,1</w:t>
            </w:r>
          </w:p>
        </w:tc>
        <w:tc>
          <w:tcPr>
            <w:tcW w:w="900" w:type="dxa"/>
          </w:tcPr>
          <w:p w14:paraId="297B81F1" w14:textId="77777777" w:rsidR="00C16852" w:rsidRPr="00AB15C7" w:rsidRDefault="0010115C"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1.539,2</w:t>
            </w:r>
          </w:p>
        </w:tc>
        <w:tc>
          <w:tcPr>
            <w:tcW w:w="990" w:type="dxa"/>
          </w:tcPr>
          <w:p w14:paraId="0234D598"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1.599,9</w:t>
            </w:r>
          </w:p>
        </w:tc>
        <w:tc>
          <w:tcPr>
            <w:tcW w:w="990" w:type="dxa"/>
          </w:tcPr>
          <w:p w14:paraId="3FF2CFEE"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1.738,7</w:t>
            </w:r>
          </w:p>
        </w:tc>
      </w:tr>
      <w:tr w:rsidR="00DB752F" w:rsidRPr="00AB15C7" w14:paraId="6691AD3B" w14:textId="77777777" w:rsidTr="006F4EFD">
        <w:tc>
          <w:tcPr>
            <w:tcW w:w="4173" w:type="dxa"/>
            <w:shd w:val="clear" w:color="auto" w:fill="F2F2F2" w:themeFill="background1" w:themeFillShade="F2"/>
          </w:tcPr>
          <w:p w14:paraId="1A549BCE"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Uvoz roba i usluga (mi</w:t>
            </w:r>
            <w:r w:rsidR="00413A3C" w:rsidRPr="006F4EFD">
              <w:rPr>
                <w:rFonts w:ascii="Cambria" w:hAnsi="Cambria" w:cs="Arial"/>
                <w:b/>
                <w:bCs/>
                <w:noProof/>
              </w:rPr>
              <w:t>l.</w:t>
            </w:r>
            <w:r w:rsidRPr="006F4EFD">
              <w:rPr>
                <w:rFonts w:ascii="Cambria" w:hAnsi="Cambria" w:cs="Arial"/>
                <w:b/>
                <w:bCs/>
                <w:noProof/>
              </w:rPr>
              <w:t xml:space="preserve"> €)</w:t>
            </w:r>
          </w:p>
        </w:tc>
        <w:tc>
          <w:tcPr>
            <w:tcW w:w="900" w:type="dxa"/>
            <w:shd w:val="clear" w:color="auto" w:fill="auto"/>
          </w:tcPr>
          <w:p w14:paraId="3AE9DE8A" w14:textId="77777777" w:rsidR="00C16852" w:rsidRPr="00AB15C7" w:rsidRDefault="00C16852"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2.166,4</w:t>
            </w:r>
          </w:p>
        </w:tc>
        <w:tc>
          <w:tcPr>
            <w:tcW w:w="900" w:type="dxa"/>
            <w:shd w:val="clear" w:color="auto" w:fill="auto"/>
          </w:tcPr>
          <w:p w14:paraId="390B3085" w14:textId="77777777" w:rsidR="00C16852" w:rsidRPr="00AB15C7" w:rsidRDefault="0010115C"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2.065,5</w:t>
            </w:r>
          </w:p>
        </w:tc>
        <w:tc>
          <w:tcPr>
            <w:tcW w:w="900" w:type="dxa"/>
          </w:tcPr>
          <w:p w14:paraId="7D5136BA" w14:textId="77777777" w:rsidR="00C16852" w:rsidRPr="00AB15C7" w:rsidRDefault="0010115C"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2.074,2 </w:t>
            </w:r>
          </w:p>
        </w:tc>
        <w:tc>
          <w:tcPr>
            <w:tcW w:w="900" w:type="dxa"/>
          </w:tcPr>
          <w:p w14:paraId="2FAD8AA9" w14:textId="77777777" w:rsidR="00C16852" w:rsidRPr="00AB15C7" w:rsidRDefault="0010115C" w:rsidP="005921EF">
            <w:pPr>
              <w:pStyle w:val="NoSpacing11"/>
              <w:spacing w:before="20" w:after="20"/>
              <w:ind w:right="-105"/>
              <w:jc w:val="both"/>
              <w:rPr>
                <w:rFonts w:ascii="Cambria" w:hAnsi="Cambria"/>
                <w:noProof/>
                <w:color w:val="252525"/>
                <w:shd w:val="clear" w:color="auto" w:fill="FFFFFF"/>
              </w:rPr>
            </w:pPr>
            <w:r w:rsidRPr="00AB15C7">
              <w:rPr>
                <w:rFonts w:ascii="Cambria" w:hAnsi="Cambria"/>
                <w:noProof/>
                <w:color w:val="252525"/>
                <w:shd w:val="clear" w:color="auto" w:fill="FFFFFF"/>
              </w:rPr>
              <w:t>2.213,6</w:t>
            </w:r>
          </w:p>
        </w:tc>
        <w:tc>
          <w:tcPr>
            <w:tcW w:w="990" w:type="dxa"/>
          </w:tcPr>
          <w:p w14:paraId="2FAD506F"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2.488,1</w:t>
            </w:r>
          </w:p>
        </w:tc>
        <w:tc>
          <w:tcPr>
            <w:tcW w:w="990" w:type="dxa"/>
          </w:tcPr>
          <w:p w14:paraId="26F38067"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2.761,9</w:t>
            </w:r>
          </w:p>
        </w:tc>
      </w:tr>
      <w:tr w:rsidR="00DB752F" w:rsidRPr="00AB15C7" w14:paraId="182A9187" w14:textId="77777777" w:rsidTr="006F4EFD">
        <w:tc>
          <w:tcPr>
            <w:tcW w:w="4173" w:type="dxa"/>
            <w:shd w:val="clear" w:color="auto" w:fill="F2F2F2" w:themeFill="background1" w:themeFillShade="F2"/>
          </w:tcPr>
          <w:p w14:paraId="7DAFAB03" w14:textId="77777777" w:rsidR="00C16852" w:rsidRPr="006F4EFD" w:rsidRDefault="0010115C" w:rsidP="006F4EFD">
            <w:pPr>
              <w:spacing w:after="0"/>
              <w:rPr>
                <w:rFonts w:ascii="Cambria" w:hAnsi="Cambria" w:cs="Arial"/>
                <w:b/>
                <w:bCs/>
                <w:noProof/>
              </w:rPr>
            </w:pPr>
            <w:r w:rsidRPr="006F4EFD">
              <w:rPr>
                <w:rFonts w:ascii="Cambria" w:hAnsi="Cambria" w:cs="Arial"/>
                <w:b/>
                <w:bCs/>
                <w:noProof/>
              </w:rPr>
              <w:t xml:space="preserve">Bilans roba i usluga </w:t>
            </w:r>
            <w:r w:rsidR="00C16852" w:rsidRPr="006F4EFD">
              <w:rPr>
                <w:rFonts w:ascii="Cambria" w:hAnsi="Cambria" w:cs="Arial"/>
                <w:b/>
                <w:bCs/>
                <w:noProof/>
              </w:rPr>
              <w:t>(mil</w:t>
            </w:r>
            <w:r w:rsidR="00413A3C" w:rsidRPr="006F4EFD">
              <w:rPr>
                <w:rFonts w:ascii="Cambria" w:hAnsi="Cambria" w:cs="Arial"/>
                <w:b/>
                <w:bCs/>
                <w:noProof/>
              </w:rPr>
              <w:t>.</w:t>
            </w:r>
            <w:r w:rsidR="00C16852" w:rsidRPr="006F4EFD">
              <w:rPr>
                <w:rFonts w:ascii="Cambria" w:hAnsi="Cambria" w:cs="Arial"/>
                <w:b/>
                <w:bCs/>
                <w:noProof/>
              </w:rPr>
              <w:t xml:space="preserve"> €)</w:t>
            </w:r>
          </w:p>
        </w:tc>
        <w:tc>
          <w:tcPr>
            <w:tcW w:w="900" w:type="dxa"/>
            <w:shd w:val="clear" w:color="auto" w:fill="auto"/>
          </w:tcPr>
          <w:p w14:paraId="57409896"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-777,0</w:t>
            </w:r>
          </w:p>
        </w:tc>
        <w:tc>
          <w:tcPr>
            <w:tcW w:w="900" w:type="dxa"/>
            <w:shd w:val="clear" w:color="auto" w:fill="auto"/>
          </w:tcPr>
          <w:p w14:paraId="642A8E21"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-675,4</w:t>
            </w:r>
          </w:p>
        </w:tc>
        <w:tc>
          <w:tcPr>
            <w:tcW w:w="900" w:type="dxa"/>
          </w:tcPr>
          <w:p w14:paraId="4F9B6772"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-686,1 </w:t>
            </w:r>
          </w:p>
        </w:tc>
        <w:tc>
          <w:tcPr>
            <w:tcW w:w="900" w:type="dxa"/>
          </w:tcPr>
          <w:p w14:paraId="17DC69FE"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-674,4</w:t>
            </w:r>
          </w:p>
        </w:tc>
        <w:tc>
          <w:tcPr>
            <w:tcW w:w="990" w:type="dxa"/>
          </w:tcPr>
          <w:p w14:paraId="7DDAE620"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-888,2</w:t>
            </w:r>
          </w:p>
        </w:tc>
        <w:tc>
          <w:tcPr>
            <w:tcW w:w="990" w:type="dxa"/>
          </w:tcPr>
          <w:p w14:paraId="51BB43F3"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-1023,2</w:t>
            </w:r>
          </w:p>
        </w:tc>
      </w:tr>
      <w:tr w:rsidR="00DB752F" w:rsidRPr="00AB15C7" w14:paraId="513F8FF3" w14:textId="77777777" w:rsidTr="006F4EFD">
        <w:tc>
          <w:tcPr>
            <w:tcW w:w="4173" w:type="dxa"/>
            <w:shd w:val="clear" w:color="auto" w:fill="F2F2F2" w:themeFill="background1" w:themeFillShade="F2"/>
          </w:tcPr>
          <w:p w14:paraId="341DB020" w14:textId="77777777" w:rsidR="00C16852" w:rsidRPr="006F4EFD" w:rsidRDefault="00C16852" w:rsidP="006F4EFD">
            <w:pPr>
              <w:spacing w:after="0"/>
              <w:rPr>
                <w:rFonts w:ascii="Cambria" w:hAnsi="Cambria" w:cs="Arial"/>
                <w:b/>
                <w:bCs/>
                <w:noProof/>
              </w:rPr>
            </w:pPr>
            <w:r w:rsidRPr="006F4EFD">
              <w:rPr>
                <w:rFonts w:ascii="Cambria" w:hAnsi="Cambria" w:cs="Arial"/>
                <w:b/>
                <w:bCs/>
                <w:noProof/>
              </w:rPr>
              <w:t>Strane direktne investicije (mil</w:t>
            </w:r>
            <w:r w:rsidR="00413A3C" w:rsidRPr="006F4EFD">
              <w:rPr>
                <w:rFonts w:ascii="Cambria" w:hAnsi="Cambria" w:cs="Arial"/>
                <w:b/>
                <w:bCs/>
                <w:noProof/>
              </w:rPr>
              <w:t>.</w:t>
            </w:r>
            <w:r w:rsidRPr="006F4EFD">
              <w:rPr>
                <w:rFonts w:ascii="Cambria" w:hAnsi="Cambria" w:cs="Arial"/>
                <w:b/>
                <w:bCs/>
                <w:noProof/>
              </w:rPr>
              <w:t xml:space="preserve"> €)</w:t>
            </w:r>
          </w:p>
        </w:tc>
        <w:tc>
          <w:tcPr>
            <w:tcW w:w="900" w:type="dxa"/>
            <w:shd w:val="clear" w:color="auto" w:fill="auto"/>
          </w:tcPr>
          <w:p w14:paraId="71FA8B6C"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461,</w:t>
            </w:r>
            <w:r w:rsidR="0010115C" w:rsidRPr="00AB15C7">
              <w:rPr>
                <w:rFonts w:ascii="Cambria" w:hAnsi="Cambria"/>
                <w:noProof/>
                <w:color w:val="252525"/>
                <w:shd w:val="clear" w:color="auto" w:fill="FFFFFF"/>
              </w:rPr>
              <w:t>6</w:t>
            </w:r>
          </w:p>
        </w:tc>
        <w:tc>
          <w:tcPr>
            <w:tcW w:w="900" w:type="dxa"/>
            <w:shd w:val="clear" w:color="auto" w:fill="auto"/>
          </w:tcPr>
          <w:p w14:paraId="33C3993C" w14:textId="77777777" w:rsidR="00C16852" w:rsidRPr="00AB15C7" w:rsidRDefault="00C16852"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323,9</w:t>
            </w:r>
          </w:p>
        </w:tc>
        <w:tc>
          <w:tcPr>
            <w:tcW w:w="900" w:type="dxa"/>
          </w:tcPr>
          <w:p w14:paraId="71DA54F5"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 xml:space="preserve">353,9 </w:t>
            </w:r>
          </w:p>
        </w:tc>
        <w:tc>
          <w:tcPr>
            <w:tcW w:w="900" w:type="dxa"/>
          </w:tcPr>
          <w:p w14:paraId="5FFA23C1"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619,3</w:t>
            </w:r>
          </w:p>
        </w:tc>
        <w:tc>
          <w:tcPr>
            <w:tcW w:w="990" w:type="dxa"/>
          </w:tcPr>
          <w:p w14:paraId="1A3A7A8F"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371,6</w:t>
            </w:r>
          </w:p>
        </w:tc>
        <w:tc>
          <w:tcPr>
            <w:tcW w:w="990" w:type="dxa"/>
          </w:tcPr>
          <w:p w14:paraId="507C7273" w14:textId="77777777" w:rsidR="00C16852" w:rsidRPr="00AB15C7" w:rsidRDefault="0010115C" w:rsidP="005921EF">
            <w:pPr>
              <w:pStyle w:val="NoSpacing11"/>
              <w:spacing w:before="20" w:after="20"/>
              <w:jc w:val="both"/>
              <w:rPr>
                <w:rFonts w:ascii="Cambria" w:hAnsi="Cambria"/>
                <w:noProof/>
                <w:color w:val="252525"/>
                <w:shd w:val="clear" w:color="auto" w:fill="FFFFFF"/>
              </w:rPr>
            </w:pPr>
            <w:r w:rsidRPr="00AB15C7">
              <w:rPr>
                <w:rFonts w:ascii="Cambria" w:hAnsi="Cambria"/>
                <w:noProof/>
                <w:color w:val="252525"/>
                <w:shd w:val="clear" w:color="auto" w:fill="FFFFFF"/>
              </w:rPr>
              <w:t>474,3</w:t>
            </w:r>
          </w:p>
        </w:tc>
      </w:tr>
    </w:tbl>
    <w:p w14:paraId="0E8245E1" w14:textId="77777777" w:rsidR="00746F57" w:rsidRPr="006F4EFD" w:rsidRDefault="00AB388F" w:rsidP="005921EF">
      <w:pPr>
        <w:pStyle w:val="NoSpacing11"/>
        <w:spacing w:after="0"/>
        <w:jc w:val="center"/>
        <w:rPr>
          <w:rFonts w:ascii="Cambria" w:eastAsia="Times New Roman" w:hAnsi="Cambria"/>
          <w:i/>
          <w:noProof/>
          <w:color w:val="252525"/>
          <w:shd w:val="clear" w:color="auto" w:fill="FFFFFF"/>
        </w:rPr>
      </w:pPr>
      <w:r w:rsidRPr="006F4EFD">
        <w:rPr>
          <w:rFonts w:ascii="Cambria" w:eastAsia="Times New Roman" w:hAnsi="Cambria"/>
          <w:i/>
          <w:noProof/>
          <w:color w:val="252525"/>
          <w:shd w:val="clear" w:color="auto" w:fill="FFFFFF"/>
        </w:rPr>
        <w:t>Izvor: MONSTAT</w:t>
      </w:r>
    </w:p>
    <w:p w14:paraId="6E5475E3" w14:textId="77777777" w:rsidR="00802271" w:rsidRPr="00AB15C7" w:rsidRDefault="00802271" w:rsidP="005921EF">
      <w:pPr>
        <w:pStyle w:val="NoSpacing11"/>
        <w:spacing w:after="0"/>
        <w:jc w:val="both"/>
        <w:rPr>
          <w:rFonts w:ascii="Cambria" w:hAnsi="Cambria"/>
          <w:noProof/>
          <w:lang w:val="sr-Latn-ME"/>
        </w:rPr>
      </w:pPr>
    </w:p>
    <w:p w14:paraId="393B7722" w14:textId="20D88F30" w:rsidR="008705D2" w:rsidRPr="00AB15C7" w:rsidRDefault="008705D2" w:rsidP="005921EF">
      <w:pPr>
        <w:pStyle w:val="NoSpacing11"/>
        <w:spacing w:after="0"/>
        <w:jc w:val="both"/>
        <w:rPr>
          <w:rFonts w:ascii="Cambria" w:eastAsia="Times New Roman" w:hAnsi="Cambria"/>
          <w:noProof/>
          <w:color w:val="252525"/>
          <w:shd w:val="clear" w:color="auto" w:fill="FFFFFF"/>
        </w:rPr>
      </w:pPr>
      <w:r w:rsidRPr="00AB15C7">
        <w:rPr>
          <w:rFonts w:ascii="Cambria" w:eastAsia="Times New Roman" w:hAnsi="Cambria"/>
          <w:noProof/>
          <w:color w:val="252525"/>
          <w:shd w:val="clear" w:color="auto" w:fill="FFFFFF"/>
        </w:rPr>
        <w:t xml:space="preserve">Struktura crnogorske ekonomije značajno se promijenila od 2000 godine. Ova promjena se, prije svega, ogleda u povećanju učešća usluga na račun smanjenja učešća industrije i poljoprivrede u ukupnoj ekonomskoj aktivnosti. </w:t>
      </w:r>
      <w:r w:rsidR="00EB65A0" w:rsidRPr="00AB15C7">
        <w:rPr>
          <w:rFonts w:ascii="Cambria" w:eastAsia="Times New Roman" w:hAnsi="Cambria"/>
          <w:noProof/>
          <w:color w:val="252525"/>
          <w:shd w:val="clear" w:color="auto" w:fill="FFFFFF"/>
        </w:rPr>
        <w:t>Tako na prim</w:t>
      </w:r>
      <w:r w:rsidR="00746B63">
        <w:rPr>
          <w:rFonts w:ascii="Cambria" w:eastAsia="Times New Roman" w:hAnsi="Cambria"/>
          <w:noProof/>
          <w:color w:val="252525"/>
          <w:shd w:val="clear" w:color="auto" w:fill="FFFFFF"/>
        </w:rPr>
        <w:t>j</w:t>
      </w:r>
      <w:r w:rsidR="00EB65A0" w:rsidRPr="00AB15C7">
        <w:rPr>
          <w:rFonts w:ascii="Cambria" w:eastAsia="Times New Roman" w:hAnsi="Cambria"/>
          <w:noProof/>
          <w:color w:val="252525"/>
          <w:shd w:val="clear" w:color="auto" w:fill="FFFFFF"/>
        </w:rPr>
        <w:t xml:space="preserve">er, </w:t>
      </w:r>
      <w:r w:rsidR="00DC5599" w:rsidRPr="00AB15C7">
        <w:rPr>
          <w:rFonts w:ascii="Cambria" w:eastAsia="Times New Roman" w:hAnsi="Cambria"/>
          <w:noProof/>
          <w:color w:val="252525"/>
          <w:shd w:val="clear" w:color="auto" w:fill="FFFFFF"/>
        </w:rPr>
        <w:t>u poređenju sa</w:t>
      </w:r>
      <w:r w:rsidRPr="00AB15C7">
        <w:rPr>
          <w:rFonts w:ascii="Cambria" w:eastAsia="Times New Roman" w:hAnsi="Cambria"/>
          <w:noProof/>
          <w:color w:val="252525"/>
          <w:shd w:val="clear" w:color="auto" w:fill="FFFFFF"/>
        </w:rPr>
        <w:t xml:space="preserve"> 2000</w:t>
      </w:r>
      <w:r w:rsidR="00DC5599" w:rsidRPr="00AB15C7">
        <w:rPr>
          <w:rFonts w:ascii="Cambria" w:eastAsia="Times New Roman" w:hAnsi="Cambria"/>
          <w:noProof/>
          <w:color w:val="252525"/>
          <w:shd w:val="clear" w:color="auto" w:fill="FFFFFF"/>
        </w:rPr>
        <w:t xml:space="preserve">. godinom u </w:t>
      </w:r>
      <w:r w:rsidRPr="00AB15C7">
        <w:rPr>
          <w:rFonts w:ascii="Cambria" w:eastAsia="Times New Roman" w:hAnsi="Cambria"/>
          <w:noProof/>
          <w:color w:val="252525"/>
          <w:shd w:val="clear" w:color="auto" w:fill="FFFFFF"/>
        </w:rPr>
        <w:t xml:space="preserve">2016. god. učešće industrije (sektori B,C I D) u bruto domaćem proizvodu </w:t>
      </w:r>
      <w:r w:rsidR="00DC5599" w:rsidRPr="00AB15C7">
        <w:rPr>
          <w:rFonts w:ascii="Cambria" w:eastAsia="Times New Roman" w:hAnsi="Cambria"/>
          <w:noProof/>
          <w:color w:val="252525"/>
          <w:shd w:val="clear" w:color="auto" w:fill="FFFFFF"/>
        </w:rPr>
        <w:t xml:space="preserve">je </w:t>
      </w:r>
      <w:r w:rsidRPr="00AB15C7">
        <w:rPr>
          <w:rFonts w:ascii="Cambria" w:eastAsia="Times New Roman" w:hAnsi="Cambria"/>
          <w:noProof/>
          <w:color w:val="252525"/>
          <w:shd w:val="clear" w:color="auto" w:fill="FFFFFF"/>
        </w:rPr>
        <w:t xml:space="preserve">smanjeno sa 17% na </w:t>
      </w:r>
      <w:r w:rsidR="00392F98" w:rsidRPr="00AB15C7">
        <w:rPr>
          <w:rFonts w:ascii="Cambria" w:eastAsia="Times New Roman" w:hAnsi="Cambria"/>
          <w:noProof/>
          <w:color w:val="252525"/>
          <w:shd w:val="clear" w:color="auto" w:fill="FFFFFF"/>
        </w:rPr>
        <w:t>8</w:t>
      </w:r>
      <w:r w:rsidRPr="00AB15C7">
        <w:rPr>
          <w:rFonts w:ascii="Cambria" w:eastAsia="Times New Roman" w:hAnsi="Cambria"/>
          <w:noProof/>
          <w:color w:val="252525"/>
          <w:shd w:val="clear" w:color="auto" w:fill="FFFFFF"/>
        </w:rPr>
        <w:t xml:space="preserve">,3%, dok je učešće poljoprivrede smanjeno sa 11% na 8,1%, što za posledicu ima stanje gdje </w:t>
      </w:r>
      <w:bookmarkStart w:id="16" w:name="_Hlk522537728"/>
      <w:r w:rsidRPr="00AB15C7">
        <w:rPr>
          <w:rFonts w:ascii="Cambria" w:eastAsia="Times New Roman" w:hAnsi="Cambria"/>
          <w:noProof/>
          <w:color w:val="252525"/>
          <w:shd w:val="clear" w:color="auto" w:fill="FFFFFF"/>
        </w:rPr>
        <w:t>nivo ekonomske aktivnosti prvenstveno zavisi od uslužnih sektora, dok proizvodni sektori imaju značajno manji doprinos u stvaranju nove vrijednosti</w:t>
      </w:r>
      <w:bookmarkEnd w:id="16"/>
      <w:r w:rsidRPr="00AB15C7">
        <w:rPr>
          <w:rFonts w:ascii="Cambria" w:eastAsia="Times New Roman" w:hAnsi="Cambria"/>
          <w:noProof/>
          <w:color w:val="252525"/>
          <w:shd w:val="clear" w:color="auto" w:fill="FFFFFF"/>
        </w:rPr>
        <w:t xml:space="preserve">. Struktura učešća privrednih grana u BDP </w:t>
      </w:r>
      <w:r w:rsidR="00DC5599" w:rsidRPr="00AB15C7">
        <w:rPr>
          <w:rFonts w:ascii="Cambria" w:eastAsia="Times New Roman" w:hAnsi="Cambria"/>
          <w:noProof/>
          <w:color w:val="252525"/>
          <w:shd w:val="clear" w:color="auto" w:fill="FFFFFF"/>
        </w:rPr>
        <w:t xml:space="preserve">za desetogodišni </w:t>
      </w:r>
      <w:r w:rsidRPr="00AB15C7">
        <w:rPr>
          <w:rFonts w:ascii="Cambria" w:eastAsia="Times New Roman" w:hAnsi="Cambria"/>
          <w:noProof/>
          <w:color w:val="252525"/>
          <w:shd w:val="clear" w:color="auto" w:fill="FFFFFF"/>
        </w:rPr>
        <w:t>period 2007-2016 data je u tabeli 2.</w:t>
      </w:r>
    </w:p>
    <w:p w14:paraId="39561BF5" w14:textId="77777777" w:rsidR="00D95E03" w:rsidRPr="00AB15C7" w:rsidRDefault="00C95ED1" w:rsidP="00347C4B">
      <w:pPr>
        <w:spacing w:after="120"/>
        <w:jc w:val="center"/>
        <w:rPr>
          <w:rFonts w:ascii="Cambria" w:hAnsi="Cambria"/>
          <w:noProof/>
          <w:color w:val="252525"/>
          <w:shd w:val="clear" w:color="auto" w:fill="FFFFFF"/>
        </w:rPr>
      </w:pPr>
      <w:bookmarkStart w:id="17" w:name="_Hlk524088877"/>
      <w:r w:rsidRPr="00347C4B">
        <w:rPr>
          <w:rFonts w:ascii="Cambria" w:hAnsi="Cambria"/>
          <w:i/>
          <w:noProof/>
          <w:color w:val="252525"/>
          <w:shd w:val="clear" w:color="auto" w:fill="FFFFFF"/>
        </w:rPr>
        <w:t xml:space="preserve">Tabela </w:t>
      </w:r>
      <w:r w:rsidR="009F635F" w:rsidRPr="00347C4B">
        <w:rPr>
          <w:rFonts w:ascii="Cambria" w:hAnsi="Cambria"/>
          <w:i/>
          <w:noProof/>
          <w:color w:val="252525"/>
          <w:shd w:val="clear" w:color="auto" w:fill="FFFFFF"/>
        </w:rPr>
        <w:t>2</w:t>
      </w:r>
      <w:r w:rsidRPr="00AB15C7">
        <w:rPr>
          <w:rFonts w:ascii="Cambria" w:hAnsi="Cambria"/>
          <w:noProof/>
          <w:color w:val="252525"/>
          <w:shd w:val="clear" w:color="auto" w:fill="FFFFFF"/>
        </w:rPr>
        <w:t xml:space="preserve">. </w:t>
      </w:r>
      <w:r w:rsidR="00D95E03" w:rsidRPr="00AB15C7">
        <w:rPr>
          <w:rFonts w:ascii="Cambria" w:hAnsi="Cambria"/>
          <w:noProof/>
          <w:color w:val="252525"/>
          <w:shd w:val="clear" w:color="auto" w:fill="FFFFFF"/>
        </w:rPr>
        <w:t>Bruto dodata vrijednost, stalne cijene, struktura u % po klasifikaciji djelatnosti</w:t>
      </w:r>
    </w:p>
    <w:tbl>
      <w:tblPr>
        <w:tblW w:w="10258" w:type="dxa"/>
        <w:tblInd w:w="-280" w:type="dxa"/>
        <w:tblLook w:val="04A0" w:firstRow="1" w:lastRow="0" w:firstColumn="1" w:lastColumn="0" w:noHBand="0" w:noVBand="1"/>
      </w:tblPr>
      <w:tblGrid>
        <w:gridCol w:w="2356"/>
        <w:gridCol w:w="789"/>
        <w:gridCol w:w="789"/>
        <w:gridCol w:w="789"/>
        <w:gridCol w:w="789"/>
        <w:gridCol w:w="797"/>
        <w:gridCol w:w="793"/>
        <w:gridCol w:w="789"/>
        <w:gridCol w:w="789"/>
        <w:gridCol w:w="789"/>
        <w:gridCol w:w="789"/>
      </w:tblGrid>
      <w:tr w:rsidR="001C6605" w:rsidRPr="00AB15C7" w14:paraId="7AF30C27" w14:textId="77777777" w:rsidTr="001C6605">
        <w:trPr>
          <w:trHeight w:val="466"/>
        </w:trPr>
        <w:tc>
          <w:tcPr>
            <w:tcW w:w="2520" w:type="dxa"/>
            <w:tcBorders>
              <w:top w:val="single" w:sz="8" w:space="0" w:color="auto"/>
              <w:left w:val="single" w:sz="8" w:space="0" w:color="auto"/>
              <w:bottom w:val="nil"/>
              <w:right w:val="single" w:sz="8" w:space="0" w:color="auto"/>
            </w:tcBorders>
            <w:shd w:val="clear" w:color="auto" w:fill="D9D9D9"/>
            <w:vAlign w:val="center"/>
            <w:hideMark/>
          </w:tcPr>
          <w:bookmarkEnd w:id="17"/>
          <w:p w14:paraId="377B6038" w14:textId="77777777" w:rsidR="00D95E03" w:rsidRPr="00AB15C7" w:rsidRDefault="00D95E03" w:rsidP="001C6605">
            <w:pPr>
              <w:spacing w:after="0" w:line="240" w:lineRule="auto"/>
              <w:jc w:val="center"/>
              <w:rPr>
                <w:rFonts w:ascii="Cambria" w:hAnsi="Cambria" w:cs="Arial"/>
                <w:b/>
                <w:bCs/>
                <w:noProof/>
              </w:rPr>
            </w:pPr>
            <w:r w:rsidRPr="00AB15C7">
              <w:rPr>
                <w:rFonts w:ascii="Cambria" w:hAnsi="Cambria" w:cs="Arial"/>
                <w:b/>
                <w:bCs/>
                <w:noProof/>
              </w:rPr>
              <w:lastRenderedPageBreak/>
              <w:t>Klasifikacija djelatnosti</w:t>
            </w:r>
          </w:p>
        </w:tc>
        <w:tc>
          <w:tcPr>
            <w:tcW w:w="622" w:type="dxa"/>
            <w:tcBorders>
              <w:top w:val="single" w:sz="8" w:space="0" w:color="auto"/>
              <w:left w:val="single" w:sz="8" w:space="0" w:color="auto"/>
              <w:bottom w:val="nil"/>
              <w:right w:val="single" w:sz="8" w:space="0" w:color="auto"/>
            </w:tcBorders>
            <w:shd w:val="clear" w:color="auto" w:fill="D9D9D9"/>
            <w:vAlign w:val="center"/>
          </w:tcPr>
          <w:p w14:paraId="1327127F" w14:textId="77777777" w:rsidR="00D95E03" w:rsidRPr="001C6605" w:rsidRDefault="00D95E03" w:rsidP="001C6605">
            <w:pPr>
              <w:spacing w:after="0" w:line="240" w:lineRule="auto"/>
              <w:jc w:val="center"/>
              <w:rPr>
                <w:rFonts w:ascii="Cambria" w:hAnsi="Cambria" w:cs="Arial"/>
                <w:b/>
                <w:bCs/>
                <w:noProof/>
                <w:sz w:val="20"/>
              </w:rPr>
            </w:pPr>
            <w:r w:rsidRPr="001C6605">
              <w:rPr>
                <w:rFonts w:ascii="Cambria" w:hAnsi="Cambria" w:cs="Arial"/>
                <w:b/>
                <w:bCs/>
                <w:noProof/>
                <w:sz w:val="20"/>
              </w:rPr>
              <w:t>2007</w:t>
            </w:r>
          </w:p>
        </w:tc>
        <w:tc>
          <w:tcPr>
            <w:tcW w:w="789" w:type="dxa"/>
            <w:tcBorders>
              <w:top w:val="single" w:sz="8" w:space="0" w:color="auto"/>
              <w:left w:val="single" w:sz="8" w:space="0" w:color="auto"/>
              <w:bottom w:val="nil"/>
              <w:right w:val="single" w:sz="8" w:space="0" w:color="auto"/>
            </w:tcBorders>
            <w:shd w:val="clear" w:color="auto" w:fill="D9D9D9"/>
            <w:vAlign w:val="center"/>
          </w:tcPr>
          <w:p w14:paraId="5CFD56EB" w14:textId="77777777" w:rsidR="00D95E03" w:rsidRPr="001C6605" w:rsidRDefault="00D95E03" w:rsidP="001C6605">
            <w:pPr>
              <w:spacing w:after="0" w:line="240" w:lineRule="auto"/>
              <w:jc w:val="center"/>
              <w:rPr>
                <w:rFonts w:ascii="Cambria" w:hAnsi="Cambria" w:cs="Arial"/>
                <w:b/>
                <w:bCs/>
                <w:noProof/>
                <w:sz w:val="20"/>
              </w:rPr>
            </w:pPr>
            <w:r w:rsidRPr="001C6605">
              <w:rPr>
                <w:rFonts w:ascii="Cambria" w:hAnsi="Cambria" w:cs="Arial"/>
                <w:b/>
                <w:bCs/>
                <w:noProof/>
                <w:sz w:val="20"/>
              </w:rPr>
              <w:t>2008</w:t>
            </w:r>
          </w:p>
        </w:tc>
        <w:tc>
          <w:tcPr>
            <w:tcW w:w="789" w:type="dxa"/>
            <w:tcBorders>
              <w:top w:val="single" w:sz="8" w:space="0" w:color="auto"/>
              <w:left w:val="single" w:sz="8" w:space="0" w:color="auto"/>
              <w:bottom w:val="nil"/>
              <w:right w:val="single" w:sz="8" w:space="0" w:color="auto"/>
            </w:tcBorders>
            <w:shd w:val="clear" w:color="auto" w:fill="D9D9D9"/>
            <w:vAlign w:val="center"/>
          </w:tcPr>
          <w:p w14:paraId="7DFC6BD4" w14:textId="77777777" w:rsidR="00D95E03" w:rsidRPr="001C6605" w:rsidRDefault="00D95E03" w:rsidP="001C6605">
            <w:pPr>
              <w:spacing w:after="0" w:line="240" w:lineRule="auto"/>
              <w:jc w:val="center"/>
              <w:rPr>
                <w:rFonts w:ascii="Cambria" w:hAnsi="Cambria" w:cs="Arial"/>
                <w:b/>
                <w:bCs/>
                <w:noProof/>
                <w:sz w:val="20"/>
              </w:rPr>
            </w:pPr>
            <w:r w:rsidRPr="001C6605">
              <w:rPr>
                <w:rFonts w:ascii="Cambria" w:hAnsi="Cambria" w:cs="Arial"/>
                <w:b/>
                <w:bCs/>
                <w:noProof/>
                <w:sz w:val="20"/>
              </w:rPr>
              <w:t>2009</w:t>
            </w:r>
          </w:p>
        </w:tc>
        <w:tc>
          <w:tcPr>
            <w:tcW w:w="789" w:type="dxa"/>
            <w:tcBorders>
              <w:top w:val="single" w:sz="8" w:space="0" w:color="auto"/>
              <w:left w:val="single" w:sz="8" w:space="0" w:color="auto"/>
              <w:bottom w:val="nil"/>
              <w:right w:val="single" w:sz="8" w:space="0" w:color="auto"/>
            </w:tcBorders>
            <w:shd w:val="clear" w:color="auto" w:fill="D9D9D9"/>
            <w:vAlign w:val="center"/>
          </w:tcPr>
          <w:p w14:paraId="57C1AAE3" w14:textId="77777777" w:rsidR="00D95E03" w:rsidRPr="001C6605" w:rsidRDefault="00D95E03" w:rsidP="001C6605">
            <w:pPr>
              <w:spacing w:after="0" w:line="240" w:lineRule="auto"/>
              <w:jc w:val="center"/>
              <w:rPr>
                <w:rFonts w:ascii="Cambria" w:hAnsi="Cambria" w:cs="Arial"/>
                <w:b/>
                <w:bCs/>
                <w:noProof/>
                <w:sz w:val="20"/>
              </w:rPr>
            </w:pPr>
            <w:r w:rsidRPr="001C6605">
              <w:rPr>
                <w:rFonts w:ascii="Cambria" w:hAnsi="Cambria" w:cs="Arial"/>
                <w:b/>
                <w:bCs/>
                <w:noProof/>
                <w:sz w:val="20"/>
              </w:rPr>
              <w:t>2010</w:t>
            </w:r>
          </w:p>
        </w:tc>
        <w:tc>
          <w:tcPr>
            <w:tcW w:w="799" w:type="dxa"/>
            <w:tcBorders>
              <w:top w:val="single" w:sz="8" w:space="0" w:color="auto"/>
              <w:left w:val="single" w:sz="8" w:space="0" w:color="auto"/>
              <w:bottom w:val="nil"/>
              <w:right w:val="single" w:sz="8" w:space="0" w:color="auto"/>
            </w:tcBorders>
            <w:shd w:val="clear" w:color="auto" w:fill="D9D9D9"/>
            <w:vAlign w:val="center"/>
          </w:tcPr>
          <w:p w14:paraId="3BC59E82" w14:textId="77777777" w:rsidR="00D95E03" w:rsidRPr="001C6605" w:rsidRDefault="00D95E03" w:rsidP="001C6605">
            <w:pPr>
              <w:spacing w:after="0" w:line="240" w:lineRule="auto"/>
              <w:jc w:val="center"/>
              <w:rPr>
                <w:rFonts w:ascii="Cambria" w:hAnsi="Cambria" w:cs="Arial"/>
                <w:b/>
                <w:bCs/>
                <w:noProof/>
                <w:sz w:val="20"/>
              </w:rPr>
            </w:pPr>
            <w:r w:rsidRPr="001C6605">
              <w:rPr>
                <w:rFonts w:ascii="Cambria" w:hAnsi="Cambria" w:cs="Arial"/>
                <w:b/>
                <w:bCs/>
                <w:noProof/>
                <w:sz w:val="20"/>
              </w:rPr>
              <w:t>2011</w:t>
            </w:r>
          </w:p>
        </w:tc>
        <w:tc>
          <w:tcPr>
            <w:tcW w:w="794" w:type="dxa"/>
            <w:tcBorders>
              <w:top w:val="single" w:sz="8" w:space="0" w:color="auto"/>
              <w:left w:val="single" w:sz="8" w:space="0" w:color="auto"/>
              <w:bottom w:val="nil"/>
              <w:right w:val="single" w:sz="8" w:space="0" w:color="auto"/>
            </w:tcBorders>
            <w:shd w:val="clear" w:color="auto" w:fill="D9D9D9"/>
            <w:vAlign w:val="center"/>
          </w:tcPr>
          <w:p w14:paraId="275EA51D" w14:textId="77777777" w:rsidR="00D95E03" w:rsidRPr="001C6605" w:rsidRDefault="00D95E03" w:rsidP="001C6605">
            <w:pPr>
              <w:spacing w:after="0" w:line="240" w:lineRule="auto"/>
              <w:jc w:val="center"/>
              <w:rPr>
                <w:rFonts w:ascii="Cambria" w:hAnsi="Cambria" w:cs="Arial"/>
                <w:b/>
                <w:bCs/>
                <w:noProof/>
                <w:sz w:val="20"/>
              </w:rPr>
            </w:pPr>
            <w:r w:rsidRPr="001C6605">
              <w:rPr>
                <w:rFonts w:ascii="Cambria" w:hAnsi="Cambria" w:cs="Arial"/>
                <w:b/>
                <w:bCs/>
                <w:noProof/>
                <w:sz w:val="20"/>
              </w:rPr>
              <w:t>2012</w:t>
            </w:r>
          </w:p>
        </w:tc>
        <w:tc>
          <w:tcPr>
            <w:tcW w:w="789" w:type="dxa"/>
            <w:tcBorders>
              <w:top w:val="single" w:sz="8" w:space="0" w:color="auto"/>
              <w:left w:val="single" w:sz="8" w:space="0" w:color="auto"/>
              <w:bottom w:val="nil"/>
              <w:right w:val="single" w:sz="8" w:space="0" w:color="auto"/>
            </w:tcBorders>
            <w:shd w:val="clear" w:color="auto" w:fill="D9D9D9"/>
            <w:vAlign w:val="center"/>
          </w:tcPr>
          <w:p w14:paraId="74F112BD" w14:textId="77777777" w:rsidR="00D95E03" w:rsidRPr="001C6605" w:rsidRDefault="00D95E03" w:rsidP="001C6605">
            <w:pPr>
              <w:spacing w:after="0" w:line="240" w:lineRule="auto"/>
              <w:jc w:val="center"/>
              <w:rPr>
                <w:rFonts w:ascii="Cambria" w:hAnsi="Cambria" w:cs="Arial"/>
                <w:b/>
                <w:bCs/>
                <w:noProof/>
                <w:sz w:val="20"/>
              </w:rPr>
            </w:pPr>
            <w:r w:rsidRPr="001C6605">
              <w:rPr>
                <w:rFonts w:ascii="Cambria" w:hAnsi="Cambria" w:cs="Arial"/>
                <w:b/>
                <w:bCs/>
                <w:noProof/>
                <w:sz w:val="20"/>
              </w:rPr>
              <w:t>2013</w:t>
            </w:r>
          </w:p>
        </w:tc>
        <w:tc>
          <w:tcPr>
            <w:tcW w:w="789" w:type="dxa"/>
            <w:tcBorders>
              <w:top w:val="single" w:sz="8" w:space="0" w:color="auto"/>
              <w:left w:val="single" w:sz="8" w:space="0" w:color="auto"/>
              <w:bottom w:val="nil"/>
              <w:right w:val="single" w:sz="8" w:space="0" w:color="auto"/>
            </w:tcBorders>
            <w:shd w:val="clear" w:color="auto" w:fill="D9D9D9"/>
            <w:vAlign w:val="center"/>
          </w:tcPr>
          <w:p w14:paraId="5F68C841" w14:textId="77777777" w:rsidR="00D95E03" w:rsidRPr="001C6605" w:rsidRDefault="00D95E03" w:rsidP="001C6605">
            <w:pPr>
              <w:spacing w:after="0" w:line="240" w:lineRule="auto"/>
              <w:jc w:val="center"/>
              <w:rPr>
                <w:rFonts w:ascii="Cambria" w:hAnsi="Cambria" w:cs="Arial"/>
                <w:b/>
                <w:bCs/>
                <w:noProof/>
                <w:sz w:val="20"/>
              </w:rPr>
            </w:pPr>
            <w:r w:rsidRPr="001C6605">
              <w:rPr>
                <w:rFonts w:ascii="Cambria" w:hAnsi="Cambria" w:cs="Arial"/>
                <w:b/>
                <w:bCs/>
                <w:noProof/>
                <w:sz w:val="20"/>
              </w:rPr>
              <w:t>2014</w:t>
            </w:r>
          </w:p>
        </w:tc>
        <w:tc>
          <w:tcPr>
            <w:tcW w:w="789" w:type="dxa"/>
            <w:tcBorders>
              <w:top w:val="single" w:sz="8" w:space="0" w:color="auto"/>
              <w:left w:val="single" w:sz="8" w:space="0" w:color="auto"/>
              <w:bottom w:val="nil"/>
              <w:right w:val="single" w:sz="8" w:space="0" w:color="auto"/>
            </w:tcBorders>
            <w:shd w:val="clear" w:color="auto" w:fill="D9D9D9"/>
            <w:vAlign w:val="center"/>
          </w:tcPr>
          <w:p w14:paraId="51D75F85" w14:textId="77777777" w:rsidR="00D95E03" w:rsidRPr="001C6605" w:rsidRDefault="00D95E03" w:rsidP="001C6605">
            <w:pPr>
              <w:spacing w:after="0" w:line="240" w:lineRule="auto"/>
              <w:jc w:val="center"/>
              <w:rPr>
                <w:rFonts w:ascii="Cambria" w:hAnsi="Cambria" w:cs="Arial"/>
                <w:b/>
                <w:bCs/>
                <w:noProof/>
                <w:sz w:val="20"/>
              </w:rPr>
            </w:pPr>
            <w:r w:rsidRPr="001C6605">
              <w:rPr>
                <w:rFonts w:ascii="Cambria" w:hAnsi="Cambria" w:cs="Arial"/>
                <w:b/>
                <w:bCs/>
                <w:noProof/>
                <w:sz w:val="20"/>
              </w:rPr>
              <w:t>2015</w:t>
            </w:r>
          </w:p>
        </w:tc>
        <w:tc>
          <w:tcPr>
            <w:tcW w:w="789" w:type="dxa"/>
            <w:tcBorders>
              <w:top w:val="single" w:sz="8" w:space="0" w:color="auto"/>
              <w:left w:val="single" w:sz="8" w:space="0" w:color="auto"/>
              <w:bottom w:val="nil"/>
              <w:right w:val="single" w:sz="8" w:space="0" w:color="auto"/>
            </w:tcBorders>
            <w:shd w:val="clear" w:color="auto" w:fill="D9D9D9"/>
            <w:vAlign w:val="center"/>
          </w:tcPr>
          <w:p w14:paraId="4E785F76" w14:textId="77777777" w:rsidR="00D95E03" w:rsidRPr="001C6605" w:rsidRDefault="00D95E03" w:rsidP="001C6605">
            <w:pPr>
              <w:spacing w:after="0" w:line="240" w:lineRule="auto"/>
              <w:jc w:val="center"/>
              <w:rPr>
                <w:rFonts w:ascii="Cambria" w:hAnsi="Cambria" w:cs="Arial"/>
                <w:b/>
                <w:bCs/>
                <w:noProof/>
                <w:sz w:val="20"/>
              </w:rPr>
            </w:pPr>
            <w:r w:rsidRPr="001C6605">
              <w:rPr>
                <w:rFonts w:ascii="Cambria" w:hAnsi="Cambria" w:cs="Arial"/>
                <w:b/>
                <w:bCs/>
                <w:noProof/>
                <w:sz w:val="20"/>
              </w:rPr>
              <w:t>2016</w:t>
            </w:r>
          </w:p>
        </w:tc>
      </w:tr>
      <w:tr w:rsidR="001C6605" w:rsidRPr="00AB15C7" w14:paraId="3E279EF7" w14:textId="77777777" w:rsidTr="001C6605">
        <w:trPr>
          <w:trHeight w:val="255"/>
        </w:trPr>
        <w:tc>
          <w:tcPr>
            <w:tcW w:w="2520"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59262FA6"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A. </w:t>
            </w:r>
            <w:r w:rsidR="00D95E03" w:rsidRPr="00AB15C7">
              <w:rPr>
                <w:rFonts w:ascii="Cambria" w:hAnsi="Cambria" w:cs="Arial"/>
                <w:noProof/>
              </w:rPr>
              <w:t>Poljoprivreda, šumarstvo i ribarstvo</w:t>
            </w:r>
          </w:p>
        </w:tc>
        <w:tc>
          <w:tcPr>
            <w:tcW w:w="622" w:type="dxa"/>
            <w:tcBorders>
              <w:top w:val="single" w:sz="8" w:space="0" w:color="auto"/>
              <w:left w:val="single" w:sz="8" w:space="0" w:color="auto"/>
              <w:bottom w:val="single" w:sz="4" w:space="0" w:color="auto"/>
              <w:right w:val="single" w:sz="8" w:space="0" w:color="auto"/>
            </w:tcBorders>
            <w:shd w:val="clear" w:color="auto" w:fill="auto"/>
            <w:vAlign w:val="center"/>
          </w:tcPr>
          <w:p w14:paraId="28FEDA5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6.8</w:t>
            </w:r>
          </w:p>
        </w:tc>
        <w:tc>
          <w:tcPr>
            <w:tcW w:w="789" w:type="dxa"/>
            <w:tcBorders>
              <w:top w:val="single" w:sz="8" w:space="0" w:color="auto"/>
              <w:left w:val="nil"/>
              <w:bottom w:val="single" w:sz="4" w:space="0" w:color="auto"/>
              <w:right w:val="single" w:sz="8" w:space="0" w:color="auto"/>
            </w:tcBorders>
            <w:shd w:val="clear" w:color="auto" w:fill="auto"/>
            <w:vAlign w:val="center"/>
          </w:tcPr>
          <w:p w14:paraId="540ABF5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7.5</w:t>
            </w:r>
          </w:p>
        </w:tc>
        <w:tc>
          <w:tcPr>
            <w:tcW w:w="789" w:type="dxa"/>
            <w:tcBorders>
              <w:top w:val="single" w:sz="8" w:space="0" w:color="auto"/>
              <w:left w:val="nil"/>
              <w:bottom w:val="single" w:sz="4" w:space="0" w:color="auto"/>
              <w:right w:val="single" w:sz="8" w:space="0" w:color="auto"/>
            </w:tcBorders>
            <w:shd w:val="clear" w:color="auto" w:fill="auto"/>
            <w:vAlign w:val="center"/>
          </w:tcPr>
          <w:p w14:paraId="3B5BBCA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8.1</w:t>
            </w:r>
          </w:p>
        </w:tc>
        <w:tc>
          <w:tcPr>
            <w:tcW w:w="789" w:type="dxa"/>
            <w:tcBorders>
              <w:top w:val="single" w:sz="8" w:space="0" w:color="auto"/>
              <w:left w:val="nil"/>
              <w:bottom w:val="single" w:sz="4" w:space="0" w:color="auto"/>
              <w:right w:val="single" w:sz="8" w:space="0" w:color="auto"/>
            </w:tcBorders>
            <w:shd w:val="clear" w:color="auto" w:fill="auto"/>
            <w:vAlign w:val="center"/>
          </w:tcPr>
          <w:p w14:paraId="49624902"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7.9</w:t>
            </w:r>
          </w:p>
        </w:tc>
        <w:tc>
          <w:tcPr>
            <w:tcW w:w="799" w:type="dxa"/>
            <w:tcBorders>
              <w:top w:val="single" w:sz="8" w:space="0" w:color="auto"/>
              <w:left w:val="nil"/>
              <w:bottom w:val="single" w:sz="4" w:space="0" w:color="auto"/>
              <w:right w:val="single" w:sz="8" w:space="0" w:color="auto"/>
            </w:tcBorders>
            <w:shd w:val="clear" w:color="auto" w:fill="auto"/>
            <w:vAlign w:val="center"/>
          </w:tcPr>
          <w:p w14:paraId="5A97BDD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8.3</w:t>
            </w:r>
          </w:p>
        </w:tc>
        <w:tc>
          <w:tcPr>
            <w:tcW w:w="794" w:type="dxa"/>
            <w:tcBorders>
              <w:top w:val="single" w:sz="8" w:space="0" w:color="auto"/>
              <w:left w:val="nil"/>
              <w:bottom w:val="single" w:sz="4" w:space="0" w:color="auto"/>
              <w:right w:val="single" w:sz="8" w:space="0" w:color="auto"/>
            </w:tcBorders>
            <w:shd w:val="clear" w:color="auto" w:fill="auto"/>
            <w:vAlign w:val="center"/>
          </w:tcPr>
          <w:p w14:paraId="0A5B0BC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7.2</w:t>
            </w:r>
          </w:p>
        </w:tc>
        <w:tc>
          <w:tcPr>
            <w:tcW w:w="789" w:type="dxa"/>
            <w:tcBorders>
              <w:top w:val="single" w:sz="8" w:space="0" w:color="auto"/>
              <w:left w:val="nil"/>
              <w:bottom w:val="single" w:sz="4" w:space="0" w:color="auto"/>
              <w:right w:val="single" w:sz="8" w:space="0" w:color="auto"/>
            </w:tcBorders>
            <w:shd w:val="clear" w:color="auto" w:fill="auto"/>
            <w:vAlign w:val="center"/>
          </w:tcPr>
          <w:p w14:paraId="61E03C0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8.2</w:t>
            </w:r>
          </w:p>
        </w:tc>
        <w:tc>
          <w:tcPr>
            <w:tcW w:w="789" w:type="dxa"/>
            <w:tcBorders>
              <w:top w:val="single" w:sz="8" w:space="0" w:color="auto"/>
              <w:left w:val="nil"/>
              <w:bottom w:val="single" w:sz="4" w:space="0" w:color="auto"/>
              <w:right w:val="single" w:sz="8" w:space="0" w:color="auto"/>
            </w:tcBorders>
            <w:shd w:val="clear" w:color="auto" w:fill="auto"/>
            <w:vAlign w:val="center"/>
          </w:tcPr>
          <w:p w14:paraId="726C4EE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8</w:t>
            </w:r>
          </w:p>
        </w:tc>
        <w:tc>
          <w:tcPr>
            <w:tcW w:w="789" w:type="dxa"/>
            <w:tcBorders>
              <w:top w:val="single" w:sz="8" w:space="0" w:color="auto"/>
              <w:left w:val="nil"/>
              <w:bottom w:val="single" w:sz="4" w:space="0" w:color="auto"/>
              <w:right w:val="single" w:sz="8" w:space="0" w:color="auto"/>
            </w:tcBorders>
            <w:shd w:val="clear" w:color="auto" w:fill="auto"/>
            <w:vAlign w:val="center"/>
          </w:tcPr>
          <w:p w14:paraId="401BFD1D"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8.0</w:t>
            </w:r>
          </w:p>
        </w:tc>
        <w:tc>
          <w:tcPr>
            <w:tcW w:w="789" w:type="dxa"/>
            <w:tcBorders>
              <w:top w:val="single" w:sz="8" w:space="0" w:color="auto"/>
              <w:left w:val="nil"/>
              <w:bottom w:val="single" w:sz="4" w:space="0" w:color="auto"/>
              <w:right w:val="single" w:sz="8" w:space="0" w:color="auto"/>
            </w:tcBorders>
            <w:shd w:val="clear" w:color="auto" w:fill="auto"/>
            <w:vAlign w:val="center"/>
          </w:tcPr>
          <w:p w14:paraId="0CCA0B7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8.1</w:t>
            </w:r>
          </w:p>
        </w:tc>
      </w:tr>
      <w:tr w:rsidR="001C6605" w:rsidRPr="00AB15C7" w14:paraId="60B17034"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110A3A6E"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B. </w:t>
            </w:r>
            <w:r w:rsidR="00D95E03" w:rsidRPr="00AB15C7">
              <w:rPr>
                <w:rFonts w:ascii="Cambria" w:hAnsi="Cambria" w:cs="Arial"/>
                <w:noProof/>
              </w:rPr>
              <w:t>Vađenje rude i kamena</w:t>
            </w:r>
          </w:p>
        </w:tc>
        <w:tc>
          <w:tcPr>
            <w:tcW w:w="622" w:type="dxa"/>
            <w:tcBorders>
              <w:top w:val="nil"/>
              <w:left w:val="single" w:sz="8" w:space="0" w:color="auto"/>
              <w:bottom w:val="single" w:sz="4" w:space="0" w:color="auto"/>
              <w:right w:val="single" w:sz="8" w:space="0" w:color="auto"/>
            </w:tcBorders>
            <w:shd w:val="clear" w:color="auto" w:fill="auto"/>
            <w:vAlign w:val="center"/>
          </w:tcPr>
          <w:p w14:paraId="5070597D"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1.3</w:t>
            </w:r>
          </w:p>
        </w:tc>
        <w:tc>
          <w:tcPr>
            <w:tcW w:w="789" w:type="dxa"/>
            <w:tcBorders>
              <w:top w:val="nil"/>
              <w:left w:val="nil"/>
              <w:bottom w:val="single" w:sz="4" w:space="0" w:color="auto"/>
              <w:right w:val="single" w:sz="8" w:space="0" w:color="auto"/>
            </w:tcBorders>
            <w:shd w:val="clear" w:color="auto" w:fill="auto"/>
            <w:vAlign w:val="center"/>
          </w:tcPr>
          <w:p w14:paraId="0125EDD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1.3</w:t>
            </w:r>
          </w:p>
        </w:tc>
        <w:tc>
          <w:tcPr>
            <w:tcW w:w="789" w:type="dxa"/>
            <w:tcBorders>
              <w:top w:val="nil"/>
              <w:left w:val="nil"/>
              <w:bottom w:val="single" w:sz="4" w:space="0" w:color="auto"/>
              <w:right w:val="single" w:sz="8" w:space="0" w:color="auto"/>
            </w:tcBorders>
            <w:shd w:val="clear" w:color="auto" w:fill="auto"/>
            <w:vAlign w:val="center"/>
          </w:tcPr>
          <w:p w14:paraId="272264B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0.5</w:t>
            </w:r>
          </w:p>
        </w:tc>
        <w:tc>
          <w:tcPr>
            <w:tcW w:w="789" w:type="dxa"/>
            <w:tcBorders>
              <w:top w:val="nil"/>
              <w:left w:val="nil"/>
              <w:bottom w:val="single" w:sz="4" w:space="0" w:color="auto"/>
              <w:right w:val="single" w:sz="8" w:space="0" w:color="auto"/>
            </w:tcBorders>
            <w:shd w:val="clear" w:color="auto" w:fill="auto"/>
            <w:vAlign w:val="center"/>
          </w:tcPr>
          <w:p w14:paraId="6D7E93E0"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1.1</w:t>
            </w:r>
          </w:p>
        </w:tc>
        <w:tc>
          <w:tcPr>
            <w:tcW w:w="799" w:type="dxa"/>
            <w:tcBorders>
              <w:top w:val="nil"/>
              <w:left w:val="nil"/>
              <w:bottom w:val="single" w:sz="4" w:space="0" w:color="auto"/>
              <w:right w:val="single" w:sz="8" w:space="0" w:color="auto"/>
            </w:tcBorders>
            <w:shd w:val="clear" w:color="auto" w:fill="auto"/>
            <w:vAlign w:val="center"/>
          </w:tcPr>
          <w:p w14:paraId="2BFBE41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1.2</w:t>
            </w:r>
          </w:p>
        </w:tc>
        <w:tc>
          <w:tcPr>
            <w:tcW w:w="794" w:type="dxa"/>
            <w:tcBorders>
              <w:top w:val="nil"/>
              <w:left w:val="nil"/>
              <w:bottom w:val="single" w:sz="4" w:space="0" w:color="auto"/>
              <w:right w:val="single" w:sz="8" w:space="0" w:color="auto"/>
            </w:tcBorders>
            <w:shd w:val="clear" w:color="auto" w:fill="auto"/>
            <w:vAlign w:val="center"/>
          </w:tcPr>
          <w:p w14:paraId="7969EAD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1.0</w:t>
            </w:r>
          </w:p>
        </w:tc>
        <w:tc>
          <w:tcPr>
            <w:tcW w:w="789" w:type="dxa"/>
            <w:tcBorders>
              <w:top w:val="nil"/>
              <w:left w:val="nil"/>
              <w:bottom w:val="single" w:sz="4" w:space="0" w:color="auto"/>
              <w:right w:val="single" w:sz="8" w:space="0" w:color="auto"/>
            </w:tcBorders>
            <w:shd w:val="clear" w:color="auto" w:fill="auto"/>
            <w:vAlign w:val="center"/>
          </w:tcPr>
          <w:p w14:paraId="6F634BE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1.0</w:t>
            </w:r>
          </w:p>
        </w:tc>
        <w:tc>
          <w:tcPr>
            <w:tcW w:w="789" w:type="dxa"/>
            <w:tcBorders>
              <w:top w:val="nil"/>
              <w:left w:val="nil"/>
              <w:bottom w:val="single" w:sz="4" w:space="0" w:color="auto"/>
              <w:right w:val="single" w:sz="8" w:space="0" w:color="auto"/>
            </w:tcBorders>
            <w:shd w:val="clear" w:color="auto" w:fill="auto"/>
            <w:vAlign w:val="center"/>
          </w:tcPr>
          <w:p w14:paraId="4F643C21"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1.1</w:t>
            </w:r>
          </w:p>
        </w:tc>
        <w:tc>
          <w:tcPr>
            <w:tcW w:w="789" w:type="dxa"/>
            <w:tcBorders>
              <w:top w:val="nil"/>
              <w:left w:val="nil"/>
              <w:bottom w:val="single" w:sz="4" w:space="0" w:color="auto"/>
              <w:right w:val="single" w:sz="8" w:space="0" w:color="auto"/>
            </w:tcBorders>
            <w:shd w:val="clear" w:color="auto" w:fill="auto"/>
            <w:vAlign w:val="center"/>
          </w:tcPr>
          <w:p w14:paraId="53639C0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1.2</w:t>
            </w:r>
          </w:p>
        </w:tc>
        <w:tc>
          <w:tcPr>
            <w:tcW w:w="789" w:type="dxa"/>
            <w:tcBorders>
              <w:top w:val="nil"/>
              <w:left w:val="nil"/>
              <w:bottom w:val="single" w:sz="4" w:space="0" w:color="auto"/>
              <w:right w:val="single" w:sz="8" w:space="0" w:color="auto"/>
            </w:tcBorders>
            <w:shd w:val="clear" w:color="auto" w:fill="auto"/>
            <w:vAlign w:val="center"/>
          </w:tcPr>
          <w:p w14:paraId="2F656A72"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1.0</w:t>
            </w:r>
          </w:p>
        </w:tc>
      </w:tr>
      <w:tr w:rsidR="001C6605" w:rsidRPr="00AB15C7" w14:paraId="0CFCD426"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122A5E19"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C. </w:t>
            </w:r>
            <w:r w:rsidR="00D95E03" w:rsidRPr="00AB15C7">
              <w:rPr>
                <w:rFonts w:ascii="Cambria" w:hAnsi="Cambria" w:cs="Arial"/>
                <w:noProof/>
              </w:rPr>
              <w:t>Prerađivačka industrija</w:t>
            </w:r>
          </w:p>
        </w:tc>
        <w:tc>
          <w:tcPr>
            <w:tcW w:w="622" w:type="dxa"/>
            <w:tcBorders>
              <w:top w:val="nil"/>
              <w:left w:val="single" w:sz="8" w:space="0" w:color="auto"/>
              <w:bottom w:val="single" w:sz="4" w:space="0" w:color="auto"/>
              <w:right w:val="single" w:sz="8" w:space="0" w:color="auto"/>
            </w:tcBorders>
            <w:shd w:val="clear" w:color="auto" w:fill="auto"/>
            <w:vAlign w:val="center"/>
          </w:tcPr>
          <w:p w14:paraId="7E68AB70"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5.5</w:t>
            </w:r>
          </w:p>
        </w:tc>
        <w:tc>
          <w:tcPr>
            <w:tcW w:w="789" w:type="dxa"/>
            <w:tcBorders>
              <w:top w:val="nil"/>
              <w:left w:val="nil"/>
              <w:bottom w:val="single" w:sz="4" w:space="0" w:color="auto"/>
              <w:right w:val="single" w:sz="8" w:space="0" w:color="auto"/>
            </w:tcBorders>
            <w:shd w:val="clear" w:color="auto" w:fill="auto"/>
            <w:vAlign w:val="center"/>
          </w:tcPr>
          <w:p w14:paraId="1085D70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4.5</w:t>
            </w:r>
          </w:p>
        </w:tc>
        <w:tc>
          <w:tcPr>
            <w:tcW w:w="789" w:type="dxa"/>
            <w:tcBorders>
              <w:top w:val="nil"/>
              <w:left w:val="nil"/>
              <w:bottom w:val="single" w:sz="4" w:space="0" w:color="auto"/>
              <w:right w:val="single" w:sz="8" w:space="0" w:color="auto"/>
            </w:tcBorders>
            <w:shd w:val="clear" w:color="auto" w:fill="auto"/>
            <w:vAlign w:val="center"/>
          </w:tcPr>
          <w:p w14:paraId="799724B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3.9</w:t>
            </w:r>
          </w:p>
        </w:tc>
        <w:tc>
          <w:tcPr>
            <w:tcW w:w="789" w:type="dxa"/>
            <w:tcBorders>
              <w:top w:val="nil"/>
              <w:left w:val="nil"/>
              <w:bottom w:val="single" w:sz="4" w:space="0" w:color="auto"/>
              <w:right w:val="single" w:sz="8" w:space="0" w:color="auto"/>
            </w:tcBorders>
            <w:shd w:val="clear" w:color="auto" w:fill="auto"/>
            <w:vAlign w:val="center"/>
          </w:tcPr>
          <w:p w14:paraId="3669A13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4.2</w:t>
            </w:r>
          </w:p>
        </w:tc>
        <w:tc>
          <w:tcPr>
            <w:tcW w:w="799" w:type="dxa"/>
            <w:tcBorders>
              <w:top w:val="nil"/>
              <w:left w:val="nil"/>
              <w:bottom w:val="single" w:sz="4" w:space="0" w:color="auto"/>
              <w:right w:val="single" w:sz="8" w:space="0" w:color="auto"/>
            </w:tcBorders>
            <w:shd w:val="clear" w:color="auto" w:fill="auto"/>
            <w:vAlign w:val="center"/>
          </w:tcPr>
          <w:p w14:paraId="0D5B395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4.9</w:t>
            </w:r>
          </w:p>
        </w:tc>
        <w:tc>
          <w:tcPr>
            <w:tcW w:w="794" w:type="dxa"/>
            <w:tcBorders>
              <w:top w:val="nil"/>
              <w:left w:val="nil"/>
              <w:bottom w:val="single" w:sz="4" w:space="0" w:color="auto"/>
              <w:right w:val="single" w:sz="8" w:space="0" w:color="auto"/>
            </w:tcBorders>
            <w:shd w:val="clear" w:color="auto" w:fill="auto"/>
            <w:vAlign w:val="center"/>
          </w:tcPr>
          <w:p w14:paraId="7FB471F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4.5</w:t>
            </w:r>
          </w:p>
        </w:tc>
        <w:tc>
          <w:tcPr>
            <w:tcW w:w="789" w:type="dxa"/>
            <w:tcBorders>
              <w:top w:val="nil"/>
              <w:left w:val="nil"/>
              <w:bottom w:val="single" w:sz="4" w:space="0" w:color="auto"/>
              <w:right w:val="single" w:sz="8" w:space="0" w:color="auto"/>
            </w:tcBorders>
            <w:shd w:val="clear" w:color="auto" w:fill="auto"/>
            <w:vAlign w:val="center"/>
          </w:tcPr>
          <w:p w14:paraId="4884C7A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4.2</w:t>
            </w:r>
          </w:p>
        </w:tc>
        <w:tc>
          <w:tcPr>
            <w:tcW w:w="789" w:type="dxa"/>
            <w:tcBorders>
              <w:top w:val="nil"/>
              <w:left w:val="nil"/>
              <w:bottom w:val="single" w:sz="4" w:space="0" w:color="auto"/>
              <w:right w:val="single" w:sz="8" w:space="0" w:color="auto"/>
            </w:tcBorders>
            <w:shd w:val="clear" w:color="auto" w:fill="auto"/>
            <w:vAlign w:val="center"/>
          </w:tcPr>
          <w:p w14:paraId="28EC310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3.9</w:t>
            </w:r>
          </w:p>
        </w:tc>
        <w:tc>
          <w:tcPr>
            <w:tcW w:w="789" w:type="dxa"/>
            <w:tcBorders>
              <w:top w:val="nil"/>
              <w:left w:val="nil"/>
              <w:bottom w:val="single" w:sz="4" w:space="0" w:color="auto"/>
              <w:right w:val="single" w:sz="8" w:space="0" w:color="auto"/>
            </w:tcBorders>
            <w:shd w:val="clear" w:color="auto" w:fill="auto"/>
            <w:vAlign w:val="center"/>
          </w:tcPr>
          <w:p w14:paraId="0822A25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w:t>
            </w:r>
          </w:p>
        </w:tc>
        <w:tc>
          <w:tcPr>
            <w:tcW w:w="789" w:type="dxa"/>
            <w:tcBorders>
              <w:top w:val="nil"/>
              <w:left w:val="nil"/>
              <w:bottom w:val="single" w:sz="4" w:space="0" w:color="auto"/>
              <w:right w:val="single" w:sz="8" w:space="0" w:color="auto"/>
            </w:tcBorders>
            <w:shd w:val="clear" w:color="auto" w:fill="auto"/>
            <w:vAlign w:val="center"/>
          </w:tcPr>
          <w:p w14:paraId="33BA4BD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3.8</w:t>
            </w:r>
          </w:p>
        </w:tc>
      </w:tr>
      <w:tr w:rsidR="001C6605" w:rsidRPr="00AB15C7" w14:paraId="65C4F725"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5A636323"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D. </w:t>
            </w:r>
            <w:r w:rsidR="00D95E03" w:rsidRPr="00AB15C7">
              <w:rPr>
                <w:rFonts w:ascii="Cambria" w:hAnsi="Cambria" w:cs="Arial"/>
                <w:noProof/>
              </w:rPr>
              <w:t>Snadijevanje električnom energijom</w:t>
            </w:r>
          </w:p>
        </w:tc>
        <w:tc>
          <w:tcPr>
            <w:tcW w:w="622" w:type="dxa"/>
            <w:tcBorders>
              <w:top w:val="nil"/>
              <w:left w:val="single" w:sz="8" w:space="0" w:color="auto"/>
              <w:bottom w:val="single" w:sz="4" w:space="0" w:color="auto"/>
              <w:right w:val="single" w:sz="8" w:space="0" w:color="auto"/>
            </w:tcBorders>
            <w:shd w:val="clear" w:color="auto" w:fill="auto"/>
            <w:vAlign w:val="center"/>
          </w:tcPr>
          <w:p w14:paraId="31DF0B6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3.3</w:t>
            </w:r>
          </w:p>
        </w:tc>
        <w:tc>
          <w:tcPr>
            <w:tcW w:w="789" w:type="dxa"/>
            <w:tcBorders>
              <w:top w:val="nil"/>
              <w:left w:val="nil"/>
              <w:bottom w:val="single" w:sz="4" w:space="0" w:color="auto"/>
              <w:right w:val="single" w:sz="8" w:space="0" w:color="auto"/>
            </w:tcBorders>
            <w:shd w:val="clear" w:color="auto" w:fill="auto"/>
            <w:vAlign w:val="center"/>
          </w:tcPr>
          <w:p w14:paraId="54C6735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3.6</w:t>
            </w:r>
          </w:p>
        </w:tc>
        <w:tc>
          <w:tcPr>
            <w:tcW w:w="789" w:type="dxa"/>
            <w:tcBorders>
              <w:top w:val="nil"/>
              <w:left w:val="nil"/>
              <w:bottom w:val="single" w:sz="4" w:space="0" w:color="auto"/>
              <w:right w:val="single" w:sz="8" w:space="0" w:color="auto"/>
            </w:tcBorders>
            <w:shd w:val="clear" w:color="auto" w:fill="auto"/>
            <w:vAlign w:val="center"/>
          </w:tcPr>
          <w:p w14:paraId="5C44D961"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4.2</w:t>
            </w:r>
          </w:p>
        </w:tc>
        <w:tc>
          <w:tcPr>
            <w:tcW w:w="789" w:type="dxa"/>
            <w:tcBorders>
              <w:top w:val="nil"/>
              <w:left w:val="nil"/>
              <w:bottom w:val="single" w:sz="4" w:space="0" w:color="auto"/>
              <w:right w:val="single" w:sz="8" w:space="0" w:color="auto"/>
            </w:tcBorders>
            <w:shd w:val="clear" w:color="auto" w:fill="auto"/>
            <w:vAlign w:val="center"/>
          </w:tcPr>
          <w:p w14:paraId="58543E3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6.0</w:t>
            </w:r>
          </w:p>
        </w:tc>
        <w:tc>
          <w:tcPr>
            <w:tcW w:w="799" w:type="dxa"/>
            <w:tcBorders>
              <w:top w:val="nil"/>
              <w:left w:val="nil"/>
              <w:bottom w:val="single" w:sz="4" w:space="0" w:color="auto"/>
              <w:right w:val="single" w:sz="8" w:space="0" w:color="auto"/>
            </w:tcBorders>
            <w:shd w:val="clear" w:color="auto" w:fill="auto"/>
            <w:vAlign w:val="center"/>
          </w:tcPr>
          <w:p w14:paraId="32E3DE5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3.0</w:t>
            </w:r>
          </w:p>
        </w:tc>
        <w:tc>
          <w:tcPr>
            <w:tcW w:w="794" w:type="dxa"/>
            <w:tcBorders>
              <w:top w:val="nil"/>
              <w:left w:val="nil"/>
              <w:bottom w:val="single" w:sz="4" w:space="0" w:color="auto"/>
              <w:right w:val="single" w:sz="8" w:space="0" w:color="auto"/>
            </w:tcBorders>
            <w:shd w:val="clear" w:color="auto" w:fill="auto"/>
            <w:vAlign w:val="center"/>
          </w:tcPr>
          <w:p w14:paraId="6AD5439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2.1</w:t>
            </w:r>
          </w:p>
        </w:tc>
        <w:tc>
          <w:tcPr>
            <w:tcW w:w="789" w:type="dxa"/>
            <w:tcBorders>
              <w:top w:val="nil"/>
              <w:left w:val="nil"/>
              <w:bottom w:val="single" w:sz="4" w:space="0" w:color="auto"/>
              <w:right w:val="single" w:sz="8" w:space="0" w:color="auto"/>
            </w:tcBorders>
            <w:shd w:val="clear" w:color="auto" w:fill="auto"/>
            <w:vAlign w:val="center"/>
          </w:tcPr>
          <w:p w14:paraId="128FA49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3.9</w:t>
            </w:r>
          </w:p>
        </w:tc>
        <w:tc>
          <w:tcPr>
            <w:tcW w:w="789" w:type="dxa"/>
            <w:tcBorders>
              <w:top w:val="nil"/>
              <w:left w:val="nil"/>
              <w:bottom w:val="single" w:sz="4" w:space="0" w:color="auto"/>
              <w:right w:val="single" w:sz="8" w:space="0" w:color="auto"/>
            </w:tcBorders>
            <w:shd w:val="clear" w:color="auto" w:fill="auto"/>
            <w:vAlign w:val="center"/>
          </w:tcPr>
          <w:p w14:paraId="2BAB1F6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4.5</w:t>
            </w:r>
          </w:p>
        </w:tc>
        <w:tc>
          <w:tcPr>
            <w:tcW w:w="789" w:type="dxa"/>
            <w:tcBorders>
              <w:top w:val="nil"/>
              <w:left w:val="nil"/>
              <w:bottom w:val="single" w:sz="4" w:space="0" w:color="auto"/>
              <w:right w:val="single" w:sz="8" w:space="0" w:color="auto"/>
            </w:tcBorders>
            <w:shd w:val="clear" w:color="auto" w:fill="auto"/>
            <w:vAlign w:val="center"/>
          </w:tcPr>
          <w:p w14:paraId="5EE1BD9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3.7</w:t>
            </w:r>
          </w:p>
        </w:tc>
        <w:tc>
          <w:tcPr>
            <w:tcW w:w="789" w:type="dxa"/>
            <w:tcBorders>
              <w:top w:val="nil"/>
              <w:left w:val="nil"/>
              <w:bottom w:val="single" w:sz="4" w:space="0" w:color="auto"/>
              <w:right w:val="single" w:sz="8" w:space="0" w:color="auto"/>
            </w:tcBorders>
            <w:shd w:val="clear" w:color="auto" w:fill="auto"/>
            <w:vAlign w:val="center"/>
          </w:tcPr>
          <w:p w14:paraId="153322A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3.5</w:t>
            </w:r>
          </w:p>
        </w:tc>
      </w:tr>
      <w:tr w:rsidR="001C6605" w:rsidRPr="00AB15C7" w14:paraId="1589E786"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504A3329"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E. </w:t>
            </w:r>
            <w:r w:rsidR="00D95E03" w:rsidRPr="00AB15C7">
              <w:rPr>
                <w:rFonts w:ascii="Cambria" w:hAnsi="Cambria" w:cs="Arial"/>
                <w:noProof/>
              </w:rPr>
              <w:t>Snadbijevanje vodom</w:t>
            </w:r>
          </w:p>
        </w:tc>
        <w:tc>
          <w:tcPr>
            <w:tcW w:w="622" w:type="dxa"/>
            <w:tcBorders>
              <w:top w:val="nil"/>
              <w:left w:val="single" w:sz="8" w:space="0" w:color="auto"/>
              <w:bottom w:val="single" w:sz="4" w:space="0" w:color="auto"/>
              <w:right w:val="single" w:sz="8" w:space="0" w:color="auto"/>
            </w:tcBorders>
            <w:shd w:val="clear" w:color="auto" w:fill="auto"/>
            <w:vAlign w:val="center"/>
          </w:tcPr>
          <w:p w14:paraId="49999B3D"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1.1</w:t>
            </w:r>
          </w:p>
        </w:tc>
        <w:tc>
          <w:tcPr>
            <w:tcW w:w="789" w:type="dxa"/>
            <w:tcBorders>
              <w:top w:val="nil"/>
              <w:left w:val="nil"/>
              <w:bottom w:val="single" w:sz="4" w:space="0" w:color="auto"/>
              <w:right w:val="single" w:sz="8" w:space="0" w:color="auto"/>
            </w:tcBorders>
            <w:shd w:val="clear" w:color="auto" w:fill="auto"/>
            <w:vAlign w:val="center"/>
          </w:tcPr>
          <w:p w14:paraId="24E549D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1.9</w:t>
            </w:r>
          </w:p>
        </w:tc>
        <w:tc>
          <w:tcPr>
            <w:tcW w:w="789" w:type="dxa"/>
            <w:tcBorders>
              <w:top w:val="nil"/>
              <w:left w:val="nil"/>
              <w:bottom w:val="single" w:sz="4" w:space="0" w:color="auto"/>
              <w:right w:val="single" w:sz="8" w:space="0" w:color="auto"/>
            </w:tcBorders>
            <w:shd w:val="clear" w:color="auto" w:fill="auto"/>
            <w:vAlign w:val="center"/>
          </w:tcPr>
          <w:p w14:paraId="0B4F101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1.6</w:t>
            </w:r>
          </w:p>
        </w:tc>
        <w:tc>
          <w:tcPr>
            <w:tcW w:w="789" w:type="dxa"/>
            <w:tcBorders>
              <w:top w:val="nil"/>
              <w:left w:val="nil"/>
              <w:bottom w:val="single" w:sz="4" w:space="0" w:color="auto"/>
              <w:right w:val="single" w:sz="8" w:space="0" w:color="auto"/>
            </w:tcBorders>
            <w:shd w:val="clear" w:color="auto" w:fill="auto"/>
            <w:vAlign w:val="center"/>
          </w:tcPr>
          <w:p w14:paraId="7329A27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1.7</w:t>
            </w:r>
          </w:p>
        </w:tc>
        <w:tc>
          <w:tcPr>
            <w:tcW w:w="799" w:type="dxa"/>
            <w:tcBorders>
              <w:top w:val="nil"/>
              <w:left w:val="nil"/>
              <w:bottom w:val="single" w:sz="4" w:space="0" w:color="auto"/>
              <w:right w:val="single" w:sz="8" w:space="0" w:color="auto"/>
            </w:tcBorders>
            <w:shd w:val="clear" w:color="auto" w:fill="auto"/>
            <w:vAlign w:val="center"/>
          </w:tcPr>
          <w:p w14:paraId="1F4A941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1.9</w:t>
            </w:r>
          </w:p>
        </w:tc>
        <w:tc>
          <w:tcPr>
            <w:tcW w:w="794" w:type="dxa"/>
            <w:tcBorders>
              <w:top w:val="nil"/>
              <w:left w:val="nil"/>
              <w:bottom w:val="single" w:sz="4" w:space="0" w:color="auto"/>
              <w:right w:val="single" w:sz="8" w:space="0" w:color="auto"/>
            </w:tcBorders>
            <w:shd w:val="clear" w:color="auto" w:fill="auto"/>
            <w:vAlign w:val="center"/>
          </w:tcPr>
          <w:p w14:paraId="0B1FD65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2.1</w:t>
            </w:r>
          </w:p>
        </w:tc>
        <w:tc>
          <w:tcPr>
            <w:tcW w:w="789" w:type="dxa"/>
            <w:tcBorders>
              <w:top w:val="nil"/>
              <w:left w:val="nil"/>
              <w:bottom w:val="single" w:sz="4" w:space="0" w:color="auto"/>
              <w:right w:val="single" w:sz="8" w:space="0" w:color="auto"/>
            </w:tcBorders>
            <w:shd w:val="clear" w:color="auto" w:fill="auto"/>
            <w:vAlign w:val="center"/>
          </w:tcPr>
          <w:p w14:paraId="5F6F03AD"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2.0</w:t>
            </w:r>
          </w:p>
        </w:tc>
        <w:tc>
          <w:tcPr>
            <w:tcW w:w="789" w:type="dxa"/>
            <w:tcBorders>
              <w:top w:val="nil"/>
              <w:left w:val="nil"/>
              <w:bottom w:val="single" w:sz="4" w:space="0" w:color="auto"/>
              <w:right w:val="single" w:sz="8" w:space="0" w:color="auto"/>
            </w:tcBorders>
            <w:shd w:val="clear" w:color="auto" w:fill="auto"/>
            <w:vAlign w:val="center"/>
          </w:tcPr>
          <w:p w14:paraId="40ECDA8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2.0</w:t>
            </w:r>
          </w:p>
        </w:tc>
        <w:tc>
          <w:tcPr>
            <w:tcW w:w="789" w:type="dxa"/>
            <w:tcBorders>
              <w:top w:val="nil"/>
              <w:left w:val="nil"/>
              <w:bottom w:val="single" w:sz="4" w:space="0" w:color="auto"/>
              <w:right w:val="single" w:sz="8" w:space="0" w:color="auto"/>
            </w:tcBorders>
            <w:shd w:val="clear" w:color="auto" w:fill="auto"/>
            <w:vAlign w:val="center"/>
          </w:tcPr>
          <w:p w14:paraId="5988C00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1.8</w:t>
            </w:r>
          </w:p>
        </w:tc>
        <w:tc>
          <w:tcPr>
            <w:tcW w:w="789" w:type="dxa"/>
            <w:tcBorders>
              <w:top w:val="nil"/>
              <w:left w:val="nil"/>
              <w:bottom w:val="single" w:sz="4" w:space="0" w:color="auto"/>
              <w:right w:val="single" w:sz="8" w:space="0" w:color="auto"/>
            </w:tcBorders>
            <w:shd w:val="clear" w:color="auto" w:fill="auto"/>
            <w:vAlign w:val="center"/>
          </w:tcPr>
          <w:p w14:paraId="6E3C2CA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1.8</w:t>
            </w:r>
          </w:p>
        </w:tc>
      </w:tr>
      <w:tr w:rsidR="001C6605" w:rsidRPr="00AB15C7" w14:paraId="47883C15"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6683C609"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D. </w:t>
            </w:r>
            <w:r w:rsidR="00D95E03" w:rsidRPr="00AB15C7">
              <w:rPr>
                <w:rFonts w:ascii="Cambria" w:hAnsi="Cambria" w:cs="Arial"/>
                <w:noProof/>
              </w:rPr>
              <w:t xml:space="preserve">Građevinarstvo </w:t>
            </w:r>
          </w:p>
        </w:tc>
        <w:tc>
          <w:tcPr>
            <w:tcW w:w="622" w:type="dxa"/>
            <w:tcBorders>
              <w:top w:val="nil"/>
              <w:left w:val="single" w:sz="8" w:space="0" w:color="auto"/>
              <w:bottom w:val="single" w:sz="4" w:space="0" w:color="auto"/>
              <w:right w:val="single" w:sz="8" w:space="0" w:color="auto"/>
            </w:tcBorders>
            <w:shd w:val="clear" w:color="auto" w:fill="auto"/>
            <w:vAlign w:val="center"/>
          </w:tcPr>
          <w:p w14:paraId="6851369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6.6</w:t>
            </w:r>
          </w:p>
        </w:tc>
        <w:tc>
          <w:tcPr>
            <w:tcW w:w="789" w:type="dxa"/>
            <w:tcBorders>
              <w:top w:val="nil"/>
              <w:left w:val="nil"/>
              <w:bottom w:val="single" w:sz="4" w:space="0" w:color="auto"/>
              <w:right w:val="single" w:sz="8" w:space="0" w:color="auto"/>
            </w:tcBorders>
            <w:shd w:val="clear" w:color="auto" w:fill="auto"/>
            <w:vAlign w:val="center"/>
          </w:tcPr>
          <w:p w14:paraId="0EA8FBB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6.7</w:t>
            </w:r>
          </w:p>
        </w:tc>
        <w:tc>
          <w:tcPr>
            <w:tcW w:w="789" w:type="dxa"/>
            <w:tcBorders>
              <w:top w:val="nil"/>
              <w:left w:val="nil"/>
              <w:bottom w:val="single" w:sz="4" w:space="0" w:color="auto"/>
              <w:right w:val="single" w:sz="8" w:space="0" w:color="auto"/>
            </w:tcBorders>
            <w:shd w:val="clear" w:color="auto" w:fill="auto"/>
            <w:vAlign w:val="center"/>
          </w:tcPr>
          <w:p w14:paraId="03CDEE7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5.8</w:t>
            </w:r>
          </w:p>
        </w:tc>
        <w:tc>
          <w:tcPr>
            <w:tcW w:w="789" w:type="dxa"/>
            <w:tcBorders>
              <w:top w:val="nil"/>
              <w:left w:val="nil"/>
              <w:bottom w:val="single" w:sz="4" w:space="0" w:color="auto"/>
              <w:right w:val="single" w:sz="8" w:space="0" w:color="auto"/>
            </w:tcBorders>
            <w:shd w:val="clear" w:color="auto" w:fill="auto"/>
            <w:vAlign w:val="center"/>
          </w:tcPr>
          <w:p w14:paraId="0E42AB5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4.9</w:t>
            </w:r>
          </w:p>
        </w:tc>
        <w:tc>
          <w:tcPr>
            <w:tcW w:w="799" w:type="dxa"/>
            <w:tcBorders>
              <w:top w:val="nil"/>
              <w:left w:val="nil"/>
              <w:bottom w:val="single" w:sz="4" w:space="0" w:color="auto"/>
              <w:right w:val="single" w:sz="8" w:space="0" w:color="auto"/>
            </w:tcBorders>
            <w:shd w:val="clear" w:color="auto" w:fill="auto"/>
            <w:vAlign w:val="center"/>
          </w:tcPr>
          <w:p w14:paraId="2EB40D7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5.6</w:t>
            </w:r>
          </w:p>
        </w:tc>
        <w:tc>
          <w:tcPr>
            <w:tcW w:w="794" w:type="dxa"/>
            <w:tcBorders>
              <w:top w:val="nil"/>
              <w:left w:val="nil"/>
              <w:bottom w:val="single" w:sz="4" w:space="0" w:color="auto"/>
              <w:right w:val="single" w:sz="8" w:space="0" w:color="auto"/>
            </w:tcBorders>
            <w:shd w:val="clear" w:color="auto" w:fill="auto"/>
            <w:vAlign w:val="center"/>
          </w:tcPr>
          <w:p w14:paraId="4C752E1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4.5</w:t>
            </w:r>
          </w:p>
        </w:tc>
        <w:tc>
          <w:tcPr>
            <w:tcW w:w="789" w:type="dxa"/>
            <w:tcBorders>
              <w:top w:val="nil"/>
              <w:left w:val="nil"/>
              <w:bottom w:val="single" w:sz="4" w:space="0" w:color="auto"/>
              <w:right w:val="single" w:sz="8" w:space="0" w:color="auto"/>
            </w:tcBorders>
            <w:shd w:val="clear" w:color="auto" w:fill="auto"/>
            <w:vAlign w:val="center"/>
          </w:tcPr>
          <w:p w14:paraId="4675704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4.5</w:t>
            </w:r>
          </w:p>
        </w:tc>
        <w:tc>
          <w:tcPr>
            <w:tcW w:w="789" w:type="dxa"/>
            <w:tcBorders>
              <w:top w:val="nil"/>
              <w:left w:val="nil"/>
              <w:bottom w:val="single" w:sz="4" w:space="0" w:color="auto"/>
              <w:right w:val="single" w:sz="8" w:space="0" w:color="auto"/>
            </w:tcBorders>
            <w:shd w:val="clear" w:color="auto" w:fill="auto"/>
            <w:vAlign w:val="center"/>
          </w:tcPr>
          <w:p w14:paraId="226265A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3.7</w:t>
            </w:r>
          </w:p>
        </w:tc>
        <w:tc>
          <w:tcPr>
            <w:tcW w:w="789" w:type="dxa"/>
            <w:tcBorders>
              <w:top w:val="nil"/>
              <w:left w:val="nil"/>
              <w:bottom w:val="single" w:sz="4" w:space="0" w:color="auto"/>
              <w:right w:val="single" w:sz="8" w:space="0" w:color="auto"/>
            </w:tcBorders>
            <w:shd w:val="clear" w:color="auto" w:fill="auto"/>
            <w:vAlign w:val="center"/>
          </w:tcPr>
          <w:p w14:paraId="33E1D70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3.5</w:t>
            </w:r>
          </w:p>
        </w:tc>
        <w:tc>
          <w:tcPr>
            <w:tcW w:w="789" w:type="dxa"/>
            <w:tcBorders>
              <w:top w:val="nil"/>
              <w:left w:val="nil"/>
              <w:bottom w:val="single" w:sz="4" w:space="0" w:color="auto"/>
              <w:right w:val="single" w:sz="8" w:space="0" w:color="auto"/>
            </w:tcBorders>
            <w:shd w:val="clear" w:color="auto" w:fill="auto"/>
            <w:vAlign w:val="center"/>
          </w:tcPr>
          <w:p w14:paraId="7A025BC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4.8</w:t>
            </w:r>
          </w:p>
        </w:tc>
      </w:tr>
      <w:tr w:rsidR="001C6605" w:rsidRPr="00AB15C7" w14:paraId="586D2B39" w14:textId="77777777" w:rsidTr="001C6605">
        <w:trPr>
          <w:trHeight w:val="510"/>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5075DA74"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F. </w:t>
            </w:r>
            <w:r w:rsidR="00D95E03" w:rsidRPr="00AB15C7">
              <w:rPr>
                <w:rFonts w:ascii="Cambria" w:hAnsi="Cambria" w:cs="Arial"/>
                <w:noProof/>
              </w:rPr>
              <w:t xml:space="preserve">Trgovina na veliko i trgovina na malo i popravka motornih vozila i motocikala </w:t>
            </w:r>
          </w:p>
        </w:tc>
        <w:tc>
          <w:tcPr>
            <w:tcW w:w="622" w:type="dxa"/>
            <w:tcBorders>
              <w:top w:val="nil"/>
              <w:left w:val="single" w:sz="8" w:space="0" w:color="auto"/>
              <w:bottom w:val="single" w:sz="4" w:space="0" w:color="auto"/>
              <w:right w:val="single" w:sz="8" w:space="0" w:color="auto"/>
            </w:tcBorders>
            <w:shd w:val="clear" w:color="auto" w:fill="auto"/>
            <w:vAlign w:val="center"/>
          </w:tcPr>
          <w:p w14:paraId="544A726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14.8</w:t>
            </w:r>
          </w:p>
        </w:tc>
        <w:tc>
          <w:tcPr>
            <w:tcW w:w="789" w:type="dxa"/>
            <w:tcBorders>
              <w:top w:val="nil"/>
              <w:left w:val="nil"/>
              <w:bottom w:val="single" w:sz="4" w:space="0" w:color="auto"/>
              <w:right w:val="single" w:sz="8" w:space="0" w:color="auto"/>
            </w:tcBorders>
            <w:shd w:val="clear" w:color="auto" w:fill="auto"/>
            <w:vAlign w:val="center"/>
          </w:tcPr>
          <w:p w14:paraId="4713A03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13.6</w:t>
            </w:r>
          </w:p>
        </w:tc>
        <w:tc>
          <w:tcPr>
            <w:tcW w:w="789" w:type="dxa"/>
            <w:tcBorders>
              <w:top w:val="nil"/>
              <w:left w:val="nil"/>
              <w:bottom w:val="single" w:sz="4" w:space="0" w:color="auto"/>
              <w:right w:val="single" w:sz="8" w:space="0" w:color="auto"/>
            </w:tcBorders>
            <w:shd w:val="clear" w:color="auto" w:fill="auto"/>
            <w:vAlign w:val="center"/>
          </w:tcPr>
          <w:p w14:paraId="56F69D7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11.8</w:t>
            </w:r>
          </w:p>
        </w:tc>
        <w:tc>
          <w:tcPr>
            <w:tcW w:w="789" w:type="dxa"/>
            <w:tcBorders>
              <w:top w:val="nil"/>
              <w:left w:val="nil"/>
              <w:bottom w:val="single" w:sz="4" w:space="0" w:color="auto"/>
              <w:right w:val="single" w:sz="8" w:space="0" w:color="auto"/>
            </w:tcBorders>
            <w:shd w:val="clear" w:color="auto" w:fill="auto"/>
            <w:vAlign w:val="center"/>
          </w:tcPr>
          <w:p w14:paraId="4E04F57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11.7</w:t>
            </w:r>
          </w:p>
        </w:tc>
        <w:tc>
          <w:tcPr>
            <w:tcW w:w="799" w:type="dxa"/>
            <w:tcBorders>
              <w:top w:val="nil"/>
              <w:left w:val="nil"/>
              <w:bottom w:val="single" w:sz="4" w:space="0" w:color="auto"/>
              <w:right w:val="single" w:sz="8" w:space="0" w:color="auto"/>
            </w:tcBorders>
            <w:shd w:val="clear" w:color="auto" w:fill="auto"/>
            <w:vAlign w:val="center"/>
          </w:tcPr>
          <w:p w14:paraId="2F49B86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12.3</w:t>
            </w:r>
          </w:p>
        </w:tc>
        <w:tc>
          <w:tcPr>
            <w:tcW w:w="794" w:type="dxa"/>
            <w:tcBorders>
              <w:top w:val="nil"/>
              <w:left w:val="nil"/>
              <w:bottom w:val="single" w:sz="4" w:space="0" w:color="auto"/>
              <w:right w:val="single" w:sz="8" w:space="0" w:color="auto"/>
            </w:tcBorders>
            <w:shd w:val="clear" w:color="auto" w:fill="auto"/>
            <w:vAlign w:val="center"/>
          </w:tcPr>
          <w:p w14:paraId="3A3385D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12.1</w:t>
            </w:r>
          </w:p>
        </w:tc>
        <w:tc>
          <w:tcPr>
            <w:tcW w:w="789" w:type="dxa"/>
            <w:tcBorders>
              <w:top w:val="nil"/>
              <w:left w:val="nil"/>
              <w:bottom w:val="single" w:sz="4" w:space="0" w:color="auto"/>
              <w:right w:val="single" w:sz="8" w:space="0" w:color="auto"/>
            </w:tcBorders>
            <w:shd w:val="clear" w:color="auto" w:fill="auto"/>
            <w:vAlign w:val="center"/>
          </w:tcPr>
          <w:p w14:paraId="65A2FED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12.3</w:t>
            </w:r>
          </w:p>
        </w:tc>
        <w:tc>
          <w:tcPr>
            <w:tcW w:w="789" w:type="dxa"/>
            <w:tcBorders>
              <w:top w:val="nil"/>
              <w:left w:val="nil"/>
              <w:bottom w:val="single" w:sz="4" w:space="0" w:color="auto"/>
              <w:right w:val="single" w:sz="8" w:space="0" w:color="auto"/>
            </w:tcBorders>
            <w:shd w:val="clear" w:color="auto" w:fill="auto"/>
            <w:vAlign w:val="center"/>
          </w:tcPr>
          <w:p w14:paraId="3918827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11.6</w:t>
            </w:r>
          </w:p>
        </w:tc>
        <w:tc>
          <w:tcPr>
            <w:tcW w:w="789" w:type="dxa"/>
            <w:tcBorders>
              <w:top w:val="nil"/>
              <w:left w:val="nil"/>
              <w:bottom w:val="single" w:sz="4" w:space="0" w:color="auto"/>
              <w:right w:val="single" w:sz="8" w:space="0" w:color="auto"/>
            </w:tcBorders>
            <w:shd w:val="clear" w:color="auto" w:fill="auto"/>
            <w:vAlign w:val="center"/>
          </w:tcPr>
          <w:p w14:paraId="7C51AD5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11.6</w:t>
            </w:r>
          </w:p>
        </w:tc>
        <w:tc>
          <w:tcPr>
            <w:tcW w:w="789" w:type="dxa"/>
            <w:tcBorders>
              <w:top w:val="nil"/>
              <w:left w:val="nil"/>
              <w:bottom w:val="single" w:sz="4" w:space="0" w:color="auto"/>
              <w:right w:val="single" w:sz="8" w:space="0" w:color="auto"/>
            </w:tcBorders>
            <w:shd w:val="clear" w:color="auto" w:fill="auto"/>
            <w:vAlign w:val="center"/>
          </w:tcPr>
          <w:p w14:paraId="6474304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12.1</w:t>
            </w:r>
          </w:p>
        </w:tc>
      </w:tr>
      <w:tr w:rsidR="001C6605" w:rsidRPr="00AB15C7" w14:paraId="18C2979C"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6F200737"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H. </w:t>
            </w:r>
            <w:r w:rsidR="00D95E03" w:rsidRPr="00AB15C7">
              <w:rPr>
                <w:rFonts w:ascii="Cambria" w:hAnsi="Cambria" w:cs="Arial"/>
                <w:noProof/>
              </w:rPr>
              <w:t xml:space="preserve">Saobraćaj i skladištenje </w:t>
            </w:r>
          </w:p>
        </w:tc>
        <w:tc>
          <w:tcPr>
            <w:tcW w:w="622" w:type="dxa"/>
            <w:tcBorders>
              <w:top w:val="nil"/>
              <w:left w:val="single" w:sz="8" w:space="0" w:color="auto"/>
              <w:bottom w:val="single" w:sz="4" w:space="0" w:color="auto"/>
              <w:right w:val="single" w:sz="8" w:space="0" w:color="auto"/>
            </w:tcBorders>
            <w:shd w:val="clear" w:color="auto" w:fill="auto"/>
            <w:vAlign w:val="center"/>
          </w:tcPr>
          <w:p w14:paraId="3AC1BD32"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4.5</w:t>
            </w:r>
          </w:p>
        </w:tc>
        <w:tc>
          <w:tcPr>
            <w:tcW w:w="789" w:type="dxa"/>
            <w:tcBorders>
              <w:top w:val="nil"/>
              <w:left w:val="nil"/>
              <w:bottom w:val="single" w:sz="4" w:space="0" w:color="auto"/>
              <w:right w:val="single" w:sz="8" w:space="0" w:color="auto"/>
            </w:tcBorders>
            <w:shd w:val="clear" w:color="auto" w:fill="auto"/>
            <w:vAlign w:val="center"/>
          </w:tcPr>
          <w:p w14:paraId="3583F684"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3.7</w:t>
            </w:r>
          </w:p>
        </w:tc>
        <w:tc>
          <w:tcPr>
            <w:tcW w:w="789" w:type="dxa"/>
            <w:tcBorders>
              <w:top w:val="nil"/>
              <w:left w:val="nil"/>
              <w:bottom w:val="single" w:sz="4" w:space="0" w:color="auto"/>
              <w:right w:val="single" w:sz="8" w:space="0" w:color="auto"/>
            </w:tcBorders>
            <w:shd w:val="clear" w:color="auto" w:fill="auto"/>
            <w:vAlign w:val="center"/>
          </w:tcPr>
          <w:p w14:paraId="2294E72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4.8</w:t>
            </w:r>
          </w:p>
        </w:tc>
        <w:tc>
          <w:tcPr>
            <w:tcW w:w="789" w:type="dxa"/>
            <w:tcBorders>
              <w:top w:val="nil"/>
              <w:left w:val="nil"/>
              <w:bottom w:val="single" w:sz="4" w:space="0" w:color="auto"/>
              <w:right w:val="single" w:sz="8" w:space="0" w:color="auto"/>
            </w:tcBorders>
            <w:shd w:val="clear" w:color="auto" w:fill="auto"/>
            <w:vAlign w:val="center"/>
          </w:tcPr>
          <w:p w14:paraId="45742AF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4.4</w:t>
            </w:r>
          </w:p>
        </w:tc>
        <w:tc>
          <w:tcPr>
            <w:tcW w:w="799" w:type="dxa"/>
            <w:tcBorders>
              <w:top w:val="nil"/>
              <w:left w:val="nil"/>
              <w:bottom w:val="single" w:sz="4" w:space="0" w:color="auto"/>
              <w:right w:val="single" w:sz="8" w:space="0" w:color="auto"/>
            </w:tcBorders>
            <w:shd w:val="clear" w:color="auto" w:fill="auto"/>
            <w:vAlign w:val="center"/>
          </w:tcPr>
          <w:p w14:paraId="14A12C3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4.4</w:t>
            </w:r>
          </w:p>
        </w:tc>
        <w:tc>
          <w:tcPr>
            <w:tcW w:w="794" w:type="dxa"/>
            <w:tcBorders>
              <w:top w:val="nil"/>
              <w:left w:val="nil"/>
              <w:bottom w:val="single" w:sz="4" w:space="0" w:color="auto"/>
              <w:right w:val="single" w:sz="8" w:space="0" w:color="auto"/>
            </w:tcBorders>
            <w:shd w:val="clear" w:color="auto" w:fill="auto"/>
            <w:vAlign w:val="center"/>
          </w:tcPr>
          <w:p w14:paraId="062ABFD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4.6</w:t>
            </w:r>
          </w:p>
        </w:tc>
        <w:tc>
          <w:tcPr>
            <w:tcW w:w="789" w:type="dxa"/>
            <w:tcBorders>
              <w:top w:val="nil"/>
              <w:left w:val="nil"/>
              <w:bottom w:val="single" w:sz="4" w:space="0" w:color="auto"/>
              <w:right w:val="single" w:sz="8" w:space="0" w:color="auto"/>
            </w:tcBorders>
            <w:shd w:val="clear" w:color="auto" w:fill="auto"/>
            <w:vAlign w:val="center"/>
          </w:tcPr>
          <w:p w14:paraId="310F080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4.2</w:t>
            </w:r>
          </w:p>
        </w:tc>
        <w:tc>
          <w:tcPr>
            <w:tcW w:w="789" w:type="dxa"/>
            <w:tcBorders>
              <w:top w:val="nil"/>
              <w:left w:val="nil"/>
              <w:bottom w:val="single" w:sz="4" w:space="0" w:color="auto"/>
              <w:right w:val="single" w:sz="8" w:space="0" w:color="auto"/>
            </w:tcBorders>
            <w:shd w:val="clear" w:color="auto" w:fill="auto"/>
            <w:vAlign w:val="center"/>
          </w:tcPr>
          <w:p w14:paraId="28B3DBB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3.8</w:t>
            </w:r>
          </w:p>
        </w:tc>
        <w:tc>
          <w:tcPr>
            <w:tcW w:w="789" w:type="dxa"/>
            <w:tcBorders>
              <w:top w:val="nil"/>
              <w:left w:val="nil"/>
              <w:bottom w:val="single" w:sz="4" w:space="0" w:color="auto"/>
              <w:right w:val="single" w:sz="8" w:space="0" w:color="auto"/>
            </w:tcBorders>
            <w:shd w:val="clear" w:color="auto" w:fill="auto"/>
            <w:vAlign w:val="center"/>
          </w:tcPr>
          <w:p w14:paraId="17010042"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3.6</w:t>
            </w:r>
          </w:p>
        </w:tc>
        <w:tc>
          <w:tcPr>
            <w:tcW w:w="789" w:type="dxa"/>
            <w:tcBorders>
              <w:top w:val="nil"/>
              <w:left w:val="nil"/>
              <w:bottom w:val="single" w:sz="4" w:space="0" w:color="auto"/>
              <w:right w:val="single" w:sz="8" w:space="0" w:color="auto"/>
            </w:tcBorders>
            <w:shd w:val="clear" w:color="auto" w:fill="auto"/>
            <w:vAlign w:val="center"/>
          </w:tcPr>
          <w:p w14:paraId="1C73925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3.7</w:t>
            </w:r>
          </w:p>
        </w:tc>
      </w:tr>
      <w:tr w:rsidR="001C6605" w:rsidRPr="00AB15C7" w14:paraId="079FFB70"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7C3EFA62"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I. </w:t>
            </w:r>
            <w:r w:rsidR="00D95E03" w:rsidRPr="00AB15C7">
              <w:rPr>
                <w:rFonts w:ascii="Cambria" w:hAnsi="Cambria" w:cs="Arial"/>
                <w:noProof/>
              </w:rPr>
              <w:t xml:space="preserve">Usluge pružanja smještaja i ishrane </w:t>
            </w:r>
          </w:p>
        </w:tc>
        <w:tc>
          <w:tcPr>
            <w:tcW w:w="622" w:type="dxa"/>
            <w:tcBorders>
              <w:top w:val="nil"/>
              <w:left w:val="single" w:sz="8" w:space="0" w:color="auto"/>
              <w:bottom w:val="single" w:sz="4" w:space="0" w:color="auto"/>
              <w:right w:val="single" w:sz="8" w:space="0" w:color="auto"/>
            </w:tcBorders>
            <w:shd w:val="clear" w:color="auto" w:fill="auto"/>
            <w:vAlign w:val="center"/>
          </w:tcPr>
          <w:p w14:paraId="1718831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4.4</w:t>
            </w:r>
          </w:p>
        </w:tc>
        <w:tc>
          <w:tcPr>
            <w:tcW w:w="789" w:type="dxa"/>
            <w:tcBorders>
              <w:top w:val="nil"/>
              <w:left w:val="nil"/>
              <w:bottom w:val="single" w:sz="4" w:space="0" w:color="auto"/>
              <w:right w:val="single" w:sz="8" w:space="0" w:color="auto"/>
            </w:tcBorders>
            <w:shd w:val="clear" w:color="auto" w:fill="auto"/>
            <w:vAlign w:val="center"/>
          </w:tcPr>
          <w:p w14:paraId="22696B50"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4.2</w:t>
            </w:r>
          </w:p>
        </w:tc>
        <w:tc>
          <w:tcPr>
            <w:tcW w:w="789" w:type="dxa"/>
            <w:tcBorders>
              <w:top w:val="nil"/>
              <w:left w:val="nil"/>
              <w:bottom w:val="single" w:sz="4" w:space="0" w:color="auto"/>
              <w:right w:val="single" w:sz="8" w:space="0" w:color="auto"/>
            </w:tcBorders>
            <w:shd w:val="clear" w:color="auto" w:fill="auto"/>
            <w:vAlign w:val="center"/>
          </w:tcPr>
          <w:p w14:paraId="414695C2"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4.3</w:t>
            </w:r>
          </w:p>
        </w:tc>
        <w:tc>
          <w:tcPr>
            <w:tcW w:w="789" w:type="dxa"/>
            <w:tcBorders>
              <w:top w:val="nil"/>
              <w:left w:val="nil"/>
              <w:bottom w:val="single" w:sz="4" w:space="0" w:color="auto"/>
              <w:right w:val="single" w:sz="8" w:space="0" w:color="auto"/>
            </w:tcBorders>
            <w:shd w:val="clear" w:color="auto" w:fill="auto"/>
            <w:vAlign w:val="center"/>
          </w:tcPr>
          <w:p w14:paraId="4BEC0812"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5.4</w:t>
            </w:r>
          </w:p>
        </w:tc>
        <w:tc>
          <w:tcPr>
            <w:tcW w:w="799" w:type="dxa"/>
            <w:tcBorders>
              <w:top w:val="nil"/>
              <w:left w:val="nil"/>
              <w:bottom w:val="single" w:sz="4" w:space="0" w:color="auto"/>
              <w:right w:val="single" w:sz="8" w:space="0" w:color="auto"/>
            </w:tcBorders>
            <w:shd w:val="clear" w:color="auto" w:fill="auto"/>
            <w:vAlign w:val="center"/>
          </w:tcPr>
          <w:p w14:paraId="38FE772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5.3</w:t>
            </w:r>
          </w:p>
        </w:tc>
        <w:tc>
          <w:tcPr>
            <w:tcW w:w="794" w:type="dxa"/>
            <w:tcBorders>
              <w:top w:val="nil"/>
              <w:left w:val="nil"/>
              <w:bottom w:val="single" w:sz="4" w:space="0" w:color="auto"/>
              <w:right w:val="single" w:sz="8" w:space="0" w:color="auto"/>
            </w:tcBorders>
            <w:shd w:val="clear" w:color="auto" w:fill="auto"/>
            <w:vAlign w:val="center"/>
          </w:tcPr>
          <w:p w14:paraId="152DDA21"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7.0</w:t>
            </w:r>
          </w:p>
        </w:tc>
        <w:tc>
          <w:tcPr>
            <w:tcW w:w="789" w:type="dxa"/>
            <w:tcBorders>
              <w:top w:val="nil"/>
              <w:left w:val="nil"/>
              <w:bottom w:val="single" w:sz="4" w:space="0" w:color="auto"/>
              <w:right w:val="single" w:sz="8" w:space="0" w:color="auto"/>
            </w:tcBorders>
            <w:shd w:val="clear" w:color="auto" w:fill="auto"/>
            <w:vAlign w:val="center"/>
          </w:tcPr>
          <w:p w14:paraId="1B15D7F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6.8</w:t>
            </w:r>
          </w:p>
        </w:tc>
        <w:tc>
          <w:tcPr>
            <w:tcW w:w="789" w:type="dxa"/>
            <w:tcBorders>
              <w:top w:val="nil"/>
              <w:left w:val="nil"/>
              <w:bottom w:val="single" w:sz="4" w:space="0" w:color="auto"/>
              <w:right w:val="single" w:sz="8" w:space="0" w:color="auto"/>
            </w:tcBorders>
            <w:shd w:val="clear" w:color="auto" w:fill="auto"/>
            <w:vAlign w:val="center"/>
          </w:tcPr>
          <w:p w14:paraId="300BE100"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6.5</w:t>
            </w:r>
          </w:p>
        </w:tc>
        <w:tc>
          <w:tcPr>
            <w:tcW w:w="789" w:type="dxa"/>
            <w:tcBorders>
              <w:top w:val="nil"/>
              <w:left w:val="nil"/>
              <w:bottom w:val="single" w:sz="4" w:space="0" w:color="auto"/>
              <w:right w:val="single" w:sz="8" w:space="0" w:color="auto"/>
            </w:tcBorders>
            <w:shd w:val="clear" w:color="auto" w:fill="auto"/>
            <w:vAlign w:val="center"/>
          </w:tcPr>
          <w:p w14:paraId="52C3798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7.4</w:t>
            </w:r>
          </w:p>
        </w:tc>
        <w:tc>
          <w:tcPr>
            <w:tcW w:w="789" w:type="dxa"/>
            <w:tcBorders>
              <w:top w:val="nil"/>
              <w:left w:val="nil"/>
              <w:bottom w:val="single" w:sz="4" w:space="0" w:color="auto"/>
              <w:right w:val="single" w:sz="8" w:space="0" w:color="auto"/>
            </w:tcBorders>
            <w:shd w:val="clear" w:color="auto" w:fill="auto"/>
            <w:vAlign w:val="center"/>
          </w:tcPr>
          <w:p w14:paraId="301A9A5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7.5</w:t>
            </w:r>
          </w:p>
        </w:tc>
      </w:tr>
      <w:tr w:rsidR="001C6605" w:rsidRPr="00AB15C7" w14:paraId="4DCF3CE6"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1F7DA685"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J. </w:t>
            </w:r>
            <w:r w:rsidR="00D95E03" w:rsidRPr="00AB15C7">
              <w:rPr>
                <w:rFonts w:ascii="Cambria" w:hAnsi="Cambria" w:cs="Arial"/>
                <w:noProof/>
              </w:rPr>
              <w:t xml:space="preserve">Informisanje i komunikacija </w:t>
            </w:r>
          </w:p>
        </w:tc>
        <w:tc>
          <w:tcPr>
            <w:tcW w:w="622" w:type="dxa"/>
            <w:tcBorders>
              <w:top w:val="nil"/>
              <w:left w:val="single" w:sz="8" w:space="0" w:color="auto"/>
              <w:bottom w:val="single" w:sz="4" w:space="0" w:color="auto"/>
              <w:right w:val="single" w:sz="8" w:space="0" w:color="auto"/>
            </w:tcBorders>
            <w:shd w:val="clear" w:color="auto" w:fill="auto"/>
            <w:vAlign w:val="center"/>
          </w:tcPr>
          <w:p w14:paraId="326A03F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5.6</w:t>
            </w:r>
          </w:p>
        </w:tc>
        <w:tc>
          <w:tcPr>
            <w:tcW w:w="789" w:type="dxa"/>
            <w:tcBorders>
              <w:top w:val="nil"/>
              <w:left w:val="nil"/>
              <w:bottom w:val="single" w:sz="4" w:space="0" w:color="auto"/>
              <w:right w:val="single" w:sz="8" w:space="0" w:color="auto"/>
            </w:tcBorders>
            <w:shd w:val="clear" w:color="auto" w:fill="auto"/>
            <w:vAlign w:val="center"/>
          </w:tcPr>
          <w:p w14:paraId="28264DA2"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5.4</w:t>
            </w:r>
          </w:p>
        </w:tc>
        <w:tc>
          <w:tcPr>
            <w:tcW w:w="789" w:type="dxa"/>
            <w:tcBorders>
              <w:top w:val="nil"/>
              <w:left w:val="nil"/>
              <w:bottom w:val="single" w:sz="4" w:space="0" w:color="auto"/>
              <w:right w:val="single" w:sz="8" w:space="0" w:color="auto"/>
            </w:tcBorders>
            <w:shd w:val="clear" w:color="auto" w:fill="auto"/>
            <w:vAlign w:val="center"/>
          </w:tcPr>
          <w:p w14:paraId="607CF6D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5.7</w:t>
            </w:r>
          </w:p>
        </w:tc>
        <w:tc>
          <w:tcPr>
            <w:tcW w:w="789" w:type="dxa"/>
            <w:tcBorders>
              <w:top w:val="nil"/>
              <w:left w:val="nil"/>
              <w:bottom w:val="single" w:sz="4" w:space="0" w:color="auto"/>
              <w:right w:val="single" w:sz="8" w:space="0" w:color="auto"/>
            </w:tcBorders>
            <w:shd w:val="clear" w:color="auto" w:fill="auto"/>
            <w:vAlign w:val="center"/>
          </w:tcPr>
          <w:p w14:paraId="3516C91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5.4</w:t>
            </w:r>
          </w:p>
        </w:tc>
        <w:tc>
          <w:tcPr>
            <w:tcW w:w="799" w:type="dxa"/>
            <w:tcBorders>
              <w:top w:val="nil"/>
              <w:left w:val="nil"/>
              <w:bottom w:val="single" w:sz="4" w:space="0" w:color="auto"/>
              <w:right w:val="single" w:sz="8" w:space="0" w:color="auto"/>
            </w:tcBorders>
            <w:shd w:val="clear" w:color="auto" w:fill="auto"/>
            <w:vAlign w:val="center"/>
          </w:tcPr>
          <w:p w14:paraId="462E0EB0"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5.7</w:t>
            </w:r>
          </w:p>
        </w:tc>
        <w:tc>
          <w:tcPr>
            <w:tcW w:w="794" w:type="dxa"/>
            <w:tcBorders>
              <w:top w:val="nil"/>
              <w:left w:val="nil"/>
              <w:bottom w:val="single" w:sz="4" w:space="0" w:color="auto"/>
              <w:right w:val="single" w:sz="8" w:space="0" w:color="auto"/>
            </w:tcBorders>
            <w:shd w:val="clear" w:color="auto" w:fill="auto"/>
            <w:vAlign w:val="center"/>
          </w:tcPr>
          <w:p w14:paraId="6FF655C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5.3</w:t>
            </w:r>
          </w:p>
        </w:tc>
        <w:tc>
          <w:tcPr>
            <w:tcW w:w="789" w:type="dxa"/>
            <w:tcBorders>
              <w:top w:val="nil"/>
              <w:left w:val="nil"/>
              <w:bottom w:val="single" w:sz="4" w:space="0" w:color="auto"/>
              <w:right w:val="single" w:sz="8" w:space="0" w:color="auto"/>
            </w:tcBorders>
            <w:shd w:val="clear" w:color="auto" w:fill="auto"/>
            <w:vAlign w:val="center"/>
          </w:tcPr>
          <w:p w14:paraId="58454C9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4.5</w:t>
            </w:r>
          </w:p>
        </w:tc>
        <w:tc>
          <w:tcPr>
            <w:tcW w:w="789" w:type="dxa"/>
            <w:tcBorders>
              <w:top w:val="nil"/>
              <w:left w:val="nil"/>
              <w:bottom w:val="single" w:sz="4" w:space="0" w:color="auto"/>
              <w:right w:val="single" w:sz="8" w:space="0" w:color="auto"/>
            </w:tcBorders>
            <w:shd w:val="clear" w:color="auto" w:fill="auto"/>
            <w:vAlign w:val="center"/>
          </w:tcPr>
          <w:p w14:paraId="7599328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4.4</w:t>
            </w:r>
          </w:p>
        </w:tc>
        <w:tc>
          <w:tcPr>
            <w:tcW w:w="789" w:type="dxa"/>
            <w:tcBorders>
              <w:top w:val="nil"/>
              <w:left w:val="nil"/>
              <w:bottom w:val="single" w:sz="4" w:space="0" w:color="auto"/>
              <w:right w:val="single" w:sz="8" w:space="0" w:color="auto"/>
            </w:tcBorders>
            <w:shd w:val="clear" w:color="auto" w:fill="auto"/>
            <w:vAlign w:val="center"/>
          </w:tcPr>
          <w:p w14:paraId="11341274"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4.2</w:t>
            </w:r>
          </w:p>
        </w:tc>
        <w:tc>
          <w:tcPr>
            <w:tcW w:w="789" w:type="dxa"/>
            <w:tcBorders>
              <w:top w:val="nil"/>
              <w:left w:val="nil"/>
              <w:bottom w:val="single" w:sz="4" w:space="0" w:color="auto"/>
              <w:right w:val="single" w:sz="8" w:space="0" w:color="auto"/>
            </w:tcBorders>
            <w:shd w:val="clear" w:color="auto" w:fill="auto"/>
            <w:vAlign w:val="center"/>
          </w:tcPr>
          <w:p w14:paraId="15B4A29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3.9</w:t>
            </w:r>
          </w:p>
        </w:tc>
      </w:tr>
      <w:tr w:rsidR="001C6605" w:rsidRPr="00AB15C7" w14:paraId="753191D1"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2260118F"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K. </w:t>
            </w:r>
            <w:r w:rsidR="00D95E03" w:rsidRPr="00AB15C7">
              <w:rPr>
                <w:rFonts w:ascii="Cambria" w:hAnsi="Cambria" w:cs="Arial"/>
                <w:noProof/>
              </w:rPr>
              <w:t>Finansijske djelatnosti i djelatnosti osiguranja</w:t>
            </w:r>
          </w:p>
        </w:tc>
        <w:tc>
          <w:tcPr>
            <w:tcW w:w="622" w:type="dxa"/>
            <w:tcBorders>
              <w:top w:val="nil"/>
              <w:left w:val="single" w:sz="8" w:space="0" w:color="auto"/>
              <w:bottom w:val="single" w:sz="4" w:space="0" w:color="auto"/>
              <w:right w:val="single" w:sz="8" w:space="0" w:color="auto"/>
            </w:tcBorders>
            <w:shd w:val="clear" w:color="auto" w:fill="auto"/>
            <w:vAlign w:val="center"/>
          </w:tcPr>
          <w:p w14:paraId="5A8E51C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2.7</w:t>
            </w:r>
          </w:p>
        </w:tc>
        <w:tc>
          <w:tcPr>
            <w:tcW w:w="789" w:type="dxa"/>
            <w:tcBorders>
              <w:top w:val="nil"/>
              <w:left w:val="nil"/>
              <w:bottom w:val="single" w:sz="4" w:space="0" w:color="auto"/>
              <w:right w:val="single" w:sz="8" w:space="0" w:color="auto"/>
            </w:tcBorders>
            <w:shd w:val="clear" w:color="auto" w:fill="auto"/>
            <w:vAlign w:val="center"/>
          </w:tcPr>
          <w:p w14:paraId="20E4D774"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3.7</w:t>
            </w:r>
          </w:p>
        </w:tc>
        <w:tc>
          <w:tcPr>
            <w:tcW w:w="789" w:type="dxa"/>
            <w:tcBorders>
              <w:top w:val="nil"/>
              <w:left w:val="nil"/>
              <w:bottom w:val="single" w:sz="4" w:space="0" w:color="auto"/>
              <w:right w:val="single" w:sz="8" w:space="0" w:color="auto"/>
            </w:tcBorders>
            <w:shd w:val="clear" w:color="auto" w:fill="auto"/>
            <w:vAlign w:val="center"/>
          </w:tcPr>
          <w:p w14:paraId="062A368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4.1</w:t>
            </w:r>
          </w:p>
        </w:tc>
        <w:tc>
          <w:tcPr>
            <w:tcW w:w="789" w:type="dxa"/>
            <w:tcBorders>
              <w:top w:val="nil"/>
              <w:left w:val="nil"/>
              <w:bottom w:val="single" w:sz="4" w:space="0" w:color="auto"/>
              <w:right w:val="single" w:sz="8" w:space="0" w:color="auto"/>
            </w:tcBorders>
            <w:shd w:val="clear" w:color="auto" w:fill="auto"/>
            <w:vAlign w:val="center"/>
          </w:tcPr>
          <w:p w14:paraId="1C7B04D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4.4</w:t>
            </w:r>
          </w:p>
        </w:tc>
        <w:tc>
          <w:tcPr>
            <w:tcW w:w="799" w:type="dxa"/>
            <w:tcBorders>
              <w:top w:val="nil"/>
              <w:left w:val="nil"/>
              <w:bottom w:val="single" w:sz="4" w:space="0" w:color="auto"/>
              <w:right w:val="single" w:sz="8" w:space="0" w:color="auto"/>
            </w:tcBorders>
            <w:shd w:val="clear" w:color="auto" w:fill="auto"/>
            <w:vAlign w:val="center"/>
          </w:tcPr>
          <w:p w14:paraId="36760C4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4.3</w:t>
            </w:r>
          </w:p>
        </w:tc>
        <w:tc>
          <w:tcPr>
            <w:tcW w:w="794" w:type="dxa"/>
            <w:tcBorders>
              <w:top w:val="nil"/>
              <w:left w:val="nil"/>
              <w:bottom w:val="single" w:sz="4" w:space="0" w:color="auto"/>
              <w:right w:val="single" w:sz="8" w:space="0" w:color="auto"/>
            </w:tcBorders>
            <w:shd w:val="clear" w:color="auto" w:fill="auto"/>
            <w:vAlign w:val="center"/>
          </w:tcPr>
          <w:p w14:paraId="69C25EB4"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4.5</w:t>
            </w:r>
          </w:p>
        </w:tc>
        <w:tc>
          <w:tcPr>
            <w:tcW w:w="789" w:type="dxa"/>
            <w:tcBorders>
              <w:top w:val="nil"/>
              <w:left w:val="nil"/>
              <w:bottom w:val="single" w:sz="4" w:space="0" w:color="auto"/>
              <w:right w:val="single" w:sz="8" w:space="0" w:color="auto"/>
            </w:tcBorders>
            <w:shd w:val="clear" w:color="auto" w:fill="auto"/>
            <w:vAlign w:val="center"/>
          </w:tcPr>
          <w:p w14:paraId="60B807D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3.8</w:t>
            </w:r>
          </w:p>
        </w:tc>
        <w:tc>
          <w:tcPr>
            <w:tcW w:w="789" w:type="dxa"/>
            <w:tcBorders>
              <w:top w:val="nil"/>
              <w:left w:val="nil"/>
              <w:bottom w:val="single" w:sz="4" w:space="0" w:color="auto"/>
              <w:right w:val="single" w:sz="8" w:space="0" w:color="auto"/>
            </w:tcBorders>
            <w:shd w:val="clear" w:color="auto" w:fill="auto"/>
            <w:vAlign w:val="center"/>
          </w:tcPr>
          <w:p w14:paraId="0F11A4E4"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4.6</w:t>
            </w:r>
          </w:p>
        </w:tc>
        <w:tc>
          <w:tcPr>
            <w:tcW w:w="789" w:type="dxa"/>
            <w:tcBorders>
              <w:top w:val="nil"/>
              <w:left w:val="nil"/>
              <w:bottom w:val="single" w:sz="4" w:space="0" w:color="auto"/>
              <w:right w:val="single" w:sz="8" w:space="0" w:color="auto"/>
            </w:tcBorders>
            <w:shd w:val="clear" w:color="auto" w:fill="auto"/>
            <w:vAlign w:val="center"/>
          </w:tcPr>
          <w:p w14:paraId="32EF73E1"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4.8</w:t>
            </w:r>
          </w:p>
        </w:tc>
        <w:tc>
          <w:tcPr>
            <w:tcW w:w="789" w:type="dxa"/>
            <w:tcBorders>
              <w:top w:val="nil"/>
              <w:left w:val="nil"/>
              <w:bottom w:val="single" w:sz="4" w:space="0" w:color="auto"/>
              <w:right w:val="single" w:sz="8" w:space="0" w:color="auto"/>
            </w:tcBorders>
            <w:shd w:val="clear" w:color="auto" w:fill="auto"/>
            <w:vAlign w:val="center"/>
          </w:tcPr>
          <w:p w14:paraId="273D494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4.8</w:t>
            </w:r>
          </w:p>
        </w:tc>
      </w:tr>
      <w:tr w:rsidR="001C6605" w:rsidRPr="00AB15C7" w14:paraId="14A75D78"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09B3FB63"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L. </w:t>
            </w:r>
            <w:r w:rsidR="00D95E03" w:rsidRPr="00AB15C7">
              <w:rPr>
                <w:rFonts w:ascii="Cambria" w:hAnsi="Cambria" w:cs="Arial"/>
                <w:noProof/>
              </w:rPr>
              <w:t xml:space="preserve">Poslovanje nekretninama </w:t>
            </w:r>
          </w:p>
        </w:tc>
        <w:tc>
          <w:tcPr>
            <w:tcW w:w="622" w:type="dxa"/>
            <w:tcBorders>
              <w:top w:val="nil"/>
              <w:left w:val="single" w:sz="8" w:space="0" w:color="auto"/>
              <w:bottom w:val="single" w:sz="4" w:space="0" w:color="auto"/>
              <w:right w:val="single" w:sz="8" w:space="0" w:color="auto"/>
            </w:tcBorders>
            <w:shd w:val="clear" w:color="auto" w:fill="auto"/>
            <w:vAlign w:val="center"/>
          </w:tcPr>
          <w:p w14:paraId="58BFAD3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8.7</w:t>
            </w:r>
          </w:p>
        </w:tc>
        <w:tc>
          <w:tcPr>
            <w:tcW w:w="789" w:type="dxa"/>
            <w:tcBorders>
              <w:top w:val="nil"/>
              <w:left w:val="nil"/>
              <w:bottom w:val="single" w:sz="4" w:space="0" w:color="auto"/>
              <w:right w:val="single" w:sz="8" w:space="0" w:color="auto"/>
            </w:tcBorders>
            <w:shd w:val="clear" w:color="auto" w:fill="auto"/>
            <w:vAlign w:val="center"/>
          </w:tcPr>
          <w:p w14:paraId="4C646C1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6.9</w:t>
            </w:r>
          </w:p>
        </w:tc>
        <w:tc>
          <w:tcPr>
            <w:tcW w:w="789" w:type="dxa"/>
            <w:tcBorders>
              <w:top w:val="nil"/>
              <w:left w:val="nil"/>
              <w:bottom w:val="single" w:sz="4" w:space="0" w:color="auto"/>
              <w:right w:val="single" w:sz="8" w:space="0" w:color="auto"/>
            </w:tcBorders>
            <w:shd w:val="clear" w:color="auto" w:fill="auto"/>
            <w:vAlign w:val="center"/>
          </w:tcPr>
          <w:p w14:paraId="4394BEF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6.7</w:t>
            </w:r>
          </w:p>
        </w:tc>
        <w:tc>
          <w:tcPr>
            <w:tcW w:w="789" w:type="dxa"/>
            <w:tcBorders>
              <w:top w:val="nil"/>
              <w:left w:val="nil"/>
              <w:bottom w:val="single" w:sz="4" w:space="0" w:color="auto"/>
              <w:right w:val="single" w:sz="8" w:space="0" w:color="auto"/>
            </w:tcBorders>
            <w:shd w:val="clear" w:color="auto" w:fill="auto"/>
            <w:vAlign w:val="center"/>
          </w:tcPr>
          <w:p w14:paraId="3C701F6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6.2</w:t>
            </w:r>
          </w:p>
        </w:tc>
        <w:tc>
          <w:tcPr>
            <w:tcW w:w="799" w:type="dxa"/>
            <w:tcBorders>
              <w:top w:val="nil"/>
              <w:left w:val="nil"/>
              <w:bottom w:val="single" w:sz="4" w:space="0" w:color="auto"/>
              <w:right w:val="single" w:sz="8" w:space="0" w:color="auto"/>
            </w:tcBorders>
            <w:shd w:val="clear" w:color="auto" w:fill="auto"/>
            <w:vAlign w:val="center"/>
          </w:tcPr>
          <w:p w14:paraId="3471289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6.0</w:t>
            </w:r>
          </w:p>
        </w:tc>
        <w:tc>
          <w:tcPr>
            <w:tcW w:w="794" w:type="dxa"/>
            <w:tcBorders>
              <w:top w:val="nil"/>
              <w:left w:val="nil"/>
              <w:bottom w:val="single" w:sz="4" w:space="0" w:color="auto"/>
              <w:right w:val="single" w:sz="8" w:space="0" w:color="auto"/>
            </w:tcBorders>
            <w:shd w:val="clear" w:color="auto" w:fill="auto"/>
            <w:vAlign w:val="center"/>
          </w:tcPr>
          <w:p w14:paraId="742F7DA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6.4</w:t>
            </w:r>
          </w:p>
        </w:tc>
        <w:tc>
          <w:tcPr>
            <w:tcW w:w="789" w:type="dxa"/>
            <w:tcBorders>
              <w:top w:val="nil"/>
              <w:left w:val="nil"/>
              <w:bottom w:val="single" w:sz="4" w:space="0" w:color="auto"/>
              <w:right w:val="single" w:sz="8" w:space="0" w:color="auto"/>
            </w:tcBorders>
            <w:shd w:val="clear" w:color="auto" w:fill="auto"/>
            <w:vAlign w:val="center"/>
          </w:tcPr>
          <w:p w14:paraId="5CF4441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6.7</w:t>
            </w:r>
          </w:p>
        </w:tc>
        <w:tc>
          <w:tcPr>
            <w:tcW w:w="789" w:type="dxa"/>
            <w:tcBorders>
              <w:top w:val="nil"/>
              <w:left w:val="nil"/>
              <w:bottom w:val="single" w:sz="4" w:space="0" w:color="auto"/>
              <w:right w:val="single" w:sz="8" w:space="0" w:color="auto"/>
            </w:tcBorders>
            <w:shd w:val="clear" w:color="auto" w:fill="auto"/>
            <w:vAlign w:val="center"/>
          </w:tcPr>
          <w:p w14:paraId="21E5DB4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6.5</w:t>
            </w:r>
          </w:p>
        </w:tc>
        <w:tc>
          <w:tcPr>
            <w:tcW w:w="789" w:type="dxa"/>
            <w:tcBorders>
              <w:top w:val="nil"/>
              <w:left w:val="nil"/>
              <w:bottom w:val="single" w:sz="4" w:space="0" w:color="auto"/>
              <w:right w:val="single" w:sz="8" w:space="0" w:color="auto"/>
            </w:tcBorders>
            <w:shd w:val="clear" w:color="auto" w:fill="auto"/>
            <w:vAlign w:val="center"/>
          </w:tcPr>
          <w:p w14:paraId="0A1A55B1"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6.4</w:t>
            </w:r>
          </w:p>
        </w:tc>
        <w:tc>
          <w:tcPr>
            <w:tcW w:w="789" w:type="dxa"/>
            <w:tcBorders>
              <w:top w:val="nil"/>
              <w:left w:val="nil"/>
              <w:bottom w:val="single" w:sz="4" w:space="0" w:color="auto"/>
              <w:right w:val="single" w:sz="8" w:space="0" w:color="auto"/>
            </w:tcBorders>
            <w:shd w:val="clear" w:color="auto" w:fill="auto"/>
            <w:vAlign w:val="center"/>
          </w:tcPr>
          <w:p w14:paraId="2F56166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6.2</w:t>
            </w:r>
          </w:p>
        </w:tc>
      </w:tr>
      <w:tr w:rsidR="001C6605" w:rsidRPr="00AB15C7" w14:paraId="76DC906F"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73B98075"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M. </w:t>
            </w:r>
            <w:r w:rsidR="00D95E03" w:rsidRPr="00AB15C7">
              <w:rPr>
                <w:rFonts w:ascii="Cambria" w:hAnsi="Cambria" w:cs="Arial"/>
                <w:noProof/>
              </w:rPr>
              <w:t xml:space="preserve">Stručne, naučne i tehničke djelatnosti </w:t>
            </w:r>
          </w:p>
        </w:tc>
        <w:tc>
          <w:tcPr>
            <w:tcW w:w="622" w:type="dxa"/>
            <w:tcBorders>
              <w:top w:val="nil"/>
              <w:left w:val="single" w:sz="8" w:space="0" w:color="auto"/>
              <w:bottom w:val="single" w:sz="4" w:space="0" w:color="auto"/>
              <w:right w:val="single" w:sz="8" w:space="0" w:color="auto"/>
            </w:tcBorders>
            <w:shd w:val="clear" w:color="auto" w:fill="auto"/>
            <w:vAlign w:val="center"/>
          </w:tcPr>
          <w:p w14:paraId="2E820DB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1.4</w:t>
            </w:r>
          </w:p>
        </w:tc>
        <w:tc>
          <w:tcPr>
            <w:tcW w:w="789" w:type="dxa"/>
            <w:tcBorders>
              <w:top w:val="nil"/>
              <w:left w:val="nil"/>
              <w:bottom w:val="single" w:sz="4" w:space="0" w:color="auto"/>
              <w:right w:val="single" w:sz="8" w:space="0" w:color="auto"/>
            </w:tcBorders>
            <w:shd w:val="clear" w:color="auto" w:fill="auto"/>
            <w:vAlign w:val="center"/>
          </w:tcPr>
          <w:p w14:paraId="4E5570E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1.8</w:t>
            </w:r>
          </w:p>
        </w:tc>
        <w:tc>
          <w:tcPr>
            <w:tcW w:w="789" w:type="dxa"/>
            <w:tcBorders>
              <w:top w:val="nil"/>
              <w:left w:val="nil"/>
              <w:bottom w:val="single" w:sz="4" w:space="0" w:color="auto"/>
              <w:right w:val="single" w:sz="8" w:space="0" w:color="auto"/>
            </w:tcBorders>
            <w:shd w:val="clear" w:color="auto" w:fill="auto"/>
            <w:vAlign w:val="center"/>
          </w:tcPr>
          <w:p w14:paraId="3ED97A6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1.7</w:t>
            </w:r>
          </w:p>
        </w:tc>
        <w:tc>
          <w:tcPr>
            <w:tcW w:w="789" w:type="dxa"/>
            <w:tcBorders>
              <w:top w:val="nil"/>
              <w:left w:val="nil"/>
              <w:bottom w:val="single" w:sz="4" w:space="0" w:color="auto"/>
              <w:right w:val="single" w:sz="8" w:space="0" w:color="auto"/>
            </w:tcBorders>
            <w:shd w:val="clear" w:color="auto" w:fill="auto"/>
            <w:vAlign w:val="center"/>
          </w:tcPr>
          <w:p w14:paraId="3839A081"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1.6</w:t>
            </w:r>
          </w:p>
        </w:tc>
        <w:tc>
          <w:tcPr>
            <w:tcW w:w="799" w:type="dxa"/>
            <w:tcBorders>
              <w:top w:val="nil"/>
              <w:left w:val="nil"/>
              <w:bottom w:val="single" w:sz="4" w:space="0" w:color="auto"/>
              <w:right w:val="single" w:sz="8" w:space="0" w:color="auto"/>
            </w:tcBorders>
            <w:shd w:val="clear" w:color="auto" w:fill="auto"/>
            <w:vAlign w:val="center"/>
          </w:tcPr>
          <w:p w14:paraId="15CF3B9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2.4</w:t>
            </w:r>
          </w:p>
        </w:tc>
        <w:tc>
          <w:tcPr>
            <w:tcW w:w="794" w:type="dxa"/>
            <w:tcBorders>
              <w:top w:val="nil"/>
              <w:left w:val="nil"/>
              <w:bottom w:val="single" w:sz="4" w:space="0" w:color="auto"/>
              <w:right w:val="single" w:sz="8" w:space="0" w:color="auto"/>
            </w:tcBorders>
            <w:shd w:val="clear" w:color="auto" w:fill="auto"/>
            <w:vAlign w:val="center"/>
          </w:tcPr>
          <w:p w14:paraId="4A2E220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2.9</w:t>
            </w:r>
          </w:p>
        </w:tc>
        <w:tc>
          <w:tcPr>
            <w:tcW w:w="789" w:type="dxa"/>
            <w:tcBorders>
              <w:top w:val="nil"/>
              <w:left w:val="nil"/>
              <w:bottom w:val="single" w:sz="4" w:space="0" w:color="auto"/>
              <w:right w:val="single" w:sz="8" w:space="0" w:color="auto"/>
            </w:tcBorders>
            <w:shd w:val="clear" w:color="auto" w:fill="auto"/>
            <w:vAlign w:val="center"/>
          </w:tcPr>
          <w:p w14:paraId="66DCC21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2.9</w:t>
            </w:r>
          </w:p>
        </w:tc>
        <w:tc>
          <w:tcPr>
            <w:tcW w:w="789" w:type="dxa"/>
            <w:tcBorders>
              <w:top w:val="nil"/>
              <w:left w:val="nil"/>
              <w:bottom w:val="single" w:sz="4" w:space="0" w:color="auto"/>
              <w:right w:val="single" w:sz="8" w:space="0" w:color="auto"/>
            </w:tcBorders>
            <w:shd w:val="clear" w:color="auto" w:fill="auto"/>
            <w:vAlign w:val="center"/>
          </w:tcPr>
          <w:p w14:paraId="3E0E816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2.4</w:t>
            </w:r>
          </w:p>
        </w:tc>
        <w:tc>
          <w:tcPr>
            <w:tcW w:w="789" w:type="dxa"/>
            <w:tcBorders>
              <w:top w:val="nil"/>
              <w:left w:val="nil"/>
              <w:bottom w:val="single" w:sz="4" w:space="0" w:color="auto"/>
              <w:right w:val="single" w:sz="8" w:space="0" w:color="auto"/>
            </w:tcBorders>
            <w:shd w:val="clear" w:color="auto" w:fill="auto"/>
            <w:vAlign w:val="center"/>
          </w:tcPr>
          <w:p w14:paraId="4D87748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2.9</w:t>
            </w:r>
          </w:p>
        </w:tc>
        <w:tc>
          <w:tcPr>
            <w:tcW w:w="789" w:type="dxa"/>
            <w:tcBorders>
              <w:top w:val="nil"/>
              <w:left w:val="nil"/>
              <w:bottom w:val="single" w:sz="4" w:space="0" w:color="auto"/>
              <w:right w:val="single" w:sz="8" w:space="0" w:color="auto"/>
            </w:tcBorders>
            <w:shd w:val="clear" w:color="auto" w:fill="auto"/>
            <w:vAlign w:val="center"/>
          </w:tcPr>
          <w:p w14:paraId="608F5C80"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2.6</w:t>
            </w:r>
          </w:p>
        </w:tc>
      </w:tr>
      <w:tr w:rsidR="001C6605" w:rsidRPr="00AB15C7" w14:paraId="413DBD35"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069DEEC9"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N. </w:t>
            </w:r>
            <w:r w:rsidR="0005493B">
              <w:rPr>
                <w:rFonts w:ascii="Cambria" w:hAnsi="Cambria" w:cs="Arial"/>
                <w:noProof/>
              </w:rPr>
              <w:t xml:space="preserve"> </w:t>
            </w:r>
            <w:r w:rsidR="00D95E03" w:rsidRPr="00AB15C7">
              <w:rPr>
                <w:rFonts w:ascii="Cambria" w:hAnsi="Cambria" w:cs="Arial"/>
                <w:noProof/>
              </w:rPr>
              <w:t>Administrativne i pomoćne uslužne djelatnosti</w:t>
            </w:r>
          </w:p>
        </w:tc>
        <w:tc>
          <w:tcPr>
            <w:tcW w:w="622" w:type="dxa"/>
            <w:tcBorders>
              <w:top w:val="nil"/>
              <w:left w:val="single" w:sz="8" w:space="0" w:color="auto"/>
              <w:bottom w:val="single" w:sz="4" w:space="0" w:color="auto"/>
              <w:right w:val="single" w:sz="8" w:space="0" w:color="auto"/>
            </w:tcBorders>
            <w:shd w:val="clear" w:color="auto" w:fill="auto"/>
            <w:vAlign w:val="center"/>
          </w:tcPr>
          <w:p w14:paraId="73DE3D41"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0.4</w:t>
            </w:r>
          </w:p>
        </w:tc>
        <w:tc>
          <w:tcPr>
            <w:tcW w:w="789" w:type="dxa"/>
            <w:tcBorders>
              <w:top w:val="nil"/>
              <w:left w:val="nil"/>
              <w:bottom w:val="single" w:sz="4" w:space="0" w:color="auto"/>
              <w:right w:val="single" w:sz="8" w:space="0" w:color="auto"/>
            </w:tcBorders>
            <w:shd w:val="clear" w:color="auto" w:fill="auto"/>
            <w:vAlign w:val="center"/>
          </w:tcPr>
          <w:p w14:paraId="2FE0D53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0.5</w:t>
            </w:r>
          </w:p>
        </w:tc>
        <w:tc>
          <w:tcPr>
            <w:tcW w:w="789" w:type="dxa"/>
            <w:tcBorders>
              <w:top w:val="nil"/>
              <w:left w:val="nil"/>
              <w:bottom w:val="single" w:sz="4" w:space="0" w:color="auto"/>
              <w:right w:val="single" w:sz="8" w:space="0" w:color="auto"/>
            </w:tcBorders>
            <w:shd w:val="clear" w:color="auto" w:fill="auto"/>
            <w:vAlign w:val="center"/>
          </w:tcPr>
          <w:p w14:paraId="5F602FFD"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0.7</w:t>
            </w:r>
          </w:p>
        </w:tc>
        <w:tc>
          <w:tcPr>
            <w:tcW w:w="789" w:type="dxa"/>
            <w:tcBorders>
              <w:top w:val="nil"/>
              <w:left w:val="nil"/>
              <w:bottom w:val="single" w:sz="4" w:space="0" w:color="auto"/>
              <w:right w:val="single" w:sz="8" w:space="0" w:color="auto"/>
            </w:tcBorders>
            <w:shd w:val="clear" w:color="auto" w:fill="auto"/>
            <w:vAlign w:val="center"/>
          </w:tcPr>
          <w:p w14:paraId="081DDFA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0.7</w:t>
            </w:r>
          </w:p>
        </w:tc>
        <w:tc>
          <w:tcPr>
            <w:tcW w:w="799" w:type="dxa"/>
            <w:tcBorders>
              <w:top w:val="nil"/>
              <w:left w:val="nil"/>
              <w:bottom w:val="single" w:sz="4" w:space="0" w:color="auto"/>
              <w:right w:val="single" w:sz="8" w:space="0" w:color="auto"/>
            </w:tcBorders>
            <w:shd w:val="clear" w:color="auto" w:fill="auto"/>
            <w:vAlign w:val="center"/>
          </w:tcPr>
          <w:p w14:paraId="7D1A660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0.9</w:t>
            </w:r>
          </w:p>
        </w:tc>
        <w:tc>
          <w:tcPr>
            <w:tcW w:w="794" w:type="dxa"/>
            <w:tcBorders>
              <w:top w:val="nil"/>
              <w:left w:val="nil"/>
              <w:bottom w:val="single" w:sz="4" w:space="0" w:color="auto"/>
              <w:right w:val="single" w:sz="8" w:space="0" w:color="auto"/>
            </w:tcBorders>
            <w:shd w:val="clear" w:color="auto" w:fill="auto"/>
            <w:vAlign w:val="center"/>
          </w:tcPr>
          <w:p w14:paraId="78C9229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0.9</w:t>
            </w:r>
          </w:p>
        </w:tc>
        <w:tc>
          <w:tcPr>
            <w:tcW w:w="789" w:type="dxa"/>
            <w:tcBorders>
              <w:top w:val="nil"/>
              <w:left w:val="nil"/>
              <w:bottom w:val="single" w:sz="4" w:space="0" w:color="auto"/>
              <w:right w:val="single" w:sz="8" w:space="0" w:color="auto"/>
            </w:tcBorders>
            <w:shd w:val="clear" w:color="auto" w:fill="auto"/>
            <w:vAlign w:val="center"/>
          </w:tcPr>
          <w:p w14:paraId="5741B57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1.0</w:t>
            </w:r>
          </w:p>
        </w:tc>
        <w:tc>
          <w:tcPr>
            <w:tcW w:w="789" w:type="dxa"/>
            <w:tcBorders>
              <w:top w:val="nil"/>
              <w:left w:val="nil"/>
              <w:bottom w:val="single" w:sz="4" w:space="0" w:color="auto"/>
              <w:right w:val="single" w:sz="8" w:space="0" w:color="auto"/>
            </w:tcBorders>
            <w:shd w:val="clear" w:color="auto" w:fill="auto"/>
            <w:vAlign w:val="center"/>
          </w:tcPr>
          <w:p w14:paraId="0EDBFE70"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1.2</w:t>
            </w:r>
          </w:p>
        </w:tc>
        <w:tc>
          <w:tcPr>
            <w:tcW w:w="789" w:type="dxa"/>
            <w:tcBorders>
              <w:top w:val="nil"/>
              <w:left w:val="nil"/>
              <w:bottom w:val="single" w:sz="4" w:space="0" w:color="auto"/>
              <w:right w:val="single" w:sz="8" w:space="0" w:color="auto"/>
            </w:tcBorders>
            <w:shd w:val="clear" w:color="auto" w:fill="auto"/>
            <w:vAlign w:val="center"/>
          </w:tcPr>
          <w:p w14:paraId="28BCBE7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w:t>
            </w:r>
          </w:p>
        </w:tc>
        <w:tc>
          <w:tcPr>
            <w:tcW w:w="789" w:type="dxa"/>
            <w:tcBorders>
              <w:top w:val="nil"/>
              <w:left w:val="nil"/>
              <w:bottom w:val="single" w:sz="4" w:space="0" w:color="auto"/>
              <w:right w:val="single" w:sz="8" w:space="0" w:color="auto"/>
            </w:tcBorders>
            <w:shd w:val="clear" w:color="auto" w:fill="auto"/>
            <w:vAlign w:val="center"/>
          </w:tcPr>
          <w:p w14:paraId="6BE4BD44"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1.1</w:t>
            </w:r>
          </w:p>
        </w:tc>
      </w:tr>
      <w:tr w:rsidR="001C6605" w:rsidRPr="00AB15C7" w14:paraId="652E6926" w14:textId="77777777" w:rsidTr="001C6605">
        <w:trPr>
          <w:trHeight w:val="510"/>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78907C7B"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O. </w:t>
            </w:r>
            <w:r w:rsidR="00D95E03" w:rsidRPr="00AB15C7">
              <w:rPr>
                <w:rFonts w:ascii="Cambria" w:hAnsi="Cambria" w:cs="Arial"/>
                <w:noProof/>
              </w:rPr>
              <w:t xml:space="preserve">Državna uprava i obrana i obavezno socijalno osiguranje </w:t>
            </w:r>
          </w:p>
        </w:tc>
        <w:tc>
          <w:tcPr>
            <w:tcW w:w="622" w:type="dxa"/>
            <w:tcBorders>
              <w:top w:val="nil"/>
              <w:left w:val="single" w:sz="8" w:space="0" w:color="auto"/>
              <w:bottom w:val="single" w:sz="4" w:space="0" w:color="auto"/>
              <w:right w:val="single" w:sz="8" w:space="0" w:color="auto"/>
            </w:tcBorders>
            <w:shd w:val="clear" w:color="auto" w:fill="auto"/>
            <w:vAlign w:val="center"/>
          </w:tcPr>
          <w:p w14:paraId="5A047FE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5.8</w:t>
            </w:r>
          </w:p>
        </w:tc>
        <w:tc>
          <w:tcPr>
            <w:tcW w:w="789" w:type="dxa"/>
            <w:tcBorders>
              <w:top w:val="nil"/>
              <w:left w:val="nil"/>
              <w:bottom w:val="single" w:sz="4" w:space="0" w:color="auto"/>
              <w:right w:val="single" w:sz="8" w:space="0" w:color="auto"/>
            </w:tcBorders>
            <w:shd w:val="clear" w:color="auto" w:fill="auto"/>
            <w:vAlign w:val="center"/>
          </w:tcPr>
          <w:p w14:paraId="79ABBF9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7.1</w:t>
            </w:r>
          </w:p>
        </w:tc>
        <w:tc>
          <w:tcPr>
            <w:tcW w:w="789" w:type="dxa"/>
            <w:tcBorders>
              <w:top w:val="nil"/>
              <w:left w:val="nil"/>
              <w:bottom w:val="single" w:sz="4" w:space="0" w:color="auto"/>
              <w:right w:val="single" w:sz="8" w:space="0" w:color="auto"/>
            </w:tcBorders>
            <w:shd w:val="clear" w:color="auto" w:fill="auto"/>
            <w:vAlign w:val="center"/>
          </w:tcPr>
          <w:p w14:paraId="4CE3168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9.3</w:t>
            </w:r>
          </w:p>
        </w:tc>
        <w:tc>
          <w:tcPr>
            <w:tcW w:w="789" w:type="dxa"/>
            <w:tcBorders>
              <w:top w:val="nil"/>
              <w:left w:val="nil"/>
              <w:bottom w:val="single" w:sz="4" w:space="0" w:color="auto"/>
              <w:right w:val="single" w:sz="8" w:space="0" w:color="auto"/>
            </w:tcBorders>
            <w:shd w:val="clear" w:color="auto" w:fill="auto"/>
            <w:vAlign w:val="center"/>
          </w:tcPr>
          <w:p w14:paraId="3EE3CB8D"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8.3</w:t>
            </w:r>
          </w:p>
        </w:tc>
        <w:tc>
          <w:tcPr>
            <w:tcW w:w="799" w:type="dxa"/>
            <w:tcBorders>
              <w:top w:val="nil"/>
              <w:left w:val="nil"/>
              <w:bottom w:val="single" w:sz="4" w:space="0" w:color="auto"/>
              <w:right w:val="single" w:sz="8" w:space="0" w:color="auto"/>
            </w:tcBorders>
            <w:shd w:val="clear" w:color="auto" w:fill="auto"/>
            <w:vAlign w:val="center"/>
          </w:tcPr>
          <w:p w14:paraId="4404B4E4"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8.1</w:t>
            </w:r>
          </w:p>
        </w:tc>
        <w:tc>
          <w:tcPr>
            <w:tcW w:w="794" w:type="dxa"/>
            <w:tcBorders>
              <w:top w:val="nil"/>
              <w:left w:val="nil"/>
              <w:bottom w:val="single" w:sz="4" w:space="0" w:color="auto"/>
              <w:right w:val="single" w:sz="8" w:space="0" w:color="auto"/>
            </w:tcBorders>
            <w:shd w:val="clear" w:color="auto" w:fill="auto"/>
            <w:vAlign w:val="center"/>
          </w:tcPr>
          <w:p w14:paraId="039C726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8.4</w:t>
            </w:r>
          </w:p>
        </w:tc>
        <w:tc>
          <w:tcPr>
            <w:tcW w:w="789" w:type="dxa"/>
            <w:tcBorders>
              <w:top w:val="nil"/>
              <w:left w:val="nil"/>
              <w:bottom w:val="single" w:sz="4" w:space="0" w:color="auto"/>
              <w:right w:val="single" w:sz="8" w:space="0" w:color="auto"/>
            </w:tcBorders>
            <w:shd w:val="clear" w:color="auto" w:fill="auto"/>
            <w:vAlign w:val="center"/>
          </w:tcPr>
          <w:p w14:paraId="23DDE8FC"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7.6</w:t>
            </w:r>
          </w:p>
        </w:tc>
        <w:tc>
          <w:tcPr>
            <w:tcW w:w="789" w:type="dxa"/>
            <w:tcBorders>
              <w:top w:val="nil"/>
              <w:left w:val="nil"/>
              <w:bottom w:val="single" w:sz="4" w:space="0" w:color="auto"/>
              <w:right w:val="single" w:sz="8" w:space="0" w:color="auto"/>
            </w:tcBorders>
            <w:shd w:val="clear" w:color="auto" w:fill="auto"/>
            <w:vAlign w:val="center"/>
          </w:tcPr>
          <w:p w14:paraId="133FBFED"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7.4</w:t>
            </w:r>
          </w:p>
        </w:tc>
        <w:tc>
          <w:tcPr>
            <w:tcW w:w="789" w:type="dxa"/>
            <w:tcBorders>
              <w:top w:val="nil"/>
              <w:left w:val="nil"/>
              <w:bottom w:val="single" w:sz="4" w:space="0" w:color="auto"/>
              <w:right w:val="single" w:sz="8" w:space="0" w:color="auto"/>
            </w:tcBorders>
            <w:shd w:val="clear" w:color="auto" w:fill="auto"/>
            <w:vAlign w:val="center"/>
          </w:tcPr>
          <w:p w14:paraId="0FB2994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7.2</w:t>
            </w:r>
          </w:p>
        </w:tc>
        <w:tc>
          <w:tcPr>
            <w:tcW w:w="789" w:type="dxa"/>
            <w:tcBorders>
              <w:top w:val="nil"/>
              <w:left w:val="nil"/>
              <w:bottom w:val="single" w:sz="4" w:space="0" w:color="auto"/>
              <w:right w:val="single" w:sz="8" w:space="0" w:color="auto"/>
            </w:tcBorders>
            <w:shd w:val="clear" w:color="auto" w:fill="auto"/>
            <w:vAlign w:val="center"/>
          </w:tcPr>
          <w:p w14:paraId="51AFED4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7.3</w:t>
            </w:r>
          </w:p>
        </w:tc>
      </w:tr>
      <w:tr w:rsidR="001C6605" w:rsidRPr="00AB15C7" w14:paraId="237F87DE"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4084C506"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P. </w:t>
            </w:r>
            <w:r w:rsidR="00D95E03" w:rsidRPr="00AB15C7">
              <w:rPr>
                <w:rFonts w:ascii="Cambria" w:hAnsi="Cambria" w:cs="Arial"/>
                <w:noProof/>
              </w:rPr>
              <w:t xml:space="preserve">Obrazovanje </w:t>
            </w:r>
          </w:p>
        </w:tc>
        <w:tc>
          <w:tcPr>
            <w:tcW w:w="622" w:type="dxa"/>
            <w:tcBorders>
              <w:top w:val="nil"/>
              <w:left w:val="single" w:sz="8" w:space="0" w:color="auto"/>
              <w:bottom w:val="single" w:sz="4" w:space="0" w:color="auto"/>
              <w:right w:val="single" w:sz="8" w:space="0" w:color="auto"/>
            </w:tcBorders>
            <w:shd w:val="clear" w:color="auto" w:fill="auto"/>
            <w:vAlign w:val="center"/>
          </w:tcPr>
          <w:p w14:paraId="40875870"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3.4</w:t>
            </w:r>
          </w:p>
        </w:tc>
        <w:tc>
          <w:tcPr>
            <w:tcW w:w="789" w:type="dxa"/>
            <w:tcBorders>
              <w:top w:val="nil"/>
              <w:left w:val="nil"/>
              <w:bottom w:val="single" w:sz="4" w:space="0" w:color="auto"/>
              <w:right w:val="single" w:sz="8" w:space="0" w:color="auto"/>
            </w:tcBorders>
            <w:shd w:val="clear" w:color="auto" w:fill="auto"/>
            <w:vAlign w:val="center"/>
          </w:tcPr>
          <w:p w14:paraId="235891B0"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3.2</w:t>
            </w:r>
          </w:p>
        </w:tc>
        <w:tc>
          <w:tcPr>
            <w:tcW w:w="789" w:type="dxa"/>
            <w:tcBorders>
              <w:top w:val="nil"/>
              <w:left w:val="nil"/>
              <w:bottom w:val="single" w:sz="4" w:space="0" w:color="auto"/>
              <w:right w:val="single" w:sz="8" w:space="0" w:color="auto"/>
            </w:tcBorders>
            <w:shd w:val="clear" w:color="auto" w:fill="auto"/>
            <w:vAlign w:val="center"/>
          </w:tcPr>
          <w:p w14:paraId="17D9CDF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4.0</w:t>
            </w:r>
          </w:p>
        </w:tc>
        <w:tc>
          <w:tcPr>
            <w:tcW w:w="789" w:type="dxa"/>
            <w:tcBorders>
              <w:top w:val="nil"/>
              <w:left w:val="nil"/>
              <w:bottom w:val="single" w:sz="4" w:space="0" w:color="auto"/>
              <w:right w:val="single" w:sz="8" w:space="0" w:color="auto"/>
            </w:tcBorders>
            <w:shd w:val="clear" w:color="auto" w:fill="auto"/>
            <w:vAlign w:val="center"/>
          </w:tcPr>
          <w:p w14:paraId="19BFBCC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4.3</w:t>
            </w:r>
          </w:p>
        </w:tc>
        <w:tc>
          <w:tcPr>
            <w:tcW w:w="799" w:type="dxa"/>
            <w:tcBorders>
              <w:top w:val="nil"/>
              <w:left w:val="nil"/>
              <w:bottom w:val="single" w:sz="4" w:space="0" w:color="auto"/>
              <w:right w:val="single" w:sz="8" w:space="0" w:color="auto"/>
            </w:tcBorders>
            <w:shd w:val="clear" w:color="auto" w:fill="auto"/>
            <w:vAlign w:val="center"/>
          </w:tcPr>
          <w:p w14:paraId="6BB9C04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4.5</w:t>
            </w:r>
          </w:p>
        </w:tc>
        <w:tc>
          <w:tcPr>
            <w:tcW w:w="794" w:type="dxa"/>
            <w:tcBorders>
              <w:top w:val="nil"/>
              <w:left w:val="nil"/>
              <w:bottom w:val="single" w:sz="4" w:space="0" w:color="auto"/>
              <w:right w:val="single" w:sz="8" w:space="0" w:color="auto"/>
            </w:tcBorders>
            <w:shd w:val="clear" w:color="auto" w:fill="auto"/>
            <w:vAlign w:val="center"/>
          </w:tcPr>
          <w:p w14:paraId="5013825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4.9</w:t>
            </w:r>
          </w:p>
        </w:tc>
        <w:tc>
          <w:tcPr>
            <w:tcW w:w="789" w:type="dxa"/>
            <w:tcBorders>
              <w:top w:val="nil"/>
              <w:left w:val="nil"/>
              <w:bottom w:val="single" w:sz="4" w:space="0" w:color="auto"/>
              <w:right w:val="single" w:sz="8" w:space="0" w:color="auto"/>
            </w:tcBorders>
            <w:shd w:val="clear" w:color="auto" w:fill="auto"/>
            <w:vAlign w:val="center"/>
          </w:tcPr>
          <w:p w14:paraId="177D511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4.9</w:t>
            </w:r>
          </w:p>
        </w:tc>
        <w:tc>
          <w:tcPr>
            <w:tcW w:w="789" w:type="dxa"/>
            <w:tcBorders>
              <w:top w:val="nil"/>
              <w:left w:val="nil"/>
              <w:bottom w:val="single" w:sz="4" w:space="0" w:color="auto"/>
              <w:right w:val="single" w:sz="8" w:space="0" w:color="auto"/>
            </w:tcBorders>
            <w:shd w:val="clear" w:color="auto" w:fill="auto"/>
            <w:vAlign w:val="center"/>
          </w:tcPr>
          <w:p w14:paraId="3D9D1D1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4.5</w:t>
            </w:r>
          </w:p>
        </w:tc>
        <w:tc>
          <w:tcPr>
            <w:tcW w:w="789" w:type="dxa"/>
            <w:tcBorders>
              <w:top w:val="nil"/>
              <w:left w:val="nil"/>
              <w:bottom w:val="single" w:sz="4" w:space="0" w:color="auto"/>
              <w:right w:val="single" w:sz="8" w:space="0" w:color="auto"/>
            </w:tcBorders>
            <w:shd w:val="clear" w:color="auto" w:fill="auto"/>
            <w:vAlign w:val="center"/>
          </w:tcPr>
          <w:p w14:paraId="4F713872"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4.2</w:t>
            </w:r>
          </w:p>
        </w:tc>
        <w:tc>
          <w:tcPr>
            <w:tcW w:w="789" w:type="dxa"/>
            <w:tcBorders>
              <w:top w:val="nil"/>
              <w:left w:val="nil"/>
              <w:bottom w:val="single" w:sz="4" w:space="0" w:color="auto"/>
              <w:right w:val="single" w:sz="8" w:space="0" w:color="auto"/>
            </w:tcBorders>
            <w:shd w:val="clear" w:color="auto" w:fill="auto"/>
            <w:vAlign w:val="center"/>
          </w:tcPr>
          <w:p w14:paraId="458F3F6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4.1</w:t>
            </w:r>
          </w:p>
        </w:tc>
      </w:tr>
      <w:tr w:rsidR="001C6605" w:rsidRPr="00AB15C7" w14:paraId="768E91D6"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6E8C0D63"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Q. </w:t>
            </w:r>
            <w:r w:rsidR="00D95E03" w:rsidRPr="00AB15C7">
              <w:rPr>
                <w:rFonts w:ascii="Cambria" w:hAnsi="Cambria" w:cs="Arial"/>
                <w:noProof/>
              </w:rPr>
              <w:t>Zdravstvo i socijalna zaštita</w:t>
            </w:r>
          </w:p>
        </w:tc>
        <w:tc>
          <w:tcPr>
            <w:tcW w:w="622" w:type="dxa"/>
            <w:tcBorders>
              <w:top w:val="nil"/>
              <w:left w:val="single" w:sz="8" w:space="0" w:color="auto"/>
              <w:bottom w:val="single" w:sz="4" w:space="0" w:color="auto"/>
              <w:right w:val="single" w:sz="8" w:space="0" w:color="auto"/>
            </w:tcBorders>
            <w:shd w:val="clear" w:color="auto" w:fill="auto"/>
            <w:vAlign w:val="center"/>
          </w:tcPr>
          <w:p w14:paraId="0DEA829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3.7</w:t>
            </w:r>
          </w:p>
        </w:tc>
        <w:tc>
          <w:tcPr>
            <w:tcW w:w="789" w:type="dxa"/>
            <w:tcBorders>
              <w:top w:val="nil"/>
              <w:left w:val="nil"/>
              <w:bottom w:val="single" w:sz="4" w:space="0" w:color="auto"/>
              <w:right w:val="single" w:sz="8" w:space="0" w:color="auto"/>
            </w:tcBorders>
            <w:shd w:val="clear" w:color="auto" w:fill="auto"/>
            <w:vAlign w:val="center"/>
          </w:tcPr>
          <w:p w14:paraId="78A04C1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3.0</w:t>
            </w:r>
          </w:p>
        </w:tc>
        <w:tc>
          <w:tcPr>
            <w:tcW w:w="789" w:type="dxa"/>
            <w:tcBorders>
              <w:top w:val="nil"/>
              <w:left w:val="nil"/>
              <w:bottom w:val="single" w:sz="4" w:space="0" w:color="auto"/>
              <w:right w:val="single" w:sz="8" w:space="0" w:color="auto"/>
            </w:tcBorders>
            <w:shd w:val="clear" w:color="auto" w:fill="auto"/>
            <w:vAlign w:val="center"/>
          </w:tcPr>
          <w:p w14:paraId="389416E0"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3.7</w:t>
            </w:r>
          </w:p>
        </w:tc>
        <w:tc>
          <w:tcPr>
            <w:tcW w:w="789" w:type="dxa"/>
            <w:tcBorders>
              <w:top w:val="nil"/>
              <w:left w:val="nil"/>
              <w:bottom w:val="single" w:sz="4" w:space="0" w:color="auto"/>
              <w:right w:val="single" w:sz="8" w:space="0" w:color="auto"/>
            </w:tcBorders>
            <w:shd w:val="clear" w:color="auto" w:fill="auto"/>
            <w:vAlign w:val="center"/>
          </w:tcPr>
          <w:p w14:paraId="243E676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3.3</w:t>
            </w:r>
          </w:p>
        </w:tc>
        <w:tc>
          <w:tcPr>
            <w:tcW w:w="799" w:type="dxa"/>
            <w:tcBorders>
              <w:top w:val="nil"/>
              <w:left w:val="nil"/>
              <w:bottom w:val="single" w:sz="4" w:space="0" w:color="auto"/>
              <w:right w:val="single" w:sz="8" w:space="0" w:color="auto"/>
            </w:tcBorders>
            <w:shd w:val="clear" w:color="auto" w:fill="auto"/>
            <w:vAlign w:val="center"/>
          </w:tcPr>
          <w:p w14:paraId="091237C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3.6</w:t>
            </w:r>
          </w:p>
        </w:tc>
        <w:tc>
          <w:tcPr>
            <w:tcW w:w="794" w:type="dxa"/>
            <w:tcBorders>
              <w:top w:val="nil"/>
              <w:left w:val="nil"/>
              <w:bottom w:val="single" w:sz="4" w:space="0" w:color="auto"/>
              <w:right w:val="single" w:sz="8" w:space="0" w:color="auto"/>
            </w:tcBorders>
            <w:shd w:val="clear" w:color="auto" w:fill="auto"/>
            <w:vAlign w:val="center"/>
          </w:tcPr>
          <w:p w14:paraId="1AF1D6A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3.8</w:t>
            </w:r>
          </w:p>
        </w:tc>
        <w:tc>
          <w:tcPr>
            <w:tcW w:w="789" w:type="dxa"/>
            <w:tcBorders>
              <w:top w:val="nil"/>
              <w:left w:val="nil"/>
              <w:bottom w:val="single" w:sz="4" w:space="0" w:color="auto"/>
              <w:right w:val="single" w:sz="8" w:space="0" w:color="auto"/>
            </w:tcBorders>
            <w:shd w:val="clear" w:color="auto" w:fill="auto"/>
            <w:vAlign w:val="center"/>
          </w:tcPr>
          <w:p w14:paraId="4AC5BCC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3.9</w:t>
            </w:r>
          </w:p>
        </w:tc>
        <w:tc>
          <w:tcPr>
            <w:tcW w:w="789" w:type="dxa"/>
            <w:tcBorders>
              <w:top w:val="nil"/>
              <w:left w:val="nil"/>
              <w:bottom w:val="single" w:sz="4" w:space="0" w:color="auto"/>
              <w:right w:val="single" w:sz="8" w:space="0" w:color="auto"/>
            </w:tcBorders>
            <w:shd w:val="clear" w:color="auto" w:fill="auto"/>
            <w:vAlign w:val="center"/>
          </w:tcPr>
          <w:p w14:paraId="1EE924B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3.9</w:t>
            </w:r>
          </w:p>
        </w:tc>
        <w:tc>
          <w:tcPr>
            <w:tcW w:w="789" w:type="dxa"/>
            <w:tcBorders>
              <w:top w:val="nil"/>
              <w:left w:val="nil"/>
              <w:bottom w:val="single" w:sz="4" w:space="0" w:color="auto"/>
              <w:right w:val="single" w:sz="8" w:space="0" w:color="auto"/>
            </w:tcBorders>
            <w:shd w:val="clear" w:color="auto" w:fill="auto"/>
            <w:vAlign w:val="center"/>
          </w:tcPr>
          <w:p w14:paraId="71337B2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3.7</w:t>
            </w:r>
          </w:p>
        </w:tc>
        <w:tc>
          <w:tcPr>
            <w:tcW w:w="789" w:type="dxa"/>
            <w:tcBorders>
              <w:top w:val="nil"/>
              <w:left w:val="nil"/>
              <w:bottom w:val="single" w:sz="4" w:space="0" w:color="auto"/>
              <w:right w:val="single" w:sz="8" w:space="0" w:color="auto"/>
            </w:tcBorders>
            <w:shd w:val="clear" w:color="auto" w:fill="auto"/>
            <w:vAlign w:val="center"/>
          </w:tcPr>
          <w:p w14:paraId="5F08FAE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3.6</w:t>
            </w:r>
          </w:p>
        </w:tc>
      </w:tr>
      <w:tr w:rsidR="001C6605" w:rsidRPr="00AB15C7" w14:paraId="37A99D1C" w14:textId="77777777" w:rsidTr="001C6605">
        <w:trPr>
          <w:trHeight w:val="255"/>
        </w:trPr>
        <w:tc>
          <w:tcPr>
            <w:tcW w:w="2520" w:type="dxa"/>
            <w:tcBorders>
              <w:top w:val="nil"/>
              <w:left w:val="single" w:sz="8" w:space="0" w:color="auto"/>
              <w:bottom w:val="single" w:sz="4" w:space="0" w:color="auto"/>
              <w:right w:val="single" w:sz="8" w:space="0" w:color="auto"/>
            </w:tcBorders>
            <w:shd w:val="clear" w:color="auto" w:fill="D9D9D9"/>
            <w:vAlign w:val="center"/>
            <w:hideMark/>
          </w:tcPr>
          <w:p w14:paraId="567DACBC"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R. </w:t>
            </w:r>
            <w:r w:rsidR="00D95E03" w:rsidRPr="00AB15C7">
              <w:rPr>
                <w:rFonts w:ascii="Cambria" w:hAnsi="Cambria" w:cs="Arial"/>
                <w:noProof/>
              </w:rPr>
              <w:t>Umjetničke, zabavne i rekreativne djelatnosti</w:t>
            </w:r>
          </w:p>
        </w:tc>
        <w:tc>
          <w:tcPr>
            <w:tcW w:w="622" w:type="dxa"/>
            <w:tcBorders>
              <w:top w:val="nil"/>
              <w:left w:val="single" w:sz="8" w:space="0" w:color="auto"/>
              <w:bottom w:val="single" w:sz="4" w:space="0" w:color="auto"/>
              <w:right w:val="single" w:sz="8" w:space="0" w:color="auto"/>
            </w:tcBorders>
            <w:shd w:val="clear" w:color="auto" w:fill="auto"/>
            <w:vAlign w:val="center"/>
          </w:tcPr>
          <w:p w14:paraId="2E589B0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0.7</w:t>
            </w:r>
          </w:p>
        </w:tc>
        <w:tc>
          <w:tcPr>
            <w:tcW w:w="789" w:type="dxa"/>
            <w:tcBorders>
              <w:top w:val="nil"/>
              <w:left w:val="nil"/>
              <w:bottom w:val="single" w:sz="4" w:space="0" w:color="auto"/>
              <w:right w:val="single" w:sz="8" w:space="0" w:color="auto"/>
            </w:tcBorders>
            <w:shd w:val="clear" w:color="auto" w:fill="auto"/>
            <w:vAlign w:val="center"/>
          </w:tcPr>
          <w:p w14:paraId="183F9F74"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0.6</w:t>
            </w:r>
          </w:p>
        </w:tc>
        <w:tc>
          <w:tcPr>
            <w:tcW w:w="789" w:type="dxa"/>
            <w:tcBorders>
              <w:top w:val="nil"/>
              <w:left w:val="nil"/>
              <w:bottom w:val="single" w:sz="4" w:space="0" w:color="auto"/>
              <w:right w:val="single" w:sz="8" w:space="0" w:color="auto"/>
            </w:tcBorders>
            <w:shd w:val="clear" w:color="auto" w:fill="auto"/>
            <w:vAlign w:val="center"/>
          </w:tcPr>
          <w:p w14:paraId="5BD4E50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0.8</w:t>
            </w:r>
          </w:p>
        </w:tc>
        <w:tc>
          <w:tcPr>
            <w:tcW w:w="789" w:type="dxa"/>
            <w:tcBorders>
              <w:top w:val="nil"/>
              <w:left w:val="nil"/>
              <w:bottom w:val="single" w:sz="4" w:space="0" w:color="auto"/>
              <w:right w:val="single" w:sz="8" w:space="0" w:color="auto"/>
            </w:tcBorders>
            <w:shd w:val="clear" w:color="auto" w:fill="auto"/>
            <w:vAlign w:val="center"/>
          </w:tcPr>
          <w:p w14:paraId="1164219B"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0.9</w:t>
            </w:r>
          </w:p>
        </w:tc>
        <w:tc>
          <w:tcPr>
            <w:tcW w:w="799" w:type="dxa"/>
            <w:tcBorders>
              <w:top w:val="nil"/>
              <w:left w:val="nil"/>
              <w:bottom w:val="single" w:sz="4" w:space="0" w:color="auto"/>
              <w:right w:val="single" w:sz="8" w:space="0" w:color="auto"/>
            </w:tcBorders>
            <w:shd w:val="clear" w:color="auto" w:fill="auto"/>
            <w:vAlign w:val="center"/>
          </w:tcPr>
          <w:p w14:paraId="4969F0C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1.0</w:t>
            </w:r>
          </w:p>
        </w:tc>
        <w:tc>
          <w:tcPr>
            <w:tcW w:w="794" w:type="dxa"/>
            <w:tcBorders>
              <w:top w:val="nil"/>
              <w:left w:val="nil"/>
              <w:bottom w:val="single" w:sz="4" w:space="0" w:color="auto"/>
              <w:right w:val="single" w:sz="8" w:space="0" w:color="auto"/>
            </w:tcBorders>
            <w:shd w:val="clear" w:color="auto" w:fill="auto"/>
            <w:vAlign w:val="center"/>
          </w:tcPr>
          <w:p w14:paraId="0046E859"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1.3</w:t>
            </w:r>
          </w:p>
        </w:tc>
        <w:tc>
          <w:tcPr>
            <w:tcW w:w="789" w:type="dxa"/>
            <w:tcBorders>
              <w:top w:val="nil"/>
              <w:left w:val="nil"/>
              <w:bottom w:val="single" w:sz="4" w:space="0" w:color="auto"/>
              <w:right w:val="single" w:sz="8" w:space="0" w:color="auto"/>
            </w:tcBorders>
            <w:shd w:val="clear" w:color="auto" w:fill="auto"/>
            <w:vAlign w:val="center"/>
          </w:tcPr>
          <w:p w14:paraId="3B4C60F2"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1.3</w:t>
            </w:r>
          </w:p>
        </w:tc>
        <w:tc>
          <w:tcPr>
            <w:tcW w:w="789" w:type="dxa"/>
            <w:tcBorders>
              <w:top w:val="nil"/>
              <w:left w:val="nil"/>
              <w:bottom w:val="single" w:sz="4" w:space="0" w:color="auto"/>
              <w:right w:val="single" w:sz="8" w:space="0" w:color="auto"/>
            </w:tcBorders>
            <w:shd w:val="clear" w:color="auto" w:fill="auto"/>
            <w:vAlign w:val="center"/>
          </w:tcPr>
          <w:p w14:paraId="7C2FE9BF"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1.4</w:t>
            </w:r>
          </w:p>
        </w:tc>
        <w:tc>
          <w:tcPr>
            <w:tcW w:w="789" w:type="dxa"/>
            <w:tcBorders>
              <w:top w:val="nil"/>
              <w:left w:val="nil"/>
              <w:bottom w:val="single" w:sz="4" w:space="0" w:color="auto"/>
              <w:right w:val="single" w:sz="8" w:space="0" w:color="auto"/>
            </w:tcBorders>
            <w:shd w:val="clear" w:color="auto" w:fill="auto"/>
            <w:vAlign w:val="center"/>
          </w:tcPr>
          <w:p w14:paraId="552737B3"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1.4</w:t>
            </w:r>
          </w:p>
        </w:tc>
        <w:tc>
          <w:tcPr>
            <w:tcW w:w="789" w:type="dxa"/>
            <w:tcBorders>
              <w:top w:val="nil"/>
              <w:left w:val="nil"/>
              <w:bottom w:val="single" w:sz="4" w:space="0" w:color="auto"/>
              <w:right w:val="single" w:sz="8" w:space="0" w:color="auto"/>
            </w:tcBorders>
            <w:shd w:val="clear" w:color="auto" w:fill="auto"/>
            <w:vAlign w:val="center"/>
          </w:tcPr>
          <w:p w14:paraId="5C90BCD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1.4</w:t>
            </w:r>
          </w:p>
        </w:tc>
      </w:tr>
      <w:tr w:rsidR="001C6605" w:rsidRPr="00AB15C7" w14:paraId="3825FFAD" w14:textId="77777777" w:rsidTr="001C6605">
        <w:trPr>
          <w:trHeight w:val="525"/>
        </w:trPr>
        <w:tc>
          <w:tcPr>
            <w:tcW w:w="2520" w:type="dxa"/>
            <w:tcBorders>
              <w:top w:val="nil"/>
              <w:left w:val="single" w:sz="8" w:space="0" w:color="auto"/>
              <w:bottom w:val="single" w:sz="8" w:space="0" w:color="auto"/>
              <w:right w:val="single" w:sz="8" w:space="0" w:color="auto"/>
            </w:tcBorders>
            <w:shd w:val="clear" w:color="auto" w:fill="D9D9D9"/>
            <w:vAlign w:val="center"/>
            <w:hideMark/>
          </w:tcPr>
          <w:p w14:paraId="00FD1192" w14:textId="77777777" w:rsidR="00D95E03" w:rsidRPr="00AB15C7" w:rsidRDefault="00B0527C" w:rsidP="001C6605">
            <w:pPr>
              <w:spacing w:after="0" w:line="240" w:lineRule="auto"/>
              <w:rPr>
                <w:rFonts w:ascii="Cambria" w:hAnsi="Cambria" w:cs="Arial"/>
                <w:noProof/>
              </w:rPr>
            </w:pPr>
            <w:r w:rsidRPr="00AB15C7">
              <w:rPr>
                <w:rFonts w:ascii="Cambria" w:hAnsi="Cambria" w:cs="Arial"/>
                <w:noProof/>
              </w:rPr>
              <w:t xml:space="preserve">S+T. </w:t>
            </w:r>
            <w:r w:rsidR="00D95E03" w:rsidRPr="00AB15C7">
              <w:rPr>
                <w:rFonts w:ascii="Cambria" w:hAnsi="Cambria" w:cs="Arial"/>
                <w:noProof/>
              </w:rPr>
              <w:t>Ostale uslužne djelatnosti; Djelatnost domaćinstava kao poslodavca</w:t>
            </w:r>
          </w:p>
        </w:tc>
        <w:tc>
          <w:tcPr>
            <w:tcW w:w="622" w:type="dxa"/>
            <w:tcBorders>
              <w:top w:val="nil"/>
              <w:left w:val="single" w:sz="8" w:space="0" w:color="auto"/>
              <w:bottom w:val="single" w:sz="8" w:space="0" w:color="auto"/>
              <w:right w:val="single" w:sz="8" w:space="0" w:color="auto"/>
            </w:tcBorders>
            <w:shd w:val="clear" w:color="auto" w:fill="auto"/>
            <w:vAlign w:val="center"/>
          </w:tcPr>
          <w:p w14:paraId="0797ABB7"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0.4</w:t>
            </w:r>
          </w:p>
        </w:tc>
        <w:tc>
          <w:tcPr>
            <w:tcW w:w="789" w:type="dxa"/>
            <w:tcBorders>
              <w:top w:val="nil"/>
              <w:left w:val="nil"/>
              <w:bottom w:val="single" w:sz="8" w:space="0" w:color="auto"/>
              <w:right w:val="single" w:sz="8" w:space="0" w:color="auto"/>
            </w:tcBorders>
            <w:shd w:val="clear" w:color="auto" w:fill="auto"/>
            <w:vAlign w:val="center"/>
          </w:tcPr>
          <w:p w14:paraId="60A33C42"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0.4</w:t>
            </w:r>
          </w:p>
        </w:tc>
        <w:tc>
          <w:tcPr>
            <w:tcW w:w="789" w:type="dxa"/>
            <w:tcBorders>
              <w:top w:val="nil"/>
              <w:left w:val="nil"/>
              <w:bottom w:val="single" w:sz="8" w:space="0" w:color="auto"/>
              <w:right w:val="single" w:sz="8" w:space="0" w:color="auto"/>
            </w:tcBorders>
            <w:shd w:val="clear" w:color="auto" w:fill="auto"/>
            <w:vAlign w:val="center"/>
          </w:tcPr>
          <w:p w14:paraId="714B9ED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0.5</w:t>
            </w:r>
          </w:p>
        </w:tc>
        <w:tc>
          <w:tcPr>
            <w:tcW w:w="789" w:type="dxa"/>
            <w:tcBorders>
              <w:top w:val="nil"/>
              <w:left w:val="nil"/>
              <w:bottom w:val="single" w:sz="8" w:space="0" w:color="auto"/>
              <w:right w:val="single" w:sz="8" w:space="0" w:color="auto"/>
            </w:tcBorders>
            <w:shd w:val="clear" w:color="auto" w:fill="auto"/>
            <w:vAlign w:val="center"/>
          </w:tcPr>
          <w:p w14:paraId="7D193448"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0.5</w:t>
            </w:r>
          </w:p>
        </w:tc>
        <w:tc>
          <w:tcPr>
            <w:tcW w:w="799" w:type="dxa"/>
            <w:tcBorders>
              <w:top w:val="nil"/>
              <w:left w:val="nil"/>
              <w:bottom w:val="single" w:sz="8" w:space="0" w:color="auto"/>
              <w:right w:val="single" w:sz="8" w:space="0" w:color="auto"/>
            </w:tcBorders>
            <w:shd w:val="clear" w:color="auto" w:fill="auto"/>
            <w:vAlign w:val="center"/>
          </w:tcPr>
          <w:p w14:paraId="4AF7A55E"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0.5</w:t>
            </w:r>
          </w:p>
        </w:tc>
        <w:tc>
          <w:tcPr>
            <w:tcW w:w="794" w:type="dxa"/>
            <w:tcBorders>
              <w:top w:val="nil"/>
              <w:left w:val="nil"/>
              <w:bottom w:val="single" w:sz="8" w:space="0" w:color="auto"/>
              <w:right w:val="single" w:sz="8" w:space="0" w:color="auto"/>
            </w:tcBorders>
            <w:shd w:val="clear" w:color="auto" w:fill="auto"/>
            <w:vAlign w:val="center"/>
          </w:tcPr>
          <w:p w14:paraId="198FE0B1"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0.6</w:t>
            </w:r>
          </w:p>
        </w:tc>
        <w:tc>
          <w:tcPr>
            <w:tcW w:w="789" w:type="dxa"/>
            <w:tcBorders>
              <w:top w:val="nil"/>
              <w:left w:val="nil"/>
              <w:bottom w:val="single" w:sz="8" w:space="0" w:color="auto"/>
              <w:right w:val="single" w:sz="8" w:space="0" w:color="auto"/>
            </w:tcBorders>
            <w:shd w:val="clear" w:color="auto" w:fill="auto"/>
            <w:vAlign w:val="center"/>
          </w:tcPr>
          <w:p w14:paraId="3FAB9C1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0.7</w:t>
            </w:r>
          </w:p>
        </w:tc>
        <w:tc>
          <w:tcPr>
            <w:tcW w:w="789" w:type="dxa"/>
            <w:tcBorders>
              <w:top w:val="nil"/>
              <w:left w:val="nil"/>
              <w:bottom w:val="single" w:sz="8" w:space="0" w:color="auto"/>
              <w:right w:val="single" w:sz="8" w:space="0" w:color="auto"/>
            </w:tcBorders>
            <w:shd w:val="clear" w:color="auto" w:fill="auto"/>
            <w:vAlign w:val="center"/>
          </w:tcPr>
          <w:p w14:paraId="359054F5"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0.8</w:t>
            </w:r>
          </w:p>
        </w:tc>
        <w:tc>
          <w:tcPr>
            <w:tcW w:w="789" w:type="dxa"/>
            <w:tcBorders>
              <w:top w:val="nil"/>
              <w:left w:val="nil"/>
              <w:bottom w:val="single" w:sz="8" w:space="0" w:color="auto"/>
              <w:right w:val="single" w:sz="8" w:space="0" w:color="auto"/>
            </w:tcBorders>
            <w:shd w:val="clear" w:color="auto" w:fill="auto"/>
            <w:vAlign w:val="center"/>
          </w:tcPr>
          <w:p w14:paraId="7D1807BA"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0.7</w:t>
            </w:r>
          </w:p>
        </w:tc>
        <w:tc>
          <w:tcPr>
            <w:tcW w:w="789" w:type="dxa"/>
            <w:tcBorders>
              <w:top w:val="nil"/>
              <w:left w:val="nil"/>
              <w:bottom w:val="single" w:sz="8" w:space="0" w:color="auto"/>
              <w:right w:val="single" w:sz="8" w:space="0" w:color="auto"/>
            </w:tcBorders>
            <w:shd w:val="clear" w:color="auto" w:fill="auto"/>
            <w:vAlign w:val="center"/>
          </w:tcPr>
          <w:p w14:paraId="1DED6AC6" w14:textId="77777777" w:rsidR="00D95E03" w:rsidRPr="00AB15C7" w:rsidRDefault="00D95E03" w:rsidP="001C6605">
            <w:pPr>
              <w:spacing w:after="0" w:line="240" w:lineRule="auto"/>
              <w:jc w:val="right"/>
              <w:rPr>
                <w:rFonts w:ascii="Cambria" w:hAnsi="Cambria" w:cs="Arial"/>
                <w:noProof/>
              </w:rPr>
            </w:pPr>
            <w:r w:rsidRPr="00AB15C7">
              <w:rPr>
                <w:rFonts w:ascii="Cambria" w:hAnsi="Cambria" w:cs="Arial"/>
                <w:noProof/>
              </w:rPr>
              <w:t>0.9</w:t>
            </w:r>
          </w:p>
        </w:tc>
      </w:tr>
      <w:tr w:rsidR="001C6605" w:rsidRPr="00AB15C7" w14:paraId="6B85DC97" w14:textId="77777777" w:rsidTr="001C6605">
        <w:trPr>
          <w:trHeight w:val="270"/>
        </w:trPr>
        <w:tc>
          <w:tcPr>
            <w:tcW w:w="2520" w:type="dxa"/>
            <w:tcBorders>
              <w:top w:val="nil"/>
              <w:left w:val="single" w:sz="8" w:space="0" w:color="auto"/>
              <w:bottom w:val="single" w:sz="8" w:space="0" w:color="000000"/>
              <w:right w:val="single" w:sz="8" w:space="0" w:color="auto"/>
            </w:tcBorders>
            <w:shd w:val="clear" w:color="auto" w:fill="D9D9D9"/>
            <w:vAlign w:val="center"/>
            <w:hideMark/>
          </w:tcPr>
          <w:p w14:paraId="24CE7035" w14:textId="77777777" w:rsidR="00D95E03" w:rsidRPr="00AB15C7" w:rsidRDefault="00D95E03" w:rsidP="001C6605">
            <w:pPr>
              <w:spacing w:after="0" w:line="240" w:lineRule="auto"/>
              <w:rPr>
                <w:rFonts w:ascii="Cambria" w:hAnsi="Cambria" w:cs="Arial"/>
                <w:b/>
                <w:bCs/>
                <w:noProof/>
              </w:rPr>
            </w:pPr>
            <w:r w:rsidRPr="00AB15C7">
              <w:rPr>
                <w:rFonts w:ascii="Cambria" w:hAnsi="Cambria" w:cs="Arial"/>
                <w:b/>
                <w:bCs/>
                <w:noProof/>
              </w:rPr>
              <w:t xml:space="preserve">Ukupno </w:t>
            </w:r>
          </w:p>
        </w:tc>
        <w:tc>
          <w:tcPr>
            <w:tcW w:w="622" w:type="dxa"/>
            <w:tcBorders>
              <w:top w:val="nil"/>
              <w:left w:val="single" w:sz="8" w:space="0" w:color="auto"/>
              <w:bottom w:val="single" w:sz="8" w:space="0" w:color="000000"/>
              <w:right w:val="single" w:sz="8" w:space="0" w:color="auto"/>
            </w:tcBorders>
            <w:shd w:val="clear" w:color="auto" w:fill="auto"/>
            <w:vAlign w:val="center"/>
          </w:tcPr>
          <w:p w14:paraId="1EB36B5C"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81.0</w:t>
            </w:r>
          </w:p>
        </w:tc>
        <w:tc>
          <w:tcPr>
            <w:tcW w:w="789" w:type="dxa"/>
            <w:tcBorders>
              <w:top w:val="nil"/>
              <w:left w:val="nil"/>
              <w:bottom w:val="single" w:sz="8" w:space="0" w:color="000000"/>
              <w:right w:val="single" w:sz="8" w:space="0" w:color="auto"/>
            </w:tcBorders>
            <w:shd w:val="clear" w:color="auto" w:fill="auto"/>
            <w:vAlign w:val="center"/>
          </w:tcPr>
          <w:p w14:paraId="642A748C"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79.5</w:t>
            </w:r>
          </w:p>
        </w:tc>
        <w:tc>
          <w:tcPr>
            <w:tcW w:w="789" w:type="dxa"/>
            <w:tcBorders>
              <w:top w:val="nil"/>
              <w:left w:val="nil"/>
              <w:bottom w:val="single" w:sz="8" w:space="0" w:color="000000"/>
              <w:right w:val="single" w:sz="8" w:space="0" w:color="auto"/>
            </w:tcBorders>
            <w:shd w:val="clear" w:color="auto" w:fill="auto"/>
            <w:vAlign w:val="center"/>
          </w:tcPr>
          <w:p w14:paraId="4BC60DAE"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82.0</w:t>
            </w:r>
          </w:p>
        </w:tc>
        <w:tc>
          <w:tcPr>
            <w:tcW w:w="789" w:type="dxa"/>
            <w:tcBorders>
              <w:top w:val="nil"/>
              <w:left w:val="nil"/>
              <w:bottom w:val="single" w:sz="8" w:space="0" w:color="000000"/>
              <w:right w:val="single" w:sz="8" w:space="0" w:color="auto"/>
            </w:tcBorders>
            <w:shd w:val="clear" w:color="auto" w:fill="auto"/>
            <w:vAlign w:val="center"/>
          </w:tcPr>
          <w:p w14:paraId="0807987E"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83.0</w:t>
            </w:r>
          </w:p>
        </w:tc>
        <w:tc>
          <w:tcPr>
            <w:tcW w:w="799" w:type="dxa"/>
            <w:tcBorders>
              <w:top w:val="nil"/>
              <w:left w:val="nil"/>
              <w:bottom w:val="single" w:sz="8" w:space="0" w:color="000000"/>
              <w:right w:val="single" w:sz="8" w:space="0" w:color="auto"/>
            </w:tcBorders>
            <w:shd w:val="clear" w:color="auto" w:fill="auto"/>
            <w:vAlign w:val="center"/>
          </w:tcPr>
          <w:p w14:paraId="2671C9CE"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83.9</w:t>
            </w:r>
          </w:p>
        </w:tc>
        <w:tc>
          <w:tcPr>
            <w:tcW w:w="794" w:type="dxa"/>
            <w:tcBorders>
              <w:top w:val="nil"/>
              <w:left w:val="nil"/>
              <w:bottom w:val="single" w:sz="8" w:space="0" w:color="000000"/>
              <w:right w:val="single" w:sz="8" w:space="0" w:color="auto"/>
            </w:tcBorders>
            <w:shd w:val="clear" w:color="auto" w:fill="auto"/>
            <w:vAlign w:val="center"/>
          </w:tcPr>
          <w:p w14:paraId="7657A7DE"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84.2</w:t>
            </w:r>
          </w:p>
        </w:tc>
        <w:tc>
          <w:tcPr>
            <w:tcW w:w="789" w:type="dxa"/>
            <w:tcBorders>
              <w:top w:val="nil"/>
              <w:left w:val="nil"/>
              <w:bottom w:val="single" w:sz="8" w:space="0" w:color="000000"/>
              <w:right w:val="single" w:sz="8" w:space="0" w:color="auto"/>
            </w:tcBorders>
            <w:shd w:val="clear" w:color="auto" w:fill="auto"/>
            <w:vAlign w:val="center"/>
          </w:tcPr>
          <w:p w14:paraId="1BCFED28"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84.3</w:t>
            </w:r>
          </w:p>
        </w:tc>
        <w:tc>
          <w:tcPr>
            <w:tcW w:w="789" w:type="dxa"/>
            <w:tcBorders>
              <w:top w:val="nil"/>
              <w:left w:val="nil"/>
              <w:bottom w:val="nil"/>
              <w:right w:val="single" w:sz="8" w:space="0" w:color="auto"/>
            </w:tcBorders>
            <w:shd w:val="clear" w:color="auto" w:fill="auto"/>
            <w:vAlign w:val="center"/>
          </w:tcPr>
          <w:p w14:paraId="12C9D49A"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82.1</w:t>
            </w:r>
          </w:p>
        </w:tc>
        <w:tc>
          <w:tcPr>
            <w:tcW w:w="789" w:type="dxa"/>
            <w:tcBorders>
              <w:top w:val="nil"/>
              <w:left w:val="nil"/>
              <w:bottom w:val="single" w:sz="8" w:space="0" w:color="000000"/>
              <w:right w:val="single" w:sz="8" w:space="0" w:color="auto"/>
            </w:tcBorders>
            <w:shd w:val="clear" w:color="auto" w:fill="auto"/>
            <w:vAlign w:val="center"/>
          </w:tcPr>
          <w:p w14:paraId="63EDCCD8"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81.3</w:t>
            </w:r>
          </w:p>
        </w:tc>
        <w:tc>
          <w:tcPr>
            <w:tcW w:w="789" w:type="dxa"/>
            <w:tcBorders>
              <w:top w:val="nil"/>
              <w:left w:val="nil"/>
              <w:bottom w:val="nil"/>
              <w:right w:val="single" w:sz="8" w:space="0" w:color="auto"/>
            </w:tcBorders>
            <w:shd w:val="clear" w:color="auto" w:fill="auto"/>
            <w:vAlign w:val="center"/>
          </w:tcPr>
          <w:p w14:paraId="34D85D73"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82.2</w:t>
            </w:r>
          </w:p>
        </w:tc>
      </w:tr>
      <w:tr w:rsidR="001C6605" w:rsidRPr="00AB15C7" w14:paraId="05186796" w14:textId="77777777" w:rsidTr="001C6605">
        <w:trPr>
          <w:trHeight w:val="270"/>
        </w:trPr>
        <w:tc>
          <w:tcPr>
            <w:tcW w:w="2520" w:type="dxa"/>
            <w:tcBorders>
              <w:top w:val="nil"/>
              <w:left w:val="single" w:sz="8" w:space="0" w:color="auto"/>
              <w:bottom w:val="single" w:sz="8" w:space="0" w:color="000000"/>
              <w:right w:val="single" w:sz="8" w:space="0" w:color="auto"/>
            </w:tcBorders>
            <w:shd w:val="clear" w:color="auto" w:fill="D9D9D9"/>
            <w:vAlign w:val="center"/>
            <w:hideMark/>
          </w:tcPr>
          <w:p w14:paraId="096C8891" w14:textId="77777777" w:rsidR="00D95E03" w:rsidRPr="001C6605" w:rsidRDefault="00D95E03" w:rsidP="001C6605">
            <w:pPr>
              <w:spacing w:after="0" w:line="240" w:lineRule="auto"/>
              <w:ind w:right="-90"/>
              <w:rPr>
                <w:rFonts w:ascii="Cambria" w:hAnsi="Cambria" w:cs="Arial"/>
                <w:b/>
                <w:bCs/>
                <w:noProof/>
              </w:rPr>
            </w:pPr>
            <w:r w:rsidRPr="001C6605">
              <w:rPr>
                <w:rFonts w:ascii="Cambria" w:hAnsi="Cambria" w:cs="Arial"/>
                <w:b/>
                <w:bCs/>
                <w:noProof/>
              </w:rPr>
              <w:t xml:space="preserve">Porezi </w:t>
            </w:r>
            <w:r w:rsidR="001C6605" w:rsidRPr="001C6605">
              <w:rPr>
                <w:rFonts w:ascii="Cambria" w:hAnsi="Cambria" w:cs="Arial"/>
                <w:b/>
                <w:bCs/>
                <w:noProof/>
              </w:rPr>
              <w:t>minus</w:t>
            </w:r>
            <w:r w:rsidRPr="001C6605">
              <w:rPr>
                <w:rFonts w:ascii="Cambria" w:hAnsi="Cambria" w:cs="Arial"/>
                <w:b/>
                <w:bCs/>
                <w:noProof/>
              </w:rPr>
              <w:t xml:space="preserve"> subvencije </w:t>
            </w:r>
          </w:p>
        </w:tc>
        <w:tc>
          <w:tcPr>
            <w:tcW w:w="622" w:type="dxa"/>
            <w:tcBorders>
              <w:top w:val="nil"/>
              <w:left w:val="single" w:sz="8" w:space="0" w:color="auto"/>
              <w:bottom w:val="single" w:sz="8" w:space="0" w:color="000000"/>
              <w:right w:val="nil"/>
            </w:tcBorders>
            <w:shd w:val="clear" w:color="auto" w:fill="auto"/>
            <w:vAlign w:val="center"/>
          </w:tcPr>
          <w:p w14:paraId="23BFD1F5"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19.0</w:t>
            </w:r>
          </w:p>
        </w:tc>
        <w:tc>
          <w:tcPr>
            <w:tcW w:w="789" w:type="dxa"/>
            <w:tcBorders>
              <w:top w:val="nil"/>
              <w:left w:val="single" w:sz="8" w:space="0" w:color="auto"/>
              <w:bottom w:val="single" w:sz="8" w:space="0" w:color="000000"/>
              <w:right w:val="nil"/>
            </w:tcBorders>
            <w:shd w:val="clear" w:color="auto" w:fill="auto"/>
            <w:vAlign w:val="center"/>
          </w:tcPr>
          <w:p w14:paraId="10E66F16"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20.5</w:t>
            </w:r>
          </w:p>
        </w:tc>
        <w:tc>
          <w:tcPr>
            <w:tcW w:w="789" w:type="dxa"/>
            <w:tcBorders>
              <w:top w:val="nil"/>
              <w:left w:val="single" w:sz="8" w:space="0" w:color="auto"/>
              <w:bottom w:val="single" w:sz="8" w:space="0" w:color="000000"/>
              <w:right w:val="nil"/>
            </w:tcBorders>
            <w:shd w:val="clear" w:color="auto" w:fill="auto"/>
            <w:vAlign w:val="center"/>
          </w:tcPr>
          <w:p w14:paraId="7340529D"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18.0</w:t>
            </w:r>
          </w:p>
        </w:tc>
        <w:tc>
          <w:tcPr>
            <w:tcW w:w="789" w:type="dxa"/>
            <w:tcBorders>
              <w:top w:val="nil"/>
              <w:left w:val="single" w:sz="8" w:space="0" w:color="auto"/>
              <w:bottom w:val="single" w:sz="8" w:space="0" w:color="000000"/>
              <w:right w:val="nil"/>
            </w:tcBorders>
            <w:shd w:val="clear" w:color="auto" w:fill="auto"/>
            <w:vAlign w:val="center"/>
          </w:tcPr>
          <w:p w14:paraId="05AE5703"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17.0</w:t>
            </w:r>
          </w:p>
        </w:tc>
        <w:tc>
          <w:tcPr>
            <w:tcW w:w="799" w:type="dxa"/>
            <w:tcBorders>
              <w:top w:val="nil"/>
              <w:left w:val="single" w:sz="8" w:space="0" w:color="auto"/>
              <w:bottom w:val="single" w:sz="8" w:space="0" w:color="000000"/>
              <w:right w:val="nil"/>
            </w:tcBorders>
            <w:shd w:val="clear" w:color="auto" w:fill="auto"/>
            <w:vAlign w:val="center"/>
          </w:tcPr>
          <w:p w14:paraId="0C4CB8E1"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16.1</w:t>
            </w:r>
          </w:p>
        </w:tc>
        <w:tc>
          <w:tcPr>
            <w:tcW w:w="794" w:type="dxa"/>
            <w:tcBorders>
              <w:top w:val="nil"/>
              <w:left w:val="single" w:sz="8" w:space="0" w:color="auto"/>
              <w:bottom w:val="single" w:sz="8" w:space="0" w:color="000000"/>
              <w:right w:val="nil"/>
            </w:tcBorders>
            <w:shd w:val="clear" w:color="auto" w:fill="auto"/>
            <w:vAlign w:val="center"/>
          </w:tcPr>
          <w:p w14:paraId="765D3859"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15.8</w:t>
            </w:r>
          </w:p>
        </w:tc>
        <w:tc>
          <w:tcPr>
            <w:tcW w:w="789" w:type="dxa"/>
            <w:tcBorders>
              <w:top w:val="nil"/>
              <w:left w:val="single" w:sz="8" w:space="0" w:color="auto"/>
              <w:bottom w:val="single" w:sz="8" w:space="0" w:color="000000"/>
              <w:right w:val="nil"/>
            </w:tcBorders>
            <w:shd w:val="clear" w:color="auto" w:fill="auto"/>
            <w:vAlign w:val="center"/>
          </w:tcPr>
          <w:p w14:paraId="71479967"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15.7</w:t>
            </w:r>
          </w:p>
        </w:tc>
        <w:tc>
          <w:tcPr>
            <w:tcW w:w="789" w:type="dxa"/>
            <w:tcBorders>
              <w:top w:val="single" w:sz="8" w:space="0" w:color="auto"/>
              <w:left w:val="single" w:sz="8" w:space="0" w:color="auto"/>
              <w:bottom w:val="single" w:sz="8" w:space="0" w:color="auto"/>
              <w:right w:val="single" w:sz="8" w:space="0" w:color="auto"/>
            </w:tcBorders>
            <w:shd w:val="clear" w:color="auto" w:fill="auto"/>
            <w:vAlign w:val="center"/>
          </w:tcPr>
          <w:p w14:paraId="62D4F3FC"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17.9</w:t>
            </w:r>
          </w:p>
        </w:tc>
        <w:tc>
          <w:tcPr>
            <w:tcW w:w="789" w:type="dxa"/>
            <w:tcBorders>
              <w:top w:val="nil"/>
              <w:left w:val="nil"/>
              <w:bottom w:val="single" w:sz="8" w:space="0" w:color="000000"/>
              <w:right w:val="single" w:sz="8" w:space="0" w:color="auto"/>
            </w:tcBorders>
            <w:shd w:val="clear" w:color="auto" w:fill="auto"/>
            <w:vAlign w:val="center"/>
          </w:tcPr>
          <w:p w14:paraId="1EA0F639"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18.7</w:t>
            </w:r>
          </w:p>
        </w:tc>
        <w:tc>
          <w:tcPr>
            <w:tcW w:w="789" w:type="dxa"/>
            <w:tcBorders>
              <w:top w:val="single" w:sz="8" w:space="0" w:color="auto"/>
              <w:left w:val="nil"/>
              <w:bottom w:val="single" w:sz="8" w:space="0" w:color="auto"/>
              <w:right w:val="single" w:sz="8" w:space="0" w:color="auto"/>
            </w:tcBorders>
            <w:shd w:val="clear" w:color="auto" w:fill="auto"/>
            <w:vAlign w:val="center"/>
          </w:tcPr>
          <w:p w14:paraId="20129CDC"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17.8</w:t>
            </w:r>
          </w:p>
        </w:tc>
      </w:tr>
      <w:tr w:rsidR="001C6605" w:rsidRPr="00AB15C7" w14:paraId="548FE99D" w14:textId="77777777" w:rsidTr="001C6605">
        <w:trPr>
          <w:trHeight w:val="270"/>
        </w:trPr>
        <w:tc>
          <w:tcPr>
            <w:tcW w:w="2520" w:type="dxa"/>
            <w:tcBorders>
              <w:top w:val="nil"/>
              <w:left w:val="single" w:sz="8" w:space="0" w:color="auto"/>
              <w:bottom w:val="single" w:sz="8" w:space="0" w:color="000000"/>
              <w:right w:val="single" w:sz="8" w:space="0" w:color="auto"/>
            </w:tcBorders>
            <w:shd w:val="clear" w:color="auto" w:fill="D9D9D9"/>
            <w:vAlign w:val="center"/>
            <w:hideMark/>
          </w:tcPr>
          <w:p w14:paraId="144A99CC" w14:textId="77777777" w:rsidR="00D95E03" w:rsidRPr="00AB15C7" w:rsidRDefault="00D95E03" w:rsidP="001C6605">
            <w:pPr>
              <w:spacing w:after="0" w:line="240" w:lineRule="auto"/>
              <w:rPr>
                <w:rFonts w:ascii="Cambria" w:hAnsi="Cambria" w:cs="Arial"/>
                <w:b/>
                <w:bCs/>
                <w:noProof/>
              </w:rPr>
            </w:pPr>
            <w:r w:rsidRPr="00AB15C7">
              <w:rPr>
                <w:rFonts w:ascii="Cambria" w:hAnsi="Cambria" w:cs="Arial"/>
                <w:b/>
                <w:bCs/>
                <w:noProof/>
              </w:rPr>
              <w:t xml:space="preserve">BRUTO DOMAĆI PROIZVOD </w:t>
            </w:r>
          </w:p>
        </w:tc>
        <w:tc>
          <w:tcPr>
            <w:tcW w:w="622" w:type="dxa"/>
            <w:tcBorders>
              <w:top w:val="nil"/>
              <w:left w:val="nil"/>
              <w:bottom w:val="single" w:sz="8" w:space="0" w:color="auto"/>
              <w:right w:val="single" w:sz="8" w:space="0" w:color="auto"/>
            </w:tcBorders>
            <w:shd w:val="clear" w:color="auto" w:fill="auto"/>
            <w:vAlign w:val="center"/>
          </w:tcPr>
          <w:p w14:paraId="0CFAD259"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100.0</w:t>
            </w:r>
          </w:p>
        </w:tc>
        <w:tc>
          <w:tcPr>
            <w:tcW w:w="789" w:type="dxa"/>
            <w:tcBorders>
              <w:top w:val="nil"/>
              <w:left w:val="nil"/>
              <w:bottom w:val="single" w:sz="8" w:space="0" w:color="auto"/>
              <w:right w:val="single" w:sz="8" w:space="0" w:color="auto"/>
            </w:tcBorders>
            <w:shd w:val="clear" w:color="auto" w:fill="auto"/>
            <w:vAlign w:val="center"/>
          </w:tcPr>
          <w:p w14:paraId="0D644C65"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100.0</w:t>
            </w:r>
          </w:p>
        </w:tc>
        <w:tc>
          <w:tcPr>
            <w:tcW w:w="789" w:type="dxa"/>
            <w:tcBorders>
              <w:top w:val="nil"/>
              <w:left w:val="nil"/>
              <w:bottom w:val="single" w:sz="8" w:space="0" w:color="auto"/>
              <w:right w:val="single" w:sz="8" w:space="0" w:color="auto"/>
            </w:tcBorders>
            <w:shd w:val="clear" w:color="auto" w:fill="auto"/>
            <w:vAlign w:val="center"/>
          </w:tcPr>
          <w:p w14:paraId="5BD36AAC"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100.0</w:t>
            </w:r>
          </w:p>
        </w:tc>
        <w:tc>
          <w:tcPr>
            <w:tcW w:w="789" w:type="dxa"/>
            <w:tcBorders>
              <w:top w:val="nil"/>
              <w:left w:val="nil"/>
              <w:bottom w:val="single" w:sz="8" w:space="0" w:color="auto"/>
              <w:right w:val="single" w:sz="8" w:space="0" w:color="auto"/>
            </w:tcBorders>
            <w:shd w:val="clear" w:color="auto" w:fill="auto"/>
            <w:vAlign w:val="center"/>
          </w:tcPr>
          <w:p w14:paraId="58B03A39"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100.0</w:t>
            </w:r>
          </w:p>
        </w:tc>
        <w:tc>
          <w:tcPr>
            <w:tcW w:w="799" w:type="dxa"/>
            <w:tcBorders>
              <w:top w:val="nil"/>
              <w:left w:val="nil"/>
              <w:bottom w:val="single" w:sz="8" w:space="0" w:color="auto"/>
              <w:right w:val="nil"/>
            </w:tcBorders>
            <w:shd w:val="clear" w:color="auto" w:fill="auto"/>
            <w:vAlign w:val="center"/>
          </w:tcPr>
          <w:p w14:paraId="7BB69291"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100.0</w:t>
            </w:r>
          </w:p>
        </w:tc>
        <w:tc>
          <w:tcPr>
            <w:tcW w:w="794" w:type="dxa"/>
            <w:tcBorders>
              <w:top w:val="nil"/>
              <w:left w:val="single" w:sz="8" w:space="0" w:color="auto"/>
              <w:bottom w:val="single" w:sz="8" w:space="0" w:color="auto"/>
              <w:right w:val="nil"/>
            </w:tcBorders>
            <w:shd w:val="clear" w:color="auto" w:fill="auto"/>
            <w:vAlign w:val="center"/>
          </w:tcPr>
          <w:p w14:paraId="2621BA2A"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100.0</w:t>
            </w:r>
          </w:p>
        </w:tc>
        <w:tc>
          <w:tcPr>
            <w:tcW w:w="789" w:type="dxa"/>
            <w:tcBorders>
              <w:top w:val="nil"/>
              <w:left w:val="single" w:sz="8" w:space="0" w:color="auto"/>
              <w:bottom w:val="single" w:sz="8" w:space="0" w:color="auto"/>
              <w:right w:val="nil"/>
            </w:tcBorders>
            <w:shd w:val="clear" w:color="auto" w:fill="auto"/>
            <w:vAlign w:val="center"/>
          </w:tcPr>
          <w:p w14:paraId="76EFAFE7"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100.0</w:t>
            </w:r>
          </w:p>
        </w:tc>
        <w:tc>
          <w:tcPr>
            <w:tcW w:w="789" w:type="dxa"/>
            <w:tcBorders>
              <w:top w:val="nil"/>
              <w:left w:val="single" w:sz="8" w:space="0" w:color="auto"/>
              <w:bottom w:val="single" w:sz="8" w:space="0" w:color="auto"/>
              <w:right w:val="single" w:sz="8" w:space="0" w:color="auto"/>
            </w:tcBorders>
            <w:shd w:val="clear" w:color="auto" w:fill="auto"/>
            <w:vAlign w:val="center"/>
          </w:tcPr>
          <w:p w14:paraId="643C182B"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100.0</w:t>
            </w:r>
          </w:p>
        </w:tc>
        <w:tc>
          <w:tcPr>
            <w:tcW w:w="789" w:type="dxa"/>
            <w:tcBorders>
              <w:top w:val="nil"/>
              <w:left w:val="nil"/>
              <w:bottom w:val="single" w:sz="8" w:space="0" w:color="auto"/>
              <w:right w:val="single" w:sz="8" w:space="0" w:color="auto"/>
            </w:tcBorders>
            <w:shd w:val="clear" w:color="auto" w:fill="auto"/>
            <w:vAlign w:val="center"/>
          </w:tcPr>
          <w:p w14:paraId="70780F25"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100.0</w:t>
            </w:r>
          </w:p>
        </w:tc>
        <w:tc>
          <w:tcPr>
            <w:tcW w:w="789" w:type="dxa"/>
            <w:tcBorders>
              <w:top w:val="nil"/>
              <w:left w:val="nil"/>
              <w:bottom w:val="single" w:sz="8" w:space="0" w:color="auto"/>
              <w:right w:val="single" w:sz="8" w:space="0" w:color="auto"/>
            </w:tcBorders>
            <w:shd w:val="clear" w:color="auto" w:fill="auto"/>
            <w:vAlign w:val="center"/>
          </w:tcPr>
          <w:p w14:paraId="48EA035D" w14:textId="77777777" w:rsidR="00D95E03" w:rsidRPr="00AB15C7" w:rsidRDefault="00D95E03" w:rsidP="001C6605">
            <w:pPr>
              <w:spacing w:after="0" w:line="240" w:lineRule="auto"/>
              <w:jc w:val="right"/>
              <w:rPr>
                <w:rFonts w:ascii="Cambria" w:hAnsi="Cambria" w:cs="Arial"/>
                <w:b/>
                <w:bCs/>
                <w:noProof/>
              </w:rPr>
            </w:pPr>
            <w:r w:rsidRPr="00AB15C7">
              <w:rPr>
                <w:rFonts w:ascii="Cambria" w:hAnsi="Cambria" w:cs="Arial"/>
                <w:b/>
                <w:bCs/>
                <w:noProof/>
              </w:rPr>
              <w:t>100.0</w:t>
            </w:r>
          </w:p>
        </w:tc>
      </w:tr>
    </w:tbl>
    <w:p w14:paraId="30021C47" w14:textId="77777777" w:rsidR="00D95E03" w:rsidRPr="006F4EFD" w:rsidRDefault="00C95ED1" w:rsidP="005921EF">
      <w:pPr>
        <w:jc w:val="center"/>
        <w:rPr>
          <w:rFonts w:ascii="Cambria" w:hAnsi="Cambria"/>
          <w:i/>
          <w:noProof/>
          <w:lang w:val="sr-Latn-RS" w:eastAsia="x-none"/>
        </w:rPr>
      </w:pPr>
      <w:bookmarkStart w:id="18" w:name="_Hlk524086750"/>
      <w:r w:rsidRPr="006F4EFD">
        <w:rPr>
          <w:rFonts w:ascii="Cambria" w:hAnsi="Cambria"/>
          <w:i/>
          <w:noProof/>
          <w:lang w:val="sr-Latn-RS" w:eastAsia="x-none"/>
        </w:rPr>
        <w:t>Izvor: MONSTAT</w:t>
      </w:r>
    </w:p>
    <w:bookmarkEnd w:id="18"/>
    <w:p w14:paraId="5C03AD61" w14:textId="2506A637" w:rsidR="00493B41" w:rsidRPr="00AB15C7" w:rsidRDefault="006F4EFD" w:rsidP="005921EF">
      <w:pPr>
        <w:jc w:val="both"/>
        <w:rPr>
          <w:rFonts w:ascii="Cambria" w:eastAsia="SimSun" w:hAnsi="Cambria"/>
          <w:bCs/>
          <w:noProof/>
          <w:lang w:eastAsia="x-none"/>
        </w:rPr>
      </w:pPr>
      <w:r w:rsidRPr="00AB15C7">
        <w:rPr>
          <w:rFonts w:ascii="Cambria" w:eastAsia="SimSun" w:hAnsi="Cambria"/>
          <w:bCs/>
          <w:noProof/>
        </w:rPr>
        <w:lastRenderedPageBreak/>
        <w:drawing>
          <wp:anchor distT="0" distB="0" distL="114300" distR="114300" simplePos="0" relativeHeight="251656704" behindDoc="1" locked="0" layoutInCell="1" allowOverlap="1" wp14:anchorId="2CD2A455" wp14:editId="27F70BED">
            <wp:simplePos x="0" y="0"/>
            <wp:positionH relativeFrom="column">
              <wp:posOffset>1042035</wp:posOffset>
            </wp:positionH>
            <wp:positionV relativeFrom="paragraph">
              <wp:posOffset>2080260</wp:posOffset>
            </wp:positionV>
            <wp:extent cx="4392425" cy="2552700"/>
            <wp:effectExtent l="0" t="0" r="825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2555" cy="2552776"/>
                    </a:xfrm>
                    <a:prstGeom prst="rect">
                      <a:avLst/>
                    </a:prstGeom>
                    <a:noFill/>
                  </pic:spPr>
                </pic:pic>
              </a:graphicData>
            </a:graphic>
            <wp14:sizeRelH relativeFrom="page">
              <wp14:pctWidth>0</wp14:pctWidth>
            </wp14:sizeRelH>
            <wp14:sizeRelV relativeFrom="page">
              <wp14:pctHeight>0</wp14:pctHeight>
            </wp14:sizeRelV>
          </wp:anchor>
        </w:drawing>
      </w:r>
      <w:r w:rsidR="00FF3DE0" w:rsidRPr="00AB15C7">
        <w:rPr>
          <w:rFonts w:ascii="Cambria" w:eastAsia="SimSun" w:hAnsi="Cambria"/>
          <w:bCs/>
          <w:noProof/>
          <w:lang w:eastAsia="x-none"/>
        </w:rPr>
        <w:t>Međutim</w:t>
      </w:r>
      <w:r w:rsidR="009F635F" w:rsidRPr="00AB15C7">
        <w:rPr>
          <w:rFonts w:ascii="Cambria" w:eastAsia="SimSun" w:hAnsi="Cambria"/>
          <w:bCs/>
          <w:noProof/>
          <w:lang w:eastAsia="x-none"/>
        </w:rPr>
        <w:t xml:space="preserve">, </w:t>
      </w:r>
      <w:r w:rsidR="00FF3DE0" w:rsidRPr="00AB15C7">
        <w:rPr>
          <w:rFonts w:ascii="Cambria" w:eastAsia="SimSun" w:hAnsi="Cambria"/>
          <w:bCs/>
          <w:noProof/>
          <w:lang w:eastAsia="x-none"/>
        </w:rPr>
        <w:t xml:space="preserve">shodno </w:t>
      </w:r>
      <w:r w:rsidR="0034598E">
        <w:rPr>
          <w:rFonts w:ascii="Cambria" w:eastAsia="SimSun" w:hAnsi="Cambria"/>
          <w:bCs/>
          <w:noProof/>
          <w:lang w:eastAsia="x-none"/>
        </w:rPr>
        <w:t>indikatorima</w:t>
      </w:r>
      <w:r w:rsidR="00FF3DE0" w:rsidRPr="00AB15C7">
        <w:rPr>
          <w:rFonts w:ascii="Cambria" w:eastAsia="SimSun" w:hAnsi="Cambria"/>
          <w:bCs/>
          <w:noProof/>
          <w:lang w:eastAsia="x-none"/>
        </w:rPr>
        <w:t xml:space="preserve"> zabilježenim u 2017. </w:t>
      </w:r>
      <w:r w:rsidR="009F635F" w:rsidRPr="00AB15C7">
        <w:rPr>
          <w:rFonts w:ascii="Cambria" w:eastAsia="SimSun" w:hAnsi="Cambria"/>
          <w:bCs/>
          <w:noProof/>
          <w:lang w:eastAsia="x-none"/>
        </w:rPr>
        <w:t>g</w:t>
      </w:r>
      <w:r w:rsidR="00FF3DE0" w:rsidRPr="00AB15C7">
        <w:rPr>
          <w:rFonts w:ascii="Cambria" w:eastAsia="SimSun" w:hAnsi="Cambria"/>
          <w:bCs/>
          <w:noProof/>
          <w:lang w:eastAsia="x-none"/>
        </w:rPr>
        <w:t>odini</w:t>
      </w:r>
      <w:r w:rsidR="00921782" w:rsidRPr="00AB15C7">
        <w:rPr>
          <w:rFonts w:ascii="Cambria" w:eastAsia="SimSun" w:hAnsi="Cambria"/>
          <w:bCs/>
          <w:noProof/>
          <w:lang w:eastAsia="x-none"/>
        </w:rPr>
        <w:t xml:space="preserve"> na osnovu kvartalnih podataka</w:t>
      </w:r>
      <w:r w:rsidR="000A1BD7" w:rsidRPr="00AB15C7">
        <w:rPr>
          <w:rFonts w:ascii="Cambria" w:eastAsia="SimSun" w:hAnsi="Cambria"/>
          <w:bCs/>
          <w:noProof/>
          <w:lang w:eastAsia="x-none"/>
        </w:rPr>
        <w:t xml:space="preserve">, </w:t>
      </w:r>
      <w:r w:rsidR="009F635F" w:rsidRPr="00AB15C7">
        <w:rPr>
          <w:rFonts w:ascii="Cambria" w:eastAsia="SimSun" w:hAnsi="Cambria"/>
          <w:bCs/>
          <w:noProof/>
          <w:lang w:eastAsia="x-none"/>
        </w:rPr>
        <w:t xml:space="preserve">makroekonomske performanse Crne Gore </w:t>
      </w:r>
      <w:r w:rsidR="007F38DA" w:rsidRPr="00AB15C7">
        <w:rPr>
          <w:rFonts w:ascii="Cambria" w:eastAsia="SimSun" w:hAnsi="Cambria"/>
          <w:bCs/>
          <w:noProof/>
          <w:lang w:eastAsia="x-none"/>
        </w:rPr>
        <w:t>poboljšane</w:t>
      </w:r>
      <w:r w:rsidR="00FF3DE0" w:rsidRPr="00AB15C7">
        <w:rPr>
          <w:rFonts w:ascii="Cambria" w:eastAsia="SimSun" w:hAnsi="Cambria"/>
          <w:bCs/>
          <w:noProof/>
          <w:lang w:eastAsia="x-none"/>
        </w:rPr>
        <w:t xml:space="preserve"> u odnosu na prethodnu godinu. Intenziviranje aktivnosti na izgradnji velikih </w:t>
      </w:r>
      <w:r w:rsidR="000A1BD7" w:rsidRPr="00AB15C7">
        <w:rPr>
          <w:rFonts w:ascii="Cambria" w:eastAsia="SimSun" w:hAnsi="Cambria"/>
          <w:bCs/>
          <w:noProof/>
          <w:lang w:eastAsia="x-none"/>
        </w:rPr>
        <w:t>in</w:t>
      </w:r>
      <w:r w:rsidR="00FF3DE0" w:rsidRPr="00AB15C7">
        <w:rPr>
          <w:rFonts w:ascii="Cambria" w:eastAsia="SimSun" w:hAnsi="Cambria"/>
          <w:bCs/>
          <w:noProof/>
          <w:lang w:eastAsia="x-none"/>
        </w:rPr>
        <w:t>frastrukturnih</w:t>
      </w:r>
      <w:r w:rsidR="000A1BD7" w:rsidRPr="00AB15C7">
        <w:rPr>
          <w:rFonts w:ascii="Cambria" w:eastAsia="SimSun" w:hAnsi="Cambria"/>
          <w:bCs/>
          <w:noProof/>
          <w:lang w:eastAsia="x-none"/>
        </w:rPr>
        <w:t xml:space="preserve"> </w:t>
      </w:r>
      <w:r w:rsidR="00FF3DE0" w:rsidRPr="00AB15C7">
        <w:rPr>
          <w:rFonts w:ascii="Cambria" w:eastAsia="SimSun" w:hAnsi="Cambria"/>
          <w:bCs/>
          <w:noProof/>
          <w:lang w:eastAsia="x-none"/>
        </w:rPr>
        <w:t>projekata u građevinarstvu i energetici, kao i snažan rast broja turista, rezultirali</w:t>
      </w:r>
      <w:r w:rsidR="000A1BD7" w:rsidRPr="00AB15C7">
        <w:rPr>
          <w:rFonts w:ascii="Cambria" w:eastAsia="SimSun" w:hAnsi="Cambria"/>
          <w:bCs/>
          <w:noProof/>
          <w:lang w:eastAsia="x-none"/>
        </w:rPr>
        <w:t xml:space="preserve"> </w:t>
      </w:r>
      <w:r w:rsidR="00FF3DE0" w:rsidRPr="00AB15C7">
        <w:rPr>
          <w:rFonts w:ascii="Cambria" w:eastAsia="SimSun" w:hAnsi="Cambria"/>
          <w:bCs/>
          <w:noProof/>
          <w:lang w:eastAsia="x-none"/>
        </w:rPr>
        <w:t>su visokom stopom rasta BDP-a. Crnogorska privreda je tokom 2017. godine, prema preliminarnim</w:t>
      </w:r>
      <w:r w:rsidR="000A1BD7" w:rsidRPr="00AB15C7">
        <w:rPr>
          <w:rFonts w:ascii="Cambria" w:eastAsia="SimSun" w:hAnsi="Cambria"/>
          <w:bCs/>
          <w:noProof/>
          <w:lang w:eastAsia="x-none"/>
        </w:rPr>
        <w:t xml:space="preserve"> </w:t>
      </w:r>
      <w:r w:rsidR="00FF3DE0" w:rsidRPr="00AB15C7">
        <w:rPr>
          <w:rFonts w:ascii="Cambria" w:eastAsia="SimSun" w:hAnsi="Cambria"/>
          <w:bCs/>
          <w:noProof/>
          <w:lang w:eastAsia="x-none"/>
        </w:rPr>
        <w:t>podacima MONSTAT-a, na osnovu kvartalnih procjena, ostvarila pozitivnu stopu ekonomskog</w:t>
      </w:r>
      <w:r w:rsidR="000A1BD7" w:rsidRPr="00AB15C7">
        <w:rPr>
          <w:rFonts w:ascii="Cambria" w:eastAsia="SimSun" w:hAnsi="Cambria"/>
          <w:bCs/>
          <w:noProof/>
          <w:lang w:eastAsia="x-none"/>
        </w:rPr>
        <w:t xml:space="preserve"> </w:t>
      </w:r>
      <w:r w:rsidR="00FF3DE0" w:rsidRPr="00AB15C7">
        <w:rPr>
          <w:rFonts w:ascii="Cambria" w:eastAsia="SimSun" w:hAnsi="Cambria"/>
          <w:bCs/>
          <w:noProof/>
          <w:lang w:eastAsia="x-none"/>
        </w:rPr>
        <w:t>rasta od 4,4% . Tokom ovog perioda značajan rast aktivnosti zabilježen je u sektoru građevinarstva,</w:t>
      </w:r>
      <w:r w:rsidR="000A1BD7" w:rsidRPr="00AB15C7">
        <w:rPr>
          <w:rFonts w:ascii="Cambria" w:eastAsia="SimSun" w:hAnsi="Cambria"/>
          <w:bCs/>
          <w:noProof/>
          <w:lang w:eastAsia="x-none"/>
        </w:rPr>
        <w:t xml:space="preserve"> </w:t>
      </w:r>
      <w:r w:rsidR="00FF3DE0" w:rsidRPr="00AB15C7">
        <w:rPr>
          <w:rFonts w:ascii="Cambria" w:eastAsia="SimSun" w:hAnsi="Cambria"/>
          <w:bCs/>
          <w:noProof/>
          <w:lang w:eastAsia="x-none"/>
        </w:rPr>
        <w:t>kao i u sektoru turizma, šumarstva, trgovine i većini vidova saobraćaja. Nastavljen je</w:t>
      </w:r>
      <w:r w:rsidR="000A1BD7" w:rsidRPr="00AB15C7">
        <w:rPr>
          <w:rFonts w:ascii="Cambria" w:eastAsia="SimSun" w:hAnsi="Cambria"/>
          <w:bCs/>
          <w:noProof/>
          <w:lang w:eastAsia="x-none"/>
        </w:rPr>
        <w:t xml:space="preserve"> </w:t>
      </w:r>
      <w:r w:rsidR="00FF3DE0" w:rsidRPr="00AB15C7">
        <w:rPr>
          <w:rFonts w:ascii="Cambria" w:eastAsia="SimSun" w:hAnsi="Cambria"/>
          <w:bCs/>
          <w:noProof/>
          <w:lang w:eastAsia="x-none"/>
        </w:rPr>
        <w:t>trend pada industrijske proizvodnje iz prethodne godine, dok je povećan broj zaposlenih, kao i</w:t>
      </w:r>
      <w:r w:rsidR="000A1BD7" w:rsidRPr="00AB15C7">
        <w:rPr>
          <w:rFonts w:ascii="Cambria" w:eastAsia="SimSun" w:hAnsi="Cambria"/>
          <w:bCs/>
          <w:noProof/>
          <w:lang w:eastAsia="x-none"/>
        </w:rPr>
        <w:t xml:space="preserve"> </w:t>
      </w:r>
      <w:r w:rsidR="00FF3DE0" w:rsidRPr="00AB15C7">
        <w:rPr>
          <w:rFonts w:ascii="Cambria" w:eastAsia="SimSun" w:hAnsi="Cambria"/>
          <w:bCs/>
          <w:noProof/>
          <w:lang w:eastAsia="x-none"/>
        </w:rPr>
        <w:t>broj nezaposlenih lica.</w:t>
      </w:r>
      <w:r w:rsidR="00493B41" w:rsidRPr="00AB15C7">
        <w:rPr>
          <w:rFonts w:ascii="Cambria" w:hAnsi="Cambria"/>
          <w:noProof/>
        </w:rPr>
        <w:t xml:space="preserve"> </w:t>
      </w:r>
      <w:r w:rsidR="00493B41" w:rsidRPr="00AB15C7">
        <w:rPr>
          <w:rFonts w:ascii="Cambria" w:eastAsia="SimSun" w:hAnsi="Cambria"/>
          <w:bCs/>
          <w:noProof/>
          <w:lang w:eastAsia="x-none"/>
        </w:rPr>
        <w:t>Struktura zaposlenih lica prema sektorima djelatnosti pokazuje da je najveće učešće zaposlenih u sektorima uslužne djelatnosti 75,0%, zatim u sektorima nepoljoprivredne djelatnosti (industrija i građevinarstvo) 17,1% i u sektoru poljoprivrede, šumarstva i ribolova 7,9% (grafik 2.).</w:t>
      </w:r>
    </w:p>
    <w:p w14:paraId="141F370F" w14:textId="77777777" w:rsidR="001061D7" w:rsidRPr="00AB15C7" w:rsidRDefault="001061D7" w:rsidP="005921EF">
      <w:pPr>
        <w:jc w:val="both"/>
        <w:rPr>
          <w:rFonts w:ascii="Cambria" w:eastAsia="SimSun" w:hAnsi="Cambria"/>
          <w:bCs/>
          <w:noProof/>
          <w:lang w:eastAsia="x-none"/>
        </w:rPr>
      </w:pPr>
    </w:p>
    <w:p w14:paraId="0C90059B" w14:textId="77777777" w:rsidR="001061D7" w:rsidRPr="00AB15C7" w:rsidRDefault="001061D7" w:rsidP="005921EF">
      <w:pPr>
        <w:jc w:val="both"/>
        <w:rPr>
          <w:rFonts w:ascii="Cambria" w:eastAsia="SimSun" w:hAnsi="Cambria"/>
          <w:bCs/>
          <w:noProof/>
          <w:lang w:eastAsia="x-none"/>
        </w:rPr>
      </w:pPr>
    </w:p>
    <w:p w14:paraId="0C33C5E8" w14:textId="77777777" w:rsidR="001061D7" w:rsidRPr="00AB15C7" w:rsidRDefault="001061D7" w:rsidP="005921EF">
      <w:pPr>
        <w:jc w:val="both"/>
        <w:rPr>
          <w:rFonts w:ascii="Cambria" w:eastAsia="SimSun" w:hAnsi="Cambria"/>
          <w:bCs/>
          <w:noProof/>
          <w:lang w:eastAsia="x-none"/>
        </w:rPr>
      </w:pPr>
    </w:p>
    <w:p w14:paraId="393C0A68" w14:textId="77777777" w:rsidR="001061D7" w:rsidRPr="00AB15C7" w:rsidRDefault="001061D7" w:rsidP="005921EF">
      <w:pPr>
        <w:jc w:val="both"/>
        <w:rPr>
          <w:rFonts w:ascii="Cambria" w:eastAsia="SimSun" w:hAnsi="Cambria"/>
          <w:bCs/>
          <w:noProof/>
          <w:lang w:eastAsia="x-none"/>
        </w:rPr>
      </w:pPr>
    </w:p>
    <w:p w14:paraId="4F68094D" w14:textId="77777777" w:rsidR="001061D7" w:rsidRPr="00AB15C7" w:rsidRDefault="001061D7" w:rsidP="005921EF">
      <w:pPr>
        <w:jc w:val="both"/>
        <w:rPr>
          <w:rFonts w:ascii="Cambria" w:eastAsia="SimSun" w:hAnsi="Cambria"/>
          <w:bCs/>
          <w:noProof/>
          <w:lang w:eastAsia="x-none"/>
        </w:rPr>
      </w:pPr>
    </w:p>
    <w:p w14:paraId="6539C0C9" w14:textId="77777777" w:rsidR="001061D7" w:rsidRPr="00AB15C7" w:rsidRDefault="001061D7" w:rsidP="005921EF">
      <w:pPr>
        <w:jc w:val="both"/>
        <w:rPr>
          <w:rFonts w:ascii="Cambria" w:eastAsia="SimSun" w:hAnsi="Cambria"/>
          <w:bCs/>
          <w:noProof/>
          <w:lang w:eastAsia="x-none"/>
        </w:rPr>
      </w:pPr>
    </w:p>
    <w:p w14:paraId="73A5DBD9" w14:textId="77777777" w:rsidR="00493B41" w:rsidRPr="00AB15C7" w:rsidRDefault="00493B41" w:rsidP="005921EF">
      <w:pPr>
        <w:jc w:val="center"/>
        <w:rPr>
          <w:rFonts w:ascii="Cambria" w:eastAsia="SimSun" w:hAnsi="Cambria"/>
          <w:bCs/>
          <w:noProof/>
          <w:lang w:eastAsia="x-none"/>
        </w:rPr>
      </w:pPr>
    </w:p>
    <w:p w14:paraId="3CF00533" w14:textId="77777777" w:rsidR="006F4EFD" w:rsidRDefault="006F4EFD" w:rsidP="006F4EFD">
      <w:pPr>
        <w:spacing w:after="0"/>
        <w:jc w:val="center"/>
        <w:rPr>
          <w:rFonts w:ascii="Cambria" w:eastAsia="SimSun" w:hAnsi="Cambria"/>
          <w:bCs/>
          <w:i/>
          <w:noProof/>
          <w:lang w:eastAsia="x-none"/>
        </w:rPr>
      </w:pPr>
    </w:p>
    <w:p w14:paraId="5F04489F" w14:textId="77777777" w:rsidR="00493B41" w:rsidRDefault="00493B41" w:rsidP="006F4EFD">
      <w:pPr>
        <w:spacing w:after="0"/>
        <w:jc w:val="center"/>
        <w:rPr>
          <w:rFonts w:ascii="Cambria" w:eastAsia="SimSun" w:hAnsi="Cambria"/>
          <w:bCs/>
          <w:noProof/>
          <w:lang w:eastAsia="x-none"/>
        </w:rPr>
      </w:pPr>
      <w:r w:rsidRPr="006F4EFD">
        <w:rPr>
          <w:rFonts w:ascii="Cambria" w:eastAsia="SimSun" w:hAnsi="Cambria"/>
          <w:bCs/>
          <w:i/>
          <w:noProof/>
          <w:lang w:eastAsia="x-none"/>
        </w:rPr>
        <w:t>Grafik 2.</w:t>
      </w:r>
      <w:r w:rsidRPr="00AB15C7">
        <w:rPr>
          <w:rFonts w:ascii="Cambria" w:eastAsia="SimSun" w:hAnsi="Cambria"/>
          <w:bCs/>
          <w:noProof/>
          <w:lang w:eastAsia="x-none"/>
        </w:rPr>
        <w:t xml:space="preserve"> Zaposlena lica prema sektorima djelatnosti</w:t>
      </w:r>
    </w:p>
    <w:p w14:paraId="4262E676" w14:textId="77777777" w:rsidR="006F4EFD" w:rsidRPr="006F4EFD" w:rsidRDefault="006F4EFD" w:rsidP="006F4EFD">
      <w:pPr>
        <w:jc w:val="center"/>
        <w:rPr>
          <w:rFonts w:ascii="Cambria" w:eastAsia="SimSun" w:hAnsi="Cambria"/>
          <w:bCs/>
          <w:i/>
          <w:noProof/>
          <w:lang w:val="sr-Latn-RS" w:eastAsia="x-none"/>
        </w:rPr>
      </w:pPr>
      <w:r w:rsidRPr="006F4EFD">
        <w:rPr>
          <w:rFonts w:ascii="Cambria" w:eastAsia="SimSun" w:hAnsi="Cambria"/>
          <w:bCs/>
          <w:i/>
          <w:noProof/>
          <w:lang w:val="sr-Latn-RS" w:eastAsia="x-none"/>
        </w:rPr>
        <w:t>Izvor: MONSTAT</w:t>
      </w:r>
    </w:p>
    <w:p w14:paraId="67300984" w14:textId="77777777" w:rsidR="00FF3DE0" w:rsidRPr="00AB15C7" w:rsidRDefault="00FF3DE0" w:rsidP="005921EF">
      <w:pPr>
        <w:jc w:val="both"/>
        <w:rPr>
          <w:rFonts w:ascii="Cambria" w:eastAsia="SimSun" w:hAnsi="Cambria"/>
          <w:bCs/>
          <w:noProof/>
          <w:lang w:eastAsia="x-none"/>
        </w:rPr>
      </w:pPr>
    </w:p>
    <w:p w14:paraId="38EA0630" w14:textId="77777777" w:rsidR="000C17DD" w:rsidRPr="00AB15C7" w:rsidRDefault="0007154F" w:rsidP="00802271">
      <w:pPr>
        <w:pStyle w:val="Heading2"/>
        <w:spacing w:after="120"/>
        <w:ind w:left="720"/>
        <w:rPr>
          <w:noProof/>
          <w:sz w:val="22"/>
          <w:szCs w:val="22"/>
          <w:shd w:val="clear" w:color="auto" w:fill="FFFFFF"/>
        </w:rPr>
      </w:pPr>
      <w:bookmarkStart w:id="19" w:name="_Toc527353173"/>
      <w:r w:rsidRPr="00AB15C7">
        <w:rPr>
          <w:noProof/>
          <w:sz w:val="22"/>
          <w:szCs w:val="22"/>
          <w:shd w:val="clear" w:color="auto" w:fill="FFFFFF"/>
          <w:lang w:val="sr-Latn-RS"/>
        </w:rPr>
        <w:t>2.1.4.1.</w:t>
      </w:r>
      <w:r w:rsidR="00F132C4" w:rsidRPr="00AB15C7">
        <w:rPr>
          <w:noProof/>
          <w:sz w:val="22"/>
          <w:szCs w:val="22"/>
          <w:shd w:val="clear" w:color="auto" w:fill="FFFFFF"/>
        </w:rPr>
        <w:t>Industrij</w:t>
      </w:r>
      <w:r w:rsidR="00317542" w:rsidRPr="00AB15C7">
        <w:rPr>
          <w:noProof/>
          <w:sz w:val="22"/>
          <w:szCs w:val="22"/>
          <w:shd w:val="clear" w:color="auto" w:fill="FFFFFF"/>
        </w:rPr>
        <w:t>ska proizvodnja</w:t>
      </w:r>
      <w:bookmarkEnd w:id="19"/>
    </w:p>
    <w:p w14:paraId="04FC353C" w14:textId="77777777" w:rsidR="00B34ECE" w:rsidRDefault="00CF30A2" w:rsidP="005921EF">
      <w:pPr>
        <w:spacing w:after="0"/>
        <w:jc w:val="both"/>
        <w:rPr>
          <w:rFonts w:ascii="Cambria" w:eastAsia="SimSun" w:hAnsi="Cambria"/>
          <w:bCs/>
          <w:noProof/>
          <w:lang w:eastAsia="x-none"/>
        </w:rPr>
      </w:pPr>
      <w:r w:rsidRPr="00AB15C7">
        <w:rPr>
          <w:rFonts w:ascii="Cambria" w:eastAsia="SimSun" w:hAnsi="Cambria"/>
          <w:bCs/>
          <w:noProof/>
          <w:lang w:eastAsia="x-none"/>
        </w:rPr>
        <w:t>Prema bazi podataka Monstat, do najvećeg, dvocifrenog, smanjenja obima industrijske proizvodnje došlo je 2009. godine kao posljedica globalne ekonomske krize, ali se uz izvesne fluktuacije ovaj opadajući trend nastavio do danas. K</w:t>
      </w:r>
      <w:r w:rsidR="003D54AF" w:rsidRPr="00AB15C7">
        <w:rPr>
          <w:rFonts w:ascii="Cambria" w:eastAsia="SimSun" w:hAnsi="Cambria"/>
          <w:bCs/>
          <w:noProof/>
          <w:lang w:eastAsia="x-none"/>
        </w:rPr>
        <w:t>retanja godišnjih indeksa industrijske p</w:t>
      </w:r>
      <w:r w:rsidR="006D0EB4" w:rsidRPr="00AB15C7">
        <w:rPr>
          <w:rFonts w:ascii="Cambria" w:eastAsia="SimSun" w:hAnsi="Cambria"/>
          <w:bCs/>
          <w:noProof/>
          <w:lang w:eastAsia="x-none"/>
        </w:rPr>
        <w:t xml:space="preserve">roizvodnje </w:t>
      </w:r>
      <w:r w:rsidR="0076590A" w:rsidRPr="00AB15C7">
        <w:rPr>
          <w:rFonts w:ascii="Cambria" w:eastAsia="SimSun" w:hAnsi="Cambria"/>
          <w:bCs/>
          <w:noProof/>
          <w:lang w:eastAsia="x-none"/>
        </w:rPr>
        <w:t xml:space="preserve">za period 2006-2016. data na grafiku </w:t>
      </w:r>
      <w:r w:rsidR="00493B41" w:rsidRPr="00AB15C7">
        <w:rPr>
          <w:rFonts w:ascii="Cambria" w:eastAsia="SimSun" w:hAnsi="Cambria"/>
          <w:bCs/>
          <w:noProof/>
          <w:lang w:eastAsia="x-none"/>
        </w:rPr>
        <w:t>3</w:t>
      </w:r>
      <w:r w:rsidR="00B34ECE" w:rsidRPr="00AB15C7">
        <w:rPr>
          <w:rFonts w:ascii="Cambria" w:eastAsia="SimSun" w:hAnsi="Cambria"/>
          <w:bCs/>
          <w:noProof/>
          <w:lang w:eastAsia="x-none"/>
        </w:rPr>
        <w:t xml:space="preserve">. </w:t>
      </w:r>
      <w:r w:rsidR="00B3081E" w:rsidRPr="00AB15C7">
        <w:rPr>
          <w:rFonts w:ascii="Cambria" w:eastAsia="SimSun" w:hAnsi="Cambria"/>
          <w:bCs/>
          <w:noProof/>
          <w:lang w:eastAsia="x-none"/>
        </w:rPr>
        <w:t xml:space="preserve">pokazuju opadajući trend u ovoj privrednoj grani. </w:t>
      </w:r>
    </w:p>
    <w:p w14:paraId="5A92F172" w14:textId="77777777" w:rsidR="006F4EFD" w:rsidRPr="00AB15C7" w:rsidRDefault="006F4EFD" w:rsidP="005921EF">
      <w:pPr>
        <w:spacing w:after="0"/>
        <w:jc w:val="both"/>
        <w:rPr>
          <w:rFonts w:ascii="Cambria" w:eastAsia="SimSun" w:hAnsi="Cambria"/>
          <w:bCs/>
          <w:noProof/>
          <w:lang w:eastAsia="x-none"/>
        </w:rPr>
      </w:pPr>
    </w:p>
    <w:p w14:paraId="52459A86" w14:textId="77777777" w:rsidR="003A2D38" w:rsidRPr="00AB15C7" w:rsidRDefault="00B325C3" w:rsidP="005921EF">
      <w:pPr>
        <w:spacing w:after="0"/>
        <w:jc w:val="center"/>
        <w:rPr>
          <w:rFonts w:ascii="Cambria" w:hAnsi="Cambria"/>
          <w:noProof/>
          <w:lang w:val="x-none" w:eastAsia="x-none"/>
        </w:rPr>
      </w:pPr>
      <w:r w:rsidRPr="00AB15C7">
        <w:rPr>
          <w:rFonts w:ascii="Cambria" w:hAnsi="Cambria"/>
          <w:noProof/>
        </w:rPr>
        <w:drawing>
          <wp:inline distT="0" distB="0" distL="0" distR="0" wp14:anchorId="4B913BAB" wp14:editId="1DAAEE48">
            <wp:extent cx="5038725" cy="2171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8725" cy="2171700"/>
                    </a:xfrm>
                    <a:prstGeom prst="rect">
                      <a:avLst/>
                    </a:prstGeom>
                    <a:noFill/>
                    <a:ln>
                      <a:noFill/>
                    </a:ln>
                  </pic:spPr>
                </pic:pic>
              </a:graphicData>
            </a:graphic>
          </wp:inline>
        </w:drawing>
      </w:r>
    </w:p>
    <w:p w14:paraId="5345E709" w14:textId="77777777" w:rsidR="00B34ECE" w:rsidRPr="006F4EFD" w:rsidRDefault="00B34ECE" w:rsidP="006F4EFD">
      <w:pPr>
        <w:spacing w:after="0"/>
        <w:jc w:val="center"/>
        <w:rPr>
          <w:rFonts w:ascii="Cambria" w:eastAsia="SimSun" w:hAnsi="Cambria"/>
          <w:bCs/>
          <w:i/>
          <w:noProof/>
          <w:lang w:eastAsia="x-none"/>
        </w:rPr>
      </w:pPr>
      <w:r w:rsidRPr="006F4EFD">
        <w:rPr>
          <w:rFonts w:ascii="Cambria" w:eastAsia="SimSun" w:hAnsi="Cambria"/>
          <w:bCs/>
          <w:i/>
          <w:noProof/>
          <w:lang w:eastAsia="x-none"/>
        </w:rPr>
        <w:t xml:space="preserve">Grafik </w:t>
      </w:r>
      <w:r w:rsidR="00493B41" w:rsidRPr="006F4EFD">
        <w:rPr>
          <w:rFonts w:ascii="Cambria" w:eastAsia="SimSun" w:hAnsi="Cambria"/>
          <w:bCs/>
          <w:i/>
          <w:noProof/>
          <w:lang w:eastAsia="x-none"/>
        </w:rPr>
        <w:t>3</w:t>
      </w:r>
      <w:r w:rsidRPr="006F4EFD">
        <w:rPr>
          <w:rFonts w:ascii="Cambria" w:eastAsia="SimSun" w:hAnsi="Cambria"/>
          <w:bCs/>
          <w:i/>
          <w:noProof/>
          <w:lang w:eastAsia="x-none"/>
        </w:rPr>
        <w:t xml:space="preserve">. </w:t>
      </w:r>
      <w:r w:rsidRPr="006F4EFD">
        <w:rPr>
          <w:rFonts w:ascii="Cambria" w:eastAsia="SimSun" w:hAnsi="Cambria"/>
          <w:bCs/>
          <w:noProof/>
          <w:lang w:eastAsia="x-none"/>
        </w:rPr>
        <w:t>Godišnji indeksi industrijske proizvodnje za period 2006-2016.</w:t>
      </w:r>
    </w:p>
    <w:p w14:paraId="3BBD34BD" w14:textId="77777777" w:rsidR="006F4EFD" w:rsidRPr="006F4EFD" w:rsidRDefault="006F4EFD" w:rsidP="005921EF">
      <w:pPr>
        <w:jc w:val="center"/>
        <w:rPr>
          <w:rFonts w:ascii="Cambria" w:eastAsia="SimSun" w:hAnsi="Cambria"/>
          <w:bCs/>
          <w:i/>
          <w:noProof/>
          <w:lang w:eastAsia="x-none"/>
        </w:rPr>
      </w:pPr>
      <w:r w:rsidRPr="006F4EFD">
        <w:rPr>
          <w:rFonts w:ascii="Cambria" w:eastAsia="SimSun" w:hAnsi="Cambria"/>
          <w:bCs/>
          <w:i/>
          <w:noProof/>
          <w:lang w:eastAsia="x-none"/>
        </w:rPr>
        <w:t>Izvor: MONSTAT</w:t>
      </w:r>
    </w:p>
    <w:p w14:paraId="649D02C9" w14:textId="77777777" w:rsidR="00B3081E" w:rsidRPr="00AB15C7" w:rsidRDefault="00B3081E" w:rsidP="005921EF">
      <w:pPr>
        <w:jc w:val="both"/>
        <w:rPr>
          <w:rFonts w:ascii="Cambria" w:eastAsia="SimSun" w:hAnsi="Cambria"/>
          <w:bCs/>
          <w:noProof/>
          <w:lang w:eastAsia="x-none"/>
        </w:rPr>
      </w:pPr>
      <w:r w:rsidRPr="00AB15C7">
        <w:rPr>
          <w:rFonts w:ascii="Cambria" w:eastAsia="SimSun" w:hAnsi="Cambria"/>
          <w:bCs/>
          <w:noProof/>
          <w:lang w:eastAsia="x-none"/>
        </w:rPr>
        <w:lastRenderedPageBreak/>
        <w:t xml:space="preserve">Prema klasifikaciji djelatnosti, oblast industrije obuhvata tri sektora, i to: </w:t>
      </w:r>
      <w:r w:rsidR="009F635F" w:rsidRPr="00AB15C7">
        <w:rPr>
          <w:rFonts w:ascii="Cambria" w:eastAsia="SimSun" w:hAnsi="Cambria"/>
          <w:bCs/>
          <w:noProof/>
          <w:lang w:eastAsia="x-none"/>
        </w:rPr>
        <w:t>A</w:t>
      </w:r>
      <w:r w:rsidRPr="00AB15C7">
        <w:rPr>
          <w:rFonts w:ascii="Cambria" w:eastAsia="SimSun" w:hAnsi="Cambria"/>
          <w:bCs/>
          <w:noProof/>
          <w:lang w:eastAsia="x-none"/>
        </w:rPr>
        <w:t>. Vađenje ruda i kamena</w:t>
      </w:r>
      <w:r w:rsidR="009F635F" w:rsidRPr="00AB15C7">
        <w:rPr>
          <w:rFonts w:ascii="Cambria" w:eastAsia="SimSun" w:hAnsi="Cambria"/>
          <w:bCs/>
          <w:noProof/>
          <w:lang w:eastAsia="x-none"/>
        </w:rPr>
        <w:t>,  B</w:t>
      </w:r>
      <w:r w:rsidRPr="00AB15C7">
        <w:rPr>
          <w:rFonts w:ascii="Cambria" w:eastAsia="SimSun" w:hAnsi="Cambria"/>
          <w:bCs/>
          <w:noProof/>
          <w:lang w:eastAsia="x-none"/>
        </w:rPr>
        <w:t>. Prerađivačka industrija</w:t>
      </w:r>
      <w:r w:rsidR="009F635F" w:rsidRPr="00AB15C7">
        <w:rPr>
          <w:rFonts w:ascii="Cambria" w:eastAsia="SimSun" w:hAnsi="Cambria"/>
          <w:bCs/>
          <w:noProof/>
          <w:lang w:eastAsia="x-none"/>
        </w:rPr>
        <w:t xml:space="preserve"> i C</w:t>
      </w:r>
      <w:r w:rsidRPr="00AB15C7">
        <w:rPr>
          <w:rFonts w:ascii="Cambria" w:eastAsia="SimSun" w:hAnsi="Cambria"/>
          <w:bCs/>
          <w:noProof/>
          <w:lang w:eastAsia="x-none"/>
        </w:rPr>
        <w:t>. Snabdijevanje električnom energijom, gasom i parom.</w:t>
      </w:r>
      <w:r w:rsidR="00CF30A2" w:rsidRPr="00AB15C7">
        <w:rPr>
          <w:rFonts w:ascii="Cambria" w:eastAsia="SimSun" w:hAnsi="Cambria"/>
          <w:bCs/>
          <w:noProof/>
          <w:lang w:eastAsia="x-none"/>
        </w:rPr>
        <w:t xml:space="preserve"> U strukturi BDP-a za 2016. godinu sektor prerađivačke industrije ostvario je učešće od 3.8%. Doprinos sektora vađenja ruda i kamena u istom periodu bio je 1.1%, a sektor snabdijevanja električnom energijom ostvario je učešće od 3.6%. Prema preliminarnim procjenama</w:t>
      </w:r>
      <w:r w:rsidR="00B169A1" w:rsidRPr="00AB15C7">
        <w:rPr>
          <w:rFonts w:ascii="Cambria" w:eastAsia="SimSun" w:hAnsi="Cambria"/>
          <w:bCs/>
          <w:noProof/>
          <w:lang w:eastAsia="x-none"/>
        </w:rPr>
        <w:t xml:space="preserve"> na osnovu kvartalnih podataka</w:t>
      </w:r>
      <w:r w:rsidR="00CF30A2" w:rsidRPr="00AB15C7">
        <w:rPr>
          <w:rFonts w:ascii="Cambria" w:eastAsia="SimSun" w:hAnsi="Cambria"/>
          <w:bCs/>
          <w:noProof/>
          <w:lang w:eastAsia="x-none"/>
        </w:rPr>
        <w:t>, ukupna industrijska proizvodnja je u 2017. godini u odnosu na 2016. godinu zabilježila pad od 4,2%. Pad proizvodnje zabilježen je u sektoru prerađivačke industrije od 3% i sektoru snabdijevanja električnom energijom, gasom i parom od 24,6%, dok je u sektoru vađenja ruda i kamena zabilježen rast proizvodnje od 113,9% prvenstveno zbog obnavljanja vađenja rude boksita, koje nije bilo u prethodnoj godini. Najveća industrijska postrojenja</w:t>
      </w:r>
      <w:r w:rsidR="00B34ECE" w:rsidRPr="00AB15C7">
        <w:rPr>
          <w:rFonts w:ascii="Cambria" w:eastAsia="SimSun" w:hAnsi="Cambria"/>
          <w:bCs/>
          <w:noProof/>
          <w:lang w:eastAsia="x-none"/>
        </w:rPr>
        <w:t>,</w:t>
      </w:r>
      <w:r w:rsidR="00CF30A2" w:rsidRPr="00AB15C7">
        <w:rPr>
          <w:rFonts w:ascii="Cambria" w:eastAsia="SimSun" w:hAnsi="Cambria"/>
          <w:bCs/>
          <w:noProof/>
          <w:lang w:eastAsia="x-none"/>
        </w:rPr>
        <w:t xml:space="preserve"> </w:t>
      </w:r>
      <w:r w:rsidR="00DA0143" w:rsidRPr="00AB15C7">
        <w:rPr>
          <w:rFonts w:ascii="Cambria" w:eastAsia="SimSun" w:hAnsi="Cambria"/>
          <w:bCs/>
          <w:noProof/>
          <w:lang w:eastAsia="x-none"/>
        </w:rPr>
        <w:t>poput KAP</w:t>
      </w:r>
      <w:r w:rsidR="00B34ECE" w:rsidRPr="00AB15C7">
        <w:rPr>
          <w:rFonts w:ascii="Cambria" w:eastAsia="SimSun" w:hAnsi="Cambria"/>
          <w:bCs/>
          <w:noProof/>
          <w:lang w:eastAsia="x-none"/>
        </w:rPr>
        <w:t xml:space="preserve"> i željezare Toščelik</w:t>
      </w:r>
      <w:r w:rsidR="00DA0143" w:rsidRPr="00AB15C7">
        <w:rPr>
          <w:rFonts w:ascii="Cambria" w:eastAsia="SimSun" w:hAnsi="Cambria"/>
          <w:bCs/>
          <w:noProof/>
          <w:lang w:eastAsia="x-none"/>
        </w:rPr>
        <w:t xml:space="preserve">, </w:t>
      </w:r>
      <w:r w:rsidR="00CF30A2" w:rsidRPr="00AB15C7">
        <w:rPr>
          <w:rFonts w:ascii="Cambria" w:eastAsia="SimSun" w:hAnsi="Cambria"/>
          <w:bCs/>
          <w:noProof/>
          <w:lang w:eastAsia="x-none"/>
        </w:rPr>
        <w:t>su u granama</w:t>
      </w:r>
      <w:r w:rsidR="00CF30A2" w:rsidRPr="00AB15C7">
        <w:rPr>
          <w:rFonts w:ascii="Cambria" w:hAnsi="Cambria"/>
          <w:noProof/>
          <w:lang w:eastAsia="x-none"/>
        </w:rPr>
        <w:t xml:space="preserve"> </w:t>
      </w:r>
      <w:r w:rsidR="00CF30A2" w:rsidRPr="00AB15C7">
        <w:rPr>
          <w:rFonts w:ascii="Cambria" w:eastAsia="SimSun" w:hAnsi="Cambria"/>
          <w:bCs/>
          <w:noProof/>
          <w:lang w:eastAsia="x-none"/>
        </w:rPr>
        <w:t>metalurgije i metaloprerade kod kojih dominiraju zastarjele tehnologije za koje je karakterističan visok stepen emisija.</w:t>
      </w:r>
      <w:r w:rsidR="00B34ECE" w:rsidRPr="00AB15C7">
        <w:rPr>
          <w:rFonts w:ascii="Cambria" w:hAnsi="Cambria"/>
          <w:noProof/>
        </w:rPr>
        <w:t xml:space="preserve"> </w:t>
      </w:r>
      <w:r w:rsidR="00B34ECE" w:rsidRPr="00AB15C7">
        <w:rPr>
          <w:rFonts w:ascii="Cambria" w:eastAsia="SimSun" w:hAnsi="Cambria"/>
          <w:bCs/>
          <w:noProof/>
          <w:lang w:eastAsia="x-none"/>
        </w:rPr>
        <w:t>Sa stanovišta održivog razvoja, prioritetni cilj je smanjenje uticaja industrije na životnu sredinu. Mjere za ostvarivanje ovog cilja uključuju dosljednu primjenu Zakona o integrisanom sprječavanju i kontroli zagađenja (IPPC) i Zakona o životnoj sredini kojima su definisane naknade za zagađivanje životne sredine (tzv. princip "zagađivač plaća").</w:t>
      </w:r>
    </w:p>
    <w:p w14:paraId="457F4F62" w14:textId="77777777" w:rsidR="009F635F" w:rsidRPr="00AB15C7" w:rsidRDefault="00802271" w:rsidP="00802271">
      <w:pPr>
        <w:pStyle w:val="Heading2"/>
        <w:spacing w:after="120"/>
        <w:ind w:left="720"/>
        <w:rPr>
          <w:noProof/>
          <w:sz w:val="22"/>
          <w:szCs w:val="22"/>
          <w:shd w:val="clear" w:color="auto" w:fill="FFFFFF"/>
        </w:rPr>
      </w:pPr>
      <w:bookmarkStart w:id="20" w:name="_Toc527353174"/>
      <w:r>
        <w:rPr>
          <w:noProof/>
          <w:sz w:val="22"/>
          <w:szCs w:val="22"/>
          <w:shd w:val="clear" w:color="auto" w:fill="FFFFFF"/>
          <w:lang w:val="sr-Latn-RS"/>
        </w:rPr>
        <w:t xml:space="preserve">2.1.4.2. </w:t>
      </w:r>
      <w:r w:rsidR="009F635F" w:rsidRPr="00802271">
        <w:rPr>
          <w:noProof/>
          <w:sz w:val="22"/>
          <w:szCs w:val="22"/>
          <w:shd w:val="clear" w:color="auto" w:fill="FFFFFF"/>
          <w:lang w:val="sr-Latn-RS"/>
        </w:rPr>
        <w:t>Poljoprivreda</w:t>
      </w:r>
      <w:r w:rsidR="009F635F" w:rsidRPr="00AB15C7">
        <w:rPr>
          <w:noProof/>
          <w:sz w:val="22"/>
          <w:szCs w:val="22"/>
          <w:shd w:val="clear" w:color="auto" w:fill="FFFFFF"/>
        </w:rPr>
        <w:t>, šumarstvo i ribarstvo</w:t>
      </w:r>
      <w:bookmarkEnd w:id="20"/>
      <w:r w:rsidR="009F635F" w:rsidRPr="00AB15C7">
        <w:rPr>
          <w:noProof/>
          <w:sz w:val="22"/>
          <w:szCs w:val="22"/>
          <w:shd w:val="clear" w:color="auto" w:fill="FFFFFF"/>
        </w:rPr>
        <w:t xml:space="preserve"> </w:t>
      </w:r>
    </w:p>
    <w:p w14:paraId="40153925" w14:textId="77777777" w:rsidR="009F635F" w:rsidRPr="00AB15C7" w:rsidRDefault="009F635F" w:rsidP="005921EF">
      <w:pPr>
        <w:pStyle w:val="NoSpacing1"/>
        <w:spacing w:line="276" w:lineRule="auto"/>
        <w:jc w:val="both"/>
        <w:rPr>
          <w:rFonts w:ascii="Cambria" w:eastAsia="SimSun" w:hAnsi="Cambria"/>
          <w:bCs/>
          <w:noProof/>
          <w:lang w:eastAsia="x-none"/>
        </w:rPr>
      </w:pPr>
      <w:r w:rsidRPr="00AB15C7">
        <w:rPr>
          <w:rFonts w:ascii="Cambria" w:eastAsia="SimSun" w:hAnsi="Cambria"/>
          <w:bCs/>
          <w:noProof/>
          <w:lang w:eastAsia="x-none"/>
        </w:rPr>
        <w:t xml:space="preserve">U 2016. učešće sektora poljoprivrede, šumarstva i ribarstva u BDP-u iznosilo je 8,1%. </w:t>
      </w:r>
    </w:p>
    <w:p w14:paraId="093E126B" w14:textId="77777777" w:rsidR="00802271" w:rsidRDefault="00802271" w:rsidP="005921EF">
      <w:pPr>
        <w:pStyle w:val="NoSpacing11"/>
        <w:spacing w:after="0"/>
        <w:jc w:val="both"/>
        <w:rPr>
          <w:rFonts w:ascii="Cambria" w:eastAsia="SimSun" w:hAnsi="Cambria"/>
          <w:bCs/>
          <w:noProof/>
          <w:lang w:eastAsia="x-none"/>
        </w:rPr>
      </w:pPr>
    </w:p>
    <w:p w14:paraId="2D553B69" w14:textId="77777777" w:rsidR="009F635F" w:rsidRPr="00AB15C7" w:rsidRDefault="009F635F" w:rsidP="005921EF">
      <w:pPr>
        <w:pStyle w:val="NoSpacing11"/>
        <w:spacing w:after="0"/>
        <w:jc w:val="both"/>
        <w:rPr>
          <w:rFonts w:ascii="Cambria" w:eastAsia="SimSun" w:hAnsi="Cambria"/>
          <w:bCs/>
          <w:noProof/>
          <w:lang w:eastAsia="x-none"/>
        </w:rPr>
      </w:pPr>
      <w:r w:rsidRPr="00AB15C7">
        <w:rPr>
          <w:rFonts w:ascii="Cambria" w:eastAsia="SimSun" w:hAnsi="Cambria"/>
          <w:bCs/>
          <w:noProof/>
          <w:lang w:eastAsia="x-none"/>
        </w:rPr>
        <w:t>Prema podacima dobijenim u anketnom Istraživanju o strukturi poljoprivrednih gazdinstava, sa stanjem na 1. novembar 2016. godine bilo je 43 791 poljoprivrednih gazdinstava, što je značajno manje od broja od 48 870 koliko je bilo pre</w:t>
      </w:r>
      <w:r w:rsidR="00B34ECE" w:rsidRPr="00AB15C7">
        <w:rPr>
          <w:rFonts w:ascii="Cambria" w:eastAsia="SimSun" w:hAnsi="Cambria"/>
          <w:bCs/>
          <w:noProof/>
          <w:lang w:eastAsia="x-none"/>
        </w:rPr>
        <w:t>m</w:t>
      </w:r>
      <w:r w:rsidRPr="00AB15C7">
        <w:rPr>
          <w:rFonts w:ascii="Cambria" w:eastAsia="SimSun" w:hAnsi="Cambria"/>
          <w:bCs/>
          <w:noProof/>
          <w:lang w:eastAsia="x-none"/>
        </w:rPr>
        <w:t xml:space="preserve">a popisu poljoprivrede iz 2010. </w:t>
      </w:r>
    </w:p>
    <w:p w14:paraId="39D4E8E3" w14:textId="77777777" w:rsidR="00493B41" w:rsidRPr="00AB15C7" w:rsidRDefault="00493B41" w:rsidP="005921EF">
      <w:pPr>
        <w:pStyle w:val="NoSpacing11"/>
        <w:spacing w:after="0"/>
        <w:jc w:val="both"/>
        <w:rPr>
          <w:rFonts w:ascii="Cambria" w:eastAsia="SimSun" w:hAnsi="Cambria"/>
          <w:bCs/>
          <w:noProof/>
          <w:lang w:eastAsia="x-none"/>
        </w:rPr>
      </w:pPr>
    </w:p>
    <w:p w14:paraId="37F719B7" w14:textId="19FCDC83" w:rsidR="009F635F" w:rsidRDefault="009F635F" w:rsidP="005921EF">
      <w:pPr>
        <w:pStyle w:val="NoSpacing11"/>
        <w:spacing w:after="0"/>
        <w:jc w:val="both"/>
        <w:rPr>
          <w:rFonts w:ascii="Cambria" w:hAnsi="Cambria"/>
          <w:noProof/>
          <w:lang w:val="sr-Latn-ME"/>
        </w:rPr>
      </w:pPr>
      <w:r w:rsidRPr="00AB15C7">
        <w:rPr>
          <w:rFonts w:ascii="Cambria" w:eastAsia="SimSun" w:hAnsi="Cambria"/>
          <w:bCs/>
          <w:noProof/>
          <w:lang w:eastAsia="x-none"/>
        </w:rPr>
        <w:t>Podaci iz 2016. godine pokazuju da je ukupno korišćena poljoprivredna površina 255 845,8 ha tj. veća za 15,6% u odnosu na podatke o 221 297,6 ha korišćene poljoprivredne površine za  2010. godinu. U 2016. godini u prosjeku poljoprivredno gazdinstvo je posjedovalo 5,8 ha korišćenog poljoprivrednog zemljišta, dok je u 2010. godini taj prosjek iznosio je 4,5 ha. U oba slučaja od ukupnog broja poljoprivrednih gazdinstava najviše  je poljoprivrednih gazdinstava u intervalu od 0,1 do 0,5 ha. Kada se posmatra struktura korišćenog poljoprivrednog zemljišta (okućnice, oranice, voćnjaci, vinogradi, rasadnici i livade i pašnjaci) nije bilo značajnije promjene u 2016. godini u odnosu na 2010. godinu. Naime, učešće livada i pašnjaka u ukupno</w:t>
      </w:r>
      <w:r w:rsidRPr="00AB15C7">
        <w:rPr>
          <w:rFonts w:ascii="Cambria" w:hAnsi="Cambria"/>
          <w:noProof/>
          <w:lang w:val="sr-Latn-ME"/>
        </w:rPr>
        <w:t xml:space="preserve"> korišćenom poljoprivrednom zemljištu u 2016. godini iznosi 94,3%, dok sve ostale kategorije iznose skupa 5,7% (grafik </w:t>
      </w:r>
      <w:r w:rsidR="00493B41" w:rsidRPr="00AB15C7">
        <w:rPr>
          <w:rFonts w:ascii="Cambria" w:hAnsi="Cambria"/>
          <w:noProof/>
          <w:lang w:val="sr-Latn-ME"/>
        </w:rPr>
        <w:t>4</w:t>
      </w:r>
      <w:r w:rsidRPr="00AB15C7">
        <w:rPr>
          <w:rFonts w:ascii="Cambria" w:hAnsi="Cambria"/>
          <w:noProof/>
          <w:lang w:val="sr-Latn-ME"/>
        </w:rPr>
        <w:t>.).</w:t>
      </w:r>
    </w:p>
    <w:p w14:paraId="14A43F0C" w14:textId="77777777" w:rsidR="00D32C8D" w:rsidRDefault="00D32C8D" w:rsidP="005921EF">
      <w:pPr>
        <w:pStyle w:val="NoSpacing11"/>
        <w:spacing w:after="0"/>
        <w:jc w:val="both"/>
        <w:rPr>
          <w:rFonts w:ascii="Cambria" w:hAnsi="Cambria"/>
          <w:noProof/>
          <w:lang w:val="sr-Latn-ME"/>
        </w:rPr>
      </w:pPr>
    </w:p>
    <w:p w14:paraId="7A25B87B" w14:textId="77777777" w:rsidR="00F1200A" w:rsidRPr="00AB15C7" w:rsidRDefault="00B325C3" w:rsidP="005921EF">
      <w:pPr>
        <w:pStyle w:val="NoSpacing11"/>
        <w:spacing w:after="0"/>
        <w:jc w:val="center"/>
        <w:rPr>
          <w:rFonts w:ascii="Cambria" w:hAnsi="Cambria"/>
          <w:noProof/>
          <w:lang w:val="sr-Latn-ME"/>
        </w:rPr>
      </w:pPr>
      <w:r w:rsidRPr="00AB15C7">
        <w:rPr>
          <w:rFonts w:ascii="Cambria" w:hAnsi="Cambria"/>
          <w:noProof/>
        </w:rPr>
        <w:drawing>
          <wp:inline distT="0" distB="0" distL="0" distR="0" wp14:anchorId="41840DDB" wp14:editId="3ABA5933">
            <wp:extent cx="4480559" cy="228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1950" t="-175" r="1950" b="16820"/>
                    <a:stretch/>
                  </pic:blipFill>
                  <pic:spPr bwMode="auto">
                    <a:xfrm>
                      <a:off x="0" y="0"/>
                      <a:ext cx="4481594" cy="2286528"/>
                    </a:xfrm>
                    <a:prstGeom prst="rect">
                      <a:avLst/>
                    </a:prstGeom>
                    <a:noFill/>
                    <a:ln>
                      <a:noFill/>
                    </a:ln>
                    <a:extLst>
                      <a:ext uri="{53640926-AAD7-44D8-BBD7-CCE9431645EC}">
                        <a14:shadowObscured xmlns:a14="http://schemas.microsoft.com/office/drawing/2010/main"/>
                      </a:ext>
                    </a:extLst>
                  </pic:spPr>
                </pic:pic>
              </a:graphicData>
            </a:graphic>
          </wp:inline>
        </w:drawing>
      </w:r>
    </w:p>
    <w:p w14:paraId="14234910" w14:textId="77777777" w:rsidR="00F1200A" w:rsidRDefault="00F1200A" w:rsidP="005921EF">
      <w:pPr>
        <w:pStyle w:val="NoSpacing11"/>
        <w:spacing w:after="0"/>
        <w:jc w:val="center"/>
        <w:rPr>
          <w:rFonts w:ascii="Cambria" w:hAnsi="Cambria"/>
          <w:noProof/>
          <w:lang w:val="sr-Latn-ME"/>
        </w:rPr>
      </w:pPr>
      <w:r w:rsidRPr="006F4EFD">
        <w:rPr>
          <w:rFonts w:ascii="Cambria" w:hAnsi="Cambria"/>
          <w:i/>
          <w:noProof/>
          <w:lang w:val="sr-Latn-ME"/>
        </w:rPr>
        <w:t xml:space="preserve">Grafik </w:t>
      </w:r>
      <w:r w:rsidR="00493B41" w:rsidRPr="006F4EFD">
        <w:rPr>
          <w:rFonts w:ascii="Cambria" w:hAnsi="Cambria"/>
          <w:i/>
          <w:noProof/>
          <w:lang w:val="sr-Latn-ME"/>
        </w:rPr>
        <w:t>4</w:t>
      </w:r>
      <w:r w:rsidRPr="00AB15C7">
        <w:rPr>
          <w:rFonts w:ascii="Cambria" w:hAnsi="Cambria"/>
          <w:noProof/>
          <w:lang w:val="sr-Latn-ME"/>
        </w:rPr>
        <w:t>. Struktura korišćenog poljoprivrednog zemljišta u 2016. godini</w:t>
      </w:r>
    </w:p>
    <w:p w14:paraId="76F01237" w14:textId="77777777" w:rsidR="00D32C8D" w:rsidRPr="006F4EFD" w:rsidRDefault="00D32C8D" w:rsidP="00D32C8D">
      <w:pPr>
        <w:jc w:val="center"/>
        <w:rPr>
          <w:rFonts w:ascii="Cambria" w:eastAsia="SimSun" w:hAnsi="Cambria"/>
          <w:bCs/>
          <w:i/>
          <w:noProof/>
          <w:lang w:eastAsia="x-none"/>
        </w:rPr>
      </w:pPr>
      <w:r w:rsidRPr="006F4EFD">
        <w:rPr>
          <w:rFonts w:ascii="Cambria" w:eastAsia="SimSun" w:hAnsi="Cambria"/>
          <w:bCs/>
          <w:i/>
          <w:noProof/>
          <w:lang w:eastAsia="x-none"/>
        </w:rPr>
        <w:t>Izvor: MONSTAT</w:t>
      </w:r>
    </w:p>
    <w:p w14:paraId="0133CAF0" w14:textId="77777777" w:rsidR="001D6FE5" w:rsidRPr="00AB15C7" w:rsidRDefault="00903AAF" w:rsidP="00557C13">
      <w:pPr>
        <w:pStyle w:val="Heading1"/>
        <w:numPr>
          <w:ilvl w:val="1"/>
          <w:numId w:val="33"/>
        </w:numPr>
        <w:rPr>
          <w:noProof/>
          <w:sz w:val="22"/>
          <w:szCs w:val="22"/>
          <w:lang w:val="en-US"/>
        </w:rPr>
      </w:pPr>
      <w:bookmarkStart w:id="21" w:name="_Toc525743203"/>
      <w:bookmarkStart w:id="22" w:name="_Toc527353175"/>
      <w:bookmarkStart w:id="23" w:name="_Hlk527233084"/>
      <w:bookmarkEnd w:id="21"/>
      <w:r w:rsidRPr="00AB15C7">
        <w:rPr>
          <w:noProof/>
          <w:sz w:val="22"/>
          <w:szCs w:val="22"/>
          <w:lang w:val="en-US"/>
        </w:rPr>
        <w:lastRenderedPageBreak/>
        <w:t xml:space="preserve">PROIZVODNJA, UVOZ, IZVOZ, UPOTREBA </w:t>
      </w:r>
      <w:r w:rsidR="009C7924" w:rsidRPr="00AB15C7">
        <w:rPr>
          <w:noProof/>
          <w:sz w:val="22"/>
          <w:szCs w:val="22"/>
          <w:lang w:val="en-US"/>
        </w:rPr>
        <w:t xml:space="preserve">HEMIKALIJA </w:t>
      </w:r>
      <w:r w:rsidRPr="00AB15C7">
        <w:rPr>
          <w:noProof/>
          <w:sz w:val="22"/>
          <w:szCs w:val="22"/>
          <w:lang w:val="en-US"/>
        </w:rPr>
        <w:t xml:space="preserve">I ODLAGANJE </w:t>
      </w:r>
      <w:r w:rsidR="009C7924" w:rsidRPr="00AB15C7">
        <w:rPr>
          <w:noProof/>
          <w:sz w:val="22"/>
          <w:szCs w:val="22"/>
          <w:lang w:val="en-US"/>
        </w:rPr>
        <w:t>OTPADA</w:t>
      </w:r>
      <w:bookmarkEnd w:id="22"/>
    </w:p>
    <w:bookmarkEnd w:id="23"/>
    <w:p w14:paraId="3AFD0BEA" w14:textId="77777777" w:rsidR="009C7924" w:rsidRPr="00AB15C7" w:rsidRDefault="009C7924" w:rsidP="005921EF">
      <w:pPr>
        <w:jc w:val="both"/>
        <w:rPr>
          <w:rFonts w:ascii="Cambria" w:hAnsi="Cambria"/>
          <w:noProof/>
        </w:rPr>
      </w:pPr>
    </w:p>
    <w:p w14:paraId="18BEE8BA" w14:textId="77777777" w:rsidR="00D674F4" w:rsidRPr="00AB15C7" w:rsidRDefault="0049794A" w:rsidP="005921EF">
      <w:pPr>
        <w:jc w:val="both"/>
        <w:rPr>
          <w:rFonts w:ascii="Cambria" w:hAnsi="Cambria"/>
          <w:noProof/>
        </w:rPr>
      </w:pPr>
      <w:r w:rsidRPr="00AB15C7">
        <w:rPr>
          <w:rFonts w:ascii="Cambria" w:hAnsi="Cambria"/>
          <w:noProof/>
        </w:rPr>
        <w:t>P</w:t>
      </w:r>
      <w:r w:rsidR="00916FA1" w:rsidRPr="00AB15C7">
        <w:rPr>
          <w:rFonts w:ascii="Cambria" w:hAnsi="Cambria"/>
          <w:noProof/>
        </w:rPr>
        <w:t xml:space="preserve">roizvodnja hemikalija i hemijskih proizvoda </w:t>
      </w:r>
      <w:r w:rsidR="0004283B" w:rsidRPr="00AB15C7">
        <w:rPr>
          <w:rFonts w:ascii="Cambria" w:hAnsi="Cambria"/>
          <w:noProof/>
        </w:rPr>
        <w:t xml:space="preserve">u </w:t>
      </w:r>
      <w:r w:rsidR="00916FA1" w:rsidRPr="00AB15C7">
        <w:rPr>
          <w:rFonts w:ascii="Cambria" w:hAnsi="Cambria"/>
          <w:noProof/>
        </w:rPr>
        <w:t>ukupnoj strukturi industrije u Crnoj Gori ima učešće od svega 0,1-,02%</w:t>
      </w:r>
      <w:r w:rsidR="00916FA1" w:rsidRPr="00AB15C7">
        <w:rPr>
          <w:rStyle w:val="FootnoteReference"/>
          <w:rFonts w:ascii="Cambria" w:hAnsi="Cambria"/>
          <w:noProof/>
        </w:rPr>
        <w:footnoteReference w:id="10"/>
      </w:r>
      <w:r w:rsidR="00916FA1" w:rsidRPr="00AB15C7">
        <w:rPr>
          <w:rFonts w:ascii="Cambria" w:hAnsi="Cambria"/>
          <w:noProof/>
        </w:rPr>
        <w:t xml:space="preserve">, te su </w:t>
      </w:r>
      <w:r w:rsidRPr="00AB15C7">
        <w:rPr>
          <w:rFonts w:ascii="Cambria" w:hAnsi="Cambria"/>
          <w:noProof/>
        </w:rPr>
        <w:t xml:space="preserve">stoga </w:t>
      </w:r>
      <w:r w:rsidR="00916FA1" w:rsidRPr="00AB15C7">
        <w:rPr>
          <w:rFonts w:ascii="Cambria" w:hAnsi="Cambria"/>
          <w:noProof/>
        </w:rPr>
        <w:t xml:space="preserve">hemikalije za tržištu Crne Gore u najvećoj </w:t>
      </w:r>
      <w:r w:rsidR="00067B5D" w:rsidRPr="00AB15C7">
        <w:rPr>
          <w:rFonts w:ascii="Cambria" w:hAnsi="Cambria"/>
          <w:noProof/>
        </w:rPr>
        <w:t xml:space="preserve">mjeri porijeklom </w:t>
      </w:r>
      <w:r w:rsidR="00916FA1" w:rsidRPr="00AB15C7">
        <w:rPr>
          <w:rFonts w:ascii="Cambria" w:hAnsi="Cambria"/>
          <w:noProof/>
        </w:rPr>
        <w:t xml:space="preserve">iz uvoza. </w:t>
      </w:r>
      <w:r w:rsidR="009C7924" w:rsidRPr="00AB15C7">
        <w:rPr>
          <w:rFonts w:ascii="Cambria" w:hAnsi="Cambria"/>
          <w:noProof/>
        </w:rPr>
        <w:t xml:space="preserve">Zakonodavstvo Crne Gore u sektoru hemikalija u velikoj mjeri usaglašeno sa odgovarajućim EU propisima te se proizvodnja, uvoz, izvoz, upotreba hemikalija i odlaganje otpada sprovodi u saglasnosti sa osnovnim principima koji su u EU uspostavljeni u </w:t>
      </w:r>
      <w:r w:rsidR="005776A1" w:rsidRPr="00AB15C7">
        <w:rPr>
          <w:rFonts w:ascii="Cambria" w:hAnsi="Cambria"/>
          <w:noProof/>
        </w:rPr>
        <w:t xml:space="preserve">pogledu hemikalija. Ipak, s obzirom na veličinu tržišta, nacionalnu legislativu  i ograničenja karakteristična za status zemlje kandidata objektivne okolnosti u pogledu stanja na tržištu hemikalija  u Crnoj Gori postoje određene nacionalne specifičnosti. </w:t>
      </w:r>
    </w:p>
    <w:p w14:paraId="77DDF51A" w14:textId="77777777" w:rsidR="00916FA1" w:rsidRPr="00AB15C7" w:rsidRDefault="00B12A23" w:rsidP="00802271">
      <w:pPr>
        <w:pStyle w:val="Heading2"/>
        <w:spacing w:after="120"/>
        <w:rPr>
          <w:noProof/>
          <w:sz w:val="22"/>
          <w:szCs w:val="22"/>
          <w:lang w:val="en-US"/>
        </w:rPr>
      </w:pPr>
      <w:bookmarkStart w:id="24" w:name="_Toc527353176"/>
      <w:r w:rsidRPr="00AB15C7">
        <w:rPr>
          <w:noProof/>
          <w:sz w:val="22"/>
          <w:szCs w:val="22"/>
          <w:lang w:val="en-US"/>
        </w:rPr>
        <w:t>2.</w:t>
      </w:r>
      <w:r w:rsidR="00916FA1" w:rsidRPr="00AB15C7">
        <w:rPr>
          <w:noProof/>
          <w:sz w:val="22"/>
          <w:szCs w:val="22"/>
          <w:lang w:val="en-US"/>
        </w:rPr>
        <w:t>2.</w:t>
      </w:r>
      <w:r w:rsidR="00486EB8" w:rsidRPr="00AB15C7">
        <w:rPr>
          <w:noProof/>
          <w:sz w:val="22"/>
          <w:szCs w:val="22"/>
          <w:lang w:val="en-US"/>
        </w:rPr>
        <w:t>1. Proizvodnja, uvoz, izvoz</w:t>
      </w:r>
      <w:r w:rsidR="000835CA" w:rsidRPr="00AB15C7">
        <w:rPr>
          <w:noProof/>
          <w:sz w:val="22"/>
          <w:szCs w:val="22"/>
          <w:lang w:val="en-US"/>
        </w:rPr>
        <w:t xml:space="preserve"> </w:t>
      </w:r>
      <w:r w:rsidR="00486EB8" w:rsidRPr="00AB15C7">
        <w:rPr>
          <w:noProof/>
          <w:sz w:val="22"/>
          <w:szCs w:val="22"/>
          <w:lang w:val="en-US"/>
        </w:rPr>
        <w:t>i upotreba hemikalija</w:t>
      </w:r>
      <w:bookmarkEnd w:id="24"/>
    </w:p>
    <w:p w14:paraId="1910EB25" w14:textId="3663C60D" w:rsidR="000A4052" w:rsidRPr="00AB15C7" w:rsidRDefault="00062970" w:rsidP="005921EF">
      <w:pPr>
        <w:jc w:val="both"/>
        <w:rPr>
          <w:rFonts w:ascii="Cambria" w:hAnsi="Cambria"/>
          <w:noProof/>
          <w:lang w:val="sr-Latn-ME"/>
        </w:rPr>
      </w:pPr>
      <w:r w:rsidRPr="00AB15C7">
        <w:rPr>
          <w:rFonts w:ascii="Cambria" w:hAnsi="Cambria"/>
          <w:noProof/>
        </w:rPr>
        <w:t xml:space="preserve">Prema podacima iz </w:t>
      </w:r>
      <w:r w:rsidR="00F15EAD" w:rsidRPr="00AB15C7">
        <w:rPr>
          <w:rFonts w:ascii="Cambria" w:hAnsi="Cambria"/>
          <w:noProof/>
        </w:rPr>
        <w:t>R</w:t>
      </w:r>
      <w:r w:rsidRPr="00AB15C7">
        <w:rPr>
          <w:rFonts w:ascii="Cambria" w:hAnsi="Cambria"/>
          <w:noProof/>
        </w:rPr>
        <w:t>egistra hemikalija koji vodi Agencija za zaštitu prirode i  životne sredine,   u 2016. godini, na tržište Crne Gore hemikalije je stavljalo u promet 55 privrednih subjekata</w:t>
      </w:r>
      <w:r w:rsidR="00D07124">
        <w:rPr>
          <w:rFonts w:ascii="Cambria" w:hAnsi="Cambria"/>
          <w:noProof/>
        </w:rPr>
        <w:t xml:space="preserve"> (u količinama iznad 100 kg za godinu dana)</w:t>
      </w:r>
      <w:r w:rsidRPr="00AB15C7">
        <w:rPr>
          <w:rFonts w:ascii="Cambria" w:hAnsi="Cambria"/>
          <w:noProof/>
        </w:rPr>
        <w:t xml:space="preserve">, i to uglavnom broj onih koji hemikalije uvoze, dok je preduzeća koja proizvode hemikalije u Crnoj Gori mali i svodi se na </w:t>
      </w:r>
      <w:r w:rsidR="002118A6" w:rsidRPr="00AB15C7">
        <w:rPr>
          <w:rFonts w:ascii="Cambria" w:hAnsi="Cambria"/>
          <w:noProof/>
        </w:rPr>
        <w:t>par</w:t>
      </w:r>
      <w:r w:rsidRPr="00AB15C7">
        <w:rPr>
          <w:rFonts w:ascii="Cambria" w:hAnsi="Cambria"/>
          <w:noProof/>
        </w:rPr>
        <w:t xml:space="preserve"> kompanija</w:t>
      </w:r>
      <w:r w:rsidR="002118A6" w:rsidRPr="00AB15C7">
        <w:rPr>
          <w:rFonts w:ascii="Cambria" w:hAnsi="Cambria"/>
          <w:noProof/>
        </w:rPr>
        <w:t xml:space="preserve"> (Hemko d.o.o. i Heming d.o.o.) </w:t>
      </w:r>
      <w:r w:rsidRPr="00AB15C7">
        <w:rPr>
          <w:rFonts w:ascii="Cambria" w:hAnsi="Cambria"/>
          <w:noProof/>
        </w:rPr>
        <w:t xml:space="preserve">koje se </w:t>
      </w:r>
      <w:r w:rsidR="000A4052" w:rsidRPr="00AB15C7">
        <w:rPr>
          <w:rFonts w:ascii="Cambria" w:hAnsi="Cambria"/>
          <w:noProof/>
        </w:rPr>
        <w:t>uglavnom bave proi</w:t>
      </w:r>
      <w:r w:rsidR="000A3368" w:rsidRPr="00AB15C7">
        <w:rPr>
          <w:rFonts w:ascii="Cambria" w:hAnsi="Cambria"/>
          <w:noProof/>
        </w:rPr>
        <w:t>z</w:t>
      </w:r>
      <w:r w:rsidR="000A4052" w:rsidRPr="00AB15C7">
        <w:rPr>
          <w:rFonts w:ascii="Cambria" w:hAnsi="Cambria"/>
          <w:noProof/>
        </w:rPr>
        <w:t xml:space="preserve">vodnjom </w:t>
      </w:r>
      <w:r w:rsidRPr="00AB15C7">
        <w:rPr>
          <w:rFonts w:ascii="Cambria" w:hAnsi="Cambria"/>
          <w:noProof/>
        </w:rPr>
        <w:t xml:space="preserve">sredstava za čišćenje i održavanje domaćinstva. </w:t>
      </w:r>
      <w:r w:rsidR="002118A6" w:rsidRPr="00AB15C7">
        <w:rPr>
          <w:rFonts w:ascii="Cambria" w:hAnsi="Cambria"/>
          <w:noProof/>
        </w:rPr>
        <w:t>Tako</w:t>
      </w:r>
      <w:r w:rsidR="002118A6" w:rsidRPr="00AB15C7">
        <w:rPr>
          <w:rFonts w:ascii="Cambria" w:hAnsi="Cambria"/>
          <w:noProof/>
          <w:lang w:val="sr-Latn-RS"/>
        </w:rPr>
        <w:t>đe, postoje i kompanije koje hemikalije uvoze radi korišćenja u proizvodnji prehrambenih proizvoda poput sirćeta i sirila ili radi korišćenja u drugim industrijskim granama</w:t>
      </w:r>
      <w:r w:rsidR="007312CC" w:rsidRPr="00AB15C7">
        <w:rPr>
          <w:rFonts w:ascii="Cambria" w:hAnsi="Cambria"/>
          <w:noProof/>
          <w:lang w:val="sr-Latn-RS"/>
        </w:rPr>
        <w:t>,</w:t>
      </w:r>
      <w:r w:rsidR="00F427AD" w:rsidRPr="00AB15C7">
        <w:rPr>
          <w:rFonts w:ascii="Cambria" w:hAnsi="Cambria"/>
          <w:noProof/>
          <w:lang w:val="sr-Latn-RS"/>
        </w:rPr>
        <w:t xml:space="preserve"> odnosno za sopstvene potrebe u obavljanju registrovane d</w:t>
      </w:r>
      <w:r w:rsidR="00002F49">
        <w:rPr>
          <w:rFonts w:ascii="Cambria" w:hAnsi="Cambria"/>
          <w:noProof/>
          <w:lang w:val="sr-Latn-RS"/>
        </w:rPr>
        <w:t>j</w:t>
      </w:r>
      <w:r w:rsidR="00F427AD" w:rsidRPr="00AB15C7">
        <w:rPr>
          <w:rFonts w:ascii="Cambria" w:hAnsi="Cambria"/>
          <w:noProof/>
          <w:lang w:val="sr-Latn-RS"/>
        </w:rPr>
        <w:t xml:space="preserve">elatnosti (poput vodovoda koji hemikalije uvoze radi </w:t>
      </w:r>
      <w:r w:rsidR="007312CC" w:rsidRPr="00AB15C7">
        <w:rPr>
          <w:rFonts w:ascii="Cambria" w:hAnsi="Cambria"/>
          <w:noProof/>
          <w:lang w:val="sr-Latn-RS"/>
        </w:rPr>
        <w:t>dezinfekcije i tretmana vode za piće</w:t>
      </w:r>
      <w:r w:rsidR="00805019" w:rsidRPr="00AB15C7">
        <w:rPr>
          <w:rFonts w:ascii="Cambria" w:hAnsi="Cambria"/>
          <w:noProof/>
          <w:lang w:val="sr-Latn-RS"/>
        </w:rPr>
        <w:t xml:space="preserve"> ili KAP </w:t>
      </w:r>
      <w:r w:rsidR="00250EF9" w:rsidRPr="00AB15C7">
        <w:rPr>
          <w:rFonts w:ascii="Cambria" w:hAnsi="Cambria"/>
          <w:noProof/>
          <w:lang w:val="sr-Latn-RS"/>
        </w:rPr>
        <w:t>koji uvozi glinicu radi proizvodnje aluminijuma</w:t>
      </w:r>
      <w:r w:rsidR="007312CC" w:rsidRPr="00AB15C7">
        <w:rPr>
          <w:rFonts w:ascii="Cambria" w:hAnsi="Cambria"/>
          <w:noProof/>
          <w:lang w:val="sr-Latn-RS"/>
        </w:rPr>
        <w:t>)</w:t>
      </w:r>
      <w:r w:rsidR="002118A6" w:rsidRPr="00AB15C7">
        <w:rPr>
          <w:rFonts w:ascii="Cambria" w:hAnsi="Cambria"/>
          <w:noProof/>
          <w:lang w:val="sr-Latn-RS"/>
        </w:rPr>
        <w:t xml:space="preserve">. </w:t>
      </w:r>
      <w:r w:rsidR="007312CC" w:rsidRPr="00AB15C7">
        <w:rPr>
          <w:rFonts w:ascii="Cambria" w:hAnsi="Cambria"/>
          <w:noProof/>
          <w:lang w:val="sr-Latn-RS"/>
        </w:rPr>
        <w:t xml:space="preserve">U tabeli </w:t>
      </w:r>
      <w:r w:rsidR="003A2D38" w:rsidRPr="00AB15C7">
        <w:rPr>
          <w:rFonts w:ascii="Cambria" w:hAnsi="Cambria"/>
          <w:noProof/>
          <w:lang w:val="sr-Latn-RS"/>
        </w:rPr>
        <w:t>3</w:t>
      </w:r>
      <w:r w:rsidR="007312CC" w:rsidRPr="00AB15C7">
        <w:rPr>
          <w:rFonts w:ascii="Cambria" w:hAnsi="Cambria"/>
          <w:noProof/>
          <w:lang w:val="sr-Latn-RS"/>
        </w:rPr>
        <w:t xml:space="preserve">. prikazana </w:t>
      </w:r>
      <w:r w:rsidR="009F5CF6" w:rsidRPr="00AB15C7">
        <w:rPr>
          <w:rFonts w:ascii="Cambria" w:hAnsi="Cambria"/>
          <w:noProof/>
          <w:lang w:val="sr-Latn-RS"/>
        </w:rPr>
        <w:t>je lista kompanija upisanih u registar hemikalija za 2016</w:t>
      </w:r>
      <w:r w:rsidR="00F1313E">
        <w:rPr>
          <w:rFonts w:ascii="Cambria" w:hAnsi="Cambria"/>
          <w:noProof/>
          <w:lang w:val="sr-Latn-RS"/>
        </w:rPr>
        <w:t>. godinu</w:t>
      </w:r>
      <w:r w:rsidR="009F5CF6" w:rsidRPr="00AB15C7">
        <w:rPr>
          <w:rFonts w:ascii="Cambria" w:hAnsi="Cambria"/>
          <w:noProof/>
          <w:lang w:val="sr-Latn-RS"/>
        </w:rPr>
        <w:t>, kao i kratak opis njihove aktivnosti u vezi sa hemikalijama.</w:t>
      </w:r>
    </w:p>
    <w:p w14:paraId="3919B84B" w14:textId="77777777" w:rsidR="009F5CF6" w:rsidRPr="00AB15C7" w:rsidRDefault="009F5CF6" w:rsidP="006F4EFD">
      <w:pPr>
        <w:spacing w:after="120"/>
        <w:jc w:val="center"/>
        <w:rPr>
          <w:rFonts w:ascii="Cambria" w:hAnsi="Cambria"/>
          <w:i/>
          <w:noProof/>
          <w:lang w:val="sr-Latn-ME"/>
        </w:rPr>
      </w:pPr>
      <w:r w:rsidRPr="006F4EFD">
        <w:rPr>
          <w:rFonts w:ascii="Cambria" w:hAnsi="Cambria"/>
          <w:i/>
          <w:noProof/>
          <w:lang w:val="sr-Latn-ME"/>
        </w:rPr>
        <w:t xml:space="preserve">Tabela </w:t>
      </w:r>
      <w:r w:rsidR="003A2D38" w:rsidRPr="006F4EFD">
        <w:rPr>
          <w:rFonts w:ascii="Cambria" w:hAnsi="Cambria"/>
          <w:i/>
          <w:noProof/>
          <w:lang w:val="sr-Latn-ME"/>
        </w:rPr>
        <w:t>3</w:t>
      </w:r>
      <w:r w:rsidRPr="006F4EFD">
        <w:rPr>
          <w:rFonts w:ascii="Cambria" w:hAnsi="Cambria"/>
          <w:i/>
          <w:noProof/>
          <w:lang w:val="sr-Latn-ME"/>
        </w:rPr>
        <w:t>.</w:t>
      </w:r>
      <w:r w:rsidRPr="00AB15C7">
        <w:rPr>
          <w:rFonts w:ascii="Cambria" w:hAnsi="Cambria"/>
          <w:i/>
          <w:noProof/>
          <w:lang w:val="sr-Latn-ME"/>
        </w:rPr>
        <w:t xml:space="preserve"> </w:t>
      </w:r>
      <w:r w:rsidRPr="006F4EFD">
        <w:rPr>
          <w:rFonts w:ascii="Cambria" w:hAnsi="Cambria"/>
          <w:noProof/>
          <w:lang w:val="sr-Latn-ME"/>
        </w:rPr>
        <w:t>Lista preduzeća upisanih u Registar hemikalija za 2016.</w:t>
      </w:r>
      <w:r w:rsidR="00F1313E">
        <w:rPr>
          <w:rFonts w:ascii="Cambria" w:hAnsi="Cambria"/>
          <w:noProof/>
          <w:lang w:val="sr-Latn-ME"/>
        </w:rPr>
        <w:t xml:space="preserve"> godinu</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600"/>
        <w:gridCol w:w="5438"/>
      </w:tblGrid>
      <w:tr w:rsidR="009F5CF6" w:rsidRPr="00AB15C7" w14:paraId="64CFEA70" w14:textId="77777777" w:rsidTr="0066183A">
        <w:trPr>
          <w:trHeight w:val="173"/>
        </w:trPr>
        <w:tc>
          <w:tcPr>
            <w:tcW w:w="630" w:type="dxa"/>
            <w:shd w:val="clear" w:color="auto" w:fill="D9D9D9"/>
          </w:tcPr>
          <w:p w14:paraId="2ABFE486" w14:textId="77777777" w:rsidR="009F5CF6" w:rsidRPr="00AB15C7" w:rsidRDefault="009F5CF6" w:rsidP="005921EF">
            <w:pPr>
              <w:spacing w:after="0"/>
              <w:jc w:val="both"/>
              <w:rPr>
                <w:rFonts w:ascii="Cambria" w:hAnsi="Cambria"/>
                <w:b/>
                <w:noProof/>
                <w:lang w:val="sr-Latn-ME"/>
              </w:rPr>
            </w:pPr>
            <w:r w:rsidRPr="00AB15C7">
              <w:rPr>
                <w:rFonts w:ascii="Cambria" w:hAnsi="Cambria"/>
                <w:b/>
                <w:noProof/>
                <w:lang w:val="sr-Latn-ME"/>
              </w:rPr>
              <w:t xml:space="preserve">Br. </w:t>
            </w:r>
          </w:p>
        </w:tc>
        <w:tc>
          <w:tcPr>
            <w:tcW w:w="3600" w:type="dxa"/>
            <w:shd w:val="clear" w:color="auto" w:fill="D9D9D9"/>
          </w:tcPr>
          <w:p w14:paraId="1EAEA2E7" w14:textId="77777777" w:rsidR="009F5CF6" w:rsidRPr="00AB15C7" w:rsidRDefault="009F5CF6" w:rsidP="005921EF">
            <w:pPr>
              <w:spacing w:after="0"/>
              <w:jc w:val="both"/>
              <w:rPr>
                <w:rFonts w:ascii="Cambria" w:hAnsi="Cambria"/>
                <w:b/>
                <w:noProof/>
                <w:lang w:val="sr-Latn-ME"/>
              </w:rPr>
            </w:pPr>
            <w:r w:rsidRPr="00AB15C7">
              <w:rPr>
                <w:rFonts w:ascii="Cambria" w:hAnsi="Cambria"/>
                <w:b/>
                <w:noProof/>
                <w:lang w:val="sr-Latn-ME"/>
              </w:rPr>
              <w:t>Naziv preduzeća</w:t>
            </w:r>
          </w:p>
        </w:tc>
        <w:tc>
          <w:tcPr>
            <w:tcW w:w="5438" w:type="dxa"/>
            <w:shd w:val="clear" w:color="auto" w:fill="D9D9D9"/>
          </w:tcPr>
          <w:p w14:paraId="2CAC3091" w14:textId="77777777" w:rsidR="009F5CF6" w:rsidRPr="00AB15C7" w:rsidRDefault="009F5CF6" w:rsidP="005921EF">
            <w:pPr>
              <w:spacing w:after="0"/>
              <w:jc w:val="both"/>
              <w:rPr>
                <w:rFonts w:ascii="Cambria" w:hAnsi="Cambria"/>
                <w:b/>
                <w:noProof/>
                <w:lang w:val="sr-Latn-ME"/>
              </w:rPr>
            </w:pPr>
            <w:r w:rsidRPr="00AB15C7">
              <w:rPr>
                <w:rFonts w:ascii="Cambria" w:hAnsi="Cambria"/>
                <w:b/>
                <w:noProof/>
                <w:lang w:val="sr-Latn-ME"/>
              </w:rPr>
              <w:t>Aktivnost</w:t>
            </w:r>
          </w:p>
        </w:tc>
      </w:tr>
      <w:tr w:rsidR="00A74123" w:rsidRPr="00AB15C7" w14:paraId="4FD4560D" w14:textId="77777777" w:rsidTr="00DD3F74">
        <w:trPr>
          <w:trHeight w:val="173"/>
        </w:trPr>
        <w:tc>
          <w:tcPr>
            <w:tcW w:w="630" w:type="dxa"/>
          </w:tcPr>
          <w:p w14:paraId="1761BAA2" w14:textId="77777777" w:rsidR="00A74123" w:rsidRPr="00AB15C7" w:rsidRDefault="008A6807" w:rsidP="005921EF">
            <w:pPr>
              <w:spacing w:after="0"/>
              <w:jc w:val="both"/>
              <w:rPr>
                <w:rFonts w:ascii="Cambria" w:hAnsi="Cambria"/>
                <w:noProof/>
                <w:lang w:val="sr-Latn-ME"/>
              </w:rPr>
            </w:pPr>
            <w:r w:rsidRPr="00AB15C7">
              <w:rPr>
                <w:rFonts w:ascii="Cambria" w:hAnsi="Cambria"/>
                <w:noProof/>
                <w:lang w:val="sr-Latn-ME"/>
              </w:rPr>
              <w:t>1.</w:t>
            </w:r>
          </w:p>
        </w:tc>
        <w:tc>
          <w:tcPr>
            <w:tcW w:w="3600" w:type="dxa"/>
          </w:tcPr>
          <w:p w14:paraId="1B419A91" w14:textId="77777777" w:rsidR="00A74123" w:rsidRPr="00AB15C7" w:rsidRDefault="00A74123" w:rsidP="005921EF">
            <w:pPr>
              <w:spacing w:after="0"/>
              <w:jc w:val="both"/>
              <w:rPr>
                <w:rFonts w:ascii="Cambria" w:hAnsi="Cambria"/>
                <w:noProof/>
                <w:lang w:val="sr-Latn-ME"/>
              </w:rPr>
            </w:pPr>
            <w:r w:rsidRPr="00AB15C7">
              <w:rPr>
                <w:rFonts w:ascii="Cambria" w:hAnsi="Cambria"/>
                <w:noProof/>
                <w:lang w:val="sr-Latn-ME"/>
              </w:rPr>
              <w:t>Agrocentar doo Podgorica</w:t>
            </w:r>
          </w:p>
        </w:tc>
        <w:tc>
          <w:tcPr>
            <w:tcW w:w="5438" w:type="dxa"/>
          </w:tcPr>
          <w:p w14:paraId="3ED36B9E" w14:textId="77777777" w:rsidR="00A74123" w:rsidRPr="00AB15C7" w:rsidRDefault="00BE0A0B" w:rsidP="005921EF">
            <w:pPr>
              <w:spacing w:after="0"/>
              <w:jc w:val="both"/>
              <w:rPr>
                <w:rFonts w:ascii="Cambria" w:hAnsi="Cambria"/>
                <w:noProof/>
                <w:lang w:val="sr-Latn-ME"/>
              </w:rPr>
            </w:pPr>
            <w:r w:rsidRPr="00AB15C7">
              <w:rPr>
                <w:rFonts w:ascii="Cambria" w:hAnsi="Cambria"/>
                <w:noProof/>
                <w:lang w:val="sr-Latn-ME"/>
              </w:rPr>
              <w:t>D</w:t>
            </w:r>
            <w:r w:rsidR="00506286" w:rsidRPr="00AB15C7">
              <w:rPr>
                <w:rFonts w:ascii="Cambria" w:hAnsi="Cambria"/>
                <w:noProof/>
                <w:lang w:val="sr-Latn-ME"/>
              </w:rPr>
              <w:t xml:space="preserve">alja prodaja </w:t>
            </w:r>
            <w:r w:rsidR="008A6807" w:rsidRPr="00AB15C7">
              <w:rPr>
                <w:rFonts w:ascii="Cambria" w:hAnsi="Cambria"/>
                <w:noProof/>
                <w:lang w:val="sr-Latn-ME"/>
              </w:rPr>
              <w:t>(hemije za upotrebu u domaćinstvu)</w:t>
            </w:r>
          </w:p>
        </w:tc>
      </w:tr>
      <w:tr w:rsidR="00506286" w:rsidRPr="00AB15C7" w14:paraId="484899CC" w14:textId="77777777" w:rsidTr="00DD3F74">
        <w:trPr>
          <w:trHeight w:val="173"/>
        </w:trPr>
        <w:tc>
          <w:tcPr>
            <w:tcW w:w="630" w:type="dxa"/>
          </w:tcPr>
          <w:p w14:paraId="1FF61FC5" w14:textId="77777777" w:rsidR="00506286" w:rsidRPr="00AB15C7" w:rsidRDefault="008A6807" w:rsidP="005921EF">
            <w:pPr>
              <w:spacing w:after="0"/>
              <w:jc w:val="both"/>
              <w:rPr>
                <w:rFonts w:ascii="Cambria" w:hAnsi="Cambria"/>
                <w:noProof/>
                <w:lang w:val="sr-Latn-ME"/>
              </w:rPr>
            </w:pPr>
            <w:r w:rsidRPr="00AB15C7">
              <w:rPr>
                <w:rFonts w:ascii="Cambria" w:hAnsi="Cambria"/>
                <w:noProof/>
                <w:lang w:val="sr-Latn-ME"/>
              </w:rPr>
              <w:t>2.</w:t>
            </w:r>
          </w:p>
        </w:tc>
        <w:tc>
          <w:tcPr>
            <w:tcW w:w="3600" w:type="dxa"/>
          </w:tcPr>
          <w:p w14:paraId="402D8363" w14:textId="77777777" w:rsidR="00506286" w:rsidRPr="00AB15C7" w:rsidRDefault="00506286" w:rsidP="005921EF">
            <w:pPr>
              <w:spacing w:after="0"/>
              <w:jc w:val="both"/>
              <w:rPr>
                <w:rFonts w:ascii="Cambria" w:hAnsi="Cambria"/>
                <w:noProof/>
                <w:lang w:val="sr-Latn-ME"/>
              </w:rPr>
            </w:pPr>
            <w:r w:rsidRPr="00AB15C7">
              <w:rPr>
                <w:rFonts w:ascii="Cambria" w:hAnsi="Cambria"/>
                <w:noProof/>
                <w:lang w:val="sr-Latn-ME"/>
              </w:rPr>
              <w:t>Stadion doo Podgorica</w:t>
            </w:r>
          </w:p>
        </w:tc>
        <w:tc>
          <w:tcPr>
            <w:tcW w:w="5438" w:type="dxa"/>
          </w:tcPr>
          <w:p w14:paraId="2D1636FF" w14:textId="77777777" w:rsidR="00506286" w:rsidRPr="00AB15C7" w:rsidRDefault="00BE0A0B" w:rsidP="005921EF">
            <w:pPr>
              <w:spacing w:after="0"/>
              <w:jc w:val="both"/>
              <w:rPr>
                <w:rFonts w:ascii="Cambria" w:hAnsi="Cambria"/>
                <w:noProof/>
                <w:lang w:val="sr-Latn-ME"/>
              </w:rPr>
            </w:pPr>
            <w:r w:rsidRPr="00AB15C7">
              <w:rPr>
                <w:rFonts w:ascii="Cambria" w:hAnsi="Cambria"/>
                <w:noProof/>
                <w:lang w:val="sr-Latn-ME"/>
              </w:rPr>
              <w:t>D</w:t>
            </w:r>
            <w:r w:rsidR="00506286" w:rsidRPr="00AB15C7">
              <w:rPr>
                <w:rFonts w:ascii="Cambria" w:hAnsi="Cambria"/>
                <w:noProof/>
                <w:lang w:val="sr-Latn-ME"/>
              </w:rPr>
              <w:t xml:space="preserve">alja prodaja </w:t>
            </w:r>
            <w:r w:rsidR="008A6807" w:rsidRPr="00AB15C7">
              <w:rPr>
                <w:rFonts w:ascii="Cambria" w:hAnsi="Cambria"/>
                <w:noProof/>
                <w:lang w:val="sr-Latn-ME"/>
              </w:rPr>
              <w:t>(hemije za upotrebu u domaćinstvu)</w:t>
            </w:r>
          </w:p>
        </w:tc>
      </w:tr>
      <w:tr w:rsidR="00506286" w:rsidRPr="00AB15C7" w14:paraId="38B5A475" w14:textId="77777777" w:rsidTr="00DD3F74">
        <w:trPr>
          <w:trHeight w:val="173"/>
        </w:trPr>
        <w:tc>
          <w:tcPr>
            <w:tcW w:w="630" w:type="dxa"/>
          </w:tcPr>
          <w:p w14:paraId="2440F3B0" w14:textId="77777777" w:rsidR="00506286" w:rsidRPr="00AB15C7" w:rsidRDefault="008A6807" w:rsidP="005921EF">
            <w:pPr>
              <w:spacing w:after="0"/>
              <w:jc w:val="both"/>
              <w:rPr>
                <w:rFonts w:ascii="Cambria" w:hAnsi="Cambria"/>
                <w:noProof/>
                <w:lang w:val="sr-Latn-ME"/>
              </w:rPr>
            </w:pPr>
            <w:r w:rsidRPr="00AB15C7">
              <w:rPr>
                <w:rFonts w:ascii="Cambria" w:hAnsi="Cambria"/>
                <w:noProof/>
                <w:lang w:val="sr-Latn-ME"/>
              </w:rPr>
              <w:t>3.</w:t>
            </w:r>
          </w:p>
        </w:tc>
        <w:tc>
          <w:tcPr>
            <w:tcW w:w="3600" w:type="dxa"/>
          </w:tcPr>
          <w:p w14:paraId="6AD172D6" w14:textId="77777777" w:rsidR="00506286" w:rsidRPr="00AB15C7" w:rsidRDefault="00506286" w:rsidP="005921EF">
            <w:pPr>
              <w:spacing w:after="0"/>
              <w:jc w:val="both"/>
              <w:rPr>
                <w:rFonts w:ascii="Cambria" w:hAnsi="Cambria"/>
                <w:noProof/>
                <w:lang w:val="sr-Latn-ME"/>
              </w:rPr>
            </w:pPr>
            <w:r w:rsidRPr="00AB15C7">
              <w:rPr>
                <w:rFonts w:ascii="Cambria" w:hAnsi="Cambria"/>
                <w:noProof/>
                <w:lang w:val="sr-Latn-ME"/>
              </w:rPr>
              <w:t>Ba-Kod doo , Podgorica</w:t>
            </w:r>
          </w:p>
        </w:tc>
        <w:tc>
          <w:tcPr>
            <w:tcW w:w="5438" w:type="dxa"/>
          </w:tcPr>
          <w:p w14:paraId="002F7C06" w14:textId="77777777" w:rsidR="00506286" w:rsidRPr="00AB15C7" w:rsidRDefault="00BE0A0B" w:rsidP="005921EF">
            <w:pPr>
              <w:spacing w:after="0"/>
              <w:jc w:val="both"/>
              <w:rPr>
                <w:rFonts w:ascii="Cambria" w:hAnsi="Cambria"/>
                <w:noProof/>
                <w:lang w:val="sr-Latn-ME"/>
              </w:rPr>
            </w:pPr>
            <w:r w:rsidRPr="00AB15C7">
              <w:rPr>
                <w:rFonts w:ascii="Cambria" w:hAnsi="Cambria"/>
                <w:noProof/>
                <w:lang w:val="sr-Latn-ME"/>
              </w:rPr>
              <w:t>D</w:t>
            </w:r>
            <w:r w:rsidR="00506286" w:rsidRPr="00AB15C7">
              <w:rPr>
                <w:rFonts w:ascii="Cambria" w:hAnsi="Cambria"/>
                <w:noProof/>
                <w:lang w:val="sr-Latn-ME"/>
              </w:rPr>
              <w:t>alja prodaja</w:t>
            </w:r>
            <w:r w:rsidR="008A6807" w:rsidRPr="00AB15C7">
              <w:rPr>
                <w:rFonts w:ascii="Cambria" w:hAnsi="Cambria"/>
                <w:noProof/>
                <w:lang w:val="sr-Latn-ME"/>
              </w:rPr>
              <w:t>(hemije za upotrebu u domaćinstvu)</w:t>
            </w:r>
          </w:p>
        </w:tc>
      </w:tr>
      <w:tr w:rsidR="00506286" w:rsidRPr="00AB15C7" w14:paraId="160919F6" w14:textId="77777777" w:rsidTr="00DD3F74">
        <w:trPr>
          <w:trHeight w:val="173"/>
        </w:trPr>
        <w:tc>
          <w:tcPr>
            <w:tcW w:w="630" w:type="dxa"/>
          </w:tcPr>
          <w:p w14:paraId="2B72F1C6" w14:textId="77777777" w:rsidR="00506286" w:rsidRPr="00AB15C7" w:rsidRDefault="008A6807" w:rsidP="005921EF">
            <w:pPr>
              <w:spacing w:after="0"/>
              <w:jc w:val="both"/>
              <w:rPr>
                <w:rFonts w:ascii="Cambria" w:hAnsi="Cambria"/>
                <w:noProof/>
                <w:lang w:val="sr-Latn-ME"/>
              </w:rPr>
            </w:pPr>
            <w:r w:rsidRPr="00AB15C7">
              <w:rPr>
                <w:rFonts w:ascii="Cambria" w:hAnsi="Cambria"/>
                <w:noProof/>
                <w:lang w:val="sr-Latn-ME"/>
              </w:rPr>
              <w:t>4.</w:t>
            </w:r>
          </w:p>
        </w:tc>
        <w:tc>
          <w:tcPr>
            <w:tcW w:w="3600" w:type="dxa"/>
          </w:tcPr>
          <w:p w14:paraId="73B215EA" w14:textId="77777777" w:rsidR="00506286" w:rsidRPr="00AB15C7" w:rsidRDefault="00506286" w:rsidP="005921EF">
            <w:pPr>
              <w:spacing w:after="0"/>
              <w:jc w:val="both"/>
              <w:rPr>
                <w:rFonts w:ascii="Cambria" w:hAnsi="Cambria"/>
                <w:noProof/>
                <w:lang w:val="sr-Latn-ME"/>
              </w:rPr>
            </w:pPr>
            <w:r w:rsidRPr="00AB15C7">
              <w:rPr>
                <w:rFonts w:ascii="Cambria" w:hAnsi="Cambria"/>
                <w:noProof/>
                <w:lang w:val="sr-Latn-ME"/>
              </w:rPr>
              <w:t xml:space="preserve">Ital Prof doo,   Podgorica  </w:t>
            </w:r>
          </w:p>
        </w:tc>
        <w:tc>
          <w:tcPr>
            <w:tcW w:w="5438" w:type="dxa"/>
          </w:tcPr>
          <w:p w14:paraId="11FF9BCF" w14:textId="77777777" w:rsidR="00506286" w:rsidRPr="00AB15C7" w:rsidRDefault="00BE0A0B" w:rsidP="005921EF">
            <w:pPr>
              <w:spacing w:after="0"/>
              <w:jc w:val="both"/>
              <w:rPr>
                <w:rFonts w:ascii="Cambria" w:hAnsi="Cambria"/>
                <w:noProof/>
                <w:lang w:val="sr-Latn-ME"/>
              </w:rPr>
            </w:pPr>
            <w:r w:rsidRPr="00AB15C7">
              <w:rPr>
                <w:rFonts w:ascii="Cambria" w:hAnsi="Cambria"/>
                <w:noProof/>
                <w:lang w:val="sr-Latn-ME"/>
              </w:rPr>
              <w:t>D</w:t>
            </w:r>
            <w:r w:rsidR="00506286" w:rsidRPr="00AB15C7">
              <w:rPr>
                <w:rFonts w:ascii="Cambria" w:hAnsi="Cambria"/>
                <w:noProof/>
                <w:lang w:val="sr-Latn-ME"/>
              </w:rPr>
              <w:t xml:space="preserve">alja prodaja </w:t>
            </w:r>
            <w:r w:rsidR="008A6807" w:rsidRPr="00AB15C7">
              <w:rPr>
                <w:rFonts w:ascii="Cambria" w:hAnsi="Cambria"/>
                <w:noProof/>
                <w:lang w:val="sr-Latn-ME"/>
              </w:rPr>
              <w:t>(hemije za upotrebu u domaćinstvu)</w:t>
            </w:r>
          </w:p>
        </w:tc>
      </w:tr>
      <w:tr w:rsidR="00506286" w:rsidRPr="00AB15C7" w14:paraId="153A53D8" w14:textId="77777777" w:rsidTr="00DD3F74">
        <w:trPr>
          <w:trHeight w:val="173"/>
        </w:trPr>
        <w:tc>
          <w:tcPr>
            <w:tcW w:w="630" w:type="dxa"/>
          </w:tcPr>
          <w:p w14:paraId="7635A9F6" w14:textId="77777777" w:rsidR="00506286" w:rsidRPr="00AB15C7" w:rsidRDefault="008A6807" w:rsidP="005921EF">
            <w:pPr>
              <w:spacing w:after="0"/>
              <w:jc w:val="both"/>
              <w:rPr>
                <w:rFonts w:ascii="Cambria" w:hAnsi="Cambria"/>
                <w:noProof/>
                <w:lang w:val="sr-Latn-ME"/>
              </w:rPr>
            </w:pPr>
            <w:r w:rsidRPr="00AB15C7">
              <w:rPr>
                <w:rFonts w:ascii="Cambria" w:hAnsi="Cambria"/>
                <w:noProof/>
                <w:lang w:val="sr-Latn-ME"/>
              </w:rPr>
              <w:t>5.</w:t>
            </w:r>
          </w:p>
        </w:tc>
        <w:tc>
          <w:tcPr>
            <w:tcW w:w="3600" w:type="dxa"/>
          </w:tcPr>
          <w:p w14:paraId="03C63A08" w14:textId="77777777" w:rsidR="00506286" w:rsidRPr="00AB15C7" w:rsidRDefault="00DF3D6A" w:rsidP="005921EF">
            <w:pPr>
              <w:spacing w:after="0"/>
              <w:jc w:val="both"/>
              <w:rPr>
                <w:rFonts w:ascii="Cambria" w:hAnsi="Cambria"/>
                <w:noProof/>
                <w:lang w:val="sr-Latn-ME"/>
              </w:rPr>
            </w:pPr>
            <w:r w:rsidRPr="00AB15C7">
              <w:rPr>
                <w:rFonts w:ascii="Cambria" w:hAnsi="Cambria"/>
                <w:noProof/>
                <w:lang w:val="sr-Latn-ME"/>
              </w:rPr>
              <w:t>Hemosan doo Bar</w:t>
            </w:r>
          </w:p>
        </w:tc>
        <w:tc>
          <w:tcPr>
            <w:tcW w:w="5438" w:type="dxa"/>
          </w:tcPr>
          <w:p w14:paraId="66ACFB87" w14:textId="77777777" w:rsidR="00506286" w:rsidRPr="00AB15C7" w:rsidRDefault="00DF3D6A" w:rsidP="005921EF">
            <w:pPr>
              <w:spacing w:after="0"/>
              <w:jc w:val="both"/>
              <w:rPr>
                <w:rFonts w:ascii="Cambria" w:hAnsi="Cambria"/>
                <w:noProof/>
                <w:lang w:val="sr-Latn-ME"/>
              </w:rPr>
            </w:pPr>
            <w:r w:rsidRPr="00AB15C7">
              <w:rPr>
                <w:rFonts w:ascii="Cambria" w:hAnsi="Cambria"/>
                <w:noProof/>
                <w:lang w:val="sr-Latn-ME"/>
              </w:rPr>
              <w:t xml:space="preserve">Tretman </w:t>
            </w:r>
            <w:r w:rsidR="00506286" w:rsidRPr="00AB15C7">
              <w:rPr>
                <w:rFonts w:ascii="Cambria" w:hAnsi="Cambria"/>
                <w:noProof/>
                <w:lang w:val="sr-Latn-ME"/>
              </w:rPr>
              <w:t xml:space="preserve"> otpadnih voda</w:t>
            </w:r>
          </w:p>
        </w:tc>
      </w:tr>
      <w:tr w:rsidR="00506286" w:rsidRPr="00AB15C7" w14:paraId="074E998C" w14:textId="77777777" w:rsidTr="00DD3F74">
        <w:trPr>
          <w:trHeight w:val="173"/>
        </w:trPr>
        <w:tc>
          <w:tcPr>
            <w:tcW w:w="630" w:type="dxa"/>
          </w:tcPr>
          <w:p w14:paraId="79AF4B39" w14:textId="77777777" w:rsidR="00506286" w:rsidRPr="00AB15C7" w:rsidRDefault="008A6807" w:rsidP="005921EF">
            <w:pPr>
              <w:spacing w:after="0"/>
              <w:jc w:val="both"/>
              <w:rPr>
                <w:rFonts w:ascii="Cambria" w:hAnsi="Cambria"/>
                <w:noProof/>
                <w:lang w:val="sr-Latn-ME"/>
              </w:rPr>
            </w:pPr>
            <w:r w:rsidRPr="00AB15C7">
              <w:rPr>
                <w:rFonts w:ascii="Cambria" w:hAnsi="Cambria"/>
                <w:noProof/>
                <w:lang w:val="sr-Latn-ME"/>
              </w:rPr>
              <w:t>6.</w:t>
            </w:r>
          </w:p>
        </w:tc>
        <w:tc>
          <w:tcPr>
            <w:tcW w:w="3600" w:type="dxa"/>
          </w:tcPr>
          <w:p w14:paraId="54E5CE08" w14:textId="77777777" w:rsidR="00506286" w:rsidRPr="00AB15C7" w:rsidRDefault="00DF3D6A" w:rsidP="005921EF">
            <w:pPr>
              <w:spacing w:after="0"/>
              <w:jc w:val="both"/>
              <w:rPr>
                <w:rFonts w:ascii="Cambria" w:hAnsi="Cambria"/>
                <w:noProof/>
                <w:lang w:val="sr-Latn-ME"/>
              </w:rPr>
            </w:pPr>
            <w:r w:rsidRPr="00AB15C7">
              <w:rPr>
                <w:rFonts w:ascii="Cambria" w:hAnsi="Cambria"/>
                <w:noProof/>
                <w:lang w:val="sr-Latn-ME"/>
              </w:rPr>
              <w:t>Vodovod Cetinje</w:t>
            </w:r>
          </w:p>
        </w:tc>
        <w:tc>
          <w:tcPr>
            <w:tcW w:w="5438" w:type="dxa"/>
          </w:tcPr>
          <w:p w14:paraId="0F1DDA5B" w14:textId="77777777" w:rsidR="00506286" w:rsidRPr="00AB15C7" w:rsidRDefault="00DF3D6A" w:rsidP="005921EF">
            <w:pPr>
              <w:spacing w:after="0"/>
              <w:jc w:val="both"/>
              <w:rPr>
                <w:rFonts w:ascii="Cambria" w:hAnsi="Cambria"/>
                <w:noProof/>
                <w:lang w:val="sr-Latn-ME"/>
              </w:rPr>
            </w:pPr>
            <w:r w:rsidRPr="00AB15C7">
              <w:rPr>
                <w:rFonts w:ascii="Cambria" w:hAnsi="Cambria"/>
                <w:noProof/>
                <w:lang w:val="sr-Latn-ME"/>
              </w:rPr>
              <w:t xml:space="preserve">Dezinfekcija vode  </w:t>
            </w:r>
          </w:p>
        </w:tc>
      </w:tr>
      <w:tr w:rsidR="00506286" w:rsidRPr="00AB15C7" w14:paraId="3E9FDE4F" w14:textId="77777777" w:rsidTr="00DD3F74">
        <w:trPr>
          <w:trHeight w:val="173"/>
        </w:trPr>
        <w:tc>
          <w:tcPr>
            <w:tcW w:w="630" w:type="dxa"/>
          </w:tcPr>
          <w:p w14:paraId="6D654415" w14:textId="77777777" w:rsidR="00506286" w:rsidRPr="00AB15C7" w:rsidRDefault="008A6807" w:rsidP="005921EF">
            <w:pPr>
              <w:spacing w:after="0"/>
              <w:jc w:val="both"/>
              <w:rPr>
                <w:rFonts w:ascii="Cambria" w:hAnsi="Cambria"/>
                <w:noProof/>
                <w:lang w:val="sr-Latn-ME"/>
              </w:rPr>
            </w:pPr>
            <w:r w:rsidRPr="00AB15C7">
              <w:rPr>
                <w:rFonts w:ascii="Cambria" w:hAnsi="Cambria"/>
                <w:noProof/>
                <w:lang w:val="sr-Latn-ME"/>
              </w:rPr>
              <w:t>7.</w:t>
            </w:r>
          </w:p>
        </w:tc>
        <w:tc>
          <w:tcPr>
            <w:tcW w:w="3600" w:type="dxa"/>
          </w:tcPr>
          <w:p w14:paraId="60F1CA9E" w14:textId="77777777" w:rsidR="00506286" w:rsidRPr="00AB15C7" w:rsidRDefault="00A32E05" w:rsidP="005921EF">
            <w:pPr>
              <w:spacing w:after="0"/>
              <w:jc w:val="both"/>
              <w:rPr>
                <w:rFonts w:ascii="Cambria" w:hAnsi="Cambria"/>
                <w:noProof/>
                <w:lang w:val="sr-Latn-ME"/>
              </w:rPr>
            </w:pPr>
            <w:r w:rsidRPr="00AB15C7">
              <w:rPr>
                <w:rFonts w:ascii="Cambria" w:hAnsi="Cambria"/>
                <w:noProof/>
                <w:lang w:val="sr-Latn-ME"/>
              </w:rPr>
              <w:t>Vodovod i kanalizacija doo, Podgorica</w:t>
            </w:r>
          </w:p>
        </w:tc>
        <w:tc>
          <w:tcPr>
            <w:tcW w:w="5438" w:type="dxa"/>
          </w:tcPr>
          <w:p w14:paraId="36F70C4E" w14:textId="77777777" w:rsidR="00506286" w:rsidRPr="00AB15C7" w:rsidRDefault="00DF3D6A" w:rsidP="005921EF">
            <w:pPr>
              <w:spacing w:after="0"/>
              <w:jc w:val="both"/>
              <w:rPr>
                <w:rFonts w:ascii="Cambria" w:hAnsi="Cambria"/>
                <w:noProof/>
                <w:lang w:val="sr-Latn-ME"/>
              </w:rPr>
            </w:pPr>
            <w:r w:rsidRPr="00AB15C7">
              <w:rPr>
                <w:rFonts w:ascii="Cambria" w:hAnsi="Cambria"/>
                <w:noProof/>
                <w:lang w:val="sr-Latn-ME"/>
              </w:rPr>
              <w:t xml:space="preserve">Dezinfekcija </w:t>
            </w:r>
            <w:r w:rsidR="00C24AB5" w:rsidRPr="00AB15C7">
              <w:rPr>
                <w:rFonts w:ascii="Cambria" w:hAnsi="Cambria"/>
                <w:noProof/>
                <w:lang w:val="sr-Latn-ME"/>
              </w:rPr>
              <w:t xml:space="preserve">i tretman </w:t>
            </w:r>
            <w:r w:rsidRPr="00AB15C7">
              <w:rPr>
                <w:rFonts w:ascii="Cambria" w:hAnsi="Cambria"/>
                <w:noProof/>
                <w:lang w:val="sr-Latn-ME"/>
              </w:rPr>
              <w:t xml:space="preserve">vode  </w:t>
            </w:r>
          </w:p>
        </w:tc>
      </w:tr>
      <w:tr w:rsidR="00BE0A0B" w:rsidRPr="00AB15C7" w14:paraId="72A2FEC4" w14:textId="77777777" w:rsidTr="00DD3F74">
        <w:trPr>
          <w:trHeight w:val="173"/>
        </w:trPr>
        <w:tc>
          <w:tcPr>
            <w:tcW w:w="630" w:type="dxa"/>
          </w:tcPr>
          <w:p w14:paraId="16204B9A" w14:textId="77777777" w:rsidR="00BE0A0B" w:rsidRPr="00AB15C7" w:rsidRDefault="008A6807" w:rsidP="005921EF">
            <w:pPr>
              <w:spacing w:after="0"/>
              <w:jc w:val="both"/>
              <w:rPr>
                <w:rFonts w:ascii="Cambria" w:hAnsi="Cambria"/>
                <w:noProof/>
                <w:lang w:val="sr-Latn-ME"/>
              </w:rPr>
            </w:pPr>
            <w:r w:rsidRPr="00AB15C7">
              <w:rPr>
                <w:rFonts w:ascii="Cambria" w:hAnsi="Cambria"/>
                <w:noProof/>
                <w:lang w:val="sr-Latn-ME"/>
              </w:rPr>
              <w:t>8.</w:t>
            </w:r>
          </w:p>
        </w:tc>
        <w:tc>
          <w:tcPr>
            <w:tcW w:w="3600" w:type="dxa"/>
          </w:tcPr>
          <w:p w14:paraId="700110AF" w14:textId="77777777" w:rsidR="00BE0A0B" w:rsidRPr="00AB15C7" w:rsidRDefault="00C24AB5" w:rsidP="005921EF">
            <w:pPr>
              <w:spacing w:after="0"/>
              <w:jc w:val="both"/>
              <w:rPr>
                <w:rFonts w:ascii="Cambria" w:hAnsi="Cambria"/>
                <w:noProof/>
                <w:lang w:val="sr-Latn-ME"/>
              </w:rPr>
            </w:pPr>
            <w:r w:rsidRPr="00AB15C7">
              <w:rPr>
                <w:rFonts w:ascii="Cambria" w:hAnsi="Cambria"/>
                <w:noProof/>
                <w:lang w:val="sr-Latn-ME"/>
              </w:rPr>
              <w:t>Unipool doo, Tivat</w:t>
            </w:r>
          </w:p>
        </w:tc>
        <w:tc>
          <w:tcPr>
            <w:tcW w:w="5438" w:type="dxa"/>
          </w:tcPr>
          <w:p w14:paraId="73E9FD30" w14:textId="77777777" w:rsidR="00BE0A0B" w:rsidRPr="00AB15C7" w:rsidRDefault="00C24AB5" w:rsidP="005921EF">
            <w:pPr>
              <w:spacing w:after="0"/>
              <w:jc w:val="both"/>
              <w:rPr>
                <w:rFonts w:ascii="Cambria" w:hAnsi="Cambria"/>
                <w:noProof/>
                <w:lang w:val="sr-Latn-ME"/>
              </w:rPr>
            </w:pPr>
            <w:r w:rsidRPr="00AB15C7">
              <w:rPr>
                <w:rFonts w:ascii="Cambria" w:hAnsi="Cambria"/>
                <w:noProof/>
                <w:lang w:val="sr-Latn-ME"/>
              </w:rPr>
              <w:t>Tretman vode u bazenima za kupanje</w:t>
            </w:r>
          </w:p>
        </w:tc>
      </w:tr>
      <w:tr w:rsidR="00C24AB5" w:rsidRPr="00AB15C7" w14:paraId="2D91AF4A" w14:textId="77777777" w:rsidTr="00DD3F74">
        <w:trPr>
          <w:trHeight w:val="173"/>
        </w:trPr>
        <w:tc>
          <w:tcPr>
            <w:tcW w:w="630" w:type="dxa"/>
          </w:tcPr>
          <w:p w14:paraId="7214876E" w14:textId="77777777" w:rsidR="00C24AB5" w:rsidRPr="00AB15C7" w:rsidRDefault="008A6807" w:rsidP="005921EF">
            <w:pPr>
              <w:spacing w:after="0"/>
              <w:jc w:val="both"/>
              <w:rPr>
                <w:rFonts w:ascii="Cambria" w:hAnsi="Cambria"/>
                <w:noProof/>
                <w:lang w:val="sr-Latn-ME"/>
              </w:rPr>
            </w:pPr>
            <w:r w:rsidRPr="00AB15C7">
              <w:rPr>
                <w:rFonts w:ascii="Cambria" w:hAnsi="Cambria"/>
                <w:noProof/>
                <w:lang w:val="sr-Latn-ME"/>
              </w:rPr>
              <w:t>9.</w:t>
            </w:r>
          </w:p>
        </w:tc>
        <w:tc>
          <w:tcPr>
            <w:tcW w:w="3600" w:type="dxa"/>
          </w:tcPr>
          <w:p w14:paraId="189C8C43" w14:textId="77777777" w:rsidR="00C24AB5" w:rsidRPr="00AB15C7" w:rsidRDefault="00C24AB5" w:rsidP="005921EF">
            <w:pPr>
              <w:spacing w:after="0"/>
              <w:jc w:val="both"/>
              <w:rPr>
                <w:rFonts w:ascii="Cambria" w:hAnsi="Cambria"/>
                <w:noProof/>
                <w:lang w:val="sr-Latn-ME"/>
              </w:rPr>
            </w:pPr>
            <w:r w:rsidRPr="00AB15C7">
              <w:rPr>
                <w:rFonts w:ascii="Cambria" w:hAnsi="Cambria"/>
                <w:noProof/>
                <w:lang w:val="sr-Latn-ME"/>
              </w:rPr>
              <w:t>Vodovod doo, Pljevlja</w:t>
            </w:r>
          </w:p>
        </w:tc>
        <w:tc>
          <w:tcPr>
            <w:tcW w:w="5438" w:type="dxa"/>
          </w:tcPr>
          <w:p w14:paraId="48BD9F36" w14:textId="77777777" w:rsidR="00C24AB5" w:rsidRPr="00AB15C7" w:rsidRDefault="00C24AB5" w:rsidP="005921EF">
            <w:pPr>
              <w:spacing w:after="0"/>
              <w:jc w:val="both"/>
              <w:rPr>
                <w:rFonts w:ascii="Cambria" w:hAnsi="Cambria"/>
                <w:noProof/>
                <w:lang w:val="sr-Latn-ME"/>
              </w:rPr>
            </w:pPr>
            <w:r w:rsidRPr="00AB15C7">
              <w:rPr>
                <w:rFonts w:ascii="Cambria" w:hAnsi="Cambria"/>
                <w:noProof/>
                <w:lang w:val="sr-Latn-ME"/>
              </w:rPr>
              <w:t xml:space="preserve">Dezinfekcija vode  </w:t>
            </w:r>
          </w:p>
        </w:tc>
      </w:tr>
      <w:tr w:rsidR="00C24AB5" w:rsidRPr="00AB15C7" w14:paraId="6BA9A8C1" w14:textId="77777777" w:rsidTr="00DD3F74">
        <w:trPr>
          <w:trHeight w:val="173"/>
        </w:trPr>
        <w:tc>
          <w:tcPr>
            <w:tcW w:w="630" w:type="dxa"/>
          </w:tcPr>
          <w:p w14:paraId="48FE6719" w14:textId="77777777" w:rsidR="00C24AB5" w:rsidRPr="00AB15C7" w:rsidRDefault="008A6807" w:rsidP="005921EF">
            <w:pPr>
              <w:spacing w:after="0"/>
              <w:jc w:val="both"/>
              <w:rPr>
                <w:rFonts w:ascii="Cambria" w:hAnsi="Cambria"/>
                <w:noProof/>
                <w:lang w:val="sr-Latn-ME"/>
              </w:rPr>
            </w:pPr>
            <w:r w:rsidRPr="00AB15C7">
              <w:rPr>
                <w:rFonts w:ascii="Cambria" w:hAnsi="Cambria"/>
                <w:noProof/>
                <w:lang w:val="sr-Latn-ME"/>
              </w:rPr>
              <w:t>10.</w:t>
            </w:r>
          </w:p>
        </w:tc>
        <w:tc>
          <w:tcPr>
            <w:tcW w:w="3600" w:type="dxa"/>
          </w:tcPr>
          <w:p w14:paraId="62C61348" w14:textId="77777777" w:rsidR="00C24AB5" w:rsidRPr="00AB15C7" w:rsidRDefault="00C24AB5" w:rsidP="005921EF">
            <w:pPr>
              <w:spacing w:after="0"/>
              <w:jc w:val="both"/>
              <w:rPr>
                <w:rFonts w:ascii="Cambria" w:hAnsi="Cambria"/>
                <w:noProof/>
                <w:lang w:val="sr-Latn-ME"/>
              </w:rPr>
            </w:pPr>
            <w:r w:rsidRPr="00AB15C7">
              <w:rPr>
                <w:rFonts w:ascii="Cambria" w:hAnsi="Cambria"/>
                <w:noProof/>
                <w:lang w:val="sr-Latn-ME"/>
              </w:rPr>
              <w:t>Matik MT doo, Mojkovac</w:t>
            </w:r>
          </w:p>
        </w:tc>
        <w:tc>
          <w:tcPr>
            <w:tcW w:w="5438" w:type="dxa"/>
          </w:tcPr>
          <w:p w14:paraId="63DE8BE4" w14:textId="77777777" w:rsidR="00C24AB5" w:rsidRPr="00AB15C7" w:rsidRDefault="00C24AB5" w:rsidP="005921EF">
            <w:pPr>
              <w:spacing w:after="0"/>
              <w:jc w:val="both"/>
              <w:rPr>
                <w:rFonts w:ascii="Cambria" w:hAnsi="Cambria"/>
                <w:noProof/>
                <w:lang w:val="sr-Latn-ME"/>
              </w:rPr>
            </w:pPr>
            <w:r w:rsidRPr="00AB15C7">
              <w:rPr>
                <w:rFonts w:ascii="Cambria" w:hAnsi="Cambria"/>
                <w:noProof/>
                <w:lang w:val="sr-Latn-ME"/>
              </w:rPr>
              <w:t>Proizvodnja sir</w:t>
            </w:r>
            <w:r w:rsidRPr="00AB15C7">
              <w:rPr>
                <w:rFonts w:ascii="Cambria" w:hAnsi="Cambria"/>
                <w:noProof/>
                <w:lang w:val="sr-Latn-RS"/>
              </w:rPr>
              <w:t>ć</w:t>
            </w:r>
            <w:r w:rsidRPr="00AB15C7">
              <w:rPr>
                <w:rFonts w:ascii="Cambria" w:hAnsi="Cambria"/>
                <w:noProof/>
                <w:lang w:val="sr-Latn-ME"/>
              </w:rPr>
              <w:t>eta i esencije</w:t>
            </w:r>
          </w:p>
        </w:tc>
      </w:tr>
      <w:tr w:rsidR="009F5CF6" w:rsidRPr="00AB15C7" w14:paraId="4BD973D9" w14:textId="77777777" w:rsidTr="00DD3F74">
        <w:trPr>
          <w:trHeight w:val="173"/>
        </w:trPr>
        <w:tc>
          <w:tcPr>
            <w:tcW w:w="630" w:type="dxa"/>
          </w:tcPr>
          <w:p w14:paraId="66BBE8C6" w14:textId="77777777" w:rsidR="009F5CF6" w:rsidRPr="00AB15C7" w:rsidRDefault="008A6807" w:rsidP="005921EF">
            <w:pPr>
              <w:spacing w:after="0"/>
              <w:jc w:val="both"/>
              <w:rPr>
                <w:rFonts w:ascii="Cambria" w:hAnsi="Cambria"/>
                <w:noProof/>
                <w:lang w:val="sr-Latn-ME"/>
              </w:rPr>
            </w:pPr>
            <w:r w:rsidRPr="00AB15C7">
              <w:rPr>
                <w:rFonts w:ascii="Cambria" w:hAnsi="Cambria"/>
                <w:noProof/>
                <w:lang w:val="sr-Latn-ME"/>
              </w:rPr>
              <w:t>11.</w:t>
            </w:r>
          </w:p>
        </w:tc>
        <w:tc>
          <w:tcPr>
            <w:tcW w:w="3600" w:type="dxa"/>
          </w:tcPr>
          <w:p w14:paraId="51DDED17" w14:textId="77777777" w:rsidR="009F5CF6" w:rsidRPr="00AB15C7" w:rsidRDefault="00C24AB5" w:rsidP="005921EF">
            <w:pPr>
              <w:spacing w:after="0"/>
              <w:jc w:val="both"/>
              <w:rPr>
                <w:rFonts w:ascii="Cambria" w:hAnsi="Cambria"/>
                <w:noProof/>
                <w:lang w:val="sr-Latn-ME"/>
              </w:rPr>
            </w:pPr>
            <w:r w:rsidRPr="00AB15C7">
              <w:rPr>
                <w:rFonts w:ascii="Cambria" w:hAnsi="Cambria"/>
                <w:noProof/>
                <w:lang w:val="sr-Latn-ME"/>
              </w:rPr>
              <w:t>Montechem doo, Budva</w:t>
            </w:r>
          </w:p>
        </w:tc>
        <w:tc>
          <w:tcPr>
            <w:tcW w:w="5438" w:type="dxa"/>
          </w:tcPr>
          <w:p w14:paraId="49DD5A2E" w14:textId="77777777" w:rsidR="009F5CF6" w:rsidRPr="00AB15C7" w:rsidRDefault="00C24AB5" w:rsidP="005921EF">
            <w:pPr>
              <w:spacing w:after="0"/>
              <w:jc w:val="both"/>
              <w:rPr>
                <w:rFonts w:ascii="Cambria" w:hAnsi="Cambria"/>
                <w:noProof/>
                <w:lang w:val="sr-Latn-ME"/>
              </w:rPr>
            </w:pPr>
            <w:r w:rsidRPr="00AB15C7">
              <w:rPr>
                <w:rFonts w:ascii="Cambria" w:hAnsi="Cambria"/>
                <w:noProof/>
                <w:lang w:val="sr-Latn-ME"/>
              </w:rPr>
              <w:t>Održavanje i čišćenje u zanatstvu i industriji</w:t>
            </w:r>
          </w:p>
        </w:tc>
      </w:tr>
      <w:tr w:rsidR="00C24AB5" w:rsidRPr="00AB15C7" w14:paraId="3CE9D0EB" w14:textId="77777777" w:rsidTr="00DD3F74">
        <w:trPr>
          <w:trHeight w:val="476"/>
        </w:trPr>
        <w:tc>
          <w:tcPr>
            <w:tcW w:w="630" w:type="dxa"/>
          </w:tcPr>
          <w:p w14:paraId="703E1D34" w14:textId="77777777" w:rsidR="00C24AB5" w:rsidRPr="00AB15C7" w:rsidRDefault="008A6807" w:rsidP="005921EF">
            <w:pPr>
              <w:spacing w:after="0"/>
              <w:jc w:val="both"/>
              <w:rPr>
                <w:rFonts w:ascii="Cambria" w:hAnsi="Cambria"/>
                <w:noProof/>
                <w:lang w:val="sr-Latn-ME"/>
              </w:rPr>
            </w:pPr>
            <w:r w:rsidRPr="00AB15C7">
              <w:rPr>
                <w:rFonts w:ascii="Cambria" w:hAnsi="Cambria"/>
                <w:noProof/>
                <w:lang w:val="sr-Latn-ME"/>
              </w:rPr>
              <w:t>12.</w:t>
            </w:r>
          </w:p>
        </w:tc>
        <w:tc>
          <w:tcPr>
            <w:tcW w:w="3600" w:type="dxa"/>
          </w:tcPr>
          <w:p w14:paraId="19F337C6" w14:textId="77777777" w:rsidR="00C24AB5" w:rsidRPr="00AB15C7" w:rsidRDefault="00C24AB5" w:rsidP="005921EF">
            <w:pPr>
              <w:spacing w:after="0"/>
              <w:jc w:val="both"/>
              <w:rPr>
                <w:rFonts w:ascii="Cambria" w:hAnsi="Cambria"/>
                <w:noProof/>
                <w:lang w:val="sr-Latn-ME"/>
              </w:rPr>
            </w:pPr>
            <w:r w:rsidRPr="00AB15C7">
              <w:rPr>
                <w:rFonts w:ascii="Cambria" w:hAnsi="Cambria"/>
                <w:noProof/>
                <w:lang w:val="sr-Latn-ME"/>
              </w:rPr>
              <w:t>Helios  Crna Gora doo, Podgorica</w:t>
            </w:r>
          </w:p>
        </w:tc>
        <w:tc>
          <w:tcPr>
            <w:tcW w:w="5438" w:type="dxa"/>
          </w:tcPr>
          <w:p w14:paraId="22AF5F5A" w14:textId="77777777" w:rsidR="00C24AB5" w:rsidRPr="00AB15C7" w:rsidRDefault="00C24AB5" w:rsidP="005921EF">
            <w:pPr>
              <w:spacing w:after="0"/>
              <w:jc w:val="both"/>
              <w:rPr>
                <w:rFonts w:ascii="Cambria" w:hAnsi="Cambria"/>
                <w:noProof/>
                <w:lang w:val="sr-Latn-ME"/>
              </w:rPr>
            </w:pPr>
            <w:r w:rsidRPr="00AB15C7">
              <w:rPr>
                <w:rFonts w:ascii="Cambria" w:hAnsi="Cambria"/>
                <w:noProof/>
                <w:lang w:val="sr-Latn-ME"/>
              </w:rPr>
              <w:t>Zaštita drveta</w:t>
            </w:r>
          </w:p>
        </w:tc>
      </w:tr>
      <w:tr w:rsidR="00C24AB5" w:rsidRPr="00AB15C7" w14:paraId="452A06DA" w14:textId="77777777" w:rsidTr="00DD3F74">
        <w:trPr>
          <w:trHeight w:val="476"/>
        </w:trPr>
        <w:tc>
          <w:tcPr>
            <w:tcW w:w="630" w:type="dxa"/>
          </w:tcPr>
          <w:p w14:paraId="71009D50" w14:textId="77777777" w:rsidR="00C24AB5" w:rsidRPr="00AB15C7" w:rsidRDefault="008A6807" w:rsidP="005921EF">
            <w:pPr>
              <w:spacing w:after="0"/>
              <w:jc w:val="both"/>
              <w:rPr>
                <w:rFonts w:ascii="Cambria" w:hAnsi="Cambria"/>
                <w:noProof/>
                <w:lang w:val="sr-Latn-ME"/>
              </w:rPr>
            </w:pPr>
            <w:r w:rsidRPr="00AB15C7">
              <w:rPr>
                <w:rFonts w:ascii="Cambria" w:hAnsi="Cambria"/>
                <w:noProof/>
                <w:lang w:val="sr-Latn-ME"/>
              </w:rPr>
              <w:t>13.</w:t>
            </w:r>
          </w:p>
        </w:tc>
        <w:tc>
          <w:tcPr>
            <w:tcW w:w="3600" w:type="dxa"/>
          </w:tcPr>
          <w:p w14:paraId="3F9FED04" w14:textId="77777777" w:rsidR="00C24AB5" w:rsidRPr="00AB15C7" w:rsidRDefault="001B6896" w:rsidP="005921EF">
            <w:pPr>
              <w:spacing w:after="0"/>
              <w:jc w:val="both"/>
              <w:rPr>
                <w:rFonts w:ascii="Cambria" w:hAnsi="Cambria"/>
                <w:noProof/>
                <w:lang w:val="sr-Latn-ME"/>
              </w:rPr>
            </w:pPr>
            <w:r w:rsidRPr="00AB15C7">
              <w:rPr>
                <w:rFonts w:ascii="Cambria" w:hAnsi="Cambria"/>
                <w:noProof/>
                <w:lang w:val="sr-Latn-ME"/>
              </w:rPr>
              <w:t>Šljukić CO Mljekara Srna, Nikšić</w:t>
            </w:r>
          </w:p>
        </w:tc>
        <w:tc>
          <w:tcPr>
            <w:tcW w:w="5438" w:type="dxa"/>
          </w:tcPr>
          <w:p w14:paraId="75547C1B" w14:textId="77777777" w:rsidR="00C24AB5" w:rsidRPr="00AB15C7" w:rsidRDefault="001B6896" w:rsidP="005921EF">
            <w:pPr>
              <w:spacing w:after="0"/>
              <w:jc w:val="both"/>
              <w:rPr>
                <w:rFonts w:ascii="Cambria" w:hAnsi="Cambria"/>
                <w:noProof/>
                <w:lang w:val="sr-Latn-ME"/>
              </w:rPr>
            </w:pPr>
            <w:r w:rsidRPr="00AB15C7">
              <w:rPr>
                <w:rFonts w:ascii="Cambria" w:hAnsi="Cambria"/>
                <w:noProof/>
                <w:lang w:val="sr-Latn-ME"/>
              </w:rPr>
              <w:t>CIP pranje i dezinfekcija</w:t>
            </w:r>
          </w:p>
        </w:tc>
      </w:tr>
      <w:tr w:rsidR="00C24AB5" w:rsidRPr="00AB15C7" w14:paraId="69F8D6CB" w14:textId="77777777" w:rsidTr="00DD3F74">
        <w:trPr>
          <w:trHeight w:val="476"/>
        </w:trPr>
        <w:tc>
          <w:tcPr>
            <w:tcW w:w="630" w:type="dxa"/>
          </w:tcPr>
          <w:p w14:paraId="7855BA86" w14:textId="77777777" w:rsidR="00C24AB5" w:rsidRPr="00AB15C7" w:rsidRDefault="008A6807" w:rsidP="005921EF">
            <w:pPr>
              <w:spacing w:after="0"/>
              <w:jc w:val="both"/>
              <w:rPr>
                <w:rFonts w:ascii="Cambria" w:hAnsi="Cambria"/>
                <w:noProof/>
                <w:lang w:val="sr-Latn-ME"/>
              </w:rPr>
            </w:pPr>
            <w:r w:rsidRPr="00AB15C7">
              <w:rPr>
                <w:rFonts w:ascii="Cambria" w:hAnsi="Cambria"/>
                <w:noProof/>
                <w:lang w:val="sr-Latn-ME"/>
              </w:rPr>
              <w:t>14.</w:t>
            </w:r>
          </w:p>
        </w:tc>
        <w:tc>
          <w:tcPr>
            <w:tcW w:w="3600" w:type="dxa"/>
          </w:tcPr>
          <w:p w14:paraId="0BE1A503" w14:textId="77777777" w:rsidR="00C24AB5" w:rsidRPr="00AB15C7" w:rsidRDefault="001B6896" w:rsidP="005921EF">
            <w:pPr>
              <w:spacing w:after="0"/>
              <w:jc w:val="both"/>
              <w:rPr>
                <w:rFonts w:ascii="Cambria" w:hAnsi="Cambria"/>
                <w:noProof/>
                <w:lang w:val="sr-Latn-ME"/>
              </w:rPr>
            </w:pPr>
            <w:r w:rsidRPr="00AB15C7">
              <w:rPr>
                <w:rFonts w:ascii="Cambria" w:hAnsi="Cambria"/>
                <w:noProof/>
                <w:lang w:val="sr-Latn-ME"/>
              </w:rPr>
              <w:t>JP. Vodovod i Kanalizacija, Ulcinj</w:t>
            </w:r>
          </w:p>
        </w:tc>
        <w:tc>
          <w:tcPr>
            <w:tcW w:w="5438" w:type="dxa"/>
          </w:tcPr>
          <w:p w14:paraId="6A842127" w14:textId="77777777" w:rsidR="00C24AB5" w:rsidRPr="00AB15C7" w:rsidRDefault="001B6896" w:rsidP="005921EF">
            <w:pPr>
              <w:spacing w:after="0"/>
              <w:jc w:val="both"/>
              <w:rPr>
                <w:rFonts w:ascii="Cambria" w:hAnsi="Cambria"/>
                <w:noProof/>
                <w:lang w:val="sr-Latn-ME"/>
              </w:rPr>
            </w:pPr>
            <w:r w:rsidRPr="00AB15C7">
              <w:rPr>
                <w:rFonts w:ascii="Cambria" w:hAnsi="Cambria"/>
                <w:noProof/>
                <w:lang w:val="sr-Latn-ME"/>
              </w:rPr>
              <w:t>Dezinfekcija vode</w:t>
            </w:r>
          </w:p>
        </w:tc>
      </w:tr>
      <w:tr w:rsidR="001B6896" w:rsidRPr="00AB15C7" w14:paraId="03A3B659" w14:textId="77777777" w:rsidTr="00DD3F74">
        <w:trPr>
          <w:trHeight w:val="173"/>
        </w:trPr>
        <w:tc>
          <w:tcPr>
            <w:tcW w:w="630" w:type="dxa"/>
          </w:tcPr>
          <w:p w14:paraId="0A550CBB" w14:textId="77777777" w:rsidR="001B6896" w:rsidRPr="00AB15C7" w:rsidRDefault="008A6807" w:rsidP="005921EF">
            <w:pPr>
              <w:spacing w:after="0"/>
              <w:jc w:val="both"/>
              <w:rPr>
                <w:rFonts w:ascii="Cambria" w:hAnsi="Cambria"/>
                <w:noProof/>
                <w:lang w:val="sr-Latn-ME"/>
              </w:rPr>
            </w:pPr>
            <w:r w:rsidRPr="00AB15C7">
              <w:rPr>
                <w:rFonts w:ascii="Cambria" w:hAnsi="Cambria"/>
                <w:noProof/>
                <w:lang w:val="sr-Latn-ME"/>
              </w:rPr>
              <w:t>15.</w:t>
            </w:r>
          </w:p>
        </w:tc>
        <w:tc>
          <w:tcPr>
            <w:tcW w:w="3600" w:type="dxa"/>
          </w:tcPr>
          <w:p w14:paraId="7BD61362" w14:textId="77777777" w:rsidR="001B6896" w:rsidRPr="00AB15C7" w:rsidRDefault="001B6896" w:rsidP="005921EF">
            <w:pPr>
              <w:spacing w:after="0"/>
              <w:jc w:val="both"/>
              <w:rPr>
                <w:rFonts w:ascii="Cambria" w:hAnsi="Cambria"/>
                <w:noProof/>
                <w:lang w:val="sr-Latn-ME"/>
              </w:rPr>
            </w:pPr>
            <w:r w:rsidRPr="00AB15C7">
              <w:rPr>
                <w:rFonts w:ascii="Cambria" w:hAnsi="Cambria"/>
                <w:noProof/>
                <w:lang w:val="sr-Latn-ME"/>
              </w:rPr>
              <w:t>Urion doo, Podgorica</w:t>
            </w:r>
          </w:p>
        </w:tc>
        <w:tc>
          <w:tcPr>
            <w:tcW w:w="5438" w:type="dxa"/>
          </w:tcPr>
          <w:p w14:paraId="5EB2924E" w14:textId="77777777" w:rsidR="001B6896" w:rsidRPr="00AB15C7" w:rsidRDefault="001B6896" w:rsidP="005921EF">
            <w:pPr>
              <w:spacing w:after="0"/>
              <w:jc w:val="both"/>
              <w:rPr>
                <w:rFonts w:ascii="Cambria" w:hAnsi="Cambria"/>
                <w:noProof/>
                <w:lang w:val="sr-Latn-ME"/>
              </w:rPr>
            </w:pPr>
            <w:r w:rsidRPr="00AB15C7">
              <w:rPr>
                <w:rFonts w:ascii="Cambria" w:hAnsi="Cambria"/>
                <w:noProof/>
                <w:lang w:val="sr-Latn-ME"/>
              </w:rPr>
              <w:t>Dezinfekcija</w:t>
            </w:r>
            <w:r w:rsidR="00067B5D" w:rsidRPr="00AB15C7">
              <w:rPr>
                <w:rFonts w:ascii="Cambria" w:hAnsi="Cambria"/>
                <w:noProof/>
                <w:lang w:val="sr-Latn-ME"/>
              </w:rPr>
              <w:t xml:space="preserve"> medicinskog pribora, aparata i površina u KCCG i dr medicinskim ustanovama</w:t>
            </w:r>
          </w:p>
        </w:tc>
      </w:tr>
      <w:tr w:rsidR="001B6896" w:rsidRPr="00AB15C7" w14:paraId="0C1E02B4" w14:textId="77777777" w:rsidTr="00DD3F74">
        <w:trPr>
          <w:trHeight w:val="173"/>
        </w:trPr>
        <w:tc>
          <w:tcPr>
            <w:tcW w:w="630" w:type="dxa"/>
          </w:tcPr>
          <w:p w14:paraId="3A97190C" w14:textId="77777777" w:rsidR="001B6896" w:rsidRPr="00AB15C7" w:rsidRDefault="008A6807" w:rsidP="005921EF">
            <w:pPr>
              <w:spacing w:after="0"/>
              <w:jc w:val="both"/>
              <w:rPr>
                <w:rFonts w:ascii="Cambria" w:hAnsi="Cambria"/>
                <w:noProof/>
                <w:lang w:val="sr-Latn-ME"/>
              </w:rPr>
            </w:pPr>
            <w:r w:rsidRPr="00AB15C7">
              <w:rPr>
                <w:rFonts w:ascii="Cambria" w:hAnsi="Cambria"/>
                <w:noProof/>
                <w:lang w:val="sr-Latn-ME"/>
              </w:rPr>
              <w:t>16.</w:t>
            </w:r>
          </w:p>
        </w:tc>
        <w:tc>
          <w:tcPr>
            <w:tcW w:w="3600" w:type="dxa"/>
          </w:tcPr>
          <w:p w14:paraId="51A8BB59" w14:textId="77777777" w:rsidR="001B6896" w:rsidRPr="00AB15C7" w:rsidRDefault="001B6896" w:rsidP="005921EF">
            <w:pPr>
              <w:spacing w:after="0"/>
              <w:jc w:val="both"/>
              <w:rPr>
                <w:rFonts w:ascii="Cambria" w:hAnsi="Cambria"/>
                <w:noProof/>
                <w:lang w:val="sr-Latn-ME"/>
              </w:rPr>
            </w:pPr>
            <w:r w:rsidRPr="00AB15C7">
              <w:rPr>
                <w:rFonts w:ascii="Cambria" w:hAnsi="Cambria"/>
                <w:noProof/>
                <w:lang w:val="sr-Latn-ME"/>
              </w:rPr>
              <w:t>Institut za fizikalnu medicinu rehabilitaciju i reumatologiju“Dr Simo Milošević” a.d. Igalo</w:t>
            </w:r>
            <w:r w:rsidRPr="00AB15C7">
              <w:rPr>
                <w:rFonts w:ascii="Cambria" w:hAnsi="Cambria"/>
                <w:noProof/>
                <w:lang w:val="sr-Latn-ME"/>
              </w:rPr>
              <w:tab/>
            </w:r>
          </w:p>
        </w:tc>
        <w:tc>
          <w:tcPr>
            <w:tcW w:w="5438" w:type="dxa"/>
          </w:tcPr>
          <w:p w14:paraId="512824F1" w14:textId="77777777" w:rsidR="001B6896" w:rsidRPr="00AB15C7" w:rsidRDefault="001B6896" w:rsidP="005921EF">
            <w:pPr>
              <w:spacing w:after="0"/>
              <w:jc w:val="both"/>
              <w:rPr>
                <w:rFonts w:ascii="Cambria" w:hAnsi="Cambria"/>
                <w:noProof/>
                <w:lang w:val="sr-Latn-ME"/>
              </w:rPr>
            </w:pPr>
            <w:r w:rsidRPr="00AB15C7">
              <w:rPr>
                <w:rFonts w:ascii="Cambria" w:hAnsi="Cambria"/>
                <w:noProof/>
                <w:lang w:val="sr-Latn-ME"/>
              </w:rPr>
              <w:t>Dezinfekcija vode</w:t>
            </w:r>
          </w:p>
        </w:tc>
      </w:tr>
      <w:tr w:rsidR="001B6896" w:rsidRPr="00AB15C7" w14:paraId="19122069" w14:textId="77777777" w:rsidTr="00DD3F74">
        <w:trPr>
          <w:trHeight w:val="173"/>
        </w:trPr>
        <w:tc>
          <w:tcPr>
            <w:tcW w:w="630" w:type="dxa"/>
          </w:tcPr>
          <w:p w14:paraId="765A5C00" w14:textId="77777777" w:rsidR="001B6896" w:rsidRPr="00AB15C7" w:rsidRDefault="008A6807" w:rsidP="005921EF">
            <w:pPr>
              <w:spacing w:after="0"/>
              <w:jc w:val="both"/>
              <w:rPr>
                <w:rFonts w:ascii="Cambria" w:hAnsi="Cambria"/>
                <w:noProof/>
                <w:lang w:val="sr-Latn-ME"/>
              </w:rPr>
            </w:pPr>
            <w:r w:rsidRPr="00AB15C7">
              <w:rPr>
                <w:rFonts w:ascii="Cambria" w:hAnsi="Cambria"/>
                <w:noProof/>
                <w:lang w:val="sr-Latn-ME"/>
              </w:rPr>
              <w:lastRenderedPageBreak/>
              <w:t>17.</w:t>
            </w:r>
          </w:p>
        </w:tc>
        <w:tc>
          <w:tcPr>
            <w:tcW w:w="3600" w:type="dxa"/>
          </w:tcPr>
          <w:p w14:paraId="03885714" w14:textId="77777777" w:rsidR="001B6896" w:rsidRPr="00AB15C7" w:rsidRDefault="00C94858" w:rsidP="005921EF">
            <w:pPr>
              <w:spacing w:after="0"/>
              <w:jc w:val="both"/>
              <w:rPr>
                <w:rFonts w:ascii="Cambria" w:hAnsi="Cambria"/>
                <w:noProof/>
                <w:lang w:val="sr-Latn-ME"/>
              </w:rPr>
            </w:pPr>
            <w:r w:rsidRPr="00AB15C7">
              <w:rPr>
                <w:rFonts w:ascii="Cambria" w:hAnsi="Cambria"/>
                <w:noProof/>
                <w:lang w:val="sr-Latn-ME"/>
              </w:rPr>
              <w:t>Industrija piva i sokova “Trebjesa”doo,  Nikšić</w:t>
            </w:r>
            <w:r w:rsidRPr="00AB15C7">
              <w:rPr>
                <w:rFonts w:ascii="Cambria" w:hAnsi="Cambria"/>
                <w:noProof/>
                <w:lang w:val="sr-Latn-ME"/>
              </w:rPr>
              <w:tab/>
            </w:r>
          </w:p>
        </w:tc>
        <w:tc>
          <w:tcPr>
            <w:tcW w:w="5438" w:type="dxa"/>
          </w:tcPr>
          <w:p w14:paraId="20813D1C" w14:textId="77777777" w:rsidR="001B6896" w:rsidRPr="00AB15C7" w:rsidRDefault="00C94858" w:rsidP="005921EF">
            <w:pPr>
              <w:spacing w:after="0"/>
              <w:jc w:val="both"/>
              <w:rPr>
                <w:rFonts w:ascii="Cambria" w:hAnsi="Cambria"/>
                <w:noProof/>
              </w:rPr>
            </w:pPr>
            <w:r w:rsidRPr="00AB15C7">
              <w:rPr>
                <w:rFonts w:ascii="Cambria" w:hAnsi="Cambria"/>
                <w:noProof/>
              </w:rPr>
              <w:t>Pranje tankova, linija, i cjevovoda za potrebe proizvodnje</w:t>
            </w:r>
          </w:p>
        </w:tc>
      </w:tr>
      <w:tr w:rsidR="008A6807" w:rsidRPr="00AB15C7" w14:paraId="369E70AD" w14:textId="77777777" w:rsidTr="00DD3F74">
        <w:trPr>
          <w:trHeight w:val="173"/>
        </w:trPr>
        <w:tc>
          <w:tcPr>
            <w:tcW w:w="630" w:type="dxa"/>
          </w:tcPr>
          <w:p w14:paraId="67720953"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18.</w:t>
            </w:r>
          </w:p>
        </w:tc>
        <w:tc>
          <w:tcPr>
            <w:tcW w:w="3600" w:type="dxa"/>
          </w:tcPr>
          <w:p w14:paraId="1CDCA34D"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Pool Chemical, Budva</w:t>
            </w:r>
          </w:p>
        </w:tc>
        <w:tc>
          <w:tcPr>
            <w:tcW w:w="5438" w:type="dxa"/>
          </w:tcPr>
          <w:p w14:paraId="577174E6" w14:textId="77777777" w:rsidR="008A6807" w:rsidRPr="00AB15C7" w:rsidRDefault="008A6807" w:rsidP="005921EF">
            <w:pPr>
              <w:spacing w:after="0"/>
              <w:jc w:val="both"/>
              <w:rPr>
                <w:rFonts w:ascii="Cambria" w:hAnsi="Cambria"/>
                <w:noProof/>
              </w:rPr>
            </w:pPr>
            <w:r w:rsidRPr="00AB15C7">
              <w:rPr>
                <w:rFonts w:ascii="Cambria" w:hAnsi="Cambria"/>
                <w:noProof/>
                <w:lang w:val="sr-Latn-ME"/>
              </w:rPr>
              <w:t>Dezinfekcija vode u bazenima</w:t>
            </w:r>
          </w:p>
        </w:tc>
      </w:tr>
      <w:tr w:rsidR="008A6807" w:rsidRPr="00AB15C7" w14:paraId="2E7E88A7" w14:textId="77777777" w:rsidTr="00DD3F74">
        <w:trPr>
          <w:trHeight w:val="173"/>
        </w:trPr>
        <w:tc>
          <w:tcPr>
            <w:tcW w:w="630" w:type="dxa"/>
          </w:tcPr>
          <w:p w14:paraId="77555D82"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19.</w:t>
            </w:r>
          </w:p>
        </w:tc>
        <w:tc>
          <w:tcPr>
            <w:tcW w:w="3600" w:type="dxa"/>
          </w:tcPr>
          <w:p w14:paraId="20F13B11"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Veletex doo, Podgorica</w:t>
            </w:r>
          </w:p>
        </w:tc>
        <w:tc>
          <w:tcPr>
            <w:tcW w:w="5438" w:type="dxa"/>
          </w:tcPr>
          <w:p w14:paraId="6173B1F2"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 (hemije za upotrebu u domaćinstvu)</w:t>
            </w:r>
          </w:p>
        </w:tc>
      </w:tr>
      <w:tr w:rsidR="008A6807" w:rsidRPr="00AB15C7" w14:paraId="17CCC992" w14:textId="77777777" w:rsidTr="00DD3F74">
        <w:trPr>
          <w:trHeight w:val="173"/>
        </w:trPr>
        <w:tc>
          <w:tcPr>
            <w:tcW w:w="630" w:type="dxa"/>
          </w:tcPr>
          <w:p w14:paraId="474D2C2F"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20.</w:t>
            </w:r>
          </w:p>
        </w:tc>
        <w:tc>
          <w:tcPr>
            <w:tcW w:w="3600" w:type="dxa"/>
          </w:tcPr>
          <w:p w14:paraId="76A4E5C8"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Šik Polimlje doo, Berane</w:t>
            </w:r>
          </w:p>
        </w:tc>
        <w:tc>
          <w:tcPr>
            <w:tcW w:w="5438" w:type="dxa"/>
          </w:tcPr>
          <w:p w14:paraId="2F101A4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Upotreba u drvnoj industriji</w:t>
            </w:r>
          </w:p>
        </w:tc>
      </w:tr>
      <w:tr w:rsidR="008A6807" w:rsidRPr="00AB15C7" w14:paraId="5122C081" w14:textId="77777777" w:rsidTr="00DD3F74">
        <w:trPr>
          <w:trHeight w:val="173"/>
        </w:trPr>
        <w:tc>
          <w:tcPr>
            <w:tcW w:w="630" w:type="dxa"/>
          </w:tcPr>
          <w:p w14:paraId="265DAD39"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21.</w:t>
            </w:r>
          </w:p>
        </w:tc>
        <w:tc>
          <w:tcPr>
            <w:tcW w:w="3600" w:type="dxa"/>
          </w:tcPr>
          <w:p w14:paraId="72CB2C9C"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Calgo MN doo, Podgorica</w:t>
            </w:r>
          </w:p>
        </w:tc>
        <w:tc>
          <w:tcPr>
            <w:tcW w:w="5438" w:type="dxa"/>
          </w:tcPr>
          <w:p w14:paraId="777B52C1"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w:t>
            </w:r>
            <w:r w:rsidRPr="00AB15C7">
              <w:rPr>
                <w:rFonts w:ascii="Cambria" w:hAnsi="Cambria"/>
                <w:noProof/>
              </w:rPr>
              <w:t xml:space="preserve"> </w:t>
            </w:r>
            <w:r w:rsidRPr="00AB15C7">
              <w:rPr>
                <w:rFonts w:ascii="Cambria" w:hAnsi="Cambria"/>
                <w:noProof/>
                <w:lang w:val="sr-Latn-ME"/>
              </w:rPr>
              <w:t>(hemije za upotrebu u domaćinstvu)</w:t>
            </w:r>
          </w:p>
        </w:tc>
      </w:tr>
      <w:tr w:rsidR="008A6807" w:rsidRPr="00AB15C7" w14:paraId="68647836" w14:textId="77777777" w:rsidTr="00DD3F74">
        <w:trPr>
          <w:trHeight w:val="173"/>
        </w:trPr>
        <w:tc>
          <w:tcPr>
            <w:tcW w:w="630" w:type="dxa"/>
          </w:tcPr>
          <w:p w14:paraId="3D40019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22.</w:t>
            </w:r>
          </w:p>
        </w:tc>
        <w:tc>
          <w:tcPr>
            <w:tcW w:w="3600" w:type="dxa"/>
          </w:tcPr>
          <w:p w14:paraId="5B89A079"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DOO Vodovod i kanalizacija, Danilovgrad</w:t>
            </w:r>
          </w:p>
        </w:tc>
        <w:tc>
          <w:tcPr>
            <w:tcW w:w="5438" w:type="dxa"/>
          </w:tcPr>
          <w:p w14:paraId="49DE18A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Dezinfekcija vode za piće</w:t>
            </w:r>
          </w:p>
        </w:tc>
      </w:tr>
      <w:tr w:rsidR="008A6807" w:rsidRPr="00AB15C7" w14:paraId="2C4C4689" w14:textId="77777777" w:rsidTr="00DD3F74">
        <w:trPr>
          <w:trHeight w:val="173"/>
        </w:trPr>
        <w:tc>
          <w:tcPr>
            <w:tcW w:w="630" w:type="dxa"/>
          </w:tcPr>
          <w:p w14:paraId="71649CA3"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23.</w:t>
            </w:r>
          </w:p>
        </w:tc>
        <w:tc>
          <w:tcPr>
            <w:tcW w:w="3600" w:type="dxa"/>
          </w:tcPr>
          <w:p w14:paraId="3BD9FE12"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Centrometal doo, Podgorica</w:t>
            </w:r>
          </w:p>
        </w:tc>
        <w:tc>
          <w:tcPr>
            <w:tcW w:w="5438" w:type="dxa"/>
          </w:tcPr>
          <w:p w14:paraId="34F4BEE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w:t>
            </w:r>
          </w:p>
        </w:tc>
      </w:tr>
      <w:tr w:rsidR="008A6807" w:rsidRPr="00AB15C7" w14:paraId="45940121" w14:textId="77777777" w:rsidTr="00DD3F74">
        <w:trPr>
          <w:trHeight w:val="173"/>
        </w:trPr>
        <w:tc>
          <w:tcPr>
            <w:tcW w:w="630" w:type="dxa"/>
          </w:tcPr>
          <w:p w14:paraId="053ACC77"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24.</w:t>
            </w:r>
          </w:p>
        </w:tc>
        <w:tc>
          <w:tcPr>
            <w:tcW w:w="3600" w:type="dxa"/>
          </w:tcPr>
          <w:p w14:paraId="3BC2AAC7"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Totohem doo, Podgorica</w:t>
            </w:r>
          </w:p>
        </w:tc>
        <w:tc>
          <w:tcPr>
            <w:tcW w:w="5438" w:type="dxa"/>
          </w:tcPr>
          <w:p w14:paraId="361E5AF4" w14:textId="77777777" w:rsidR="008A6807" w:rsidRPr="00AB15C7" w:rsidRDefault="008A6807" w:rsidP="005921EF">
            <w:pPr>
              <w:spacing w:after="0"/>
              <w:jc w:val="both"/>
              <w:rPr>
                <w:rFonts w:ascii="Cambria" w:hAnsi="Cambria"/>
                <w:noProof/>
              </w:rPr>
            </w:pPr>
            <w:r w:rsidRPr="00AB15C7">
              <w:rPr>
                <w:rFonts w:ascii="Cambria" w:hAnsi="Cambria"/>
                <w:noProof/>
              </w:rPr>
              <w:t>Održavanje bazenskih voda i u industriji</w:t>
            </w:r>
          </w:p>
        </w:tc>
      </w:tr>
      <w:tr w:rsidR="008A6807" w:rsidRPr="00AB15C7" w14:paraId="6741FA6E" w14:textId="77777777" w:rsidTr="00DD3F74">
        <w:trPr>
          <w:trHeight w:val="173"/>
        </w:trPr>
        <w:tc>
          <w:tcPr>
            <w:tcW w:w="630" w:type="dxa"/>
          </w:tcPr>
          <w:p w14:paraId="59FC3B8F"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25.</w:t>
            </w:r>
          </w:p>
        </w:tc>
        <w:tc>
          <w:tcPr>
            <w:tcW w:w="3600" w:type="dxa"/>
          </w:tcPr>
          <w:p w14:paraId="3C85BE5B" w14:textId="77777777" w:rsidR="008A6807" w:rsidRPr="00AB15C7" w:rsidRDefault="00067B5D" w:rsidP="005921EF">
            <w:pPr>
              <w:spacing w:after="0"/>
              <w:jc w:val="both"/>
              <w:rPr>
                <w:rFonts w:ascii="Cambria" w:hAnsi="Cambria"/>
                <w:noProof/>
                <w:lang w:val="sr-Latn-ME"/>
              </w:rPr>
            </w:pPr>
            <w:r w:rsidRPr="00AB15C7">
              <w:rPr>
                <w:rFonts w:ascii="Cambria" w:hAnsi="Cambria"/>
                <w:noProof/>
                <w:lang w:val="sr-Latn-ME"/>
              </w:rPr>
              <w:t xml:space="preserve">Ice-Com </w:t>
            </w:r>
            <w:r w:rsidR="008A6807" w:rsidRPr="00AB15C7">
              <w:rPr>
                <w:rFonts w:ascii="Cambria" w:hAnsi="Cambria"/>
                <w:noProof/>
                <w:lang w:val="sr-Latn-ME"/>
              </w:rPr>
              <w:t>doo Podgorica</w:t>
            </w:r>
          </w:p>
        </w:tc>
        <w:tc>
          <w:tcPr>
            <w:tcW w:w="5438" w:type="dxa"/>
          </w:tcPr>
          <w:p w14:paraId="71E487FD"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w:t>
            </w:r>
          </w:p>
        </w:tc>
      </w:tr>
      <w:tr w:rsidR="008A6807" w:rsidRPr="00AB15C7" w14:paraId="3E2071FA" w14:textId="77777777" w:rsidTr="00DD3F74">
        <w:trPr>
          <w:trHeight w:val="173"/>
        </w:trPr>
        <w:tc>
          <w:tcPr>
            <w:tcW w:w="630" w:type="dxa"/>
          </w:tcPr>
          <w:p w14:paraId="6931422C"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26.</w:t>
            </w:r>
          </w:p>
        </w:tc>
        <w:tc>
          <w:tcPr>
            <w:tcW w:w="3600" w:type="dxa"/>
          </w:tcPr>
          <w:p w14:paraId="21C487A0"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Tehnotekstil doo Nikšić</w:t>
            </w:r>
          </w:p>
        </w:tc>
        <w:tc>
          <w:tcPr>
            <w:tcW w:w="5438" w:type="dxa"/>
          </w:tcPr>
          <w:p w14:paraId="0B93BF59"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w:t>
            </w:r>
          </w:p>
        </w:tc>
      </w:tr>
      <w:tr w:rsidR="008A6807" w:rsidRPr="00AB15C7" w14:paraId="175438E6" w14:textId="77777777" w:rsidTr="00DD3F74">
        <w:trPr>
          <w:trHeight w:val="173"/>
        </w:trPr>
        <w:tc>
          <w:tcPr>
            <w:tcW w:w="630" w:type="dxa"/>
          </w:tcPr>
          <w:p w14:paraId="7DC169F2"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27.</w:t>
            </w:r>
          </w:p>
        </w:tc>
        <w:tc>
          <w:tcPr>
            <w:tcW w:w="3600" w:type="dxa"/>
          </w:tcPr>
          <w:p w14:paraId="000A58DC"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Slavisan DDD Podgorica</w:t>
            </w:r>
          </w:p>
        </w:tc>
        <w:tc>
          <w:tcPr>
            <w:tcW w:w="5438" w:type="dxa"/>
          </w:tcPr>
          <w:p w14:paraId="27FFB1C9" w14:textId="77777777" w:rsidR="008A6807" w:rsidRPr="00AB15C7" w:rsidRDefault="008A6807" w:rsidP="005921EF">
            <w:pPr>
              <w:spacing w:after="0"/>
              <w:jc w:val="both"/>
              <w:rPr>
                <w:rFonts w:ascii="Cambria" w:hAnsi="Cambria"/>
                <w:noProof/>
              </w:rPr>
            </w:pPr>
            <w:r w:rsidRPr="00AB15C7">
              <w:rPr>
                <w:rFonts w:ascii="Cambria" w:hAnsi="Cambria"/>
                <w:noProof/>
              </w:rPr>
              <w:t>Dezinfekcija, dezinsekcija i deratizacija sa upotrebom preparata za izvođenje usluga ili dalja prodaja</w:t>
            </w:r>
          </w:p>
        </w:tc>
      </w:tr>
      <w:tr w:rsidR="008A6807" w:rsidRPr="00AB15C7" w14:paraId="3B4C5560" w14:textId="77777777" w:rsidTr="00DD3F74">
        <w:trPr>
          <w:trHeight w:val="173"/>
        </w:trPr>
        <w:tc>
          <w:tcPr>
            <w:tcW w:w="630" w:type="dxa"/>
          </w:tcPr>
          <w:p w14:paraId="15179E9B"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28.</w:t>
            </w:r>
          </w:p>
        </w:tc>
        <w:tc>
          <w:tcPr>
            <w:tcW w:w="3600" w:type="dxa"/>
          </w:tcPr>
          <w:p w14:paraId="462C6BFC"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A.D. Higijena Podgorica</w:t>
            </w:r>
          </w:p>
        </w:tc>
        <w:tc>
          <w:tcPr>
            <w:tcW w:w="5438" w:type="dxa"/>
          </w:tcPr>
          <w:p w14:paraId="31378DEC"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Usluge profesionalnog pranja rublja</w:t>
            </w:r>
          </w:p>
        </w:tc>
      </w:tr>
      <w:tr w:rsidR="008A6807" w:rsidRPr="00AB15C7" w14:paraId="08DBB882" w14:textId="77777777" w:rsidTr="00DD3F74">
        <w:trPr>
          <w:trHeight w:val="173"/>
        </w:trPr>
        <w:tc>
          <w:tcPr>
            <w:tcW w:w="630" w:type="dxa"/>
          </w:tcPr>
          <w:p w14:paraId="7A741804"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29.</w:t>
            </w:r>
          </w:p>
        </w:tc>
        <w:tc>
          <w:tcPr>
            <w:tcW w:w="3600" w:type="dxa"/>
          </w:tcPr>
          <w:p w14:paraId="52CA50FB"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DOO Montell, Cetinje</w:t>
            </w:r>
          </w:p>
        </w:tc>
        <w:tc>
          <w:tcPr>
            <w:tcW w:w="5438" w:type="dxa"/>
          </w:tcPr>
          <w:p w14:paraId="36918D05"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 detergenata i drugih sredstava za održavanje higijene</w:t>
            </w:r>
          </w:p>
        </w:tc>
      </w:tr>
      <w:tr w:rsidR="008A6807" w:rsidRPr="00AB15C7" w14:paraId="2D474613" w14:textId="77777777" w:rsidTr="00DD3F74">
        <w:trPr>
          <w:trHeight w:val="173"/>
        </w:trPr>
        <w:tc>
          <w:tcPr>
            <w:tcW w:w="630" w:type="dxa"/>
          </w:tcPr>
          <w:p w14:paraId="704215D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30.</w:t>
            </w:r>
          </w:p>
        </w:tc>
        <w:tc>
          <w:tcPr>
            <w:tcW w:w="3600" w:type="dxa"/>
          </w:tcPr>
          <w:p w14:paraId="324C9EF1"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Šimšić Montmilk doo, Danilovgrad - Mljekara Lazine</w:t>
            </w:r>
          </w:p>
        </w:tc>
        <w:tc>
          <w:tcPr>
            <w:tcW w:w="5438" w:type="dxa"/>
          </w:tcPr>
          <w:p w14:paraId="407A421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Pranje proizvodnih linija i cistijerni</w:t>
            </w:r>
          </w:p>
        </w:tc>
      </w:tr>
      <w:tr w:rsidR="008A6807" w:rsidRPr="00AB15C7" w14:paraId="57CAB8A3" w14:textId="77777777" w:rsidTr="00DD3F74">
        <w:trPr>
          <w:trHeight w:val="173"/>
        </w:trPr>
        <w:tc>
          <w:tcPr>
            <w:tcW w:w="630" w:type="dxa"/>
          </w:tcPr>
          <w:p w14:paraId="22582431"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31.</w:t>
            </w:r>
          </w:p>
        </w:tc>
        <w:tc>
          <w:tcPr>
            <w:tcW w:w="3600" w:type="dxa"/>
          </w:tcPr>
          <w:p w14:paraId="2A7124BF"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Danlab doo, Podgorica</w:t>
            </w:r>
          </w:p>
        </w:tc>
        <w:tc>
          <w:tcPr>
            <w:tcW w:w="5438" w:type="dxa"/>
          </w:tcPr>
          <w:p w14:paraId="519B8F0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 (snabdIjevanje laboratorija)</w:t>
            </w:r>
          </w:p>
        </w:tc>
      </w:tr>
      <w:tr w:rsidR="008A6807" w:rsidRPr="00AB15C7" w14:paraId="27169175" w14:textId="77777777" w:rsidTr="00DD3F74">
        <w:trPr>
          <w:trHeight w:val="173"/>
        </w:trPr>
        <w:tc>
          <w:tcPr>
            <w:tcW w:w="630" w:type="dxa"/>
          </w:tcPr>
          <w:p w14:paraId="171A2ECB"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32.</w:t>
            </w:r>
          </w:p>
        </w:tc>
        <w:tc>
          <w:tcPr>
            <w:tcW w:w="3600" w:type="dxa"/>
          </w:tcPr>
          <w:p w14:paraId="6281D299"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Galenika Crna Gora doo, Podgorica</w:t>
            </w:r>
          </w:p>
        </w:tc>
        <w:tc>
          <w:tcPr>
            <w:tcW w:w="5438" w:type="dxa"/>
          </w:tcPr>
          <w:p w14:paraId="297921E8"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Čišćenje i dezinfekcija prostorija pogona i laboratorije</w:t>
            </w:r>
          </w:p>
        </w:tc>
      </w:tr>
      <w:tr w:rsidR="008A6807" w:rsidRPr="00AB15C7" w14:paraId="2685E57C" w14:textId="77777777" w:rsidTr="00DD3F74">
        <w:trPr>
          <w:trHeight w:val="173"/>
        </w:trPr>
        <w:tc>
          <w:tcPr>
            <w:tcW w:w="630" w:type="dxa"/>
          </w:tcPr>
          <w:p w14:paraId="27D6F69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33.</w:t>
            </w:r>
          </w:p>
        </w:tc>
        <w:tc>
          <w:tcPr>
            <w:tcW w:w="3600" w:type="dxa"/>
          </w:tcPr>
          <w:p w14:paraId="7CBFDF51"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Okov doo, Podgorica</w:t>
            </w:r>
          </w:p>
        </w:tc>
        <w:tc>
          <w:tcPr>
            <w:tcW w:w="5438" w:type="dxa"/>
          </w:tcPr>
          <w:p w14:paraId="67E7110C"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w:t>
            </w:r>
          </w:p>
        </w:tc>
      </w:tr>
      <w:tr w:rsidR="008A6807" w:rsidRPr="00AB15C7" w14:paraId="04BF663E" w14:textId="77777777" w:rsidTr="00DD3F74">
        <w:trPr>
          <w:trHeight w:val="173"/>
        </w:trPr>
        <w:tc>
          <w:tcPr>
            <w:tcW w:w="630" w:type="dxa"/>
          </w:tcPr>
          <w:p w14:paraId="79C17DA4"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34.</w:t>
            </w:r>
          </w:p>
        </w:tc>
        <w:tc>
          <w:tcPr>
            <w:tcW w:w="3600" w:type="dxa"/>
          </w:tcPr>
          <w:p w14:paraId="0EFDF43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Polar Clean Hemijska doo, Tivat</w:t>
            </w:r>
          </w:p>
        </w:tc>
        <w:tc>
          <w:tcPr>
            <w:tcW w:w="5438" w:type="dxa"/>
          </w:tcPr>
          <w:p w14:paraId="3F8FA52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Korišćenje za usluge hemijskog čišćenja</w:t>
            </w:r>
          </w:p>
        </w:tc>
      </w:tr>
      <w:tr w:rsidR="008A6807" w:rsidRPr="00AB15C7" w14:paraId="2D13E914" w14:textId="77777777" w:rsidTr="00DD3F74">
        <w:trPr>
          <w:trHeight w:val="173"/>
        </w:trPr>
        <w:tc>
          <w:tcPr>
            <w:tcW w:w="630" w:type="dxa"/>
          </w:tcPr>
          <w:p w14:paraId="3DC21E48"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35.</w:t>
            </w:r>
          </w:p>
        </w:tc>
        <w:tc>
          <w:tcPr>
            <w:tcW w:w="3600" w:type="dxa"/>
          </w:tcPr>
          <w:p w14:paraId="5B108E1D"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Poliex A.D. Berane</w:t>
            </w:r>
          </w:p>
        </w:tc>
        <w:tc>
          <w:tcPr>
            <w:tcW w:w="5438" w:type="dxa"/>
          </w:tcPr>
          <w:p w14:paraId="2528E633" w14:textId="77777777" w:rsidR="008A6807" w:rsidRPr="00AB15C7" w:rsidRDefault="008A6807" w:rsidP="005921EF">
            <w:pPr>
              <w:spacing w:after="0"/>
              <w:jc w:val="both"/>
              <w:rPr>
                <w:rFonts w:ascii="Cambria" w:hAnsi="Cambria"/>
                <w:noProof/>
              </w:rPr>
            </w:pPr>
            <w:r w:rsidRPr="00AB15C7">
              <w:rPr>
                <w:rFonts w:ascii="Cambria" w:hAnsi="Cambria"/>
                <w:noProof/>
              </w:rPr>
              <w:t>Proizvodnju plastičnih eksploziva i dalja prodaja</w:t>
            </w:r>
          </w:p>
        </w:tc>
      </w:tr>
      <w:tr w:rsidR="008A6807" w:rsidRPr="00AB15C7" w14:paraId="5785BA62" w14:textId="77777777" w:rsidTr="00DD3F74">
        <w:trPr>
          <w:trHeight w:val="173"/>
        </w:trPr>
        <w:tc>
          <w:tcPr>
            <w:tcW w:w="630" w:type="dxa"/>
          </w:tcPr>
          <w:p w14:paraId="6FE160BB"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36.</w:t>
            </w:r>
          </w:p>
        </w:tc>
        <w:tc>
          <w:tcPr>
            <w:tcW w:w="3600" w:type="dxa"/>
          </w:tcPr>
          <w:p w14:paraId="3448D62D"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Glosarij doo, Podgorica</w:t>
            </w:r>
          </w:p>
        </w:tc>
        <w:tc>
          <w:tcPr>
            <w:tcW w:w="5438" w:type="dxa"/>
          </w:tcPr>
          <w:p w14:paraId="694D5A15"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prodaja(hemije za upotrebu u domaćinstvu)</w:t>
            </w:r>
          </w:p>
        </w:tc>
      </w:tr>
      <w:tr w:rsidR="008A6807" w:rsidRPr="00AB15C7" w14:paraId="1EA59694" w14:textId="77777777" w:rsidTr="00DD3F74">
        <w:trPr>
          <w:trHeight w:val="173"/>
        </w:trPr>
        <w:tc>
          <w:tcPr>
            <w:tcW w:w="630" w:type="dxa"/>
          </w:tcPr>
          <w:p w14:paraId="404C2AE0"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37.</w:t>
            </w:r>
          </w:p>
        </w:tc>
        <w:tc>
          <w:tcPr>
            <w:tcW w:w="3600" w:type="dxa"/>
          </w:tcPr>
          <w:p w14:paraId="4515B515"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PDG doo,  Podgorica</w:t>
            </w:r>
          </w:p>
        </w:tc>
        <w:tc>
          <w:tcPr>
            <w:tcW w:w="5438" w:type="dxa"/>
          </w:tcPr>
          <w:p w14:paraId="6CD0BB12"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prodaja(hemije za upotrebu u domaćinstvu)</w:t>
            </w:r>
          </w:p>
        </w:tc>
      </w:tr>
      <w:tr w:rsidR="008A6807" w:rsidRPr="00AB15C7" w14:paraId="5B5C133D" w14:textId="77777777" w:rsidTr="00DD3F74">
        <w:trPr>
          <w:trHeight w:val="173"/>
        </w:trPr>
        <w:tc>
          <w:tcPr>
            <w:tcW w:w="630" w:type="dxa"/>
          </w:tcPr>
          <w:p w14:paraId="518E7B1D"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38.</w:t>
            </w:r>
          </w:p>
        </w:tc>
        <w:tc>
          <w:tcPr>
            <w:tcW w:w="3600" w:type="dxa"/>
          </w:tcPr>
          <w:p w14:paraId="6215EF1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Heming doo, Danilovgrad</w:t>
            </w:r>
          </w:p>
        </w:tc>
        <w:tc>
          <w:tcPr>
            <w:tcW w:w="5438" w:type="dxa"/>
          </w:tcPr>
          <w:p w14:paraId="7E81F9E0"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Proizvodnja sredstava za čišćenje i održavanje domaćinstva</w:t>
            </w:r>
          </w:p>
        </w:tc>
      </w:tr>
      <w:tr w:rsidR="008A6807" w:rsidRPr="00AB15C7" w14:paraId="19CF26A1" w14:textId="77777777" w:rsidTr="00DD3F74">
        <w:trPr>
          <w:trHeight w:val="173"/>
        </w:trPr>
        <w:tc>
          <w:tcPr>
            <w:tcW w:w="630" w:type="dxa"/>
          </w:tcPr>
          <w:p w14:paraId="765AF794"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39.</w:t>
            </w:r>
          </w:p>
        </w:tc>
        <w:tc>
          <w:tcPr>
            <w:tcW w:w="3600" w:type="dxa"/>
          </w:tcPr>
          <w:p w14:paraId="1AD8E29A"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Interesta doo, Podgorica</w:t>
            </w:r>
          </w:p>
        </w:tc>
        <w:tc>
          <w:tcPr>
            <w:tcW w:w="5438" w:type="dxa"/>
          </w:tcPr>
          <w:p w14:paraId="0D79EEE9"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 (snabdjevanje hotela za mašinsko pranje suđa, veša, tepiha...radnih i podnih površina)</w:t>
            </w:r>
          </w:p>
        </w:tc>
      </w:tr>
      <w:tr w:rsidR="008A6807" w:rsidRPr="00AB15C7" w14:paraId="640C0139" w14:textId="77777777" w:rsidTr="00DD3F74">
        <w:trPr>
          <w:trHeight w:val="173"/>
        </w:trPr>
        <w:tc>
          <w:tcPr>
            <w:tcW w:w="630" w:type="dxa"/>
          </w:tcPr>
          <w:p w14:paraId="3B09BAF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40.</w:t>
            </w:r>
          </w:p>
        </w:tc>
        <w:tc>
          <w:tcPr>
            <w:tcW w:w="3600" w:type="dxa"/>
          </w:tcPr>
          <w:p w14:paraId="7F576734"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Tekom Promet doo, Podgorica</w:t>
            </w:r>
          </w:p>
        </w:tc>
        <w:tc>
          <w:tcPr>
            <w:tcW w:w="5438" w:type="dxa"/>
          </w:tcPr>
          <w:p w14:paraId="571F3A4A"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prodaja(hemije za upotrebu u domaćinstvu)</w:t>
            </w:r>
          </w:p>
        </w:tc>
      </w:tr>
      <w:tr w:rsidR="008A6807" w:rsidRPr="00AB15C7" w14:paraId="2A4A235B" w14:textId="77777777" w:rsidTr="00DD3F74">
        <w:trPr>
          <w:trHeight w:val="173"/>
        </w:trPr>
        <w:tc>
          <w:tcPr>
            <w:tcW w:w="630" w:type="dxa"/>
          </w:tcPr>
          <w:p w14:paraId="3B97C777"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41.</w:t>
            </w:r>
          </w:p>
        </w:tc>
        <w:tc>
          <w:tcPr>
            <w:tcW w:w="3600" w:type="dxa"/>
          </w:tcPr>
          <w:p w14:paraId="48CBFF50"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Farmegra doo, Podgorica</w:t>
            </w:r>
          </w:p>
        </w:tc>
        <w:tc>
          <w:tcPr>
            <w:tcW w:w="5438" w:type="dxa"/>
          </w:tcPr>
          <w:p w14:paraId="550E8D28"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prodaja(hemije za upotrebu u domaćinstvu)</w:t>
            </w:r>
          </w:p>
        </w:tc>
      </w:tr>
      <w:tr w:rsidR="008A6807" w:rsidRPr="00AB15C7" w14:paraId="6DF67EC2" w14:textId="77777777" w:rsidTr="00DD3F74">
        <w:trPr>
          <w:trHeight w:val="173"/>
        </w:trPr>
        <w:tc>
          <w:tcPr>
            <w:tcW w:w="630" w:type="dxa"/>
          </w:tcPr>
          <w:p w14:paraId="793B1C24"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42.</w:t>
            </w:r>
          </w:p>
        </w:tc>
        <w:tc>
          <w:tcPr>
            <w:tcW w:w="3600" w:type="dxa"/>
          </w:tcPr>
          <w:p w14:paraId="6BB39938"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DOO Vodovod i Kanalizacija Rožaje</w:t>
            </w:r>
          </w:p>
        </w:tc>
        <w:tc>
          <w:tcPr>
            <w:tcW w:w="5438" w:type="dxa"/>
          </w:tcPr>
          <w:p w14:paraId="6409FB31"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 xml:space="preserve">Dezinfekcija vode </w:t>
            </w:r>
          </w:p>
        </w:tc>
      </w:tr>
      <w:tr w:rsidR="008A6807" w:rsidRPr="00AB15C7" w14:paraId="366D62ED" w14:textId="77777777" w:rsidTr="00DD3F74">
        <w:trPr>
          <w:trHeight w:val="173"/>
        </w:trPr>
        <w:tc>
          <w:tcPr>
            <w:tcW w:w="630" w:type="dxa"/>
          </w:tcPr>
          <w:p w14:paraId="2469D143"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43.</w:t>
            </w:r>
          </w:p>
        </w:tc>
        <w:tc>
          <w:tcPr>
            <w:tcW w:w="3600" w:type="dxa"/>
          </w:tcPr>
          <w:p w14:paraId="0A8DC9B1"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Adriatic Hygiene Technology doo, Budva</w:t>
            </w:r>
          </w:p>
        </w:tc>
        <w:tc>
          <w:tcPr>
            <w:tcW w:w="5438" w:type="dxa"/>
          </w:tcPr>
          <w:p w14:paraId="7C7F3050"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prodaja(hemije za upotrebu u domaćinstvu)</w:t>
            </w:r>
          </w:p>
        </w:tc>
      </w:tr>
      <w:tr w:rsidR="008A6807" w:rsidRPr="00AB15C7" w14:paraId="31B9167F" w14:textId="77777777" w:rsidTr="00DD3F74">
        <w:trPr>
          <w:trHeight w:val="173"/>
        </w:trPr>
        <w:tc>
          <w:tcPr>
            <w:tcW w:w="630" w:type="dxa"/>
          </w:tcPr>
          <w:p w14:paraId="1D78ED4D"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44.</w:t>
            </w:r>
          </w:p>
        </w:tc>
        <w:tc>
          <w:tcPr>
            <w:tcW w:w="3600" w:type="dxa"/>
          </w:tcPr>
          <w:p w14:paraId="43345639"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Frigo elektro sistem doo, Nikšić</w:t>
            </w:r>
          </w:p>
        </w:tc>
        <w:tc>
          <w:tcPr>
            <w:tcW w:w="5438" w:type="dxa"/>
          </w:tcPr>
          <w:p w14:paraId="49DCABD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 sredstava za mašinsko pranje posudja</w:t>
            </w:r>
          </w:p>
        </w:tc>
      </w:tr>
      <w:tr w:rsidR="008A6807" w:rsidRPr="00AB15C7" w14:paraId="5EADA903" w14:textId="77777777" w:rsidTr="00DD3F74">
        <w:trPr>
          <w:trHeight w:val="173"/>
        </w:trPr>
        <w:tc>
          <w:tcPr>
            <w:tcW w:w="630" w:type="dxa"/>
          </w:tcPr>
          <w:p w14:paraId="24A0D33D"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45.</w:t>
            </w:r>
          </w:p>
        </w:tc>
        <w:tc>
          <w:tcPr>
            <w:tcW w:w="3600" w:type="dxa"/>
          </w:tcPr>
          <w:p w14:paraId="48D4A17A"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Daido Metal Kotor ad, Kotor</w:t>
            </w:r>
          </w:p>
        </w:tc>
        <w:tc>
          <w:tcPr>
            <w:tcW w:w="5438" w:type="dxa"/>
          </w:tcPr>
          <w:p w14:paraId="2043A8C1"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 xml:space="preserve">Industrijska upotreba </w:t>
            </w:r>
          </w:p>
        </w:tc>
      </w:tr>
      <w:tr w:rsidR="008A6807" w:rsidRPr="00AB15C7" w14:paraId="2ED7DDFD" w14:textId="77777777" w:rsidTr="00DD3F74">
        <w:trPr>
          <w:trHeight w:val="173"/>
        </w:trPr>
        <w:tc>
          <w:tcPr>
            <w:tcW w:w="630" w:type="dxa"/>
          </w:tcPr>
          <w:p w14:paraId="4739BB12"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46.</w:t>
            </w:r>
          </w:p>
        </w:tc>
        <w:tc>
          <w:tcPr>
            <w:tcW w:w="3600" w:type="dxa"/>
          </w:tcPr>
          <w:p w14:paraId="0CCA795C"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Vodovod i kanalizacija doo, Kotor</w:t>
            </w:r>
          </w:p>
        </w:tc>
        <w:tc>
          <w:tcPr>
            <w:tcW w:w="5438" w:type="dxa"/>
          </w:tcPr>
          <w:p w14:paraId="4E9E6D67"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 xml:space="preserve">Dezinfekcija vode </w:t>
            </w:r>
          </w:p>
        </w:tc>
      </w:tr>
      <w:tr w:rsidR="008A6807" w:rsidRPr="00AB15C7" w14:paraId="5A0CA08C" w14:textId="77777777" w:rsidTr="00DD3F74">
        <w:trPr>
          <w:trHeight w:val="173"/>
        </w:trPr>
        <w:tc>
          <w:tcPr>
            <w:tcW w:w="630" w:type="dxa"/>
          </w:tcPr>
          <w:p w14:paraId="2A6BF70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47.</w:t>
            </w:r>
          </w:p>
        </w:tc>
        <w:tc>
          <w:tcPr>
            <w:tcW w:w="3600" w:type="dxa"/>
          </w:tcPr>
          <w:p w14:paraId="0AF058E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Neregelia doo, Podgorica</w:t>
            </w:r>
          </w:p>
        </w:tc>
        <w:tc>
          <w:tcPr>
            <w:tcW w:w="5438" w:type="dxa"/>
          </w:tcPr>
          <w:p w14:paraId="41905B55"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 (hemije za upotrebu u domaćinstvu)</w:t>
            </w:r>
          </w:p>
        </w:tc>
      </w:tr>
      <w:tr w:rsidR="008A6807" w:rsidRPr="00AB15C7" w14:paraId="44FA9575" w14:textId="77777777" w:rsidTr="00DD3F74">
        <w:trPr>
          <w:trHeight w:val="173"/>
        </w:trPr>
        <w:tc>
          <w:tcPr>
            <w:tcW w:w="630" w:type="dxa"/>
          </w:tcPr>
          <w:p w14:paraId="3177FE71"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48.</w:t>
            </w:r>
          </w:p>
        </w:tc>
        <w:tc>
          <w:tcPr>
            <w:tcW w:w="3600" w:type="dxa"/>
          </w:tcPr>
          <w:p w14:paraId="6368F7E3"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Vodovod i kanalizacija doo, Herceg Novi</w:t>
            </w:r>
          </w:p>
        </w:tc>
        <w:tc>
          <w:tcPr>
            <w:tcW w:w="5438" w:type="dxa"/>
          </w:tcPr>
          <w:p w14:paraId="4CFA9A34"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 xml:space="preserve">Dezinfekcija vode </w:t>
            </w:r>
          </w:p>
        </w:tc>
      </w:tr>
      <w:tr w:rsidR="008A6807" w:rsidRPr="00AB15C7" w14:paraId="0FC04D19" w14:textId="77777777" w:rsidTr="00DD3F74">
        <w:trPr>
          <w:trHeight w:val="173"/>
        </w:trPr>
        <w:tc>
          <w:tcPr>
            <w:tcW w:w="630" w:type="dxa"/>
          </w:tcPr>
          <w:p w14:paraId="5C4477CD"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49.</w:t>
            </w:r>
          </w:p>
        </w:tc>
        <w:tc>
          <w:tcPr>
            <w:tcW w:w="3600" w:type="dxa"/>
          </w:tcPr>
          <w:p w14:paraId="49B4EC8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Fluidra Montenegro doo, Podgorica</w:t>
            </w:r>
          </w:p>
        </w:tc>
        <w:tc>
          <w:tcPr>
            <w:tcW w:w="5438" w:type="dxa"/>
          </w:tcPr>
          <w:p w14:paraId="3CE3F1C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Dezinfekcija i tretman vode u bazenima</w:t>
            </w:r>
          </w:p>
        </w:tc>
      </w:tr>
      <w:tr w:rsidR="008A6807" w:rsidRPr="00AB15C7" w14:paraId="2CA91578" w14:textId="77777777" w:rsidTr="00DD3F74">
        <w:trPr>
          <w:trHeight w:val="173"/>
        </w:trPr>
        <w:tc>
          <w:tcPr>
            <w:tcW w:w="630" w:type="dxa"/>
          </w:tcPr>
          <w:p w14:paraId="5F5A62B7"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50.</w:t>
            </w:r>
          </w:p>
        </w:tc>
        <w:tc>
          <w:tcPr>
            <w:tcW w:w="3600" w:type="dxa"/>
          </w:tcPr>
          <w:p w14:paraId="2989EDE2"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V.U.Veterinum, Ulcinj</w:t>
            </w:r>
          </w:p>
        </w:tc>
        <w:tc>
          <w:tcPr>
            <w:tcW w:w="5438" w:type="dxa"/>
          </w:tcPr>
          <w:p w14:paraId="2B77C40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Insekticidni tretman u javnoj higijeni</w:t>
            </w:r>
          </w:p>
        </w:tc>
      </w:tr>
      <w:tr w:rsidR="008A6807" w:rsidRPr="00AB15C7" w14:paraId="28D26C36" w14:textId="77777777" w:rsidTr="00DD3F74">
        <w:trPr>
          <w:trHeight w:val="173"/>
        </w:trPr>
        <w:tc>
          <w:tcPr>
            <w:tcW w:w="630" w:type="dxa"/>
          </w:tcPr>
          <w:p w14:paraId="6DA961E6"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51.</w:t>
            </w:r>
          </w:p>
        </w:tc>
        <w:tc>
          <w:tcPr>
            <w:tcW w:w="3600" w:type="dxa"/>
          </w:tcPr>
          <w:p w14:paraId="161DB56F"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Hemomont doo, Podgorica</w:t>
            </w:r>
          </w:p>
        </w:tc>
        <w:tc>
          <w:tcPr>
            <w:tcW w:w="5438" w:type="dxa"/>
          </w:tcPr>
          <w:p w14:paraId="0CC626FD"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Upotreba za proizvodnju u farmaceutskoj industriji</w:t>
            </w:r>
          </w:p>
        </w:tc>
      </w:tr>
      <w:tr w:rsidR="008A6807" w:rsidRPr="00AB15C7" w14:paraId="4C1C1095" w14:textId="77777777" w:rsidTr="00DD3F74">
        <w:trPr>
          <w:trHeight w:val="173"/>
        </w:trPr>
        <w:tc>
          <w:tcPr>
            <w:tcW w:w="630" w:type="dxa"/>
          </w:tcPr>
          <w:p w14:paraId="2B8E2537"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52.</w:t>
            </w:r>
          </w:p>
        </w:tc>
        <w:tc>
          <w:tcPr>
            <w:tcW w:w="3600" w:type="dxa"/>
          </w:tcPr>
          <w:p w14:paraId="07368168"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D.O.O. Nall International, Podgorica</w:t>
            </w:r>
          </w:p>
        </w:tc>
        <w:tc>
          <w:tcPr>
            <w:tcW w:w="5438" w:type="dxa"/>
          </w:tcPr>
          <w:p w14:paraId="510F1EC3"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 (hemije za upotrebu u domaćinstvu)</w:t>
            </w:r>
          </w:p>
        </w:tc>
      </w:tr>
      <w:tr w:rsidR="008A6807" w:rsidRPr="00AB15C7" w14:paraId="0364B577" w14:textId="77777777" w:rsidTr="00DD3F74">
        <w:trPr>
          <w:trHeight w:val="173"/>
        </w:trPr>
        <w:tc>
          <w:tcPr>
            <w:tcW w:w="630" w:type="dxa"/>
          </w:tcPr>
          <w:p w14:paraId="6BB4F3A0"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53.</w:t>
            </w:r>
          </w:p>
        </w:tc>
        <w:tc>
          <w:tcPr>
            <w:tcW w:w="3600" w:type="dxa"/>
          </w:tcPr>
          <w:p w14:paraId="17F3369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Expo Commerce doo,  Kotor</w:t>
            </w:r>
          </w:p>
        </w:tc>
        <w:tc>
          <w:tcPr>
            <w:tcW w:w="5438" w:type="dxa"/>
          </w:tcPr>
          <w:p w14:paraId="6882F7A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Dalja prodaja (hemije za upotrebu u domaćinstvu)</w:t>
            </w:r>
          </w:p>
        </w:tc>
      </w:tr>
      <w:tr w:rsidR="008A6807" w:rsidRPr="00AB15C7" w14:paraId="47B5535C" w14:textId="77777777" w:rsidTr="00DD3F74">
        <w:trPr>
          <w:trHeight w:val="173"/>
        </w:trPr>
        <w:tc>
          <w:tcPr>
            <w:tcW w:w="630" w:type="dxa"/>
          </w:tcPr>
          <w:p w14:paraId="4992553F"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54.</w:t>
            </w:r>
          </w:p>
        </w:tc>
        <w:tc>
          <w:tcPr>
            <w:tcW w:w="3600" w:type="dxa"/>
          </w:tcPr>
          <w:p w14:paraId="0DDD2283"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Darma doo, Podgorica</w:t>
            </w:r>
          </w:p>
        </w:tc>
        <w:tc>
          <w:tcPr>
            <w:tcW w:w="5438" w:type="dxa"/>
          </w:tcPr>
          <w:p w14:paraId="7781C025"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Proizvodnja sirila</w:t>
            </w:r>
          </w:p>
        </w:tc>
      </w:tr>
      <w:tr w:rsidR="008A6807" w:rsidRPr="00AB15C7" w14:paraId="0D35BAD2" w14:textId="77777777" w:rsidTr="00DD3F74">
        <w:trPr>
          <w:trHeight w:val="173"/>
        </w:trPr>
        <w:tc>
          <w:tcPr>
            <w:tcW w:w="630" w:type="dxa"/>
          </w:tcPr>
          <w:p w14:paraId="124BDD72"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lastRenderedPageBreak/>
              <w:t>55.</w:t>
            </w:r>
          </w:p>
        </w:tc>
        <w:tc>
          <w:tcPr>
            <w:tcW w:w="3600" w:type="dxa"/>
          </w:tcPr>
          <w:p w14:paraId="037B1CE9"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Kombinat Aluminijum Podgorica AD-u stečaju</w:t>
            </w:r>
          </w:p>
        </w:tc>
        <w:tc>
          <w:tcPr>
            <w:tcW w:w="5438" w:type="dxa"/>
          </w:tcPr>
          <w:p w14:paraId="2510B67E" w14:textId="77777777" w:rsidR="008A6807" w:rsidRPr="00AB15C7" w:rsidRDefault="008A6807" w:rsidP="005921EF">
            <w:pPr>
              <w:spacing w:after="0"/>
              <w:jc w:val="both"/>
              <w:rPr>
                <w:rFonts w:ascii="Cambria" w:hAnsi="Cambria"/>
                <w:noProof/>
                <w:lang w:val="sr-Latn-ME"/>
              </w:rPr>
            </w:pPr>
            <w:r w:rsidRPr="00AB15C7">
              <w:rPr>
                <w:rFonts w:ascii="Cambria" w:hAnsi="Cambria"/>
                <w:noProof/>
                <w:lang w:val="sr-Latn-ME"/>
              </w:rPr>
              <w:t>Industrijska upotreba u proizvodnji aluminijuma</w:t>
            </w:r>
          </w:p>
        </w:tc>
      </w:tr>
    </w:tbl>
    <w:p w14:paraId="614CC2DC" w14:textId="77777777" w:rsidR="009F5CF6" w:rsidRPr="00AB15C7" w:rsidRDefault="009F5CF6" w:rsidP="005921EF">
      <w:pPr>
        <w:jc w:val="center"/>
        <w:rPr>
          <w:rFonts w:ascii="Cambria" w:hAnsi="Cambria"/>
          <w:b/>
          <w:noProof/>
          <w:lang w:val="sr-Latn-ME"/>
        </w:rPr>
      </w:pPr>
      <w:r w:rsidRPr="00AB15C7">
        <w:rPr>
          <w:rFonts w:ascii="Cambria" w:hAnsi="Cambria"/>
          <w:i/>
          <w:noProof/>
          <w:lang w:val="sr-Latn-ME"/>
        </w:rPr>
        <w:t>Izvor: Agencija za zaštitu životne sredine</w:t>
      </w:r>
    </w:p>
    <w:p w14:paraId="58DC5114" w14:textId="58922631" w:rsidR="000A4052" w:rsidRPr="00AB15C7" w:rsidRDefault="00E931C5" w:rsidP="005921EF">
      <w:pPr>
        <w:jc w:val="both"/>
        <w:rPr>
          <w:rFonts w:ascii="Cambria" w:hAnsi="Cambria"/>
          <w:noProof/>
        </w:rPr>
      </w:pPr>
      <w:r w:rsidRPr="00AB15C7">
        <w:rPr>
          <w:rFonts w:ascii="Cambria" w:hAnsi="Cambria"/>
          <w:noProof/>
        </w:rPr>
        <w:t xml:space="preserve">Prema podacima iz registra hemikalija, </w:t>
      </w:r>
      <w:r w:rsidR="001658E3" w:rsidRPr="00AB15C7">
        <w:rPr>
          <w:rFonts w:ascii="Cambria" w:hAnsi="Cambria"/>
          <w:noProof/>
        </w:rPr>
        <w:t>u</w:t>
      </w:r>
      <w:r w:rsidR="00062970" w:rsidRPr="00AB15C7">
        <w:rPr>
          <w:rFonts w:ascii="Cambria" w:hAnsi="Cambria"/>
          <w:noProof/>
        </w:rPr>
        <w:t xml:space="preserve">kupna količina hemikalija stavljenih u promet u 2016. iznosi </w:t>
      </w:r>
      <w:r w:rsidR="00DB0676" w:rsidRPr="00AB15C7">
        <w:rPr>
          <w:rFonts w:ascii="Cambria" w:hAnsi="Cambria"/>
          <w:noProof/>
        </w:rPr>
        <w:t>78 2</w:t>
      </w:r>
      <w:r w:rsidR="006B1B06" w:rsidRPr="00AB15C7">
        <w:rPr>
          <w:rFonts w:ascii="Cambria" w:hAnsi="Cambria"/>
          <w:noProof/>
        </w:rPr>
        <w:t>43</w:t>
      </w:r>
      <w:r w:rsidR="00DB0676" w:rsidRPr="00AB15C7">
        <w:rPr>
          <w:rFonts w:ascii="Cambria" w:hAnsi="Cambria"/>
          <w:noProof/>
        </w:rPr>
        <w:t xml:space="preserve"> tona</w:t>
      </w:r>
      <w:r w:rsidR="00062970" w:rsidRPr="00AB15C7">
        <w:rPr>
          <w:rFonts w:ascii="Cambria" w:hAnsi="Cambria"/>
          <w:noProof/>
        </w:rPr>
        <w:t xml:space="preserve"> od toga najveći količinski </w:t>
      </w:r>
      <w:r w:rsidR="00C65B0A" w:rsidRPr="00AB15C7">
        <w:rPr>
          <w:rFonts w:ascii="Cambria" w:hAnsi="Cambria"/>
          <w:noProof/>
        </w:rPr>
        <w:t>ud</w:t>
      </w:r>
      <w:r w:rsidR="00C65B0A">
        <w:rPr>
          <w:rFonts w:ascii="Cambria" w:hAnsi="Cambria"/>
          <w:noProof/>
        </w:rPr>
        <w:t>i</w:t>
      </w:r>
      <w:r w:rsidR="00C65B0A" w:rsidRPr="00AB15C7">
        <w:rPr>
          <w:rFonts w:ascii="Cambria" w:hAnsi="Cambria"/>
          <w:noProof/>
        </w:rPr>
        <w:t xml:space="preserve">o </w:t>
      </w:r>
      <w:r w:rsidR="00DB0676" w:rsidRPr="00AB15C7">
        <w:rPr>
          <w:rFonts w:ascii="Cambria" w:hAnsi="Cambria"/>
          <w:noProof/>
        </w:rPr>
        <w:t xml:space="preserve">(91%, 71 091 tona) </w:t>
      </w:r>
      <w:r w:rsidR="000A4052" w:rsidRPr="00AB15C7">
        <w:rPr>
          <w:rFonts w:ascii="Cambria" w:hAnsi="Cambria"/>
          <w:noProof/>
        </w:rPr>
        <w:t xml:space="preserve"> </w:t>
      </w:r>
      <w:r w:rsidR="00062970" w:rsidRPr="00AB15C7">
        <w:rPr>
          <w:rFonts w:ascii="Cambria" w:hAnsi="Cambria"/>
          <w:noProof/>
        </w:rPr>
        <w:t>čin</w:t>
      </w:r>
      <w:r w:rsidR="000A4052" w:rsidRPr="00AB15C7">
        <w:rPr>
          <w:rFonts w:ascii="Cambria" w:hAnsi="Cambria"/>
          <w:noProof/>
        </w:rPr>
        <w:t xml:space="preserve">i </w:t>
      </w:r>
      <w:r w:rsidR="00DB0676" w:rsidRPr="00AB15C7">
        <w:rPr>
          <w:rFonts w:ascii="Cambria" w:hAnsi="Cambria"/>
          <w:noProof/>
        </w:rPr>
        <w:t>Kalcinisana glinica (</w:t>
      </w:r>
      <w:r w:rsidR="000A4052" w:rsidRPr="00AB15C7">
        <w:rPr>
          <w:rFonts w:ascii="Cambria" w:hAnsi="Cambria"/>
          <w:noProof/>
        </w:rPr>
        <w:t>Al</w:t>
      </w:r>
      <w:r w:rsidR="00DB0676" w:rsidRPr="00AB15C7">
        <w:rPr>
          <w:rFonts w:ascii="Cambria" w:hAnsi="Cambria"/>
          <w:noProof/>
          <w:vertAlign w:val="subscript"/>
        </w:rPr>
        <w:t>2</w:t>
      </w:r>
      <w:r w:rsidR="00DB0676" w:rsidRPr="00AB15C7">
        <w:rPr>
          <w:rFonts w:ascii="Cambria" w:hAnsi="Cambria"/>
          <w:noProof/>
        </w:rPr>
        <w:t>O</w:t>
      </w:r>
      <w:r w:rsidR="00DB0676" w:rsidRPr="00AB15C7">
        <w:rPr>
          <w:rFonts w:ascii="Cambria" w:hAnsi="Cambria"/>
          <w:noProof/>
          <w:vertAlign w:val="subscript"/>
        </w:rPr>
        <w:t>3</w:t>
      </w:r>
      <w:r w:rsidR="00DB0676" w:rsidRPr="00AB15C7">
        <w:rPr>
          <w:rFonts w:ascii="Cambria" w:hAnsi="Cambria"/>
          <w:noProof/>
        </w:rPr>
        <w:t>)</w:t>
      </w:r>
      <w:r w:rsidR="000A4052" w:rsidRPr="00AB15C7">
        <w:rPr>
          <w:rFonts w:ascii="Cambria" w:hAnsi="Cambria"/>
          <w:noProof/>
        </w:rPr>
        <w:t xml:space="preserve"> </w:t>
      </w:r>
      <w:r w:rsidR="00062970" w:rsidRPr="00AB15C7">
        <w:rPr>
          <w:rFonts w:ascii="Cambria" w:hAnsi="Cambria"/>
          <w:noProof/>
        </w:rPr>
        <w:t xml:space="preserve"> </w:t>
      </w:r>
      <w:r w:rsidR="000A4052" w:rsidRPr="00AB15C7">
        <w:rPr>
          <w:rFonts w:ascii="Cambria" w:hAnsi="Cambria"/>
          <w:noProof/>
        </w:rPr>
        <w:t xml:space="preserve">koja se uvozi radi </w:t>
      </w:r>
      <w:r w:rsidR="00AE1139" w:rsidRPr="00AB15C7">
        <w:rPr>
          <w:rFonts w:ascii="Cambria" w:hAnsi="Cambria"/>
          <w:noProof/>
        </w:rPr>
        <w:t xml:space="preserve">korišćenja za </w:t>
      </w:r>
      <w:r w:rsidR="000A4052" w:rsidRPr="00AB15C7">
        <w:rPr>
          <w:rFonts w:ascii="Cambria" w:hAnsi="Cambria"/>
          <w:noProof/>
        </w:rPr>
        <w:t>dobijanj</w:t>
      </w:r>
      <w:r w:rsidR="00AE1139" w:rsidRPr="00AB15C7">
        <w:rPr>
          <w:rFonts w:ascii="Cambria" w:hAnsi="Cambria"/>
          <w:noProof/>
        </w:rPr>
        <w:t>e</w:t>
      </w:r>
      <w:r w:rsidR="000A4052" w:rsidRPr="00AB15C7">
        <w:rPr>
          <w:rFonts w:ascii="Cambria" w:hAnsi="Cambria"/>
          <w:noProof/>
        </w:rPr>
        <w:t xml:space="preserve"> aluminijuma elektrolizom rastopljene glinice u kriolitu u Kombinatu Aluminijum Podgorica ad-u stečaju. </w:t>
      </w:r>
      <w:r w:rsidR="0030322D" w:rsidRPr="00AB15C7">
        <w:rPr>
          <w:rFonts w:ascii="Cambria" w:hAnsi="Cambria"/>
          <w:noProof/>
        </w:rPr>
        <w:t xml:space="preserve">Takođe, ovaj kombinat je u 2016. </w:t>
      </w:r>
      <w:r w:rsidR="000A3368" w:rsidRPr="00AB15C7">
        <w:rPr>
          <w:rFonts w:ascii="Cambria" w:hAnsi="Cambria"/>
          <w:noProof/>
        </w:rPr>
        <w:t>g</w:t>
      </w:r>
      <w:r w:rsidR="0030322D" w:rsidRPr="00AB15C7">
        <w:rPr>
          <w:rFonts w:ascii="Cambria" w:hAnsi="Cambria"/>
          <w:noProof/>
        </w:rPr>
        <w:t>odini</w:t>
      </w:r>
      <w:r w:rsidR="005A48BB" w:rsidRPr="00AB15C7">
        <w:rPr>
          <w:rFonts w:ascii="Cambria" w:hAnsi="Cambria"/>
          <w:noProof/>
        </w:rPr>
        <w:t>,</w:t>
      </w:r>
      <w:r w:rsidR="0030322D" w:rsidRPr="00AB15C7">
        <w:rPr>
          <w:rFonts w:ascii="Cambria" w:hAnsi="Cambria"/>
          <w:noProof/>
        </w:rPr>
        <w:t xml:space="preserve"> pored glinice nabavljao </w:t>
      </w:r>
      <w:r w:rsidR="003E3419" w:rsidRPr="00AB15C7">
        <w:rPr>
          <w:rFonts w:ascii="Cambria" w:hAnsi="Cambria"/>
          <w:noProof/>
        </w:rPr>
        <w:t>i</w:t>
      </w:r>
      <w:r w:rsidR="0030322D" w:rsidRPr="00AB15C7">
        <w:rPr>
          <w:rFonts w:ascii="Cambria" w:hAnsi="Cambria"/>
          <w:noProof/>
        </w:rPr>
        <w:t xml:space="preserve"> </w:t>
      </w:r>
      <w:r w:rsidR="003E3419" w:rsidRPr="00AB15C7">
        <w:rPr>
          <w:rFonts w:ascii="Cambria" w:hAnsi="Cambria"/>
          <w:noProof/>
        </w:rPr>
        <w:t>preko</w:t>
      </w:r>
      <w:r w:rsidR="0030322D" w:rsidRPr="00AB15C7">
        <w:rPr>
          <w:rFonts w:ascii="Cambria" w:hAnsi="Cambria"/>
          <w:noProof/>
        </w:rPr>
        <w:t xml:space="preserve"> 4</w:t>
      </w:r>
      <w:r w:rsidR="003E3419" w:rsidRPr="00AB15C7">
        <w:rPr>
          <w:rFonts w:ascii="Cambria" w:hAnsi="Cambria"/>
          <w:noProof/>
        </w:rPr>
        <w:t xml:space="preserve"> hiljade</w:t>
      </w:r>
      <w:r w:rsidR="0030322D" w:rsidRPr="00AB15C7">
        <w:rPr>
          <w:rFonts w:ascii="Cambria" w:hAnsi="Cambria"/>
          <w:noProof/>
        </w:rPr>
        <w:t xml:space="preserve"> ton</w:t>
      </w:r>
      <w:r w:rsidR="003E3419" w:rsidRPr="00AB15C7">
        <w:rPr>
          <w:rFonts w:ascii="Cambria" w:hAnsi="Cambria"/>
          <w:noProof/>
        </w:rPr>
        <w:t xml:space="preserve">a </w:t>
      </w:r>
      <w:r w:rsidR="0030322D" w:rsidRPr="00AB15C7">
        <w:rPr>
          <w:rFonts w:ascii="Cambria" w:hAnsi="Cambria"/>
          <w:noProof/>
        </w:rPr>
        <w:t xml:space="preserve">drugih hemikalija </w:t>
      </w:r>
      <w:r w:rsidR="000A3368" w:rsidRPr="00AB15C7">
        <w:rPr>
          <w:rFonts w:ascii="Cambria" w:hAnsi="Cambria"/>
          <w:noProof/>
        </w:rPr>
        <w:t xml:space="preserve">koje koristi u proizvodnji, </w:t>
      </w:r>
      <w:r w:rsidR="000A3368" w:rsidRPr="00AB15C7">
        <w:rPr>
          <w:rFonts w:ascii="Cambria" w:hAnsi="Cambria"/>
          <w:noProof/>
          <w:lang w:val="sr-Latn-RS"/>
        </w:rPr>
        <w:t>š</w:t>
      </w:r>
      <w:r w:rsidR="0030322D" w:rsidRPr="00AB15C7">
        <w:rPr>
          <w:rFonts w:ascii="Cambria" w:hAnsi="Cambria"/>
          <w:noProof/>
        </w:rPr>
        <w:t xml:space="preserve">to zajedno </w:t>
      </w:r>
      <w:r w:rsidR="000A3368" w:rsidRPr="00AB15C7">
        <w:rPr>
          <w:rFonts w:ascii="Cambria" w:hAnsi="Cambria"/>
          <w:noProof/>
        </w:rPr>
        <w:t>č</w:t>
      </w:r>
      <w:r w:rsidR="0030322D" w:rsidRPr="00AB15C7">
        <w:rPr>
          <w:rFonts w:ascii="Cambria" w:hAnsi="Cambria"/>
          <w:noProof/>
        </w:rPr>
        <w:t xml:space="preserve">ini </w:t>
      </w:r>
      <w:r w:rsidR="005A48BB" w:rsidRPr="00AB15C7">
        <w:rPr>
          <w:rFonts w:ascii="Cambria" w:hAnsi="Cambria"/>
          <w:noProof/>
        </w:rPr>
        <w:t xml:space="preserve">količinski udio od </w:t>
      </w:r>
      <w:r w:rsidR="003E3419" w:rsidRPr="00AB15C7">
        <w:rPr>
          <w:rFonts w:ascii="Cambria" w:hAnsi="Cambria"/>
          <w:noProof/>
        </w:rPr>
        <w:t xml:space="preserve">preko </w:t>
      </w:r>
      <w:r w:rsidR="0030322D" w:rsidRPr="00AB15C7">
        <w:rPr>
          <w:rFonts w:ascii="Cambria" w:hAnsi="Cambria"/>
          <w:noProof/>
        </w:rPr>
        <w:t>96%</w:t>
      </w:r>
      <w:r w:rsidR="005A48BB" w:rsidRPr="00AB15C7">
        <w:rPr>
          <w:rFonts w:ascii="Cambria" w:hAnsi="Cambria"/>
          <w:noProof/>
        </w:rPr>
        <w:t xml:space="preserve"> </w:t>
      </w:r>
      <w:r w:rsidR="000A3368" w:rsidRPr="00AB15C7">
        <w:rPr>
          <w:rFonts w:ascii="Cambria" w:hAnsi="Cambria"/>
          <w:noProof/>
        </w:rPr>
        <w:t>od</w:t>
      </w:r>
      <w:r w:rsidR="005A48BB" w:rsidRPr="00AB15C7">
        <w:rPr>
          <w:rFonts w:ascii="Cambria" w:hAnsi="Cambria"/>
          <w:noProof/>
        </w:rPr>
        <w:t xml:space="preserve"> ukup</w:t>
      </w:r>
      <w:r w:rsidR="000A3368" w:rsidRPr="00AB15C7">
        <w:rPr>
          <w:rFonts w:ascii="Cambria" w:hAnsi="Cambria"/>
          <w:noProof/>
        </w:rPr>
        <w:t>ne</w:t>
      </w:r>
      <w:r w:rsidR="005A48BB" w:rsidRPr="00AB15C7">
        <w:rPr>
          <w:rFonts w:ascii="Cambria" w:hAnsi="Cambria"/>
          <w:noProof/>
        </w:rPr>
        <w:t xml:space="preserve"> količin</w:t>
      </w:r>
      <w:r w:rsidR="000A3368" w:rsidRPr="00AB15C7">
        <w:rPr>
          <w:rFonts w:ascii="Cambria" w:hAnsi="Cambria"/>
          <w:noProof/>
        </w:rPr>
        <w:t>e</w:t>
      </w:r>
      <w:r w:rsidR="005A48BB" w:rsidRPr="00AB15C7">
        <w:rPr>
          <w:rFonts w:ascii="Cambria" w:hAnsi="Cambria"/>
          <w:noProof/>
        </w:rPr>
        <w:t xml:space="preserve"> hemikalija upisanih u registar hemikalija za 2016. </w:t>
      </w:r>
      <w:r w:rsidR="00DB0676" w:rsidRPr="00AB15C7">
        <w:rPr>
          <w:rFonts w:ascii="Cambria" w:hAnsi="Cambria"/>
          <w:noProof/>
        </w:rPr>
        <w:t>Od preostalih hemikalija koje su stavljene na tržište Crne Gore, najveć</w:t>
      </w:r>
      <w:r w:rsidR="007A62A4" w:rsidRPr="00AB15C7">
        <w:rPr>
          <w:rFonts w:ascii="Cambria" w:hAnsi="Cambria"/>
          <w:noProof/>
        </w:rPr>
        <w:t>a</w:t>
      </w:r>
      <w:r w:rsidR="00DB0676" w:rsidRPr="00AB15C7">
        <w:rPr>
          <w:rFonts w:ascii="Cambria" w:hAnsi="Cambria"/>
          <w:noProof/>
        </w:rPr>
        <w:t xml:space="preserve">  </w:t>
      </w:r>
      <w:r w:rsidR="007A62A4" w:rsidRPr="00AB15C7">
        <w:rPr>
          <w:rFonts w:ascii="Cambria" w:hAnsi="Cambria"/>
          <w:noProof/>
        </w:rPr>
        <w:t>količina</w:t>
      </w:r>
      <w:r w:rsidR="00312BA3" w:rsidRPr="00AB15C7">
        <w:rPr>
          <w:rFonts w:ascii="Cambria" w:hAnsi="Cambria"/>
          <w:noProof/>
        </w:rPr>
        <w:t xml:space="preserve"> </w:t>
      </w:r>
      <w:r w:rsidR="007A62A4" w:rsidRPr="00AB15C7">
        <w:rPr>
          <w:rFonts w:ascii="Cambria" w:hAnsi="Cambria"/>
          <w:noProof/>
        </w:rPr>
        <w:t>obuhvata</w:t>
      </w:r>
      <w:r w:rsidR="00DB0676" w:rsidRPr="00AB15C7">
        <w:rPr>
          <w:rFonts w:ascii="Cambria" w:hAnsi="Cambria"/>
          <w:noProof/>
        </w:rPr>
        <w:t xml:space="preserve"> </w:t>
      </w:r>
      <w:r w:rsidR="007A62A4" w:rsidRPr="00AB15C7">
        <w:rPr>
          <w:rFonts w:ascii="Cambria" w:hAnsi="Cambria"/>
          <w:noProof/>
        </w:rPr>
        <w:t>različita sredstva za čišćenje i održavanje domaćinst</w:t>
      </w:r>
      <w:r w:rsidR="000B69B4" w:rsidRPr="00AB15C7">
        <w:rPr>
          <w:rFonts w:ascii="Cambria" w:hAnsi="Cambria"/>
          <w:noProof/>
        </w:rPr>
        <w:t>v</w:t>
      </w:r>
      <w:r w:rsidR="007A62A4" w:rsidRPr="00AB15C7">
        <w:rPr>
          <w:rFonts w:ascii="Cambria" w:hAnsi="Cambria"/>
          <w:noProof/>
        </w:rPr>
        <w:t>a ili pak sirovine za njihovu proizvodnju</w:t>
      </w:r>
      <w:r w:rsidR="00160DFB" w:rsidRPr="00AB15C7">
        <w:rPr>
          <w:rFonts w:ascii="Cambria" w:hAnsi="Cambria"/>
          <w:noProof/>
        </w:rPr>
        <w:t>.</w:t>
      </w:r>
      <w:r w:rsidR="007A62A4" w:rsidRPr="00AB15C7">
        <w:rPr>
          <w:rFonts w:ascii="Cambria" w:hAnsi="Cambria"/>
          <w:noProof/>
        </w:rPr>
        <w:t xml:space="preserve"> </w:t>
      </w:r>
      <w:r w:rsidR="00106914" w:rsidRPr="00AB15C7">
        <w:rPr>
          <w:rFonts w:ascii="Cambria" w:hAnsi="Cambria"/>
          <w:noProof/>
        </w:rPr>
        <w:t xml:space="preserve">Opis i pripadajuće količine najzastupljenijih hemikalija za tržištu Crne Gore prema tarifnim brojevima date su u Tabeli </w:t>
      </w:r>
      <w:r w:rsidR="003A2D38" w:rsidRPr="00AB15C7">
        <w:rPr>
          <w:rFonts w:ascii="Cambria" w:hAnsi="Cambria"/>
          <w:noProof/>
        </w:rPr>
        <w:t>4</w:t>
      </w:r>
      <w:r w:rsidR="00106914" w:rsidRPr="00AB15C7">
        <w:rPr>
          <w:rFonts w:ascii="Cambria" w:hAnsi="Cambria"/>
          <w:noProof/>
        </w:rPr>
        <w:t>.</w:t>
      </w:r>
    </w:p>
    <w:p w14:paraId="171F6055" w14:textId="77777777" w:rsidR="00106914" w:rsidRPr="00AB15C7" w:rsidRDefault="00106914" w:rsidP="006F4EFD">
      <w:pPr>
        <w:spacing w:after="120"/>
        <w:jc w:val="center"/>
        <w:rPr>
          <w:rFonts w:ascii="Cambria" w:hAnsi="Cambria"/>
          <w:noProof/>
        </w:rPr>
      </w:pPr>
      <w:r w:rsidRPr="006F4EFD">
        <w:rPr>
          <w:rFonts w:ascii="Cambria" w:hAnsi="Cambria"/>
          <w:i/>
          <w:noProof/>
        </w:rPr>
        <w:t xml:space="preserve">Tabela </w:t>
      </w:r>
      <w:r w:rsidR="003A2D38" w:rsidRPr="006F4EFD">
        <w:rPr>
          <w:rFonts w:ascii="Cambria" w:hAnsi="Cambria"/>
          <w:i/>
          <w:noProof/>
        </w:rPr>
        <w:t>4</w:t>
      </w:r>
      <w:r w:rsidRPr="006F4EFD">
        <w:rPr>
          <w:rFonts w:ascii="Cambria" w:hAnsi="Cambria"/>
          <w:i/>
          <w:noProof/>
        </w:rPr>
        <w:t>.</w:t>
      </w:r>
      <w:r w:rsidRPr="00AB15C7">
        <w:rPr>
          <w:rFonts w:ascii="Cambria" w:hAnsi="Cambria"/>
          <w:noProof/>
        </w:rPr>
        <w:t xml:space="preserve"> </w:t>
      </w:r>
      <w:r w:rsidR="00FD5DE5" w:rsidRPr="00AB15C7">
        <w:rPr>
          <w:rFonts w:ascii="Cambria" w:hAnsi="Cambria"/>
          <w:noProof/>
        </w:rPr>
        <w:t>Podaci o</w:t>
      </w:r>
      <w:r w:rsidRPr="00AB15C7">
        <w:rPr>
          <w:rFonts w:ascii="Cambria" w:hAnsi="Cambria"/>
          <w:noProof/>
        </w:rPr>
        <w:t xml:space="preserve"> najzastupljeniji</w:t>
      </w:r>
      <w:r w:rsidR="00FD5DE5" w:rsidRPr="00AB15C7">
        <w:rPr>
          <w:rFonts w:ascii="Cambria" w:hAnsi="Cambria"/>
          <w:noProof/>
        </w:rPr>
        <w:t>m</w:t>
      </w:r>
      <w:r w:rsidRPr="00AB15C7">
        <w:rPr>
          <w:rFonts w:ascii="Cambria" w:hAnsi="Cambria"/>
          <w:noProof/>
        </w:rPr>
        <w:t xml:space="preserve"> hemikalija</w:t>
      </w:r>
      <w:r w:rsidR="00FD5DE5" w:rsidRPr="00AB15C7">
        <w:rPr>
          <w:rFonts w:ascii="Cambria" w:hAnsi="Cambria"/>
          <w:noProof/>
        </w:rPr>
        <w:t>ma</w:t>
      </w:r>
      <w:r w:rsidRPr="00AB15C7">
        <w:rPr>
          <w:rFonts w:ascii="Cambria" w:hAnsi="Cambria"/>
          <w:noProof/>
        </w:rPr>
        <w:t xml:space="preserve"> za tržištu Crne Gore </w:t>
      </w:r>
      <w:r w:rsidR="00FD5DE5" w:rsidRPr="00AB15C7">
        <w:rPr>
          <w:rFonts w:ascii="Cambria" w:hAnsi="Cambria"/>
          <w:noProof/>
        </w:rPr>
        <w:t>na osnovu upisa u Registar hemikalija za 2016. godinu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1570"/>
        <w:gridCol w:w="1299"/>
        <w:gridCol w:w="1088"/>
      </w:tblGrid>
      <w:tr w:rsidR="00FD4FE3" w:rsidRPr="00AB15C7" w14:paraId="39F52941" w14:textId="77777777" w:rsidTr="0066183A">
        <w:trPr>
          <w:jc w:val="center"/>
        </w:trPr>
        <w:tc>
          <w:tcPr>
            <w:tcW w:w="5559" w:type="dxa"/>
            <w:shd w:val="clear" w:color="auto" w:fill="D9D9D9"/>
          </w:tcPr>
          <w:p w14:paraId="29BF5E38" w14:textId="77777777" w:rsidR="00FD4FE3" w:rsidRPr="00AB15C7" w:rsidRDefault="00FD4FE3" w:rsidP="005921EF">
            <w:pPr>
              <w:spacing w:after="0"/>
              <w:jc w:val="both"/>
              <w:rPr>
                <w:rFonts w:ascii="Cambria" w:hAnsi="Cambria"/>
                <w:b/>
                <w:bCs/>
                <w:noProof/>
              </w:rPr>
            </w:pPr>
            <w:r w:rsidRPr="00AB15C7">
              <w:rPr>
                <w:rFonts w:ascii="Cambria" w:hAnsi="Cambria"/>
                <w:b/>
                <w:bCs/>
                <w:noProof/>
              </w:rPr>
              <w:t xml:space="preserve">Opis </w:t>
            </w:r>
          </w:p>
        </w:tc>
        <w:tc>
          <w:tcPr>
            <w:tcW w:w="1570" w:type="dxa"/>
            <w:shd w:val="clear" w:color="auto" w:fill="D9D9D9"/>
          </w:tcPr>
          <w:p w14:paraId="2D8E4CCE" w14:textId="77777777" w:rsidR="00FD4FE3" w:rsidRPr="00AB15C7" w:rsidRDefault="00FD4FE3" w:rsidP="005921EF">
            <w:pPr>
              <w:spacing w:after="0"/>
              <w:jc w:val="both"/>
              <w:rPr>
                <w:rFonts w:ascii="Cambria" w:hAnsi="Cambria"/>
                <w:b/>
                <w:bCs/>
                <w:noProof/>
              </w:rPr>
            </w:pPr>
            <w:r w:rsidRPr="00AB15C7">
              <w:rPr>
                <w:rFonts w:ascii="Cambria" w:hAnsi="Cambria"/>
                <w:b/>
                <w:bCs/>
                <w:noProof/>
              </w:rPr>
              <w:t xml:space="preserve">Tarifna oznaka </w:t>
            </w:r>
          </w:p>
        </w:tc>
        <w:tc>
          <w:tcPr>
            <w:tcW w:w="1280" w:type="dxa"/>
            <w:shd w:val="clear" w:color="auto" w:fill="D9D9D9"/>
          </w:tcPr>
          <w:p w14:paraId="47255918" w14:textId="77777777" w:rsidR="00FD4FE3" w:rsidRPr="00AB15C7" w:rsidRDefault="00FD4FE3" w:rsidP="005921EF">
            <w:pPr>
              <w:spacing w:after="0"/>
              <w:jc w:val="both"/>
              <w:rPr>
                <w:rFonts w:ascii="Cambria" w:hAnsi="Cambria"/>
                <w:b/>
                <w:bCs/>
                <w:noProof/>
              </w:rPr>
            </w:pPr>
            <w:r w:rsidRPr="00AB15C7">
              <w:rPr>
                <w:rFonts w:ascii="Cambria" w:hAnsi="Cambria"/>
                <w:b/>
                <w:bCs/>
                <w:noProof/>
              </w:rPr>
              <w:t>Broj hemikalija upisanih u Registar</w:t>
            </w:r>
          </w:p>
        </w:tc>
        <w:tc>
          <w:tcPr>
            <w:tcW w:w="1088" w:type="dxa"/>
            <w:shd w:val="clear" w:color="auto" w:fill="D9D9D9"/>
          </w:tcPr>
          <w:p w14:paraId="7ED7DAE3" w14:textId="77777777" w:rsidR="00FD4FE3" w:rsidRPr="00AB15C7" w:rsidRDefault="00FD4FE3" w:rsidP="005921EF">
            <w:pPr>
              <w:spacing w:after="0"/>
              <w:jc w:val="both"/>
              <w:rPr>
                <w:rFonts w:ascii="Cambria" w:hAnsi="Cambria"/>
                <w:b/>
                <w:bCs/>
                <w:noProof/>
              </w:rPr>
            </w:pPr>
            <w:r w:rsidRPr="00AB15C7">
              <w:rPr>
                <w:rFonts w:ascii="Cambria" w:hAnsi="Cambria"/>
                <w:b/>
                <w:bCs/>
                <w:noProof/>
              </w:rPr>
              <w:t>Ukupna količina (tona)</w:t>
            </w:r>
          </w:p>
        </w:tc>
      </w:tr>
      <w:tr w:rsidR="00FD4FE3" w:rsidRPr="00AB15C7" w14:paraId="0D3E5D10" w14:textId="77777777" w:rsidTr="0066183A">
        <w:trPr>
          <w:jc w:val="center"/>
        </w:trPr>
        <w:tc>
          <w:tcPr>
            <w:tcW w:w="5559" w:type="dxa"/>
            <w:shd w:val="clear" w:color="auto" w:fill="D9D9D9"/>
          </w:tcPr>
          <w:p w14:paraId="0D3C86F2" w14:textId="77777777" w:rsidR="00FD4FE3" w:rsidRPr="00AB15C7" w:rsidRDefault="00FD4FE3" w:rsidP="005921EF">
            <w:pPr>
              <w:spacing w:after="0"/>
              <w:jc w:val="both"/>
              <w:rPr>
                <w:rFonts w:ascii="Cambria" w:hAnsi="Cambria"/>
                <w:bCs/>
                <w:noProof/>
              </w:rPr>
            </w:pPr>
            <w:r w:rsidRPr="00AB15C7">
              <w:rPr>
                <w:rFonts w:ascii="Cambria" w:hAnsi="Cambria"/>
                <w:bCs/>
                <w:noProof/>
              </w:rPr>
              <w:t>Aluminijum oksid (glinica)</w:t>
            </w:r>
          </w:p>
        </w:tc>
        <w:tc>
          <w:tcPr>
            <w:tcW w:w="1570" w:type="dxa"/>
          </w:tcPr>
          <w:p w14:paraId="6611ADB4" w14:textId="77777777" w:rsidR="00FD4FE3" w:rsidRPr="00AB15C7" w:rsidRDefault="00FD4FE3" w:rsidP="005921EF">
            <w:pPr>
              <w:spacing w:after="0"/>
              <w:jc w:val="both"/>
              <w:rPr>
                <w:rFonts w:ascii="Cambria" w:hAnsi="Cambria"/>
                <w:bCs/>
                <w:noProof/>
              </w:rPr>
            </w:pPr>
            <w:r w:rsidRPr="00AB15C7">
              <w:rPr>
                <w:rFonts w:ascii="Cambria" w:hAnsi="Cambria"/>
                <w:bCs/>
                <w:noProof/>
              </w:rPr>
              <w:t>2818 20 00</w:t>
            </w:r>
          </w:p>
        </w:tc>
        <w:tc>
          <w:tcPr>
            <w:tcW w:w="1280" w:type="dxa"/>
            <w:shd w:val="clear" w:color="auto" w:fill="auto"/>
          </w:tcPr>
          <w:p w14:paraId="4F41D0A5" w14:textId="77777777" w:rsidR="00FD4FE3" w:rsidRPr="00AB15C7" w:rsidRDefault="00FD4FE3" w:rsidP="005921EF">
            <w:pPr>
              <w:spacing w:after="0"/>
              <w:jc w:val="both"/>
              <w:rPr>
                <w:rFonts w:ascii="Cambria" w:hAnsi="Cambria"/>
                <w:bCs/>
                <w:noProof/>
              </w:rPr>
            </w:pPr>
            <w:r w:rsidRPr="00AB15C7">
              <w:rPr>
                <w:rFonts w:ascii="Cambria" w:hAnsi="Cambria"/>
                <w:bCs/>
                <w:noProof/>
              </w:rPr>
              <w:t>1</w:t>
            </w:r>
          </w:p>
        </w:tc>
        <w:tc>
          <w:tcPr>
            <w:tcW w:w="1088" w:type="dxa"/>
            <w:shd w:val="clear" w:color="auto" w:fill="auto"/>
          </w:tcPr>
          <w:p w14:paraId="2AEE2641" w14:textId="77777777" w:rsidR="00FD4FE3" w:rsidRPr="00AB15C7" w:rsidRDefault="00FD4FE3" w:rsidP="005921EF">
            <w:pPr>
              <w:spacing w:after="0"/>
              <w:jc w:val="both"/>
              <w:rPr>
                <w:rFonts w:ascii="Cambria" w:hAnsi="Cambria"/>
                <w:bCs/>
                <w:noProof/>
              </w:rPr>
            </w:pPr>
            <w:r w:rsidRPr="00AB15C7">
              <w:rPr>
                <w:rFonts w:ascii="Cambria" w:hAnsi="Cambria"/>
                <w:bCs/>
                <w:noProof/>
              </w:rPr>
              <w:t>71091</w:t>
            </w:r>
          </w:p>
        </w:tc>
      </w:tr>
      <w:tr w:rsidR="00FD4FE3" w:rsidRPr="00AB15C7" w14:paraId="2EBBCBF3" w14:textId="77777777" w:rsidTr="0066183A">
        <w:trPr>
          <w:jc w:val="center"/>
        </w:trPr>
        <w:tc>
          <w:tcPr>
            <w:tcW w:w="5559" w:type="dxa"/>
            <w:shd w:val="clear" w:color="auto" w:fill="D9D9D9"/>
          </w:tcPr>
          <w:p w14:paraId="2C84F34C" w14:textId="77777777" w:rsidR="00FD4FE3" w:rsidRPr="00AB15C7" w:rsidRDefault="00FD4FE3" w:rsidP="005921EF">
            <w:pPr>
              <w:spacing w:after="0"/>
              <w:jc w:val="both"/>
              <w:rPr>
                <w:rFonts w:ascii="Cambria" w:hAnsi="Cambria"/>
                <w:bCs/>
                <w:noProof/>
              </w:rPr>
            </w:pPr>
            <w:r w:rsidRPr="00AB15C7">
              <w:rPr>
                <w:rFonts w:ascii="Cambria" w:hAnsi="Cambria"/>
                <w:bCs/>
                <w:noProof/>
              </w:rPr>
              <w:t>Ulja dobijena od nafte i ulja dobijena od bitumenoznih minerala, osim sirovih; proizvodi, na drugom mjestu nepomenuti niti obuhvaćeni, koji sadrţe po masi 70% ili više ulja od nafte ili ulja dobijena od bitumenoznih minerala, i ako ĉine osnovne sastojke tih proizvoda ; otpadna ulja</w:t>
            </w:r>
          </w:p>
        </w:tc>
        <w:tc>
          <w:tcPr>
            <w:tcW w:w="1570" w:type="dxa"/>
          </w:tcPr>
          <w:p w14:paraId="03768534" w14:textId="77777777" w:rsidR="00FD4FE3" w:rsidRPr="00AB15C7" w:rsidRDefault="00FD4FE3" w:rsidP="005921EF">
            <w:pPr>
              <w:spacing w:after="0"/>
              <w:jc w:val="both"/>
              <w:rPr>
                <w:rFonts w:ascii="Cambria" w:hAnsi="Cambria"/>
                <w:bCs/>
                <w:noProof/>
              </w:rPr>
            </w:pPr>
            <w:r w:rsidRPr="00AB15C7">
              <w:rPr>
                <w:rFonts w:ascii="Cambria" w:hAnsi="Cambria"/>
                <w:bCs/>
                <w:noProof/>
              </w:rPr>
              <w:t>2710*</w:t>
            </w:r>
          </w:p>
        </w:tc>
        <w:tc>
          <w:tcPr>
            <w:tcW w:w="1280" w:type="dxa"/>
            <w:shd w:val="clear" w:color="auto" w:fill="auto"/>
          </w:tcPr>
          <w:p w14:paraId="74E0C027" w14:textId="77777777" w:rsidR="00FD4FE3" w:rsidRPr="00AB15C7" w:rsidRDefault="00FD4FE3" w:rsidP="005921EF">
            <w:pPr>
              <w:spacing w:after="0"/>
              <w:jc w:val="both"/>
              <w:rPr>
                <w:rFonts w:ascii="Cambria" w:hAnsi="Cambria"/>
                <w:bCs/>
                <w:noProof/>
              </w:rPr>
            </w:pPr>
            <w:r w:rsidRPr="00AB15C7">
              <w:rPr>
                <w:rFonts w:ascii="Cambria" w:hAnsi="Cambria"/>
                <w:bCs/>
                <w:noProof/>
              </w:rPr>
              <w:t>21</w:t>
            </w:r>
          </w:p>
        </w:tc>
        <w:tc>
          <w:tcPr>
            <w:tcW w:w="1088" w:type="dxa"/>
            <w:shd w:val="clear" w:color="auto" w:fill="auto"/>
          </w:tcPr>
          <w:p w14:paraId="6D389512" w14:textId="77777777" w:rsidR="00FD4FE3" w:rsidRPr="00AB15C7" w:rsidRDefault="00FD4FE3" w:rsidP="005921EF">
            <w:pPr>
              <w:spacing w:after="0"/>
              <w:jc w:val="both"/>
              <w:rPr>
                <w:rFonts w:ascii="Cambria" w:hAnsi="Cambria"/>
                <w:bCs/>
                <w:noProof/>
              </w:rPr>
            </w:pPr>
            <w:r w:rsidRPr="00AB15C7">
              <w:rPr>
                <w:rFonts w:ascii="Cambria" w:hAnsi="Cambria"/>
                <w:bCs/>
                <w:noProof/>
              </w:rPr>
              <w:t>2291</w:t>
            </w:r>
          </w:p>
        </w:tc>
      </w:tr>
      <w:tr w:rsidR="00FD4FE3" w:rsidRPr="00AB15C7" w14:paraId="338500C9" w14:textId="77777777" w:rsidTr="0066183A">
        <w:trPr>
          <w:jc w:val="center"/>
        </w:trPr>
        <w:tc>
          <w:tcPr>
            <w:tcW w:w="5559" w:type="dxa"/>
            <w:shd w:val="clear" w:color="auto" w:fill="D9D9D9"/>
          </w:tcPr>
          <w:p w14:paraId="758BFF38" w14:textId="77777777" w:rsidR="00FD4FE3" w:rsidRPr="00AB15C7" w:rsidRDefault="00FD4FE3" w:rsidP="005921EF">
            <w:pPr>
              <w:spacing w:after="0"/>
              <w:jc w:val="both"/>
              <w:rPr>
                <w:rFonts w:ascii="Cambria" w:hAnsi="Cambria"/>
                <w:bCs/>
                <w:noProof/>
              </w:rPr>
            </w:pPr>
            <w:r w:rsidRPr="00AB15C7">
              <w:rPr>
                <w:rFonts w:ascii="Cambria" w:hAnsi="Cambria"/>
                <w:bCs/>
                <w:noProof/>
              </w:rPr>
              <w:t>Ostale neorganske kisjeline i ostala neorganska kiseoniĉna jedinjenja nemetala:</w:t>
            </w:r>
          </w:p>
        </w:tc>
        <w:tc>
          <w:tcPr>
            <w:tcW w:w="1570" w:type="dxa"/>
          </w:tcPr>
          <w:p w14:paraId="16CAEE4C" w14:textId="77777777" w:rsidR="00FD4FE3" w:rsidRPr="00AB15C7" w:rsidRDefault="00FD4FE3" w:rsidP="005921EF">
            <w:pPr>
              <w:spacing w:after="0"/>
              <w:jc w:val="both"/>
              <w:rPr>
                <w:rFonts w:ascii="Cambria" w:hAnsi="Cambria"/>
                <w:bCs/>
                <w:noProof/>
              </w:rPr>
            </w:pPr>
            <w:r w:rsidRPr="00AB15C7">
              <w:rPr>
                <w:rFonts w:ascii="Cambria" w:hAnsi="Cambria"/>
                <w:bCs/>
                <w:noProof/>
              </w:rPr>
              <w:t>2811*</w:t>
            </w:r>
          </w:p>
        </w:tc>
        <w:tc>
          <w:tcPr>
            <w:tcW w:w="1280" w:type="dxa"/>
            <w:shd w:val="clear" w:color="auto" w:fill="auto"/>
          </w:tcPr>
          <w:p w14:paraId="0224A345" w14:textId="77777777" w:rsidR="00FD4FE3" w:rsidRPr="00AB15C7" w:rsidRDefault="00FD4FE3" w:rsidP="005921EF">
            <w:pPr>
              <w:spacing w:after="0"/>
              <w:jc w:val="both"/>
              <w:rPr>
                <w:rFonts w:ascii="Cambria" w:hAnsi="Cambria"/>
                <w:bCs/>
                <w:noProof/>
              </w:rPr>
            </w:pPr>
            <w:r w:rsidRPr="00AB15C7">
              <w:rPr>
                <w:rFonts w:ascii="Cambria" w:hAnsi="Cambria"/>
                <w:bCs/>
                <w:noProof/>
              </w:rPr>
              <w:t>8</w:t>
            </w:r>
          </w:p>
        </w:tc>
        <w:tc>
          <w:tcPr>
            <w:tcW w:w="1088" w:type="dxa"/>
            <w:shd w:val="clear" w:color="auto" w:fill="auto"/>
          </w:tcPr>
          <w:p w14:paraId="52983062" w14:textId="77777777" w:rsidR="00FD4FE3" w:rsidRPr="00AB15C7" w:rsidRDefault="00FD4FE3" w:rsidP="005921EF">
            <w:pPr>
              <w:spacing w:after="0"/>
              <w:jc w:val="both"/>
              <w:rPr>
                <w:rFonts w:ascii="Cambria" w:hAnsi="Cambria"/>
                <w:bCs/>
                <w:noProof/>
              </w:rPr>
            </w:pPr>
            <w:r w:rsidRPr="00AB15C7">
              <w:rPr>
                <w:rFonts w:ascii="Cambria" w:hAnsi="Cambria"/>
                <w:bCs/>
                <w:noProof/>
              </w:rPr>
              <w:t>2014</w:t>
            </w:r>
          </w:p>
        </w:tc>
      </w:tr>
      <w:tr w:rsidR="00FD4FE3" w:rsidRPr="00AB15C7" w14:paraId="1C7BD01F" w14:textId="77777777" w:rsidTr="0066183A">
        <w:trPr>
          <w:jc w:val="center"/>
        </w:trPr>
        <w:tc>
          <w:tcPr>
            <w:tcW w:w="5559" w:type="dxa"/>
            <w:shd w:val="clear" w:color="auto" w:fill="D9D9D9"/>
          </w:tcPr>
          <w:p w14:paraId="107C000E" w14:textId="77777777" w:rsidR="00FD4FE3" w:rsidRPr="00AB15C7" w:rsidRDefault="00FD4FE3" w:rsidP="005921EF">
            <w:pPr>
              <w:spacing w:after="0"/>
              <w:jc w:val="both"/>
              <w:rPr>
                <w:rFonts w:ascii="Cambria" w:hAnsi="Cambria"/>
                <w:bCs/>
                <w:noProof/>
              </w:rPr>
            </w:pPr>
            <w:r w:rsidRPr="00AB15C7">
              <w:rPr>
                <w:rFonts w:ascii="Cambria" w:hAnsi="Cambria"/>
                <w:bCs/>
                <w:noProof/>
              </w:rPr>
              <w:t>Organska površinski aktivna, sredstva (osim sapuna); površinski, aktivni preparati, preparati za pranje, (ukljućujući pomoćne preparate za pranje) i preparati za čišćenje sa dodatkom ili bez dodatka sapuna</w:t>
            </w:r>
          </w:p>
        </w:tc>
        <w:tc>
          <w:tcPr>
            <w:tcW w:w="1570" w:type="dxa"/>
          </w:tcPr>
          <w:p w14:paraId="001AD52F" w14:textId="77777777" w:rsidR="00FD4FE3" w:rsidRPr="00AB15C7" w:rsidRDefault="00FD4FE3" w:rsidP="005921EF">
            <w:pPr>
              <w:spacing w:after="0"/>
              <w:jc w:val="both"/>
              <w:rPr>
                <w:rFonts w:ascii="Cambria" w:hAnsi="Cambria"/>
                <w:bCs/>
                <w:noProof/>
              </w:rPr>
            </w:pPr>
            <w:r w:rsidRPr="00AB15C7">
              <w:rPr>
                <w:rFonts w:ascii="Cambria" w:hAnsi="Cambria"/>
                <w:bCs/>
                <w:noProof/>
              </w:rPr>
              <w:t>3402 *</w:t>
            </w:r>
          </w:p>
        </w:tc>
        <w:tc>
          <w:tcPr>
            <w:tcW w:w="1280" w:type="dxa"/>
            <w:shd w:val="clear" w:color="auto" w:fill="auto"/>
          </w:tcPr>
          <w:p w14:paraId="2071131D" w14:textId="77777777" w:rsidR="00FD4FE3" w:rsidRPr="00AB15C7" w:rsidRDefault="00FD4FE3" w:rsidP="005921EF">
            <w:pPr>
              <w:spacing w:after="0"/>
              <w:jc w:val="both"/>
              <w:rPr>
                <w:rFonts w:ascii="Cambria" w:hAnsi="Cambria"/>
                <w:bCs/>
                <w:noProof/>
              </w:rPr>
            </w:pPr>
            <w:r w:rsidRPr="00AB15C7">
              <w:rPr>
                <w:rFonts w:ascii="Cambria" w:hAnsi="Cambria"/>
                <w:bCs/>
                <w:noProof/>
              </w:rPr>
              <w:t>433</w:t>
            </w:r>
          </w:p>
        </w:tc>
        <w:tc>
          <w:tcPr>
            <w:tcW w:w="1088" w:type="dxa"/>
            <w:shd w:val="clear" w:color="auto" w:fill="auto"/>
          </w:tcPr>
          <w:p w14:paraId="2CF70B5E" w14:textId="77777777" w:rsidR="00FD4FE3" w:rsidRPr="00AB15C7" w:rsidRDefault="00FD4FE3" w:rsidP="005921EF">
            <w:pPr>
              <w:spacing w:after="0"/>
              <w:jc w:val="both"/>
              <w:rPr>
                <w:rFonts w:ascii="Cambria" w:hAnsi="Cambria"/>
                <w:bCs/>
                <w:noProof/>
              </w:rPr>
            </w:pPr>
            <w:r w:rsidRPr="00AB15C7">
              <w:rPr>
                <w:rFonts w:ascii="Cambria" w:hAnsi="Cambria"/>
                <w:bCs/>
                <w:noProof/>
              </w:rPr>
              <w:t>974</w:t>
            </w:r>
          </w:p>
        </w:tc>
      </w:tr>
      <w:tr w:rsidR="00FD4FE3" w:rsidRPr="00AB15C7" w14:paraId="67FC53C6" w14:textId="77777777" w:rsidTr="0066183A">
        <w:trPr>
          <w:jc w:val="center"/>
        </w:trPr>
        <w:tc>
          <w:tcPr>
            <w:tcW w:w="5559" w:type="dxa"/>
            <w:shd w:val="clear" w:color="auto" w:fill="D9D9D9"/>
          </w:tcPr>
          <w:p w14:paraId="54EBE6DD" w14:textId="77777777" w:rsidR="00FD4FE3" w:rsidRPr="00AB15C7" w:rsidRDefault="00FD4FE3" w:rsidP="005921EF">
            <w:pPr>
              <w:spacing w:after="0"/>
              <w:jc w:val="both"/>
              <w:rPr>
                <w:rFonts w:ascii="Cambria" w:hAnsi="Cambria"/>
                <w:bCs/>
                <w:noProof/>
              </w:rPr>
            </w:pPr>
            <w:r w:rsidRPr="00AB15C7">
              <w:rPr>
                <w:rFonts w:ascii="Cambria" w:hAnsi="Cambria"/>
                <w:bCs/>
                <w:noProof/>
              </w:rPr>
              <w:t>Hloridi, oksihloridi i hidroksihloridi; bromidi i oksibromidi; jodidi i oksijodidi</w:t>
            </w:r>
          </w:p>
        </w:tc>
        <w:tc>
          <w:tcPr>
            <w:tcW w:w="1570" w:type="dxa"/>
          </w:tcPr>
          <w:p w14:paraId="79048F90" w14:textId="77777777" w:rsidR="00FD4FE3" w:rsidRPr="00AB15C7" w:rsidRDefault="00FD4FE3" w:rsidP="005921EF">
            <w:pPr>
              <w:spacing w:after="0"/>
              <w:jc w:val="both"/>
              <w:rPr>
                <w:rFonts w:ascii="Cambria" w:hAnsi="Cambria"/>
                <w:bCs/>
                <w:noProof/>
              </w:rPr>
            </w:pPr>
            <w:r w:rsidRPr="00AB15C7">
              <w:rPr>
                <w:rFonts w:ascii="Cambria" w:hAnsi="Cambria"/>
                <w:bCs/>
                <w:noProof/>
              </w:rPr>
              <w:t>2827*</w:t>
            </w:r>
          </w:p>
        </w:tc>
        <w:tc>
          <w:tcPr>
            <w:tcW w:w="1280" w:type="dxa"/>
            <w:shd w:val="clear" w:color="auto" w:fill="auto"/>
          </w:tcPr>
          <w:p w14:paraId="3F047B01" w14:textId="77777777" w:rsidR="00FD4FE3" w:rsidRPr="00AB15C7" w:rsidRDefault="00FD4FE3" w:rsidP="005921EF">
            <w:pPr>
              <w:spacing w:after="0"/>
              <w:jc w:val="both"/>
              <w:rPr>
                <w:rFonts w:ascii="Cambria" w:hAnsi="Cambria"/>
                <w:bCs/>
                <w:noProof/>
              </w:rPr>
            </w:pPr>
            <w:r w:rsidRPr="00AB15C7">
              <w:rPr>
                <w:rFonts w:ascii="Cambria" w:hAnsi="Cambria"/>
                <w:bCs/>
                <w:noProof/>
              </w:rPr>
              <w:t>22</w:t>
            </w:r>
          </w:p>
        </w:tc>
        <w:tc>
          <w:tcPr>
            <w:tcW w:w="1088" w:type="dxa"/>
            <w:shd w:val="clear" w:color="auto" w:fill="auto"/>
          </w:tcPr>
          <w:p w14:paraId="29EF9A39" w14:textId="77777777" w:rsidR="00FD4FE3" w:rsidRPr="00AB15C7" w:rsidRDefault="00FD4FE3" w:rsidP="005921EF">
            <w:pPr>
              <w:spacing w:after="0"/>
              <w:jc w:val="both"/>
              <w:rPr>
                <w:rFonts w:ascii="Cambria" w:hAnsi="Cambria"/>
                <w:bCs/>
                <w:noProof/>
              </w:rPr>
            </w:pPr>
            <w:r w:rsidRPr="00AB15C7">
              <w:rPr>
                <w:rFonts w:ascii="Cambria" w:hAnsi="Cambria"/>
                <w:bCs/>
                <w:noProof/>
              </w:rPr>
              <w:t>360</w:t>
            </w:r>
          </w:p>
        </w:tc>
      </w:tr>
      <w:tr w:rsidR="00FD4FE3" w:rsidRPr="00AB15C7" w14:paraId="59E73939" w14:textId="77777777" w:rsidTr="0066183A">
        <w:trPr>
          <w:jc w:val="center"/>
        </w:trPr>
        <w:tc>
          <w:tcPr>
            <w:tcW w:w="5559" w:type="dxa"/>
            <w:shd w:val="clear" w:color="auto" w:fill="D9D9D9"/>
          </w:tcPr>
          <w:p w14:paraId="5626AF51" w14:textId="77777777" w:rsidR="00FD4FE3" w:rsidRPr="00AB15C7" w:rsidRDefault="00FD4FE3" w:rsidP="005921EF">
            <w:pPr>
              <w:spacing w:after="0"/>
              <w:jc w:val="both"/>
              <w:rPr>
                <w:rFonts w:ascii="Cambria" w:hAnsi="Cambria"/>
                <w:bCs/>
                <w:noProof/>
              </w:rPr>
            </w:pPr>
            <w:r w:rsidRPr="00AB15C7">
              <w:rPr>
                <w:rFonts w:ascii="Cambria" w:hAnsi="Cambria"/>
                <w:bCs/>
                <w:noProof/>
              </w:rPr>
              <w:t>Hipohloriti; komercijalni kalcijumhipohlorit; hloriti; hipobromiti</w:t>
            </w:r>
          </w:p>
        </w:tc>
        <w:tc>
          <w:tcPr>
            <w:tcW w:w="1570" w:type="dxa"/>
          </w:tcPr>
          <w:p w14:paraId="25208ED8" w14:textId="77777777" w:rsidR="00FD4FE3" w:rsidRPr="00AB15C7" w:rsidRDefault="00FD4FE3" w:rsidP="005921EF">
            <w:pPr>
              <w:spacing w:after="0"/>
              <w:jc w:val="both"/>
              <w:rPr>
                <w:rFonts w:ascii="Cambria" w:hAnsi="Cambria"/>
                <w:bCs/>
                <w:noProof/>
              </w:rPr>
            </w:pPr>
            <w:r w:rsidRPr="00AB15C7">
              <w:rPr>
                <w:rFonts w:ascii="Cambria" w:hAnsi="Cambria"/>
                <w:bCs/>
                <w:noProof/>
              </w:rPr>
              <w:t>2828*</w:t>
            </w:r>
          </w:p>
        </w:tc>
        <w:tc>
          <w:tcPr>
            <w:tcW w:w="1280" w:type="dxa"/>
            <w:shd w:val="clear" w:color="auto" w:fill="auto"/>
          </w:tcPr>
          <w:p w14:paraId="6D14B4D4" w14:textId="77777777" w:rsidR="00FD4FE3" w:rsidRPr="00AB15C7" w:rsidRDefault="00FD4FE3" w:rsidP="005921EF">
            <w:pPr>
              <w:spacing w:after="0"/>
              <w:jc w:val="both"/>
              <w:rPr>
                <w:rFonts w:ascii="Cambria" w:hAnsi="Cambria"/>
                <w:bCs/>
                <w:noProof/>
              </w:rPr>
            </w:pPr>
            <w:r w:rsidRPr="00AB15C7">
              <w:rPr>
                <w:rFonts w:ascii="Cambria" w:hAnsi="Cambria"/>
                <w:bCs/>
                <w:noProof/>
              </w:rPr>
              <w:t>14</w:t>
            </w:r>
          </w:p>
        </w:tc>
        <w:tc>
          <w:tcPr>
            <w:tcW w:w="1088" w:type="dxa"/>
            <w:shd w:val="clear" w:color="auto" w:fill="auto"/>
          </w:tcPr>
          <w:p w14:paraId="4E6A2A57" w14:textId="77777777" w:rsidR="00FD4FE3" w:rsidRPr="00AB15C7" w:rsidRDefault="00FD4FE3" w:rsidP="005921EF">
            <w:pPr>
              <w:spacing w:after="0"/>
              <w:jc w:val="both"/>
              <w:rPr>
                <w:rFonts w:ascii="Cambria" w:hAnsi="Cambria"/>
                <w:bCs/>
                <w:noProof/>
              </w:rPr>
            </w:pPr>
            <w:r w:rsidRPr="00AB15C7">
              <w:rPr>
                <w:rFonts w:ascii="Cambria" w:hAnsi="Cambria"/>
                <w:bCs/>
                <w:noProof/>
              </w:rPr>
              <w:t>280</w:t>
            </w:r>
          </w:p>
        </w:tc>
      </w:tr>
      <w:tr w:rsidR="00FD4FE3" w:rsidRPr="00AB15C7" w14:paraId="66CA56D8" w14:textId="77777777" w:rsidTr="0066183A">
        <w:trPr>
          <w:jc w:val="center"/>
        </w:trPr>
        <w:tc>
          <w:tcPr>
            <w:tcW w:w="5559" w:type="dxa"/>
            <w:shd w:val="clear" w:color="auto" w:fill="D9D9D9"/>
          </w:tcPr>
          <w:p w14:paraId="168B35F2" w14:textId="77777777" w:rsidR="00FD4FE3" w:rsidRPr="00AB15C7" w:rsidRDefault="00FD4FE3" w:rsidP="005921EF">
            <w:pPr>
              <w:spacing w:after="0"/>
              <w:jc w:val="both"/>
              <w:rPr>
                <w:rFonts w:ascii="Cambria" w:hAnsi="Cambria"/>
                <w:bCs/>
                <w:noProof/>
              </w:rPr>
            </w:pPr>
            <w:r w:rsidRPr="00AB15C7">
              <w:rPr>
                <w:rFonts w:ascii="Cambria" w:hAnsi="Cambria"/>
                <w:bCs/>
                <w:noProof/>
              </w:rPr>
              <w:t>Natrijum hidroksid (kaustiĉna soda); kalijum hidroksid (kaustiĉna potaša)</w:t>
            </w:r>
          </w:p>
        </w:tc>
        <w:tc>
          <w:tcPr>
            <w:tcW w:w="1570" w:type="dxa"/>
          </w:tcPr>
          <w:p w14:paraId="75A15084" w14:textId="77777777" w:rsidR="00FD4FE3" w:rsidRPr="00AB15C7" w:rsidRDefault="00FD4FE3" w:rsidP="005921EF">
            <w:pPr>
              <w:spacing w:after="0"/>
              <w:jc w:val="both"/>
              <w:rPr>
                <w:rFonts w:ascii="Cambria" w:hAnsi="Cambria"/>
                <w:bCs/>
                <w:noProof/>
              </w:rPr>
            </w:pPr>
            <w:r w:rsidRPr="00AB15C7">
              <w:rPr>
                <w:rFonts w:ascii="Cambria" w:hAnsi="Cambria"/>
                <w:bCs/>
                <w:noProof/>
              </w:rPr>
              <w:t>2815*</w:t>
            </w:r>
          </w:p>
        </w:tc>
        <w:tc>
          <w:tcPr>
            <w:tcW w:w="1280" w:type="dxa"/>
            <w:shd w:val="clear" w:color="auto" w:fill="auto"/>
          </w:tcPr>
          <w:p w14:paraId="489ABC5B" w14:textId="77777777" w:rsidR="00FD4FE3" w:rsidRPr="00AB15C7" w:rsidRDefault="00FD4FE3" w:rsidP="005921EF">
            <w:pPr>
              <w:spacing w:after="0"/>
              <w:jc w:val="both"/>
              <w:rPr>
                <w:rFonts w:ascii="Cambria" w:hAnsi="Cambria"/>
                <w:bCs/>
                <w:noProof/>
              </w:rPr>
            </w:pPr>
            <w:r w:rsidRPr="00AB15C7">
              <w:rPr>
                <w:rFonts w:ascii="Cambria" w:hAnsi="Cambria"/>
                <w:bCs/>
                <w:noProof/>
              </w:rPr>
              <w:t>15</w:t>
            </w:r>
          </w:p>
        </w:tc>
        <w:tc>
          <w:tcPr>
            <w:tcW w:w="1088" w:type="dxa"/>
            <w:shd w:val="clear" w:color="auto" w:fill="auto"/>
          </w:tcPr>
          <w:p w14:paraId="7338D82E" w14:textId="77777777" w:rsidR="00FD4FE3" w:rsidRPr="00AB15C7" w:rsidRDefault="00FD4FE3" w:rsidP="005921EF">
            <w:pPr>
              <w:spacing w:after="0"/>
              <w:jc w:val="both"/>
              <w:rPr>
                <w:rFonts w:ascii="Cambria" w:hAnsi="Cambria"/>
                <w:bCs/>
                <w:noProof/>
              </w:rPr>
            </w:pPr>
            <w:r w:rsidRPr="00AB15C7">
              <w:rPr>
                <w:rFonts w:ascii="Cambria" w:hAnsi="Cambria"/>
                <w:bCs/>
                <w:noProof/>
              </w:rPr>
              <w:t>277</w:t>
            </w:r>
          </w:p>
        </w:tc>
      </w:tr>
      <w:tr w:rsidR="00FD4FE3" w:rsidRPr="00AB15C7" w14:paraId="3572089B" w14:textId="77777777" w:rsidTr="0066183A">
        <w:trPr>
          <w:jc w:val="center"/>
        </w:trPr>
        <w:tc>
          <w:tcPr>
            <w:tcW w:w="5559" w:type="dxa"/>
            <w:shd w:val="clear" w:color="auto" w:fill="D9D9D9"/>
          </w:tcPr>
          <w:p w14:paraId="7B72794D" w14:textId="77777777" w:rsidR="00FD4FE3" w:rsidRPr="00AB15C7" w:rsidRDefault="00FD4FE3" w:rsidP="005921EF">
            <w:pPr>
              <w:spacing w:after="0"/>
              <w:jc w:val="both"/>
              <w:rPr>
                <w:rFonts w:ascii="Cambria" w:hAnsi="Cambria"/>
                <w:bCs/>
                <w:noProof/>
              </w:rPr>
            </w:pPr>
            <w:r w:rsidRPr="00AB15C7">
              <w:rPr>
                <w:rFonts w:ascii="Cambria" w:hAnsi="Cambria"/>
                <w:bCs/>
                <w:noProof/>
              </w:rPr>
              <w:t>Hlorati i perhlorati; bromati i perbromati; jodati i perjodati:</w:t>
            </w:r>
          </w:p>
        </w:tc>
        <w:tc>
          <w:tcPr>
            <w:tcW w:w="1570" w:type="dxa"/>
          </w:tcPr>
          <w:p w14:paraId="71A48132" w14:textId="77777777" w:rsidR="00FD4FE3" w:rsidRPr="00AB15C7" w:rsidRDefault="00FD4FE3" w:rsidP="005921EF">
            <w:pPr>
              <w:spacing w:after="0"/>
              <w:jc w:val="both"/>
              <w:rPr>
                <w:rFonts w:ascii="Cambria" w:hAnsi="Cambria"/>
                <w:bCs/>
                <w:noProof/>
              </w:rPr>
            </w:pPr>
            <w:r w:rsidRPr="00AB15C7">
              <w:rPr>
                <w:rFonts w:ascii="Cambria" w:hAnsi="Cambria"/>
                <w:bCs/>
                <w:noProof/>
              </w:rPr>
              <w:t>2829*</w:t>
            </w:r>
          </w:p>
        </w:tc>
        <w:tc>
          <w:tcPr>
            <w:tcW w:w="1280" w:type="dxa"/>
            <w:shd w:val="clear" w:color="auto" w:fill="auto"/>
          </w:tcPr>
          <w:p w14:paraId="4EFD4FAD" w14:textId="77777777" w:rsidR="00FD4FE3" w:rsidRPr="00AB15C7" w:rsidRDefault="00FD4FE3" w:rsidP="005921EF">
            <w:pPr>
              <w:spacing w:after="0"/>
              <w:jc w:val="both"/>
              <w:rPr>
                <w:rFonts w:ascii="Cambria" w:hAnsi="Cambria"/>
                <w:bCs/>
                <w:noProof/>
              </w:rPr>
            </w:pPr>
            <w:r w:rsidRPr="00AB15C7">
              <w:rPr>
                <w:rFonts w:ascii="Cambria" w:hAnsi="Cambria"/>
                <w:bCs/>
                <w:noProof/>
              </w:rPr>
              <w:t>4</w:t>
            </w:r>
          </w:p>
        </w:tc>
        <w:tc>
          <w:tcPr>
            <w:tcW w:w="1088" w:type="dxa"/>
            <w:shd w:val="clear" w:color="auto" w:fill="auto"/>
          </w:tcPr>
          <w:p w14:paraId="66E68B11" w14:textId="77777777" w:rsidR="00FD4FE3" w:rsidRPr="00AB15C7" w:rsidRDefault="00FD4FE3" w:rsidP="005921EF">
            <w:pPr>
              <w:spacing w:after="0"/>
              <w:jc w:val="both"/>
              <w:rPr>
                <w:rFonts w:ascii="Cambria" w:hAnsi="Cambria"/>
                <w:bCs/>
                <w:noProof/>
              </w:rPr>
            </w:pPr>
            <w:r w:rsidRPr="00AB15C7">
              <w:rPr>
                <w:rFonts w:ascii="Cambria" w:hAnsi="Cambria"/>
                <w:bCs/>
                <w:noProof/>
              </w:rPr>
              <w:t>176</w:t>
            </w:r>
          </w:p>
        </w:tc>
      </w:tr>
      <w:tr w:rsidR="00FD4FE3" w:rsidRPr="00AB15C7" w14:paraId="7E74EE36" w14:textId="77777777" w:rsidTr="0066183A">
        <w:trPr>
          <w:jc w:val="center"/>
        </w:trPr>
        <w:tc>
          <w:tcPr>
            <w:tcW w:w="5559" w:type="dxa"/>
            <w:shd w:val="clear" w:color="auto" w:fill="D9D9D9"/>
          </w:tcPr>
          <w:p w14:paraId="72C0FEB1" w14:textId="77777777" w:rsidR="00FD4FE3" w:rsidRPr="00AB15C7" w:rsidRDefault="00FD4FE3" w:rsidP="005921EF">
            <w:pPr>
              <w:spacing w:after="0"/>
              <w:jc w:val="both"/>
              <w:rPr>
                <w:rFonts w:ascii="Cambria" w:hAnsi="Cambria"/>
                <w:bCs/>
                <w:noProof/>
              </w:rPr>
            </w:pPr>
            <w:r w:rsidRPr="00AB15C7">
              <w:rPr>
                <w:rFonts w:ascii="Cambria" w:hAnsi="Cambria"/>
                <w:bCs/>
                <w:noProof/>
              </w:rPr>
              <w:t>Insekticidi, rodenticidi, fungicidi, herbicidi, sredstva protiv klijanja, sredstva za regulaciju rasta biljaka, dezinfektanti i sliĉni proizvodi pripremljeni u oblike ili pakovanja za prodaju na malo ili kao preparati ili proizvodi (na primjer, sumporisane trake, fitilji, svijeće i hartija za ubijanje muva)</w:t>
            </w:r>
          </w:p>
        </w:tc>
        <w:tc>
          <w:tcPr>
            <w:tcW w:w="1570" w:type="dxa"/>
          </w:tcPr>
          <w:p w14:paraId="70F7CB14" w14:textId="77777777" w:rsidR="00FD4FE3" w:rsidRPr="00AB15C7" w:rsidRDefault="00FD4FE3" w:rsidP="005921EF">
            <w:pPr>
              <w:spacing w:after="0"/>
              <w:jc w:val="both"/>
              <w:rPr>
                <w:rFonts w:ascii="Cambria" w:hAnsi="Cambria"/>
                <w:bCs/>
                <w:noProof/>
              </w:rPr>
            </w:pPr>
            <w:r w:rsidRPr="00AB15C7">
              <w:rPr>
                <w:rFonts w:ascii="Cambria" w:hAnsi="Cambria"/>
                <w:bCs/>
                <w:noProof/>
              </w:rPr>
              <w:t>3808*</w:t>
            </w:r>
          </w:p>
        </w:tc>
        <w:tc>
          <w:tcPr>
            <w:tcW w:w="1280" w:type="dxa"/>
            <w:shd w:val="clear" w:color="auto" w:fill="auto"/>
          </w:tcPr>
          <w:p w14:paraId="6D36A4FD" w14:textId="77777777" w:rsidR="00FD4FE3" w:rsidRPr="00AB15C7" w:rsidRDefault="00FD4FE3" w:rsidP="005921EF">
            <w:pPr>
              <w:spacing w:after="0"/>
              <w:jc w:val="both"/>
              <w:rPr>
                <w:rFonts w:ascii="Cambria" w:hAnsi="Cambria"/>
                <w:bCs/>
                <w:noProof/>
              </w:rPr>
            </w:pPr>
            <w:r w:rsidRPr="00AB15C7">
              <w:rPr>
                <w:rFonts w:ascii="Cambria" w:hAnsi="Cambria"/>
                <w:bCs/>
                <w:noProof/>
              </w:rPr>
              <w:t>200</w:t>
            </w:r>
          </w:p>
        </w:tc>
        <w:tc>
          <w:tcPr>
            <w:tcW w:w="1088" w:type="dxa"/>
            <w:shd w:val="clear" w:color="auto" w:fill="auto"/>
          </w:tcPr>
          <w:p w14:paraId="64647F4F" w14:textId="77777777" w:rsidR="00FD4FE3" w:rsidRPr="00AB15C7" w:rsidRDefault="00FD4FE3" w:rsidP="005921EF">
            <w:pPr>
              <w:spacing w:after="0"/>
              <w:jc w:val="both"/>
              <w:rPr>
                <w:rFonts w:ascii="Cambria" w:hAnsi="Cambria"/>
                <w:bCs/>
                <w:noProof/>
              </w:rPr>
            </w:pPr>
            <w:r w:rsidRPr="00AB15C7">
              <w:rPr>
                <w:rFonts w:ascii="Cambria" w:hAnsi="Cambria"/>
                <w:bCs/>
                <w:noProof/>
              </w:rPr>
              <w:t>100</w:t>
            </w:r>
          </w:p>
        </w:tc>
      </w:tr>
      <w:tr w:rsidR="00FD4FE3" w:rsidRPr="00AB15C7" w14:paraId="4176CEF0" w14:textId="77777777" w:rsidTr="0066183A">
        <w:trPr>
          <w:jc w:val="center"/>
        </w:trPr>
        <w:tc>
          <w:tcPr>
            <w:tcW w:w="5559" w:type="dxa"/>
            <w:shd w:val="clear" w:color="auto" w:fill="D9D9D9"/>
          </w:tcPr>
          <w:p w14:paraId="66E378C3" w14:textId="77777777" w:rsidR="00FD4FE3" w:rsidRPr="00AB15C7" w:rsidRDefault="00FD4FE3" w:rsidP="005921EF">
            <w:pPr>
              <w:spacing w:after="0"/>
              <w:jc w:val="both"/>
              <w:rPr>
                <w:rFonts w:ascii="Cambria" w:hAnsi="Cambria"/>
                <w:bCs/>
                <w:noProof/>
              </w:rPr>
            </w:pPr>
            <w:r w:rsidRPr="00AB15C7">
              <w:rPr>
                <w:rFonts w:ascii="Cambria" w:hAnsi="Cambria"/>
                <w:bCs/>
                <w:noProof/>
              </w:rPr>
              <w:t>Dinatrijum karbonat</w:t>
            </w:r>
          </w:p>
        </w:tc>
        <w:tc>
          <w:tcPr>
            <w:tcW w:w="1570" w:type="dxa"/>
          </w:tcPr>
          <w:p w14:paraId="3F9CC774" w14:textId="77777777" w:rsidR="00FD4FE3" w:rsidRPr="00AB15C7" w:rsidRDefault="00FD4FE3" w:rsidP="005921EF">
            <w:pPr>
              <w:spacing w:after="0"/>
              <w:jc w:val="both"/>
              <w:rPr>
                <w:rFonts w:ascii="Cambria" w:hAnsi="Cambria"/>
                <w:bCs/>
                <w:noProof/>
              </w:rPr>
            </w:pPr>
            <w:r w:rsidRPr="00AB15C7">
              <w:rPr>
                <w:rFonts w:ascii="Cambria" w:hAnsi="Cambria"/>
                <w:bCs/>
                <w:noProof/>
              </w:rPr>
              <w:t>2836 20 00</w:t>
            </w:r>
          </w:p>
        </w:tc>
        <w:tc>
          <w:tcPr>
            <w:tcW w:w="1280" w:type="dxa"/>
            <w:shd w:val="clear" w:color="auto" w:fill="auto"/>
          </w:tcPr>
          <w:p w14:paraId="7C9C7538" w14:textId="77777777" w:rsidR="00FD4FE3" w:rsidRPr="00AB15C7" w:rsidRDefault="00FD4FE3" w:rsidP="005921EF">
            <w:pPr>
              <w:spacing w:after="0"/>
              <w:jc w:val="both"/>
              <w:rPr>
                <w:rFonts w:ascii="Cambria" w:hAnsi="Cambria"/>
                <w:bCs/>
                <w:noProof/>
              </w:rPr>
            </w:pPr>
            <w:r w:rsidRPr="00AB15C7">
              <w:rPr>
                <w:rFonts w:ascii="Cambria" w:hAnsi="Cambria"/>
                <w:bCs/>
                <w:noProof/>
              </w:rPr>
              <w:t>4</w:t>
            </w:r>
          </w:p>
        </w:tc>
        <w:tc>
          <w:tcPr>
            <w:tcW w:w="1088" w:type="dxa"/>
            <w:shd w:val="clear" w:color="auto" w:fill="auto"/>
          </w:tcPr>
          <w:p w14:paraId="1949DB82" w14:textId="77777777" w:rsidR="00FD4FE3" w:rsidRPr="00AB15C7" w:rsidRDefault="00FD4FE3" w:rsidP="005921EF">
            <w:pPr>
              <w:spacing w:after="0"/>
              <w:jc w:val="both"/>
              <w:rPr>
                <w:rFonts w:ascii="Cambria" w:hAnsi="Cambria"/>
                <w:bCs/>
                <w:noProof/>
              </w:rPr>
            </w:pPr>
            <w:r w:rsidRPr="00AB15C7">
              <w:rPr>
                <w:rFonts w:ascii="Cambria" w:hAnsi="Cambria"/>
                <w:bCs/>
                <w:noProof/>
              </w:rPr>
              <w:t>96</w:t>
            </w:r>
          </w:p>
        </w:tc>
      </w:tr>
      <w:tr w:rsidR="00FD4FE3" w:rsidRPr="00AB15C7" w14:paraId="5BD1E120" w14:textId="77777777" w:rsidTr="0066183A">
        <w:trPr>
          <w:jc w:val="center"/>
        </w:trPr>
        <w:tc>
          <w:tcPr>
            <w:tcW w:w="5559" w:type="dxa"/>
            <w:shd w:val="clear" w:color="auto" w:fill="D9D9D9"/>
          </w:tcPr>
          <w:p w14:paraId="05ED9652" w14:textId="77777777" w:rsidR="00FD4FE3" w:rsidRPr="00AB15C7" w:rsidRDefault="00FD4FE3" w:rsidP="005921EF">
            <w:pPr>
              <w:spacing w:after="0"/>
              <w:jc w:val="both"/>
              <w:rPr>
                <w:rFonts w:ascii="Cambria" w:hAnsi="Cambria"/>
                <w:bCs/>
                <w:noProof/>
              </w:rPr>
            </w:pPr>
            <w:r w:rsidRPr="00AB15C7">
              <w:rPr>
                <w:rFonts w:ascii="Cambria" w:hAnsi="Cambria"/>
                <w:bCs/>
                <w:noProof/>
              </w:rPr>
              <w:lastRenderedPageBreak/>
              <w:t>Politure i kreme, za obuću, namještaj, podove, karoserije, staklo ili metal, paste i praškovi za ĉišćenje i sliĉni preparati (bez obzira na to da li su u obliku hartije, vate, filca, netkanih tkanina, celularnih (sunĊerastih) materijala, od plastike ili gume, impregnisani ili prevuĉeni takvim preparatima), osim voskova</w:t>
            </w:r>
          </w:p>
        </w:tc>
        <w:tc>
          <w:tcPr>
            <w:tcW w:w="1570" w:type="dxa"/>
          </w:tcPr>
          <w:p w14:paraId="06AC860F" w14:textId="77777777" w:rsidR="00FD4FE3" w:rsidRPr="00AB15C7" w:rsidRDefault="00FD4FE3" w:rsidP="005921EF">
            <w:pPr>
              <w:spacing w:after="0"/>
              <w:jc w:val="both"/>
              <w:rPr>
                <w:rFonts w:ascii="Cambria" w:hAnsi="Cambria"/>
                <w:bCs/>
                <w:noProof/>
              </w:rPr>
            </w:pPr>
            <w:r w:rsidRPr="00AB15C7">
              <w:rPr>
                <w:rFonts w:ascii="Cambria" w:hAnsi="Cambria"/>
                <w:bCs/>
                <w:noProof/>
              </w:rPr>
              <w:t>3405*</w:t>
            </w:r>
          </w:p>
        </w:tc>
        <w:tc>
          <w:tcPr>
            <w:tcW w:w="1280" w:type="dxa"/>
            <w:shd w:val="clear" w:color="auto" w:fill="auto"/>
          </w:tcPr>
          <w:p w14:paraId="239F9EC1" w14:textId="77777777" w:rsidR="00FD4FE3" w:rsidRPr="00AB15C7" w:rsidRDefault="00FD4FE3" w:rsidP="005921EF">
            <w:pPr>
              <w:spacing w:after="0"/>
              <w:jc w:val="both"/>
              <w:rPr>
                <w:rFonts w:ascii="Cambria" w:hAnsi="Cambria"/>
                <w:bCs/>
                <w:noProof/>
              </w:rPr>
            </w:pPr>
            <w:r w:rsidRPr="00AB15C7">
              <w:rPr>
                <w:rFonts w:ascii="Cambria" w:hAnsi="Cambria"/>
                <w:bCs/>
                <w:noProof/>
              </w:rPr>
              <w:t>51</w:t>
            </w:r>
          </w:p>
        </w:tc>
        <w:tc>
          <w:tcPr>
            <w:tcW w:w="1088" w:type="dxa"/>
            <w:shd w:val="clear" w:color="auto" w:fill="auto"/>
          </w:tcPr>
          <w:p w14:paraId="3D9A1985" w14:textId="77777777" w:rsidR="00FD4FE3" w:rsidRPr="00AB15C7" w:rsidRDefault="00FD4FE3" w:rsidP="005921EF">
            <w:pPr>
              <w:spacing w:after="0"/>
              <w:jc w:val="both"/>
              <w:rPr>
                <w:rFonts w:ascii="Cambria" w:hAnsi="Cambria"/>
                <w:bCs/>
                <w:noProof/>
              </w:rPr>
            </w:pPr>
            <w:r w:rsidRPr="00AB15C7">
              <w:rPr>
                <w:rFonts w:ascii="Cambria" w:hAnsi="Cambria"/>
                <w:bCs/>
                <w:noProof/>
              </w:rPr>
              <w:t>93</w:t>
            </w:r>
          </w:p>
        </w:tc>
      </w:tr>
      <w:tr w:rsidR="00FD4FE3" w:rsidRPr="00AB15C7" w14:paraId="736DCD05" w14:textId="77777777" w:rsidTr="0066183A">
        <w:trPr>
          <w:jc w:val="center"/>
        </w:trPr>
        <w:tc>
          <w:tcPr>
            <w:tcW w:w="5559" w:type="dxa"/>
            <w:shd w:val="clear" w:color="auto" w:fill="D9D9D9"/>
          </w:tcPr>
          <w:p w14:paraId="1DB6725A" w14:textId="77777777" w:rsidR="00FD4FE3" w:rsidRPr="00AB15C7" w:rsidRDefault="00FD4FE3" w:rsidP="005921EF">
            <w:pPr>
              <w:spacing w:after="0"/>
              <w:jc w:val="both"/>
              <w:rPr>
                <w:rFonts w:ascii="Cambria" w:hAnsi="Cambria"/>
                <w:bCs/>
                <w:noProof/>
              </w:rPr>
            </w:pPr>
            <w:r w:rsidRPr="00AB15C7">
              <w:rPr>
                <w:rFonts w:ascii="Cambria" w:hAnsi="Cambria"/>
                <w:bCs/>
                <w:noProof/>
              </w:rPr>
              <w:t>Hlor</w:t>
            </w:r>
          </w:p>
        </w:tc>
        <w:tc>
          <w:tcPr>
            <w:tcW w:w="1570" w:type="dxa"/>
          </w:tcPr>
          <w:p w14:paraId="7B4DA57B" w14:textId="77777777" w:rsidR="00FD4FE3" w:rsidRPr="00AB15C7" w:rsidRDefault="00FD4FE3" w:rsidP="005921EF">
            <w:pPr>
              <w:spacing w:after="0"/>
              <w:jc w:val="both"/>
              <w:rPr>
                <w:rFonts w:ascii="Cambria" w:hAnsi="Cambria"/>
                <w:bCs/>
                <w:noProof/>
              </w:rPr>
            </w:pPr>
            <w:r w:rsidRPr="00AB15C7">
              <w:rPr>
                <w:rFonts w:ascii="Cambria" w:hAnsi="Cambria"/>
                <w:bCs/>
                <w:noProof/>
              </w:rPr>
              <w:t>2801 10 00</w:t>
            </w:r>
          </w:p>
        </w:tc>
        <w:tc>
          <w:tcPr>
            <w:tcW w:w="1280" w:type="dxa"/>
            <w:shd w:val="clear" w:color="auto" w:fill="auto"/>
          </w:tcPr>
          <w:p w14:paraId="6CD26820" w14:textId="77777777" w:rsidR="00FD4FE3" w:rsidRPr="00AB15C7" w:rsidRDefault="00FD4FE3" w:rsidP="005921EF">
            <w:pPr>
              <w:spacing w:after="0"/>
              <w:jc w:val="both"/>
              <w:rPr>
                <w:rFonts w:ascii="Cambria" w:hAnsi="Cambria"/>
                <w:bCs/>
                <w:noProof/>
              </w:rPr>
            </w:pPr>
            <w:r w:rsidRPr="00AB15C7">
              <w:rPr>
                <w:rFonts w:ascii="Cambria" w:hAnsi="Cambria"/>
                <w:bCs/>
                <w:noProof/>
              </w:rPr>
              <w:t>8</w:t>
            </w:r>
          </w:p>
        </w:tc>
        <w:tc>
          <w:tcPr>
            <w:tcW w:w="1088" w:type="dxa"/>
            <w:shd w:val="clear" w:color="auto" w:fill="auto"/>
          </w:tcPr>
          <w:p w14:paraId="5EF18AFC" w14:textId="77777777" w:rsidR="00FD4FE3" w:rsidRPr="00AB15C7" w:rsidRDefault="00FD4FE3" w:rsidP="005921EF">
            <w:pPr>
              <w:spacing w:after="0"/>
              <w:jc w:val="both"/>
              <w:rPr>
                <w:rFonts w:ascii="Cambria" w:hAnsi="Cambria"/>
                <w:bCs/>
                <w:noProof/>
              </w:rPr>
            </w:pPr>
            <w:r w:rsidRPr="00AB15C7">
              <w:rPr>
                <w:rFonts w:ascii="Cambria" w:hAnsi="Cambria"/>
                <w:bCs/>
                <w:noProof/>
              </w:rPr>
              <w:t>86</w:t>
            </w:r>
          </w:p>
        </w:tc>
      </w:tr>
      <w:tr w:rsidR="00FD4FE3" w:rsidRPr="00AB15C7" w14:paraId="038068A2" w14:textId="77777777" w:rsidTr="0066183A">
        <w:trPr>
          <w:jc w:val="center"/>
        </w:trPr>
        <w:tc>
          <w:tcPr>
            <w:tcW w:w="5559" w:type="dxa"/>
            <w:shd w:val="clear" w:color="auto" w:fill="D9D9D9"/>
          </w:tcPr>
          <w:p w14:paraId="565F3319" w14:textId="77777777" w:rsidR="00FD4FE3" w:rsidRPr="00AB15C7" w:rsidRDefault="00FD4FE3" w:rsidP="005921EF">
            <w:pPr>
              <w:spacing w:after="0"/>
              <w:jc w:val="both"/>
              <w:rPr>
                <w:rFonts w:ascii="Cambria" w:hAnsi="Cambria"/>
                <w:bCs/>
                <w:noProof/>
              </w:rPr>
            </w:pPr>
            <w:r w:rsidRPr="00AB15C7">
              <w:rPr>
                <w:rFonts w:ascii="Cambria" w:hAnsi="Cambria"/>
                <w:bCs/>
                <w:noProof/>
              </w:rPr>
              <w:t>Hlorovodonik (hlorovodoniĉna kisjelina)</w:t>
            </w:r>
          </w:p>
        </w:tc>
        <w:tc>
          <w:tcPr>
            <w:tcW w:w="1570" w:type="dxa"/>
          </w:tcPr>
          <w:p w14:paraId="1D3830B5" w14:textId="77777777" w:rsidR="00FD4FE3" w:rsidRPr="00AB15C7" w:rsidRDefault="00FD4FE3" w:rsidP="005921EF">
            <w:pPr>
              <w:spacing w:after="0"/>
              <w:jc w:val="both"/>
              <w:rPr>
                <w:rFonts w:ascii="Cambria" w:hAnsi="Cambria"/>
                <w:bCs/>
                <w:noProof/>
              </w:rPr>
            </w:pPr>
            <w:r w:rsidRPr="00AB15C7">
              <w:rPr>
                <w:rFonts w:ascii="Cambria" w:hAnsi="Cambria"/>
                <w:bCs/>
                <w:noProof/>
              </w:rPr>
              <w:t>2806 10 00</w:t>
            </w:r>
          </w:p>
        </w:tc>
        <w:tc>
          <w:tcPr>
            <w:tcW w:w="1280" w:type="dxa"/>
            <w:shd w:val="clear" w:color="auto" w:fill="auto"/>
          </w:tcPr>
          <w:p w14:paraId="0FB15571" w14:textId="77777777" w:rsidR="00FD4FE3" w:rsidRPr="00AB15C7" w:rsidRDefault="00FD4FE3" w:rsidP="005921EF">
            <w:pPr>
              <w:spacing w:after="0"/>
              <w:jc w:val="both"/>
              <w:rPr>
                <w:rFonts w:ascii="Cambria" w:hAnsi="Cambria"/>
                <w:bCs/>
                <w:noProof/>
              </w:rPr>
            </w:pPr>
            <w:r w:rsidRPr="00AB15C7">
              <w:rPr>
                <w:rFonts w:ascii="Cambria" w:hAnsi="Cambria"/>
                <w:bCs/>
                <w:noProof/>
              </w:rPr>
              <w:t>1</w:t>
            </w:r>
          </w:p>
        </w:tc>
        <w:tc>
          <w:tcPr>
            <w:tcW w:w="1088" w:type="dxa"/>
            <w:shd w:val="clear" w:color="auto" w:fill="auto"/>
          </w:tcPr>
          <w:p w14:paraId="212780AE" w14:textId="77777777" w:rsidR="00FD4FE3" w:rsidRPr="00AB15C7" w:rsidRDefault="00FD4FE3" w:rsidP="005921EF">
            <w:pPr>
              <w:spacing w:after="0"/>
              <w:jc w:val="both"/>
              <w:rPr>
                <w:rFonts w:ascii="Cambria" w:hAnsi="Cambria"/>
                <w:bCs/>
                <w:noProof/>
              </w:rPr>
            </w:pPr>
            <w:r w:rsidRPr="00AB15C7">
              <w:rPr>
                <w:rFonts w:ascii="Cambria" w:hAnsi="Cambria"/>
                <w:bCs/>
                <w:noProof/>
              </w:rPr>
              <w:t>76</w:t>
            </w:r>
          </w:p>
        </w:tc>
      </w:tr>
      <w:tr w:rsidR="00FD4FE3" w:rsidRPr="00AB15C7" w14:paraId="0427DE7F" w14:textId="77777777" w:rsidTr="0066183A">
        <w:trPr>
          <w:jc w:val="center"/>
        </w:trPr>
        <w:tc>
          <w:tcPr>
            <w:tcW w:w="5559" w:type="dxa"/>
            <w:shd w:val="clear" w:color="auto" w:fill="D9D9D9"/>
          </w:tcPr>
          <w:p w14:paraId="703AC506" w14:textId="77777777" w:rsidR="00FD4FE3" w:rsidRPr="00AB15C7" w:rsidRDefault="00FD4FE3" w:rsidP="005921EF">
            <w:pPr>
              <w:spacing w:after="0"/>
              <w:jc w:val="both"/>
              <w:rPr>
                <w:rFonts w:ascii="Cambria" w:hAnsi="Cambria"/>
                <w:bCs/>
                <w:noProof/>
              </w:rPr>
            </w:pPr>
            <w:r w:rsidRPr="00AB15C7">
              <w:rPr>
                <w:rFonts w:ascii="Cambria" w:hAnsi="Cambria"/>
                <w:bCs/>
                <w:noProof/>
              </w:rPr>
              <w:t>Fenolne smole</w:t>
            </w:r>
          </w:p>
        </w:tc>
        <w:tc>
          <w:tcPr>
            <w:tcW w:w="1570" w:type="dxa"/>
          </w:tcPr>
          <w:p w14:paraId="19A55D89" w14:textId="77777777" w:rsidR="00FD4FE3" w:rsidRPr="00AB15C7" w:rsidRDefault="00FD4FE3" w:rsidP="005921EF">
            <w:pPr>
              <w:spacing w:after="0"/>
              <w:jc w:val="both"/>
              <w:rPr>
                <w:rFonts w:ascii="Cambria" w:hAnsi="Cambria"/>
                <w:bCs/>
                <w:noProof/>
              </w:rPr>
            </w:pPr>
            <w:r w:rsidRPr="00AB15C7">
              <w:rPr>
                <w:rFonts w:ascii="Cambria" w:hAnsi="Cambria"/>
                <w:bCs/>
                <w:noProof/>
              </w:rPr>
              <w:t>3909 40 00</w:t>
            </w:r>
          </w:p>
        </w:tc>
        <w:tc>
          <w:tcPr>
            <w:tcW w:w="1280" w:type="dxa"/>
            <w:shd w:val="clear" w:color="auto" w:fill="auto"/>
          </w:tcPr>
          <w:p w14:paraId="7802090A" w14:textId="77777777" w:rsidR="00FD4FE3" w:rsidRPr="00AB15C7" w:rsidRDefault="00FD4FE3" w:rsidP="005921EF">
            <w:pPr>
              <w:spacing w:after="0"/>
              <w:jc w:val="both"/>
              <w:rPr>
                <w:rFonts w:ascii="Cambria" w:hAnsi="Cambria"/>
                <w:bCs/>
                <w:noProof/>
              </w:rPr>
            </w:pPr>
            <w:r w:rsidRPr="00AB15C7">
              <w:rPr>
                <w:rFonts w:ascii="Cambria" w:hAnsi="Cambria"/>
                <w:bCs/>
                <w:noProof/>
              </w:rPr>
              <w:t>1</w:t>
            </w:r>
          </w:p>
        </w:tc>
        <w:tc>
          <w:tcPr>
            <w:tcW w:w="1088" w:type="dxa"/>
            <w:shd w:val="clear" w:color="auto" w:fill="auto"/>
          </w:tcPr>
          <w:p w14:paraId="0121AE49" w14:textId="77777777" w:rsidR="00FD4FE3" w:rsidRPr="00AB15C7" w:rsidRDefault="00FD4FE3" w:rsidP="005921EF">
            <w:pPr>
              <w:spacing w:after="0"/>
              <w:jc w:val="both"/>
              <w:rPr>
                <w:rFonts w:ascii="Cambria" w:hAnsi="Cambria"/>
                <w:bCs/>
                <w:noProof/>
              </w:rPr>
            </w:pPr>
            <w:r w:rsidRPr="00AB15C7">
              <w:rPr>
                <w:rFonts w:ascii="Cambria" w:hAnsi="Cambria"/>
                <w:bCs/>
                <w:noProof/>
              </w:rPr>
              <w:t>35</w:t>
            </w:r>
          </w:p>
        </w:tc>
      </w:tr>
      <w:tr w:rsidR="00FD4FE3" w:rsidRPr="00AB15C7" w14:paraId="3597091C" w14:textId="77777777" w:rsidTr="0066183A">
        <w:trPr>
          <w:jc w:val="center"/>
        </w:trPr>
        <w:tc>
          <w:tcPr>
            <w:tcW w:w="5559" w:type="dxa"/>
            <w:shd w:val="clear" w:color="auto" w:fill="D9D9D9"/>
          </w:tcPr>
          <w:p w14:paraId="088F558E" w14:textId="77777777" w:rsidR="00FD4FE3" w:rsidRPr="00AB15C7" w:rsidRDefault="00FD4FE3" w:rsidP="005921EF">
            <w:pPr>
              <w:spacing w:after="0"/>
              <w:jc w:val="both"/>
              <w:rPr>
                <w:rFonts w:ascii="Cambria" w:hAnsi="Cambria"/>
                <w:bCs/>
                <w:noProof/>
              </w:rPr>
            </w:pPr>
            <w:r w:rsidRPr="00AB15C7">
              <w:rPr>
                <w:rFonts w:ascii="Cambria" w:hAnsi="Cambria"/>
                <w:bCs/>
                <w:noProof/>
              </w:rPr>
              <w:t>Sirćetna kisjelina</w:t>
            </w:r>
          </w:p>
        </w:tc>
        <w:tc>
          <w:tcPr>
            <w:tcW w:w="1570" w:type="dxa"/>
          </w:tcPr>
          <w:p w14:paraId="7DD1D606" w14:textId="77777777" w:rsidR="00FD4FE3" w:rsidRPr="00AB15C7" w:rsidRDefault="00FD4FE3" w:rsidP="005921EF">
            <w:pPr>
              <w:spacing w:after="0"/>
              <w:jc w:val="both"/>
              <w:rPr>
                <w:rFonts w:ascii="Cambria" w:hAnsi="Cambria"/>
                <w:bCs/>
                <w:noProof/>
              </w:rPr>
            </w:pPr>
            <w:r w:rsidRPr="00AB15C7">
              <w:rPr>
                <w:rFonts w:ascii="Cambria" w:hAnsi="Cambria"/>
                <w:bCs/>
                <w:noProof/>
              </w:rPr>
              <w:t>2915 21 00</w:t>
            </w:r>
          </w:p>
        </w:tc>
        <w:tc>
          <w:tcPr>
            <w:tcW w:w="1280" w:type="dxa"/>
            <w:shd w:val="clear" w:color="auto" w:fill="auto"/>
          </w:tcPr>
          <w:p w14:paraId="760C8FE8" w14:textId="77777777" w:rsidR="00FD4FE3" w:rsidRPr="00AB15C7" w:rsidRDefault="00FD4FE3" w:rsidP="005921EF">
            <w:pPr>
              <w:spacing w:after="0"/>
              <w:jc w:val="both"/>
              <w:rPr>
                <w:rFonts w:ascii="Cambria" w:hAnsi="Cambria"/>
                <w:bCs/>
                <w:noProof/>
              </w:rPr>
            </w:pPr>
            <w:r w:rsidRPr="00AB15C7">
              <w:rPr>
                <w:rFonts w:ascii="Cambria" w:hAnsi="Cambria"/>
                <w:bCs/>
                <w:noProof/>
              </w:rPr>
              <w:t>3</w:t>
            </w:r>
          </w:p>
        </w:tc>
        <w:tc>
          <w:tcPr>
            <w:tcW w:w="1088" w:type="dxa"/>
            <w:shd w:val="clear" w:color="auto" w:fill="auto"/>
          </w:tcPr>
          <w:p w14:paraId="5AF9A0B4" w14:textId="77777777" w:rsidR="00FD4FE3" w:rsidRPr="00AB15C7" w:rsidRDefault="00FD4FE3" w:rsidP="005921EF">
            <w:pPr>
              <w:spacing w:after="0"/>
              <w:jc w:val="both"/>
              <w:rPr>
                <w:rFonts w:ascii="Cambria" w:hAnsi="Cambria"/>
                <w:bCs/>
                <w:noProof/>
              </w:rPr>
            </w:pPr>
            <w:r w:rsidRPr="00AB15C7">
              <w:rPr>
                <w:rFonts w:ascii="Cambria" w:hAnsi="Cambria"/>
                <w:bCs/>
                <w:noProof/>
              </w:rPr>
              <w:t>28</w:t>
            </w:r>
          </w:p>
        </w:tc>
      </w:tr>
      <w:tr w:rsidR="00FD4FE3" w:rsidRPr="00AB15C7" w14:paraId="24BF3133" w14:textId="77777777" w:rsidTr="0066183A">
        <w:trPr>
          <w:jc w:val="center"/>
        </w:trPr>
        <w:tc>
          <w:tcPr>
            <w:tcW w:w="5559" w:type="dxa"/>
            <w:shd w:val="clear" w:color="auto" w:fill="D9D9D9"/>
          </w:tcPr>
          <w:p w14:paraId="7E454A57" w14:textId="77777777" w:rsidR="00FD4FE3" w:rsidRPr="00AB15C7" w:rsidRDefault="00FD4FE3" w:rsidP="005921EF">
            <w:pPr>
              <w:spacing w:after="0"/>
              <w:jc w:val="both"/>
              <w:rPr>
                <w:rFonts w:ascii="Cambria" w:hAnsi="Cambria"/>
                <w:bCs/>
                <w:noProof/>
              </w:rPr>
            </w:pPr>
            <w:r w:rsidRPr="00AB15C7">
              <w:rPr>
                <w:rFonts w:ascii="Cambria" w:hAnsi="Cambria"/>
                <w:bCs/>
                <w:noProof/>
              </w:rPr>
              <w:t>Azotna kisjelina; sulfoazotne kisjeline</w:t>
            </w:r>
          </w:p>
        </w:tc>
        <w:tc>
          <w:tcPr>
            <w:tcW w:w="1570" w:type="dxa"/>
          </w:tcPr>
          <w:p w14:paraId="4341DD46" w14:textId="77777777" w:rsidR="00FD4FE3" w:rsidRPr="00AB15C7" w:rsidRDefault="00FD4FE3" w:rsidP="005921EF">
            <w:pPr>
              <w:spacing w:after="0"/>
              <w:jc w:val="both"/>
              <w:rPr>
                <w:rFonts w:ascii="Cambria" w:hAnsi="Cambria"/>
                <w:bCs/>
                <w:noProof/>
              </w:rPr>
            </w:pPr>
            <w:r w:rsidRPr="00AB15C7">
              <w:rPr>
                <w:rFonts w:ascii="Cambria" w:hAnsi="Cambria"/>
                <w:bCs/>
                <w:noProof/>
              </w:rPr>
              <w:t>2808 00 00</w:t>
            </w:r>
          </w:p>
        </w:tc>
        <w:tc>
          <w:tcPr>
            <w:tcW w:w="1280" w:type="dxa"/>
            <w:shd w:val="clear" w:color="auto" w:fill="auto"/>
          </w:tcPr>
          <w:p w14:paraId="50D28F09" w14:textId="77777777" w:rsidR="00FD4FE3" w:rsidRPr="00AB15C7" w:rsidRDefault="00FD4FE3" w:rsidP="005921EF">
            <w:pPr>
              <w:spacing w:after="0"/>
              <w:jc w:val="both"/>
              <w:rPr>
                <w:rFonts w:ascii="Cambria" w:hAnsi="Cambria"/>
                <w:bCs/>
                <w:noProof/>
              </w:rPr>
            </w:pPr>
            <w:r w:rsidRPr="00AB15C7">
              <w:rPr>
                <w:rFonts w:ascii="Cambria" w:hAnsi="Cambria"/>
                <w:bCs/>
                <w:noProof/>
              </w:rPr>
              <w:t>5</w:t>
            </w:r>
          </w:p>
        </w:tc>
        <w:tc>
          <w:tcPr>
            <w:tcW w:w="1088" w:type="dxa"/>
            <w:shd w:val="clear" w:color="auto" w:fill="auto"/>
          </w:tcPr>
          <w:p w14:paraId="38C6267C" w14:textId="77777777" w:rsidR="00FD4FE3" w:rsidRPr="00AB15C7" w:rsidRDefault="00FD4FE3" w:rsidP="005921EF">
            <w:pPr>
              <w:spacing w:after="0"/>
              <w:jc w:val="both"/>
              <w:rPr>
                <w:rFonts w:ascii="Cambria" w:hAnsi="Cambria"/>
                <w:bCs/>
                <w:noProof/>
              </w:rPr>
            </w:pPr>
            <w:r w:rsidRPr="00AB15C7">
              <w:rPr>
                <w:rFonts w:ascii="Cambria" w:hAnsi="Cambria"/>
                <w:bCs/>
                <w:noProof/>
              </w:rPr>
              <w:t>22</w:t>
            </w:r>
          </w:p>
        </w:tc>
      </w:tr>
      <w:tr w:rsidR="00FD4FE3" w:rsidRPr="00AB15C7" w14:paraId="3A1741C1" w14:textId="77777777" w:rsidTr="0066183A">
        <w:trPr>
          <w:jc w:val="center"/>
        </w:trPr>
        <w:tc>
          <w:tcPr>
            <w:tcW w:w="5559" w:type="dxa"/>
            <w:shd w:val="clear" w:color="auto" w:fill="D9D9D9"/>
          </w:tcPr>
          <w:p w14:paraId="55CF364F" w14:textId="77777777" w:rsidR="00FD4FE3" w:rsidRPr="00AB15C7" w:rsidRDefault="00FD4FE3" w:rsidP="005921EF">
            <w:pPr>
              <w:spacing w:after="0"/>
              <w:jc w:val="both"/>
              <w:rPr>
                <w:rFonts w:ascii="Cambria" w:hAnsi="Cambria"/>
                <w:bCs/>
                <w:noProof/>
              </w:rPr>
            </w:pPr>
            <w:r w:rsidRPr="00AB15C7">
              <w:rPr>
                <w:rFonts w:ascii="Cambria" w:hAnsi="Cambria"/>
                <w:bCs/>
                <w:noProof/>
              </w:rPr>
              <w:t>Preparati za brijanje, ukljuĉujući prije ili poslije brijanja, dezodoransi za liĉnu upotrebu, preparati za kupanje, depilatori i ostali parfimerijski, kozmetiĉki ili toaletni preparati, na drugom mjestu nepomenuti niti obuhvaćeni; pripremljeni dezodoransi za prostorije, parfimisani ili neparfimisani, ukljuĉujući i one koji imaju dezinfekciona svojstva:</w:t>
            </w:r>
          </w:p>
        </w:tc>
        <w:tc>
          <w:tcPr>
            <w:tcW w:w="1570" w:type="dxa"/>
          </w:tcPr>
          <w:p w14:paraId="09636B2A" w14:textId="77777777" w:rsidR="00FD4FE3" w:rsidRPr="00AB15C7" w:rsidRDefault="00FD4FE3" w:rsidP="005921EF">
            <w:pPr>
              <w:spacing w:after="0"/>
              <w:jc w:val="both"/>
              <w:rPr>
                <w:rFonts w:ascii="Cambria" w:hAnsi="Cambria"/>
                <w:bCs/>
                <w:noProof/>
              </w:rPr>
            </w:pPr>
            <w:r w:rsidRPr="00AB15C7">
              <w:rPr>
                <w:rFonts w:ascii="Cambria" w:hAnsi="Cambria"/>
                <w:bCs/>
                <w:noProof/>
              </w:rPr>
              <w:t>3307*</w:t>
            </w:r>
          </w:p>
        </w:tc>
        <w:tc>
          <w:tcPr>
            <w:tcW w:w="1280" w:type="dxa"/>
            <w:shd w:val="clear" w:color="auto" w:fill="auto"/>
          </w:tcPr>
          <w:p w14:paraId="4612E467" w14:textId="77777777" w:rsidR="00FD4FE3" w:rsidRPr="00AB15C7" w:rsidRDefault="00FD4FE3" w:rsidP="005921EF">
            <w:pPr>
              <w:spacing w:after="0"/>
              <w:jc w:val="both"/>
              <w:rPr>
                <w:rFonts w:ascii="Cambria" w:hAnsi="Cambria"/>
                <w:bCs/>
                <w:noProof/>
              </w:rPr>
            </w:pPr>
            <w:r w:rsidRPr="00AB15C7">
              <w:rPr>
                <w:rFonts w:ascii="Cambria" w:hAnsi="Cambria"/>
                <w:bCs/>
                <w:noProof/>
              </w:rPr>
              <w:t>55</w:t>
            </w:r>
          </w:p>
        </w:tc>
        <w:tc>
          <w:tcPr>
            <w:tcW w:w="1088" w:type="dxa"/>
            <w:shd w:val="clear" w:color="auto" w:fill="auto"/>
          </w:tcPr>
          <w:p w14:paraId="5DD11B75" w14:textId="77777777" w:rsidR="00FD4FE3" w:rsidRPr="00AB15C7" w:rsidRDefault="00FD4FE3" w:rsidP="005921EF">
            <w:pPr>
              <w:spacing w:after="0"/>
              <w:jc w:val="both"/>
              <w:rPr>
                <w:rFonts w:ascii="Cambria" w:hAnsi="Cambria"/>
                <w:bCs/>
                <w:noProof/>
              </w:rPr>
            </w:pPr>
            <w:r w:rsidRPr="00AB15C7">
              <w:rPr>
                <w:rFonts w:ascii="Cambria" w:hAnsi="Cambria"/>
                <w:bCs/>
                <w:noProof/>
              </w:rPr>
              <w:t>21</w:t>
            </w:r>
          </w:p>
        </w:tc>
      </w:tr>
      <w:tr w:rsidR="00FD4FE3" w:rsidRPr="00AB15C7" w14:paraId="7E5F5FDA" w14:textId="77777777" w:rsidTr="0066183A">
        <w:trPr>
          <w:jc w:val="center"/>
        </w:trPr>
        <w:tc>
          <w:tcPr>
            <w:tcW w:w="5559" w:type="dxa"/>
            <w:shd w:val="clear" w:color="auto" w:fill="D9D9D9"/>
          </w:tcPr>
          <w:p w14:paraId="29425252" w14:textId="77777777" w:rsidR="00FD4FE3" w:rsidRPr="00AB15C7" w:rsidRDefault="00FD4FE3" w:rsidP="005921EF">
            <w:pPr>
              <w:spacing w:after="0"/>
              <w:jc w:val="both"/>
              <w:rPr>
                <w:rFonts w:ascii="Cambria" w:hAnsi="Cambria"/>
                <w:bCs/>
                <w:noProof/>
              </w:rPr>
            </w:pPr>
            <w:r w:rsidRPr="00AB15C7">
              <w:rPr>
                <w:rFonts w:ascii="Cambria" w:hAnsi="Cambria"/>
                <w:bCs/>
                <w:noProof/>
              </w:rPr>
              <w:t>Boje i premazi (ukljuĉujući emajle i lakove) na bazi sintetiĉkih polimera ili hemijski modifikovanih prirodnih polimera, dispergovanih ili rastvorenih u nevodenom medijumu</w:t>
            </w:r>
          </w:p>
        </w:tc>
        <w:tc>
          <w:tcPr>
            <w:tcW w:w="1570" w:type="dxa"/>
          </w:tcPr>
          <w:p w14:paraId="705CD905" w14:textId="77777777" w:rsidR="00FD4FE3" w:rsidRPr="00AB15C7" w:rsidRDefault="00FD4FE3" w:rsidP="005921EF">
            <w:pPr>
              <w:spacing w:after="0"/>
              <w:jc w:val="both"/>
              <w:rPr>
                <w:rFonts w:ascii="Cambria" w:hAnsi="Cambria"/>
                <w:bCs/>
                <w:noProof/>
              </w:rPr>
            </w:pPr>
            <w:r w:rsidRPr="00AB15C7">
              <w:rPr>
                <w:rFonts w:ascii="Cambria" w:hAnsi="Cambria"/>
                <w:bCs/>
                <w:noProof/>
              </w:rPr>
              <w:t>3208*</w:t>
            </w:r>
          </w:p>
        </w:tc>
        <w:tc>
          <w:tcPr>
            <w:tcW w:w="1280" w:type="dxa"/>
            <w:shd w:val="clear" w:color="auto" w:fill="auto"/>
          </w:tcPr>
          <w:p w14:paraId="34FE8EBA" w14:textId="77777777" w:rsidR="00FD4FE3" w:rsidRPr="00AB15C7" w:rsidRDefault="00FD4FE3" w:rsidP="005921EF">
            <w:pPr>
              <w:spacing w:after="0"/>
              <w:jc w:val="both"/>
              <w:rPr>
                <w:rFonts w:ascii="Cambria" w:hAnsi="Cambria"/>
                <w:bCs/>
                <w:noProof/>
              </w:rPr>
            </w:pPr>
            <w:r w:rsidRPr="00AB15C7">
              <w:rPr>
                <w:rFonts w:ascii="Cambria" w:hAnsi="Cambria"/>
                <w:bCs/>
                <w:noProof/>
              </w:rPr>
              <w:t>37</w:t>
            </w:r>
          </w:p>
        </w:tc>
        <w:tc>
          <w:tcPr>
            <w:tcW w:w="1088" w:type="dxa"/>
            <w:shd w:val="clear" w:color="auto" w:fill="auto"/>
          </w:tcPr>
          <w:p w14:paraId="24B63D6E" w14:textId="77777777" w:rsidR="00FD4FE3" w:rsidRPr="00AB15C7" w:rsidRDefault="00FD4FE3" w:rsidP="005921EF">
            <w:pPr>
              <w:spacing w:after="0"/>
              <w:jc w:val="both"/>
              <w:rPr>
                <w:rFonts w:ascii="Cambria" w:hAnsi="Cambria"/>
                <w:bCs/>
                <w:noProof/>
              </w:rPr>
            </w:pPr>
            <w:r w:rsidRPr="00AB15C7">
              <w:rPr>
                <w:rFonts w:ascii="Cambria" w:hAnsi="Cambria"/>
                <w:bCs/>
                <w:noProof/>
              </w:rPr>
              <w:t>11</w:t>
            </w:r>
          </w:p>
        </w:tc>
      </w:tr>
      <w:tr w:rsidR="00FD4FE3" w:rsidRPr="00AB15C7" w14:paraId="6F8B44A1" w14:textId="77777777" w:rsidTr="0066183A">
        <w:trPr>
          <w:jc w:val="center"/>
        </w:trPr>
        <w:tc>
          <w:tcPr>
            <w:tcW w:w="5559" w:type="dxa"/>
            <w:shd w:val="clear" w:color="auto" w:fill="D9D9D9"/>
          </w:tcPr>
          <w:p w14:paraId="2BED258F" w14:textId="77777777" w:rsidR="00FD4FE3" w:rsidRPr="00AB15C7" w:rsidRDefault="00FD4FE3" w:rsidP="005921EF">
            <w:pPr>
              <w:spacing w:after="0"/>
              <w:jc w:val="both"/>
              <w:rPr>
                <w:rFonts w:ascii="Cambria" w:hAnsi="Cambria"/>
                <w:bCs/>
                <w:noProof/>
              </w:rPr>
            </w:pPr>
            <w:r w:rsidRPr="00AB15C7">
              <w:rPr>
                <w:rFonts w:ascii="Cambria" w:hAnsi="Cambria"/>
                <w:bCs/>
                <w:noProof/>
              </w:rPr>
              <w:t>Pripremljena vezivna sredstva za livaĉke kalupe ili livaĉka jezgra; hemijski proizvodi i preparati hemijske ili srodnih industrija (ukljuĉujući i one koji se sastoje od mješavina prirodnih proizvoda)</w:t>
            </w:r>
          </w:p>
        </w:tc>
        <w:tc>
          <w:tcPr>
            <w:tcW w:w="1570" w:type="dxa"/>
          </w:tcPr>
          <w:p w14:paraId="43C6A010" w14:textId="77777777" w:rsidR="00FD4FE3" w:rsidRPr="00AB15C7" w:rsidRDefault="00FD4FE3" w:rsidP="005921EF">
            <w:pPr>
              <w:spacing w:after="0"/>
              <w:jc w:val="both"/>
              <w:rPr>
                <w:rFonts w:ascii="Cambria" w:hAnsi="Cambria"/>
                <w:bCs/>
                <w:noProof/>
              </w:rPr>
            </w:pPr>
            <w:r w:rsidRPr="00AB15C7">
              <w:rPr>
                <w:rFonts w:ascii="Cambria" w:hAnsi="Cambria"/>
                <w:bCs/>
                <w:noProof/>
              </w:rPr>
              <w:t>3824*</w:t>
            </w:r>
          </w:p>
        </w:tc>
        <w:tc>
          <w:tcPr>
            <w:tcW w:w="1280" w:type="dxa"/>
            <w:shd w:val="clear" w:color="auto" w:fill="auto"/>
          </w:tcPr>
          <w:p w14:paraId="35F759BC" w14:textId="77777777" w:rsidR="00FD4FE3" w:rsidRPr="00AB15C7" w:rsidRDefault="00FD4FE3" w:rsidP="005921EF">
            <w:pPr>
              <w:spacing w:after="0"/>
              <w:jc w:val="both"/>
              <w:rPr>
                <w:rFonts w:ascii="Cambria" w:hAnsi="Cambria"/>
                <w:bCs/>
                <w:noProof/>
              </w:rPr>
            </w:pPr>
            <w:r w:rsidRPr="00AB15C7">
              <w:rPr>
                <w:rFonts w:ascii="Cambria" w:hAnsi="Cambria"/>
                <w:bCs/>
                <w:noProof/>
              </w:rPr>
              <w:t>27</w:t>
            </w:r>
          </w:p>
        </w:tc>
        <w:tc>
          <w:tcPr>
            <w:tcW w:w="1088" w:type="dxa"/>
            <w:shd w:val="clear" w:color="auto" w:fill="auto"/>
          </w:tcPr>
          <w:p w14:paraId="6D3A458E" w14:textId="77777777" w:rsidR="00FD4FE3" w:rsidRPr="00AB15C7" w:rsidRDefault="00FD4FE3" w:rsidP="005921EF">
            <w:pPr>
              <w:spacing w:after="0"/>
              <w:jc w:val="both"/>
              <w:rPr>
                <w:rFonts w:ascii="Cambria" w:hAnsi="Cambria"/>
                <w:bCs/>
                <w:noProof/>
              </w:rPr>
            </w:pPr>
            <w:r w:rsidRPr="00AB15C7">
              <w:rPr>
                <w:rFonts w:ascii="Cambria" w:hAnsi="Cambria"/>
                <w:bCs/>
                <w:noProof/>
              </w:rPr>
              <w:t>11</w:t>
            </w:r>
          </w:p>
        </w:tc>
      </w:tr>
      <w:tr w:rsidR="00FD4FE3" w:rsidRPr="00AB15C7" w14:paraId="16F73133" w14:textId="77777777" w:rsidTr="0066183A">
        <w:trPr>
          <w:jc w:val="center"/>
        </w:trPr>
        <w:tc>
          <w:tcPr>
            <w:tcW w:w="5559" w:type="dxa"/>
            <w:shd w:val="clear" w:color="auto" w:fill="D9D9D9"/>
          </w:tcPr>
          <w:p w14:paraId="4CD4D1FE" w14:textId="77777777" w:rsidR="00FD4FE3" w:rsidRPr="00AB15C7" w:rsidRDefault="00FD4FE3" w:rsidP="005921EF">
            <w:pPr>
              <w:spacing w:after="0"/>
              <w:jc w:val="both"/>
              <w:rPr>
                <w:rFonts w:ascii="Cambria" w:hAnsi="Cambria"/>
                <w:bCs/>
                <w:noProof/>
              </w:rPr>
            </w:pPr>
            <w:r w:rsidRPr="00AB15C7">
              <w:rPr>
                <w:rFonts w:ascii="Cambria" w:hAnsi="Cambria"/>
                <w:bCs/>
                <w:noProof/>
              </w:rPr>
              <w:t>Ostalo (zastupljeno u manjim količinama)</w:t>
            </w:r>
          </w:p>
        </w:tc>
        <w:tc>
          <w:tcPr>
            <w:tcW w:w="1570" w:type="dxa"/>
            <w:shd w:val="clear" w:color="auto" w:fill="FFFFFF"/>
          </w:tcPr>
          <w:p w14:paraId="1B88E0B5" w14:textId="77777777" w:rsidR="00FD4FE3" w:rsidRPr="00AB15C7" w:rsidRDefault="00FD4FE3" w:rsidP="005921EF">
            <w:pPr>
              <w:spacing w:after="0"/>
              <w:jc w:val="both"/>
              <w:rPr>
                <w:rFonts w:ascii="Cambria" w:hAnsi="Cambria"/>
                <w:bCs/>
                <w:noProof/>
              </w:rPr>
            </w:pPr>
            <w:r w:rsidRPr="00AB15C7">
              <w:rPr>
                <w:rFonts w:ascii="Cambria" w:hAnsi="Cambria"/>
                <w:bCs/>
                <w:noProof/>
              </w:rPr>
              <w:t>ostalo</w:t>
            </w:r>
          </w:p>
        </w:tc>
        <w:tc>
          <w:tcPr>
            <w:tcW w:w="1280" w:type="dxa"/>
            <w:shd w:val="clear" w:color="auto" w:fill="auto"/>
          </w:tcPr>
          <w:p w14:paraId="6D2134A7" w14:textId="77777777" w:rsidR="00FD4FE3" w:rsidRPr="00AB15C7" w:rsidRDefault="00FD4FE3" w:rsidP="005921EF">
            <w:pPr>
              <w:spacing w:after="0"/>
              <w:jc w:val="both"/>
              <w:rPr>
                <w:rFonts w:ascii="Cambria" w:hAnsi="Cambria"/>
                <w:bCs/>
                <w:noProof/>
              </w:rPr>
            </w:pPr>
            <w:r w:rsidRPr="00AB15C7">
              <w:rPr>
                <w:rFonts w:ascii="Cambria" w:hAnsi="Cambria"/>
                <w:bCs/>
                <w:noProof/>
              </w:rPr>
              <w:t>220</w:t>
            </w:r>
          </w:p>
        </w:tc>
        <w:tc>
          <w:tcPr>
            <w:tcW w:w="1088" w:type="dxa"/>
            <w:shd w:val="clear" w:color="auto" w:fill="auto"/>
          </w:tcPr>
          <w:p w14:paraId="2DEDCDA6" w14:textId="77777777" w:rsidR="00FD4FE3" w:rsidRPr="00AB15C7" w:rsidRDefault="00FD4FE3" w:rsidP="005921EF">
            <w:pPr>
              <w:spacing w:after="0"/>
              <w:jc w:val="both"/>
              <w:rPr>
                <w:rFonts w:ascii="Cambria" w:hAnsi="Cambria"/>
                <w:bCs/>
                <w:noProof/>
              </w:rPr>
            </w:pPr>
            <w:r w:rsidRPr="00AB15C7">
              <w:rPr>
                <w:rFonts w:ascii="Cambria" w:hAnsi="Cambria"/>
                <w:bCs/>
                <w:noProof/>
              </w:rPr>
              <w:t>201</w:t>
            </w:r>
          </w:p>
        </w:tc>
      </w:tr>
      <w:tr w:rsidR="00FD4FE3" w:rsidRPr="00AB15C7" w14:paraId="18831350" w14:textId="77777777" w:rsidTr="00245FD4">
        <w:trPr>
          <w:jc w:val="center"/>
        </w:trPr>
        <w:tc>
          <w:tcPr>
            <w:tcW w:w="7129" w:type="dxa"/>
            <w:gridSpan w:val="2"/>
          </w:tcPr>
          <w:p w14:paraId="2427277A" w14:textId="77777777" w:rsidR="00FD4FE3" w:rsidRPr="00AB15C7" w:rsidRDefault="00FD4FE3" w:rsidP="005921EF">
            <w:pPr>
              <w:spacing w:after="0"/>
              <w:jc w:val="both"/>
              <w:rPr>
                <w:rFonts w:ascii="Cambria" w:hAnsi="Cambria"/>
                <w:bCs/>
                <w:noProof/>
              </w:rPr>
            </w:pPr>
            <w:r w:rsidRPr="00AB15C7">
              <w:rPr>
                <w:rFonts w:ascii="Cambria" w:hAnsi="Cambria"/>
                <w:bCs/>
                <w:noProof/>
              </w:rPr>
              <w:t>UKUPNO</w:t>
            </w:r>
          </w:p>
        </w:tc>
        <w:tc>
          <w:tcPr>
            <w:tcW w:w="1280" w:type="dxa"/>
          </w:tcPr>
          <w:p w14:paraId="0D2244C5" w14:textId="77777777" w:rsidR="00FD4FE3" w:rsidRPr="00AB15C7" w:rsidRDefault="00FD4FE3" w:rsidP="005921EF">
            <w:pPr>
              <w:spacing w:after="0"/>
              <w:jc w:val="both"/>
              <w:rPr>
                <w:rFonts w:ascii="Cambria" w:hAnsi="Cambria"/>
                <w:bCs/>
                <w:noProof/>
              </w:rPr>
            </w:pPr>
            <w:r w:rsidRPr="00AB15C7">
              <w:rPr>
                <w:rFonts w:ascii="Cambria" w:hAnsi="Cambria"/>
                <w:bCs/>
                <w:noProof/>
              </w:rPr>
              <w:t>1130</w:t>
            </w:r>
          </w:p>
        </w:tc>
        <w:tc>
          <w:tcPr>
            <w:tcW w:w="1088" w:type="dxa"/>
            <w:shd w:val="clear" w:color="auto" w:fill="auto"/>
          </w:tcPr>
          <w:p w14:paraId="76B4FE0C" w14:textId="77777777" w:rsidR="00FD4FE3" w:rsidRPr="00AB15C7" w:rsidRDefault="00FD4FE3" w:rsidP="005921EF">
            <w:pPr>
              <w:spacing w:after="0"/>
              <w:jc w:val="both"/>
              <w:rPr>
                <w:rFonts w:ascii="Cambria" w:hAnsi="Cambria"/>
                <w:bCs/>
                <w:noProof/>
              </w:rPr>
            </w:pPr>
            <w:r w:rsidRPr="00AB15C7">
              <w:rPr>
                <w:rFonts w:ascii="Cambria" w:hAnsi="Cambria"/>
                <w:bCs/>
                <w:noProof/>
              </w:rPr>
              <w:t>78 243</w:t>
            </w:r>
          </w:p>
        </w:tc>
      </w:tr>
    </w:tbl>
    <w:p w14:paraId="7788AEC3" w14:textId="77777777" w:rsidR="003E3419" w:rsidRPr="0005493B" w:rsidRDefault="00D82D6E" w:rsidP="005921EF">
      <w:pPr>
        <w:jc w:val="both"/>
        <w:rPr>
          <w:rFonts w:ascii="Cambria" w:hAnsi="Cambria"/>
          <w:noProof/>
          <w:sz w:val="20"/>
        </w:rPr>
      </w:pPr>
      <w:r w:rsidRPr="0005493B">
        <w:rPr>
          <w:rFonts w:ascii="Cambria" w:hAnsi="Cambria"/>
          <w:noProof/>
          <w:sz w:val="20"/>
        </w:rPr>
        <w:t xml:space="preserve">Napomena *: </w:t>
      </w:r>
      <w:r w:rsidR="007B2B79" w:rsidRPr="0005493B">
        <w:rPr>
          <w:rFonts w:ascii="Cambria" w:hAnsi="Cambria"/>
          <w:noProof/>
          <w:sz w:val="20"/>
        </w:rPr>
        <w:t xml:space="preserve">Za </w:t>
      </w:r>
      <w:r w:rsidR="003F1CB2" w:rsidRPr="0005493B">
        <w:rPr>
          <w:rFonts w:ascii="Cambria" w:hAnsi="Cambria"/>
          <w:noProof/>
          <w:sz w:val="20"/>
        </w:rPr>
        <w:t xml:space="preserve">grupe </w:t>
      </w:r>
      <w:r w:rsidR="007B2B79" w:rsidRPr="0005493B">
        <w:rPr>
          <w:rFonts w:ascii="Cambria" w:hAnsi="Cambria"/>
          <w:noProof/>
          <w:sz w:val="20"/>
        </w:rPr>
        <w:t>hemikalij</w:t>
      </w:r>
      <w:r w:rsidR="003F1CB2" w:rsidRPr="0005493B">
        <w:rPr>
          <w:rFonts w:ascii="Cambria" w:hAnsi="Cambria"/>
          <w:noProof/>
          <w:sz w:val="20"/>
        </w:rPr>
        <w:t>a</w:t>
      </w:r>
      <w:r w:rsidR="007B2B79" w:rsidRPr="0005493B">
        <w:rPr>
          <w:rFonts w:ascii="Cambria" w:hAnsi="Cambria"/>
          <w:noProof/>
          <w:sz w:val="20"/>
        </w:rPr>
        <w:t xml:space="preserve"> sa </w:t>
      </w:r>
      <w:r w:rsidR="003F1CB2" w:rsidRPr="0005493B">
        <w:rPr>
          <w:rFonts w:ascii="Cambria" w:hAnsi="Cambria"/>
          <w:noProof/>
          <w:sz w:val="20"/>
        </w:rPr>
        <w:t xml:space="preserve">istim početnim </w:t>
      </w:r>
      <w:r w:rsidR="007B2B79" w:rsidRPr="0005493B">
        <w:rPr>
          <w:rFonts w:ascii="Cambria" w:hAnsi="Cambria"/>
          <w:noProof/>
          <w:sz w:val="20"/>
        </w:rPr>
        <w:t>tarifni</w:t>
      </w:r>
      <w:r w:rsidR="003F1CB2" w:rsidRPr="0005493B">
        <w:rPr>
          <w:rFonts w:ascii="Cambria" w:hAnsi="Cambria"/>
          <w:noProof/>
          <w:sz w:val="20"/>
        </w:rPr>
        <w:t xml:space="preserve">m </w:t>
      </w:r>
      <w:r w:rsidR="007B2B79" w:rsidRPr="0005493B">
        <w:rPr>
          <w:rFonts w:ascii="Cambria" w:hAnsi="Cambria"/>
          <w:noProof/>
          <w:sz w:val="20"/>
        </w:rPr>
        <w:t>brojev</w:t>
      </w:r>
      <w:r w:rsidR="003F1CB2" w:rsidRPr="0005493B">
        <w:rPr>
          <w:rFonts w:ascii="Cambria" w:hAnsi="Cambria"/>
          <w:noProof/>
          <w:sz w:val="20"/>
        </w:rPr>
        <w:t>ima i</w:t>
      </w:r>
      <w:r w:rsidR="007B2B79" w:rsidRPr="0005493B">
        <w:rPr>
          <w:rFonts w:ascii="Cambria" w:hAnsi="Cambria"/>
          <w:noProof/>
          <w:sz w:val="20"/>
        </w:rPr>
        <w:t xml:space="preserve"> sličnim karakteristikama dat je </w:t>
      </w:r>
      <w:r w:rsidR="003F1CB2" w:rsidRPr="0005493B">
        <w:rPr>
          <w:rFonts w:ascii="Cambria" w:hAnsi="Cambria"/>
          <w:noProof/>
          <w:sz w:val="20"/>
        </w:rPr>
        <w:t xml:space="preserve">početni </w:t>
      </w:r>
      <w:r w:rsidRPr="0005493B">
        <w:rPr>
          <w:rFonts w:ascii="Cambria" w:hAnsi="Cambria"/>
          <w:noProof/>
          <w:sz w:val="20"/>
        </w:rPr>
        <w:t xml:space="preserve">tarifni broj grupe </w:t>
      </w:r>
      <w:r w:rsidR="003F1CB2" w:rsidRPr="0005493B">
        <w:rPr>
          <w:rFonts w:ascii="Cambria" w:hAnsi="Cambria"/>
          <w:noProof/>
          <w:sz w:val="20"/>
        </w:rPr>
        <w:t>sa zajedničkim opisom</w:t>
      </w:r>
      <w:r w:rsidRPr="0005493B">
        <w:rPr>
          <w:rFonts w:ascii="Cambria" w:hAnsi="Cambria"/>
          <w:noProof/>
          <w:sz w:val="20"/>
        </w:rPr>
        <w:t xml:space="preserve"> </w:t>
      </w:r>
    </w:p>
    <w:p w14:paraId="51A572B6" w14:textId="77777777" w:rsidR="00F6618B" w:rsidRPr="00AB15C7" w:rsidRDefault="00F6618B" w:rsidP="005921EF">
      <w:pPr>
        <w:jc w:val="center"/>
        <w:rPr>
          <w:rFonts w:ascii="Cambria" w:hAnsi="Cambria"/>
          <w:b/>
          <w:noProof/>
          <w:lang w:val="sr-Latn-ME"/>
        </w:rPr>
      </w:pPr>
      <w:r w:rsidRPr="00AB15C7">
        <w:rPr>
          <w:rFonts w:ascii="Cambria" w:hAnsi="Cambria"/>
          <w:i/>
          <w:noProof/>
          <w:lang w:val="sr-Latn-ME"/>
        </w:rPr>
        <w:t>Izvor: Agencija za zaštitu životne sredine</w:t>
      </w:r>
    </w:p>
    <w:p w14:paraId="532EA455" w14:textId="3D6952E9" w:rsidR="00062970" w:rsidRPr="00AB15C7" w:rsidRDefault="00062970" w:rsidP="005921EF">
      <w:pPr>
        <w:jc w:val="both"/>
        <w:rPr>
          <w:rFonts w:ascii="Cambria" w:hAnsi="Cambria"/>
          <w:noProof/>
        </w:rPr>
      </w:pPr>
      <w:r w:rsidRPr="00AB15C7">
        <w:rPr>
          <w:rFonts w:ascii="Cambria" w:hAnsi="Cambria"/>
          <w:noProof/>
        </w:rPr>
        <w:t xml:space="preserve">Treba napomenuti da </w:t>
      </w:r>
      <w:r w:rsidR="00D07124">
        <w:rPr>
          <w:rFonts w:ascii="Cambria" w:hAnsi="Cambria"/>
          <w:noProof/>
        </w:rPr>
        <w:t xml:space="preserve">se </w:t>
      </w:r>
      <w:r w:rsidRPr="00AB15C7">
        <w:rPr>
          <w:rFonts w:ascii="Cambria" w:hAnsi="Cambria"/>
          <w:noProof/>
        </w:rPr>
        <w:t xml:space="preserve">podaci za </w:t>
      </w:r>
      <w:r w:rsidR="001658E3" w:rsidRPr="00AB15C7">
        <w:rPr>
          <w:rFonts w:ascii="Cambria" w:hAnsi="Cambria"/>
          <w:noProof/>
        </w:rPr>
        <w:t>R</w:t>
      </w:r>
      <w:r w:rsidRPr="00AB15C7">
        <w:rPr>
          <w:rFonts w:ascii="Cambria" w:hAnsi="Cambria"/>
          <w:noProof/>
        </w:rPr>
        <w:t>egistar hemikalija prikupljaju nakon što se završi godina u kojoj se hemikalije stavljaju u promet, te da podaci za 2016. uključuju i promet biocidnih proizvoda kao specifične vrste hemikalija koja je od 1.1.2017. kada je otpočela prim</w:t>
      </w:r>
      <w:r w:rsidR="00D07124">
        <w:rPr>
          <w:rFonts w:ascii="Cambria" w:hAnsi="Cambria"/>
          <w:noProof/>
        </w:rPr>
        <w:t>j</w:t>
      </w:r>
      <w:r w:rsidRPr="00AB15C7">
        <w:rPr>
          <w:rFonts w:ascii="Cambria" w:hAnsi="Cambria"/>
          <w:noProof/>
        </w:rPr>
        <w:t>ena novog Zakona o biocidnim proizvodima uređena posebnim propisima</w:t>
      </w:r>
      <w:r w:rsidR="003F1CB2" w:rsidRPr="00AB15C7">
        <w:rPr>
          <w:rFonts w:ascii="Cambria" w:hAnsi="Cambria"/>
          <w:noProof/>
        </w:rPr>
        <w:t>.</w:t>
      </w:r>
      <w:r w:rsidR="00C64BDB" w:rsidRPr="00AB15C7">
        <w:rPr>
          <w:rFonts w:ascii="Cambria" w:hAnsi="Cambria"/>
          <w:noProof/>
        </w:rPr>
        <w:t xml:space="preserve"> Takođe, s obzirom da je sredinom 2017</w:t>
      </w:r>
      <w:r w:rsidR="00B31AB8" w:rsidRPr="00AB15C7">
        <w:rPr>
          <w:rFonts w:ascii="Cambria" w:hAnsi="Cambria"/>
          <w:noProof/>
        </w:rPr>
        <w:t>.</w:t>
      </w:r>
      <w:r w:rsidR="00C64BDB" w:rsidRPr="00AB15C7">
        <w:rPr>
          <w:rFonts w:ascii="Cambria" w:hAnsi="Cambria"/>
          <w:noProof/>
        </w:rPr>
        <w:t xml:space="preserve"> donesen novi Zakon o hemikalijama </w:t>
      </w:r>
      <w:r w:rsidR="00B31AB8" w:rsidRPr="00AB15C7">
        <w:rPr>
          <w:rFonts w:ascii="Cambria" w:hAnsi="Cambria"/>
          <w:noProof/>
        </w:rPr>
        <w:t xml:space="preserve">kojim je </w:t>
      </w:r>
      <w:r w:rsidR="00157C40" w:rsidRPr="00AB15C7">
        <w:rPr>
          <w:rFonts w:ascii="Cambria" w:hAnsi="Cambria"/>
          <w:noProof/>
        </w:rPr>
        <w:t xml:space="preserve">propisano da se </w:t>
      </w:r>
      <w:r w:rsidR="00F820B7" w:rsidRPr="00AB15C7">
        <w:rPr>
          <w:rFonts w:ascii="Cambria" w:hAnsi="Cambria"/>
          <w:noProof/>
        </w:rPr>
        <w:t xml:space="preserve">u registar hemikalija upisuju </w:t>
      </w:r>
      <w:r w:rsidR="00157C40" w:rsidRPr="00AB15C7">
        <w:rPr>
          <w:rFonts w:ascii="Cambria" w:hAnsi="Cambria"/>
          <w:noProof/>
        </w:rPr>
        <w:t>supstance pojedinačno, u smješama ili u proizvodu koje se proizvode ili stavljaju na tržište u ukupnim količinama preko 1 t godišnje</w:t>
      </w:r>
      <w:r w:rsidR="00D32C8D">
        <w:rPr>
          <w:rFonts w:ascii="Cambria" w:hAnsi="Cambria"/>
          <w:noProof/>
        </w:rPr>
        <w:t xml:space="preserve">, </w:t>
      </w:r>
      <w:r w:rsidR="00F820B7" w:rsidRPr="00AB15C7">
        <w:rPr>
          <w:rFonts w:ascii="Cambria" w:hAnsi="Cambria"/>
          <w:noProof/>
        </w:rPr>
        <w:t>što je u saglasnosti sa donjom količinom koja je u EU propisana za registraciju po REACH</w:t>
      </w:r>
      <w:r w:rsidR="00D07124">
        <w:rPr>
          <w:rFonts w:ascii="Cambria" w:hAnsi="Cambria"/>
          <w:noProof/>
        </w:rPr>
        <w:t xml:space="preserve"> uredbi </w:t>
      </w:r>
      <w:r w:rsidR="00157C40" w:rsidRPr="00AB15C7">
        <w:rPr>
          <w:rFonts w:ascii="Cambria" w:hAnsi="Cambria"/>
          <w:noProof/>
        </w:rPr>
        <w:t xml:space="preserve">, a da je donji limit količina do donošenja ovog zakona bio 100kg, očekuje se da će se u narednim godinama </w:t>
      </w:r>
      <w:r w:rsidR="00386F07" w:rsidRPr="00AB15C7">
        <w:rPr>
          <w:rFonts w:ascii="Cambria" w:hAnsi="Cambria"/>
          <w:noProof/>
        </w:rPr>
        <w:t xml:space="preserve">upis u </w:t>
      </w:r>
      <w:r w:rsidR="00F82188" w:rsidRPr="00AB15C7">
        <w:rPr>
          <w:rFonts w:ascii="Cambria" w:hAnsi="Cambria"/>
          <w:noProof/>
        </w:rPr>
        <w:t>R</w:t>
      </w:r>
      <w:r w:rsidR="00386F07" w:rsidRPr="00AB15C7">
        <w:rPr>
          <w:rFonts w:ascii="Cambria" w:hAnsi="Cambria"/>
          <w:noProof/>
        </w:rPr>
        <w:t xml:space="preserve">egistar </w:t>
      </w:r>
      <w:r w:rsidR="00F82188" w:rsidRPr="00AB15C7">
        <w:rPr>
          <w:rFonts w:ascii="Cambria" w:hAnsi="Cambria"/>
          <w:noProof/>
        </w:rPr>
        <w:t xml:space="preserve">hemikalija </w:t>
      </w:r>
      <w:r w:rsidR="00157C40" w:rsidRPr="00AB15C7">
        <w:rPr>
          <w:rFonts w:ascii="Cambria" w:hAnsi="Cambria"/>
          <w:noProof/>
        </w:rPr>
        <w:t>usm</w:t>
      </w:r>
      <w:r w:rsidR="00D07124">
        <w:rPr>
          <w:rFonts w:ascii="Cambria" w:hAnsi="Cambria"/>
          <w:noProof/>
        </w:rPr>
        <w:t>j</w:t>
      </w:r>
      <w:r w:rsidR="00157C40" w:rsidRPr="00AB15C7">
        <w:rPr>
          <w:rFonts w:ascii="Cambria" w:hAnsi="Cambria"/>
          <w:noProof/>
        </w:rPr>
        <w:t xml:space="preserve">eriti samo na </w:t>
      </w:r>
      <w:r w:rsidR="00386F07" w:rsidRPr="00AB15C7">
        <w:rPr>
          <w:rFonts w:ascii="Cambria" w:hAnsi="Cambria"/>
          <w:noProof/>
        </w:rPr>
        <w:t>hemikalij</w:t>
      </w:r>
      <w:r w:rsidR="00F82188" w:rsidRPr="00AB15C7">
        <w:rPr>
          <w:rFonts w:ascii="Cambria" w:hAnsi="Cambria"/>
          <w:noProof/>
        </w:rPr>
        <w:t>e</w:t>
      </w:r>
      <w:r w:rsidR="00386F07" w:rsidRPr="00AB15C7">
        <w:rPr>
          <w:rFonts w:ascii="Cambria" w:hAnsi="Cambria"/>
          <w:noProof/>
        </w:rPr>
        <w:t xml:space="preserve"> koje se proizvode i uvoze u </w:t>
      </w:r>
      <w:r w:rsidR="00157C40" w:rsidRPr="00AB15C7">
        <w:rPr>
          <w:rFonts w:ascii="Cambria" w:hAnsi="Cambria"/>
          <w:noProof/>
        </w:rPr>
        <w:t>već</w:t>
      </w:r>
      <w:r w:rsidR="00386F07" w:rsidRPr="00AB15C7">
        <w:rPr>
          <w:rFonts w:ascii="Cambria" w:hAnsi="Cambria"/>
          <w:noProof/>
        </w:rPr>
        <w:t>im</w:t>
      </w:r>
      <w:r w:rsidR="00157C40" w:rsidRPr="00AB15C7">
        <w:rPr>
          <w:rFonts w:ascii="Cambria" w:hAnsi="Cambria"/>
          <w:noProof/>
        </w:rPr>
        <w:t xml:space="preserve"> količin</w:t>
      </w:r>
      <w:r w:rsidR="00386F07" w:rsidRPr="00AB15C7">
        <w:rPr>
          <w:rFonts w:ascii="Cambria" w:hAnsi="Cambria"/>
          <w:noProof/>
        </w:rPr>
        <w:t>ama</w:t>
      </w:r>
      <w:r w:rsidR="00157C40" w:rsidRPr="00AB15C7">
        <w:rPr>
          <w:rFonts w:ascii="Cambria" w:hAnsi="Cambria"/>
          <w:noProof/>
        </w:rPr>
        <w:t xml:space="preserve"> čime će se dobiti bolji pregled </w:t>
      </w:r>
      <w:r w:rsidR="00386F07" w:rsidRPr="00AB15C7">
        <w:rPr>
          <w:rFonts w:ascii="Cambria" w:hAnsi="Cambria"/>
          <w:noProof/>
        </w:rPr>
        <w:t>klju</w:t>
      </w:r>
      <w:r w:rsidR="00386F07" w:rsidRPr="00AB15C7">
        <w:rPr>
          <w:rFonts w:ascii="Cambria" w:hAnsi="Cambria"/>
          <w:noProof/>
          <w:lang w:val="sr-Latn-RS"/>
        </w:rPr>
        <w:t xml:space="preserve">čnih </w:t>
      </w:r>
      <w:r w:rsidR="00386F07" w:rsidRPr="00AB15C7">
        <w:rPr>
          <w:rFonts w:ascii="Cambria" w:hAnsi="Cambria"/>
          <w:noProof/>
        </w:rPr>
        <w:t>h</w:t>
      </w:r>
      <w:r w:rsidR="00157C40" w:rsidRPr="00AB15C7">
        <w:rPr>
          <w:rFonts w:ascii="Cambria" w:hAnsi="Cambria"/>
          <w:noProof/>
        </w:rPr>
        <w:t>emikalija na tržištu Crne Gore</w:t>
      </w:r>
      <w:r w:rsidR="00F820B7" w:rsidRPr="00AB15C7">
        <w:rPr>
          <w:rFonts w:ascii="Cambria" w:hAnsi="Cambria"/>
          <w:noProof/>
        </w:rPr>
        <w:t xml:space="preserve"> koji je od </w:t>
      </w:r>
      <w:r w:rsidR="007E4F13" w:rsidRPr="00AB15C7">
        <w:rPr>
          <w:rFonts w:ascii="Cambria" w:hAnsi="Cambria"/>
          <w:noProof/>
        </w:rPr>
        <w:t>z</w:t>
      </w:r>
      <w:r w:rsidR="00F820B7" w:rsidRPr="00AB15C7">
        <w:rPr>
          <w:rFonts w:ascii="Cambria" w:hAnsi="Cambria"/>
          <w:noProof/>
        </w:rPr>
        <w:t>na</w:t>
      </w:r>
      <w:r w:rsidR="000E62E4" w:rsidRPr="00AB15C7">
        <w:rPr>
          <w:rFonts w:ascii="Cambria" w:hAnsi="Cambria"/>
          <w:noProof/>
        </w:rPr>
        <w:t>č</w:t>
      </w:r>
      <w:r w:rsidR="00F820B7" w:rsidRPr="00AB15C7">
        <w:rPr>
          <w:rFonts w:ascii="Cambria" w:hAnsi="Cambria"/>
          <w:noProof/>
        </w:rPr>
        <w:t>aja</w:t>
      </w:r>
      <w:r w:rsidR="000E62E4" w:rsidRPr="00AB15C7">
        <w:rPr>
          <w:rFonts w:ascii="Cambria" w:hAnsi="Cambria"/>
          <w:noProof/>
        </w:rPr>
        <w:t xml:space="preserve"> za buduće pregovore za pristupanje EU u pogledu upravljanja hemikalijama</w:t>
      </w:r>
      <w:r w:rsidR="00157C40" w:rsidRPr="00AB15C7">
        <w:rPr>
          <w:rFonts w:ascii="Cambria" w:hAnsi="Cambria"/>
          <w:noProof/>
        </w:rPr>
        <w:t>.</w:t>
      </w:r>
    </w:p>
    <w:p w14:paraId="3F632027" w14:textId="77777777" w:rsidR="00062970" w:rsidRPr="00AB15C7" w:rsidRDefault="00062970" w:rsidP="005921EF">
      <w:pPr>
        <w:jc w:val="both"/>
        <w:rPr>
          <w:rFonts w:ascii="Cambria" w:hAnsi="Cambria"/>
          <w:noProof/>
        </w:rPr>
      </w:pPr>
      <w:r w:rsidRPr="00AB15C7">
        <w:rPr>
          <w:rFonts w:ascii="Cambria" w:hAnsi="Cambria"/>
          <w:noProof/>
        </w:rPr>
        <w:t xml:space="preserve">Kada govorimo o podacima o upravnim postupcima koje Agencija za zaštitu prirode i  životne sredine sprovodi u vezi sa propisima o hemikalijama i biocidnim proizvodima, u 2017. godini, Agencija za zaštitu </w:t>
      </w:r>
      <w:r w:rsidRPr="00AB15C7">
        <w:rPr>
          <w:rFonts w:ascii="Cambria" w:hAnsi="Cambria"/>
          <w:noProof/>
        </w:rPr>
        <w:lastRenderedPageBreak/>
        <w:t>prirode i životne sredine- Odjeljenje za upravljanje hemikalija je sproveo 883 upravnih postupaka, od kojih su 5 predmeta prenose u 2018</w:t>
      </w:r>
      <w:r w:rsidR="00FD5DE5" w:rsidRPr="00AB15C7">
        <w:rPr>
          <w:rStyle w:val="FootnoteReference"/>
          <w:rFonts w:ascii="Cambria" w:hAnsi="Cambria"/>
          <w:noProof/>
        </w:rPr>
        <w:footnoteReference w:id="11"/>
      </w:r>
      <w:r w:rsidRPr="00AB15C7">
        <w:rPr>
          <w:rFonts w:ascii="Cambria" w:hAnsi="Cambria"/>
          <w:noProof/>
        </w:rPr>
        <w:t>.</w:t>
      </w:r>
    </w:p>
    <w:p w14:paraId="58D558C0" w14:textId="77777777" w:rsidR="00062970" w:rsidRPr="00AB15C7" w:rsidRDefault="00062970" w:rsidP="005921EF">
      <w:pPr>
        <w:spacing w:after="0"/>
        <w:jc w:val="both"/>
        <w:rPr>
          <w:rFonts w:ascii="Cambria" w:hAnsi="Cambria"/>
          <w:noProof/>
        </w:rPr>
      </w:pPr>
      <w:r w:rsidRPr="00AB15C7">
        <w:rPr>
          <w:rFonts w:ascii="Cambria" w:hAnsi="Cambria"/>
          <w:noProof/>
        </w:rPr>
        <w:t>Shodno odredbama Zakona o hemikalijama („Sl.list CG“,br.18/12) i novog Zakona o hemikalijama (Sl.list CG br.51/17, od 11.08.2017.godine), Agencija za zaštitu prirode i životne sredine u 2017. godini izdala</w:t>
      </w:r>
      <w:r w:rsidR="003C423F" w:rsidRPr="00AB15C7">
        <w:rPr>
          <w:rFonts w:ascii="Cambria" w:hAnsi="Cambria"/>
          <w:noProof/>
        </w:rPr>
        <w:t xml:space="preserve"> </w:t>
      </w:r>
      <w:r w:rsidRPr="00AB15C7">
        <w:rPr>
          <w:rFonts w:ascii="Cambria" w:hAnsi="Cambria"/>
          <w:noProof/>
        </w:rPr>
        <w:t>je:</w:t>
      </w:r>
    </w:p>
    <w:p w14:paraId="0BBA9CC3" w14:textId="77777777" w:rsidR="00062970" w:rsidRPr="00AB15C7" w:rsidRDefault="00062970" w:rsidP="005921EF">
      <w:pPr>
        <w:spacing w:after="0"/>
        <w:jc w:val="both"/>
        <w:rPr>
          <w:rFonts w:ascii="Cambria" w:hAnsi="Cambria"/>
          <w:noProof/>
        </w:rPr>
      </w:pPr>
      <w:r w:rsidRPr="00AB15C7">
        <w:rPr>
          <w:rFonts w:ascii="Cambria" w:hAnsi="Cambria"/>
          <w:noProof/>
        </w:rPr>
        <w:t>-      27 dozvola za obavljanje slobodnog prometa opasnih hemikalija.</w:t>
      </w:r>
    </w:p>
    <w:p w14:paraId="111CA49B" w14:textId="77777777" w:rsidR="00062970" w:rsidRPr="00AB15C7" w:rsidRDefault="00062970" w:rsidP="005921EF">
      <w:pPr>
        <w:spacing w:after="0"/>
        <w:jc w:val="both"/>
        <w:rPr>
          <w:rFonts w:ascii="Cambria" w:hAnsi="Cambria"/>
          <w:noProof/>
        </w:rPr>
      </w:pPr>
      <w:r w:rsidRPr="00AB15C7">
        <w:rPr>
          <w:rFonts w:ascii="Cambria" w:hAnsi="Cambria"/>
          <w:noProof/>
        </w:rPr>
        <w:t>-      24 PIC saglasnosti (Postupak davanja saglasnosti na osnovu prethodnog obavještenja )</w:t>
      </w:r>
    </w:p>
    <w:p w14:paraId="12E397E4" w14:textId="77777777" w:rsidR="00062970" w:rsidRPr="00AB15C7" w:rsidRDefault="00062970" w:rsidP="005921EF">
      <w:pPr>
        <w:spacing w:after="0"/>
        <w:jc w:val="both"/>
        <w:rPr>
          <w:rFonts w:ascii="Cambria" w:hAnsi="Cambria"/>
          <w:noProof/>
        </w:rPr>
      </w:pPr>
      <w:r w:rsidRPr="00AB15C7">
        <w:rPr>
          <w:rFonts w:ascii="Cambria" w:hAnsi="Cambria"/>
          <w:noProof/>
        </w:rPr>
        <w:t>-      593 dozvole za uvoz,</w:t>
      </w:r>
    </w:p>
    <w:p w14:paraId="4046C78A" w14:textId="77777777" w:rsidR="00062970" w:rsidRPr="00AB15C7" w:rsidRDefault="00062970" w:rsidP="005921EF">
      <w:pPr>
        <w:spacing w:after="0"/>
        <w:jc w:val="both"/>
        <w:rPr>
          <w:rFonts w:ascii="Cambria" w:hAnsi="Cambria"/>
          <w:noProof/>
        </w:rPr>
      </w:pPr>
      <w:r w:rsidRPr="00AB15C7">
        <w:rPr>
          <w:rFonts w:ascii="Cambria" w:hAnsi="Cambria"/>
          <w:noProof/>
        </w:rPr>
        <w:t>-      3 tranzitne dozvole,</w:t>
      </w:r>
    </w:p>
    <w:p w14:paraId="7661DE6F" w14:textId="77777777" w:rsidR="00062970" w:rsidRPr="00AB15C7" w:rsidRDefault="00062970" w:rsidP="005921EF">
      <w:pPr>
        <w:spacing w:after="0"/>
        <w:jc w:val="both"/>
        <w:rPr>
          <w:rFonts w:ascii="Cambria" w:hAnsi="Cambria"/>
          <w:noProof/>
        </w:rPr>
      </w:pPr>
      <w:r w:rsidRPr="00AB15C7">
        <w:rPr>
          <w:rFonts w:ascii="Cambria" w:hAnsi="Cambria"/>
          <w:noProof/>
        </w:rPr>
        <w:t xml:space="preserve">-      55 </w:t>
      </w:r>
      <w:r w:rsidR="00F57867" w:rsidRPr="00AB15C7">
        <w:rPr>
          <w:rFonts w:ascii="Cambria" w:hAnsi="Cambria"/>
          <w:noProof/>
        </w:rPr>
        <w:t>r</w:t>
      </w:r>
      <w:r w:rsidRPr="00AB15C7">
        <w:rPr>
          <w:rFonts w:ascii="Cambria" w:hAnsi="Cambria"/>
          <w:noProof/>
        </w:rPr>
        <w:t>ješenja za upis preduzeća u Registar hemikalija za 2016.</w:t>
      </w:r>
    </w:p>
    <w:p w14:paraId="239F3858" w14:textId="77777777" w:rsidR="003C423F" w:rsidRPr="00AB15C7" w:rsidRDefault="00062970" w:rsidP="005921EF">
      <w:pPr>
        <w:spacing w:after="0"/>
        <w:jc w:val="both"/>
        <w:rPr>
          <w:rFonts w:ascii="Cambria" w:hAnsi="Cambria"/>
          <w:noProof/>
        </w:rPr>
      </w:pPr>
      <w:r w:rsidRPr="00AB15C7">
        <w:rPr>
          <w:rFonts w:ascii="Cambria" w:hAnsi="Cambria"/>
          <w:noProof/>
        </w:rPr>
        <w:t xml:space="preserve">-  </w:t>
      </w:r>
      <w:r w:rsidR="00E931C5" w:rsidRPr="00AB15C7">
        <w:rPr>
          <w:rFonts w:ascii="Cambria" w:hAnsi="Cambria"/>
          <w:noProof/>
        </w:rPr>
        <w:t xml:space="preserve">   </w:t>
      </w:r>
      <w:r w:rsidRPr="00AB15C7">
        <w:rPr>
          <w:rFonts w:ascii="Cambria" w:hAnsi="Cambria"/>
          <w:noProof/>
        </w:rPr>
        <w:t>15 zahtjeva za uvoz hemikalija je odbijeno</w:t>
      </w:r>
    </w:p>
    <w:p w14:paraId="2E4150BA" w14:textId="77777777" w:rsidR="00062970" w:rsidRPr="00AB15C7" w:rsidRDefault="00062970" w:rsidP="005921EF">
      <w:pPr>
        <w:spacing w:after="0"/>
        <w:jc w:val="both"/>
        <w:rPr>
          <w:rFonts w:ascii="Cambria" w:hAnsi="Cambria"/>
          <w:noProof/>
        </w:rPr>
      </w:pPr>
      <w:r w:rsidRPr="00AB15C7">
        <w:rPr>
          <w:rFonts w:ascii="Cambria" w:hAnsi="Cambria"/>
          <w:noProof/>
        </w:rPr>
        <w:t xml:space="preserve">-      1 zahtjev za izdavanje dozvole za obavljanje djelatnosti je </w:t>
      </w:r>
      <w:r w:rsidR="003C423F" w:rsidRPr="00AB15C7">
        <w:rPr>
          <w:rFonts w:ascii="Cambria" w:hAnsi="Cambria"/>
          <w:noProof/>
        </w:rPr>
        <w:t xml:space="preserve"> </w:t>
      </w:r>
      <w:r w:rsidRPr="00AB15C7">
        <w:rPr>
          <w:rFonts w:ascii="Cambria" w:hAnsi="Cambria"/>
          <w:noProof/>
        </w:rPr>
        <w:t>odbijen</w:t>
      </w:r>
    </w:p>
    <w:p w14:paraId="1AC2B15C" w14:textId="77777777" w:rsidR="009A4689" w:rsidRPr="00AB15C7" w:rsidRDefault="00062970" w:rsidP="005921EF">
      <w:pPr>
        <w:spacing w:after="0"/>
        <w:jc w:val="both"/>
        <w:rPr>
          <w:rFonts w:ascii="Cambria" w:hAnsi="Cambria"/>
          <w:noProof/>
        </w:rPr>
      </w:pPr>
      <w:r w:rsidRPr="00AB15C7">
        <w:rPr>
          <w:rFonts w:ascii="Cambria" w:hAnsi="Cambria"/>
          <w:noProof/>
        </w:rPr>
        <w:t>-      8 zahtjeva je obustavljeno na zahtjev podnosioca zahtjeva</w:t>
      </w:r>
    </w:p>
    <w:p w14:paraId="3A1ADC55" w14:textId="77777777" w:rsidR="00062970" w:rsidRDefault="009A4689" w:rsidP="005921EF">
      <w:pPr>
        <w:spacing w:after="0"/>
        <w:jc w:val="both"/>
        <w:rPr>
          <w:rFonts w:ascii="Cambria" w:hAnsi="Cambria"/>
          <w:noProof/>
        </w:rPr>
      </w:pPr>
      <w:r w:rsidRPr="00AB15C7">
        <w:rPr>
          <w:rFonts w:ascii="Cambria" w:hAnsi="Cambria"/>
          <w:noProof/>
        </w:rPr>
        <w:t>-      zahtjeva za izvoz nije bilo.</w:t>
      </w:r>
    </w:p>
    <w:p w14:paraId="33836E6A" w14:textId="77777777" w:rsidR="006F4EFD" w:rsidRPr="00AB15C7" w:rsidRDefault="006F4EFD" w:rsidP="005921EF">
      <w:pPr>
        <w:spacing w:after="0"/>
        <w:jc w:val="both"/>
        <w:rPr>
          <w:rFonts w:ascii="Cambria" w:hAnsi="Cambria"/>
          <w:noProof/>
        </w:rPr>
      </w:pPr>
    </w:p>
    <w:p w14:paraId="542FA190" w14:textId="77777777" w:rsidR="00B426D4" w:rsidRPr="00AB15C7" w:rsidRDefault="00B426D4" w:rsidP="005921EF">
      <w:pPr>
        <w:spacing w:after="0"/>
        <w:jc w:val="both"/>
        <w:rPr>
          <w:rFonts w:ascii="Cambria" w:hAnsi="Cambria"/>
          <w:noProof/>
        </w:rPr>
      </w:pPr>
      <w:r w:rsidRPr="00AB15C7">
        <w:rPr>
          <w:rFonts w:ascii="Cambria" w:hAnsi="Cambria"/>
          <w:noProof/>
        </w:rPr>
        <w:t>Na osnovu Zakona o biocidnim proizvodima (Sl.list CG 54/16), u skladu sa kojim se biocid, na osnovu zahtjeva upisuje u privremenu listu,  u 2017. godini Agencija za zaštitu prirode i životne sredine primila je ukupno 157 zahtjeva , od kojih je izdato:</w:t>
      </w:r>
    </w:p>
    <w:p w14:paraId="4255EEF9" w14:textId="77777777" w:rsidR="00B426D4" w:rsidRPr="00AB15C7" w:rsidRDefault="00B426D4" w:rsidP="005921EF">
      <w:pPr>
        <w:spacing w:after="0"/>
        <w:jc w:val="both"/>
        <w:rPr>
          <w:rFonts w:ascii="Cambria" w:hAnsi="Cambria"/>
          <w:noProof/>
        </w:rPr>
      </w:pPr>
      <w:r w:rsidRPr="00AB15C7">
        <w:rPr>
          <w:rFonts w:ascii="Cambria" w:hAnsi="Cambria"/>
          <w:noProof/>
        </w:rPr>
        <w:t>-       149 rješenja o upis u Privremenu listu biocidnih proizvoda,</w:t>
      </w:r>
    </w:p>
    <w:p w14:paraId="75BDA23E" w14:textId="77777777" w:rsidR="00B426D4" w:rsidRPr="00AB15C7" w:rsidRDefault="00B426D4" w:rsidP="005921EF">
      <w:pPr>
        <w:spacing w:after="0"/>
        <w:jc w:val="both"/>
        <w:rPr>
          <w:rFonts w:ascii="Cambria" w:hAnsi="Cambria"/>
          <w:noProof/>
        </w:rPr>
      </w:pPr>
      <w:r w:rsidRPr="00AB15C7">
        <w:rPr>
          <w:rFonts w:ascii="Cambria" w:hAnsi="Cambria"/>
          <w:noProof/>
        </w:rPr>
        <w:t>-       5 zahtjeva su prenešena u 2018. godinu</w:t>
      </w:r>
    </w:p>
    <w:p w14:paraId="070611EC" w14:textId="77777777" w:rsidR="00B426D4" w:rsidRPr="00AB15C7" w:rsidRDefault="00B426D4" w:rsidP="005921EF">
      <w:pPr>
        <w:spacing w:after="0"/>
        <w:jc w:val="both"/>
        <w:rPr>
          <w:rFonts w:ascii="Cambria" w:hAnsi="Cambria"/>
          <w:noProof/>
        </w:rPr>
      </w:pPr>
      <w:r w:rsidRPr="00AB15C7">
        <w:rPr>
          <w:rFonts w:ascii="Cambria" w:hAnsi="Cambria"/>
          <w:noProof/>
        </w:rPr>
        <w:t>-       3 zahtjeva su odbijena.</w:t>
      </w:r>
    </w:p>
    <w:p w14:paraId="0EEA45B5" w14:textId="77777777" w:rsidR="009A4689" w:rsidRPr="00AB15C7" w:rsidRDefault="009A4689" w:rsidP="005921EF">
      <w:pPr>
        <w:spacing w:after="0"/>
        <w:jc w:val="both"/>
        <w:rPr>
          <w:rFonts w:ascii="Cambria" w:hAnsi="Cambria"/>
          <w:noProof/>
        </w:rPr>
      </w:pPr>
    </w:p>
    <w:p w14:paraId="4C80E25B" w14:textId="5342D328" w:rsidR="009A4689" w:rsidRPr="00AB15C7" w:rsidRDefault="009A4FFD" w:rsidP="005921EF">
      <w:pPr>
        <w:spacing w:after="0"/>
        <w:jc w:val="both"/>
        <w:rPr>
          <w:rFonts w:ascii="Cambria" w:hAnsi="Cambria"/>
          <w:noProof/>
        </w:rPr>
      </w:pPr>
      <w:r w:rsidRPr="00AB15C7">
        <w:rPr>
          <w:rFonts w:ascii="Cambria" w:hAnsi="Cambria"/>
          <w:noProof/>
        </w:rPr>
        <w:t>Treba nap</w:t>
      </w:r>
      <w:r w:rsidR="009A4689" w:rsidRPr="00AB15C7">
        <w:rPr>
          <w:rFonts w:ascii="Cambria" w:hAnsi="Cambria"/>
          <w:noProof/>
        </w:rPr>
        <w:t>o</w:t>
      </w:r>
      <w:r w:rsidRPr="00AB15C7">
        <w:rPr>
          <w:rFonts w:ascii="Cambria" w:hAnsi="Cambria"/>
          <w:noProof/>
        </w:rPr>
        <w:t xml:space="preserve">menuti da </w:t>
      </w:r>
      <w:r w:rsidR="009A4689" w:rsidRPr="00AB15C7">
        <w:rPr>
          <w:rFonts w:ascii="Cambria" w:hAnsi="Cambria"/>
          <w:noProof/>
        </w:rPr>
        <w:t xml:space="preserve">se dozvola za obavljanje slobodnog </w:t>
      </w:r>
      <w:r w:rsidRPr="00AB15C7">
        <w:rPr>
          <w:rFonts w:ascii="Cambria" w:hAnsi="Cambria"/>
          <w:noProof/>
        </w:rPr>
        <w:t xml:space="preserve">prometa opasnih hemikalija može izdati </w:t>
      </w:r>
      <w:r w:rsidR="009A4689" w:rsidRPr="00AB15C7">
        <w:rPr>
          <w:rFonts w:ascii="Cambria" w:hAnsi="Cambria"/>
          <w:noProof/>
        </w:rPr>
        <w:t xml:space="preserve">samo ako dobavljač ima </w:t>
      </w:r>
      <w:r w:rsidRPr="00AB15C7">
        <w:rPr>
          <w:rFonts w:ascii="Cambria" w:hAnsi="Cambria"/>
          <w:noProof/>
        </w:rPr>
        <w:t>odgovarajući prostor za skladištenje i čuvanje opasnih hemikalija na način kojim se onemogućava dostupnost licima za korišćenje u nedozvoljene svrhe</w:t>
      </w:r>
      <w:r w:rsidR="009A4689" w:rsidRPr="00AB15C7">
        <w:rPr>
          <w:rFonts w:ascii="Cambria" w:hAnsi="Cambria"/>
          <w:noProof/>
        </w:rPr>
        <w:t>, te da se na ovaj način obezb</w:t>
      </w:r>
      <w:r w:rsidR="00C65B0A">
        <w:rPr>
          <w:rFonts w:ascii="Cambria" w:hAnsi="Cambria"/>
          <w:noProof/>
        </w:rPr>
        <w:t>j</w:t>
      </w:r>
      <w:r w:rsidR="009A4689" w:rsidRPr="00AB15C7">
        <w:rPr>
          <w:rFonts w:ascii="Cambria" w:hAnsi="Cambria"/>
          <w:noProof/>
        </w:rPr>
        <w:t>edjuje i adekvatno skladištenje hemikalija</w:t>
      </w:r>
      <w:r w:rsidRPr="00AB15C7">
        <w:rPr>
          <w:rFonts w:ascii="Cambria" w:hAnsi="Cambria"/>
          <w:noProof/>
        </w:rPr>
        <w:t xml:space="preserve">. </w:t>
      </w:r>
    </w:p>
    <w:p w14:paraId="0778A058" w14:textId="77777777" w:rsidR="00B426D4" w:rsidRPr="00AB15C7" w:rsidRDefault="00B426D4" w:rsidP="005921EF">
      <w:pPr>
        <w:spacing w:after="0"/>
        <w:jc w:val="both"/>
        <w:rPr>
          <w:rFonts w:ascii="Cambria" w:hAnsi="Cambria"/>
          <w:noProof/>
        </w:rPr>
      </w:pPr>
      <w:r w:rsidRPr="00AB15C7">
        <w:rPr>
          <w:rFonts w:ascii="Cambria" w:hAnsi="Cambria"/>
          <w:noProof/>
        </w:rPr>
        <w:t xml:space="preserve">Dodatno, Agencija vodi </w:t>
      </w:r>
      <w:bookmarkStart w:id="25" w:name="_Hlk516610799"/>
      <w:r w:rsidRPr="00AB15C7">
        <w:rPr>
          <w:rFonts w:ascii="Cambria" w:hAnsi="Cambria"/>
          <w:noProof/>
        </w:rPr>
        <w:t xml:space="preserve">Registar Seveso postrojenja urađen na osnovu dostavljenih Obavještenja, shodno Praviliniku o količinama opasnih materija po kategorijama kojima se određuje stepen rizika </w:t>
      </w:r>
      <w:bookmarkEnd w:id="25"/>
      <w:r w:rsidRPr="00AB15C7">
        <w:rPr>
          <w:rFonts w:ascii="Cambria" w:hAnsi="Cambria"/>
          <w:noProof/>
        </w:rPr>
        <w:t xml:space="preserve">(“Sl. list Crne Gore” 63/16) na osnovu kojeg se može identifikovati </w:t>
      </w:r>
      <w:r w:rsidR="000E62E4" w:rsidRPr="00AB15C7">
        <w:rPr>
          <w:rFonts w:ascii="Cambria" w:hAnsi="Cambria"/>
          <w:noProof/>
        </w:rPr>
        <w:t>6</w:t>
      </w:r>
      <w:r w:rsidRPr="00AB15C7">
        <w:rPr>
          <w:rFonts w:ascii="Cambria" w:hAnsi="Cambria"/>
          <w:noProof/>
        </w:rPr>
        <w:t xml:space="preserve"> lokacija postrojenja u kojima se skladišti količina hemikalija</w:t>
      </w:r>
      <w:r w:rsidR="000E62E4" w:rsidRPr="00AB15C7">
        <w:rPr>
          <w:rFonts w:ascii="Cambria" w:hAnsi="Cambria"/>
          <w:noProof/>
        </w:rPr>
        <w:t xml:space="preserve"> koja predstavlja veći rizik</w:t>
      </w:r>
      <w:r w:rsidR="00676BF4" w:rsidRPr="00AB15C7">
        <w:rPr>
          <w:rFonts w:ascii="Cambria" w:hAnsi="Cambria"/>
          <w:noProof/>
        </w:rPr>
        <w:t xml:space="preserve"> (</w:t>
      </w:r>
      <w:r w:rsidR="00F1313E">
        <w:rPr>
          <w:rFonts w:ascii="Cambria" w:hAnsi="Cambria"/>
          <w:noProof/>
        </w:rPr>
        <w:t>T</w:t>
      </w:r>
      <w:r w:rsidR="00676BF4" w:rsidRPr="00AB15C7">
        <w:rPr>
          <w:rFonts w:ascii="Cambria" w:hAnsi="Cambria"/>
          <w:noProof/>
        </w:rPr>
        <w:t xml:space="preserve">abela </w:t>
      </w:r>
      <w:r w:rsidR="003A2D38" w:rsidRPr="00AB15C7">
        <w:rPr>
          <w:rFonts w:ascii="Cambria" w:hAnsi="Cambria"/>
          <w:noProof/>
        </w:rPr>
        <w:t>5</w:t>
      </w:r>
      <w:r w:rsidR="00676BF4" w:rsidRPr="00AB15C7">
        <w:rPr>
          <w:rFonts w:ascii="Cambria" w:hAnsi="Cambria"/>
          <w:noProof/>
        </w:rPr>
        <w:t>)</w:t>
      </w:r>
      <w:r w:rsidRPr="00AB15C7">
        <w:rPr>
          <w:rFonts w:ascii="Cambria" w:hAnsi="Cambria"/>
          <w:noProof/>
        </w:rPr>
        <w:t>.</w:t>
      </w:r>
    </w:p>
    <w:p w14:paraId="39ABF6EF" w14:textId="77777777" w:rsidR="009A4689" w:rsidRPr="00AB15C7" w:rsidRDefault="009A4689" w:rsidP="005921EF">
      <w:pPr>
        <w:spacing w:after="0"/>
        <w:jc w:val="both"/>
        <w:rPr>
          <w:rFonts w:ascii="Cambria" w:hAnsi="Cambria"/>
          <w:noProof/>
        </w:rPr>
      </w:pPr>
    </w:p>
    <w:p w14:paraId="152CF3B0" w14:textId="77777777" w:rsidR="00BB43C0" w:rsidRPr="00F1313E" w:rsidRDefault="003A2D38" w:rsidP="006F4EFD">
      <w:pPr>
        <w:spacing w:after="120"/>
        <w:jc w:val="center"/>
        <w:rPr>
          <w:rFonts w:ascii="Cambria" w:hAnsi="Cambria"/>
          <w:noProof/>
          <w:lang w:val="sr-Latn-ME"/>
        </w:rPr>
      </w:pPr>
      <w:r w:rsidRPr="006F4EFD">
        <w:rPr>
          <w:rFonts w:ascii="Cambria" w:hAnsi="Cambria"/>
          <w:i/>
          <w:noProof/>
          <w:lang w:val="sr-Latn-ME"/>
        </w:rPr>
        <w:t>T</w:t>
      </w:r>
      <w:r w:rsidR="00676BF4" w:rsidRPr="006F4EFD">
        <w:rPr>
          <w:rFonts w:ascii="Cambria" w:hAnsi="Cambria"/>
          <w:i/>
          <w:noProof/>
          <w:lang w:val="sr-Latn-ME"/>
        </w:rPr>
        <w:t xml:space="preserve">abela </w:t>
      </w:r>
      <w:r w:rsidRPr="006F4EFD">
        <w:rPr>
          <w:rFonts w:ascii="Cambria" w:hAnsi="Cambria"/>
          <w:i/>
          <w:noProof/>
          <w:lang w:val="sr-Latn-ME"/>
        </w:rPr>
        <w:t>5</w:t>
      </w:r>
      <w:r w:rsidR="00676BF4" w:rsidRPr="006F4EFD">
        <w:rPr>
          <w:rFonts w:ascii="Cambria" w:hAnsi="Cambria"/>
          <w:i/>
          <w:noProof/>
          <w:lang w:val="sr-Latn-ME"/>
        </w:rPr>
        <w:t xml:space="preserve">. </w:t>
      </w:r>
      <w:r w:rsidR="00676BF4" w:rsidRPr="00F1313E">
        <w:rPr>
          <w:rFonts w:ascii="Cambria" w:hAnsi="Cambria"/>
          <w:noProof/>
          <w:lang w:val="sr-Latn-ME"/>
        </w:rPr>
        <w:t>Seveso postrojenja </w:t>
      </w:r>
      <w:r w:rsidR="000E62E4" w:rsidRPr="00F1313E">
        <w:rPr>
          <w:rFonts w:ascii="Cambria" w:hAnsi="Cambria"/>
          <w:noProof/>
          <w:lang w:val="sr-Latn-ME"/>
        </w:rPr>
        <w:t xml:space="preserve">većeg rizika </w:t>
      </w:r>
      <w:r w:rsidR="00676BF4" w:rsidRPr="00F1313E">
        <w:rPr>
          <w:rFonts w:ascii="Cambria" w:hAnsi="Cambria"/>
          <w:noProof/>
          <w:lang w:val="sr-Latn-ME"/>
        </w:rPr>
        <w:t xml:space="preserve">shodno količinama opasnih materija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1350"/>
        <w:gridCol w:w="1937"/>
        <w:gridCol w:w="1434"/>
        <w:gridCol w:w="1156"/>
        <w:gridCol w:w="1080"/>
      </w:tblGrid>
      <w:tr w:rsidR="00DD3F74" w:rsidRPr="00AB15C7" w14:paraId="78CA0E40" w14:textId="77777777" w:rsidTr="0005493B">
        <w:trPr>
          <w:trHeight w:val="850"/>
          <w:jc w:val="center"/>
        </w:trPr>
        <w:tc>
          <w:tcPr>
            <w:tcW w:w="2664" w:type="dxa"/>
            <w:shd w:val="clear" w:color="auto" w:fill="D9D9D9"/>
            <w:vAlign w:val="center"/>
          </w:tcPr>
          <w:p w14:paraId="788D57A3" w14:textId="77777777" w:rsidR="00DD3F74" w:rsidRPr="00AB15C7" w:rsidRDefault="00DD3F74" w:rsidP="005921EF">
            <w:pPr>
              <w:spacing w:after="0"/>
              <w:jc w:val="both"/>
              <w:rPr>
                <w:rFonts w:ascii="Cambria" w:hAnsi="Cambria"/>
                <w:b/>
                <w:noProof/>
              </w:rPr>
            </w:pPr>
            <w:r w:rsidRPr="00AB15C7">
              <w:rPr>
                <w:rFonts w:ascii="Cambria" w:hAnsi="Cambria"/>
                <w:b/>
                <w:noProof/>
              </w:rPr>
              <w:t>Operater postrojenja, sjedište i adresa</w:t>
            </w:r>
          </w:p>
        </w:tc>
        <w:tc>
          <w:tcPr>
            <w:tcW w:w="1350" w:type="dxa"/>
            <w:shd w:val="clear" w:color="auto" w:fill="D9D9D9"/>
            <w:vAlign w:val="center"/>
          </w:tcPr>
          <w:p w14:paraId="61680AF7" w14:textId="77777777" w:rsidR="00DD3F74" w:rsidRPr="00AB15C7" w:rsidRDefault="00DD3F74" w:rsidP="005921EF">
            <w:pPr>
              <w:spacing w:after="0"/>
              <w:ind w:right="-135"/>
              <w:jc w:val="both"/>
              <w:rPr>
                <w:rFonts w:ascii="Cambria" w:hAnsi="Cambria"/>
                <w:b/>
                <w:noProof/>
              </w:rPr>
            </w:pPr>
            <w:r w:rsidRPr="00AB15C7">
              <w:rPr>
                <w:rFonts w:ascii="Cambria" w:hAnsi="Cambria"/>
                <w:b/>
                <w:noProof/>
              </w:rPr>
              <w:t>Status postrojenja</w:t>
            </w:r>
          </w:p>
        </w:tc>
        <w:tc>
          <w:tcPr>
            <w:tcW w:w="1937" w:type="dxa"/>
            <w:shd w:val="clear" w:color="auto" w:fill="D9D9D9"/>
            <w:vAlign w:val="center"/>
          </w:tcPr>
          <w:p w14:paraId="6F797E38" w14:textId="77777777" w:rsidR="00DD3F74" w:rsidRPr="00AB15C7" w:rsidRDefault="00DD3F74" w:rsidP="005921EF">
            <w:pPr>
              <w:spacing w:after="0"/>
              <w:jc w:val="both"/>
              <w:rPr>
                <w:rFonts w:ascii="Cambria" w:hAnsi="Cambria"/>
                <w:b/>
                <w:noProof/>
              </w:rPr>
            </w:pPr>
            <w:r w:rsidRPr="00AB15C7">
              <w:rPr>
                <w:rFonts w:ascii="Cambria" w:hAnsi="Cambria"/>
                <w:b/>
                <w:noProof/>
              </w:rPr>
              <w:t>Ime i lokacija postrojenja</w:t>
            </w:r>
          </w:p>
        </w:tc>
        <w:tc>
          <w:tcPr>
            <w:tcW w:w="1434" w:type="dxa"/>
            <w:shd w:val="clear" w:color="auto" w:fill="D9D9D9"/>
            <w:vAlign w:val="center"/>
          </w:tcPr>
          <w:p w14:paraId="22EC180A" w14:textId="77777777" w:rsidR="00DD3F74" w:rsidRPr="00AB15C7" w:rsidRDefault="00DD3F74" w:rsidP="005921EF">
            <w:pPr>
              <w:spacing w:after="0"/>
              <w:jc w:val="both"/>
              <w:rPr>
                <w:rFonts w:ascii="Cambria" w:hAnsi="Cambria"/>
                <w:b/>
                <w:noProof/>
              </w:rPr>
            </w:pPr>
            <w:r w:rsidRPr="00AB15C7">
              <w:rPr>
                <w:rFonts w:ascii="Cambria" w:hAnsi="Cambria"/>
                <w:b/>
                <w:noProof/>
              </w:rPr>
              <w:t>Djelatnost</w:t>
            </w:r>
          </w:p>
        </w:tc>
        <w:tc>
          <w:tcPr>
            <w:tcW w:w="1156" w:type="dxa"/>
            <w:shd w:val="clear" w:color="auto" w:fill="D9D9D9"/>
            <w:vAlign w:val="center"/>
          </w:tcPr>
          <w:p w14:paraId="56630E79" w14:textId="77777777" w:rsidR="00DD3F74" w:rsidRPr="00AB15C7" w:rsidRDefault="00DD3F74" w:rsidP="005921EF">
            <w:pPr>
              <w:spacing w:after="0"/>
              <w:jc w:val="both"/>
              <w:rPr>
                <w:rFonts w:ascii="Cambria" w:hAnsi="Cambria"/>
                <w:b/>
                <w:noProof/>
              </w:rPr>
            </w:pPr>
            <w:r w:rsidRPr="00AB15C7">
              <w:rPr>
                <w:rFonts w:ascii="Cambria" w:hAnsi="Cambria"/>
                <w:b/>
                <w:noProof/>
              </w:rPr>
              <w:t>Opasna materija</w:t>
            </w:r>
          </w:p>
        </w:tc>
        <w:tc>
          <w:tcPr>
            <w:tcW w:w="1080" w:type="dxa"/>
            <w:shd w:val="clear" w:color="auto" w:fill="D9D9D9"/>
            <w:vAlign w:val="center"/>
          </w:tcPr>
          <w:p w14:paraId="312F25CE" w14:textId="77777777" w:rsidR="00DD3F74" w:rsidRPr="00AB15C7" w:rsidRDefault="00DD3F74" w:rsidP="005921EF">
            <w:pPr>
              <w:spacing w:after="0"/>
              <w:jc w:val="both"/>
              <w:rPr>
                <w:rFonts w:ascii="Cambria" w:hAnsi="Cambria"/>
                <w:b/>
                <w:noProof/>
              </w:rPr>
            </w:pPr>
            <w:r w:rsidRPr="00AB15C7">
              <w:rPr>
                <w:rFonts w:ascii="Cambria" w:hAnsi="Cambria"/>
                <w:b/>
                <w:noProof/>
              </w:rPr>
              <w:t>Količina</w:t>
            </w:r>
          </w:p>
        </w:tc>
      </w:tr>
      <w:tr w:rsidR="00DD3F74" w:rsidRPr="00AB15C7" w14:paraId="6719991C" w14:textId="77777777" w:rsidTr="0005493B">
        <w:trPr>
          <w:trHeight w:val="692"/>
          <w:jc w:val="center"/>
        </w:trPr>
        <w:tc>
          <w:tcPr>
            <w:tcW w:w="2664" w:type="dxa"/>
            <w:shd w:val="clear" w:color="auto" w:fill="D9D9D9"/>
            <w:vAlign w:val="center"/>
          </w:tcPr>
          <w:p w14:paraId="7A9192D9" w14:textId="77777777" w:rsidR="00DD3F74" w:rsidRPr="00AB15C7" w:rsidRDefault="00DD3F74" w:rsidP="005921EF">
            <w:pPr>
              <w:spacing w:after="0"/>
              <w:rPr>
                <w:rFonts w:ascii="Cambria" w:hAnsi="Cambria"/>
                <w:noProof/>
              </w:rPr>
            </w:pPr>
            <w:r w:rsidRPr="00AB15C7">
              <w:rPr>
                <w:rFonts w:ascii="Cambria" w:hAnsi="Cambria"/>
                <w:noProof/>
              </w:rPr>
              <w:t>“Energogas” D.O.O., Dajbabe bb., Podgorica</w:t>
            </w:r>
          </w:p>
        </w:tc>
        <w:tc>
          <w:tcPr>
            <w:tcW w:w="1350" w:type="dxa"/>
            <w:shd w:val="clear" w:color="auto" w:fill="auto"/>
            <w:vAlign w:val="center"/>
          </w:tcPr>
          <w:p w14:paraId="3DBB9AB9" w14:textId="77777777" w:rsidR="00DD3F74" w:rsidRPr="00AB15C7" w:rsidRDefault="00DD3F74" w:rsidP="005921EF">
            <w:pPr>
              <w:spacing w:after="0"/>
              <w:jc w:val="both"/>
              <w:rPr>
                <w:rFonts w:ascii="Cambria" w:hAnsi="Cambria"/>
                <w:noProof/>
              </w:rPr>
            </w:pPr>
            <w:r w:rsidRPr="00AB15C7">
              <w:rPr>
                <w:rFonts w:ascii="Cambria" w:hAnsi="Cambria"/>
                <w:noProof/>
              </w:rPr>
              <w:t>VEĆI RIZIK</w:t>
            </w:r>
          </w:p>
        </w:tc>
        <w:tc>
          <w:tcPr>
            <w:tcW w:w="1937" w:type="dxa"/>
            <w:shd w:val="clear" w:color="auto" w:fill="auto"/>
            <w:vAlign w:val="center"/>
          </w:tcPr>
          <w:p w14:paraId="612B89D7" w14:textId="77777777" w:rsidR="00DD3F74" w:rsidRPr="00AB15C7" w:rsidRDefault="00DD3F74" w:rsidP="005921EF">
            <w:pPr>
              <w:spacing w:after="0"/>
              <w:rPr>
                <w:rFonts w:ascii="Cambria" w:hAnsi="Cambria"/>
                <w:noProof/>
              </w:rPr>
            </w:pPr>
            <w:r w:rsidRPr="00AB15C7">
              <w:rPr>
                <w:rFonts w:ascii="Cambria" w:hAnsi="Cambria"/>
                <w:noProof/>
              </w:rPr>
              <w:t>DOO Energogas, Dajbabe bb, Podgorica</w:t>
            </w:r>
          </w:p>
        </w:tc>
        <w:tc>
          <w:tcPr>
            <w:tcW w:w="1434" w:type="dxa"/>
            <w:shd w:val="clear" w:color="auto" w:fill="auto"/>
            <w:vAlign w:val="center"/>
          </w:tcPr>
          <w:p w14:paraId="5E53E6C1" w14:textId="77777777" w:rsidR="00DD3F74" w:rsidRPr="00AB15C7" w:rsidRDefault="00DD3F74" w:rsidP="005921EF">
            <w:pPr>
              <w:spacing w:after="0"/>
              <w:jc w:val="both"/>
              <w:rPr>
                <w:rFonts w:ascii="Cambria" w:hAnsi="Cambria"/>
                <w:noProof/>
              </w:rPr>
            </w:pPr>
            <w:r w:rsidRPr="00AB15C7">
              <w:rPr>
                <w:rFonts w:ascii="Cambria" w:hAnsi="Cambria"/>
                <w:noProof/>
              </w:rPr>
              <w:t>Skladištenje i distribucija TNG-a</w:t>
            </w:r>
          </w:p>
        </w:tc>
        <w:tc>
          <w:tcPr>
            <w:tcW w:w="1156" w:type="dxa"/>
            <w:shd w:val="clear" w:color="auto" w:fill="auto"/>
            <w:vAlign w:val="center"/>
          </w:tcPr>
          <w:p w14:paraId="53C8584C" w14:textId="77777777" w:rsidR="00DD3F74" w:rsidRPr="00AB15C7" w:rsidRDefault="00DD3F74" w:rsidP="005921EF">
            <w:pPr>
              <w:spacing w:after="0"/>
              <w:jc w:val="both"/>
              <w:rPr>
                <w:rFonts w:ascii="Cambria" w:hAnsi="Cambria"/>
                <w:noProof/>
              </w:rPr>
            </w:pPr>
            <w:r w:rsidRPr="00AB15C7">
              <w:rPr>
                <w:rFonts w:ascii="Cambria" w:hAnsi="Cambria"/>
                <w:noProof/>
              </w:rPr>
              <w:t>Propan butan</w:t>
            </w:r>
          </w:p>
        </w:tc>
        <w:tc>
          <w:tcPr>
            <w:tcW w:w="1080" w:type="dxa"/>
            <w:shd w:val="clear" w:color="auto" w:fill="auto"/>
            <w:vAlign w:val="center"/>
          </w:tcPr>
          <w:p w14:paraId="47F041D0" w14:textId="77777777" w:rsidR="00DD3F74" w:rsidRPr="00AB15C7" w:rsidRDefault="00DD3F74" w:rsidP="005921EF">
            <w:pPr>
              <w:spacing w:after="0"/>
              <w:jc w:val="both"/>
              <w:rPr>
                <w:rFonts w:ascii="Cambria" w:hAnsi="Cambria"/>
                <w:noProof/>
              </w:rPr>
            </w:pPr>
            <w:r w:rsidRPr="00AB15C7">
              <w:rPr>
                <w:rFonts w:ascii="Cambria" w:hAnsi="Cambria"/>
                <w:noProof/>
              </w:rPr>
              <w:t>627 t</w:t>
            </w:r>
          </w:p>
        </w:tc>
      </w:tr>
      <w:tr w:rsidR="00DD3F74" w:rsidRPr="00AB15C7" w14:paraId="7D56F047" w14:textId="77777777" w:rsidTr="0005493B">
        <w:trPr>
          <w:trHeight w:val="647"/>
          <w:jc w:val="center"/>
        </w:trPr>
        <w:tc>
          <w:tcPr>
            <w:tcW w:w="2664" w:type="dxa"/>
            <w:shd w:val="clear" w:color="auto" w:fill="D9D9D9"/>
            <w:vAlign w:val="center"/>
          </w:tcPr>
          <w:p w14:paraId="5C13AB20" w14:textId="77777777" w:rsidR="00DD3F74" w:rsidRPr="00AB15C7" w:rsidRDefault="00DD3F74" w:rsidP="005921EF">
            <w:pPr>
              <w:spacing w:after="0"/>
              <w:rPr>
                <w:rFonts w:ascii="Cambria" w:hAnsi="Cambria"/>
                <w:noProof/>
              </w:rPr>
            </w:pPr>
            <w:r w:rsidRPr="00AB15C7">
              <w:rPr>
                <w:rFonts w:ascii="Cambria" w:hAnsi="Cambria"/>
                <w:noProof/>
              </w:rPr>
              <w:t>,,Poliex” AD, Polica bb., Berane</w:t>
            </w:r>
          </w:p>
        </w:tc>
        <w:tc>
          <w:tcPr>
            <w:tcW w:w="1350" w:type="dxa"/>
            <w:shd w:val="clear" w:color="auto" w:fill="auto"/>
            <w:vAlign w:val="center"/>
          </w:tcPr>
          <w:p w14:paraId="7998D04D" w14:textId="77777777" w:rsidR="00DD3F74" w:rsidRPr="00AB15C7" w:rsidRDefault="00DD3F74" w:rsidP="005921EF">
            <w:pPr>
              <w:spacing w:after="0"/>
              <w:jc w:val="both"/>
              <w:rPr>
                <w:rFonts w:ascii="Cambria" w:hAnsi="Cambria"/>
                <w:noProof/>
              </w:rPr>
            </w:pPr>
            <w:r w:rsidRPr="00AB15C7">
              <w:rPr>
                <w:rFonts w:ascii="Cambria" w:hAnsi="Cambria"/>
                <w:noProof/>
              </w:rPr>
              <w:t>VEĆI RIZIK</w:t>
            </w:r>
          </w:p>
        </w:tc>
        <w:tc>
          <w:tcPr>
            <w:tcW w:w="1937" w:type="dxa"/>
            <w:shd w:val="clear" w:color="auto" w:fill="auto"/>
            <w:vAlign w:val="center"/>
          </w:tcPr>
          <w:p w14:paraId="767C0677" w14:textId="77777777" w:rsidR="00DD3F74" w:rsidRPr="00AB15C7" w:rsidRDefault="00DD3F74" w:rsidP="005921EF">
            <w:pPr>
              <w:spacing w:after="0"/>
              <w:rPr>
                <w:rFonts w:ascii="Cambria" w:hAnsi="Cambria"/>
                <w:noProof/>
              </w:rPr>
            </w:pPr>
            <w:r w:rsidRPr="00AB15C7">
              <w:rPr>
                <w:rFonts w:ascii="Cambria" w:hAnsi="Cambria"/>
                <w:noProof/>
              </w:rPr>
              <w:t>AD ,,Poliex”, Polica bb., Berane</w:t>
            </w:r>
          </w:p>
        </w:tc>
        <w:tc>
          <w:tcPr>
            <w:tcW w:w="1434" w:type="dxa"/>
            <w:shd w:val="clear" w:color="auto" w:fill="auto"/>
            <w:vAlign w:val="center"/>
          </w:tcPr>
          <w:p w14:paraId="0F110409" w14:textId="77777777" w:rsidR="00DD3F74" w:rsidRPr="00AB15C7" w:rsidRDefault="00DD3F74" w:rsidP="006F4EFD">
            <w:pPr>
              <w:spacing w:after="0"/>
              <w:ind w:right="-15"/>
              <w:jc w:val="both"/>
              <w:rPr>
                <w:rFonts w:ascii="Cambria" w:hAnsi="Cambria"/>
                <w:noProof/>
              </w:rPr>
            </w:pPr>
            <w:r w:rsidRPr="00AB15C7">
              <w:rPr>
                <w:rFonts w:ascii="Cambria" w:hAnsi="Cambria"/>
                <w:noProof/>
              </w:rPr>
              <w:t>Proizvodnja i skladištenje eksploziva</w:t>
            </w:r>
          </w:p>
        </w:tc>
        <w:tc>
          <w:tcPr>
            <w:tcW w:w="1156" w:type="dxa"/>
            <w:shd w:val="clear" w:color="auto" w:fill="auto"/>
            <w:vAlign w:val="center"/>
          </w:tcPr>
          <w:p w14:paraId="1AD48A0A" w14:textId="77777777" w:rsidR="00DD3F74" w:rsidRPr="00AB15C7" w:rsidRDefault="00DD3F74" w:rsidP="005921EF">
            <w:pPr>
              <w:spacing w:after="0"/>
              <w:jc w:val="both"/>
              <w:rPr>
                <w:rFonts w:ascii="Cambria" w:hAnsi="Cambria"/>
                <w:noProof/>
              </w:rPr>
            </w:pPr>
            <w:r w:rsidRPr="00AB15C7">
              <w:rPr>
                <w:rFonts w:ascii="Cambria" w:hAnsi="Cambria"/>
                <w:noProof/>
              </w:rPr>
              <w:t>Eksploziv</w:t>
            </w:r>
          </w:p>
        </w:tc>
        <w:tc>
          <w:tcPr>
            <w:tcW w:w="1080" w:type="dxa"/>
            <w:shd w:val="clear" w:color="auto" w:fill="auto"/>
            <w:vAlign w:val="center"/>
          </w:tcPr>
          <w:p w14:paraId="66C06105" w14:textId="77777777" w:rsidR="00DD3F74" w:rsidRPr="00AB15C7" w:rsidRDefault="00DD3F74" w:rsidP="005921EF">
            <w:pPr>
              <w:spacing w:after="0"/>
              <w:jc w:val="both"/>
              <w:rPr>
                <w:rFonts w:ascii="Cambria" w:hAnsi="Cambria"/>
                <w:noProof/>
              </w:rPr>
            </w:pPr>
            <w:r w:rsidRPr="00AB15C7">
              <w:rPr>
                <w:rFonts w:ascii="Cambria" w:hAnsi="Cambria"/>
                <w:noProof/>
              </w:rPr>
              <w:t>365 t</w:t>
            </w:r>
          </w:p>
        </w:tc>
      </w:tr>
      <w:tr w:rsidR="000E62E4" w:rsidRPr="00AB15C7" w14:paraId="713EA4F6" w14:textId="77777777" w:rsidTr="0005493B">
        <w:trPr>
          <w:trHeight w:val="1178"/>
          <w:jc w:val="center"/>
        </w:trPr>
        <w:tc>
          <w:tcPr>
            <w:tcW w:w="2664" w:type="dxa"/>
            <w:shd w:val="clear" w:color="auto" w:fill="D9D9D9"/>
            <w:vAlign w:val="center"/>
          </w:tcPr>
          <w:p w14:paraId="0B4CD07A" w14:textId="77777777" w:rsidR="000E62E4" w:rsidRPr="00AB15C7" w:rsidRDefault="000E62E4" w:rsidP="005921EF">
            <w:pPr>
              <w:spacing w:after="0"/>
              <w:rPr>
                <w:rFonts w:ascii="Cambria" w:hAnsi="Cambria"/>
                <w:noProof/>
              </w:rPr>
            </w:pPr>
            <w:r w:rsidRPr="00AB15C7">
              <w:rPr>
                <w:rFonts w:ascii="Cambria" w:hAnsi="Cambria"/>
                <w:noProof/>
              </w:rPr>
              <w:t>“Jugopetrol” AD Podgorica, ul. Stanka Dragojevića bb, Podgorica</w:t>
            </w:r>
          </w:p>
        </w:tc>
        <w:tc>
          <w:tcPr>
            <w:tcW w:w="1350" w:type="dxa"/>
            <w:shd w:val="clear" w:color="auto" w:fill="auto"/>
            <w:vAlign w:val="center"/>
          </w:tcPr>
          <w:p w14:paraId="1CE69564" w14:textId="77777777" w:rsidR="000E62E4" w:rsidRPr="00AB15C7" w:rsidRDefault="000E62E4" w:rsidP="005921EF">
            <w:pPr>
              <w:spacing w:after="0"/>
              <w:jc w:val="both"/>
              <w:rPr>
                <w:rFonts w:ascii="Cambria" w:hAnsi="Cambria"/>
                <w:noProof/>
              </w:rPr>
            </w:pPr>
            <w:r w:rsidRPr="00AB15C7">
              <w:rPr>
                <w:rFonts w:ascii="Cambria" w:hAnsi="Cambria"/>
                <w:noProof/>
              </w:rPr>
              <w:t>VEĆI RIZIK</w:t>
            </w:r>
          </w:p>
        </w:tc>
        <w:tc>
          <w:tcPr>
            <w:tcW w:w="1937" w:type="dxa"/>
            <w:shd w:val="clear" w:color="auto" w:fill="auto"/>
            <w:vAlign w:val="center"/>
          </w:tcPr>
          <w:p w14:paraId="54FDD23A" w14:textId="77777777" w:rsidR="000E62E4" w:rsidRPr="00AB15C7" w:rsidRDefault="000E62E4" w:rsidP="005921EF">
            <w:pPr>
              <w:spacing w:after="0"/>
              <w:rPr>
                <w:rFonts w:ascii="Cambria" w:hAnsi="Cambria"/>
                <w:noProof/>
              </w:rPr>
            </w:pPr>
            <w:r w:rsidRPr="00AB15C7">
              <w:rPr>
                <w:rFonts w:ascii="Cambria" w:hAnsi="Cambria"/>
                <w:noProof/>
              </w:rPr>
              <w:t>Instalacija – Bar, u krugu Luke Bar, na brdu Volujica</w:t>
            </w:r>
          </w:p>
        </w:tc>
        <w:tc>
          <w:tcPr>
            <w:tcW w:w="1434" w:type="dxa"/>
            <w:shd w:val="clear" w:color="auto" w:fill="auto"/>
            <w:vAlign w:val="center"/>
          </w:tcPr>
          <w:p w14:paraId="2876DE0D" w14:textId="77777777" w:rsidR="000E62E4" w:rsidRPr="00AB15C7" w:rsidRDefault="000E62E4" w:rsidP="005921EF">
            <w:pPr>
              <w:spacing w:after="0"/>
              <w:jc w:val="both"/>
              <w:rPr>
                <w:rFonts w:ascii="Cambria" w:hAnsi="Cambria"/>
                <w:noProof/>
              </w:rPr>
            </w:pPr>
            <w:r w:rsidRPr="00AB15C7">
              <w:rPr>
                <w:rFonts w:ascii="Cambria" w:hAnsi="Cambria"/>
                <w:noProof/>
              </w:rPr>
              <w:t>Skladištenje i distribucija goriva</w:t>
            </w:r>
          </w:p>
        </w:tc>
        <w:tc>
          <w:tcPr>
            <w:tcW w:w="1156" w:type="dxa"/>
            <w:shd w:val="clear" w:color="auto" w:fill="auto"/>
            <w:vAlign w:val="center"/>
          </w:tcPr>
          <w:p w14:paraId="73317089" w14:textId="77777777" w:rsidR="000E62E4" w:rsidRPr="00AB15C7" w:rsidRDefault="000E62E4" w:rsidP="005921EF">
            <w:pPr>
              <w:spacing w:after="0"/>
              <w:jc w:val="both"/>
              <w:rPr>
                <w:rFonts w:ascii="Cambria" w:hAnsi="Cambria"/>
                <w:noProof/>
              </w:rPr>
            </w:pPr>
            <w:r w:rsidRPr="00AB15C7">
              <w:rPr>
                <w:rFonts w:ascii="Cambria" w:hAnsi="Cambria"/>
                <w:noProof/>
              </w:rPr>
              <w:t>LPG</w:t>
            </w:r>
          </w:p>
        </w:tc>
        <w:tc>
          <w:tcPr>
            <w:tcW w:w="1080" w:type="dxa"/>
            <w:shd w:val="clear" w:color="auto" w:fill="auto"/>
            <w:vAlign w:val="center"/>
          </w:tcPr>
          <w:p w14:paraId="4AB7337A" w14:textId="77777777" w:rsidR="000E62E4" w:rsidRPr="00AB15C7" w:rsidRDefault="000E62E4" w:rsidP="005921EF">
            <w:pPr>
              <w:spacing w:after="0"/>
              <w:ind w:right="-104"/>
              <w:jc w:val="both"/>
              <w:rPr>
                <w:rFonts w:ascii="Cambria" w:hAnsi="Cambria"/>
                <w:noProof/>
              </w:rPr>
            </w:pPr>
            <w:r w:rsidRPr="00AB15C7">
              <w:rPr>
                <w:rFonts w:ascii="Cambria" w:hAnsi="Cambria"/>
                <w:noProof/>
              </w:rPr>
              <w:t>128.500 m3(cca 110.000t)</w:t>
            </w:r>
          </w:p>
        </w:tc>
      </w:tr>
      <w:tr w:rsidR="00DD3F74" w:rsidRPr="00AB15C7" w14:paraId="452666E3" w14:textId="77777777" w:rsidTr="0005493B">
        <w:trPr>
          <w:trHeight w:val="584"/>
          <w:jc w:val="center"/>
        </w:trPr>
        <w:tc>
          <w:tcPr>
            <w:tcW w:w="2664" w:type="dxa"/>
            <w:shd w:val="clear" w:color="auto" w:fill="D9D9D9"/>
            <w:vAlign w:val="center"/>
          </w:tcPr>
          <w:p w14:paraId="0B4B62D0" w14:textId="77777777" w:rsidR="00DD3F74" w:rsidRPr="00AB15C7" w:rsidRDefault="00DD3F74" w:rsidP="005921EF">
            <w:pPr>
              <w:spacing w:after="0"/>
              <w:rPr>
                <w:rFonts w:ascii="Cambria" w:hAnsi="Cambria"/>
                <w:noProof/>
              </w:rPr>
            </w:pPr>
            <w:r w:rsidRPr="00AB15C7">
              <w:rPr>
                <w:rFonts w:ascii="Cambria" w:hAnsi="Cambria"/>
                <w:noProof/>
              </w:rPr>
              <w:lastRenderedPageBreak/>
              <w:t>Jugobicikl - promet D.O.O,  Jerevanska br. 2 - Podgorica</w:t>
            </w:r>
          </w:p>
        </w:tc>
        <w:tc>
          <w:tcPr>
            <w:tcW w:w="1350" w:type="dxa"/>
            <w:shd w:val="clear" w:color="auto" w:fill="auto"/>
            <w:vAlign w:val="center"/>
          </w:tcPr>
          <w:p w14:paraId="661A7956" w14:textId="77777777" w:rsidR="00DD3F74" w:rsidRPr="00AB15C7" w:rsidRDefault="00DD3F74" w:rsidP="005921EF">
            <w:pPr>
              <w:spacing w:after="0"/>
              <w:jc w:val="both"/>
              <w:rPr>
                <w:rFonts w:ascii="Cambria" w:hAnsi="Cambria"/>
                <w:noProof/>
              </w:rPr>
            </w:pPr>
            <w:r w:rsidRPr="00AB15C7">
              <w:rPr>
                <w:rFonts w:ascii="Cambria" w:hAnsi="Cambria"/>
                <w:noProof/>
              </w:rPr>
              <w:t>VEĆI RIZIK</w:t>
            </w:r>
          </w:p>
        </w:tc>
        <w:tc>
          <w:tcPr>
            <w:tcW w:w="1937" w:type="dxa"/>
            <w:shd w:val="clear" w:color="auto" w:fill="auto"/>
            <w:vAlign w:val="center"/>
          </w:tcPr>
          <w:p w14:paraId="20ADC5CA" w14:textId="77777777" w:rsidR="00DD3F74" w:rsidRPr="00AB15C7" w:rsidRDefault="00DD3F74" w:rsidP="005921EF">
            <w:pPr>
              <w:spacing w:after="0"/>
              <w:rPr>
                <w:rFonts w:ascii="Cambria" w:hAnsi="Cambria"/>
                <w:noProof/>
              </w:rPr>
            </w:pPr>
            <w:r w:rsidRPr="00AB15C7">
              <w:rPr>
                <w:rFonts w:ascii="Cambria" w:hAnsi="Cambria"/>
                <w:noProof/>
              </w:rPr>
              <w:t>Magacin M3 u okviru skladišta B - luka Bar, lokacija Volujica</w:t>
            </w:r>
          </w:p>
        </w:tc>
        <w:tc>
          <w:tcPr>
            <w:tcW w:w="1434" w:type="dxa"/>
            <w:shd w:val="clear" w:color="auto" w:fill="auto"/>
            <w:vAlign w:val="center"/>
          </w:tcPr>
          <w:p w14:paraId="45899F4A" w14:textId="77777777" w:rsidR="00DD3F74" w:rsidRPr="00AB15C7" w:rsidRDefault="00DD3F74" w:rsidP="005921EF">
            <w:pPr>
              <w:spacing w:after="0"/>
              <w:jc w:val="both"/>
              <w:rPr>
                <w:rFonts w:ascii="Cambria" w:hAnsi="Cambria"/>
                <w:noProof/>
              </w:rPr>
            </w:pPr>
            <w:r w:rsidRPr="00AB15C7">
              <w:rPr>
                <w:rFonts w:ascii="Cambria" w:hAnsi="Cambria"/>
                <w:noProof/>
              </w:rPr>
              <w:t>Skladištenje eksploziva</w:t>
            </w:r>
          </w:p>
        </w:tc>
        <w:tc>
          <w:tcPr>
            <w:tcW w:w="1156" w:type="dxa"/>
            <w:shd w:val="clear" w:color="auto" w:fill="auto"/>
            <w:vAlign w:val="center"/>
          </w:tcPr>
          <w:p w14:paraId="4BB0A99B" w14:textId="77777777" w:rsidR="00DD3F74" w:rsidRPr="00AB15C7" w:rsidRDefault="00DD3F74" w:rsidP="005921EF">
            <w:pPr>
              <w:spacing w:after="0"/>
              <w:jc w:val="both"/>
              <w:rPr>
                <w:rFonts w:ascii="Cambria" w:hAnsi="Cambria"/>
                <w:noProof/>
              </w:rPr>
            </w:pPr>
            <w:r w:rsidRPr="00AB15C7">
              <w:rPr>
                <w:rFonts w:ascii="Cambria" w:hAnsi="Cambria"/>
                <w:noProof/>
              </w:rPr>
              <w:t>Eksploziv</w:t>
            </w:r>
          </w:p>
        </w:tc>
        <w:tc>
          <w:tcPr>
            <w:tcW w:w="1080" w:type="dxa"/>
            <w:shd w:val="clear" w:color="auto" w:fill="auto"/>
            <w:vAlign w:val="center"/>
          </w:tcPr>
          <w:p w14:paraId="53678356" w14:textId="77777777" w:rsidR="00DD3F74" w:rsidRPr="00AB15C7" w:rsidRDefault="00DD3F74" w:rsidP="005921EF">
            <w:pPr>
              <w:spacing w:after="0"/>
              <w:jc w:val="both"/>
              <w:rPr>
                <w:rFonts w:ascii="Cambria" w:hAnsi="Cambria"/>
                <w:noProof/>
              </w:rPr>
            </w:pPr>
            <w:r w:rsidRPr="00AB15C7">
              <w:rPr>
                <w:rFonts w:ascii="Cambria" w:hAnsi="Cambria"/>
                <w:noProof/>
              </w:rPr>
              <w:t>50 t</w:t>
            </w:r>
          </w:p>
        </w:tc>
      </w:tr>
      <w:tr w:rsidR="00DD3F74" w:rsidRPr="00AB15C7" w14:paraId="59E619D3" w14:textId="77777777" w:rsidTr="0005493B">
        <w:trPr>
          <w:trHeight w:val="701"/>
          <w:jc w:val="center"/>
        </w:trPr>
        <w:tc>
          <w:tcPr>
            <w:tcW w:w="2664" w:type="dxa"/>
            <w:shd w:val="clear" w:color="auto" w:fill="D9D9D9"/>
            <w:vAlign w:val="center"/>
          </w:tcPr>
          <w:p w14:paraId="6D45FAD6" w14:textId="77777777" w:rsidR="00DD3F74" w:rsidRPr="00AB15C7" w:rsidRDefault="00DD3F74" w:rsidP="005921EF">
            <w:pPr>
              <w:spacing w:after="0"/>
              <w:rPr>
                <w:rFonts w:ascii="Cambria" w:hAnsi="Cambria"/>
                <w:noProof/>
              </w:rPr>
            </w:pPr>
            <w:r w:rsidRPr="00AB15C7">
              <w:rPr>
                <w:rFonts w:ascii="Cambria" w:hAnsi="Cambria"/>
                <w:noProof/>
              </w:rPr>
              <w:t>,,LUKA BAR” AD,  Obala 13 jula bb, Bar</w:t>
            </w:r>
          </w:p>
        </w:tc>
        <w:tc>
          <w:tcPr>
            <w:tcW w:w="1350" w:type="dxa"/>
            <w:shd w:val="clear" w:color="auto" w:fill="auto"/>
            <w:vAlign w:val="center"/>
          </w:tcPr>
          <w:p w14:paraId="30B4E4EB" w14:textId="77777777" w:rsidR="00DD3F74" w:rsidRPr="00AB15C7" w:rsidRDefault="00DD3F74" w:rsidP="005921EF">
            <w:pPr>
              <w:spacing w:after="0"/>
              <w:jc w:val="both"/>
              <w:rPr>
                <w:rFonts w:ascii="Cambria" w:hAnsi="Cambria"/>
                <w:noProof/>
              </w:rPr>
            </w:pPr>
            <w:r w:rsidRPr="00AB15C7">
              <w:rPr>
                <w:rFonts w:ascii="Cambria" w:hAnsi="Cambria"/>
                <w:noProof/>
              </w:rPr>
              <w:t>VEĆI RIZIK</w:t>
            </w:r>
          </w:p>
        </w:tc>
        <w:tc>
          <w:tcPr>
            <w:tcW w:w="1937" w:type="dxa"/>
            <w:shd w:val="clear" w:color="auto" w:fill="auto"/>
            <w:vAlign w:val="center"/>
          </w:tcPr>
          <w:p w14:paraId="26BEEAE8" w14:textId="77777777" w:rsidR="00DD3F74" w:rsidRPr="00AB15C7" w:rsidRDefault="00DD3F74" w:rsidP="005921EF">
            <w:pPr>
              <w:spacing w:after="0"/>
              <w:rPr>
                <w:rFonts w:ascii="Cambria" w:hAnsi="Cambria"/>
                <w:noProof/>
              </w:rPr>
            </w:pPr>
            <w:r w:rsidRPr="00AB15C7">
              <w:rPr>
                <w:rFonts w:ascii="Cambria" w:hAnsi="Cambria"/>
                <w:noProof/>
              </w:rPr>
              <w:t xml:space="preserve">Skladišta “B” materije, na katast. parceli br. 6505/1 KO Novi  Bar </w:t>
            </w:r>
          </w:p>
        </w:tc>
        <w:tc>
          <w:tcPr>
            <w:tcW w:w="1434" w:type="dxa"/>
            <w:shd w:val="clear" w:color="auto" w:fill="auto"/>
            <w:vAlign w:val="center"/>
          </w:tcPr>
          <w:p w14:paraId="05469077" w14:textId="77777777" w:rsidR="00DD3F74" w:rsidRPr="00AB15C7" w:rsidRDefault="00DD3F74" w:rsidP="005921EF">
            <w:pPr>
              <w:spacing w:after="0"/>
              <w:jc w:val="both"/>
              <w:rPr>
                <w:rFonts w:ascii="Cambria" w:hAnsi="Cambria"/>
                <w:noProof/>
              </w:rPr>
            </w:pPr>
            <w:r w:rsidRPr="00AB15C7">
              <w:rPr>
                <w:rFonts w:ascii="Cambria" w:hAnsi="Cambria"/>
                <w:noProof/>
              </w:rPr>
              <w:t>Skladištenje eksploziva</w:t>
            </w:r>
          </w:p>
        </w:tc>
        <w:tc>
          <w:tcPr>
            <w:tcW w:w="1156" w:type="dxa"/>
            <w:shd w:val="clear" w:color="auto" w:fill="auto"/>
            <w:vAlign w:val="center"/>
          </w:tcPr>
          <w:p w14:paraId="7F20D1F6" w14:textId="77777777" w:rsidR="00DD3F74" w:rsidRPr="00AB15C7" w:rsidRDefault="00DD3F74" w:rsidP="005921EF">
            <w:pPr>
              <w:spacing w:after="0"/>
              <w:jc w:val="both"/>
              <w:rPr>
                <w:rFonts w:ascii="Cambria" w:hAnsi="Cambria"/>
                <w:noProof/>
              </w:rPr>
            </w:pPr>
            <w:r w:rsidRPr="00AB15C7">
              <w:rPr>
                <w:rFonts w:ascii="Cambria" w:hAnsi="Cambria"/>
                <w:noProof/>
              </w:rPr>
              <w:t>Eksploziv</w:t>
            </w:r>
          </w:p>
        </w:tc>
        <w:tc>
          <w:tcPr>
            <w:tcW w:w="1080" w:type="dxa"/>
            <w:shd w:val="clear" w:color="auto" w:fill="auto"/>
            <w:vAlign w:val="center"/>
          </w:tcPr>
          <w:p w14:paraId="2923B511" w14:textId="77777777" w:rsidR="00DD3F74" w:rsidRPr="00AB15C7" w:rsidRDefault="00DD3F74" w:rsidP="005921EF">
            <w:pPr>
              <w:spacing w:after="0"/>
              <w:jc w:val="both"/>
              <w:rPr>
                <w:rFonts w:ascii="Cambria" w:hAnsi="Cambria"/>
                <w:noProof/>
              </w:rPr>
            </w:pPr>
            <w:r w:rsidRPr="00AB15C7">
              <w:rPr>
                <w:rFonts w:ascii="Cambria" w:hAnsi="Cambria"/>
                <w:noProof/>
              </w:rPr>
              <w:t>50 t</w:t>
            </w:r>
          </w:p>
        </w:tc>
      </w:tr>
      <w:tr w:rsidR="00DD3F74" w:rsidRPr="00AB15C7" w14:paraId="51B591A3" w14:textId="77777777" w:rsidTr="0005493B">
        <w:trPr>
          <w:trHeight w:val="850"/>
          <w:jc w:val="center"/>
        </w:trPr>
        <w:tc>
          <w:tcPr>
            <w:tcW w:w="2664" w:type="dxa"/>
            <w:shd w:val="clear" w:color="auto" w:fill="D9D9D9"/>
            <w:vAlign w:val="center"/>
          </w:tcPr>
          <w:p w14:paraId="6B79ACE2" w14:textId="77777777" w:rsidR="00DD3F74" w:rsidRPr="00AB15C7" w:rsidRDefault="00DD3F74" w:rsidP="005921EF">
            <w:pPr>
              <w:spacing w:after="0"/>
              <w:ind w:right="-60"/>
              <w:rPr>
                <w:rFonts w:ascii="Cambria" w:hAnsi="Cambria"/>
                <w:noProof/>
              </w:rPr>
            </w:pPr>
            <w:r w:rsidRPr="00AB15C7">
              <w:rPr>
                <w:rFonts w:ascii="Cambria" w:hAnsi="Cambria"/>
                <w:noProof/>
              </w:rPr>
              <w:t>,,Mirnovec Montenegro” D.O.O,  Cetinjski put, lamela 5-17, City kvart, Podgorica</w:t>
            </w:r>
          </w:p>
        </w:tc>
        <w:tc>
          <w:tcPr>
            <w:tcW w:w="1350" w:type="dxa"/>
            <w:shd w:val="clear" w:color="auto" w:fill="auto"/>
            <w:vAlign w:val="center"/>
          </w:tcPr>
          <w:p w14:paraId="35EA5642" w14:textId="77777777" w:rsidR="00DD3F74" w:rsidRPr="00AB15C7" w:rsidRDefault="00DD3F74" w:rsidP="005921EF">
            <w:pPr>
              <w:spacing w:after="0"/>
              <w:jc w:val="both"/>
              <w:rPr>
                <w:rFonts w:ascii="Cambria" w:hAnsi="Cambria"/>
                <w:noProof/>
              </w:rPr>
            </w:pPr>
            <w:r w:rsidRPr="00AB15C7">
              <w:rPr>
                <w:rFonts w:ascii="Cambria" w:hAnsi="Cambria"/>
                <w:noProof/>
              </w:rPr>
              <w:t>VEĆI RIZIK</w:t>
            </w:r>
          </w:p>
        </w:tc>
        <w:tc>
          <w:tcPr>
            <w:tcW w:w="1937" w:type="dxa"/>
            <w:shd w:val="clear" w:color="auto" w:fill="auto"/>
            <w:vAlign w:val="center"/>
          </w:tcPr>
          <w:p w14:paraId="79FBFB10" w14:textId="77777777" w:rsidR="00DD3F74" w:rsidRPr="00AB15C7" w:rsidRDefault="00DD3F74" w:rsidP="005921EF">
            <w:pPr>
              <w:spacing w:after="0"/>
              <w:rPr>
                <w:rFonts w:ascii="Cambria" w:hAnsi="Cambria"/>
                <w:noProof/>
              </w:rPr>
            </w:pPr>
            <w:r w:rsidRPr="00AB15C7">
              <w:rPr>
                <w:rFonts w:ascii="Cambria" w:hAnsi="Cambria"/>
                <w:noProof/>
              </w:rPr>
              <w:t>Skladište broj M2, brdo Volujica, Luka Bar</w:t>
            </w:r>
          </w:p>
        </w:tc>
        <w:tc>
          <w:tcPr>
            <w:tcW w:w="1434" w:type="dxa"/>
            <w:shd w:val="clear" w:color="auto" w:fill="auto"/>
            <w:vAlign w:val="center"/>
          </w:tcPr>
          <w:p w14:paraId="52DB93E4" w14:textId="77777777" w:rsidR="00DD3F74" w:rsidRPr="00AB15C7" w:rsidRDefault="00DD3F74" w:rsidP="005921EF">
            <w:pPr>
              <w:spacing w:after="0"/>
              <w:jc w:val="both"/>
              <w:rPr>
                <w:rFonts w:ascii="Cambria" w:hAnsi="Cambria"/>
                <w:noProof/>
              </w:rPr>
            </w:pPr>
            <w:r w:rsidRPr="00AB15C7">
              <w:rPr>
                <w:rFonts w:ascii="Cambria" w:hAnsi="Cambria"/>
                <w:noProof/>
              </w:rPr>
              <w:t>Skladištenje eksploziva</w:t>
            </w:r>
          </w:p>
        </w:tc>
        <w:tc>
          <w:tcPr>
            <w:tcW w:w="1156" w:type="dxa"/>
            <w:shd w:val="clear" w:color="auto" w:fill="auto"/>
            <w:vAlign w:val="center"/>
          </w:tcPr>
          <w:p w14:paraId="4CC56E10" w14:textId="77777777" w:rsidR="00DD3F74" w:rsidRPr="00AB15C7" w:rsidRDefault="00DD3F74" w:rsidP="005921EF">
            <w:pPr>
              <w:spacing w:after="0"/>
              <w:jc w:val="both"/>
              <w:rPr>
                <w:rFonts w:ascii="Cambria" w:hAnsi="Cambria"/>
                <w:noProof/>
              </w:rPr>
            </w:pPr>
            <w:r w:rsidRPr="00AB15C7">
              <w:rPr>
                <w:rFonts w:ascii="Cambria" w:hAnsi="Cambria"/>
                <w:noProof/>
              </w:rPr>
              <w:t>Eksploziv</w:t>
            </w:r>
          </w:p>
        </w:tc>
        <w:tc>
          <w:tcPr>
            <w:tcW w:w="1080" w:type="dxa"/>
            <w:shd w:val="clear" w:color="auto" w:fill="auto"/>
            <w:vAlign w:val="center"/>
          </w:tcPr>
          <w:p w14:paraId="4D1C4CA7" w14:textId="77777777" w:rsidR="00DD3F74" w:rsidRPr="00AB15C7" w:rsidRDefault="00DD3F74" w:rsidP="005921EF">
            <w:pPr>
              <w:spacing w:after="0"/>
              <w:jc w:val="both"/>
              <w:rPr>
                <w:rFonts w:ascii="Cambria" w:hAnsi="Cambria"/>
                <w:noProof/>
              </w:rPr>
            </w:pPr>
            <w:r w:rsidRPr="00AB15C7">
              <w:rPr>
                <w:rFonts w:ascii="Cambria" w:hAnsi="Cambria"/>
                <w:noProof/>
              </w:rPr>
              <w:t>50 t</w:t>
            </w:r>
          </w:p>
        </w:tc>
      </w:tr>
    </w:tbl>
    <w:p w14:paraId="3DA0F46E" w14:textId="77777777" w:rsidR="00676BF4" w:rsidRPr="00AB15C7" w:rsidRDefault="00676BF4" w:rsidP="005921EF">
      <w:pPr>
        <w:jc w:val="center"/>
        <w:rPr>
          <w:rFonts w:ascii="Cambria" w:hAnsi="Cambria"/>
          <w:b/>
          <w:noProof/>
          <w:lang w:val="sr-Latn-ME"/>
        </w:rPr>
      </w:pPr>
      <w:r w:rsidRPr="00AB15C7">
        <w:rPr>
          <w:rFonts w:ascii="Cambria" w:hAnsi="Cambria"/>
          <w:i/>
          <w:noProof/>
          <w:lang w:val="sr-Latn-ME"/>
        </w:rPr>
        <w:t>Izvor: Agencija za zaštitu životne sredine</w:t>
      </w:r>
    </w:p>
    <w:p w14:paraId="62CDEE1C" w14:textId="4B1F06DA" w:rsidR="00642269" w:rsidRDefault="00642269" w:rsidP="006F4EFD">
      <w:pPr>
        <w:spacing w:before="240"/>
        <w:jc w:val="both"/>
        <w:rPr>
          <w:rFonts w:ascii="Cambria" w:hAnsi="Cambria"/>
          <w:noProof/>
        </w:rPr>
      </w:pPr>
      <w:r w:rsidRPr="00AB15C7">
        <w:rPr>
          <w:rFonts w:ascii="Cambria" w:hAnsi="Cambria"/>
          <w:noProof/>
        </w:rPr>
        <w:t>Procedure i propisane obaveze u sektoru hemikalija u velikoj m</w:t>
      </w:r>
      <w:r w:rsidR="002748B5">
        <w:rPr>
          <w:rFonts w:ascii="Cambria" w:hAnsi="Cambria"/>
          <w:noProof/>
        </w:rPr>
        <w:t>j</w:t>
      </w:r>
      <w:r w:rsidRPr="00AB15C7">
        <w:rPr>
          <w:rFonts w:ascii="Cambria" w:hAnsi="Cambria"/>
          <w:noProof/>
        </w:rPr>
        <w:t>eri usaglašene su sa zaht</w:t>
      </w:r>
      <w:r w:rsidR="00A95211">
        <w:rPr>
          <w:rFonts w:ascii="Cambria" w:hAnsi="Cambria"/>
          <w:noProof/>
        </w:rPr>
        <w:t>j</w:t>
      </w:r>
      <w:r w:rsidRPr="00AB15C7">
        <w:rPr>
          <w:rFonts w:ascii="Cambria" w:hAnsi="Cambria"/>
          <w:noProof/>
        </w:rPr>
        <w:t>evima EU i relevantnim međunarodnim konvencijama i ugovorima. Hemikalije na tržište Crne Gore dosp</w:t>
      </w:r>
      <w:r w:rsidR="002748B5">
        <w:rPr>
          <w:rFonts w:ascii="Cambria" w:hAnsi="Cambria"/>
          <w:noProof/>
        </w:rPr>
        <w:t>ij</w:t>
      </w:r>
      <w:r w:rsidRPr="00AB15C7">
        <w:rPr>
          <w:rFonts w:ascii="Cambria" w:hAnsi="Cambria"/>
          <w:noProof/>
        </w:rPr>
        <w:t xml:space="preserve">evaju uglavnom uvozom, a najveće količine uvezenih hemikalija koriste </w:t>
      </w:r>
      <w:r w:rsidR="00C653DF" w:rsidRPr="00AB15C7">
        <w:rPr>
          <w:rFonts w:ascii="Cambria" w:hAnsi="Cambria"/>
          <w:noProof/>
        </w:rPr>
        <w:t xml:space="preserve">se </w:t>
      </w:r>
      <w:r w:rsidRPr="00AB15C7">
        <w:rPr>
          <w:rFonts w:ascii="Cambria" w:hAnsi="Cambria"/>
          <w:noProof/>
        </w:rPr>
        <w:t>kao sirovine u industrijskoj proizvodnji ili za profesionalnu upotrebu prilikom obavljanja registrovane d</w:t>
      </w:r>
      <w:r w:rsidR="00002F49">
        <w:rPr>
          <w:rFonts w:ascii="Cambria" w:hAnsi="Cambria"/>
          <w:noProof/>
        </w:rPr>
        <w:t>j</w:t>
      </w:r>
      <w:r w:rsidRPr="00AB15C7">
        <w:rPr>
          <w:rFonts w:ascii="Cambria" w:hAnsi="Cambria"/>
          <w:noProof/>
        </w:rPr>
        <w:t>elatnosti. Postrojenja u kojima se vrši sinteza hemikalija ne postoje u Crnoj Gori, a eventualna proizvodnja hemikalija i hemijskih proizvoda svodi se na um</w:t>
      </w:r>
      <w:r w:rsidR="002748B5">
        <w:rPr>
          <w:rFonts w:ascii="Cambria" w:hAnsi="Cambria"/>
          <w:noProof/>
        </w:rPr>
        <w:t>j</w:t>
      </w:r>
      <w:r w:rsidRPr="00AB15C7">
        <w:rPr>
          <w:rFonts w:ascii="Cambria" w:hAnsi="Cambria"/>
          <w:noProof/>
        </w:rPr>
        <w:t>ešavanje sm</w:t>
      </w:r>
      <w:r w:rsidR="002748B5">
        <w:rPr>
          <w:rFonts w:ascii="Cambria" w:hAnsi="Cambria"/>
          <w:noProof/>
        </w:rPr>
        <w:t>j</w:t>
      </w:r>
      <w:r w:rsidRPr="00AB15C7">
        <w:rPr>
          <w:rFonts w:ascii="Cambria" w:hAnsi="Cambria"/>
          <w:noProof/>
        </w:rPr>
        <w:t>eša nam</w:t>
      </w:r>
      <w:r w:rsidR="002748B5">
        <w:rPr>
          <w:rFonts w:ascii="Cambria" w:hAnsi="Cambria"/>
          <w:noProof/>
        </w:rPr>
        <w:t>ij</w:t>
      </w:r>
      <w:r w:rsidRPr="00AB15C7">
        <w:rPr>
          <w:rFonts w:ascii="Cambria" w:hAnsi="Cambria"/>
          <w:noProof/>
        </w:rPr>
        <w:t xml:space="preserve">enjenih za čišćenje i održavanje domaćinstva (tzv. kućna hemija).  Izvoza hemikalija iz Crne Gore poslednjih godina nema, a godišnje se izda jednocifreni broj dozvola za tranzit hemikalija uglavnom zbog pogodnosti transporta preko luke Bar. Transport </w:t>
      </w:r>
      <w:r w:rsidR="000835CA" w:rsidRPr="00AB15C7">
        <w:rPr>
          <w:rFonts w:ascii="Cambria" w:hAnsi="Cambria"/>
          <w:noProof/>
        </w:rPr>
        <w:t xml:space="preserve">opasnih </w:t>
      </w:r>
      <w:r w:rsidRPr="00AB15C7">
        <w:rPr>
          <w:rFonts w:ascii="Cambria" w:hAnsi="Cambria"/>
          <w:noProof/>
        </w:rPr>
        <w:t xml:space="preserve">hemikalija </w:t>
      </w:r>
      <w:r w:rsidR="000835CA" w:rsidRPr="00AB15C7">
        <w:rPr>
          <w:rFonts w:ascii="Cambria" w:hAnsi="Cambria"/>
          <w:noProof/>
        </w:rPr>
        <w:t>s</w:t>
      </w:r>
      <w:r w:rsidRPr="00AB15C7">
        <w:rPr>
          <w:rFonts w:ascii="Cambria" w:hAnsi="Cambria"/>
          <w:noProof/>
        </w:rPr>
        <w:t>e obavlja u skladu sa nacionalnim propisima i međunarodnim pravilima o prevozu opasnih materija (</w:t>
      </w:r>
      <w:r w:rsidRPr="00AB15C7">
        <w:rPr>
          <w:rFonts w:ascii="Cambria" w:hAnsi="Cambria"/>
          <w:bCs/>
          <w:noProof/>
        </w:rPr>
        <w:t>ADR/RID/AD</w:t>
      </w:r>
      <w:r w:rsidR="00212C65" w:rsidRPr="00AB15C7">
        <w:rPr>
          <w:rFonts w:ascii="Cambria" w:hAnsi="Cambria"/>
          <w:bCs/>
          <w:noProof/>
        </w:rPr>
        <w:t>N</w:t>
      </w:r>
      <w:r w:rsidRPr="00AB15C7">
        <w:rPr>
          <w:rFonts w:ascii="Cambria" w:hAnsi="Cambria"/>
          <w:bCs/>
          <w:noProof/>
        </w:rPr>
        <w:t>, IMDG, IATA).</w:t>
      </w:r>
      <w:r w:rsidR="000216AF" w:rsidRPr="00AB15C7">
        <w:rPr>
          <w:rFonts w:ascii="Cambria" w:hAnsi="Cambria"/>
          <w:noProof/>
        </w:rPr>
        <w:t xml:space="preserve"> </w:t>
      </w:r>
    </w:p>
    <w:p w14:paraId="290480E4" w14:textId="77777777" w:rsidR="00642269" w:rsidRPr="00AB15C7" w:rsidRDefault="00B12A23" w:rsidP="005921EF">
      <w:pPr>
        <w:pStyle w:val="Heading2"/>
        <w:ind w:firstLine="720"/>
        <w:rPr>
          <w:noProof/>
          <w:sz w:val="22"/>
          <w:szCs w:val="22"/>
          <w:lang w:val="en-US"/>
        </w:rPr>
      </w:pPr>
      <w:bookmarkStart w:id="26" w:name="_Toc527353177"/>
      <w:r w:rsidRPr="00AB15C7">
        <w:rPr>
          <w:noProof/>
          <w:sz w:val="22"/>
          <w:szCs w:val="22"/>
          <w:lang w:val="en-US"/>
        </w:rPr>
        <w:t>2.</w:t>
      </w:r>
      <w:r w:rsidR="00C653DF" w:rsidRPr="00AB15C7">
        <w:rPr>
          <w:noProof/>
          <w:sz w:val="22"/>
          <w:szCs w:val="22"/>
          <w:lang w:val="en-US"/>
        </w:rPr>
        <w:t>2.</w:t>
      </w:r>
      <w:r w:rsidR="00486EB8" w:rsidRPr="00AB15C7">
        <w:rPr>
          <w:noProof/>
          <w:sz w:val="22"/>
          <w:szCs w:val="22"/>
          <w:lang w:val="en-US"/>
        </w:rPr>
        <w:t>1</w:t>
      </w:r>
      <w:r w:rsidR="00C653DF" w:rsidRPr="00AB15C7">
        <w:rPr>
          <w:noProof/>
          <w:sz w:val="22"/>
          <w:szCs w:val="22"/>
          <w:lang w:val="en-US"/>
        </w:rPr>
        <w:t xml:space="preserve">.1. </w:t>
      </w:r>
      <w:r w:rsidR="00642269" w:rsidRPr="00AB15C7">
        <w:rPr>
          <w:noProof/>
          <w:sz w:val="22"/>
          <w:szCs w:val="22"/>
          <w:lang w:val="en-US"/>
        </w:rPr>
        <w:t>Hemikalije u industrijskoj proizvodnji i  prometu robe u trgovini na veliko</w:t>
      </w:r>
      <w:bookmarkEnd w:id="26"/>
      <w:r w:rsidR="00642269" w:rsidRPr="00AB15C7">
        <w:rPr>
          <w:noProof/>
          <w:sz w:val="22"/>
          <w:szCs w:val="22"/>
          <w:lang w:val="en-US"/>
        </w:rPr>
        <w:t xml:space="preserve"> </w:t>
      </w:r>
    </w:p>
    <w:p w14:paraId="2CD164F9" w14:textId="77777777" w:rsidR="00676BF4" w:rsidRPr="00AB15C7" w:rsidRDefault="00676BF4" w:rsidP="001C6605">
      <w:pPr>
        <w:pStyle w:val="NoSpacing11"/>
        <w:spacing w:after="0"/>
        <w:jc w:val="both"/>
        <w:rPr>
          <w:rFonts w:ascii="Cambria" w:hAnsi="Cambria"/>
          <w:noProof/>
          <w:lang w:val="sr-Latn-ME"/>
        </w:rPr>
      </w:pPr>
    </w:p>
    <w:p w14:paraId="781B7C7F" w14:textId="77777777" w:rsidR="00642269" w:rsidRDefault="00642269" w:rsidP="005921EF">
      <w:pPr>
        <w:jc w:val="both"/>
        <w:rPr>
          <w:rFonts w:ascii="Cambria" w:hAnsi="Cambria"/>
          <w:noProof/>
          <w:lang w:val="sr-Latn-ME"/>
        </w:rPr>
      </w:pPr>
      <w:r w:rsidRPr="00AB15C7">
        <w:rPr>
          <w:rFonts w:ascii="Cambria" w:hAnsi="Cambria"/>
          <w:noProof/>
          <w:lang w:val="sr-Latn-ME"/>
        </w:rPr>
        <w:t>Sektor prerađivačke industrije, koji obuhvata i podsektor proizvodnje hemikalija i hemijskih proizvoda</w:t>
      </w:r>
      <w:r w:rsidR="00250EF9" w:rsidRPr="00AB15C7">
        <w:rPr>
          <w:rFonts w:ascii="Cambria" w:hAnsi="Cambria"/>
          <w:noProof/>
          <w:lang w:val="sr-Latn-ME"/>
        </w:rPr>
        <w:t>, kao i podsektor proizvodnje osnovnih metala</w:t>
      </w:r>
      <w:r w:rsidRPr="00AB15C7">
        <w:rPr>
          <w:rFonts w:ascii="Cambria" w:hAnsi="Cambria"/>
          <w:noProof/>
          <w:lang w:val="sr-Latn-ME"/>
        </w:rPr>
        <w:t>, u ukupnom BDP Crne Gore ima relativno mali ud</w:t>
      </w:r>
      <w:r w:rsidR="00D86F95" w:rsidRPr="00AB15C7">
        <w:rPr>
          <w:rFonts w:ascii="Cambria" w:hAnsi="Cambria"/>
          <w:noProof/>
          <w:lang w:val="sr-Latn-ME"/>
        </w:rPr>
        <w:t>i</w:t>
      </w:r>
      <w:r w:rsidRPr="00AB15C7">
        <w:rPr>
          <w:rFonts w:ascii="Cambria" w:hAnsi="Cambria"/>
          <w:noProof/>
          <w:lang w:val="sr-Latn-ME"/>
        </w:rPr>
        <w:t xml:space="preserve">o koji je prikazan u tabeli </w:t>
      </w:r>
      <w:r w:rsidR="003A2D38" w:rsidRPr="00AB15C7">
        <w:rPr>
          <w:rFonts w:ascii="Cambria" w:hAnsi="Cambria"/>
          <w:noProof/>
          <w:lang w:val="sr-Latn-ME"/>
        </w:rPr>
        <w:t>6</w:t>
      </w:r>
      <w:r w:rsidRPr="00AB15C7">
        <w:rPr>
          <w:rFonts w:ascii="Cambria" w:hAnsi="Cambria"/>
          <w:noProof/>
          <w:lang w:val="sr-Latn-ME"/>
        </w:rPr>
        <w:t>.  Analize stope industrijske proizvodnje u Crnoj Gori u sektoru prerađivačke industrije, u poslednje dv</w:t>
      </w:r>
      <w:r w:rsidR="002748B5">
        <w:rPr>
          <w:rFonts w:ascii="Cambria" w:hAnsi="Cambria"/>
          <w:noProof/>
          <w:lang w:val="sr-Latn-ME"/>
        </w:rPr>
        <w:t>ij</w:t>
      </w:r>
      <w:r w:rsidRPr="00AB15C7">
        <w:rPr>
          <w:rFonts w:ascii="Cambria" w:hAnsi="Cambria"/>
          <w:noProof/>
          <w:lang w:val="sr-Latn-ME"/>
        </w:rPr>
        <w:t xml:space="preserve">e godine pokazuju blagi pad (Tabela </w:t>
      </w:r>
      <w:r w:rsidR="003A2D38" w:rsidRPr="00AB15C7">
        <w:rPr>
          <w:rFonts w:ascii="Cambria" w:hAnsi="Cambria"/>
          <w:noProof/>
          <w:lang w:val="sr-Latn-ME"/>
        </w:rPr>
        <w:t>7</w:t>
      </w:r>
      <w:r w:rsidRPr="00AB15C7">
        <w:rPr>
          <w:rFonts w:ascii="Cambria" w:hAnsi="Cambria"/>
          <w:noProof/>
          <w:lang w:val="sr-Latn-ME"/>
        </w:rPr>
        <w:t xml:space="preserve">). </w:t>
      </w:r>
    </w:p>
    <w:p w14:paraId="5183FE62" w14:textId="77777777" w:rsidR="006F4EFD" w:rsidRPr="00AB15C7" w:rsidRDefault="006F4EFD" w:rsidP="006F4EFD">
      <w:pPr>
        <w:spacing w:after="0" w:line="240" w:lineRule="auto"/>
        <w:jc w:val="both"/>
        <w:rPr>
          <w:rFonts w:ascii="Cambria" w:hAnsi="Cambria"/>
          <w:noProof/>
          <w:lang w:val="sr-Latn-ME"/>
        </w:rPr>
      </w:pPr>
    </w:p>
    <w:p w14:paraId="4FC2E552" w14:textId="77777777" w:rsidR="00642269" w:rsidRPr="006F4EFD" w:rsidRDefault="00642269" w:rsidP="006F4EFD">
      <w:pPr>
        <w:spacing w:after="120"/>
        <w:jc w:val="center"/>
        <w:rPr>
          <w:rFonts w:ascii="Cambria" w:hAnsi="Cambria"/>
          <w:i/>
          <w:noProof/>
          <w:lang w:val="sr-Latn-ME"/>
        </w:rPr>
      </w:pPr>
      <w:r w:rsidRPr="006F4EFD">
        <w:rPr>
          <w:rFonts w:ascii="Cambria" w:hAnsi="Cambria"/>
          <w:i/>
          <w:noProof/>
          <w:lang w:val="sr-Latn-ME"/>
        </w:rPr>
        <w:t xml:space="preserve">Tabela </w:t>
      </w:r>
      <w:r w:rsidR="003A2D38" w:rsidRPr="006F4EFD">
        <w:rPr>
          <w:rFonts w:ascii="Cambria" w:hAnsi="Cambria"/>
          <w:i/>
          <w:noProof/>
          <w:lang w:val="sr-Latn-ME"/>
        </w:rPr>
        <w:t>6</w:t>
      </w:r>
      <w:r w:rsidRPr="006F4EFD">
        <w:rPr>
          <w:rFonts w:ascii="Cambria" w:hAnsi="Cambria"/>
          <w:i/>
          <w:noProof/>
          <w:lang w:val="sr-Latn-ME"/>
        </w:rPr>
        <w:t xml:space="preserve">. </w:t>
      </w:r>
      <w:r w:rsidRPr="006F4EFD">
        <w:rPr>
          <w:rFonts w:ascii="Cambria" w:hAnsi="Cambria"/>
          <w:noProof/>
          <w:lang w:val="sr-Latn-ME"/>
        </w:rPr>
        <w:t xml:space="preserve">Udio prerađivačke industrije u BPD Crne </w:t>
      </w:r>
      <w:r w:rsidR="006F4EFD">
        <w:rPr>
          <w:rFonts w:ascii="Cambria" w:hAnsi="Cambria"/>
          <w:noProof/>
          <w:lang w:val="sr-Latn-ME"/>
        </w:rPr>
        <w:t>G</w:t>
      </w:r>
      <w:r w:rsidRPr="006F4EFD">
        <w:rPr>
          <w:rFonts w:ascii="Cambria" w:hAnsi="Cambria"/>
          <w:noProof/>
          <w:lang w:val="sr-Latn-ME"/>
        </w:rPr>
        <w:t>ore za 2015. i 2016. godinu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4"/>
        <w:gridCol w:w="1574"/>
        <w:gridCol w:w="1574"/>
      </w:tblGrid>
      <w:tr w:rsidR="00642269" w:rsidRPr="00AB15C7" w14:paraId="6DEBDFB1" w14:textId="77777777" w:rsidTr="0066183A">
        <w:trPr>
          <w:trHeight w:val="86"/>
          <w:jc w:val="center"/>
        </w:trPr>
        <w:tc>
          <w:tcPr>
            <w:tcW w:w="4604" w:type="dxa"/>
            <w:shd w:val="clear" w:color="auto" w:fill="D9D9D9"/>
          </w:tcPr>
          <w:p w14:paraId="02E44DF7" w14:textId="77777777" w:rsidR="00642269" w:rsidRPr="00AB15C7" w:rsidRDefault="00642269" w:rsidP="005921EF">
            <w:pPr>
              <w:spacing w:before="40" w:after="40"/>
              <w:jc w:val="both"/>
              <w:rPr>
                <w:rFonts w:ascii="Cambria" w:hAnsi="Cambria"/>
                <w:noProof/>
              </w:rPr>
            </w:pPr>
            <w:r w:rsidRPr="00AB15C7">
              <w:rPr>
                <w:rFonts w:ascii="Cambria" w:hAnsi="Cambria"/>
                <w:b/>
                <w:bCs/>
                <w:noProof/>
              </w:rPr>
              <w:t>PRERAĐIVAČKA INDUSTRIJA</w:t>
            </w:r>
          </w:p>
        </w:tc>
        <w:tc>
          <w:tcPr>
            <w:tcW w:w="1574" w:type="dxa"/>
            <w:shd w:val="clear" w:color="auto" w:fill="D9D9D9"/>
          </w:tcPr>
          <w:p w14:paraId="0B8FA1AC" w14:textId="77777777" w:rsidR="00642269" w:rsidRPr="00AB15C7" w:rsidRDefault="00642269" w:rsidP="005921EF">
            <w:pPr>
              <w:spacing w:before="40" w:after="40"/>
              <w:jc w:val="right"/>
              <w:rPr>
                <w:rFonts w:ascii="Cambria" w:hAnsi="Cambria"/>
                <w:noProof/>
              </w:rPr>
            </w:pPr>
            <w:r w:rsidRPr="00AB15C7">
              <w:rPr>
                <w:rFonts w:ascii="Cambria" w:hAnsi="Cambria"/>
                <w:noProof/>
              </w:rPr>
              <w:t>2015.</w:t>
            </w:r>
          </w:p>
        </w:tc>
        <w:tc>
          <w:tcPr>
            <w:tcW w:w="1574" w:type="dxa"/>
            <w:shd w:val="clear" w:color="auto" w:fill="D9D9D9"/>
          </w:tcPr>
          <w:p w14:paraId="203A0C05" w14:textId="77777777" w:rsidR="00642269" w:rsidRPr="00AB15C7" w:rsidRDefault="00642269" w:rsidP="005921EF">
            <w:pPr>
              <w:spacing w:before="40" w:after="40"/>
              <w:jc w:val="right"/>
              <w:rPr>
                <w:rFonts w:ascii="Cambria" w:hAnsi="Cambria"/>
                <w:noProof/>
              </w:rPr>
            </w:pPr>
            <w:r w:rsidRPr="00AB15C7">
              <w:rPr>
                <w:rFonts w:ascii="Cambria" w:hAnsi="Cambria"/>
                <w:noProof/>
              </w:rPr>
              <w:t>2016.</w:t>
            </w:r>
          </w:p>
        </w:tc>
      </w:tr>
      <w:tr w:rsidR="00642269" w:rsidRPr="00AB15C7" w14:paraId="277099CA" w14:textId="77777777" w:rsidTr="0066183A">
        <w:trPr>
          <w:trHeight w:val="86"/>
          <w:jc w:val="center"/>
        </w:trPr>
        <w:tc>
          <w:tcPr>
            <w:tcW w:w="4604" w:type="dxa"/>
            <w:shd w:val="clear" w:color="auto" w:fill="D9D9D9"/>
          </w:tcPr>
          <w:p w14:paraId="0CF169A0" w14:textId="77777777" w:rsidR="00642269" w:rsidRPr="00AB15C7" w:rsidRDefault="00642269" w:rsidP="005921EF">
            <w:pPr>
              <w:spacing w:before="40" w:after="40"/>
              <w:jc w:val="both"/>
              <w:rPr>
                <w:rFonts w:ascii="Cambria" w:hAnsi="Cambria"/>
                <w:b/>
                <w:bCs/>
                <w:noProof/>
              </w:rPr>
            </w:pPr>
            <w:r w:rsidRPr="00AB15C7">
              <w:rPr>
                <w:rFonts w:ascii="Cambria" w:hAnsi="Cambria"/>
                <w:b/>
                <w:bCs/>
                <w:noProof/>
              </w:rPr>
              <w:t>Bruto vrijednost proizvodnje (hilj. Eur)</w:t>
            </w:r>
          </w:p>
        </w:tc>
        <w:tc>
          <w:tcPr>
            <w:tcW w:w="1574" w:type="dxa"/>
          </w:tcPr>
          <w:p w14:paraId="246DD29A" w14:textId="77777777" w:rsidR="00642269" w:rsidRPr="00AB15C7" w:rsidRDefault="00642269" w:rsidP="005921EF">
            <w:pPr>
              <w:spacing w:before="40" w:after="40"/>
              <w:jc w:val="right"/>
              <w:rPr>
                <w:rFonts w:ascii="Cambria" w:hAnsi="Cambria"/>
                <w:noProof/>
              </w:rPr>
            </w:pPr>
            <w:r w:rsidRPr="00AB15C7">
              <w:rPr>
                <w:rFonts w:ascii="Cambria" w:hAnsi="Cambria"/>
                <w:noProof/>
              </w:rPr>
              <w:t xml:space="preserve">523 043 </w:t>
            </w:r>
          </w:p>
        </w:tc>
        <w:tc>
          <w:tcPr>
            <w:tcW w:w="1574" w:type="dxa"/>
          </w:tcPr>
          <w:p w14:paraId="24352F9F" w14:textId="77777777" w:rsidR="00642269" w:rsidRPr="00AB15C7" w:rsidRDefault="00642269" w:rsidP="005921EF">
            <w:pPr>
              <w:spacing w:before="40" w:after="40"/>
              <w:jc w:val="right"/>
              <w:rPr>
                <w:rFonts w:ascii="Cambria" w:hAnsi="Cambria"/>
                <w:noProof/>
              </w:rPr>
            </w:pPr>
            <w:r w:rsidRPr="00AB15C7">
              <w:rPr>
                <w:rFonts w:ascii="Cambria" w:hAnsi="Cambria"/>
                <w:noProof/>
              </w:rPr>
              <w:t>489 978</w:t>
            </w:r>
          </w:p>
        </w:tc>
      </w:tr>
      <w:tr w:rsidR="00642269" w:rsidRPr="00AB15C7" w14:paraId="17ABB94A" w14:textId="77777777" w:rsidTr="0066183A">
        <w:trPr>
          <w:trHeight w:val="86"/>
          <w:jc w:val="center"/>
        </w:trPr>
        <w:tc>
          <w:tcPr>
            <w:tcW w:w="4604" w:type="dxa"/>
            <w:shd w:val="clear" w:color="auto" w:fill="D9D9D9"/>
          </w:tcPr>
          <w:p w14:paraId="25C8A89C" w14:textId="77777777" w:rsidR="00642269" w:rsidRPr="00AB15C7" w:rsidRDefault="00642269" w:rsidP="005921EF">
            <w:pPr>
              <w:spacing w:before="40" w:after="40"/>
              <w:jc w:val="both"/>
              <w:rPr>
                <w:rFonts w:ascii="Cambria" w:hAnsi="Cambria"/>
                <w:noProof/>
              </w:rPr>
            </w:pPr>
            <w:r w:rsidRPr="00AB15C7">
              <w:rPr>
                <w:rFonts w:ascii="Cambria" w:hAnsi="Cambria"/>
                <w:b/>
                <w:noProof/>
              </w:rPr>
              <w:t>Intermedijalna potrošnja</w:t>
            </w:r>
            <w:r w:rsidRPr="00AB15C7">
              <w:rPr>
                <w:rFonts w:ascii="Cambria" w:hAnsi="Cambria"/>
                <w:noProof/>
              </w:rPr>
              <w:t xml:space="preserve"> </w:t>
            </w:r>
            <w:r w:rsidRPr="00AB15C7">
              <w:rPr>
                <w:rFonts w:ascii="Cambria" w:hAnsi="Cambria"/>
                <w:b/>
                <w:bCs/>
                <w:noProof/>
              </w:rPr>
              <w:t>(hilj. Eur)</w:t>
            </w:r>
          </w:p>
        </w:tc>
        <w:tc>
          <w:tcPr>
            <w:tcW w:w="1574" w:type="dxa"/>
          </w:tcPr>
          <w:p w14:paraId="1DF9346D" w14:textId="77777777" w:rsidR="00642269" w:rsidRPr="00AB15C7" w:rsidRDefault="00642269" w:rsidP="005921EF">
            <w:pPr>
              <w:spacing w:before="40" w:after="40"/>
              <w:jc w:val="right"/>
              <w:rPr>
                <w:rFonts w:ascii="Cambria" w:hAnsi="Cambria"/>
                <w:noProof/>
              </w:rPr>
            </w:pPr>
            <w:r w:rsidRPr="00AB15C7">
              <w:rPr>
                <w:rFonts w:ascii="Cambria" w:hAnsi="Cambria"/>
                <w:noProof/>
              </w:rPr>
              <w:t xml:space="preserve">373 622 </w:t>
            </w:r>
          </w:p>
        </w:tc>
        <w:tc>
          <w:tcPr>
            <w:tcW w:w="1574" w:type="dxa"/>
          </w:tcPr>
          <w:p w14:paraId="7C5D0592" w14:textId="77777777" w:rsidR="00642269" w:rsidRPr="00AB15C7" w:rsidRDefault="00642269" w:rsidP="005921EF">
            <w:pPr>
              <w:spacing w:before="40" w:after="40"/>
              <w:jc w:val="right"/>
              <w:rPr>
                <w:rFonts w:ascii="Cambria" w:hAnsi="Cambria"/>
                <w:noProof/>
              </w:rPr>
            </w:pPr>
            <w:r w:rsidRPr="00AB15C7">
              <w:rPr>
                <w:rFonts w:ascii="Cambria" w:hAnsi="Cambria"/>
                <w:noProof/>
              </w:rPr>
              <w:t>340 483</w:t>
            </w:r>
          </w:p>
        </w:tc>
      </w:tr>
      <w:tr w:rsidR="00642269" w:rsidRPr="00AB15C7" w14:paraId="31532A34" w14:textId="77777777" w:rsidTr="0066183A">
        <w:trPr>
          <w:trHeight w:val="86"/>
          <w:jc w:val="center"/>
        </w:trPr>
        <w:tc>
          <w:tcPr>
            <w:tcW w:w="4604" w:type="dxa"/>
            <w:shd w:val="clear" w:color="auto" w:fill="D9D9D9"/>
          </w:tcPr>
          <w:p w14:paraId="31EFFA1D" w14:textId="77777777" w:rsidR="00642269" w:rsidRPr="00AB15C7" w:rsidRDefault="00642269" w:rsidP="005921EF">
            <w:pPr>
              <w:spacing w:before="40" w:after="40"/>
              <w:jc w:val="both"/>
              <w:rPr>
                <w:rFonts w:ascii="Cambria" w:hAnsi="Cambria"/>
                <w:b/>
                <w:bCs/>
                <w:noProof/>
              </w:rPr>
            </w:pPr>
            <w:r w:rsidRPr="00AB15C7">
              <w:rPr>
                <w:rFonts w:ascii="Cambria" w:hAnsi="Cambria"/>
                <w:b/>
                <w:bCs/>
                <w:noProof/>
              </w:rPr>
              <w:t>Bruto dodata vrijednost (hilj. Eur)</w:t>
            </w:r>
          </w:p>
        </w:tc>
        <w:tc>
          <w:tcPr>
            <w:tcW w:w="1574" w:type="dxa"/>
          </w:tcPr>
          <w:p w14:paraId="5E5B0725" w14:textId="77777777" w:rsidR="00642269" w:rsidRPr="00AB15C7" w:rsidRDefault="00642269" w:rsidP="005921EF">
            <w:pPr>
              <w:spacing w:before="40" w:after="40"/>
              <w:jc w:val="right"/>
              <w:rPr>
                <w:rFonts w:ascii="Cambria" w:hAnsi="Cambria"/>
                <w:noProof/>
              </w:rPr>
            </w:pPr>
            <w:r w:rsidRPr="00AB15C7">
              <w:rPr>
                <w:rFonts w:ascii="Cambria" w:hAnsi="Cambria"/>
                <w:noProof/>
              </w:rPr>
              <w:t xml:space="preserve">149 422 </w:t>
            </w:r>
          </w:p>
        </w:tc>
        <w:tc>
          <w:tcPr>
            <w:tcW w:w="1574" w:type="dxa"/>
          </w:tcPr>
          <w:p w14:paraId="652E03C3" w14:textId="77777777" w:rsidR="00642269" w:rsidRPr="00AB15C7" w:rsidRDefault="00642269" w:rsidP="005921EF">
            <w:pPr>
              <w:spacing w:before="40" w:after="40"/>
              <w:jc w:val="right"/>
              <w:rPr>
                <w:rFonts w:ascii="Cambria" w:hAnsi="Cambria"/>
                <w:noProof/>
              </w:rPr>
            </w:pPr>
            <w:r w:rsidRPr="00AB15C7">
              <w:rPr>
                <w:rFonts w:ascii="Cambria" w:hAnsi="Cambria"/>
                <w:noProof/>
              </w:rPr>
              <w:t>149 495</w:t>
            </w:r>
          </w:p>
        </w:tc>
      </w:tr>
      <w:tr w:rsidR="00642269" w:rsidRPr="00AB15C7" w14:paraId="66243B69" w14:textId="77777777" w:rsidTr="0066183A">
        <w:trPr>
          <w:trHeight w:val="86"/>
          <w:jc w:val="center"/>
        </w:trPr>
        <w:tc>
          <w:tcPr>
            <w:tcW w:w="4604" w:type="dxa"/>
            <w:shd w:val="clear" w:color="auto" w:fill="D9D9D9"/>
          </w:tcPr>
          <w:p w14:paraId="5E86E8FA" w14:textId="77777777" w:rsidR="00642269" w:rsidRPr="00AB15C7" w:rsidRDefault="00642269" w:rsidP="005921EF">
            <w:pPr>
              <w:spacing w:before="40" w:after="40"/>
              <w:jc w:val="both"/>
              <w:rPr>
                <w:rFonts w:ascii="Cambria" w:hAnsi="Cambria"/>
                <w:noProof/>
              </w:rPr>
            </w:pPr>
            <w:r w:rsidRPr="00AB15C7">
              <w:rPr>
                <w:rFonts w:ascii="Cambria" w:hAnsi="Cambria"/>
                <w:b/>
                <w:bCs/>
                <w:noProof/>
              </w:rPr>
              <w:t>Udio u BDP, tekuće cijene (%)</w:t>
            </w:r>
          </w:p>
        </w:tc>
        <w:tc>
          <w:tcPr>
            <w:tcW w:w="1574" w:type="dxa"/>
          </w:tcPr>
          <w:p w14:paraId="78A4A1B9" w14:textId="77777777" w:rsidR="00642269" w:rsidRPr="00AB15C7" w:rsidRDefault="00642269" w:rsidP="005921EF">
            <w:pPr>
              <w:spacing w:before="40" w:after="40"/>
              <w:jc w:val="right"/>
              <w:rPr>
                <w:rFonts w:ascii="Cambria" w:hAnsi="Cambria"/>
                <w:noProof/>
              </w:rPr>
            </w:pPr>
            <w:r w:rsidRPr="00AB15C7">
              <w:rPr>
                <w:rFonts w:ascii="Cambria" w:hAnsi="Cambria"/>
                <w:noProof/>
              </w:rPr>
              <w:t>4,1</w:t>
            </w:r>
          </w:p>
        </w:tc>
        <w:tc>
          <w:tcPr>
            <w:tcW w:w="1574" w:type="dxa"/>
          </w:tcPr>
          <w:p w14:paraId="5EDD2D6B" w14:textId="77777777" w:rsidR="00642269" w:rsidRPr="00AB15C7" w:rsidRDefault="00642269" w:rsidP="005921EF">
            <w:pPr>
              <w:spacing w:before="40" w:after="40"/>
              <w:jc w:val="right"/>
              <w:rPr>
                <w:rFonts w:ascii="Cambria" w:hAnsi="Cambria"/>
                <w:noProof/>
              </w:rPr>
            </w:pPr>
            <w:r w:rsidRPr="00AB15C7">
              <w:rPr>
                <w:rFonts w:ascii="Cambria" w:hAnsi="Cambria"/>
                <w:noProof/>
              </w:rPr>
              <w:t>3,8</w:t>
            </w:r>
          </w:p>
        </w:tc>
      </w:tr>
    </w:tbl>
    <w:p w14:paraId="1708074F" w14:textId="77777777" w:rsidR="00642269" w:rsidRDefault="00642269" w:rsidP="005921EF">
      <w:pPr>
        <w:jc w:val="center"/>
        <w:rPr>
          <w:rFonts w:ascii="Cambria" w:hAnsi="Cambria"/>
          <w:i/>
          <w:noProof/>
          <w:lang w:val="sr-Latn-ME"/>
        </w:rPr>
      </w:pPr>
      <w:r w:rsidRPr="00AB15C7">
        <w:rPr>
          <w:rFonts w:ascii="Cambria" w:hAnsi="Cambria"/>
          <w:i/>
          <w:noProof/>
          <w:lang w:val="sr-Latn-ME"/>
        </w:rPr>
        <w:t>Izvor: MONSTAT</w:t>
      </w:r>
    </w:p>
    <w:p w14:paraId="55595558" w14:textId="77777777" w:rsidR="00642269" w:rsidRPr="006F4EFD" w:rsidRDefault="00642269" w:rsidP="006F4EFD">
      <w:pPr>
        <w:spacing w:after="120"/>
        <w:jc w:val="center"/>
        <w:rPr>
          <w:rFonts w:ascii="Cambria" w:hAnsi="Cambria"/>
          <w:i/>
          <w:noProof/>
          <w:lang w:val="sr-Latn-ME"/>
        </w:rPr>
      </w:pPr>
      <w:r w:rsidRPr="006F4EFD">
        <w:rPr>
          <w:rFonts w:ascii="Cambria" w:hAnsi="Cambria"/>
          <w:i/>
          <w:noProof/>
          <w:lang w:val="sr-Latn-ME"/>
        </w:rPr>
        <w:t xml:space="preserve">Tabela </w:t>
      </w:r>
      <w:r w:rsidR="003A2D38" w:rsidRPr="006F4EFD">
        <w:rPr>
          <w:rFonts w:ascii="Cambria" w:hAnsi="Cambria"/>
          <w:i/>
          <w:noProof/>
          <w:lang w:val="sr-Latn-ME"/>
        </w:rPr>
        <w:t xml:space="preserve">7. </w:t>
      </w:r>
      <w:r w:rsidR="003A2D38" w:rsidRPr="006F4EFD">
        <w:rPr>
          <w:rFonts w:ascii="Cambria" w:hAnsi="Cambria"/>
          <w:noProof/>
          <w:lang w:val="sr-Latn-ME"/>
        </w:rPr>
        <w:t>Stope industrijske proizvodnje u sektoru prerađivačke industrije</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548"/>
        <w:gridCol w:w="3081"/>
        <w:gridCol w:w="3081"/>
      </w:tblGrid>
      <w:tr w:rsidR="00642269" w:rsidRPr="00AB15C7" w14:paraId="371BBC67" w14:textId="77777777" w:rsidTr="0066183A">
        <w:trPr>
          <w:trHeight w:val="300"/>
          <w:jc w:val="center"/>
        </w:trPr>
        <w:tc>
          <w:tcPr>
            <w:tcW w:w="1056" w:type="dxa"/>
            <w:shd w:val="clear" w:color="auto" w:fill="D9D9D9"/>
            <w:noWrap/>
            <w:vAlign w:val="bottom"/>
            <w:hideMark/>
          </w:tcPr>
          <w:p w14:paraId="5F2BEACE" w14:textId="77777777" w:rsidR="00642269" w:rsidRPr="00AB15C7" w:rsidRDefault="00642269" w:rsidP="005921EF">
            <w:pPr>
              <w:spacing w:after="0"/>
              <w:jc w:val="both"/>
              <w:rPr>
                <w:rFonts w:ascii="Cambria" w:hAnsi="Cambria"/>
                <w:noProof/>
              </w:rPr>
            </w:pPr>
            <w:r w:rsidRPr="00AB15C7">
              <w:rPr>
                <w:rFonts w:ascii="Cambria" w:hAnsi="Cambria"/>
                <w:noProof/>
              </w:rPr>
              <w:t> </w:t>
            </w:r>
          </w:p>
        </w:tc>
        <w:tc>
          <w:tcPr>
            <w:tcW w:w="8710" w:type="dxa"/>
            <w:gridSpan w:val="3"/>
            <w:shd w:val="clear" w:color="auto" w:fill="D9D9D9"/>
            <w:noWrap/>
            <w:vAlign w:val="center"/>
            <w:hideMark/>
          </w:tcPr>
          <w:p w14:paraId="32DBD8DF" w14:textId="77777777" w:rsidR="00642269" w:rsidRPr="00AB15C7" w:rsidRDefault="00642269" w:rsidP="005921EF">
            <w:pPr>
              <w:spacing w:after="0"/>
              <w:jc w:val="both"/>
              <w:rPr>
                <w:rFonts w:ascii="Cambria" w:hAnsi="Cambria"/>
                <w:b/>
                <w:bCs/>
                <w:noProof/>
              </w:rPr>
            </w:pPr>
            <w:r w:rsidRPr="00AB15C7">
              <w:rPr>
                <w:rFonts w:ascii="Cambria" w:hAnsi="Cambria"/>
                <w:b/>
                <w:bCs/>
                <w:noProof/>
              </w:rPr>
              <w:t>PRERAĐIVAČKA INDUSTRIJA</w:t>
            </w:r>
          </w:p>
        </w:tc>
      </w:tr>
      <w:tr w:rsidR="00961D3D" w:rsidRPr="00AB15C7" w14:paraId="17702677" w14:textId="77777777" w:rsidTr="0066183A">
        <w:trPr>
          <w:trHeight w:val="300"/>
          <w:jc w:val="center"/>
        </w:trPr>
        <w:tc>
          <w:tcPr>
            <w:tcW w:w="1056" w:type="dxa"/>
            <w:vMerge w:val="restart"/>
            <w:shd w:val="clear" w:color="auto" w:fill="D9D9D9"/>
            <w:noWrap/>
            <w:vAlign w:val="bottom"/>
            <w:hideMark/>
          </w:tcPr>
          <w:p w14:paraId="3E1789A5" w14:textId="77777777" w:rsidR="00961D3D" w:rsidRPr="00AB15C7" w:rsidRDefault="00961D3D" w:rsidP="005921EF">
            <w:pPr>
              <w:spacing w:after="0"/>
              <w:jc w:val="both"/>
              <w:rPr>
                <w:rFonts w:ascii="Cambria" w:hAnsi="Cambria"/>
                <w:noProof/>
              </w:rPr>
            </w:pPr>
            <w:r w:rsidRPr="00AB15C7">
              <w:rPr>
                <w:rFonts w:ascii="Cambria" w:hAnsi="Cambria"/>
                <w:noProof/>
              </w:rPr>
              <w:t>go</w:t>
            </w:r>
            <w:r w:rsidR="00DD3F74" w:rsidRPr="00AB15C7">
              <w:rPr>
                <w:rFonts w:ascii="Cambria" w:hAnsi="Cambria"/>
                <w:noProof/>
              </w:rPr>
              <w:t>dina</w:t>
            </w:r>
          </w:p>
        </w:tc>
        <w:tc>
          <w:tcPr>
            <w:tcW w:w="2548" w:type="dxa"/>
            <w:vMerge w:val="restart"/>
            <w:shd w:val="clear" w:color="auto" w:fill="D9D9D9"/>
            <w:vAlign w:val="center"/>
            <w:hideMark/>
          </w:tcPr>
          <w:p w14:paraId="28084AB2" w14:textId="77777777" w:rsidR="00961D3D" w:rsidRPr="00AB15C7" w:rsidRDefault="00961D3D" w:rsidP="005921EF">
            <w:pPr>
              <w:spacing w:after="0"/>
              <w:jc w:val="both"/>
              <w:rPr>
                <w:rFonts w:ascii="Cambria" w:hAnsi="Cambria"/>
                <w:b/>
                <w:bCs/>
                <w:noProof/>
              </w:rPr>
            </w:pPr>
            <w:r w:rsidRPr="00AB15C7">
              <w:rPr>
                <w:rFonts w:ascii="Cambria" w:hAnsi="Cambria"/>
                <w:b/>
                <w:bCs/>
                <w:noProof/>
              </w:rPr>
              <w:t xml:space="preserve">2015=100                                                           </w:t>
            </w:r>
            <w:r w:rsidRPr="00AB15C7">
              <w:rPr>
                <w:rFonts w:ascii="Cambria" w:hAnsi="Cambria"/>
                <w:i/>
                <w:iCs/>
                <w:noProof/>
              </w:rPr>
              <w:t>indeks nivoa</w:t>
            </w:r>
          </w:p>
        </w:tc>
        <w:tc>
          <w:tcPr>
            <w:tcW w:w="6162" w:type="dxa"/>
            <w:gridSpan w:val="2"/>
            <w:shd w:val="clear" w:color="auto" w:fill="D9D9D9"/>
            <w:vAlign w:val="center"/>
            <w:hideMark/>
          </w:tcPr>
          <w:p w14:paraId="61265AA4" w14:textId="77777777" w:rsidR="00961D3D" w:rsidRPr="00AB15C7" w:rsidRDefault="00961D3D" w:rsidP="005921EF">
            <w:pPr>
              <w:spacing w:after="0"/>
              <w:jc w:val="both"/>
              <w:rPr>
                <w:rFonts w:ascii="Cambria" w:hAnsi="Cambria"/>
                <w:noProof/>
              </w:rPr>
            </w:pPr>
            <w:r w:rsidRPr="00AB15C7">
              <w:rPr>
                <w:rFonts w:ascii="Cambria" w:hAnsi="Cambria"/>
                <w:b/>
                <w:bCs/>
                <w:noProof/>
              </w:rPr>
              <w:t>godišnja stopa proizvodnje, %</w:t>
            </w:r>
            <w:r w:rsidRPr="00AB15C7">
              <w:rPr>
                <w:rFonts w:ascii="Cambria" w:hAnsi="Cambria"/>
                <w:noProof/>
              </w:rPr>
              <w:t xml:space="preserve">               </w:t>
            </w:r>
          </w:p>
        </w:tc>
      </w:tr>
      <w:tr w:rsidR="00961D3D" w:rsidRPr="00AB15C7" w14:paraId="02823046" w14:textId="77777777" w:rsidTr="0066183A">
        <w:trPr>
          <w:trHeight w:val="315"/>
          <w:jc w:val="center"/>
        </w:trPr>
        <w:tc>
          <w:tcPr>
            <w:tcW w:w="1056" w:type="dxa"/>
            <w:vMerge/>
            <w:shd w:val="clear" w:color="auto" w:fill="D9D9D9"/>
            <w:noWrap/>
            <w:vAlign w:val="center"/>
            <w:hideMark/>
          </w:tcPr>
          <w:p w14:paraId="44805163" w14:textId="77777777" w:rsidR="00961D3D" w:rsidRPr="00AB15C7" w:rsidRDefault="00961D3D" w:rsidP="005921EF">
            <w:pPr>
              <w:spacing w:after="0"/>
              <w:jc w:val="both"/>
              <w:rPr>
                <w:rFonts w:ascii="Cambria" w:hAnsi="Cambria"/>
                <w:noProof/>
              </w:rPr>
            </w:pPr>
          </w:p>
        </w:tc>
        <w:tc>
          <w:tcPr>
            <w:tcW w:w="2548" w:type="dxa"/>
            <w:vMerge/>
            <w:shd w:val="clear" w:color="auto" w:fill="D9D9D9"/>
            <w:vAlign w:val="center"/>
            <w:hideMark/>
          </w:tcPr>
          <w:p w14:paraId="09BF189D" w14:textId="77777777" w:rsidR="00961D3D" w:rsidRPr="00AB15C7" w:rsidRDefault="00961D3D" w:rsidP="005921EF">
            <w:pPr>
              <w:spacing w:after="0"/>
              <w:jc w:val="both"/>
              <w:rPr>
                <w:rFonts w:ascii="Cambria" w:hAnsi="Cambria"/>
                <w:b/>
                <w:bCs/>
                <w:noProof/>
              </w:rPr>
            </w:pPr>
          </w:p>
        </w:tc>
        <w:tc>
          <w:tcPr>
            <w:tcW w:w="3081" w:type="dxa"/>
            <w:shd w:val="clear" w:color="auto" w:fill="D9D9D9"/>
            <w:vAlign w:val="center"/>
            <w:hideMark/>
          </w:tcPr>
          <w:p w14:paraId="031FE3C1" w14:textId="77777777" w:rsidR="00961D3D" w:rsidRPr="00AB15C7" w:rsidRDefault="00961D3D" w:rsidP="005921EF">
            <w:pPr>
              <w:spacing w:after="0"/>
              <w:jc w:val="both"/>
              <w:rPr>
                <w:rFonts w:ascii="Cambria" w:hAnsi="Cambria"/>
                <w:noProof/>
              </w:rPr>
            </w:pPr>
            <w:r w:rsidRPr="00AB15C7">
              <w:rPr>
                <w:rFonts w:ascii="Cambria" w:hAnsi="Cambria"/>
                <w:noProof/>
              </w:rPr>
              <w:t>prosječna godišnja stopa</w:t>
            </w:r>
          </w:p>
        </w:tc>
        <w:tc>
          <w:tcPr>
            <w:tcW w:w="3081" w:type="dxa"/>
            <w:shd w:val="clear" w:color="auto" w:fill="D9D9D9"/>
            <w:vAlign w:val="center"/>
            <w:hideMark/>
          </w:tcPr>
          <w:p w14:paraId="797116BC" w14:textId="77777777" w:rsidR="00961D3D" w:rsidRPr="00AB15C7" w:rsidRDefault="00961D3D" w:rsidP="005921EF">
            <w:pPr>
              <w:spacing w:after="0"/>
              <w:jc w:val="both"/>
              <w:rPr>
                <w:rFonts w:ascii="Cambria" w:hAnsi="Cambria"/>
                <w:noProof/>
              </w:rPr>
            </w:pPr>
            <w:r w:rsidRPr="00AB15C7">
              <w:rPr>
                <w:rFonts w:ascii="Cambria" w:hAnsi="Cambria"/>
                <w:noProof/>
              </w:rPr>
              <w:t>stopa na kraju godine</w:t>
            </w:r>
          </w:p>
        </w:tc>
      </w:tr>
      <w:tr w:rsidR="00BB43C0" w:rsidRPr="00AB15C7" w14:paraId="28C98763" w14:textId="77777777" w:rsidTr="0066183A">
        <w:trPr>
          <w:trHeight w:val="315"/>
          <w:jc w:val="center"/>
        </w:trPr>
        <w:tc>
          <w:tcPr>
            <w:tcW w:w="1056" w:type="dxa"/>
            <w:shd w:val="clear" w:color="auto" w:fill="D9D9D9"/>
            <w:noWrap/>
            <w:vAlign w:val="center"/>
          </w:tcPr>
          <w:p w14:paraId="5782AF4A" w14:textId="77777777" w:rsidR="00BB43C0" w:rsidRPr="00AB15C7" w:rsidRDefault="00BB43C0" w:rsidP="005921EF">
            <w:pPr>
              <w:spacing w:after="0"/>
              <w:jc w:val="both"/>
              <w:rPr>
                <w:rFonts w:ascii="Cambria" w:hAnsi="Cambria"/>
                <w:b/>
                <w:noProof/>
              </w:rPr>
            </w:pPr>
            <w:r w:rsidRPr="00AB15C7">
              <w:rPr>
                <w:rFonts w:ascii="Cambria" w:hAnsi="Cambria"/>
                <w:b/>
                <w:noProof/>
              </w:rPr>
              <w:t xml:space="preserve">2011   </w:t>
            </w:r>
          </w:p>
        </w:tc>
        <w:tc>
          <w:tcPr>
            <w:tcW w:w="2548" w:type="dxa"/>
            <w:vAlign w:val="center"/>
          </w:tcPr>
          <w:p w14:paraId="4B8B9D20" w14:textId="77777777" w:rsidR="00BB43C0" w:rsidRPr="00AB15C7" w:rsidRDefault="00BB43C0" w:rsidP="005921EF">
            <w:pPr>
              <w:spacing w:after="0"/>
              <w:jc w:val="both"/>
              <w:rPr>
                <w:rFonts w:ascii="Cambria" w:hAnsi="Cambria"/>
                <w:b/>
                <w:bCs/>
                <w:noProof/>
              </w:rPr>
            </w:pPr>
            <w:r w:rsidRPr="00AB15C7">
              <w:rPr>
                <w:rFonts w:ascii="Cambria" w:hAnsi="Cambria"/>
                <w:noProof/>
              </w:rPr>
              <w:t>104.6</w:t>
            </w:r>
          </w:p>
        </w:tc>
        <w:tc>
          <w:tcPr>
            <w:tcW w:w="3081" w:type="dxa"/>
            <w:shd w:val="clear" w:color="000000" w:fill="FFFFFF"/>
            <w:vAlign w:val="center"/>
          </w:tcPr>
          <w:p w14:paraId="4617AD0A" w14:textId="77777777" w:rsidR="00BB43C0" w:rsidRPr="00AB15C7" w:rsidRDefault="00BB43C0" w:rsidP="005921EF">
            <w:pPr>
              <w:spacing w:after="0"/>
              <w:jc w:val="both"/>
              <w:rPr>
                <w:rFonts w:ascii="Cambria" w:hAnsi="Cambria"/>
                <w:noProof/>
              </w:rPr>
            </w:pPr>
            <w:r w:rsidRPr="00AB15C7">
              <w:rPr>
                <w:rFonts w:ascii="Cambria" w:hAnsi="Cambria"/>
                <w:noProof/>
              </w:rPr>
              <w:t>6.9%</w:t>
            </w:r>
            <w:r w:rsidRPr="00AB15C7">
              <w:rPr>
                <w:rFonts w:ascii="Cambria" w:hAnsi="Cambria"/>
                <w:noProof/>
              </w:rPr>
              <w:tab/>
            </w:r>
          </w:p>
        </w:tc>
        <w:tc>
          <w:tcPr>
            <w:tcW w:w="3081" w:type="dxa"/>
            <w:shd w:val="clear" w:color="000000" w:fill="FFFFFF"/>
            <w:vAlign w:val="center"/>
          </w:tcPr>
          <w:p w14:paraId="15563F5D" w14:textId="77777777" w:rsidR="00BB43C0" w:rsidRPr="00AB15C7" w:rsidRDefault="00BB43C0" w:rsidP="005921EF">
            <w:pPr>
              <w:spacing w:after="0"/>
              <w:jc w:val="both"/>
              <w:rPr>
                <w:rFonts w:ascii="Cambria" w:hAnsi="Cambria"/>
                <w:noProof/>
              </w:rPr>
            </w:pPr>
            <w:r w:rsidRPr="00AB15C7">
              <w:rPr>
                <w:rFonts w:ascii="Cambria" w:hAnsi="Cambria"/>
                <w:noProof/>
              </w:rPr>
              <w:t>-8.3%</w:t>
            </w:r>
            <w:r w:rsidRPr="00AB15C7">
              <w:rPr>
                <w:rFonts w:ascii="Cambria" w:hAnsi="Cambria"/>
                <w:noProof/>
              </w:rPr>
              <w:tab/>
            </w:r>
          </w:p>
        </w:tc>
      </w:tr>
      <w:tr w:rsidR="00BB43C0" w:rsidRPr="00AB15C7" w14:paraId="210E60A1" w14:textId="77777777" w:rsidTr="0066183A">
        <w:trPr>
          <w:trHeight w:val="315"/>
          <w:jc w:val="center"/>
        </w:trPr>
        <w:tc>
          <w:tcPr>
            <w:tcW w:w="1056" w:type="dxa"/>
            <w:shd w:val="clear" w:color="auto" w:fill="D9D9D9"/>
            <w:noWrap/>
            <w:vAlign w:val="center"/>
          </w:tcPr>
          <w:p w14:paraId="565BA812" w14:textId="77777777" w:rsidR="00BB43C0" w:rsidRPr="00AB15C7" w:rsidRDefault="00BB43C0" w:rsidP="005921EF">
            <w:pPr>
              <w:spacing w:after="0"/>
              <w:jc w:val="both"/>
              <w:rPr>
                <w:rFonts w:ascii="Cambria" w:hAnsi="Cambria"/>
                <w:noProof/>
              </w:rPr>
            </w:pPr>
            <w:r w:rsidRPr="00AB15C7">
              <w:rPr>
                <w:rFonts w:ascii="Cambria" w:hAnsi="Cambria"/>
                <w:b/>
                <w:bCs/>
                <w:noProof/>
              </w:rPr>
              <w:lastRenderedPageBreak/>
              <w:t>2012</w:t>
            </w:r>
          </w:p>
        </w:tc>
        <w:tc>
          <w:tcPr>
            <w:tcW w:w="2548" w:type="dxa"/>
            <w:vAlign w:val="center"/>
          </w:tcPr>
          <w:p w14:paraId="154BA2D8" w14:textId="77777777" w:rsidR="00BB43C0" w:rsidRPr="00AB15C7" w:rsidRDefault="00BB43C0" w:rsidP="005921EF">
            <w:pPr>
              <w:spacing w:after="0"/>
              <w:jc w:val="both"/>
              <w:rPr>
                <w:rFonts w:ascii="Cambria" w:hAnsi="Cambria"/>
                <w:b/>
                <w:bCs/>
                <w:noProof/>
              </w:rPr>
            </w:pPr>
            <w:r w:rsidRPr="00AB15C7">
              <w:rPr>
                <w:rFonts w:ascii="Cambria" w:hAnsi="Cambria"/>
                <w:noProof/>
              </w:rPr>
              <w:t>94.0</w:t>
            </w:r>
          </w:p>
        </w:tc>
        <w:tc>
          <w:tcPr>
            <w:tcW w:w="3081" w:type="dxa"/>
            <w:shd w:val="clear" w:color="000000" w:fill="FFFFFF"/>
            <w:vAlign w:val="center"/>
          </w:tcPr>
          <w:p w14:paraId="11B2E5F4" w14:textId="77777777" w:rsidR="00BB43C0" w:rsidRPr="00AB15C7" w:rsidRDefault="00BB43C0" w:rsidP="005921EF">
            <w:pPr>
              <w:spacing w:after="0"/>
              <w:jc w:val="both"/>
              <w:rPr>
                <w:rFonts w:ascii="Cambria" w:hAnsi="Cambria"/>
                <w:noProof/>
              </w:rPr>
            </w:pPr>
            <w:r w:rsidRPr="00AB15C7">
              <w:rPr>
                <w:rFonts w:ascii="Cambria" w:hAnsi="Cambria"/>
                <w:noProof/>
              </w:rPr>
              <w:t>-10.1%</w:t>
            </w:r>
          </w:p>
        </w:tc>
        <w:tc>
          <w:tcPr>
            <w:tcW w:w="3081" w:type="dxa"/>
            <w:shd w:val="clear" w:color="000000" w:fill="FFFFFF"/>
            <w:vAlign w:val="center"/>
          </w:tcPr>
          <w:p w14:paraId="172C7EEF" w14:textId="77777777" w:rsidR="00BB43C0" w:rsidRPr="00AB15C7" w:rsidRDefault="00BB43C0" w:rsidP="005921EF">
            <w:pPr>
              <w:spacing w:after="0"/>
              <w:jc w:val="both"/>
              <w:rPr>
                <w:rFonts w:ascii="Cambria" w:hAnsi="Cambria"/>
                <w:noProof/>
              </w:rPr>
            </w:pPr>
            <w:r w:rsidRPr="00AB15C7">
              <w:rPr>
                <w:rFonts w:ascii="Cambria" w:hAnsi="Cambria"/>
                <w:noProof/>
              </w:rPr>
              <w:t>-20.3%</w:t>
            </w:r>
          </w:p>
        </w:tc>
      </w:tr>
      <w:tr w:rsidR="00BB43C0" w:rsidRPr="00AB15C7" w14:paraId="4A872C69" w14:textId="77777777" w:rsidTr="0066183A">
        <w:trPr>
          <w:trHeight w:val="315"/>
          <w:jc w:val="center"/>
        </w:trPr>
        <w:tc>
          <w:tcPr>
            <w:tcW w:w="1056" w:type="dxa"/>
            <w:shd w:val="clear" w:color="auto" w:fill="D9D9D9"/>
            <w:noWrap/>
            <w:vAlign w:val="center"/>
          </w:tcPr>
          <w:p w14:paraId="3F9DD71B" w14:textId="77777777" w:rsidR="00BB43C0" w:rsidRPr="00AB15C7" w:rsidRDefault="00BB43C0" w:rsidP="005921EF">
            <w:pPr>
              <w:spacing w:after="0"/>
              <w:jc w:val="both"/>
              <w:rPr>
                <w:rFonts w:ascii="Cambria" w:hAnsi="Cambria"/>
                <w:b/>
                <w:bCs/>
                <w:noProof/>
              </w:rPr>
            </w:pPr>
            <w:r w:rsidRPr="00AB15C7">
              <w:rPr>
                <w:rFonts w:ascii="Cambria" w:hAnsi="Cambria"/>
                <w:b/>
                <w:bCs/>
                <w:noProof/>
              </w:rPr>
              <w:t>2013</w:t>
            </w:r>
          </w:p>
        </w:tc>
        <w:tc>
          <w:tcPr>
            <w:tcW w:w="2548" w:type="dxa"/>
            <w:vAlign w:val="center"/>
          </w:tcPr>
          <w:p w14:paraId="2551FFC0" w14:textId="77777777" w:rsidR="00BB43C0" w:rsidRPr="00AB15C7" w:rsidRDefault="00BB43C0" w:rsidP="005921EF">
            <w:pPr>
              <w:spacing w:after="0"/>
              <w:jc w:val="both"/>
              <w:rPr>
                <w:rFonts w:ascii="Cambria" w:hAnsi="Cambria"/>
                <w:noProof/>
              </w:rPr>
            </w:pPr>
            <w:r w:rsidRPr="00AB15C7">
              <w:rPr>
                <w:rFonts w:ascii="Cambria" w:hAnsi="Cambria"/>
                <w:noProof/>
              </w:rPr>
              <w:t>89.4</w:t>
            </w:r>
          </w:p>
        </w:tc>
        <w:tc>
          <w:tcPr>
            <w:tcW w:w="3081" w:type="dxa"/>
            <w:shd w:val="clear" w:color="000000" w:fill="FFFFFF"/>
            <w:vAlign w:val="center"/>
          </w:tcPr>
          <w:p w14:paraId="55CD3387" w14:textId="77777777" w:rsidR="00BB43C0" w:rsidRPr="00AB15C7" w:rsidRDefault="00BB43C0" w:rsidP="005921EF">
            <w:pPr>
              <w:spacing w:after="0"/>
              <w:jc w:val="both"/>
              <w:rPr>
                <w:rFonts w:ascii="Cambria" w:hAnsi="Cambria"/>
                <w:noProof/>
              </w:rPr>
            </w:pPr>
            <w:r w:rsidRPr="00AB15C7">
              <w:rPr>
                <w:rFonts w:ascii="Cambria" w:hAnsi="Cambria"/>
                <w:noProof/>
              </w:rPr>
              <w:t>-4.9%</w:t>
            </w:r>
          </w:p>
        </w:tc>
        <w:tc>
          <w:tcPr>
            <w:tcW w:w="3081" w:type="dxa"/>
            <w:shd w:val="clear" w:color="000000" w:fill="FFFFFF"/>
            <w:vAlign w:val="center"/>
          </w:tcPr>
          <w:p w14:paraId="3C3EA686" w14:textId="77777777" w:rsidR="00BB43C0" w:rsidRPr="00AB15C7" w:rsidRDefault="00BB43C0" w:rsidP="005921EF">
            <w:pPr>
              <w:spacing w:after="0"/>
              <w:jc w:val="both"/>
              <w:rPr>
                <w:rFonts w:ascii="Cambria" w:hAnsi="Cambria"/>
                <w:noProof/>
              </w:rPr>
            </w:pPr>
            <w:r w:rsidRPr="00AB15C7">
              <w:rPr>
                <w:rFonts w:ascii="Cambria" w:hAnsi="Cambria"/>
                <w:noProof/>
              </w:rPr>
              <w:t>49.0%</w:t>
            </w:r>
          </w:p>
        </w:tc>
      </w:tr>
      <w:tr w:rsidR="00BB43C0" w:rsidRPr="00AB15C7" w14:paraId="46847740" w14:textId="77777777" w:rsidTr="0066183A">
        <w:trPr>
          <w:trHeight w:val="315"/>
          <w:jc w:val="center"/>
        </w:trPr>
        <w:tc>
          <w:tcPr>
            <w:tcW w:w="1056" w:type="dxa"/>
            <w:shd w:val="clear" w:color="auto" w:fill="D9D9D9"/>
            <w:noWrap/>
            <w:vAlign w:val="center"/>
          </w:tcPr>
          <w:p w14:paraId="3EBF87CB" w14:textId="77777777" w:rsidR="00BB43C0" w:rsidRPr="00AB15C7" w:rsidRDefault="00BB43C0" w:rsidP="005921EF">
            <w:pPr>
              <w:spacing w:after="0"/>
              <w:jc w:val="both"/>
              <w:rPr>
                <w:rFonts w:ascii="Cambria" w:hAnsi="Cambria"/>
                <w:b/>
                <w:bCs/>
                <w:noProof/>
              </w:rPr>
            </w:pPr>
            <w:r w:rsidRPr="00AB15C7">
              <w:rPr>
                <w:rFonts w:ascii="Cambria" w:hAnsi="Cambria"/>
                <w:b/>
                <w:bCs/>
                <w:noProof/>
              </w:rPr>
              <w:t>2014</w:t>
            </w:r>
          </w:p>
        </w:tc>
        <w:tc>
          <w:tcPr>
            <w:tcW w:w="2548" w:type="dxa"/>
            <w:vAlign w:val="center"/>
          </w:tcPr>
          <w:p w14:paraId="54C953CE" w14:textId="77777777" w:rsidR="00BB43C0" w:rsidRPr="00AB15C7" w:rsidRDefault="00BB43C0" w:rsidP="005921EF">
            <w:pPr>
              <w:spacing w:after="0"/>
              <w:jc w:val="both"/>
              <w:rPr>
                <w:rFonts w:ascii="Cambria" w:hAnsi="Cambria"/>
                <w:noProof/>
              </w:rPr>
            </w:pPr>
            <w:r w:rsidRPr="00AB15C7">
              <w:rPr>
                <w:rFonts w:ascii="Cambria" w:hAnsi="Cambria"/>
                <w:noProof/>
              </w:rPr>
              <w:t>83.4</w:t>
            </w:r>
          </w:p>
        </w:tc>
        <w:tc>
          <w:tcPr>
            <w:tcW w:w="3081" w:type="dxa"/>
            <w:shd w:val="clear" w:color="000000" w:fill="FFFFFF"/>
            <w:vAlign w:val="center"/>
          </w:tcPr>
          <w:p w14:paraId="4AA0F69A" w14:textId="77777777" w:rsidR="00BB43C0" w:rsidRPr="00AB15C7" w:rsidRDefault="00BB43C0" w:rsidP="005921EF">
            <w:pPr>
              <w:spacing w:after="0"/>
              <w:jc w:val="both"/>
              <w:rPr>
                <w:rFonts w:ascii="Cambria" w:hAnsi="Cambria"/>
                <w:noProof/>
              </w:rPr>
            </w:pPr>
            <w:r w:rsidRPr="00AB15C7">
              <w:rPr>
                <w:rFonts w:ascii="Cambria" w:hAnsi="Cambria"/>
                <w:noProof/>
              </w:rPr>
              <w:t>-6.7%</w:t>
            </w:r>
          </w:p>
        </w:tc>
        <w:tc>
          <w:tcPr>
            <w:tcW w:w="3081" w:type="dxa"/>
            <w:shd w:val="clear" w:color="000000" w:fill="FFFFFF"/>
            <w:vAlign w:val="center"/>
          </w:tcPr>
          <w:p w14:paraId="1C2159F3" w14:textId="77777777" w:rsidR="00BB43C0" w:rsidRPr="00AB15C7" w:rsidRDefault="00BB43C0" w:rsidP="005921EF">
            <w:pPr>
              <w:spacing w:after="0"/>
              <w:jc w:val="both"/>
              <w:rPr>
                <w:rFonts w:ascii="Cambria" w:hAnsi="Cambria"/>
                <w:noProof/>
              </w:rPr>
            </w:pPr>
            <w:r w:rsidRPr="00AB15C7">
              <w:rPr>
                <w:rFonts w:ascii="Cambria" w:hAnsi="Cambria"/>
                <w:noProof/>
              </w:rPr>
              <w:t>-20.6%</w:t>
            </w:r>
          </w:p>
        </w:tc>
      </w:tr>
      <w:tr w:rsidR="00BB43C0" w:rsidRPr="00AB15C7" w14:paraId="62659C11" w14:textId="77777777" w:rsidTr="0066183A">
        <w:trPr>
          <w:trHeight w:val="232"/>
          <w:jc w:val="center"/>
        </w:trPr>
        <w:tc>
          <w:tcPr>
            <w:tcW w:w="1056" w:type="dxa"/>
            <w:shd w:val="clear" w:color="auto" w:fill="D9D9D9"/>
            <w:noWrap/>
            <w:vAlign w:val="center"/>
          </w:tcPr>
          <w:p w14:paraId="62DFA006" w14:textId="77777777" w:rsidR="00BB43C0" w:rsidRPr="00AB15C7" w:rsidRDefault="00BB43C0" w:rsidP="005921EF">
            <w:pPr>
              <w:spacing w:after="0"/>
              <w:jc w:val="both"/>
              <w:rPr>
                <w:rFonts w:ascii="Cambria" w:hAnsi="Cambria"/>
                <w:b/>
                <w:bCs/>
                <w:noProof/>
              </w:rPr>
            </w:pPr>
            <w:r w:rsidRPr="00AB15C7">
              <w:rPr>
                <w:rFonts w:ascii="Cambria" w:hAnsi="Cambria"/>
                <w:b/>
                <w:bCs/>
                <w:noProof/>
              </w:rPr>
              <w:t>2015</w:t>
            </w:r>
          </w:p>
        </w:tc>
        <w:tc>
          <w:tcPr>
            <w:tcW w:w="2548" w:type="dxa"/>
            <w:vAlign w:val="center"/>
          </w:tcPr>
          <w:p w14:paraId="380AF4D9" w14:textId="77777777" w:rsidR="00BB43C0" w:rsidRPr="00AB15C7" w:rsidRDefault="00BB43C0" w:rsidP="005921EF">
            <w:pPr>
              <w:spacing w:after="0"/>
              <w:jc w:val="both"/>
              <w:rPr>
                <w:rFonts w:ascii="Cambria" w:hAnsi="Cambria"/>
                <w:noProof/>
              </w:rPr>
            </w:pPr>
            <w:r w:rsidRPr="00AB15C7">
              <w:rPr>
                <w:rFonts w:ascii="Cambria" w:hAnsi="Cambria"/>
                <w:noProof/>
              </w:rPr>
              <w:t>100.0</w:t>
            </w:r>
          </w:p>
        </w:tc>
        <w:tc>
          <w:tcPr>
            <w:tcW w:w="3081" w:type="dxa"/>
            <w:shd w:val="clear" w:color="000000" w:fill="FFFFFF"/>
            <w:vAlign w:val="center"/>
          </w:tcPr>
          <w:p w14:paraId="17600D8A" w14:textId="77777777" w:rsidR="00BB43C0" w:rsidRPr="00AB15C7" w:rsidRDefault="00BB43C0" w:rsidP="005921EF">
            <w:pPr>
              <w:spacing w:after="0"/>
              <w:jc w:val="both"/>
              <w:rPr>
                <w:rFonts w:ascii="Cambria" w:hAnsi="Cambria"/>
                <w:noProof/>
              </w:rPr>
            </w:pPr>
            <w:r w:rsidRPr="00AB15C7">
              <w:rPr>
                <w:rFonts w:ascii="Cambria" w:hAnsi="Cambria"/>
                <w:noProof/>
              </w:rPr>
              <w:t>19.9%</w:t>
            </w:r>
          </w:p>
        </w:tc>
        <w:tc>
          <w:tcPr>
            <w:tcW w:w="3081" w:type="dxa"/>
            <w:shd w:val="clear" w:color="000000" w:fill="FFFFFF"/>
            <w:vAlign w:val="center"/>
          </w:tcPr>
          <w:p w14:paraId="5AF41F67" w14:textId="77777777" w:rsidR="00BB43C0" w:rsidRPr="00AB15C7" w:rsidRDefault="00BB43C0" w:rsidP="005921EF">
            <w:pPr>
              <w:spacing w:after="0"/>
              <w:jc w:val="both"/>
              <w:rPr>
                <w:rFonts w:ascii="Cambria" w:hAnsi="Cambria"/>
                <w:noProof/>
              </w:rPr>
            </w:pPr>
            <w:r w:rsidRPr="00AB15C7">
              <w:rPr>
                <w:rFonts w:ascii="Cambria" w:hAnsi="Cambria"/>
                <w:noProof/>
              </w:rPr>
              <w:t>-0.3%</w:t>
            </w:r>
          </w:p>
        </w:tc>
      </w:tr>
      <w:tr w:rsidR="007C5532" w:rsidRPr="00AB15C7" w14:paraId="4B846B5E" w14:textId="77777777" w:rsidTr="0066183A">
        <w:trPr>
          <w:trHeight w:val="232"/>
          <w:jc w:val="center"/>
        </w:trPr>
        <w:tc>
          <w:tcPr>
            <w:tcW w:w="1056" w:type="dxa"/>
            <w:shd w:val="clear" w:color="auto" w:fill="D9D9D9"/>
            <w:noWrap/>
            <w:vAlign w:val="center"/>
          </w:tcPr>
          <w:p w14:paraId="6F21165C" w14:textId="77777777" w:rsidR="007C5532" w:rsidRPr="00AB15C7" w:rsidRDefault="007C5532" w:rsidP="005921EF">
            <w:pPr>
              <w:spacing w:after="0"/>
              <w:jc w:val="both"/>
              <w:rPr>
                <w:rFonts w:ascii="Cambria" w:hAnsi="Cambria"/>
                <w:b/>
                <w:bCs/>
                <w:noProof/>
              </w:rPr>
            </w:pPr>
            <w:r w:rsidRPr="00AB15C7">
              <w:rPr>
                <w:rFonts w:ascii="Cambria" w:hAnsi="Cambria"/>
                <w:b/>
                <w:bCs/>
                <w:noProof/>
              </w:rPr>
              <w:t>2016</w:t>
            </w:r>
          </w:p>
        </w:tc>
        <w:tc>
          <w:tcPr>
            <w:tcW w:w="2548" w:type="dxa"/>
            <w:vAlign w:val="center"/>
          </w:tcPr>
          <w:p w14:paraId="6363AD9F" w14:textId="77777777" w:rsidR="007C5532" w:rsidRPr="00AB15C7" w:rsidRDefault="007C5532" w:rsidP="005921EF">
            <w:pPr>
              <w:spacing w:after="0"/>
              <w:jc w:val="both"/>
              <w:rPr>
                <w:rFonts w:ascii="Cambria" w:hAnsi="Cambria"/>
                <w:noProof/>
              </w:rPr>
            </w:pPr>
            <w:r w:rsidRPr="00AB15C7">
              <w:rPr>
                <w:rFonts w:ascii="Cambria" w:hAnsi="Cambria"/>
                <w:noProof/>
              </w:rPr>
              <w:t>92.2</w:t>
            </w:r>
          </w:p>
        </w:tc>
        <w:tc>
          <w:tcPr>
            <w:tcW w:w="3081" w:type="dxa"/>
            <w:shd w:val="clear" w:color="000000" w:fill="FFFFFF"/>
            <w:vAlign w:val="center"/>
          </w:tcPr>
          <w:p w14:paraId="0208A3AD" w14:textId="77777777" w:rsidR="007C5532" w:rsidRPr="00AB15C7" w:rsidRDefault="007C5532" w:rsidP="005921EF">
            <w:pPr>
              <w:spacing w:after="0"/>
              <w:jc w:val="both"/>
              <w:rPr>
                <w:rFonts w:ascii="Cambria" w:hAnsi="Cambria"/>
                <w:noProof/>
              </w:rPr>
            </w:pPr>
            <w:r w:rsidRPr="00AB15C7">
              <w:rPr>
                <w:rFonts w:ascii="Cambria" w:hAnsi="Cambria"/>
                <w:noProof/>
              </w:rPr>
              <w:t>-7.8%</w:t>
            </w:r>
          </w:p>
        </w:tc>
        <w:tc>
          <w:tcPr>
            <w:tcW w:w="3081" w:type="dxa"/>
            <w:shd w:val="clear" w:color="000000" w:fill="FFFFFF"/>
            <w:vAlign w:val="center"/>
          </w:tcPr>
          <w:p w14:paraId="207BE171" w14:textId="77777777" w:rsidR="007C5532" w:rsidRPr="00AB15C7" w:rsidRDefault="007C5532" w:rsidP="005921EF">
            <w:pPr>
              <w:spacing w:after="0"/>
              <w:jc w:val="both"/>
              <w:rPr>
                <w:rFonts w:ascii="Cambria" w:hAnsi="Cambria"/>
                <w:noProof/>
              </w:rPr>
            </w:pPr>
            <w:r w:rsidRPr="00AB15C7">
              <w:rPr>
                <w:rFonts w:ascii="Cambria" w:hAnsi="Cambria"/>
                <w:noProof/>
              </w:rPr>
              <w:t>2.4%</w:t>
            </w:r>
          </w:p>
        </w:tc>
      </w:tr>
      <w:tr w:rsidR="007C5532" w:rsidRPr="00AB15C7" w14:paraId="53D11A7C" w14:textId="77777777" w:rsidTr="0066183A">
        <w:trPr>
          <w:trHeight w:val="232"/>
          <w:jc w:val="center"/>
        </w:trPr>
        <w:tc>
          <w:tcPr>
            <w:tcW w:w="1056" w:type="dxa"/>
            <w:shd w:val="clear" w:color="auto" w:fill="D9D9D9"/>
            <w:noWrap/>
            <w:vAlign w:val="center"/>
          </w:tcPr>
          <w:p w14:paraId="3217D249" w14:textId="77777777" w:rsidR="007C5532" w:rsidRPr="00AB15C7" w:rsidRDefault="007C5532" w:rsidP="005921EF">
            <w:pPr>
              <w:spacing w:after="0"/>
              <w:jc w:val="both"/>
              <w:rPr>
                <w:rFonts w:ascii="Cambria" w:hAnsi="Cambria"/>
                <w:b/>
                <w:bCs/>
                <w:noProof/>
              </w:rPr>
            </w:pPr>
            <w:r w:rsidRPr="00AB15C7">
              <w:rPr>
                <w:rFonts w:ascii="Cambria" w:hAnsi="Cambria"/>
                <w:b/>
                <w:bCs/>
                <w:noProof/>
              </w:rPr>
              <w:t>2017</w:t>
            </w:r>
          </w:p>
        </w:tc>
        <w:tc>
          <w:tcPr>
            <w:tcW w:w="2548" w:type="dxa"/>
            <w:vAlign w:val="center"/>
          </w:tcPr>
          <w:p w14:paraId="56EB0BE4" w14:textId="77777777" w:rsidR="007C5532" w:rsidRPr="00AB15C7" w:rsidRDefault="007C5532" w:rsidP="005921EF">
            <w:pPr>
              <w:spacing w:after="0"/>
              <w:jc w:val="both"/>
              <w:rPr>
                <w:rFonts w:ascii="Cambria" w:hAnsi="Cambria"/>
                <w:noProof/>
              </w:rPr>
            </w:pPr>
            <w:r w:rsidRPr="00AB15C7">
              <w:rPr>
                <w:rFonts w:ascii="Cambria" w:hAnsi="Cambria"/>
                <w:noProof/>
              </w:rPr>
              <w:t>88.6</w:t>
            </w:r>
          </w:p>
        </w:tc>
        <w:tc>
          <w:tcPr>
            <w:tcW w:w="3081" w:type="dxa"/>
            <w:shd w:val="clear" w:color="000000" w:fill="FFFFFF"/>
            <w:vAlign w:val="center"/>
          </w:tcPr>
          <w:p w14:paraId="12340DB6" w14:textId="77777777" w:rsidR="007C5532" w:rsidRPr="00AB15C7" w:rsidRDefault="007C5532" w:rsidP="005921EF">
            <w:pPr>
              <w:spacing w:after="0"/>
              <w:jc w:val="both"/>
              <w:rPr>
                <w:rFonts w:ascii="Cambria" w:hAnsi="Cambria"/>
                <w:noProof/>
              </w:rPr>
            </w:pPr>
            <w:r w:rsidRPr="00AB15C7">
              <w:rPr>
                <w:rFonts w:ascii="Cambria" w:hAnsi="Cambria"/>
                <w:noProof/>
              </w:rPr>
              <w:t>-3.9%</w:t>
            </w:r>
          </w:p>
        </w:tc>
        <w:tc>
          <w:tcPr>
            <w:tcW w:w="3081" w:type="dxa"/>
            <w:shd w:val="clear" w:color="000000" w:fill="FFFFFF"/>
            <w:vAlign w:val="center"/>
          </w:tcPr>
          <w:p w14:paraId="71FEB776" w14:textId="77777777" w:rsidR="007C5532" w:rsidRPr="00AB15C7" w:rsidRDefault="007C5532" w:rsidP="005921EF">
            <w:pPr>
              <w:spacing w:after="0"/>
              <w:jc w:val="both"/>
              <w:rPr>
                <w:rFonts w:ascii="Cambria" w:hAnsi="Cambria"/>
                <w:noProof/>
              </w:rPr>
            </w:pPr>
            <w:r w:rsidRPr="00AB15C7">
              <w:rPr>
                <w:rFonts w:ascii="Cambria" w:hAnsi="Cambria"/>
                <w:noProof/>
              </w:rPr>
              <w:t>-10.8%</w:t>
            </w:r>
          </w:p>
        </w:tc>
      </w:tr>
    </w:tbl>
    <w:p w14:paraId="17F1E130" w14:textId="77777777" w:rsidR="00642269" w:rsidRDefault="00642269" w:rsidP="005921EF">
      <w:pPr>
        <w:jc w:val="center"/>
        <w:rPr>
          <w:rFonts w:ascii="Cambria" w:hAnsi="Cambria"/>
          <w:i/>
          <w:noProof/>
          <w:lang w:val="sr-Latn-ME"/>
        </w:rPr>
      </w:pPr>
      <w:r w:rsidRPr="00AB15C7">
        <w:rPr>
          <w:rFonts w:ascii="Cambria" w:hAnsi="Cambria"/>
          <w:i/>
          <w:noProof/>
          <w:lang w:val="sr-Latn-ME"/>
        </w:rPr>
        <w:t>Izvor: MONSTAT</w:t>
      </w:r>
    </w:p>
    <w:p w14:paraId="51E238D8" w14:textId="5A3431F0" w:rsidR="006F4EFD" w:rsidRDefault="00642269" w:rsidP="0034598E">
      <w:pPr>
        <w:jc w:val="both"/>
        <w:rPr>
          <w:rFonts w:ascii="Cambria" w:hAnsi="Cambria"/>
          <w:noProof/>
          <w:lang w:val="sr-Latn-ME"/>
        </w:rPr>
      </w:pPr>
      <w:r w:rsidRPr="00AB15C7">
        <w:rPr>
          <w:rFonts w:ascii="Cambria" w:hAnsi="Cambria"/>
          <w:noProof/>
          <w:lang w:val="sr-Latn-ME"/>
        </w:rPr>
        <w:t>U pogledu indeksa industrijske proizvodnje u podsektoru hemikalija i hemijskih proizvoda</w:t>
      </w:r>
      <w:r w:rsidR="00250EF9" w:rsidRPr="00AB15C7">
        <w:rPr>
          <w:rFonts w:ascii="Cambria" w:hAnsi="Cambria"/>
          <w:noProof/>
          <w:lang w:val="sr-Latn-ME"/>
        </w:rPr>
        <w:t>, kao i u podsektoru proizvodnje osnovnih metala</w:t>
      </w:r>
      <w:r w:rsidRPr="00AB15C7">
        <w:rPr>
          <w:rFonts w:ascii="Cambria" w:hAnsi="Cambria"/>
          <w:noProof/>
          <w:lang w:val="sr-Latn-ME"/>
        </w:rPr>
        <w:t xml:space="preserve"> u periodu 2012-2016.  b</w:t>
      </w:r>
      <w:r w:rsidR="00D86F95" w:rsidRPr="00AB15C7">
        <w:rPr>
          <w:rFonts w:ascii="Cambria" w:hAnsi="Cambria"/>
          <w:noProof/>
          <w:lang w:val="sr-Latn-ME"/>
        </w:rPr>
        <w:t>ilj</w:t>
      </w:r>
      <w:r w:rsidRPr="00AB15C7">
        <w:rPr>
          <w:rFonts w:ascii="Cambria" w:hAnsi="Cambria"/>
          <w:noProof/>
          <w:lang w:val="sr-Latn-ME"/>
        </w:rPr>
        <w:t xml:space="preserve">eže se oscilacije sa značajnim padom u 2016. (Tabela </w:t>
      </w:r>
      <w:r w:rsidR="003A2D38" w:rsidRPr="00AB15C7">
        <w:rPr>
          <w:rFonts w:ascii="Cambria" w:hAnsi="Cambria"/>
          <w:noProof/>
          <w:lang w:val="sr-Latn-ME"/>
        </w:rPr>
        <w:t>8</w:t>
      </w:r>
      <w:r w:rsidRPr="00AB15C7">
        <w:rPr>
          <w:rFonts w:ascii="Cambria" w:hAnsi="Cambria"/>
          <w:noProof/>
          <w:lang w:val="sr-Latn-ME"/>
        </w:rPr>
        <w:t>).</w:t>
      </w:r>
    </w:p>
    <w:p w14:paraId="6EAB9A7F" w14:textId="77777777" w:rsidR="00642269" w:rsidRPr="006F4EFD" w:rsidRDefault="00642269" w:rsidP="006F4EFD">
      <w:pPr>
        <w:spacing w:after="120"/>
        <w:jc w:val="center"/>
        <w:rPr>
          <w:rFonts w:ascii="Cambria" w:hAnsi="Cambria"/>
          <w:noProof/>
          <w:lang w:val="sr-Latn-ME"/>
        </w:rPr>
      </w:pPr>
      <w:r w:rsidRPr="006F4EFD">
        <w:rPr>
          <w:rFonts w:ascii="Cambria" w:hAnsi="Cambria"/>
          <w:i/>
          <w:noProof/>
          <w:lang w:val="sr-Latn-ME"/>
        </w:rPr>
        <w:t xml:space="preserve">Tabela </w:t>
      </w:r>
      <w:r w:rsidR="003A2D38" w:rsidRPr="006F4EFD">
        <w:rPr>
          <w:rFonts w:ascii="Cambria" w:hAnsi="Cambria"/>
          <w:i/>
          <w:noProof/>
          <w:lang w:val="sr-Latn-ME"/>
        </w:rPr>
        <w:t>8</w:t>
      </w:r>
      <w:r w:rsidRPr="006F4EFD">
        <w:rPr>
          <w:rFonts w:ascii="Cambria" w:hAnsi="Cambria"/>
          <w:i/>
          <w:noProof/>
          <w:lang w:val="sr-Latn-ME"/>
        </w:rPr>
        <w:t xml:space="preserve">. </w:t>
      </w:r>
      <w:r w:rsidRPr="006F4EFD">
        <w:rPr>
          <w:rFonts w:ascii="Cambria" w:hAnsi="Cambria"/>
          <w:noProof/>
          <w:lang w:val="sr-Latn-ME"/>
        </w:rPr>
        <w:t>Indeks industrijske proizvodnje u podsektoru hemikalija i hemijskih proizvoda</w:t>
      </w:r>
      <w:r w:rsidR="000B4A3C" w:rsidRPr="006F4EFD">
        <w:rPr>
          <w:rFonts w:ascii="Cambria" w:hAnsi="Cambria"/>
          <w:noProof/>
          <w:lang w:val="sr-Latn-ME"/>
        </w:rPr>
        <w:t xml:space="preserve"> i proizvodnje osnovnih metala</w:t>
      </w:r>
      <w:r w:rsidRPr="006F4EFD">
        <w:rPr>
          <w:rFonts w:ascii="Cambria" w:hAnsi="Cambria"/>
          <w:noProof/>
          <w:lang w:val="sr-Latn-ME"/>
        </w:rPr>
        <w:t xml:space="preserve"> u periodu 2012-2016</w:t>
      </w:r>
      <w:r w:rsidR="000B4A3C" w:rsidRPr="006F4EFD">
        <w:rPr>
          <w:rFonts w:ascii="Cambria" w:hAnsi="Cambria"/>
          <w:noProof/>
          <w:lang w:val="sr-Latn-M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879"/>
        <w:gridCol w:w="749"/>
        <w:gridCol w:w="809"/>
        <w:gridCol w:w="809"/>
        <w:gridCol w:w="899"/>
        <w:gridCol w:w="1799"/>
      </w:tblGrid>
      <w:tr w:rsidR="00642269" w:rsidRPr="00AB15C7" w14:paraId="5F435CE2" w14:textId="77777777" w:rsidTr="006F4EFD">
        <w:tc>
          <w:tcPr>
            <w:tcW w:w="3685" w:type="dxa"/>
            <w:shd w:val="clear" w:color="auto" w:fill="D9D9D9"/>
          </w:tcPr>
          <w:p w14:paraId="4852E6C8" w14:textId="77777777" w:rsidR="00642269" w:rsidRPr="00AB15C7" w:rsidRDefault="00642269" w:rsidP="005921EF">
            <w:pPr>
              <w:spacing w:after="0"/>
              <w:jc w:val="both"/>
              <w:rPr>
                <w:rFonts w:ascii="Cambria" w:hAnsi="Cambria"/>
                <w:b/>
                <w:bCs/>
                <w:noProof/>
              </w:rPr>
            </w:pPr>
          </w:p>
        </w:tc>
        <w:tc>
          <w:tcPr>
            <w:tcW w:w="879" w:type="dxa"/>
            <w:shd w:val="clear" w:color="auto" w:fill="D9D9D9"/>
          </w:tcPr>
          <w:p w14:paraId="2F6C6F2F" w14:textId="77777777" w:rsidR="00642269" w:rsidRPr="00AB15C7" w:rsidRDefault="00642269" w:rsidP="006F4EFD">
            <w:pPr>
              <w:spacing w:after="0"/>
              <w:jc w:val="right"/>
              <w:rPr>
                <w:rFonts w:ascii="Cambria" w:hAnsi="Cambria"/>
                <w:b/>
                <w:bCs/>
                <w:noProof/>
              </w:rPr>
            </w:pPr>
            <w:r w:rsidRPr="00AB15C7">
              <w:rPr>
                <w:rFonts w:ascii="Cambria" w:hAnsi="Cambria"/>
                <w:b/>
                <w:bCs/>
                <w:noProof/>
              </w:rPr>
              <w:t>2012</w:t>
            </w:r>
          </w:p>
        </w:tc>
        <w:tc>
          <w:tcPr>
            <w:tcW w:w="749" w:type="dxa"/>
            <w:shd w:val="clear" w:color="auto" w:fill="D9D9D9"/>
          </w:tcPr>
          <w:p w14:paraId="6DF22075" w14:textId="77777777" w:rsidR="00642269" w:rsidRPr="00AB15C7" w:rsidRDefault="00642269" w:rsidP="006F4EFD">
            <w:pPr>
              <w:spacing w:after="0"/>
              <w:jc w:val="right"/>
              <w:rPr>
                <w:rFonts w:ascii="Cambria" w:hAnsi="Cambria"/>
                <w:b/>
                <w:bCs/>
                <w:noProof/>
              </w:rPr>
            </w:pPr>
            <w:r w:rsidRPr="00AB15C7">
              <w:rPr>
                <w:rFonts w:ascii="Cambria" w:hAnsi="Cambria"/>
                <w:b/>
                <w:bCs/>
                <w:noProof/>
              </w:rPr>
              <w:t>2013</w:t>
            </w:r>
          </w:p>
        </w:tc>
        <w:tc>
          <w:tcPr>
            <w:tcW w:w="809" w:type="dxa"/>
            <w:shd w:val="clear" w:color="auto" w:fill="D9D9D9"/>
          </w:tcPr>
          <w:p w14:paraId="7CD42628" w14:textId="77777777" w:rsidR="00642269" w:rsidRPr="00AB15C7" w:rsidRDefault="00642269" w:rsidP="006F4EFD">
            <w:pPr>
              <w:spacing w:after="0"/>
              <w:jc w:val="right"/>
              <w:rPr>
                <w:rFonts w:ascii="Cambria" w:hAnsi="Cambria"/>
                <w:b/>
                <w:bCs/>
                <w:noProof/>
              </w:rPr>
            </w:pPr>
            <w:r w:rsidRPr="00AB15C7">
              <w:rPr>
                <w:rFonts w:ascii="Cambria" w:hAnsi="Cambria"/>
                <w:b/>
                <w:bCs/>
                <w:noProof/>
              </w:rPr>
              <w:t>2014</w:t>
            </w:r>
          </w:p>
        </w:tc>
        <w:tc>
          <w:tcPr>
            <w:tcW w:w="809" w:type="dxa"/>
            <w:shd w:val="clear" w:color="auto" w:fill="D9D9D9"/>
          </w:tcPr>
          <w:p w14:paraId="71C8BDE5" w14:textId="77777777" w:rsidR="00642269" w:rsidRPr="00AB15C7" w:rsidRDefault="00642269" w:rsidP="006F4EFD">
            <w:pPr>
              <w:spacing w:after="0"/>
              <w:jc w:val="right"/>
              <w:rPr>
                <w:rFonts w:ascii="Cambria" w:hAnsi="Cambria"/>
                <w:b/>
                <w:bCs/>
                <w:noProof/>
              </w:rPr>
            </w:pPr>
            <w:r w:rsidRPr="00AB15C7">
              <w:rPr>
                <w:rFonts w:ascii="Cambria" w:hAnsi="Cambria"/>
                <w:b/>
                <w:bCs/>
                <w:noProof/>
              </w:rPr>
              <w:t>2015</w:t>
            </w:r>
          </w:p>
        </w:tc>
        <w:tc>
          <w:tcPr>
            <w:tcW w:w="899" w:type="dxa"/>
            <w:shd w:val="clear" w:color="auto" w:fill="D9D9D9"/>
          </w:tcPr>
          <w:p w14:paraId="3D29F3A7" w14:textId="77777777" w:rsidR="00642269" w:rsidRPr="00AB15C7" w:rsidRDefault="00642269" w:rsidP="006F4EFD">
            <w:pPr>
              <w:spacing w:after="0"/>
              <w:jc w:val="right"/>
              <w:rPr>
                <w:rFonts w:ascii="Cambria" w:hAnsi="Cambria"/>
                <w:b/>
                <w:bCs/>
                <w:noProof/>
              </w:rPr>
            </w:pPr>
            <w:r w:rsidRPr="00AB15C7">
              <w:rPr>
                <w:rFonts w:ascii="Cambria" w:hAnsi="Cambria"/>
                <w:b/>
                <w:bCs/>
                <w:noProof/>
              </w:rPr>
              <w:t>2016</w:t>
            </w:r>
          </w:p>
        </w:tc>
        <w:tc>
          <w:tcPr>
            <w:tcW w:w="1799" w:type="dxa"/>
            <w:shd w:val="clear" w:color="auto" w:fill="D9D9D9"/>
          </w:tcPr>
          <w:p w14:paraId="0D751215" w14:textId="77777777" w:rsidR="00642269" w:rsidRPr="00AB15C7" w:rsidRDefault="00642269" w:rsidP="005921EF">
            <w:pPr>
              <w:spacing w:after="0"/>
              <w:jc w:val="both"/>
              <w:rPr>
                <w:rFonts w:ascii="Cambria" w:hAnsi="Cambria"/>
                <w:i/>
                <w:noProof/>
                <w:lang w:val="sr-Latn-ME"/>
              </w:rPr>
            </w:pPr>
            <w:r w:rsidRPr="00AB15C7">
              <w:rPr>
                <w:rFonts w:ascii="Cambria" w:hAnsi="Cambria"/>
                <w:i/>
                <w:noProof/>
                <w:lang w:val="sr-Latn-ME"/>
              </w:rPr>
              <w:t xml:space="preserve">Napomena: </w:t>
            </w:r>
          </w:p>
        </w:tc>
      </w:tr>
      <w:tr w:rsidR="000B4A3C" w:rsidRPr="00AB15C7" w14:paraId="064F5F30" w14:textId="77777777" w:rsidTr="006F4EFD">
        <w:tc>
          <w:tcPr>
            <w:tcW w:w="3685" w:type="dxa"/>
            <w:shd w:val="clear" w:color="auto" w:fill="D9D9D9"/>
          </w:tcPr>
          <w:p w14:paraId="364F3F37" w14:textId="77777777" w:rsidR="000B4A3C" w:rsidRPr="00AB15C7" w:rsidRDefault="000B4A3C" w:rsidP="006F4EFD">
            <w:pPr>
              <w:spacing w:after="0"/>
              <w:rPr>
                <w:rFonts w:ascii="Cambria" w:hAnsi="Cambria"/>
                <w:b/>
                <w:bCs/>
                <w:noProof/>
              </w:rPr>
            </w:pPr>
            <w:r w:rsidRPr="00AB15C7">
              <w:rPr>
                <w:rFonts w:ascii="Cambria" w:hAnsi="Cambria"/>
                <w:b/>
                <w:bCs/>
                <w:noProof/>
              </w:rPr>
              <w:t>Proizvodnja hemikalija i hemijskih proizvoda</w:t>
            </w:r>
          </w:p>
        </w:tc>
        <w:tc>
          <w:tcPr>
            <w:tcW w:w="879" w:type="dxa"/>
            <w:shd w:val="clear" w:color="auto" w:fill="auto"/>
          </w:tcPr>
          <w:p w14:paraId="1938F727" w14:textId="77777777" w:rsidR="000B4A3C" w:rsidRPr="00AB15C7" w:rsidRDefault="000B4A3C" w:rsidP="005921EF">
            <w:pPr>
              <w:spacing w:after="0"/>
              <w:jc w:val="right"/>
              <w:rPr>
                <w:rFonts w:ascii="Cambria" w:hAnsi="Cambria"/>
                <w:bCs/>
                <w:noProof/>
              </w:rPr>
            </w:pPr>
            <w:r w:rsidRPr="00AB15C7">
              <w:rPr>
                <w:rFonts w:ascii="Cambria" w:hAnsi="Cambria"/>
                <w:bCs/>
                <w:noProof/>
              </w:rPr>
              <w:t>92,1</w:t>
            </w:r>
          </w:p>
        </w:tc>
        <w:tc>
          <w:tcPr>
            <w:tcW w:w="749" w:type="dxa"/>
            <w:shd w:val="clear" w:color="auto" w:fill="auto"/>
          </w:tcPr>
          <w:p w14:paraId="396E424C" w14:textId="77777777" w:rsidR="000B4A3C" w:rsidRPr="00AB15C7" w:rsidRDefault="000B4A3C" w:rsidP="005921EF">
            <w:pPr>
              <w:spacing w:after="0"/>
              <w:jc w:val="right"/>
              <w:rPr>
                <w:rFonts w:ascii="Cambria" w:hAnsi="Cambria"/>
                <w:bCs/>
                <w:noProof/>
              </w:rPr>
            </w:pPr>
            <w:r w:rsidRPr="00AB15C7">
              <w:rPr>
                <w:rFonts w:ascii="Cambria" w:hAnsi="Cambria"/>
                <w:bCs/>
                <w:noProof/>
              </w:rPr>
              <w:t>121,6</w:t>
            </w:r>
          </w:p>
        </w:tc>
        <w:tc>
          <w:tcPr>
            <w:tcW w:w="809" w:type="dxa"/>
            <w:shd w:val="clear" w:color="auto" w:fill="auto"/>
          </w:tcPr>
          <w:p w14:paraId="55F2411D" w14:textId="77777777" w:rsidR="000B4A3C" w:rsidRPr="00AB15C7" w:rsidRDefault="000B4A3C" w:rsidP="005921EF">
            <w:pPr>
              <w:spacing w:after="0"/>
              <w:jc w:val="right"/>
              <w:rPr>
                <w:rFonts w:ascii="Cambria" w:hAnsi="Cambria"/>
                <w:bCs/>
                <w:noProof/>
              </w:rPr>
            </w:pPr>
            <w:r w:rsidRPr="00AB15C7">
              <w:rPr>
                <w:rFonts w:ascii="Cambria" w:hAnsi="Cambria"/>
                <w:bCs/>
                <w:noProof/>
              </w:rPr>
              <w:t>99,7</w:t>
            </w:r>
          </w:p>
        </w:tc>
        <w:tc>
          <w:tcPr>
            <w:tcW w:w="809" w:type="dxa"/>
            <w:shd w:val="clear" w:color="auto" w:fill="auto"/>
          </w:tcPr>
          <w:p w14:paraId="49B8D7C4" w14:textId="77777777" w:rsidR="000B4A3C" w:rsidRPr="00AB15C7" w:rsidRDefault="000B4A3C" w:rsidP="005921EF">
            <w:pPr>
              <w:spacing w:after="0"/>
              <w:jc w:val="right"/>
              <w:rPr>
                <w:rFonts w:ascii="Cambria" w:hAnsi="Cambria"/>
                <w:bCs/>
                <w:noProof/>
              </w:rPr>
            </w:pPr>
            <w:r w:rsidRPr="00AB15C7">
              <w:rPr>
                <w:rFonts w:ascii="Cambria" w:hAnsi="Cambria"/>
                <w:bCs/>
                <w:noProof/>
              </w:rPr>
              <w:t>102,1</w:t>
            </w:r>
          </w:p>
        </w:tc>
        <w:tc>
          <w:tcPr>
            <w:tcW w:w="899" w:type="dxa"/>
            <w:shd w:val="clear" w:color="auto" w:fill="auto"/>
          </w:tcPr>
          <w:p w14:paraId="533A5910" w14:textId="77777777" w:rsidR="000B4A3C" w:rsidRPr="00AB15C7" w:rsidRDefault="000B4A3C" w:rsidP="005921EF">
            <w:pPr>
              <w:spacing w:after="0"/>
              <w:jc w:val="right"/>
              <w:rPr>
                <w:rFonts w:ascii="Cambria" w:hAnsi="Cambria"/>
                <w:bCs/>
                <w:noProof/>
              </w:rPr>
            </w:pPr>
            <w:r w:rsidRPr="00AB15C7">
              <w:rPr>
                <w:rFonts w:ascii="Cambria" w:hAnsi="Cambria"/>
                <w:bCs/>
                <w:noProof/>
              </w:rPr>
              <w:t>65,8</w:t>
            </w:r>
          </w:p>
        </w:tc>
        <w:tc>
          <w:tcPr>
            <w:tcW w:w="1799" w:type="dxa"/>
            <w:vMerge w:val="restart"/>
          </w:tcPr>
          <w:p w14:paraId="00779302" w14:textId="77777777" w:rsidR="000B4A3C" w:rsidRPr="00AB15C7" w:rsidRDefault="000B4A3C" w:rsidP="005921EF">
            <w:pPr>
              <w:spacing w:after="0"/>
              <w:jc w:val="both"/>
              <w:rPr>
                <w:rFonts w:ascii="Cambria" w:hAnsi="Cambria"/>
                <w:b/>
                <w:bCs/>
                <w:noProof/>
              </w:rPr>
            </w:pPr>
            <w:r w:rsidRPr="00AB15C7">
              <w:rPr>
                <w:rFonts w:ascii="Cambria" w:hAnsi="Cambria"/>
                <w:i/>
                <w:noProof/>
                <w:lang w:val="sr-Latn-ME"/>
              </w:rPr>
              <w:t>prethodna godina = 100</w:t>
            </w:r>
          </w:p>
        </w:tc>
      </w:tr>
      <w:tr w:rsidR="000B4A3C" w:rsidRPr="00AB15C7" w14:paraId="7C92147C" w14:textId="77777777" w:rsidTr="006F4EFD">
        <w:tc>
          <w:tcPr>
            <w:tcW w:w="3685" w:type="dxa"/>
            <w:shd w:val="clear" w:color="auto" w:fill="D9D9D9"/>
          </w:tcPr>
          <w:p w14:paraId="2E037567" w14:textId="77777777" w:rsidR="000B4A3C" w:rsidRPr="00AB15C7" w:rsidRDefault="000B4A3C" w:rsidP="005921EF">
            <w:pPr>
              <w:spacing w:after="0"/>
              <w:rPr>
                <w:rFonts w:ascii="Cambria" w:hAnsi="Cambria"/>
                <w:b/>
                <w:bCs/>
                <w:noProof/>
              </w:rPr>
            </w:pPr>
            <w:r w:rsidRPr="00AB15C7">
              <w:rPr>
                <w:rFonts w:ascii="Cambria" w:hAnsi="Cambria"/>
                <w:b/>
                <w:bCs/>
                <w:noProof/>
              </w:rPr>
              <w:t>Proizvodnja osnovnih metala</w:t>
            </w:r>
          </w:p>
        </w:tc>
        <w:tc>
          <w:tcPr>
            <w:tcW w:w="879" w:type="dxa"/>
            <w:shd w:val="clear" w:color="auto" w:fill="auto"/>
          </w:tcPr>
          <w:p w14:paraId="55BBC1E6" w14:textId="77777777" w:rsidR="000B4A3C" w:rsidRPr="00AB15C7" w:rsidRDefault="000B4A3C" w:rsidP="005921EF">
            <w:pPr>
              <w:spacing w:after="0"/>
              <w:jc w:val="right"/>
              <w:rPr>
                <w:rFonts w:ascii="Cambria" w:hAnsi="Cambria"/>
                <w:bCs/>
                <w:noProof/>
              </w:rPr>
            </w:pPr>
            <w:r w:rsidRPr="00AB15C7">
              <w:rPr>
                <w:rFonts w:ascii="Cambria" w:hAnsi="Cambria"/>
                <w:bCs/>
                <w:noProof/>
              </w:rPr>
              <w:t xml:space="preserve">76,0 </w:t>
            </w:r>
          </w:p>
        </w:tc>
        <w:tc>
          <w:tcPr>
            <w:tcW w:w="749" w:type="dxa"/>
            <w:shd w:val="clear" w:color="auto" w:fill="auto"/>
          </w:tcPr>
          <w:p w14:paraId="1F0A6811" w14:textId="77777777" w:rsidR="000B4A3C" w:rsidRPr="00AB15C7" w:rsidRDefault="000B4A3C" w:rsidP="005921EF">
            <w:pPr>
              <w:spacing w:after="0"/>
              <w:jc w:val="right"/>
              <w:rPr>
                <w:rFonts w:ascii="Cambria" w:hAnsi="Cambria"/>
                <w:bCs/>
                <w:noProof/>
              </w:rPr>
            </w:pPr>
            <w:r w:rsidRPr="00AB15C7">
              <w:rPr>
                <w:rFonts w:ascii="Cambria" w:hAnsi="Cambria"/>
                <w:bCs/>
                <w:noProof/>
              </w:rPr>
              <w:t>62,7</w:t>
            </w:r>
          </w:p>
        </w:tc>
        <w:tc>
          <w:tcPr>
            <w:tcW w:w="809" w:type="dxa"/>
            <w:shd w:val="clear" w:color="auto" w:fill="auto"/>
          </w:tcPr>
          <w:p w14:paraId="6D470554" w14:textId="77777777" w:rsidR="000B4A3C" w:rsidRPr="00AB15C7" w:rsidRDefault="000B4A3C" w:rsidP="005921EF">
            <w:pPr>
              <w:spacing w:after="0"/>
              <w:jc w:val="right"/>
              <w:rPr>
                <w:rFonts w:ascii="Cambria" w:hAnsi="Cambria"/>
                <w:bCs/>
                <w:noProof/>
              </w:rPr>
            </w:pPr>
            <w:r w:rsidRPr="00AB15C7">
              <w:rPr>
                <w:rFonts w:ascii="Cambria" w:hAnsi="Cambria"/>
                <w:bCs/>
                <w:noProof/>
              </w:rPr>
              <w:t>84,5</w:t>
            </w:r>
          </w:p>
        </w:tc>
        <w:tc>
          <w:tcPr>
            <w:tcW w:w="809" w:type="dxa"/>
            <w:shd w:val="clear" w:color="auto" w:fill="auto"/>
          </w:tcPr>
          <w:p w14:paraId="58A44759" w14:textId="77777777" w:rsidR="000B4A3C" w:rsidRPr="00AB15C7" w:rsidRDefault="000B4A3C" w:rsidP="005921EF">
            <w:pPr>
              <w:spacing w:after="0"/>
              <w:jc w:val="right"/>
              <w:rPr>
                <w:rFonts w:ascii="Cambria" w:hAnsi="Cambria"/>
                <w:bCs/>
                <w:noProof/>
              </w:rPr>
            </w:pPr>
            <w:r w:rsidRPr="00AB15C7">
              <w:rPr>
                <w:rFonts w:ascii="Cambria" w:hAnsi="Cambria"/>
                <w:bCs/>
                <w:noProof/>
              </w:rPr>
              <w:t>112,3</w:t>
            </w:r>
          </w:p>
        </w:tc>
        <w:tc>
          <w:tcPr>
            <w:tcW w:w="899" w:type="dxa"/>
            <w:shd w:val="clear" w:color="auto" w:fill="auto"/>
          </w:tcPr>
          <w:p w14:paraId="31520776" w14:textId="77777777" w:rsidR="000B4A3C" w:rsidRPr="00AB15C7" w:rsidRDefault="000B4A3C" w:rsidP="005921EF">
            <w:pPr>
              <w:spacing w:after="0"/>
              <w:jc w:val="right"/>
              <w:rPr>
                <w:rFonts w:ascii="Cambria" w:hAnsi="Cambria"/>
                <w:bCs/>
                <w:noProof/>
              </w:rPr>
            </w:pPr>
            <w:r w:rsidRPr="00AB15C7">
              <w:rPr>
                <w:rFonts w:ascii="Cambria" w:hAnsi="Cambria"/>
                <w:bCs/>
                <w:noProof/>
              </w:rPr>
              <w:t>85,0</w:t>
            </w:r>
          </w:p>
        </w:tc>
        <w:tc>
          <w:tcPr>
            <w:tcW w:w="1799" w:type="dxa"/>
            <w:vMerge/>
          </w:tcPr>
          <w:p w14:paraId="32F50373" w14:textId="77777777" w:rsidR="000B4A3C" w:rsidRPr="00AB15C7" w:rsidRDefault="000B4A3C" w:rsidP="005921EF">
            <w:pPr>
              <w:spacing w:after="0"/>
              <w:jc w:val="both"/>
              <w:rPr>
                <w:rFonts w:ascii="Cambria" w:hAnsi="Cambria"/>
                <w:i/>
                <w:noProof/>
                <w:lang w:val="sr-Latn-ME"/>
              </w:rPr>
            </w:pPr>
          </w:p>
        </w:tc>
      </w:tr>
    </w:tbl>
    <w:p w14:paraId="0B28E4B7" w14:textId="77777777" w:rsidR="00642269" w:rsidRPr="00AB15C7" w:rsidRDefault="00642269" w:rsidP="005921EF">
      <w:pPr>
        <w:jc w:val="center"/>
        <w:rPr>
          <w:rFonts w:ascii="Cambria" w:hAnsi="Cambria"/>
          <w:i/>
          <w:noProof/>
          <w:lang w:val="sr-Latn-ME"/>
        </w:rPr>
      </w:pPr>
      <w:r w:rsidRPr="00AB15C7">
        <w:rPr>
          <w:rFonts w:ascii="Cambria" w:hAnsi="Cambria"/>
          <w:i/>
          <w:noProof/>
          <w:lang w:val="sr-Latn-ME"/>
        </w:rPr>
        <w:t>Izvor: MONSTAT</w:t>
      </w:r>
    </w:p>
    <w:p w14:paraId="0020A966" w14:textId="77777777" w:rsidR="00642269" w:rsidRDefault="00341680" w:rsidP="005921EF">
      <w:pPr>
        <w:jc w:val="both"/>
        <w:rPr>
          <w:rFonts w:ascii="Cambria" w:hAnsi="Cambria"/>
          <w:noProof/>
          <w:lang w:val="sr-Latn-ME"/>
        </w:rPr>
      </w:pPr>
      <w:r w:rsidRPr="00AB15C7">
        <w:rPr>
          <w:rFonts w:ascii="Cambria" w:hAnsi="Cambria"/>
          <w:noProof/>
          <w:lang w:val="sr-Latn-ME"/>
        </w:rPr>
        <w:t>Proizvodnja najva</w:t>
      </w:r>
      <w:r w:rsidRPr="00AB15C7">
        <w:rPr>
          <w:rFonts w:ascii="Cambria" w:hAnsi="Cambria"/>
          <w:noProof/>
          <w:lang w:val="sr-Latn-RS"/>
        </w:rPr>
        <w:t xml:space="preserve">žnijih industrijskih proizvoda iz podsektora </w:t>
      </w:r>
      <w:r w:rsidRPr="00AB15C7">
        <w:rPr>
          <w:rFonts w:ascii="Cambria" w:hAnsi="Cambria"/>
          <w:noProof/>
          <w:lang w:val="sr-Latn-ME"/>
        </w:rPr>
        <w:t>hemikalija</w:t>
      </w:r>
      <w:r w:rsidRPr="00AB15C7">
        <w:rPr>
          <w:rFonts w:ascii="Cambria" w:hAnsi="Cambria"/>
          <w:bCs/>
          <w:noProof/>
        </w:rPr>
        <w:t xml:space="preserve"> i hemijskih proizvoda</w:t>
      </w:r>
      <w:r w:rsidRPr="00AB15C7">
        <w:rPr>
          <w:rFonts w:ascii="Cambria" w:hAnsi="Cambria"/>
          <w:noProof/>
          <w:lang w:val="sr-Latn-ME"/>
        </w:rPr>
        <w:t>, kao i osnovnih metala</w:t>
      </w:r>
      <w:r w:rsidR="00FE460E" w:rsidRPr="00AB15C7">
        <w:rPr>
          <w:rFonts w:ascii="Cambria" w:hAnsi="Cambria"/>
          <w:noProof/>
          <w:lang w:val="sr-Latn-ME"/>
        </w:rPr>
        <w:t xml:space="preserve"> </w:t>
      </w:r>
      <w:r w:rsidRPr="00AB15C7">
        <w:rPr>
          <w:rFonts w:ascii="Cambria" w:hAnsi="Cambria"/>
          <w:noProof/>
          <w:lang w:val="sr-Latn-ME"/>
        </w:rPr>
        <w:t>data je u tabeli 9.</w:t>
      </w:r>
      <w:r w:rsidR="00FE460E" w:rsidRPr="00AB15C7">
        <w:rPr>
          <w:rFonts w:ascii="Cambria" w:hAnsi="Cambria"/>
          <w:noProof/>
          <w:lang w:val="sr-Latn-ME"/>
        </w:rPr>
        <w:t xml:space="preserve"> </w:t>
      </w:r>
    </w:p>
    <w:p w14:paraId="000F68E1" w14:textId="77777777" w:rsidR="006F4EFD" w:rsidRPr="00AB15C7" w:rsidRDefault="006F4EFD" w:rsidP="006F4EFD">
      <w:pPr>
        <w:spacing w:after="0" w:line="240" w:lineRule="auto"/>
        <w:jc w:val="both"/>
        <w:rPr>
          <w:rFonts w:ascii="Cambria" w:hAnsi="Cambria"/>
          <w:noProof/>
          <w:lang w:val="sr-Latn-ME"/>
        </w:rPr>
      </w:pPr>
    </w:p>
    <w:p w14:paraId="6A372367" w14:textId="77777777" w:rsidR="00A40307" w:rsidRPr="00940834" w:rsidRDefault="00A40307" w:rsidP="00940834">
      <w:pPr>
        <w:spacing w:after="120"/>
        <w:jc w:val="center"/>
        <w:rPr>
          <w:rFonts w:ascii="Cambria" w:hAnsi="Cambria"/>
          <w:noProof/>
          <w:lang w:val="sr-Latn-ME"/>
        </w:rPr>
      </w:pPr>
      <w:r w:rsidRPr="00940834">
        <w:rPr>
          <w:rFonts w:ascii="Cambria" w:hAnsi="Cambria"/>
          <w:i/>
          <w:noProof/>
          <w:lang w:val="sr-Latn-ME"/>
        </w:rPr>
        <w:t>Tabela 9.</w:t>
      </w:r>
      <w:r w:rsidRPr="00940834">
        <w:rPr>
          <w:rFonts w:ascii="Cambria" w:hAnsi="Cambria"/>
          <w:noProof/>
          <w:lang w:val="sr-Latn-ME"/>
        </w:rPr>
        <w:t xml:space="preserve"> Proizvodnja </w:t>
      </w:r>
      <w:r w:rsidR="00574CE6" w:rsidRPr="00940834">
        <w:rPr>
          <w:rFonts w:ascii="Cambria" w:hAnsi="Cambria"/>
          <w:noProof/>
          <w:lang w:val="sr-Latn-ME"/>
        </w:rPr>
        <w:t xml:space="preserve">relevantnih </w:t>
      </w:r>
      <w:r w:rsidRPr="00940834">
        <w:rPr>
          <w:rFonts w:ascii="Cambria" w:hAnsi="Cambria"/>
          <w:noProof/>
          <w:lang w:val="sr-Latn-ME"/>
        </w:rPr>
        <w:t>industrijskih proizvoda po PRODCOM-u 2015-2016.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5"/>
        <w:gridCol w:w="1260"/>
        <w:gridCol w:w="990"/>
        <w:gridCol w:w="1026"/>
        <w:gridCol w:w="945"/>
        <w:gridCol w:w="1032"/>
        <w:gridCol w:w="871"/>
      </w:tblGrid>
      <w:tr w:rsidR="003F1D97" w:rsidRPr="00AB15C7" w14:paraId="368ACD12" w14:textId="77777777" w:rsidTr="00940834">
        <w:trPr>
          <w:trHeight w:val="240"/>
        </w:trPr>
        <w:tc>
          <w:tcPr>
            <w:tcW w:w="3505" w:type="dxa"/>
            <w:vMerge w:val="restart"/>
            <w:shd w:val="clear" w:color="auto" w:fill="D9D9D9"/>
          </w:tcPr>
          <w:p w14:paraId="60562050" w14:textId="77777777" w:rsidR="003F1D97" w:rsidRPr="00AB15C7" w:rsidRDefault="003F1D97" w:rsidP="005921EF">
            <w:pPr>
              <w:spacing w:after="0"/>
              <w:jc w:val="both"/>
              <w:rPr>
                <w:rFonts w:ascii="Cambria" w:hAnsi="Cambria"/>
                <w:b/>
                <w:bCs/>
                <w:noProof/>
              </w:rPr>
            </w:pPr>
            <w:r w:rsidRPr="00AB15C7">
              <w:rPr>
                <w:rFonts w:ascii="Cambria" w:hAnsi="Cambria"/>
                <w:b/>
                <w:bCs/>
                <w:noProof/>
              </w:rPr>
              <w:t>Vr</w:t>
            </w:r>
            <w:r w:rsidR="0065073A" w:rsidRPr="00AB15C7">
              <w:rPr>
                <w:rFonts w:ascii="Cambria" w:hAnsi="Cambria"/>
                <w:b/>
                <w:bCs/>
                <w:noProof/>
              </w:rPr>
              <w:t>s</w:t>
            </w:r>
            <w:r w:rsidRPr="00AB15C7">
              <w:rPr>
                <w:rFonts w:ascii="Cambria" w:hAnsi="Cambria"/>
                <w:b/>
                <w:bCs/>
                <w:noProof/>
              </w:rPr>
              <w:t>ta proizvoda</w:t>
            </w:r>
          </w:p>
        </w:tc>
        <w:tc>
          <w:tcPr>
            <w:tcW w:w="1260" w:type="dxa"/>
            <w:vMerge w:val="restart"/>
            <w:shd w:val="clear" w:color="auto" w:fill="D9D9D9"/>
          </w:tcPr>
          <w:p w14:paraId="632284D6" w14:textId="77777777" w:rsidR="003F1D97" w:rsidRPr="00AB15C7" w:rsidRDefault="003F1D97" w:rsidP="00940834">
            <w:pPr>
              <w:spacing w:after="0"/>
              <w:ind w:right="-105"/>
              <w:jc w:val="both"/>
              <w:rPr>
                <w:rFonts w:ascii="Cambria" w:hAnsi="Cambria"/>
                <w:b/>
                <w:bCs/>
                <w:noProof/>
              </w:rPr>
            </w:pPr>
            <w:r w:rsidRPr="00AB15C7">
              <w:rPr>
                <w:rFonts w:ascii="Cambria" w:hAnsi="Cambria"/>
                <w:b/>
                <w:bCs/>
                <w:noProof/>
              </w:rPr>
              <w:t>PRODCOM</w:t>
            </w:r>
          </w:p>
        </w:tc>
        <w:tc>
          <w:tcPr>
            <w:tcW w:w="990" w:type="dxa"/>
            <w:vMerge w:val="restart"/>
            <w:shd w:val="clear" w:color="auto" w:fill="D9D9D9"/>
          </w:tcPr>
          <w:p w14:paraId="3E4EF589" w14:textId="77777777" w:rsidR="003F1D97" w:rsidRPr="00AB15C7" w:rsidRDefault="003F1D97" w:rsidP="00940834">
            <w:pPr>
              <w:spacing w:after="0"/>
              <w:ind w:right="-105"/>
              <w:jc w:val="both"/>
              <w:rPr>
                <w:rFonts w:ascii="Cambria" w:hAnsi="Cambria"/>
                <w:b/>
                <w:bCs/>
                <w:noProof/>
              </w:rPr>
            </w:pPr>
            <w:r w:rsidRPr="00AB15C7">
              <w:rPr>
                <w:rFonts w:ascii="Cambria" w:hAnsi="Cambria"/>
                <w:b/>
                <w:bCs/>
                <w:noProof/>
              </w:rPr>
              <w:t>Jedinica mjere</w:t>
            </w:r>
          </w:p>
        </w:tc>
        <w:tc>
          <w:tcPr>
            <w:tcW w:w="1971" w:type="dxa"/>
            <w:gridSpan w:val="2"/>
            <w:shd w:val="clear" w:color="auto" w:fill="D9D9D9"/>
          </w:tcPr>
          <w:p w14:paraId="762E62E8" w14:textId="77777777" w:rsidR="003F1D97" w:rsidRPr="00AB15C7" w:rsidRDefault="003F1D97" w:rsidP="005921EF">
            <w:pPr>
              <w:spacing w:after="0"/>
              <w:jc w:val="center"/>
              <w:rPr>
                <w:rFonts w:ascii="Cambria" w:hAnsi="Cambria"/>
                <w:b/>
                <w:bCs/>
                <w:noProof/>
              </w:rPr>
            </w:pPr>
            <w:r w:rsidRPr="00AB15C7">
              <w:rPr>
                <w:rFonts w:ascii="Cambria" w:hAnsi="Cambria"/>
                <w:b/>
                <w:bCs/>
                <w:noProof/>
              </w:rPr>
              <w:t>2015</w:t>
            </w:r>
          </w:p>
        </w:tc>
        <w:tc>
          <w:tcPr>
            <w:tcW w:w="1903" w:type="dxa"/>
            <w:gridSpan w:val="2"/>
            <w:shd w:val="clear" w:color="auto" w:fill="D9D9D9"/>
          </w:tcPr>
          <w:p w14:paraId="6C954BD3" w14:textId="77777777" w:rsidR="003F1D97" w:rsidRPr="00AB15C7" w:rsidRDefault="003F1D97" w:rsidP="005921EF">
            <w:pPr>
              <w:spacing w:after="0"/>
              <w:jc w:val="center"/>
              <w:rPr>
                <w:rFonts w:ascii="Cambria" w:hAnsi="Cambria"/>
                <w:b/>
                <w:bCs/>
                <w:noProof/>
              </w:rPr>
            </w:pPr>
            <w:r w:rsidRPr="00AB15C7">
              <w:rPr>
                <w:rFonts w:ascii="Cambria" w:hAnsi="Cambria"/>
                <w:b/>
                <w:bCs/>
                <w:noProof/>
              </w:rPr>
              <w:t>2016</w:t>
            </w:r>
          </w:p>
        </w:tc>
      </w:tr>
      <w:tr w:rsidR="003F1D97" w:rsidRPr="00AB15C7" w14:paraId="0D1B84BD" w14:textId="77777777" w:rsidTr="00940834">
        <w:trPr>
          <w:trHeight w:val="240"/>
        </w:trPr>
        <w:tc>
          <w:tcPr>
            <w:tcW w:w="3505" w:type="dxa"/>
            <w:vMerge/>
            <w:shd w:val="clear" w:color="auto" w:fill="D9D9D9"/>
          </w:tcPr>
          <w:p w14:paraId="05EA0947" w14:textId="77777777" w:rsidR="003F1D97" w:rsidRPr="00AB15C7" w:rsidRDefault="003F1D97" w:rsidP="005921EF">
            <w:pPr>
              <w:spacing w:after="0"/>
              <w:jc w:val="both"/>
              <w:rPr>
                <w:rFonts w:ascii="Cambria" w:hAnsi="Cambria"/>
                <w:b/>
                <w:bCs/>
                <w:noProof/>
              </w:rPr>
            </w:pPr>
          </w:p>
        </w:tc>
        <w:tc>
          <w:tcPr>
            <w:tcW w:w="1260" w:type="dxa"/>
            <w:vMerge/>
            <w:shd w:val="clear" w:color="auto" w:fill="D9D9D9"/>
          </w:tcPr>
          <w:p w14:paraId="7E72A52F" w14:textId="77777777" w:rsidR="003F1D97" w:rsidRPr="00AB15C7" w:rsidRDefault="003F1D97" w:rsidP="005921EF">
            <w:pPr>
              <w:spacing w:after="0"/>
              <w:jc w:val="both"/>
              <w:rPr>
                <w:rFonts w:ascii="Cambria" w:hAnsi="Cambria"/>
                <w:b/>
                <w:bCs/>
                <w:noProof/>
              </w:rPr>
            </w:pPr>
          </w:p>
        </w:tc>
        <w:tc>
          <w:tcPr>
            <w:tcW w:w="990" w:type="dxa"/>
            <w:vMerge/>
            <w:shd w:val="clear" w:color="auto" w:fill="D9D9D9"/>
          </w:tcPr>
          <w:p w14:paraId="0F37E55A" w14:textId="77777777" w:rsidR="003F1D97" w:rsidRPr="00AB15C7" w:rsidRDefault="003F1D97" w:rsidP="005921EF">
            <w:pPr>
              <w:spacing w:after="0"/>
              <w:jc w:val="both"/>
              <w:rPr>
                <w:rFonts w:ascii="Cambria" w:hAnsi="Cambria"/>
                <w:b/>
                <w:bCs/>
                <w:noProof/>
              </w:rPr>
            </w:pPr>
          </w:p>
        </w:tc>
        <w:tc>
          <w:tcPr>
            <w:tcW w:w="1026" w:type="dxa"/>
            <w:shd w:val="clear" w:color="auto" w:fill="D9D9D9"/>
          </w:tcPr>
          <w:p w14:paraId="6E66691C" w14:textId="77777777" w:rsidR="003F1D97" w:rsidRPr="00AB15C7" w:rsidRDefault="003F1D97" w:rsidP="00940834">
            <w:pPr>
              <w:spacing w:after="0"/>
              <w:ind w:right="-75"/>
              <w:jc w:val="both"/>
              <w:rPr>
                <w:rFonts w:ascii="Cambria" w:hAnsi="Cambria"/>
                <w:b/>
                <w:bCs/>
                <w:noProof/>
              </w:rPr>
            </w:pPr>
            <w:r w:rsidRPr="00AB15C7">
              <w:rPr>
                <w:rFonts w:ascii="Cambria" w:hAnsi="Cambria"/>
                <w:b/>
                <w:bCs/>
                <w:noProof/>
              </w:rPr>
              <w:t>količina</w:t>
            </w:r>
          </w:p>
        </w:tc>
        <w:tc>
          <w:tcPr>
            <w:tcW w:w="945" w:type="dxa"/>
            <w:shd w:val="clear" w:color="auto" w:fill="D9D9D9"/>
          </w:tcPr>
          <w:p w14:paraId="69DB58F2" w14:textId="77777777" w:rsidR="003F1D97" w:rsidRPr="00AB15C7" w:rsidRDefault="003F1D97" w:rsidP="005921EF">
            <w:pPr>
              <w:spacing w:after="0"/>
              <w:jc w:val="both"/>
              <w:rPr>
                <w:rFonts w:ascii="Cambria" w:hAnsi="Cambria"/>
                <w:b/>
                <w:bCs/>
                <w:noProof/>
              </w:rPr>
            </w:pPr>
            <w:r w:rsidRPr="00AB15C7">
              <w:rPr>
                <w:rFonts w:ascii="Cambria" w:hAnsi="Cambria"/>
                <w:b/>
                <w:bCs/>
                <w:noProof/>
              </w:rPr>
              <w:t xml:space="preserve">hilj. </w:t>
            </w:r>
            <w:r w:rsidR="00940834" w:rsidRPr="00940834">
              <w:rPr>
                <w:rFonts w:ascii="Cambria" w:hAnsi="Cambria"/>
                <w:b/>
                <w:bCs/>
                <w:noProof/>
              </w:rPr>
              <w:t>€</w:t>
            </w:r>
          </w:p>
        </w:tc>
        <w:tc>
          <w:tcPr>
            <w:tcW w:w="1032" w:type="dxa"/>
            <w:shd w:val="clear" w:color="auto" w:fill="D9D9D9"/>
          </w:tcPr>
          <w:p w14:paraId="1EF02CD5" w14:textId="77777777" w:rsidR="003F1D97" w:rsidRPr="00AB15C7" w:rsidRDefault="003F1D97" w:rsidP="005921EF">
            <w:pPr>
              <w:spacing w:after="0"/>
              <w:jc w:val="both"/>
              <w:rPr>
                <w:rFonts w:ascii="Cambria" w:hAnsi="Cambria"/>
                <w:b/>
                <w:bCs/>
                <w:noProof/>
              </w:rPr>
            </w:pPr>
            <w:r w:rsidRPr="00AB15C7">
              <w:rPr>
                <w:rFonts w:ascii="Cambria" w:hAnsi="Cambria"/>
                <w:b/>
                <w:bCs/>
                <w:noProof/>
              </w:rPr>
              <w:t>količina</w:t>
            </w:r>
          </w:p>
        </w:tc>
        <w:tc>
          <w:tcPr>
            <w:tcW w:w="871" w:type="dxa"/>
            <w:shd w:val="clear" w:color="auto" w:fill="D9D9D9"/>
          </w:tcPr>
          <w:p w14:paraId="7EF4B6F3" w14:textId="77777777" w:rsidR="003F1D97" w:rsidRPr="00AB15C7" w:rsidRDefault="003F1D97" w:rsidP="005921EF">
            <w:pPr>
              <w:spacing w:after="0"/>
              <w:jc w:val="both"/>
              <w:rPr>
                <w:rFonts w:ascii="Cambria" w:hAnsi="Cambria"/>
                <w:b/>
                <w:bCs/>
                <w:noProof/>
              </w:rPr>
            </w:pPr>
            <w:r w:rsidRPr="00AB15C7">
              <w:rPr>
                <w:rFonts w:ascii="Cambria" w:hAnsi="Cambria"/>
                <w:b/>
                <w:bCs/>
                <w:noProof/>
              </w:rPr>
              <w:t xml:space="preserve">hilj. </w:t>
            </w:r>
            <w:r w:rsidR="00940834" w:rsidRPr="00940834">
              <w:rPr>
                <w:rFonts w:ascii="Cambria" w:hAnsi="Cambria"/>
                <w:b/>
                <w:bCs/>
                <w:noProof/>
              </w:rPr>
              <w:t>€</w:t>
            </w:r>
          </w:p>
        </w:tc>
      </w:tr>
      <w:tr w:rsidR="003F1D97" w:rsidRPr="00AB15C7" w14:paraId="367796B4" w14:textId="77777777" w:rsidTr="00940834">
        <w:tc>
          <w:tcPr>
            <w:tcW w:w="3505" w:type="dxa"/>
            <w:shd w:val="clear" w:color="auto" w:fill="D9D9D9"/>
          </w:tcPr>
          <w:p w14:paraId="73BFEEE5" w14:textId="77777777" w:rsidR="003F1D97" w:rsidRPr="00AB15C7" w:rsidRDefault="003F1D97" w:rsidP="005921EF">
            <w:pPr>
              <w:spacing w:after="0"/>
              <w:rPr>
                <w:rFonts w:ascii="Cambria" w:hAnsi="Cambria"/>
                <w:b/>
                <w:bCs/>
                <w:noProof/>
              </w:rPr>
            </w:pPr>
            <w:r w:rsidRPr="00AB15C7">
              <w:rPr>
                <w:rFonts w:ascii="Cambria" w:hAnsi="Cambria"/>
                <w:b/>
                <w:bCs/>
                <w:noProof/>
              </w:rPr>
              <w:t xml:space="preserve">Koncentrati olova, cinka i kalaja </w:t>
            </w:r>
          </w:p>
        </w:tc>
        <w:tc>
          <w:tcPr>
            <w:tcW w:w="1260" w:type="dxa"/>
            <w:shd w:val="clear" w:color="auto" w:fill="auto"/>
          </w:tcPr>
          <w:p w14:paraId="253CB5CA" w14:textId="77777777" w:rsidR="003F1D97" w:rsidRPr="00AB15C7" w:rsidRDefault="003F1D97" w:rsidP="005921EF">
            <w:pPr>
              <w:spacing w:after="0"/>
              <w:jc w:val="both"/>
              <w:rPr>
                <w:rFonts w:ascii="Cambria" w:hAnsi="Cambria"/>
                <w:bCs/>
                <w:noProof/>
              </w:rPr>
            </w:pPr>
            <w:r w:rsidRPr="00AB15C7">
              <w:rPr>
                <w:rFonts w:ascii="Cambria" w:hAnsi="Cambria"/>
                <w:bCs/>
                <w:noProof/>
              </w:rPr>
              <w:t>07291502</w:t>
            </w:r>
          </w:p>
        </w:tc>
        <w:tc>
          <w:tcPr>
            <w:tcW w:w="990" w:type="dxa"/>
          </w:tcPr>
          <w:p w14:paraId="2516BDC2" w14:textId="77777777" w:rsidR="003F1D97" w:rsidRPr="00AB15C7" w:rsidRDefault="003F1D97" w:rsidP="005921EF">
            <w:pPr>
              <w:spacing w:after="0"/>
              <w:jc w:val="center"/>
              <w:rPr>
                <w:rFonts w:ascii="Cambria" w:hAnsi="Cambria"/>
                <w:bCs/>
                <w:noProof/>
              </w:rPr>
            </w:pPr>
            <w:r w:rsidRPr="00AB15C7">
              <w:rPr>
                <w:rFonts w:ascii="Cambria" w:hAnsi="Cambria"/>
                <w:bCs/>
                <w:noProof/>
              </w:rPr>
              <w:t>t</w:t>
            </w:r>
          </w:p>
        </w:tc>
        <w:tc>
          <w:tcPr>
            <w:tcW w:w="1026" w:type="dxa"/>
            <w:shd w:val="clear" w:color="auto" w:fill="auto"/>
          </w:tcPr>
          <w:p w14:paraId="747A77DE" w14:textId="77777777" w:rsidR="003F1D97" w:rsidRPr="00AB15C7" w:rsidRDefault="003F1D97" w:rsidP="00940834">
            <w:pPr>
              <w:spacing w:after="0"/>
              <w:jc w:val="right"/>
              <w:rPr>
                <w:rFonts w:ascii="Cambria" w:hAnsi="Cambria"/>
                <w:bCs/>
                <w:noProof/>
              </w:rPr>
            </w:pPr>
            <w:r w:rsidRPr="00AB15C7">
              <w:rPr>
                <w:rFonts w:ascii="Cambria" w:hAnsi="Cambria"/>
                <w:bCs/>
                <w:noProof/>
              </w:rPr>
              <w:t>-</w:t>
            </w:r>
          </w:p>
        </w:tc>
        <w:tc>
          <w:tcPr>
            <w:tcW w:w="945" w:type="dxa"/>
            <w:shd w:val="clear" w:color="auto" w:fill="auto"/>
          </w:tcPr>
          <w:p w14:paraId="195568ED" w14:textId="77777777" w:rsidR="003F1D97" w:rsidRPr="00AB15C7" w:rsidRDefault="003F1D97" w:rsidP="00940834">
            <w:pPr>
              <w:spacing w:after="0"/>
              <w:jc w:val="right"/>
              <w:rPr>
                <w:rFonts w:ascii="Cambria" w:hAnsi="Cambria"/>
                <w:bCs/>
                <w:noProof/>
              </w:rPr>
            </w:pPr>
            <w:r w:rsidRPr="00AB15C7">
              <w:rPr>
                <w:rFonts w:ascii="Cambria" w:hAnsi="Cambria"/>
                <w:bCs/>
                <w:noProof/>
              </w:rPr>
              <w:t>-</w:t>
            </w:r>
          </w:p>
        </w:tc>
        <w:tc>
          <w:tcPr>
            <w:tcW w:w="1032" w:type="dxa"/>
            <w:shd w:val="clear" w:color="auto" w:fill="auto"/>
          </w:tcPr>
          <w:p w14:paraId="7CA70783" w14:textId="77777777" w:rsidR="003F1D97" w:rsidRPr="00AB15C7" w:rsidRDefault="003F1D97" w:rsidP="00940834">
            <w:pPr>
              <w:spacing w:after="0"/>
              <w:jc w:val="right"/>
              <w:rPr>
                <w:rFonts w:ascii="Cambria" w:hAnsi="Cambria"/>
                <w:bCs/>
                <w:noProof/>
              </w:rPr>
            </w:pPr>
            <w:r w:rsidRPr="00AB15C7">
              <w:rPr>
                <w:rFonts w:ascii="Cambria" w:hAnsi="Cambria"/>
                <w:bCs/>
                <w:noProof/>
              </w:rPr>
              <w:t>21 414</w:t>
            </w:r>
          </w:p>
        </w:tc>
        <w:tc>
          <w:tcPr>
            <w:tcW w:w="871" w:type="dxa"/>
            <w:shd w:val="clear" w:color="auto" w:fill="auto"/>
          </w:tcPr>
          <w:p w14:paraId="2ED82E5E" w14:textId="77777777" w:rsidR="003F1D97" w:rsidRPr="00AB15C7" w:rsidRDefault="003F1D97" w:rsidP="00940834">
            <w:pPr>
              <w:spacing w:after="0"/>
              <w:jc w:val="right"/>
              <w:rPr>
                <w:rFonts w:ascii="Cambria" w:hAnsi="Cambria"/>
                <w:bCs/>
                <w:noProof/>
              </w:rPr>
            </w:pPr>
            <w:r w:rsidRPr="00AB15C7">
              <w:rPr>
                <w:rFonts w:ascii="Cambria" w:hAnsi="Cambria"/>
                <w:bCs/>
                <w:noProof/>
              </w:rPr>
              <w:t>9 838</w:t>
            </w:r>
          </w:p>
        </w:tc>
      </w:tr>
      <w:tr w:rsidR="003F1D97" w:rsidRPr="00AB15C7" w14:paraId="1491D210" w14:textId="77777777" w:rsidTr="00940834">
        <w:tc>
          <w:tcPr>
            <w:tcW w:w="3505" w:type="dxa"/>
            <w:shd w:val="clear" w:color="auto" w:fill="D9D9D9"/>
          </w:tcPr>
          <w:p w14:paraId="24DD46F7" w14:textId="77777777" w:rsidR="003F1D97" w:rsidRPr="00AB15C7" w:rsidRDefault="003F1D97" w:rsidP="005921EF">
            <w:pPr>
              <w:spacing w:after="0"/>
              <w:rPr>
                <w:rFonts w:ascii="Cambria" w:hAnsi="Cambria"/>
                <w:b/>
                <w:bCs/>
                <w:noProof/>
              </w:rPr>
            </w:pPr>
            <w:r w:rsidRPr="00AB15C7">
              <w:rPr>
                <w:rFonts w:ascii="Cambria" w:hAnsi="Cambria"/>
                <w:b/>
                <w:bCs/>
                <w:noProof/>
              </w:rPr>
              <w:t>Kiseonik</w:t>
            </w:r>
          </w:p>
        </w:tc>
        <w:tc>
          <w:tcPr>
            <w:tcW w:w="1260" w:type="dxa"/>
            <w:shd w:val="clear" w:color="auto" w:fill="auto"/>
          </w:tcPr>
          <w:p w14:paraId="57F847D2" w14:textId="77777777" w:rsidR="003F1D97" w:rsidRPr="00AB15C7" w:rsidRDefault="003F1D97" w:rsidP="005921EF">
            <w:pPr>
              <w:spacing w:after="0"/>
              <w:jc w:val="both"/>
              <w:rPr>
                <w:rFonts w:ascii="Cambria" w:hAnsi="Cambria"/>
                <w:bCs/>
                <w:noProof/>
              </w:rPr>
            </w:pPr>
            <w:r w:rsidRPr="00AB15C7">
              <w:rPr>
                <w:rFonts w:ascii="Cambria" w:hAnsi="Cambria"/>
                <w:bCs/>
                <w:noProof/>
              </w:rPr>
              <w:t>20111170</w:t>
            </w:r>
          </w:p>
        </w:tc>
        <w:tc>
          <w:tcPr>
            <w:tcW w:w="990" w:type="dxa"/>
          </w:tcPr>
          <w:p w14:paraId="6AE8382D" w14:textId="77777777" w:rsidR="003F1D97" w:rsidRPr="00AB15C7" w:rsidRDefault="003F1D97" w:rsidP="005921EF">
            <w:pPr>
              <w:spacing w:after="0"/>
              <w:jc w:val="center"/>
              <w:rPr>
                <w:rFonts w:ascii="Cambria" w:hAnsi="Cambria"/>
                <w:bCs/>
                <w:noProof/>
              </w:rPr>
            </w:pPr>
            <w:r w:rsidRPr="00AB15C7">
              <w:rPr>
                <w:rFonts w:ascii="Cambria" w:hAnsi="Cambria"/>
                <w:bCs/>
                <w:noProof/>
              </w:rPr>
              <w:t>m</w:t>
            </w:r>
            <w:r w:rsidRPr="00AB15C7">
              <w:rPr>
                <w:rFonts w:ascii="Cambria" w:hAnsi="Cambria"/>
                <w:bCs/>
                <w:noProof/>
                <w:vertAlign w:val="superscript"/>
              </w:rPr>
              <w:t>3</w:t>
            </w:r>
          </w:p>
        </w:tc>
        <w:tc>
          <w:tcPr>
            <w:tcW w:w="1026" w:type="dxa"/>
            <w:shd w:val="clear" w:color="auto" w:fill="auto"/>
          </w:tcPr>
          <w:p w14:paraId="69BFFDF9" w14:textId="77777777" w:rsidR="003F1D97" w:rsidRPr="00AB15C7" w:rsidRDefault="003F1D97" w:rsidP="00940834">
            <w:pPr>
              <w:spacing w:after="0"/>
              <w:jc w:val="right"/>
              <w:rPr>
                <w:rFonts w:ascii="Cambria" w:hAnsi="Cambria"/>
                <w:bCs/>
                <w:noProof/>
              </w:rPr>
            </w:pPr>
            <w:r w:rsidRPr="00AB15C7">
              <w:rPr>
                <w:rFonts w:ascii="Cambria" w:hAnsi="Cambria"/>
                <w:bCs/>
                <w:noProof/>
              </w:rPr>
              <w:t>617</w:t>
            </w:r>
          </w:p>
        </w:tc>
        <w:tc>
          <w:tcPr>
            <w:tcW w:w="945" w:type="dxa"/>
            <w:shd w:val="clear" w:color="auto" w:fill="auto"/>
          </w:tcPr>
          <w:p w14:paraId="057F1B64" w14:textId="77777777" w:rsidR="003F1D97" w:rsidRPr="00AB15C7" w:rsidRDefault="003F1D97" w:rsidP="00940834">
            <w:pPr>
              <w:spacing w:after="0"/>
              <w:jc w:val="right"/>
              <w:rPr>
                <w:rFonts w:ascii="Cambria" w:hAnsi="Cambria"/>
                <w:bCs/>
                <w:noProof/>
              </w:rPr>
            </w:pPr>
            <w:r w:rsidRPr="00AB15C7">
              <w:rPr>
                <w:rFonts w:ascii="Cambria" w:hAnsi="Cambria"/>
                <w:bCs/>
                <w:noProof/>
              </w:rPr>
              <w:t>689</w:t>
            </w:r>
          </w:p>
        </w:tc>
        <w:tc>
          <w:tcPr>
            <w:tcW w:w="1032" w:type="dxa"/>
            <w:shd w:val="clear" w:color="auto" w:fill="auto"/>
          </w:tcPr>
          <w:p w14:paraId="784A8E50" w14:textId="77777777" w:rsidR="003F1D97" w:rsidRPr="00AB15C7" w:rsidRDefault="003F1D97" w:rsidP="00940834">
            <w:pPr>
              <w:spacing w:after="0"/>
              <w:jc w:val="right"/>
              <w:rPr>
                <w:rFonts w:ascii="Cambria" w:hAnsi="Cambria"/>
                <w:bCs/>
                <w:noProof/>
              </w:rPr>
            </w:pPr>
            <w:r w:rsidRPr="00AB15C7">
              <w:rPr>
                <w:rFonts w:ascii="Cambria" w:hAnsi="Cambria"/>
                <w:bCs/>
                <w:noProof/>
              </w:rPr>
              <w:t>975</w:t>
            </w:r>
          </w:p>
        </w:tc>
        <w:tc>
          <w:tcPr>
            <w:tcW w:w="871" w:type="dxa"/>
            <w:shd w:val="clear" w:color="auto" w:fill="auto"/>
          </w:tcPr>
          <w:p w14:paraId="5F427BBC" w14:textId="77777777" w:rsidR="003F1D97" w:rsidRPr="00AB15C7" w:rsidRDefault="003F1D97" w:rsidP="00940834">
            <w:pPr>
              <w:spacing w:after="0"/>
              <w:jc w:val="right"/>
              <w:rPr>
                <w:rFonts w:ascii="Cambria" w:hAnsi="Cambria"/>
                <w:bCs/>
                <w:noProof/>
              </w:rPr>
            </w:pPr>
            <w:r w:rsidRPr="00AB15C7">
              <w:rPr>
                <w:rFonts w:ascii="Cambria" w:hAnsi="Cambria"/>
                <w:bCs/>
                <w:noProof/>
              </w:rPr>
              <w:t>1</w:t>
            </w:r>
            <w:r w:rsidR="0005493B">
              <w:rPr>
                <w:rFonts w:ascii="Cambria" w:hAnsi="Cambria"/>
                <w:bCs/>
                <w:noProof/>
              </w:rPr>
              <w:t xml:space="preserve"> </w:t>
            </w:r>
            <w:r w:rsidRPr="00AB15C7">
              <w:rPr>
                <w:rFonts w:ascii="Cambria" w:hAnsi="Cambria"/>
                <w:bCs/>
                <w:noProof/>
              </w:rPr>
              <w:t>193</w:t>
            </w:r>
          </w:p>
        </w:tc>
      </w:tr>
      <w:tr w:rsidR="003F1D97" w:rsidRPr="00AB15C7" w14:paraId="440D059A" w14:textId="77777777" w:rsidTr="00940834">
        <w:tc>
          <w:tcPr>
            <w:tcW w:w="3505" w:type="dxa"/>
            <w:shd w:val="clear" w:color="auto" w:fill="D9D9D9"/>
          </w:tcPr>
          <w:p w14:paraId="39345F78" w14:textId="77777777" w:rsidR="003F1D97" w:rsidRPr="00AB15C7" w:rsidRDefault="003F1D97" w:rsidP="005921EF">
            <w:pPr>
              <w:spacing w:after="0"/>
              <w:rPr>
                <w:rFonts w:ascii="Cambria" w:hAnsi="Cambria"/>
                <w:b/>
                <w:bCs/>
                <w:noProof/>
              </w:rPr>
            </w:pPr>
            <w:r w:rsidRPr="00AB15C7">
              <w:rPr>
                <w:rFonts w:ascii="Cambria" w:hAnsi="Cambria"/>
                <w:b/>
                <w:bCs/>
                <w:noProof/>
              </w:rPr>
              <w:t>Šamponi</w:t>
            </w:r>
          </w:p>
        </w:tc>
        <w:tc>
          <w:tcPr>
            <w:tcW w:w="1260" w:type="dxa"/>
            <w:shd w:val="clear" w:color="auto" w:fill="auto"/>
          </w:tcPr>
          <w:p w14:paraId="293F4627" w14:textId="77777777" w:rsidR="003F1D97" w:rsidRPr="00AB15C7" w:rsidRDefault="003F1D97" w:rsidP="005921EF">
            <w:pPr>
              <w:spacing w:after="0"/>
              <w:jc w:val="both"/>
              <w:rPr>
                <w:rFonts w:ascii="Cambria" w:hAnsi="Cambria"/>
                <w:bCs/>
                <w:noProof/>
              </w:rPr>
            </w:pPr>
            <w:r w:rsidRPr="00AB15C7">
              <w:rPr>
                <w:rFonts w:ascii="Cambria" w:hAnsi="Cambria"/>
                <w:bCs/>
                <w:noProof/>
              </w:rPr>
              <w:t>20421630</w:t>
            </w:r>
          </w:p>
        </w:tc>
        <w:tc>
          <w:tcPr>
            <w:tcW w:w="990" w:type="dxa"/>
          </w:tcPr>
          <w:p w14:paraId="7B730B8C" w14:textId="77777777" w:rsidR="003F1D97" w:rsidRPr="00AB15C7" w:rsidRDefault="003F1D97" w:rsidP="005921EF">
            <w:pPr>
              <w:spacing w:after="0"/>
              <w:jc w:val="center"/>
              <w:rPr>
                <w:rFonts w:ascii="Cambria" w:hAnsi="Cambria"/>
                <w:bCs/>
                <w:noProof/>
              </w:rPr>
            </w:pPr>
            <w:r w:rsidRPr="00AB15C7">
              <w:rPr>
                <w:rFonts w:ascii="Cambria" w:hAnsi="Cambria"/>
                <w:bCs/>
                <w:noProof/>
              </w:rPr>
              <w:t>kg</w:t>
            </w:r>
          </w:p>
        </w:tc>
        <w:tc>
          <w:tcPr>
            <w:tcW w:w="1026" w:type="dxa"/>
            <w:shd w:val="clear" w:color="auto" w:fill="auto"/>
          </w:tcPr>
          <w:p w14:paraId="078F01B5" w14:textId="77777777" w:rsidR="003F1D97" w:rsidRPr="00AB15C7" w:rsidRDefault="003F1D97" w:rsidP="00940834">
            <w:pPr>
              <w:spacing w:after="0"/>
              <w:jc w:val="right"/>
              <w:rPr>
                <w:rFonts w:ascii="Cambria" w:hAnsi="Cambria"/>
                <w:bCs/>
                <w:noProof/>
              </w:rPr>
            </w:pPr>
            <w:r w:rsidRPr="00AB15C7">
              <w:rPr>
                <w:rFonts w:ascii="Cambria" w:hAnsi="Cambria"/>
                <w:bCs/>
                <w:noProof/>
              </w:rPr>
              <w:t>73 652</w:t>
            </w:r>
          </w:p>
        </w:tc>
        <w:tc>
          <w:tcPr>
            <w:tcW w:w="945" w:type="dxa"/>
            <w:shd w:val="clear" w:color="auto" w:fill="auto"/>
          </w:tcPr>
          <w:p w14:paraId="14413C5F" w14:textId="77777777" w:rsidR="003F1D97" w:rsidRPr="00AB15C7" w:rsidRDefault="003F1D97" w:rsidP="00940834">
            <w:pPr>
              <w:spacing w:after="0"/>
              <w:jc w:val="right"/>
              <w:rPr>
                <w:rFonts w:ascii="Cambria" w:hAnsi="Cambria"/>
                <w:bCs/>
                <w:noProof/>
              </w:rPr>
            </w:pPr>
            <w:r w:rsidRPr="00AB15C7">
              <w:rPr>
                <w:rFonts w:ascii="Cambria" w:hAnsi="Cambria"/>
                <w:bCs/>
                <w:noProof/>
              </w:rPr>
              <w:t>73</w:t>
            </w:r>
          </w:p>
        </w:tc>
        <w:tc>
          <w:tcPr>
            <w:tcW w:w="1032" w:type="dxa"/>
            <w:shd w:val="clear" w:color="auto" w:fill="auto"/>
          </w:tcPr>
          <w:p w14:paraId="25B5C428" w14:textId="77777777" w:rsidR="003F1D97" w:rsidRPr="00AB15C7" w:rsidRDefault="003F1D97" w:rsidP="00940834">
            <w:pPr>
              <w:spacing w:after="0"/>
              <w:jc w:val="right"/>
              <w:rPr>
                <w:rFonts w:ascii="Cambria" w:hAnsi="Cambria"/>
                <w:bCs/>
                <w:noProof/>
              </w:rPr>
            </w:pPr>
            <w:r w:rsidRPr="00AB15C7">
              <w:rPr>
                <w:rFonts w:ascii="Cambria" w:hAnsi="Cambria"/>
                <w:bCs/>
                <w:noProof/>
              </w:rPr>
              <w:t>68 400</w:t>
            </w:r>
          </w:p>
        </w:tc>
        <w:tc>
          <w:tcPr>
            <w:tcW w:w="871" w:type="dxa"/>
            <w:shd w:val="clear" w:color="auto" w:fill="auto"/>
          </w:tcPr>
          <w:p w14:paraId="4932FC7C" w14:textId="77777777" w:rsidR="003F1D97" w:rsidRPr="00AB15C7" w:rsidRDefault="003F1D97" w:rsidP="00940834">
            <w:pPr>
              <w:spacing w:after="0"/>
              <w:jc w:val="right"/>
              <w:rPr>
                <w:rFonts w:ascii="Cambria" w:hAnsi="Cambria"/>
                <w:bCs/>
                <w:noProof/>
              </w:rPr>
            </w:pPr>
            <w:r w:rsidRPr="00AB15C7">
              <w:rPr>
                <w:rFonts w:ascii="Cambria" w:hAnsi="Cambria"/>
                <w:bCs/>
                <w:noProof/>
              </w:rPr>
              <w:t>69</w:t>
            </w:r>
          </w:p>
        </w:tc>
      </w:tr>
      <w:tr w:rsidR="003F1D97" w:rsidRPr="00AB15C7" w14:paraId="7FB37FE9" w14:textId="77777777" w:rsidTr="00940834">
        <w:tc>
          <w:tcPr>
            <w:tcW w:w="3505" w:type="dxa"/>
            <w:shd w:val="clear" w:color="auto" w:fill="D9D9D9"/>
          </w:tcPr>
          <w:p w14:paraId="429CB5A5" w14:textId="77777777" w:rsidR="003F1D97" w:rsidRPr="00AB15C7" w:rsidRDefault="003F1D97" w:rsidP="005921EF">
            <w:pPr>
              <w:spacing w:after="0"/>
              <w:rPr>
                <w:rFonts w:ascii="Cambria" w:hAnsi="Cambria"/>
                <w:b/>
                <w:bCs/>
                <w:noProof/>
              </w:rPr>
            </w:pPr>
            <w:r w:rsidRPr="00AB15C7">
              <w:rPr>
                <w:rFonts w:ascii="Cambria" w:hAnsi="Cambria"/>
                <w:b/>
                <w:bCs/>
                <w:noProof/>
              </w:rPr>
              <w:t>Pripremljeni eksplozivi (osim baruta)</w:t>
            </w:r>
          </w:p>
        </w:tc>
        <w:tc>
          <w:tcPr>
            <w:tcW w:w="1260" w:type="dxa"/>
            <w:shd w:val="clear" w:color="auto" w:fill="auto"/>
          </w:tcPr>
          <w:p w14:paraId="10F14679" w14:textId="77777777" w:rsidR="003F1D97" w:rsidRPr="00AB15C7" w:rsidRDefault="003F1D97" w:rsidP="005921EF">
            <w:pPr>
              <w:spacing w:after="0"/>
              <w:jc w:val="both"/>
              <w:rPr>
                <w:rFonts w:ascii="Cambria" w:hAnsi="Cambria"/>
                <w:bCs/>
                <w:noProof/>
              </w:rPr>
            </w:pPr>
            <w:r w:rsidRPr="00AB15C7">
              <w:rPr>
                <w:rFonts w:ascii="Cambria" w:hAnsi="Cambria"/>
                <w:bCs/>
                <w:noProof/>
              </w:rPr>
              <w:t>20511150</w:t>
            </w:r>
          </w:p>
        </w:tc>
        <w:tc>
          <w:tcPr>
            <w:tcW w:w="990" w:type="dxa"/>
          </w:tcPr>
          <w:p w14:paraId="13294708" w14:textId="77777777" w:rsidR="003F1D97" w:rsidRPr="00AB15C7" w:rsidRDefault="003F1D97" w:rsidP="005921EF">
            <w:pPr>
              <w:spacing w:after="0"/>
              <w:jc w:val="center"/>
              <w:rPr>
                <w:rFonts w:ascii="Cambria" w:hAnsi="Cambria"/>
                <w:bCs/>
                <w:noProof/>
              </w:rPr>
            </w:pPr>
            <w:r w:rsidRPr="00AB15C7">
              <w:rPr>
                <w:rFonts w:ascii="Cambria" w:hAnsi="Cambria"/>
                <w:bCs/>
                <w:noProof/>
              </w:rPr>
              <w:t>t</w:t>
            </w:r>
          </w:p>
        </w:tc>
        <w:tc>
          <w:tcPr>
            <w:tcW w:w="1026" w:type="dxa"/>
            <w:shd w:val="clear" w:color="auto" w:fill="auto"/>
          </w:tcPr>
          <w:p w14:paraId="3196C4CA" w14:textId="77777777" w:rsidR="003F1D97" w:rsidRPr="00AB15C7" w:rsidRDefault="003F1D97" w:rsidP="00940834">
            <w:pPr>
              <w:spacing w:after="0"/>
              <w:jc w:val="right"/>
              <w:rPr>
                <w:rFonts w:ascii="Cambria" w:hAnsi="Cambria"/>
                <w:bCs/>
                <w:noProof/>
              </w:rPr>
            </w:pPr>
            <w:r w:rsidRPr="00AB15C7">
              <w:rPr>
                <w:rFonts w:ascii="Cambria" w:hAnsi="Cambria"/>
                <w:bCs/>
                <w:noProof/>
              </w:rPr>
              <w:t>781</w:t>
            </w:r>
          </w:p>
        </w:tc>
        <w:tc>
          <w:tcPr>
            <w:tcW w:w="945" w:type="dxa"/>
            <w:shd w:val="clear" w:color="auto" w:fill="auto"/>
          </w:tcPr>
          <w:p w14:paraId="00084CC8" w14:textId="77777777" w:rsidR="003F1D97" w:rsidRPr="00AB15C7" w:rsidRDefault="003F1D97" w:rsidP="00940834">
            <w:pPr>
              <w:spacing w:after="0"/>
              <w:jc w:val="right"/>
              <w:rPr>
                <w:rFonts w:ascii="Cambria" w:hAnsi="Cambria"/>
                <w:bCs/>
                <w:noProof/>
              </w:rPr>
            </w:pPr>
            <w:r w:rsidRPr="00AB15C7">
              <w:rPr>
                <w:rFonts w:ascii="Cambria" w:hAnsi="Cambria"/>
                <w:bCs/>
                <w:noProof/>
              </w:rPr>
              <w:t>962</w:t>
            </w:r>
          </w:p>
        </w:tc>
        <w:tc>
          <w:tcPr>
            <w:tcW w:w="1032" w:type="dxa"/>
            <w:shd w:val="clear" w:color="auto" w:fill="auto"/>
          </w:tcPr>
          <w:p w14:paraId="59764E80" w14:textId="77777777" w:rsidR="003F1D97" w:rsidRPr="00AB15C7" w:rsidRDefault="003F1D97" w:rsidP="00940834">
            <w:pPr>
              <w:spacing w:after="0"/>
              <w:jc w:val="right"/>
              <w:rPr>
                <w:rFonts w:ascii="Cambria" w:hAnsi="Cambria"/>
                <w:bCs/>
                <w:noProof/>
              </w:rPr>
            </w:pPr>
            <w:r w:rsidRPr="00AB15C7">
              <w:rPr>
                <w:rFonts w:ascii="Cambria" w:hAnsi="Cambria"/>
                <w:bCs/>
                <w:noProof/>
              </w:rPr>
              <w:t>373</w:t>
            </w:r>
          </w:p>
        </w:tc>
        <w:tc>
          <w:tcPr>
            <w:tcW w:w="871" w:type="dxa"/>
            <w:shd w:val="clear" w:color="auto" w:fill="auto"/>
          </w:tcPr>
          <w:p w14:paraId="2AAE6709" w14:textId="77777777" w:rsidR="003F1D97" w:rsidRPr="00AB15C7" w:rsidRDefault="003F1D97" w:rsidP="00940834">
            <w:pPr>
              <w:spacing w:after="0"/>
              <w:jc w:val="right"/>
              <w:rPr>
                <w:rFonts w:ascii="Cambria" w:hAnsi="Cambria"/>
                <w:bCs/>
                <w:noProof/>
              </w:rPr>
            </w:pPr>
            <w:r w:rsidRPr="00AB15C7">
              <w:rPr>
                <w:rFonts w:ascii="Cambria" w:hAnsi="Cambria"/>
                <w:bCs/>
                <w:noProof/>
              </w:rPr>
              <w:t>294</w:t>
            </w:r>
          </w:p>
        </w:tc>
      </w:tr>
      <w:tr w:rsidR="003F1D97" w:rsidRPr="00AB15C7" w14:paraId="19D30B04" w14:textId="77777777" w:rsidTr="00940834">
        <w:tc>
          <w:tcPr>
            <w:tcW w:w="3505" w:type="dxa"/>
            <w:shd w:val="clear" w:color="auto" w:fill="D9D9D9"/>
          </w:tcPr>
          <w:p w14:paraId="243EFDF7" w14:textId="77777777" w:rsidR="003F1D97" w:rsidRPr="00AB15C7" w:rsidRDefault="003F1D97" w:rsidP="005921EF">
            <w:pPr>
              <w:spacing w:after="0"/>
              <w:rPr>
                <w:rFonts w:ascii="Cambria" w:hAnsi="Cambria"/>
                <w:b/>
                <w:bCs/>
                <w:noProof/>
              </w:rPr>
            </w:pPr>
            <w:r w:rsidRPr="00AB15C7">
              <w:rPr>
                <w:rFonts w:ascii="Cambria" w:hAnsi="Cambria"/>
                <w:b/>
                <w:bCs/>
                <w:noProof/>
              </w:rPr>
              <w:t>Ingoti, ostali primarni oblici, kao i dugački poluproizvodi za proizvodnju bešavnih cijevi (od nelegiranog čelika)</w:t>
            </w:r>
          </w:p>
        </w:tc>
        <w:tc>
          <w:tcPr>
            <w:tcW w:w="1260" w:type="dxa"/>
            <w:shd w:val="clear" w:color="auto" w:fill="auto"/>
          </w:tcPr>
          <w:p w14:paraId="1FA1AB00" w14:textId="77777777" w:rsidR="003F1D97" w:rsidRPr="00AB15C7" w:rsidRDefault="003F1D97" w:rsidP="005921EF">
            <w:pPr>
              <w:spacing w:after="0"/>
              <w:jc w:val="both"/>
              <w:rPr>
                <w:rFonts w:ascii="Cambria" w:hAnsi="Cambria"/>
                <w:bCs/>
                <w:noProof/>
              </w:rPr>
            </w:pPr>
            <w:r w:rsidRPr="00AB15C7">
              <w:rPr>
                <w:rFonts w:ascii="Cambria" w:hAnsi="Cambria"/>
                <w:bCs/>
                <w:noProof/>
              </w:rPr>
              <w:t>24102121</w:t>
            </w:r>
          </w:p>
        </w:tc>
        <w:tc>
          <w:tcPr>
            <w:tcW w:w="990" w:type="dxa"/>
          </w:tcPr>
          <w:p w14:paraId="1829D04E" w14:textId="77777777" w:rsidR="003F1D97" w:rsidRPr="00AB15C7" w:rsidRDefault="003F1D97" w:rsidP="005921EF">
            <w:pPr>
              <w:spacing w:after="0"/>
              <w:jc w:val="center"/>
              <w:rPr>
                <w:rFonts w:ascii="Cambria" w:hAnsi="Cambria"/>
                <w:bCs/>
                <w:noProof/>
              </w:rPr>
            </w:pPr>
            <w:r w:rsidRPr="00AB15C7">
              <w:rPr>
                <w:rFonts w:ascii="Cambria" w:hAnsi="Cambria"/>
                <w:bCs/>
                <w:noProof/>
              </w:rPr>
              <w:t>t</w:t>
            </w:r>
          </w:p>
        </w:tc>
        <w:tc>
          <w:tcPr>
            <w:tcW w:w="1026" w:type="dxa"/>
            <w:shd w:val="clear" w:color="auto" w:fill="auto"/>
          </w:tcPr>
          <w:p w14:paraId="172907BF" w14:textId="77777777" w:rsidR="003F1D97" w:rsidRPr="00AB15C7" w:rsidRDefault="003F1D97" w:rsidP="00940834">
            <w:pPr>
              <w:spacing w:after="0"/>
              <w:jc w:val="right"/>
              <w:rPr>
                <w:rFonts w:ascii="Cambria" w:hAnsi="Cambria"/>
                <w:bCs/>
                <w:noProof/>
              </w:rPr>
            </w:pPr>
            <w:r w:rsidRPr="00AB15C7">
              <w:rPr>
                <w:rFonts w:ascii="Cambria" w:hAnsi="Cambria"/>
                <w:bCs/>
                <w:noProof/>
              </w:rPr>
              <w:t>36 602</w:t>
            </w:r>
          </w:p>
          <w:p w14:paraId="1C1AE1D6" w14:textId="77777777" w:rsidR="003F1D97" w:rsidRPr="00AB15C7" w:rsidRDefault="003F1D97" w:rsidP="00940834">
            <w:pPr>
              <w:spacing w:after="0"/>
              <w:jc w:val="right"/>
              <w:rPr>
                <w:rFonts w:ascii="Cambria" w:hAnsi="Cambria"/>
                <w:bCs/>
                <w:noProof/>
              </w:rPr>
            </w:pPr>
          </w:p>
        </w:tc>
        <w:tc>
          <w:tcPr>
            <w:tcW w:w="945" w:type="dxa"/>
            <w:shd w:val="clear" w:color="auto" w:fill="auto"/>
          </w:tcPr>
          <w:p w14:paraId="4E56921A" w14:textId="77777777" w:rsidR="003F1D97" w:rsidRPr="00AB15C7" w:rsidRDefault="003F1D97" w:rsidP="00940834">
            <w:pPr>
              <w:spacing w:after="0"/>
              <w:jc w:val="right"/>
              <w:rPr>
                <w:rFonts w:ascii="Cambria" w:hAnsi="Cambria"/>
                <w:bCs/>
                <w:noProof/>
              </w:rPr>
            </w:pPr>
            <w:r w:rsidRPr="00AB15C7">
              <w:rPr>
                <w:rFonts w:ascii="Cambria" w:hAnsi="Cambria"/>
                <w:bCs/>
                <w:noProof/>
              </w:rPr>
              <w:t>-</w:t>
            </w:r>
          </w:p>
        </w:tc>
        <w:tc>
          <w:tcPr>
            <w:tcW w:w="1032" w:type="dxa"/>
            <w:shd w:val="clear" w:color="auto" w:fill="auto"/>
          </w:tcPr>
          <w:p w14:paraId="6A2FD499" w14:textId="77777777" w:rsidR="003F1D97" w:rsidRPr="00AB15C7" w:rsidRDefault="003F1D97" w:rsidP="00940834">
            <w:pPr>
              <w:spacing w:after="0"/>
              <w:jc w:val="right"/>
              <w:rPr>
                <w:rFonts w:ascii="Cambria" w:hAnsi="Cambria"/>
                <w:bCs/>
                <w:noProof/>
              </w:rPr>
            </w:pPr>
            <w:r w:rsidRPr="00AB15C7">
              <w:rPr>
                <w:rFonts w:ascii="Cambria" w:hAnsi="Cambria"/>
                <w:bCs/>
                <w:noProof/>
              </w:rPr>
              <w:t>26 246</w:t>
            </w:r>
          </w:p>
          <w:p w14:paraId="47FBD3AA" w14:textId="77777777" w:rsidR="003F1D97" w:rsidRPr="00AB15C7" w:rsidRDefault="003F1D97" w:rsidP="00940834">
            <w:pPr>
              <w:spacing w:after="0"/>
              <w:jc w:val="right"/>
              <w:rPr>
                <w:rFonts w:ascii="Cambria" w:hAnsi="Cambria"/>
                <w:bCs/>
                <w:noProof/>
              </w:rPr>
            </w:pPr>
          </w:p>
        </w:tc>
        <w:tc>
          <w:tcPr>
            <w:tcW w:w="871" w:type="dxa"/>
            <w:shd w:val="clear" w:color="auto" w:fill="auto"/>
          </w:tcPr>
          <w:p w14:paraId="22F3F1AF" w14:textId="77777777" w:rsidR="003F1D97" w:rsidRPr="00AB15C7" w:rsidRDefault="003F1D97" w:rsidP="00940834">
            <w:pPr>
              <w:spacing w:after="0"/>
              <w:jc w:val="right"/>
              <w:rPr>
                <w:rFonts w:ascii="Cambria" w:hAnsi="Cambria"/>
                <w:bCs/>
                <w:noProof/>
              </w:rPr>
            </w:pPr>
            <w:r w:rsidRPr="00AB15C7">
              <w:rPr>
                <w:rFonts w:ascii="Cambria" w:hAnsi="Cambria"/>
                <w:bCs/>
                <w:noProof/>
              </w:rPr>
              <w:t>-</w:t>
            </w:r>
          </w:p>
          <w:p w14:paraId="038B80A6" w14:textId="77777777" w:rsidR="003F1D97" w:rsidRPr="00AB15C7" w:rsidRDefault="003F1D97" w:rsidP="00940834">
            <w:pPr>
              <w:spacing w:after="0"/>
              <w:jc w:val="right"/>
              <w:rPr>
                <w:rFonts w:ascii="Cambria" w:hAnsi="Cambria"/>
                <w:bCs/>
                <w:noProof/>
              </w:rPr>
            </w:pPr>
          </w:p>
        </w:tc>
      </w:tr>
      <w:tr w:rsidR="003F1D97" w:rsidRPr="00AB15C7" w14:paraId="34049D23" w14:textId="77777777" w:rsidTr="00940834">
        <w:tc>
          <w:tcPr>
            <w:tcW w:w="3505" w:type="dxa"/>
            <w:shd w:val="clear" w:color="auto" w:fill="D9D9D9"/>
          </w:tcPr>
          <w:p w14:paraId="505A6075" w14:textId="77777777" w:rsidR="003F1D97" w:rsidRPr="00AB15C7" w:rsidRDefault="003F1D97" w:rsidP="005921EF">
            <w:pPr>
              <w:spacing w:after="0"/>
              <w:rPr>
                <w:rFonts w:ascii="Cambria" w:hAnsi="Cambria"/>
                <w:b/>
                <w:bCs/>
                <w:noProof/>
              </w:rPr>
            </w:pPr>
            <w:r w:rsidRPr="00AB15C7">
              <w:rPr>
                <w:rFonts w:ascii="Cambria" w:hAnsi="Cambria"/>
                <w:b/>
                <w:bCs/>
                <w:noProof/>
              </w:rPr>
              <w:t>Sirovi aluminijum, nelegirani (isključujući prah i ljuskice)</w:t>
            </w:r>
          </w:p>
        </w:tc>
        <w:tc>
          <w:tcPr>
            <w:tcW w:w="1260" w:type="dxa"/>
            <w:shd w:val="clear" w:color="auto" w:fill="auto"/>
          </w:tcPr>
          <w:p w14:paraId="363357B3" w14:textId="77777777" w:rsidR="003F1D97" w:rsidRPr="00AB15C7" w:rsidRDefault="003F1D97" w:rsidP="005921EF">
            <w:pPr>
              <w:spacing w:after="0"/>
              <w:jc w:val="both"/>
              <w:rPr>
                <w:rFonts w:ascii="Cambria" w:hAnsi="Cambria"/>
                <w:bCs/>
                <w:noProof/>
              </w:rPr>
            </w:pPr>
            <w:r w:rsidRPr="00AB15C7">
              <w:rPr>
                <w:rFonts w:ascii="Cambria" w:hAnsi="Cambria"/>
                <w:bCs/>
                <w:noProof/>
              </w:rPr>
              <w:t>24421130</w:t>
            </w:r>
          </w:p>
        </w:tc>
        <w:tc>
          <w:tcPr>
            <w:tcW w:w="990" w:type="dxa"/>
          </w:tcPr>
          <w:p w14:paraId="6AB836C8" w14:textId="77777777" w:rsidR="003F1D97" w:rsidRPr="00AB15C7" w:rsidRDefault="003F1D97" w:rsidP="005921EF">
            <w:pPr>
              <w:spacing w:after="0"/>
              <w:jc w:val="center"/>
              <w:rPr>
                <w:rFonts w:ascii="Cambria" w:hAnsi="Cambria"/>
                <w:bCs/>
                <w:noProof/>
              </w:rPr>
            </w:pPr>
            <w:r w:rsidRPr="00AB15C7">
              <w:rPr>
                <w:rFonts w:ascii="Cambria" w:hAnsi="Cambria"/>
                <w:bCs/>
                <w:noProof/>
              </w:rPr>
              <w:t>t</w:t>
            </w:r>
          </w:p>
        </w:tc>
        <w:tc>
          <w:tcPr>
            <w:tcW w:w="1026" w:type="dxa"/>
            <w:shd w:val="clear" w:color="auto" w:fill="auto"/>
          </w:tcPr>
          <w:p w14:paraId="381A7ECF" w14:textId="77777777" w:rsidR="003F1D97" w:rsidRPr="00AB15C7" w:rsidRDefault="003F1D97" w:rsidP="00940834">
            <w:pPr>
              <w:spacing w:after="0"/>
              <w:jc w:val="right"/>
              <w:rPr>
                <w:rFonts w:ascii="Cambria" w:hAnsi="Cambria"/>
                <w:bCs/>
                <w:noProof/>
              </w:rPr>
            </w:pPr>
            <w:r w:rsidRPr="00AB15C7">
              <w:rPr>
                <w:rFonts w:ascii="Cambria" w:hAnsi="Cambria"/>
                <w:bCs/>
                <w:noProof/>
              </w:rPr>
              <w:t>42 499</w:t>
            </w:r>
          </w:p>
          <w:p w14:paraId="6B7F911B" w14:textId="77777777" w:rsidR="003F1D97" w:rsidRPr="00AB15C7" w:rsidRDefault="003F1D97" w:rsidP="00940834">
            <w:pPr>
              <w:spacing w:after="0"/>
              <w:jc w:val="right"/>
              <w:rPr>
                <w:rFonts w:ascii="Cambria" w:hAnsi="Cambria"/>
                <w:bCs/>
                <w:noProof/>
              </w:rPr>
            </w:pPr>
          </w:p>
        </w:tc>
        <w:tc>
          <w:tcPr>
            <w:tcW w:w="945" w:type="dxa"/>
            <w:shd w:val="clear" w:color="auto" w:fill="auto"/>
          </w:tcPr>
          <w:p w14:paraId="17EEA4B5" w14:textId="77777777" w:rsidR="003F1D97" w:rsidRPr="00AB15C7" w:rsidRDefault="003F1D97" w:rsidP="00940834">
            <w:pPr>
              <w:spacing w:after="0"/>
              <w:jc w:val="right"/>
              <w:rPr>
                <w:rFonts w:ascii="Cambria" w:hAnsi="Cambria"/>
                <w:bCs/>
                <w:noProof/>
              </w:rPr>
            </w:pPr>
            <w:r w:rsidRPr="00AB15C7">
              <w:rPr>
                <w:rFonts w:ascii="Cambria" w:hAnsi="Cambria"/>
                <w:bCs/>
                <w:noProof/>
              </w:rPr>
              <w:t>70 548</w:t>
            </w:r>
          </w:p>
          <w:p w14:paraId="39317CCF" w14:textId="77777777" w:rsidR="003F1D97" w:rsidRPr="00AB15C7" w:rsidRDefault="003F1D97" w:rsidP="00940834">
            <w:pPr>
              <w:spacing w:after="0"/>
              <w:jc w:val="right"/>
              <w:rPr>
                <w:rFonts w:ascii="Cambria" w:hAnsi="Cambria"/>
                <w:bCs/>
                <w:noProof/>
              </w:rPr>
            </w:pPr>
          </w:p>
        </w:tc>
        <w:tc>
          <w:tcPr>
            <w:tcW w:w="1032" w:type="dxa"/>
            <w:shd w:val="clear" w:color="auto" w:fill="auto"/>
          </w:tcPr>
          <w:p w14:paraId="3A8DEEDC" w14:textId="77777777" w:rsidR="003F1D97" w:rsidRPr="00AB15C7" w:rsidRDefault="003F1D97" w:rsidP="00940834">
            <w:pPr>
              <w:spacing w:after="0"/>
              <w:jc w:val="right"/>
              <w:rPr>
                <w:rFonts w:ascii="Cambria" w:hAnsi="Cambria"/>
                <w:bCs/>
                <w:noProof/>
              </w:rPr>
            </w:pPr>
            <w:r w:rsidRPr="00AB15C7">
              <w:rPr>
                <w:rFonts w:ascii="Cambria" w:hAnsi="Cambria"/>
                <w:bCs/>
                <w:noProof/>
              </w:rPr>
              <w:t>38 915</w:t>
            </w:r>
          </w:p>
          <w:p w14:paraId="721149B5" w14:textId="77777777" w:rsidR="003F1D97" w:rsidRPr="00AB15C7" w:rsidRDefault="003F1D97" w:rsidP="00940834">
            <w:pPr>
              <w:spacing w:after="0"/>
              <w:jc w:val="right"/>
              <w:rPr>
                <w:rFonts w:ascii="Cambria" w:hAnsi="Cambria"/>
                <w:bCs/>
                <w:noProof/>
              </w:rPr>
            </w:pPr>
          </w:p>
        </w:tc>
        <w:tc>
          <w:tcPr>
            <w:tcW w:w="871" w:type="dxa"/>
            <w:shd w:val="clear" w:color="auto" w:fill="auto"/>
          </w:tcPr>
          <w:p w14:paraId="1C459227" w14:textId="77777777" w:rsidR="003F1D97" w:rsidRPr="00AB15C7" w:rsidRDefault="003F1D97" w:rsidP="00940834">
            <w:pPr>
              <w:spacing w:after="0"/>
              <w:ind w:left="-134"/>
              <w:jc w:val="right"/>
              <w:rPr>
                <w:rFonts w:ascii="Cambria" w:hAnsi="Cambria"/>
                <w:bCs/>
                <w:noProof/>
              </w:rPr>
            </w:pPr>
            <w:r w:rsidRPr="00AB15C7">
              <w:rPr>
                <w:rFonts w:ascii="Cambria" w:hAnsi="Cambria"/>
                <w:bCs/>
                <w:noProof/>
              </w:rPr>
              <w:t>58 067</w:t>
            </w:r>
          </w:p>
        </w:tc>
      </w:tr>
      <w:tr w:rsidR="003F1D97" w:rsidRPr="00AB15C7" w14:paraId="7D5B0B39" w14:textId="77777777" w:rsidTr="00940834">
        <w:tc>
          <w:tcPr>
            <w:tcW w:w="3505" w:type="dxa"/>
            <w:shd w:val="clear" w:color="auto" w:fill="D9D9D9"/>
          </w:tcPr>
          <w:p w14:paraId="300D1FAF" w14:textId="77777777" w:rsidR="003F1D97" w:rsidRPr="00AB15C7" w:rsidRDefault="003F1D97" w:rsidP="005921EF">
            <w:pPr>
              <w:spacing w:after="0"/>
              <w:rPr>
                <w:rFonts w:ascii="Cambria" w:hAnsi="Cambria"/>
                <w:b/>
                <w:bCs/>
                <w:noProof/>
              </w:rPr>
            </w:pPr>
            <w:r w:rsidRPr="00AB15C7">
              <w:rPr>
                <w:rFonts w:ascii="Cambria" w:hAnsi="Cambria"/>
                <w:b/>
                <w:bCs/>
                <w:noProof/>
              </w:rPr>
              <w:t>Čelični liv za mašinsku i mehaničku obradu</w:t>
            </w:r>
          </w:p>
        </w:tc>
        <w:tc>
          <w:tcPr>
            <w:tcW w:w="1260" w:type="dxa"/>
            <w:shd w:val="clear" w:color="auto" w:fill="auto"/>
          </w:tcPr>
          <w:p w14:paraId="0285397F" w14:textId="77777777" w:rsidR="003F1D97" w:rsidRPr="00AB15C7" w:rsidRDefault="003F1D97" w:rsidP="005921EF">
            <w:pPr>
              <w:spacing w:after="0"/>
              <w:jc w:val="both"/>
              <w:rPr>
                <w:rFonts w:ascii="Cambria" w:hAnsi="Cambria"/>
                <w:bCs/>
                <w:noProof/>
              </w:rPr>
            </w:pPr>
            <w:r w:rsidRPr="00AB15C7">
              <w:rPr>
                <w:rFonts w:ascii="Cambria" w:hAnsi="Cambria"/>
                <w:bCs/>
                <w:noProof/>
              </w:rPr>
              <w:t>24521050</w:t>
            </w:r>
          </w:p>
        </w:tc>
        <w:tc>
          <w:tcPr>
            <w:tcW w:w="990" w:type="dxa"/>
          </w:tcPr>
          <w:p w14:paraId="4BFB6419" w14:textId="77777777" w:rsidR="003F1D97" w:rsidRPr="00AB15C7" w:rsidRDefault="003F1D97" w:rsidP="005921EF">
            <w:pPr>
              <w:spacing w:after="0"/>
              <w:jc w:val="center"/>
              <w:rPr>
                <w:rFonts w:ascii="Cambria" w:hAnsi="Cambria"/>
                <w:bCs/>
                <w:noProof/>
              </w:rPr>
            </w:pPr>
            <w:r w:rsidRPr="00AB15C7">
              <w:rPr>
                <w:rFonts w:ascii="Cambria" w:hAnsi="Cambria"/>
                <w:bCs/>
                <w:noProof/>
              </w:rPr>
              <w:t>t</w:t>
            </w:r>
          </w:p>
        </w:tc>
        <w:tc>
          <w:tcPr>
            <w:tcW w:w="1026" w:type="dxa"/>
            <w:shd w:val="clear" w:color="auto" w:fill="auto"/>
          </w:tcPr>
          <w:p w14:paraId="063BFE50" w14:textId="77777777" w:rsidR="003F1D97" w:rsidRPr="00AB15C7" w:rsidRDefault="003F1D97" w:rsidP="00940834">
            <w:pPr>
              <w:spacing w:after="0"/>
              <w:jc w:val="right"/>
              <w:rPr>
                <w:rFonts w:ascii="Cambria" w:hAnsi="Cambria"/>
                <w:bCs/>
                <w:noProof/>
              </w:rPr>
            </w:pPr>
            <w:r w:rsidRPr="00AB15C7">
              <w:rPr>
                <w:rFonts w:ascii="Cambria" w:hAnsi="Cambria"/>
                <w:bCs/>
                <w:noProof/>
              </w:rPr>
              <w:t>24 712</w:t>
            </w:r>
          </w:p>
        </w:tc>
        <w:tc>
          <w:tcPr>
            <w:tcW w:w="945" w:type="dxa"/>
            <w:shd w:val="clear" w:color="auto" w:fill="auto"/>
          </w:tcPr>
          <w:p w14:paraId="4697E468" w14:textId="77777777" w:rsidR="003F1D97" w:rsidRPr="00AB15C7" w:rsidRDefault="003F1D97" w:rsidP="00940834">
            <w:pPr>
              <w:spacing w:after="0"/>
              <w:jc w:val="right"/>
              <w:rPr>
                <w:rFonts w:ascii="Cambria" w:hAnsi="Cambria"/>
                <w:bCs/>
                <w:noProof/>
              </w:rPr>
            </w:pPr>
            <w:r w:rsidRPr="00AB15C7">
              <w:rPr>
                <w:rFonts w:ascii="Cambria" w:hAnsi="Cambria"/>
                <w:bCs/>
                <w:noProof/>
              </w:rPr>
              <w:t>21 178</w:t>
            </w:r>
          </w:p>
        </w:tc>
        <w:tc>
          <w:tcPr>
            <w:tcW w:w="1032" w:type="dxa"/>
            <w:shd w:val="clear" w:color="auto" w:fill="auto"/>
          </w:tcPr>
          <w:p w14:paraId="4C223D1A" w14:textId="77777777" w:rsidR="003F1D97" w:rsidRPr="00AB15C7" w:rsidRDefault="003F1D97" w:rsidP="00940834">
            <w:pPr>
              <w:spacing w:after="0"/>
              <w:jc w:val="right"/>
              <w:rPr>
                <w:rFonts w:ascii="Cambria" w:hAnsi="Cambria"/>
                <w:bCs/>
                <w:noProof/>
              </w:rPr>
            </w:pPr>
            <w:r w:rsidRPr="00AB15C7">
              <w:rPr>
                <w:rFonts w:ascii="Cambria" w:hAnsi="Cambria"/>
                <w:bCs/>
                <w:noProof/>
              </w:rPr>
              <w:t>19 977</w:t>
            </w:r>
          </w:p>
        </w:tc>
        <w:tc>
          <w:tcPr>
            <w:tcW w:w="871" w:type="dxa"/>
            <w:shd w:val="clear" w:color="auto" w:fill="auto"/>
          </w:tcPr>
          <w:p w14:paraId="588EE7AF" w14:textId="77777777" w:rsidR="003F1D97" w:rsidRPr="00AB15C7" w:rsidRDefault="003F1D97" w:rsidP="00940834">
            <w:pPr>
              <w:spacing w:after="0"/>
              <w:ind w:left="-134"/>
              <w:jc w:val="right"/>
              <w:rPr>
                <w:rFonts w:ascii="Cambria" w:hAnsi="Cambria"/>
                <w:bCs/>
                <w:noProof/>
              </w:rPr>
            </w:pPr>
            <w:r w:rsidRPr="00AB15C7">
              <w:rPr>
                <w:rFonts w:ascii="Cambria" w:hAnsi="Cambria"/>
                <w:bCs/>
                <w:noProof/>
              </w:rPr>
              <w:t>17 912</w:t>
            </w:r>
          </w:p>
        </w:tc>
      </w:tr>
    </w:tbl>
    <w:p w14:paraId="28CA8411" w14:textId="77777777" w:rsidR="006F4EFD" w:rsidRPr="006F4EFD" w:rsidRDefault="006F4EFD" w:rsidP="006F4EFD">
      <w:pPr>
        <w:jc w:val="center"/>
        <w:rPr>
          <w:rFonts w:ascii="Cambria" w:hAnsi="Cambria"/>
          <w:i/>
          <w:noProof/>
          <w:lang w:val="sr-Latn-ME"/>
        </w:rPr>
      </w:pPr>
      <w:r w:rsidRPr="006F4EFD">
        <w:rPr>
          <w:rFonts w:ascii="Cambria" w:hAnsi="Cambria"/>
          <w:i/>
          <w:noProof/>
          <w:lang w:val="sr-Latn-ME"/>
        </w:rPr>
        <w:t>Izvor: MONSTAT</w:t>
      </w:r>
    </w:p>
    <w:p w14:paraId="3D117637" w14:textId="0C9E98AD" w:rsidR="00642269" w:rsidRDefault="00642269" w:rsidP="005921EF">
      <w:pPr>
        <w:jc w:val="both"/>
        <w:rPr>
          <w:rFonts w:ascii="Cambria" w:hAnsi="Cambria"/>
          <w:noProof/>
          <w:lang w:val="sr-Latn-ME"/>
        </w:rPr>
      </w:pPr>
      <w:r w:rsidRPr="00AB15C7">
        <w:rPr>
          <w:rFonts w:ascii="Cambria" w:hAnsi="Cambria"/>
          <w:noProof/>
          <w:lang w:val="sr-Latn-ME"/>
        </w:rPr>
        <w:t>Ukupni promet robe u trgovini na veliko u Crnoj Gori u 2016. godini iznosio je 1 906 882 000 €, što predstavlja povećanje od 2,2% u odnosu na 2015. godinu. Najveće učešće u ukupnom prometu imale su robne grupe iz oblasti prehrane koje su činile 31,1% ukupnog prometa u trgovini na veliko. Promet hemijskih proizvoda (u industriji i poljoprivredi) ima relativno mali ud</w:t>
      </w:r>
      <w:r w:rsidR="00D86F95" w:rsidRPr="00AB15C7">
        <w:rPr>
          <w:rFonts w:ascii="Cambria" w:hAnsi="Cambria"/>
          <w:noProof/>
          <w:lang w:val="sr-Latn-ME"/>
        </w:rPr>
        <w:t>i</w:t>
      </w:r>
      <w:r w:rsidRPr="00AB15C7">
        <w:rPr>
          <w:rFonts w:ascii="Cambria" w:hAnsi="Cambria"/>
          <w:noProof/>
          <w:lang w:val="sr-Latn-ME"/>
        </w:rPr>
        <w:t>o u ukupnom prometu roba u Crnoj Gori, ali iz godine u godinu b</w:t>
      </w:r>
      <w:r w:rsidR="00D86F95" w:rsidRPr="00AB15C7">
        <w:rPr>
          <w:rFonts w:ascii="Cambria" w:hAnsi="Cambria"/>
          <w:noProof/>
          <w:lang w:val="sr-Latn-ME"/>
        </w:rPr>
        <w:t>ilj</w:t>
      </w:r>
      <w:r w:rsidRPr="00AB15C7">
        <w:rPr>
          <w:rFonts w:ascii="Cambria" w:hAnsi="Cambria"/>
          <w:noProof/>
          <w:lang w:val="sr-Latn-ME"/>
        </w:rPr>
        <w:t>eži blagi porast do 0,6% (10 698 000 €) zab</w:t>
      </w:r>
      <w:r w:rsidR="002748B5">
        <w:rPr>
          <w:rFonts w:ascii="Cambria" w:hAnsi="Cambria"/>
          <w:noProof/>
          <w:lang w:val="sr-Latn-ME"/>
        </w:rPr>
        <w:t>ilj</w:t>
      </w:r>
      <w:r w:rsidRPr="00AB15C7">
        <w:rPr>
          <w:rFonts w:ascii="Cambria" w:hAnsi="Cambria"/>
          <w:noProof/>
          <w:lang w:val="sr-Latn-ME"/>
        </w:rPr>
        <w:t>eženih u  2016. Od ostalih robnih grupa koje ukljućuju hemikalije treba pomenuti goriva sa ud</w:t>
      </w:r>
      <w:r w:rsidR="00D86F95" w:rsidRPr="00AB15C7">
        <w:rPr>
          <w:rFonts w:ascii="Cambria" w:hAnsi="Cambria"/>
          <w:noProof/>
          <w:lang w:val="sr-Latn-ME"/>
        </w:rPr>
        <w:t>j</w:t>
      </w:r>
      <w:r w:rsidRPr="00AB15C7">
        <w:rPr>
          <w:rFonts w:ascii="Cambria" w:hAnsi="Cambria"/>
          <w:noProof/>
          <w:lang w:val="sr-Latn-ME"/>
        </w:rPr>
        <w:t xml:space="preserve">elom od 19,7% i lakove, boje </w:t>
      </w:r>
      <w:r w:rsidRPr="00AB15C7">
        <w:rPr>
          <w:rFonts w:ascii="Cambria" w:hAnsi="Cambria"/>
          <w:noProof/>
          <w:lang w:val="sr-Latn-ME"/>
        </w:rPr>
        <w:lastRenderedPageBreak/>
        <w:t>i sredstva za čišćenje u domaćinstvu sa ud</w:t>
      </w:r>
      <w:r w:rsidR="00D86F95" w:rsidRPr="00AB15C7">
        <w:rPr>
          <w:rFonts w:ascii="Cambria" w:hAnsi="Cambria"/>
          <w:noProof/>
          <w:lang w:val="sr-Latn-ME"/>
        </w:rPr>
        <w:t>j</w:t>
      </w:r>
      <w:r w:rsidRPr="00AB15C7">
        <w:rPr>
          <w:rFonts w:ascii="Cambria" w:hAnsi="Cambria"/>
          <w:noProof/>
          <w:lang w:val="sr-Latn-ME"/>
        </w:rPr>
        <w:t>elom od 1,7% u ukupnom prometu roba u Crnoj Gori u 2016 (</w:t>
      </w:r>
      <w:r w:rsidR="003A2D38" w:rsidRPr="00AB15C7">
        <w:rPr>
          <w:rFonts w:ascii="Cambria" w:hAnsi="Cambria"/>
          <w:noProof/>
          <w:lang w:val="sr-Latn-ME"/>
        </w:rPr>
        <w:t>Grafik</w:t>
      </w:r>
      <w:r w:rsidRPr="00AB15C7">
        <w:rPr>
          <w:rFonts w:ascii="Cambria" w:hAnsi="Cambria"/>
          <w:noProof/>
          <w:lang w:val="sr-Latn-ME"/>
        </w:rPr>
        <w:t xml:space="preserve"> </w:t>
      </w:r>
      <w:r w:rsidR="003A2D38" w:rsidRPr="00AB15C7">
        <w:rPr>
          <w:rFonts w:ascii="Cambria" w:hAnsi="Cambria"/>
          <w:noProof/>
          <w:lang w:val="sr-Latn-ME"/>
        </w:rPr>
        <w:t>5.</w:t>
      </w:r>
      <w:r w:rsidRPr="00AB15C7">
        <w:rPr>
          <w:rFonts w:ascii="Cambria" w:hAnsi="Cambria"/>
          <w:noProof/>
          <w:lang w:val="sr-Latn-ME"/>
        </w:rPr>
        <w:t>).</w:t>
      </w:r>
    </w:p>
    <w:p w14:paraId="73165657" w14:textId="77777777" w:rsidR="00642269" w:rsidRPr="00940834" w:rsidRDefault="00642269" w:rsidP="00940834">
      <w:pPr>
        <w:jc w:val="center"/>
        <w:rPr>
          <w:rFonts w:ascii="Cambria" w:hAnsi="Cambria"/>
          <w:noProof/>
          <w:lang w:val="sr-Latn-ME"/>
        </w:rPr>
      </w:pPr>
      <w:r w:rsidRPr="00940834">
        <w:rPr>
          <w:rFonts w:ascii="Cambria" w:hAnsi="Cambria"/>
          <w:i/>
          <w:noProof/>
          <w:lang w:val="sr-Latn-ME"/>
        </w:rPr>
        <w:t xml:space="preserve">Grafik </w:t>
      </w:r>
      <w:r w:rsidR="003A2D38" w:rsidRPr="00940834">
        <w:rPr>
          <w:rFonts w:ascii="Cambria" w:hAnsi="Cambria"/>
          <w:i/>
          <w:noProof/>
          <w:lang w:val="sr-Latn-ME"/>
        </w:rPr>
        <w:t>5</w:t>
      </w:r>
      <w:r w:rsidR="003A2D38" w:rsidRPr="00940834">
        <w:rPr>
          <w:rFonts w:ascii="Cambria" w:hAnsi="Cambria"/>
          <w:noProof/>
          <w:lang w:val="sr-Latn-ME"/>
        </w:rPr>
        <w:t>.</w:t>
      </w:r>
      <w:r w:rsidRPr="00940834">
        <w:rPr>
          <w:rFonts w:ascii="Cambria" w:hAnsi="Cambria"/>
          <w:noProof/>
        </w:rPr>
        <w:t xml:space="preserve"> </w:t>
      </w:r>
      <w:r w:rsidRPr="00940834">
        <w:rPr>
          <w:rFonts w:ascii="Cambria" w:hAnsi="Cambria"/>
          <w:noProof/>
          <w:lang w:val="sr-Latn-ME"/>
        </w:rPr>
        <w:t xml:space="preserve">Struktura pojedinih robnih grupa u ukupnom godišnjem prometu trgovine na veliko </w:t>
      </w:r>
    </w:p>
    <w:p w14:paraId="3AFB3261" w14:textId="77777777" w:rsidR="00642269" w:rsidRPr="00AB15C7" w:rsidRDefault="00B325C3" w:rsidP="005921EF">
      <w:pPr>
        <w:jc w:val="center"/>
        <w:rPr>
          <w:rFonts w:ascii="Cambria" w:hAnsi="Cambria"/>
          <w:noProof/>
          <w:lang w:val="sr-Latn-ME"/>
        </w:rPr>
      </w:pPr>
      <w:r w:rsidRPr="00AB15C7">
        <w:rPr>
          <w:rFonts w:ascii="Cambria" w:hAnsi="Cambria"/>
          <w:noProof/>
        </w:rPr>
        <w:drawing>
          <wp:inline distT="0" distB="0" distL="0" distR="0" wp14:anchorId="657036CD" wp14:editId="1CF334BD">
            <wp:extent cx="4810194" cy="282892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1087" cy="2829450"/>
                    </a:xfrm>
                    <a:prstGeom prst="rect">
                      <a:avLst/>
                    </a:prstGeom>
                    <a:noFill/>
                    <a:ln>
                      <a:noFill/>
                    </a:ln>
                  </pic:spPr>
                </pic:pic>
              </a:graphicData>
            </a:graphic>
          </wp:inline>
        </w:drawing>
      </w:r>
    </w:p>
    <w:p w14:paraId="51C886EF" w14:textId="77777777" w:rsidR="00642269" w:rsidRPr="00AB15C7" w:rsidRDefault="00642269" w:rsidP="005921EF">
      <w:pPr>
        <w:jc w:val="center"/>
        <w:rPr>
          <w:rFonts w:ascii="Cambria" w:hAnsi="Cambria"/>
          <w:i/>
          <w:noProof/>
          <w:lang w:val="sr-Latn-ME"/>
        </w:rPr>
      </w:pPr>
      <w:r w:rsidRPr="00AB15C7">
        <w:rPr>
          <w:rFonts w:ascii="Cambria" w:hAnsi="Cambria"/>
          <w:i/>
          <w:noProof/>
          <w:lang w:val="sr-Latn-ME"/>
        </w:rPr>
        <w:t>Izvor: MONSTAT</w:t>
      </w:r>
    </w:p>
    <w:p w14:paraId="6FD12A8A" w14:textId="77777777" w:rsidR="00DD3F74" w:rsidRPr="00AB15C7" w:rsidRDefault="00642269" w:rsidP="005921EF">
      <w:pPr>
        <w:jc w:val="both"/>
        <w:rPr>
          <w:rFonts w:ascii="Cambria" w:hAnsi="Cambria"/>
          <w:noProof/>
          <w:lang w:val="sr-Latn-ME"/>
        </w:rPr>
      </w:pPr>
      <w:r w:rsidRPr="00AB15C7">
        <w:rPr>
          <w:rFonts w:ascii="Cambria" w:hAnsi="Cambria"/>
          <w:noProof/>
          <w:lang w:val="sr-Latn-ME"/>
        </w:rPr>
        <w:t xml:space="preserve">Promet hemikalija obuhvata tri robne grupe za koje su podaci u periodu 2014-2016. dati u tabeli </w:t>
      </w:r>
      <w:r w:rsidR="0065073A" w:rsidRPr="00AB15C7">
        <w:rPr>
          <w:rFonts w:ascii="Cambria" w:hAnsi="Cambria"/>
          <w:noProof/>
          <w:lang w:val="sr-Latn-ME"/>
        </w:rPr>
        <w:t>10</w:t>
      </w:r>
      <w:r w:rsidRPr="00AB15C7">
        <w:rPr>
          <w:rFonts w:ascii="Cambria" w:hAnsi="Cambria"/>
          <w:noProof/>
          <w:lang w:val="sr-Latn-ME"/>
        </w:rPr>
        <w:t xml:space="preserve">. </w:t>
      </w:r>
    </w:p>
    <w:p w14:paraId="4659EC5D" w14:textId="77777777" w:rsidR="00642269" w:rsidRPr="00940834" w:rsidRDefault="00DD3F74" w:rsidP="00940834">
      <w:pPr>
        <w:spacing w:after="120"/>
        <w:jc w:val="center"/>
        <w:rPr>
          <w:rFonts w:ascii="Cambria" w:hAnsi="Cambria"/>
          <w:noProof/>
          <w:lang w:val="sr-Latn-ME"/>
        </w:rPr>
      </w:pPr>
      <w:r w:rsidRPr="00940834">
        <w:rPr>
          <w:rFonts w:ascii="Cambria" w:hAnsi="Cambria"/>
          <w:bCs/>
          <w:i/>
          <w:noProof/>
        </w:rPr>
        <w:t xml:space="preserve">Tabela </w:t>
      </w:r>
      <w:r w:rsidR="0065073A" w:rsidRPr="00940834">
        <w:rPr>
          <w:rFonts w:ascii="Cambria" w:hAnsi="Cambria"/>
          <w:bCs/>
          <w:i/>
          <w:noProof/>
        </w:rPr>
        <w:t>10</w:t>
      </w:r>
      <w:r w:rsidRPr="00940834">
        <w:rPr>
          <w:rFonts w:ascii="Cambria" w:hAnsi="Cambria"/>
          <w:bCs/>
          <w:i/>
          <w:noProof/>
        </w:rPr>
        <w:t>.</w:t>
      </w:r>
      <w:r w:rsidRPr="00940834">
        <w:rPr>
          <w:rFonts w:ascii="Cambria" w:hAnsi="Cambria"/>
          <w:bCs/>
          <w:noProof/>
        </w:rPr>
        <w:t xml:space="preserve"> Promet i stopa učešća po robnim grupama koje uključuju hemikalije</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323"/>
        <w:gridCol w:w="960"/>
        <w:gridCol w:w="1323"/>
        <w:gridCol w:w="960"/>
        <w:gridCol w:w="1323"/>
        <w:gridCol w:w="841"/>
      </w:tblGrid>
      <w:tr w:rsidR="00642269" w:rsidRPr="00AB15C7" w14:paraId="4F1AE99D" w14:textId="77777777" w:rsidTr="0066183A">
        <w:trPr>
          <w:trHeight w:val="300"/>
        </w:trPr>
        <w:tc>
          <w:tcPr>
            <w:tcW w:w="3260" w:type="dxa"/>
            <w:vMerge w:val="restart"/>
            <w:shd w:val="clear" w:color="auto" w:fill="D9D9D9"/>
            <w:vAlign w:val="center"/>
            <w:hideMark/>
          </w:tcPr>
          <w:p w14:paraId="02CD8BEC" w14:textId="77777777" w:rsidR="00642269" w:rsidRPr="00AB15C7" w:rsidRDefault="00642269" w:rsidP="005921EF">
            <w:pPr>
              <w:spacing w:after="0"/>
              <w:jc w:val="both"/>
              <w:rPr>
                <w:rFonts w:ascii="Cambria" w:hAnsi="Cambria"/>
                <w:b/>
                <w:bCs/>
                <w:noProof/>
              </w:rPr>
            </w:pPr>
          </w:p>
        </w:tc>
        <w:tc>
          <w:tcPr>
            <w:tcW w:w="2283" w:type="dxa"/>
            <w:gridSpan w:val="2"/>
            <w:shd w:val="clear" w:color="auto" w:fill="D9D9D9"/>
            <w:vAlign w:val="center"/>
            <w:hideMark/>
          </w:tcPr>
          <w:p w14:paraId="227D91F0" w14:textId="77777777" w:rsidR="00642269" w:rsidRPr="00AB15C7" w:rsidRDefault="00642269" w:rsidP="005921EF">
            <w:pPr>
              <w:spacing w:after="0"/>
              <w:jc w:val="center"/>
              <w:rPr>
                <w:rFonts w:ascii="Cambria" w:hAnsi="Cambria"/>
                <w:b/>
                <w:bCs/>
                <w:noProof/>
              </w:rPr>
            </w:pPr>
            <w:r w:rsidRPr="00AB15C7">
              <w:rPr>
                <w:rFonts w:ascii="Cambria" w:hAnsi="Cambria"/>
                <w:b/>
                <w:bCs/>
                <w:noProof/>
              </w:rPr>
              <w:t>2014</w:t>
            </w:r>
          </w:p>
        </w:tc>
        <w:tc>
          <w:tcPr>
            <w:tcW w:w="2283" w:type="dxa"/>
            <w:gridSpan w:val="2"/>
            <w:shd w:val="clear" w:color="auto" w:fill="D9D9D9"/>
            <w:vAlign w:val="center"/>
            <w:hideMark/>
          </w:tcPr>
          <w:p w14:paraId="46545651" w14:textId="77777777" w:rsidR="00642269" w:rsidRPr="00AB15C7" w:rsidRDefault="00642269" w:rsidP="005921EF">
            <w:pPr>
              <w:spacing w:after="0"/>
              <w:jc w:val="center"/>
              <w:rPr>
                <w:rFonts w:ascii="Cambria" w:hAnsi="Cambria"/>
                <w:b/>
                <w:bCs/>
                <w:noProof/>
              </w:rPr>
            </w:pPr>
            <w:r w:rsidRPr="00AB15C7">
              <w:rPr>
                <w:rFonts w:ascii="Cambria" w:hAnsi="Cambria"/>
                <w:b/>
                <w:bCs/>
                <w:noProof/>
              </w:rPr>
              <w:t>2015</w:t>
            </w:r>
          </w:p>
        </w:tc>
        <w:tc>
          <w:tcPr>
            <w:tcW w:w="2164" w:type="dxa"/>
            <w:gridSpan w:val="2"/>
            <w:shd w:val="clear" w:color="auto" w:fill="D9D9D9"/>
            <w:vAlign w:val="center"/>
            <w:hideMark/>
          </w:tcPr>
          <w:p w14:paraId="2C803FC3" w14:textId="77777777" w:rsidR="00642269" w:rsidRPr="00AB15C7" w:rsidRDefault="00642269" w:rsidP="005921EF">
            <w:pPr>
              <w:spacing w:after="0"/>
              <w:jc w:val="center"/>
              <w:rPr>
                <w:rFonts w:ascii="Cambria" w:hAnsi="Cambria"/>
                <w:b/>
                <w:bCs/>
                <w:noProof/>
              </w:rPr>
            </w:pPr>
            <w:r w:rsidRPr="00AB15C7">
              <w:rPr>
                <w:rFonts w:ascii="Cambria" w:hAnsi="Cambria"/>
                <w:b/>
                <w:bCs/>
                <w:noProof/>
              </w:rPr>
              <w:t>2016</w:t>
            </w:r>
          </w:p>
        </w:tc>
      </w:tr>
      <w:tr w:rsidR="00642269" w:rsidRPr="00AB15C7" w14:paraId="165B9168" w14:textId="77777777" w:rsidTr="0066183A">
        <w:trPr>
          <w:trHeight w:val="315"/>
        </w:trPr>
        <w:tc>
          <w:tcPr>
            <w:tcW w:w="3260" w:type="dxa"/>
            <w:vMerge/>
            <w:shd w:val="clear" w:color="auto" w:fill="D9D9D9"/>
            <w:vAlign w:val="center"/>
            <w:hideMark/>
          </w:tcPr>
          <w:p w14:paraId="56811AB4" w14:textId="77777777" w:rsidR="00642269" w:rsidRPr="00AB15C7" w:rsidRDefault="00642269" w:rsidP="005921EF">
            <w:pPr>
              <w:spacing w:after="0"/>
              <w:jc w:val="both"/>
              <w:rPr>
                <w:rFonts w:ascii="Cambria" w:hAnsi="Cambria"/>
                <w:b/>
                <w:bCs/>
                <w:noProof/>
              </w:rPr>
            </w:pPr>
          </w:p>
        </w:tc>
        <w:tc>
          <w:tcPr>
            <w:tcW w:w="1323" w:type="dxa"/>
            <w:shd w:val="clear" w:color="auto" w:fill="D9D9D9"/>
            <w:vAlign w:val="center"/>
            <w:hideMark/>
          </w:tcPr>
          <w:p w14:paraId="31EA5018" w14:textId="77777777" w:rsidR="00642269" w:rsidRPr="00AB15C7" w:rsidRDefault="00642269" w:rsidP="005921EF">
            <w:pPr>
              <w:spacing w:after="0"/>
              <w:jc w:val="both"/>
              <w:rPr>
                <w:rFonts w:ascii="Cambria" w:hAnsi="Cambria"/>
                <w:b/>
                <w:bCs/>
                <w:noProof/>
              </w:rPr>
            </w:pPr>
            <w:r w:rsidRPr="00AB15C7">
              <w:rPr>
                <w:rFonts w:ascii="Cambria" w:hAnsi="Cambria"/>
                <w:b/>
                <w:bCs/>
                <w:noProof/>
              </w:rPr>
              <w:t>u hilj.€</w:t>
            </w:r>
          </w:p>
        </w:tc>
        <w:tc>
          <w:tcPr>
            <w:tcW w:w="960" w:type="dxa"/>
            <w:shd w:val="clear" w:color="auto" w:fill="D9D9D9"/>
            <w:vAlign w:val="center"/>
            <w:hideMark/>
          </w:tcPr>
          <w:p w14:paraId="050F875B" w14:textId="77777777" w:rsidR="00642269" w:rsidRPr="00AB15C7" w:rsidRDefault="00642269" w:rsidP="005921EF">
            <w:pPr>
              <w:spacing w:after="0"/>
              <w:jc w:val="both"/>
              <w:rPr>
                <w:rFonts w:ascii="Cambria" w:hAnsi="Cambria"/>
                <w:b/>
                <w:bCs/>
                <w:noProof/>
              </w:rPr>
            </w:pPr>
            <w:r w:rsidRPr="00AB15C7">
              <w:rPr>
                <w:rFonts w:ascii="Cambria" w:hAnsi="Cambria"/>
                <w:b/>
                <w:bCs/>
                <w:noProof/>
              </w:rPr>
              <w:t>%</w:t>
            </w:r>
          </w:p>
        </w:tc>
        <w:tc>
          <w:tcPr>
            <w:tcW w:w="1323" w:type="dxa"/>
            <w:shd w:val="clear" w:color="auto" w:fill="D9D9D9"/>
            <w:vAlign w:val="center"/>
            <w:hideMark/>
          </w:tcPr>
          <w:p w14:paraId="3FC87158" w14:textId="77777777" w:rsidR="00642269" w:rsidRPr="00AB15C7" w:rsidRDefault="00642269" w:rsidP="005921EF">
            <w:pPr>
              <w:spacing w:after="0"/>
              <w:jc w:val="both"/>
              <w:rPr>
                <w:rFonts w:ascii="Cambria" w:hAnsi="Cambria"/>
                <w:b/>
                <w:bCs/>
                <w:noProof/>
              </w:rPr>
            </w:pPr>
            <w:r w:rsidRPr="00AB15C7">
              <w:rPr>
                <w:rFonts w:ascii="Cambria" w:hAnsi="Cambria"/>
                <w:b/>
                <w:bCs/>
                <w:noProof/>
              </w:rPr>
              <w:t>u hilj.€</w:t>
            </w:r>
          </w:p>
        </w:tc>
        <w:tc>
          <w:tcPr>
            <w:tcW w:w="960" w:type="dxa"/>
            <w:shd w:val="clear" w:color="auto" w:fill="D9D9D9"/>
            <w:vAlign w:val="center"/>
            <w:hideMark/>
          </w:tcPr>
          <w:p w14:paraId="07B11B28" w14:textId="77777777" w:rsidR="00642269" w:rsidRPr="00AB15C7" w:rsidRDefault="00642269" w:rsidP="005921EF">
            <w:pPr>
              <w:spacing w:after="0"/>
              <w:jc w:val="both"/>
              <w:rPr>
                <w:rFonts w:ascii="Cambria" w:hAnsi="Cambria"/>
                <w:b/>
                <w:bCs/>
                <w:noProof/>
              </w:rPr>
            </w:pPr>
            <w:r w:rsidRPr="00AB15C7">
              <w:rPr>
                <w:rFonts w:ascii="Cambria" w:hAnsi="Cambria"/>
                <w:b/>
                <w:bCs/>
                <w:noProof/>
              </w:rPr>
              <w:t>%</w:t>
            </w:r>
          </w:p>
        </w:tc>
        <w:tc>
          <w:tcPr>
            <w:tcW w:w="1323" w:type="dxa"/>
            <w:shd w:val="clear" w:color="auto" w:fill="D9D9D9"/>
            <w:vAlign w:val="center"/>
            <w:hideMark/>
          </w:tcPr>
          <w:p w14:paraId="306B8D5F" w14:textId="77777777" w:rsidR="00642269" w:rsidRPr="00AB15C7" w:rsidRDefault="00642269" w:rsidP="005921EF">
            <w:pPr>
              <w:spacing w:after="0"/>
              <w:jc w:val="both"/>
              <w:rPr>
                <w:rFonts w:ascii="Cambria" w:hAnsi="Cambria"/>
                <w:b/>
                <w:bCs/>
                <w:noProof/>
              </w:rPr>
            </w:pPr>
            <w:r w:rsidRPr="00AB15C7">
              <w:rPr>
                <w:rFonts w:ascii="Cambria" w:hAnsi="Cambria"/>
                <w:b/>
                <w:bCs/>
                <w:noProof/>
              </w:rPr>
              <w:t>u hilj.€</w:t>
            </w:r>
          </w:p>
        </w:tc>
        <w:tc>
          <w:tcPr>
            <w:tcW w:w="841" w:type="dxa"/>
            <w:shd w:val="clear" w:color="auto" w:fill="D9D9D9"/>
            <w:noWrap/>
            <w:vAlign w:val="bottom"/>
            <w:hideMark/>
          </w:tcPr>
          <w:p w14:paraId="291B4610" w14:textId="77777777" w:rsidR="00642269" w:rsidRPr="00AB15C7" w:rsidRDefault="00642269" w:rsidP="005921EF">
            <w:pPr>
              <w:spacing w:after="0"/>
              <w:jc w:val="both"/>
              <w:rPr>
                <w:rFonts w:ascii="Cambria" w:hAnsi="Cambria"/>
                <w:noProof/>
              </w:rPr>
            </w:pPr>
            <w:r w:rsidRPr="00AB15C7">
              <w:rPr>
                <w:rFonts w:ascii="Cambria" w:hAnsi="Cambria"/>
                <w:noProof/>
              </w:rPr>
              <w:t>%</w:t>
            </w:r>
          </w:p>
        </w:tc>
      </w:tr>
      <w:tr w:rsidR="00642269" w:rsidRPr="00AB15C7" w14:paraId="1965A03F" w14:textId="77777777" w:rsidTr="0066183A">
        <w:trPr>
          <w:trHeight w:val="300"/>
        </w:trPr>
        <w:tc>
          <w:tcPr>
            <w:tcW w:w="3260" w:type="dxa"/>
            <w:shd w:val="clear" w:color="auto" w:fill="D9D9D9"/>
            <w:vAlign w:val="bottom"/>
            <w:hideMark/>
          </w:tcPr>
          <w:p w14:paraId="51E60218" w14:textId="77777777" w:rsidR="00642269" w:rsidRPr="00AB15C7" w:rsidRDefault="00642269" w:rsidP="005921EF">
            <w:pPr>
              <w:spacing w:after="0"/>
              <w:rPr>
                <w:rFonts w:ascii="Cambria" w:hAnsi="Cambria"/>
                <w:b/>
                <w:noProof/>
              </w:rPr>
            </w:pPr>
            <w:bookmarkStart w:id="27" w:name="RANGE!A4"/>
            <w:r w:rsidRPr="00AB15C7">
              <w:rPr>
                <w:rFonts w:ascii="Cambria" w:hAnsi="Cambria"/>
                <w:b/>
                <w:noProof/>
              </w:rPr>
              <w:t xml:space="preserve">Ukupno </w:t>
            </w:r>
            <w:bookmarkEnd w:id="27"/>
            <w:r w:rsidRPr="00AB15C7">
              <w:rPr>
                <w:rFonts w:ascii="Cambria" w:hAnsi="Cambria"/>
                <w:b/>
                <w:noProof/>
              </w:rPr>
              <w:t>trgovina na veliko</w:t>
            </w:r>
          </w:p>
        </w:tc>
        <w:tc>
          <w:tcPr>
            <w:tcW w:w="1323" w:type="dxa"/>
            <w:shd w:val="clear" w:color="auto" w:fill="auto"/>
            <w:noWrap/>
            <w:vAlign w:val="bottom"/>
            <w:hideMark/>
          </w:tcPr>
          <w:p w14:paraId="7FEB3F36" w14:textId="77777777" w:rsidR="00642269" w:rsidRPr="00AB15C7" w:rsidRDefault="00642269" w:rsidP="005921EF">
            <w:pPr>
              <w:spacing w:after="0"/>
              <w:jc w:val="both"/>
              <w:rPr>
                <w:rFonts w:ascii="Cambria" w:hAnsi="Cambria"/>
                <w:b/>
                <w:bCs/>
                <w:noProof/>
              </w:rPr>
            </w:pPr>
            <w:r w:rsidRPr="00AB15C7">
              <w:rPr>
                <w:rFonts w:ascii="Cambria" w:hAnsi="Cambria"/>
                <w:b/>
                <w:bCs/>
                <w:noProof/>
              </w:rPr>
              <w:t>1,752,817</w:t>
            </w:r>
          </w:p>
        </w:tc>
        <w:tc>
          <w:tcPr>
            <w:tcW w:w="960" w:type="dxa"/>
            <w:shd w:val="clear" w:color="auto" w:fill="auto"/>
            <w:noWrap/>
            <w:vAlign w:val="bottom"/>
            <w:hideMark/>
          </w:tcPr>
          <w:p w14:paraId="7EE4FB6A" w14:textId="77777777" w:rsidR="00642269" w:rsidRPr="00AB15C7" w:rsidRDefault="00642269" w:rsidP="005921EF">
            <w:pPr>
              <w:spacing w:after="0"/>
              <w:jc w:val="both"/>
              <w:rPr>
                <w:rFonts w:ascii="Cambria" w:hAnsi="Cambria"/>
                <w:b/>
                <w:bCs/>
                <w:noProof/>
              </w:rPr>
            </w:pPr>
            <w:r w:rsidRPr="00AB15C7">
              <w:rPr>
                <w:rFonts w:ascii="Cambria" w:hAnsi="Cambria"/>
                <w:b/>
                <w:bCs/>
                <w:noProof/>
              </w:rPr>
              <w:t>100,0</w:t>
            </w:r>
          </w:p>
        </w:tc>
        <w:tc>
          <w:tcPr>
            <w:tcW w:w="1323" w:type="dxa"/>
            <w:shd w:val="clear" w:color="auto" w:fill="auto"/>
            <w:noWrap/>
            <w:vAlign w:val="bottom"/>
            <w:hideMark/>
          </w:tcPr>
          <w:p w14:paraId="318E1B01" w14:textId="77777777" w:rsidR="00642269" w:rsidRPr="00AB15C7" w:rsidRDefault="00642269" w:rsidP="005921EF">
            <w:pPr>
              <w:spacing w:after="0"/>
              <w:jc w:val="both"/>
              <w:rPr>
                <w:rFonts w:ascii="Cambria" w:hAnsi="Cambria"/>
                <w:b/>
                <w:bCs/>
                <w:noProof/>
              </w:rPr>
            </w:pPr>
            <w:r w:rsidRPr="00AB15C7">
              <w:rPr>
                <w:rFonts w:ascii="Cambria" w:hAnsi="Cambria"/>
                <w:b/>
                <w:bCs/>
                <w:noProof/>
              </w:rPr>
              <w:t>1,867,456</w:t>
            </w:r>
          </w:p>
        </w:tc>
        <w:tc>
          <w:tcPr>
            <w:tcW w:w="960" w:type="dxa"/>
            <w:shd w:val="clear" w:color="auto" w:fill="auto"/>
            <w:noWrap/>
            <w:vAlign w:val="bottom"/>
            <w:hideMark/>
          </w:tcPr>
          <w:p w14:paraId="33AEB4D4" w14:textId="77777777" w:rsidR="00642269" w:rsidRPr="00AB15C7" w:rsidRDefault="00642269" w:rsidP="005921EF">
            <w:pPr>
              <w:spacing w:after="0"/>
              <w:jc w:val="both"/>
              <w:rPr>
                <w:rFonts w:ascii="Cambria" w:hAnsi="Cambria"/>
                <w:b/>
                <w:bCs/>
                <w:noProof/>
              </w:rPr>
            </w:pPr>
            <w:r w:rsidRPr="00AB15C7">
              <w:rPr>
                <w:rFonts w:ascii="Cambria" w:hAnsi="Cambria"/>
                <w:b/>
                <w:bCs/>
                <w:noProof/>
              </w:rPr>
              <w:t>100,0</w:t>
            </w:r>
          </w:p>
        </w:tc>
        <w:tc>
          <w:tcPr>
            <w:tcW w:w="1323" w:type="dxa"/>
            <w:shd w:val="clear" w:color="auto" w:fill="auto"/>
            <w:noWrap/>
            <w:vAlign w:val="bottom"/>
            <w:hideMark/>
          </w:tcPr>
          <w:p w14:paraId="505BFD16" w14:textId="77777777" w:rsidR="00642269" w:rsidRPr="00AB15C7" w:rsidRDefault="00642269" w:rsidP="005921EF">
            <w:pPr>
              <w:spacing w:after="0"/>
              <w:jc w:val="both"/>
              <w:rPr>
                <w:rFonts w:ascii="Cambria" w:hAnsi="Cambria"/>
                <w:b/>
                <w:bCs/>
                <w:noProof/>
              </w:rPr>
            </w:pPr>
            <w:r w:rsidRPr="00AB15C7">
              <w:rPr>
                <w:rFonts w:ascii="Cambria" w:hAnsi="Cambria"/>
                <w:b/>
                <w:bCs/>
                <w:noProof/>
              </w:rPr>
              <w:t>1,907,882</w:t>
            </w:r>
          </w:p>
        </w:tc>
        <w:tc>
          <w:tcPr>
            <w:tcW w:w="841" w:type="dxa"/>
            <w:shd w:val="clear" w:color="auto" w:fill="auto"/>
            <w:noWrap/>
            <w:vAlign w:val="bottom"/>
            <w:hideMark/>
          </w:tcPr>
          <w:p w14:paraId="74090730" w14:textId="77777777" w:rsidR="00642269" w:rsidRPr="00AB15C7" w:rsidRDefault="00642269" w:rsidP="005921EF">
            <w:pPr>
              <w:spacing w:after="0"/>
              <w:jc w:val="both"/>
              <w:rPr>
                <w:rFonts w:ascii="Cambria" w:hAnsi="Cambria"/>
                <w:b/>
                <w:bCs/>
                <w:noProof/>
              </w:rPr>
            </w:pPr>
            <w:r w:rsidRPr="00AB15C7">
              <w:rPr>
                <w:rFonts w:ascii="Cambria" w:hAnsi="Cambria"/>
                <w:b/>
                <w:bCs/>
                <w:noProof/>
              </w:rPr>
              <w:t xml:space="preserve">100,0 </w:t>
            </w:r>
          </w:p>
        </w:tc>
      </w:tr>
      <w:tr w:rsidR="00642269" w:rsidRPr="00AB15C7" w14:paraId="1DAC9231" w14:textId="77777777" w:rsidTr="0066183A">
        <w:trPr>
          <w:trHeight w:val="300"/>
        </w:trPr>
        <w:tc>
          <w:tcPr>
            <w:tcW w:w="3260" w:type="dxa"/>
            <w:shd w:val="clear" w:color="auto" w:fill="D9D9D9"/>
            <w:vAlign w:val="bottom"/>
            <w:hideMark/>
          </w:tcPr>
          <w:p w14:paraId="6AC14243" w14:textId="77777777" w:rsidR="00642269" w:rsidRPr="00AB15C7" w:rsidRDefault="00642269" w:rsidP="005921EF">
            <w:pPr>
              <w:spacing w:after="0"/>
              <w:rPr>
                <w:rFonts w:ascii="Cambria" w:hAnsi="Cambria"/>
                <w:b/>
                <w:noProof/>
              </w:rPr>
            </w:pPr>
            <w:r w:rsidRPr="00AB15C7">
              <w:rPr>
                <w:rFonts w:ascii="Cambria" w:hAnsi="Cambria"/>
                <w:b/>
                <w:noProof/>
              </w:rPr>
              <w:t>Lakovi, boje, zidni tapeti i sredstva za čišćenje u domaćinstvu</w:t>
            </w:r>
          </w:p>
        </w:tc>
        <w:tc>
          <w:tcPr>
            <w:tcW w:w="1323" w:type="dxa"/>
            <w:shd w:val="clear" w:color="auto" w:fill="auto"/>
            <w:noWrap/>
            <w:vAlign w:val="bottom"/>
            <w:hideMark/>
          </w:tcPr>
          <w:p w14:paraId="1317F915" w14:textId="77777777" w:rsidR="00642269" w:rsidRPr="00AB15C7" w:rsidRDefault="00642269" w:rsidP="005921EF">
            <w:pPr>
              <w:spacing w:after="0"/>
              <w:jc w:val="both"/>
              <w:rPr>
                <w:rFonts w:ascii="Cambria" w:hAnsi="Cambria"/>
                <w:noProof/>
              </w:rPr>
            </w:pPr>
            <w:r w:rsidRPr="00AB15C7">
              <w:rPr>
                <w:rFonts w:ascii="Cambria" w:hAnsi="Cambria"/>
                <w:noProof/>
              </w:rPr>
              <w:t>29,719</w:t>
            </w:r>
          </w:p>
        </w:tc>
        <w:tc>
          <w:tcPr>
            <w:tcW w:w="960" w:type="dxa"/>
            <w:shd w:val="clear" w:color="auto" w:fill="auto"/>
            <w:noWrap/>
            <w:vAlign w:val="bottom"/>
            <w:hideMark/>
          </w:tcPr>
          <w:p w14:paraId="19BB4DF5" w14:textId="77777777" w:rsidR="00642269" w:rsidRPr="00AB15C7" w:rsidRDefault="00642269" w:rsidP="005921EF">
            <w:pPr>
              <w:spacing w:after="0"/>
              <w:jc w:val="both"/>
              <w:rPr>
                <w:rFonts w:ascii="Cambria" w:hAnsi="Cambria"/>
                <w:noProof/>
              </w:rPr>
            </w:pPr>
            <w:r w:rsidRPr="00AB15C7">
              <w:rPr>
                <w:rFonts w:ascii="Cambria" w:hAnsi="Cambria"/>
                <w:noProof/>
              </w:rPr>
              <w:t>1,7</w:t>
            </w:r>
          </w:p>
        </w:tc>
        <w:tc>
          <w:tcPr>
            <w:tcW w:w="1323" w:type="dxa"/>
            <w:shd w:val="clear" w:color="auto" w:fill="auto"/>
            <w:noWrap/>
            <w:vAlign w:val="bottom"/>
            <w:hideMark/>
          </w:tcPr>
          <w:p w14:paraId="41AA73BD" w14:textId="77777777" w:rsidR="00642269" w:rsidRPr="00AB15C7" w:rsidRDefault="00642269" w:rsidP="005921EF">
            <w:pPr>
              <w:spacing w:after="0"/>
              <w:jc w:val="both"/>
              <w:rPr>
                <w:rFonts w:ascii="Cambria" w:hAnsi="Cambria"/>
                <w:noProof/>
              </w:rPr>
            </w:pPr>
            <w:r w:rsidRPr="00AB15C7">
              <w:rPr>
                <w:rFonts w:ascii="Cambria" w:hAnsi="Cambria"/>
                <w:noProof/>
              </w:rPr>
              <w:t>30,469</w:t>
            </w:r>
          </w:p>
        </w:tc>
        <w:tc>
          <w:tcPr>
            <w:tcW w:w="960" w:type="dxa"/>
            <w:shd w:val="clear" w:color="auto" w:fill="auto"/>
            <w:noWrap/>
            <w:vAlign w:val="bottom"/>
            <w:hideMark/>
          </w:tcPr>
          <w:p w14:paraId="4326FB4B" w14:textId="77777777" w:rsidR="00642269" w:rsidRPr="00AB15C7" w:rsidRDefault="00642269" w:rsidP="005921EF">
            <w:pPr>
              <w:spacing w:after="0"/>
              <w:jc w:val="both"/>
              <w:rPr>
                <w:rFonts w:ascii="Cambria" w:hAnsi="Cambria"/>
                <w:noProof/>
              </w:rPr>
            </w:pPr>
            <w:r w:rsidRPr="00AB15C7">
              <w:rPr>
                <w:rFonts w:ascii="Cambria" w:hAnsi="Cambria"/>
                <w:noProof/>
              </w:rPr>
              <w:t>1,6</w:t>
            </w:r>
          </w:p>
        </w:tc>
        <w:tc>
          <w:tcPr>
            <w:tcW w:w="1323" w:type="dxa"/>
            <w:shd w:val="clear" w:color="auto" w:fill="auto"/>
            <w:noWrap/>
            <w:vAlign w:val="bottom"/>
            <w:hideMark/>
          </w:tcPr>
          <w:p w14:paraId="498339B9" w14:textId="77777777" w:rsidR="00642269" w:rsidRPr="00AB15C7" w:rsidRDefault="00642269" w:rsidP="005921EF">
            <w:pPr>
              <w:spacing w:after="0"/>
              <w:jc w:val="both"/>
              <w:rPr>
                <w:rFonts w:ascii="Cambria" w:hAnsi="Cambria"/>
                <w:noProof/>
              </w:rPr>
            </w:pPr>
            <w:r w:rsidRPr="00AB15C7">
              <w:rPr>
                <w:rFonts w:ascii="Cambria" w:hAnsi="Cambria"/>
                <w:noProof/>
              </w:rPr>
              <w:t>32,501</w:t>
            </w:r>
          </w:p>
        </w:tc>
        <w:tc>
          <w:tcPr>
            <w:tcW w:w="841" w:type="dxa"/>
            <w:shd w:val="clear" w:color="auto" w:fill="auto"/>
            <w:noWrap/>
            <w:vAlign w:val="bottom"/>
            <w:hideMark/>
          </w:tcPr>
          <w:p w14:paraId="4A4A4101" w14:textId="77777777" w:rsidR="00642269" w:rsidRPr="00AB15C7" w:rsidRDefault="00642269" w:rsidP="005921EF">
            <w:pPr>
              <w:spacing w:after="0"/>
              <w:jc w:val="both"/>
              <w:rPr>
                <w:rFonts w:ascii="Cambria" w:hAnsi="Cambria"/>
                <w:noProof/>
              </w:rPr>
            </w:pPr>
            <w:r w:rsidRPr="00AB15C7">
              <w:rPr>
                <w:rFonts w:ascii="Cambria" w:hAnsi="Cambria"/>
                <w:noProof/>
              </w:rPr>
              <w:t xml:space="preserve">                  1,7 </w:t>
            </w:r>
          </w:p>
        </w:tc>
      </w:tr>
      <w:tr w:rsidR="00642269" w:rsidRPr="00AB15C7" w14:paraId="69C488E2" w14:textId="77777777" w:rsidTr="0066183A">
        <w:trPr>
          <w:trHeight w:val="300"/>
        </w:trPr>
        <w:tc>
          <w:tcPr>
            <w:tcW w:w="3260" w:type="dxa"/>
            <w:shd w:val="clear" w:color="auto" w:fill="D9D9D9"/>
            <w:vAlign w:val="bottom"/>
            <w:hideMark/>
          </w:tcPr>
          <w:p w14:paraId="00711894" w14:textId="77777777" w:rsidR="00642269" w:rsidRPr="00AB15C7" w:rsidRDefault="00642269" w:rsidP="005921EF">
            <w:pPr>
              <w:spacing w:after="0"/>
              <w:rPr>
                <w:rFonts w:ascii="Cambria" w:hAnsi="Cambria"/>
                <w:b/>
                <w:noProof/>
              </w:rPr>
            </w:pPr>
            <w:r w:rsidRPr="00AB15C7">
              <w:rPr>
                <w:rFonts w:ascii="Cambria" w:hAnsi="Cambria"/>
                <w:b/>
                <w:noProof/>
              </w:rPr>
              <w:t>Čvrsta, tečna i gasovita goriva</w:t>
            </w:r>
          </w:p>
        </w:tc>
        <w:tc>
          <w:tcPr>
            <w:tcW w:w="1323" w:type="dxa"/>
            <w:shd w:val="clear" w:color="auto" w:fill="auto"/>
            <w:noWrap/>
            <w:vAlign w:val="bottom"/>
            <w:hideMark/>
          </w:tcPr>
          <w:p w14:paraId="0DC890C7" w14:textId="77777777" w:rsidR="00642269" w:rsidRPr="00AB15C7" w:rsidRDefault="00642269" w:rsidP="005921EF">
            <w:pPr>
              <w:spacing w:after="0"/>
              <w:jc w:val="both"/>
              <w:rPr>
                <w:rFonts w:ascii="Cambria" w:hAnsi="Cambria"/>
                <w:noProof/>
              </w:rPr>
            </w:pPr>
            <w:r w:rsidRPr="00AB15C7">
              <w:rPr>
                <w:rFonts w:ascii="Cambria" w:hAnsi="Cambria"/>
                <w:noProof/>
              </w:rPr>
              <w:t>358,466</w:t>
            </w:r>
          </w:p>
        </w:tc>
        <w:tc>
          <w:tcPr>
            <w:tcW w:w="960" w:type="dxa"/>
            <w:shd w:val="clear" w:color="auto" w:fill="auto"/>
            <w:noWrap/>
            <w:vAlign w:val="bottom"/>
            <w:hideMark/>
          </w:tcPr>
          <w:p w14:paraId="6266DFCF" w14:textId="77777777" w:rsidR="00642269" w:rsidRPr="00AB15C7" w:rsidRDefault="00642269" w:rsidP="005921EF">
            <w:pPr>
              <w:spacing w:after="0"/>
              <w:jc w:val="both"/>
              <w:rPr>
                <w:rFonts w:ascii="Cambria" w:hAnsi="Cambria"/>
                <w:noProof/>
              </w:rPr>
            </w:pPr>
            <w:r w:rsidRPr="00AB15C7">
              <w:rPr>
                <w:rFonts w:ascii="Cambria" w:hAnsi="Cambria"/>
                <w:noProof/>
              </w:rPr>
              <w:t>20,5</w:t>
            </w:r>
          </w:p>
        </w:tc>
        <w:tc>
          <w:tcPr>
            <w:tcW w:w="1323" w:type="dxa"/>
            <w:shd w:val="clear" w:color="auto" w:fill="auto"/>
            <w:noWrap/>
            <w:vAlign w:val="bottom"/>
            <w:hideMark/>
          </w:tcPr>
          <w:p w14:paraId="1FA4F26A" w14:textId="77777777" w:rsidR="00642269" w:rsidRPr="00AB15C7" w:rsidRDefault="00642269" w:rsidP="005921EF">
            <w:pPr>
              <w:spacing w:after="0"/>
              <w:jc w:val="both"/>
              <w:rPr>
                <w:rFonts w:ascii="Cambria" w:hAnsi="Cambria"/>
                <w:noProof/>
              </w:rPr>
            </w:pPr>
            <w:r w:rsidRPr="00AB15C7">
              <w:rPr>
                <w:rFonts w:ascii="Cambria" w:hAnsi="Cambria"/>
                <w:noProof/>
              </w:rPr>
              <w:t>352,760</w:t>
            </w:r>
          </w:p>
        </w:tc>
        <w:tc>
          <w:tcPr>
            <w:tcW w:w="960" w:type="dxa"/>
            <w:shd w:val="clear" w:color="auto" w:fill="auto"/>
            <w:noWrap/>
            <w:vAlign w:val="bottom"/>
            <w:hideMark/>
          </w:tcPr>
          <w:p w14:paraId="15F47F03" w14:textId="77777777" w:rsidR="00642269" w:rsidRPr="00AB15C7" w:rsidRDefault="00642269" w:rsidP="005921EF">
            <w:pPr>
              <w:spacing w:after="0"/>
              <w:jc w:val="both"/>
              <w:rPr>
                <w:rFonts w:ascii="Cambria" w:hAnsi="Cambria"/>
                <w:noProof/>
              </w:rPr>
            </w:pPr>
            <w:r w:rsidRPr="00AB15C7">
              <w:rPr>
                <w:rFonts w:ascii="Cambria" w:hAnsi="Cambria"/>
                <w:noProof/>
              </w:rPr>
              <w:t>18,9</w:t>
            </w:r>
          </w:p>
        </w:tc>
        <w:tc>
          <w:tcPr>
            <w:tcW w:w="1323" w:type="dxa"/>
            <w:shd w:val="clear" w:color="auto" w:fill="auto"/>
            <w:noWrap/>
            <w:vAlign w:val="bottom"/>
            <w:hideMark/>
          </w:tcPr>
          <w:p w14:paraId="5FB959E6" w14:textId="77777777" w:rsidR="00642269" w:rsidRPr="00AB15C7" w:rsidRDefault="00642269" w:rsidP="005921EF">
            <w:pPr>
              <w:spacing w:after="0"/>
              <w:jc w:val="both"/>
              <w:rPr>
                <w:rFonts w:ascii="Cambria" w:hAnsi="Cambria"/>
                <w:noProof/>
              </w:rPr>
            </w:pPr>
            <w:r w:rsidRPr="00AB15C7">
              <w:rPr>
                <w:rFonts w:ascii="Cambria" w:hAnsi="Cambria"/>
                <w:noProof/>
              </w:rPr>
              <w:t>375,077</w:t>
            </w:r>
          </w:p>
        </w:tc>
        <w:tc>
          <w:tcPr>
            <w:tcW w:w="841" w:type="dxa"/>
            <w:shd w:val="clear" w:color="auto" w:fill="auto"/>
            <w:noWrap/>
            <w:vAlign w:val="bottom"/>
            <w:hideMark/>
          </w:tcPr>
          <w:p w14:paraId="64BAB527" w14:textId="77777777" w:rsidR="00642269" w:rsidRPr="00AB15C7" w:rsidRDefault="00642269" w:rsidP="005921EF">
            <w:pPr>
              <w:spacing w:after="0"/>
              <w:jc w:val="both"/>
              <w:rPr>
                <w:rFonts w:ascii="Cambria" w:hAnsi="Cambria"/>
                <w:noProof/>
              </w:rPr>
            </w:pPr>
            <w:r w:rsidRPr="00AB15C7">
              <w:rPr>
                <w:rFonts w:ascii="Cambria" w:hAnsi="Cambria"/>
                <w:noProof/>
              </w:rPr>
              <w:t xml:space="preserve">19,7 </w:t>
            </w:r>
          </w:p>
        </w:tc>
      </w:tr>
      <w:tr w:rsidR="00642269" w:rsidRPr="00AB15C7" w14:paraId="3748E5A6" w14:textId="77777777" w:rsidTr="0066183A">
        <w:trPr>
          <w:trHeight w:val="300"/>
        </w:trPr>
        <w:tc>
          <w:tcPr>
            <w:tcW w:w="3260" w:type="dxa"/>
            <w:shd w:val="clear" w:color="auto" w:fill="D9D9D9"/>
            <w:vAlign w:val="bottom"/>
            <w:hideMark/>
          </w:tcPr>
          <w:p w14:paraId="33C43FA3" w14:textId="77777777" w:rsidR="00642269" w:rsidRPr="00AB15C7" w:rsidRDefault="00642269" w:rsidP="005921EF">
            <w:pPr>
              <w:spacing w:after="0"/>
              <w:rPr>
                <w:rFonts w:ascii="Cambria" w:hAnsi="Cambria"/>
                <w:b/>
                <w:noProof/>
              </w:rPr>
            </w:pPr>
            <w:r w:rsidRPr="00AB15C7">
              <w:rPr>
                <w:rFonts w:ascii="Cambria" w:hAnsi="Cambria"/>
                <w:b/>
                <w:noProof/>
              </w:rPr>
              <w:t xml:space="preserve">Hemijski </w:t>
            </w:r>
            <w:r w:rsidR="003A2ADF" w:rsidRPr="00AB15C7">
              <w:rPr>
                <w:rFonts w:ascii="Cambria" w:hAnsi="Cambria"/>
                <w:b/>
                <w:noProof/>
              </w:rPr>
              <w:t xml:space="preserve">proizvodi </w:t>
            </w:r>
            <w:r w:rsidRPr="00AB15C7">
              <w:rPr>
                <w:rFonts w:ascii="Cambria" w:hAnsi="Cambria"/>
                <w:b/>
                <w:noProof/>
              </w:rPr>
              <w:t>(u industriji i poljoprivredi)</w:t>
            </w:r>
          </w:p>
        </w:tc>
        <w:tc>
          <w:tcPr>
            <w:tcW w:w="1323" w:type="dxa"/>
            <w:shd w:val="clear" w:color="auto" w:fill="auto"/>
            <w:noWrap/>
            <w:vAlign w:val="bottom"/>
            <w:hideMark/>
          </w:tcPr>
          <w:p w14:paraId="0ACA1B85" w14:textId="77777777" w:rsidR="00642269" w:rsidRPr="00AB15C7" w:rsidRDefault="00642269" w:rsidP="005921EF">
            <w:pPr>
              <w:spacing w:after="0"/>
              <w:jc w:val="both"/>
              <w:rPr>
                <w:rFonts w:ascii="Cambria" w:hAnsi="Cambria"/>
                <w:noProof/>
              </w:rPr>
            </w:pPr>
            <w:r w:rsidRPr="00AB15C7">
              <w:rPr>
                <w:rFonts w:ascii="Cambria" w:hAnsi="Cambria"/>
                <w:noProof/>
              </w:rPr>
              <w:t>7,778</w:t>
            </w:r>
          </w:p>
        </w:tc>
        <w:tc>
          <w:tcPr>
            <w:tcW w:w="960" w:type="dxa"/>
            <w:shd w:val="clear" w:color="auto" w:fill="auto"/>
            <w:noWrap/>
            <w:vAlign w:val="bottom"/>
            <w:hideMark/>
          </w:tcPr>
          <w:p w14:paraId="068E85DA" w14:textId="77777777" w:rsidR="00642269" w:rsidRPr="00AB15C7" w:rsidRDefault="00642269" w:rsidP="005921EF">
            <w:pPr>
              <w:spacing w:after="0"/>
              <w:jc w:val="both"/>
              <w:rPr>
                <w:rFonts w:ascii="Cambria" w:hAnsi="Cambria"/>
                <w:noProof/>
              </w:rPr>
            </w:pPr>
            <w:r w:rsidRPr="00AB15C7">
              <w:rPr>
                <w:rFonts w:ascii="Cambria" w:hAnsi="Cambria"/>
                <w:noProof/>
              </w:rPr>
              <w:t>0,4</w:t>
            </w:r>
          </w:p>
        </w:tc>
        <w:tc>
          <w:tcPr>
            <w:tcW w:w="1323" w:type="dxa"/>
            <w:shd w:val="clear" w:color="auto" w:fill="auto"/>
            <w:noWrap/>
            <w:vAlign w:val="bottom"/>
            <w:hideMark/>
          </w:tcPr>
          <w:p w14:paraId="24B1A914" w14:textId="77777777" w:rsidR="00642269" w:rsidRPr="00AB15C7" w:rsidRDefault="00642269" w:rsidP="005921EF">
            <w:pPr>
              <w:spacing w:after="0"/>
              <w:jc w:val="both"/>
              <w:rPr>
                <w:rFonts w:ascii="Cambria" w:hAnsi="Cambria"/>
                <w:noProof/>
              </w:rPr>
            </w:pPr>
            <w:r w:rsidRPr="00AB15C7">
              <w:rPr>
                <w:rFonts w:ascii="Cambria" w:hAnsi="Cambria"/>
                <w:noProof/>
              </w:rPr>
              <w:t>8,422</w:t>
            </w:r>
          </w:p>
        </w:tc>
        <w:tc>
          <w:tcPr>
            <w:tcW w:w="960" w:type="dxa"/>
            <w:shd w:val="clear" w:color="auto" w:fill="auto"/>
            <w:noWrap/>
            <w:vAlign w:val="bottom"/>
            <w:hideMark/>
          </w:tcPr>
          <w:p w14:paraId="4EB03689" w14:textId="77777777" w:rsidR="00642269" w:rsidRPr="00AB15C7" w:rsidRDefault="00642269" w:rsidP="005921EF">
            <w:pPr>
              <w:spacing w:after="0"/>
              <w:jc w:val="both"/>
              <w:rPr>
                <w:rFonts w:ascii="Cambria" w:hAnsi="Cambria"/>
                <w:noProof/>
              </w:rPr>
            </w:pPr>
            <w:r w:rsidRPr="00AB15C7">
              <w:rPr>
                <w:rFonts w:ascii="Cambria" w:hAnsi="Cambria"/>
                <w:noProof/>
              </w:rPr>
              <w:t>0,5</w:t>
            </w:r>
          </w:p>
        </w:tc>
        <w:tc>
          <w:tcPr>
            <w:tcW w:w="1323" w:type="dxa"/>
            <w:shd w:val="clear" w:color="auto" w:fill="auto"/>
            <w:noWrap/>
            <w:vAlign w:val="bottom"/>
            <w:hideMark/>
          </w:tcPr>
          <w:p w14:paraId="5929108B" w14:textId="77777777" w:rsidR="00642269" w:rsidRPr="00AB15C7" w:rsidRDefault="00642269" w:rsidP="005921EF">
            <w:pPr>
              <w:spacing w:after="0"/>
              <w:jc w:val="both"/>
              <w:rPr>
                <w:rFonts w:ascii="Cambria" w:hAnsi="Cambria"/>
                <w:noProof/>
              </w:rPr>
            </w:pPr>
            <w:r w:rsidRPr="00AB15C7">
              <w:rPr>
                <w:rFonts w:ascii="Cambria" w:hAnsi="Cambria"/>
                <w:noProof/>
              </w:rPr>
              <w:t>10,689</w:t>
            </w:r>
          </w:p>
        </w:tc>
        <w:tc>
          <w:tcPr>
            <w:tcW w:w="841" w:type="dxa"/>
            <w:shd w:val="clear" w:color="auto" w:fill="auto"/>
            <w:noWrap/>
            <w:vAlign w:val="bottom"/>
            <w:hideMark/>
          </w:tcPr>
          <w:p w14:paraId="176C781E" w14:textId="77777777" w:rsidR="00642269" w:rsidRPr="00AB15C7" w:rsidRDefault="00642269" w:rsidP="005921EF">
            <w:pPr>
              <w:spacing w:after="0"/>
              <w:jc w:val="both"/>
              <w:rPr>
                <w:rFonts w:ascii="Cambria" w:hAnsi="Cambria"/>
                <w:noProof/>
              </w:rPr>
            </w:pPr>
            <w:r w:rsidRPr="00AB15C7">
              <w:rPr>
                <w:rFonts w:ascii="Cambria" w:hAnsi="Cambria"/>
                <w:noProof/>
              </w:rPr>
              <w:t xml:space="preserve">                  0,6 </w:t>
            </w:r>
          </w:p>
        </w:tc>
      </w:tr>
    </w:tbl>
    <w:p w14:paraId="029EE77A" w14:textId="77777777" w:rsidR="0049794A" w:rsidRPr="00AB15C7" w:rsidRDefault="0049794A" w:rsidP="005921EF">
      <w:pPr>
        <w:jc w:val="center"/>
        <w:rPr>
          <w:rFonts w:ascii="Cambria" w:hAnsi="Cambria"/>
          <w:i/>
          <w:noProof/>
          <w:lang w:val="sr-Latn-ME"/>
        </w:rPr>
      </w:pPr>
      <w:r w:rsidRPr="00AB15C7">
        <w:rPr>
          <w:rFonts w:ascii="Cambria" w:hAnsi="Cambria"/>
          <w:i/>
          <w:noProof/>
          <w:lang w:val="sr-Latn-ME"/>
        </w:rPr>
        <w:t>Izvor: MONSTAT</w:t>
      </w:r>
    </w:p>
    <w:p w14:paraId="2522E274" w14:textId="77777777" w:rsidR="000C17DD" w:rsidRPr="00AB15C7" w:rsidRDefault="00B12A23" w:rsidP="00940834">
      <w:pPr>
        <w:pStyle w:val="Heading2"/>
        <w:spacing w:after="120"/>
        <w:ind w:firstLine="720"/>
        <w:rPr>
          <w:noProof/>
          <w:sz w:val="22"/>
          <w:szCs w:val="22"/>
          <w:lang w:val="sr-Latn-RS"/>
        </w:rPr>
      </w:pPr>
      <w:bookmarkStart w:id="28" w:name="_Toc527353178"/>
      <w:r w:rsidRPr="00AB15C7">
        <w:rPr>
          <w:noProof/>
          <w:sz w:val="22"/>
          <w:szCs w:val="22"/>
          <w:lang w:val="en-US"/>
        </w:rPr>
        <w:t>2.</w:t>
      </w:r>
      <w:r w:rsidR="000E6B58" w:rsidRPr="00AB15C7">
        <w:rPr>
          <w:noProof/>
          <w:sz w:val="22"/>
          <w:szCs w:val="22"/>
          <w:lang w:val="en-US"/>
        </w:rPr>
        <w:t>2</w:t>
      </w:r>
      <w:r w:rsidR="00486EB8" w:rsidRPr="00AB15C7">
        <w:rPr>
          <w:noProof/>
          <w:sz w:val="22"/>
          <w:szCs w:val="22"/>
          <w:lang w:val="en-US"/>
        </w:rPr>
        <w:t>.1</w:t>
      </w:r>
      <w:r w:rsidR="000E6B58" w:rsidRPr="00AB15C7">
        <w:rPr>
          <w:noProof/>
          <w:sz w:val="22"/>
          <w:szCs w:val="22"/>
          <w:lang w:val="en-US"/>
        </w:rPr>
        <w:t>.</w:t>
      </w:r>
      <w:r w:rsidR="00C653DF" w:rsidRPr="00AB15C7">
        <w:rPr>
          <w:noProof/>
          <w:sz w:val="22"/>
          <w:szCs w:val="22"/>
          <w:lang w:val="en-US"/>
        </w:rPr>
        <w:t>2</w:t>
      </w:r>
      <w:r w:rsidR="0097377F" w:rsidRPr="00AB15C7">
        <w:rPr>
          <w:noProof/>
          <w:sz w:val="22"/>
          <w:szCs w:val="22"/>
          <w:lang w:val="en-US"/>
        </w:rPr>
        <w:t xml:space="preserve">. </w:t>
      </w:r>
      <w:r w:rsidR="0049794A" w:rsidRPr="00AB15C7">
        <w:rPr>
          <w:noProof/>
          <w:sz w:val="22"/>
          <w:szCs w:val="22"/>
        </w:rPr>
        <w:t>Hemikalij</w:t>
      </w:r>
      <w:r w:rsidR="0049794A" w:rsidRPr="00AB15C7">
        <w:rPr>
          <w:noProof/>
          <w:sz w:val="22"/>
          <w:szCs w:val="22"/>
          <w:lang w:val="sr-Latn-RS"/>
        </w:rPr>
        <w:t xml:space="preserve">e </w:t>
      </w:r>
      <w:r w:rsidR="001A3C68" w:rsidRPr="00AB15C7">
        <w:rPr>
          <w:noProof/>
          <w:sz w:val="22"/>
          <w:szCs w:val="22"/>
          <w:lang w:val="sr-Latn-RS"/>
        </w:rPr>
        <w:t>u domaćinstvima</w:t>
      </w:r>
      <w:r w:rsidR="00642269" w:rsidRPr="00AB15C7">
        <w:rPr>
          <w:noProof/>
          <w:sz w:val="22"/>
          <w:szCs w:val="22"/>
          <w:lang w:val="sr-Latn-RS"/>
        </w:rPr>
        <w:t xml:space="preserve"> i poljoprivrednim gazdinstvima</w:t>
      </w:r>
      <w:bookmarkEnd w:id="28"/>
    </w:p>
    <w:p w14:paraId="46563949" w14:textId="77777777" w:rsidR="000C17DD" w:rsidRPr="00AB15C7" w:rsidRDefault="00F132C4" w:rsidP="005921EF">
      <w:pPr>
        <w:spacing w:after="0"/>
        <w:jc w:val="both"/>
        <w:rPr>
          <w:rFonts w:ascii="Cambria" w:hAnsi="Cambria"/>
          <w:noProof/>
          <w:lang w:val="sr-Latn-ME"/>
        </w:rPr>
      </w:pPr>
      <w:r w:rsidRPr="00AB15C7">
        <w:rPr>
          <w:rFonts w:ascii="Cambria" w:hAnsi="Cambria"/>
          <w:noProof/>
          <w:lang w:val="sr-Latn-ME"/>
        </w:rPr>
        <w:t>U</w:t>
      </w:r>
      <w:r w:rsidR="00270BD8" w:rsidRPr="00AB15C7">
        <w:rPr>
          <w:rFonts w:ascii="Cambria" w:hAnsi="Cambria"/>
          <w:noProof/>
          <w:lang w:val="sr-Latn-ME"/>
        </w:rPr>
        <w:t xml:space="preserve"> tabeli </w:t>
      </w:r>
      <w:r w:rsidR="003A2D38" w:rsidRPr="00AB15C7">
        <w:rPr>
          <w:rFonts w:ascii="Cambria" w:hAnsi="Cambria"/>
          <w:noProof/>
          <w:lang w:val="sr-Latn-ME"/>
        </w:rPr>
        <w:t>1</w:t>
      </w:r>
      <w:r w:rsidR="0065073A" w:rsidRPr="00AB15C7">
        <w:rPr>
          <w:rFonts w:ascii="Cambria" w:hAnsi="Cambria"/>
          <w:noProof/>
          <w:lang w:val="sr-Latn-ME"/>
        </w:rPr>
        <w:t>1</w:t>
      </w:r>
      <w:r w:rsidR="003A2D38" w:rsidRPr="00AB15C7">
        <w:rPr>
          <w:rFonts w:ascii="Cambria" w:hAnsi="Cambria"/>
          <w:noProof/>
          <w:lang w:val="sr-Latn-ME"/>
        </w:rPr>
        <w:t>.</w:t>
      </w:r>
      <w:r w:rsidRPr="00AB15C7">
        <w:rPr>
          <w:rFonts w:ascii="Cambria" w:hAnsi="Cambria"/>
          <w:noProof/>
          <w:lang w:val="sr-Latn-ME"/>
        </w:rPr>
        <w:t xml:space="preserve"> dati</w:t>
      </w:r>
      <w:r w:rsidR="00270BD8" w:rsidRPr="00AB15C7">
        <w:rPr>
          <w:rFonts w:ascii="Cambria" w:hAnsi="Cambria"/>
          <w:noProof/>
          <w:lang w:val="sr-Latn-ME"/>
        </w:rPr>
        <w:t xml:space="preserve"> su</w:t>
      </w:r>
      <w:r w:rsidRPr="00AB15C7">
        <w:rPr>
          <w:rFonts w:ascii="Cambria" w:hAnsi="Cambria"/>
          <w:noProof/>
          <w:lang w:val="sr-Latn-ME"/>
        </w:rPr>
        <w:t xml:space="preserve"> podaci </w:t>
      </w:r>
      <w:r w:rsidR="000F319E" w:rsidRPr="00AB15C7">
        <w:rPr>
          <w:rFonts w:ascii="Cambria" w:hAnsi="Cambria"/>
          <w:noProof/>
          <w:lang w:val="sr-Latn-ME"/>
        </w:rPr>
        <w:t xml:space="preserve">iz ankete o potrošnji domaćinstava </w:t>
      </w:r>
      <w:r w:rsidR="00270BD8" w:rsidRPr="00AB15C7">
        <w:rPr>
          <w:rFonts w:ascii="Cambria" w:hAnsi="Cambria"/>
          <w:noProof/>
          <w:lang w:val="sr-Latn-ME"/>
        </w:rPr>
        <w:t xml:space="preserve">koji </w:t>
      </w:r>
      <w:r w:rsidRPr="00AB15C7">
        <w:rPr>
          <w:rFonts w:ascii="Cambria" w:hAnsi="Cambria"/>
          <w:noProof/>
          <w:lang w:val="sr-Latn-ME"/>
        </w:rPr>
        <w:t xml:space="preserve">se odnose na potrošnju </w:t>
      </w:r>
      <w:r w:rsidR="00270BD8" w:rsidRPr="00AB15C7">
        <w:rPr>
          <w:rFonts w:ascii="Cambria" w:hAnsi="Cambria"/>
          <w:noProof/>
          <w:lang w:val="sr-Latn-ME"/>
        </w:rPr>
        <w:t xml:space="preserve">hemikalija </w:t>
      </w:r>
      <w:r w:rsidRPr="00AB15C7">
        <w:rPr>
          <w:rFonts w:ascii="Cambria" w:hAnsi="Cambria"/>
          <w:noProof/>
          <w:lang w:val="sr-Latn-ME"/>
        </w:rPr>
        <w:t>u domaćinstvima</w:t>
      </w:r>
      <w:r w:rsidR="00270BD8" w:rsidRPr="00AB15C7">
        <w:rPr>
          <w:rFonts w:ascii="Cambria" w:hAnsi="Cambria"/>
          <w:noProof/>
          <w:lang w:val="sr-Latn-ME"/>
        </w:rPr>
        <w:t>, i to</w:t>
      </w:r>
      <w:r w:rsidRPr="00AB15C7">
        <w:rPr>
          <w:rFonts w:ascii="Cambria" w:hAnsi="Cambria"/>
          <w:noProof/>
          <w:lang w:val="sr-Latn-ME"/>
        </w:rPr>
        <w:t>:</w:t>
      </w:r>
      <w:r w:rsidR="00270BD8" w:rsidRPr="00AB15C7">
        <w:rPr>
          <w:rFonts w:ascii="Cambria" w:hAnsi="Cambria"/>
          <w:noProof/>
          <w:lang w:val="sr-Latn-ME"/>
        </w:rPr>
        <w:t xml:space="preserve"> (1) </w:t>
      </w:r>
      <w:r w:rsidRPr="00AB15C7">
        <w:rPr>
          <w:rFonts w:ascii="Cambria" w:hAnsi="Cambria"/>
          <w:noProof/>
          <w:lang w:val="sr-Latn-ME"/>
        </w:rPr>
        <w:t xml:space="preserve">proizvoda za </w:t>
      </w:r>
      <w:r w:rsidR="000F319E" w:rsidRPr="00AB15C7">
        <w:rPr>
          <w:rFonts w:ascii="Cambria" w:hAnsi="Cambria"/>
          <w:noProof/>
          <w:lang w:val="sr-Latn-ME"/>
        </w:rPr>
        <w:t xml:space="preserve">redovno </w:t>
      </w:r>
      <w:r w:rsidRPr="00AB15C7">
        <w:rPr>
          <w:rFonts w:ascii="Cambria" w:hAnsi="Cambria"/>
          <w:noProof/>
          <w:lang w:val="sr-Latn-ME"/>
        </w:rPr>
        <w:t xml:space="preserve">održavanje stana </w:t>
      </w:r>
      <w:r w:rsidR="00270BD8" w:rsidRPr="00AB15C7">
        <w:rPr>
          <w:rFonts w:ascii="Cambria" w:hAnsi="Cambria"/>
          <w:noProof/>
          <w:lang w:val="sr-Latn-ME"/>
        </w:rPr>
        <w:t xml:space="preserve">i (2) ostalih </w:t>
      </w:r>
      <w:r w:rsidRPr="00AB15C7">
        <w:rPr>
          <w:rFonts w:ascii="Cambria" w:hAnsi="Cambria"/>
          <w:noProof/>
          <w:lang w:val="sr-Latn-ME"/>
        </w:rPr>
        <w:t>predmeta za ličnu njegu</w:t>
      </w:r>
      <w:r w:rsidR="00651083" w:rsidRPr="00AB15C7">
        <w:rPr>
          <w:rFonts w:ascii="Cambria" w:hAnsi="Cambria"/>
          <w:noProof/>
          <w:lang w:val="sr-Latn-ME"/>
        </w:rPr>
        <w:t>.</w:t>
      </w:r>
      <w:r w:rsidR="00651083" w:rsidRPr="00AB15C7">
        <w:rPr>
          <w:rStyle w:val="FootnoteReference"/>
          <w:rFonts w:ascii="Cambria" w:hAnsi="Cambria"/>
          <w:noProof/>
          <w:lang w:val="sr-Latn-ME"/>
        </w:rPr>
        <w:footnoteReference w:id="12"/>
      </w:r>
      <w:r w:rsidR="00651083" w:rsidRPr="00AB15C7">
        <w:rPr>
          <w:rFonts w:ascii="Cambria" w:hAnsi="Cambria"/>
          <w:noProof/>
          <w:lang w:val="sr-Latn-ME"/>
        </w:rPr>
        <w:t xml:space="preserve"> </w:t>
      </w:r>
      <w:r w:rsidR="000F319E" w:rsidRPr="00AB15C7">
        <w:rPr>
          <w:rFonts w:ascii="Cambria" w:hAnsi="Cambria"/>
          <w:noProof/>
          <w:lang w:val="sr-Latn-ME"/>
        </w:rPr>
        <w:t xml:space="preserve">U anketi je primijenjen dvoetapni stratifikovani uzorak, sa popisnim krugovima kao primarnim i domaćinstvima kao sekundarnim jedinicama izbora. </w:t>
      </w:r>
    </w:p>
    <w:p w14:paraId="74E07863" w14:textId="77777777" w:rsidR="00F00CF3" w:rsidRPr="00AB15C7" w:rsidRDefault="00F00CF3" w:rsidP="005921EF">
      <w:pPr>
        <w:spacing w:after="0"/>
        <w:jc w:val="both"/>
        <w:rPr>
          <w:rFonts w:ascii="Cambria" w:hAnsi="Cambria"/>
          <w:noProof/>
          <w:lang w:val="sr-Latn-ME"/>
        </w:rPr>
      </w:pPr>
    </w:p>
    <w:p w14:paraId="1A2F005B" w14:textId="77777777" w:rsidR="00651083" w:rsidRPr="00940834" w:rsidRDefault="00F00CF3" w:rsidP="005921EF">
      <w:pPr>
        <w:spacing w:after="120"/>
        <w:jc w:val="center"/>
        <w:rPr>
          <w:rFonts w:ascii="Cambria" w:hAnsi="Cambria"/>
          <w:noProof/>
          <w:lang w:val="sr-Latn-ME"/>
        </w:rPr>
      </w:pPr>
      <w:r w:rsidRPr="00940834">
        <w:rPr>
          <w:rFonts w:ascii="Cambria" w:hAnsi="Cambria"/>
          <w:i/>
          <w:noProof/>
          <w:lang w:val="sr-Latn-ME"/>
        </w:rPr>
        <w:t>T</w:t>
      </w:r>
      <w:r w:rsidR="00651083" w:rsidRPr="00940834">
        <w:rPr>
          <w:rFonts w:ascii="Cambria" w:hAnsi="Cambria"/>
          <w:i/>
          <w:noProof/>
          <w:lang w:val="sr-Latn-ME"/>
        </w:rPr>
        <w:t xml:space="preserve">abela </w:t>
      </w:r>
      <w:r w:rsidR="003A2D38" w:rsidRPr="00940834">
        <w:rPr>
          <w:rFonts w:ascii="Cambria" w:hAnsi="Cambria"/>
          <w:i/>
          <w:noProof/>
          <w:lang w:val="sr-Latn-ME"/>
        </w:rPr>
        <w:t>1</w:t>
      </w:r>
      <w:r w:rsidR="0065073A" w:rsidRPr="00940834">
        <w:rPr>
          <w:rFonts w:ascii="Cambria" w:hAnsi="Cambria"/>
          <w:i/>
          <w:noProof/>
          <w:lang w:val="sr-Latn-ME"/>
        </w:rPr>
        <w:t>1</w:t>
      </w:r>
      <w:r w:rsidR="00651083" w:rsidRPr="00940834">
        <w:rPr>
          <w:rFonts w:ascii="Cambria" w:hAnsi="Cambria"/>
          <w:i/>
          <w:noProof/>
          <w:lang w:val="sr-Latn-ME"/>
        </w:rPr>
        <w:t xml:space="preserve">. </w:t>
      </w:r>
      <w:r w:rsidR="00651083" w:rsidRPr="00940834">
        <w:rPr>
          <w:rFonts w:ascii="Cambria" w:hAnsi="Cambria"/>
          <w:noProof/>
          <w:lang w:val="sr-Latn-ME"/>
        </w:rPr>
        <w:t xml:space="preserve">Lična potrošnja po grupama proizvoda u Crnoj Gori </w:t>
      </w:r>
      <w:r w:rsidR="00961D3D" w:rsidRPr="00940834">
        <w:rPr>
          <w:rFonts w:ascii="Cambria" w:hAnsi="Cambria"/>
          <w:noProof/>
          <w:lang w:val="sr-Latn-ME"/>
        </w:rPr>
        <w:t xml:space="preserve">za 2015. i </w:t>
      </w:r>
      <w:r w:rsidR="00651083" w:rsidRPr="00940834">
        <w:rPr>
          <w:rFonts w:ascii="Cambria" w:hAnsi="Cambria"/>
          <w:noProof/>
          <w:lang w:val="sr-Latn-ME"/>
        </w:rPr>
        <w:t xml:space="preserve"> 201</w:t>
      </w:r>
      <w:r w:rsidR="000F319E" w:rsidRPr="00940834">
        <w:rPr>
          <w:rFonts w:ascii="Cambria" w:hAnsi="Cambria"/>
          <w:noProof/>
          <w:lang w:val="sr-Latn-ME"/>
        </w:rPr>
        <w:t>7</w:t>
      </w:r>
      <w:r w:rsidR="00651083" w:rsidRPr="00940834">
        <w:rPr>
          <w:rFonts w:ascii="Cambria" w:hAnsi="Cambria"/>
          <w:noProof/>
          <w:lang w:val="sr-Latn-ME"/>
        </w:rPr>
        <w:t>. (mjesečni prosjek</w:t>
      </w:r>
      <w:r w:rsidR="00651083" w:rsidRPr="00940834">
        <w:rPr>
          <w:rFonts w:ascii="Cambria" w:hAnsi="Cambria"/>
          <w:noProof/>
        </w:rPr>
        <w:t xml:space="preserve"> 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7"/>
        <w:gridCol w:w="1458"/>
        <w:gridCol w:w="1516"/>
        <w:gridCol w:w="1949"/>
      </w:tblGrid>
      <w:tr w:rsidR="009561CD" w:rsidRPr="00AB15C7" w14:paraId="255C7503" w14:textId="77777777" w:rsidTr="0066183A">
        <w:tc>
          <w:tcPr>
            <w:tcW w:w="4347" w:type="dxa"/>
            <w:shd w:val="clear" w:color="auto" w:fill="D9D9D9"/>
            <w:vAlign w:val="center"/>
          </w:tcPr>
          <w:p w14:paraId="182D556A" w14:textId="77777777" w:rsidR="009561CD" w:rsidRPr="00AB15C7" w:rsidRDefault="009561CD" w:rsidP="005921EF">
            <w:pPr>
              <w:spacing w:after="0"/>
              <w:rPr>
                <w:rFonts w:ascii="Cambria" w:hAnsi="Cambria"/>
                <w:b/>
                <w:bCs/>
                <w:noProof/>
              </w:rPr>
            </w:pPr>
          </w:p>
        </w:tc>
        <w:tc>
          <w:tcPr>
            <w:tcW w:w="1458" w:type="dxa"/>
            <w:shd w:val="clear" w:color="auto" w:fill="D9D9D9"/>
          </w:tcPr>
          <w:p w14:paraId="1E327962" w14:textId="77777777" w:rsidR="009561CD" w:rsidRPr="00AB15C7" w:rsidRDefault="009561CD" w:rsidP="005921EF">
            <w:pPr>
              <w:spacing w:after="0"/>
              <w:jc w:val="right"/>
              <w:rPr>
                <w:rFonts w:ascii="Cambria" w:hAnsi="Cambria"/>
                <w:b/>
                <w:bCs/>
                <w:noProof/>
              </w:rPr>
            </w:pPr>
            <w:r w:rsidRPr="00AB15C7">
              <w:rPr>
                <w:rFonts w:ascii="Cambria" w:hAnsi="Cambria"/>
                <w:b/>
                <w:bCs/>
                <w:noProof/>
                <w:lang w:val="sr-Latn-ME"/>
              </w:rPr>
              <w:t>COICOP</w:t>
            </w:r>
          </w:p>
        </w:tc>
        <w:tc>
          <w:tcPr>
            <w:tcW w:w="1516" w:type="dxa"/>
            <w:shd w:val="clear" w:color="auto" w:fill="D9D9D9"/>
            <w:vAlign w:val="center"/>
          </w:tcPr>
          <w:p w14:paraId="11676F15" w14:textId="77777777" w:rsidR="009561CD" w:rsidRPr="00AB15C7" w:rsidRDefault="009561CD" w:rsidP="005921EF">
            <w:pPr>
              <w:spacing w:after="0"/>
              <w:jc w:val="right"/>
              <w:rPr>
                <w:rFonts w:ascii="Cambria" w:hAnsi="Cambria"/>
                <w:b/>
                <w:bCs/>
                <w:noProof/>
              </w:rPr>
            </w:pPr>
            <w:r w:rsidRPr="00AB15C7">
              <w:rPr>
                <w:rFonts w:ascii="Cambria" w:hAnsi="Cambria"/>
                <w:b/>
                <w:bCs/>
                <w:noProof/>
              </w:rPr>
              <w:t>2015.</w:t>
            </w:r>
          </w:p>
        </w:tc>
        <w:tc>
          <w:tcPr>
            <w:tcW w:w="1949" w:type="dxa"/>
            <w:shd w:val="clear" w:color="auto" w:fill="D9D9D9"/>
            <w:vAlign w:val="center"/>
          </w:tcPr>
          <w:p w14:paraId="481D413C" w14:textId="77777777" w:rsidR="009561CD" w:rsidRPr="00AB15C7" w:rsidRDefault="009561CD" w:rsidP="005921EF">
            <w:pPr>
              <w:spacing w:after="0"/>
              <w:jc w:val="right"/>
              <w:rPr>
                <w:rFonts w:ascii="Cambria" w:hAnsi="Cambria"/>
                <w:b/>
                <w:noProof/>
                <w:lang w:val="sr-Latn-ME"/>
              </w:rPr>
            </w:pPr>
            <w:r w:rsidRPr="00AB15C7">
              <w:rPr>
                <w:rFonts w:ascii="Cambria" w:hAnsi="Cambria"/>
                <w:b/>
                <w:noProof/>
                <w:lang w:val="sr-Latn-ME"/>
              </w:rPr>
              <w:t>2017.</w:t>
            </w:r>
          </w:p>
        </w:tc>
      </w:tr>
      <w:tr w:rsidR="009561CD" w:rsidRPr="00AB15C7" w14:paraId="6D64F270" w14:textId="77777777" w:rsidTr="0066183A">
        <w:tc>
          <w:tcPr>
            <w:tcW w:w="4347" w:type="dxa"/>
            <w:shd w:val="clear" w:color="auto" w:fill="D9D9D9"/>
            <w:vAlign w:val="center"/>
          </w:tcPr>
          <w:p w14:paraId="6701C23D" w14:textId="77777777" w:rsidR="009561CD" w:rsidRPr="00AB15C7" w:rsidRDefault="009561CD" w:rsidP="005921EF">
            <w:pPr>
              <w:spacing w:after="0"/>
              <w:rPr>
                <w:rFonts w:ascii="Cambria" w:hAnsi="Cambria"/>
                <w:b/>
                <w:bCs/>
                <w:noProof/>
                <w:lang w:val="sr-Latn-ME"/>
              </w:rPr>
            </w:pPr>
            <w:r w:rsidRPr="00AB15C7">
              <w:rPr>
                <w:rFonts w:ascii="Cambria" w:hAnsi="Cambria"/>
                <w:b/>
                <w:bCs/>
                <w:noProof/>
                <w:lang w:val="sr-Latn-ME"/>
              </w:rPr>
              <w:t>Proizvodi za redovno održavanje stana</w:t>
            </w:r>
          </w:p>
        </w:tc>
        <w:tc>
          <w:tcPr>
            <w:tcW w:w="1458" w:type="dxa"/>
          </w:tcPr>
          <w:p w14:paraId="4985894F" w14:textId="77777777" w:rsidR="009561CD" w:rsidRPr="00AB15C7" w:rsidDel="0097377F" w:rsidRDefault="009561CD" w:rsidP="005921EF">
            <w:pPr>
              <w:spacing w:after="0"/>
              <w:jc w:val="right"/>
              <w:rPr>
                <w:rFonts w:ascii="Cambria" w:hAnsi="Cambria"/>
                <w:noProof/>
                <w:lang w:val="sr-Latn-ME"/>
              </w:rPr>
            </w:pPr>
            <w:r w:rsidRPr="00AB15C7">
              <w:rPr>
                <w:rFonts w:ascii="Cambria" w:hAnsi="Cambria"/>
                <w:noProof/>
                <w:lang w:val="sr-Latn-ME"/>
              </w:rPr>
              <w:t>05.6.1.1</w:t>
            </w:r>
          </w:p>
        </w:tc>
        <w:tc>
          <w:tcPr>
            <w:tcW w:w="1516" w:type="dxa"/>
            <w:shd w:val="clear" w:color="auto" w:fill="auto"/>
            <w:vAlign w:val="center"/>
          </w:tcPr>
          <w:p w14:paraId="22F16BCD" w14:textId="77777777" w:rsidR="009561CD" w:rsidRPr="00AB15C7" w:rsidRDefault="009561CD" w:rsidP="005921EF">
            <w:pPr>
              <w:spacing w:after="0"/>
              <w:jc w:val="right"/>
              <w:rPr>
                <w:rFonts w:ascii="Cambria" w:hAnsi="Cambria"/>
                <w:noProof/>
                <w:lang w:val="sr-Latn-ME"/>
              </w:rPr>
            </w:pPr>
            <w:r w:rsidRPr="00AB15C7">
              <w:rPr>
                <w:rFonts w:ascii="Cambria" w:hAnsi="Cambria"/>
                <w:noProof/>
              </w:rPr>
              <w:t>1 794 707</w:t>
            </w:r>
          </w:p>
        </w:tc>
        <w:tc>
          <w:tcPr>
            <w:tcW w:w="1949" w:type="dxa"/>
            <w:shd w:val="clear" w:color="auto" w:fill="auto"/>
            <w:vAlign w:val="center"/>
          </w:tcPr>
          <w:p w14:paraId="22C1519E" w14:textId="77777777" w:rsidR="009561CD" w:rsidRPr="00AB15C7" w:rsidRDefault="009561CD" w:rsidP="005921EF">
            <w:pPr>
              <w:spacing w:after="0"/>
              <w:jc w:val="right"/>
              <w:rPr>
                <w:rFonts w:ascii="Cambria" w:hAnsi="Cambria"/>
                <w:noProof/>
                <w:lang w:val="sr-Latn-ME"/>
              </w:rPr>
            </w:pPr>
            <w:r w:rsidRPr="00AB15C7">
              <w:rPr>
                <w:rFonts w:ascii="Cambria" w:hAnsi="Cambria"/>
                <w:noProof/>
                <w:lang w:val="sr-Latn-ME"/>
              </w:rPr>
              <w:t>1 989 242</w:t>
            </w:r>
          </w:p>
        </w:tc>
      </w:tr>
      <w:tr w:rsidR="009561CD" w:rsidRPr="00AB15C7" w14:paraId="02A73822" w14:textId="77777777" w:rsidTr="0066183A">
        <w:tc>
          <w:tcPr>
            <w:tcW w:w="4347" w:type="dxa"/>
            <w:shd w:val="clear" w:color="auto" w:fill="D9D9D9"/>
            <w:vAlign w:val="center"/>
          </w:tcPr>
          <w:p w14:paraId="54B59CEF" w14:textId="77777777" w:rsidR="009561CD" w:rsidRPr="00AB15C7" w:rsidRDefault="009561CD" w:rsidP="005921EF">
            <w:pPr>
              <w:spacing w:after="0"/>
              <w:jc w:val="both"/>
              <w:rPr>
                <w:rFonts w:ascii="Cambria" w:hAnsi="Cambria"/>
                <w:b/>
                <w:bCs/>
                <w:noProof/>
                <w:lang w:val="sr-Latn-ME"/>
              </w:rPr>
            </w:pPr>
            <w:r w:rsidRPr="00AB15C7">
              <w:rPr>
                <w:rFonts w:ascii="Cambria" w:hAnsi="Cambria"/>
                <w:b/>
                <w:bCs/>
                <w:noProof/>
                <w:lang w:val="sr-Latn-ME"/>
              </w:rPr>
              <w:lastRenderedPageBreak/>
              <w:t xml:space="preserve">Ostali predmeti za ličnu njegu </w:t>
            </w:r>
          </w:p>
        </w:tc>
        <w:tc>
          <w:tcPr>
            <w:tcW w:w="1458" w:type="dxa"/>
          </w:tcPr>
          <w:p w14:paraId="56526C8B" w14:textId="77777777" w:rsidR="009561CD" w:rsidRPr="00AB15C7" w:rsidRDefault="009561CD" w:rsidP="005921EF">
            <w:pPr>
              <w:spacing w:after="0"/>
              <w:jc w:val="right"/>
              <w:rPr>
                <w:rFonts w:ascii="Cambria" w:hAnsi="Cambria"/>
                <w:noProof/>
              </w:rPr>
            </w:pPr>
            <w:r w:rsidRPr="00AB15C7">
              <w:rPr>
                <w:rFonts w:ascii="Cambria" w:hAnsi="Cambria"/>
                <w:noProof/>
                <w:lang w:val="sr-Latn-ME"/>
              </w:rPr>
              <w:t>12.1.3.1</w:t>
            </w:r>
          </w:p>
        </w:tc>
        <w:tc>
          <w:tcPr>
            <w:tcW w:w="1516" w:type="dxa"/>
            <w:shd w:val="clear" w:color="auto" w:fill="auto"/>
            <w:vAlign w:val="center"/>
          </w:tcPr>
          <w:p w14:paraId="331AE3AB" w14:textId="77777777" w:rsidR="009561CD" w:rsidRPr="00AB15C7" w:rsidRDefault="009561CD" w:rsidP="005921EF">
            <w:pPr>
              <w:spacing w:after="0"/>
              <w:jc w:val="right"/>
              <w:rPr>
                <w:rFonts w:ascii="Cambria" w:hAnsi="Cambria"/>
                <w:noProof/>
                <w:lang w:val="sr-Latn-ME"/>
              </w:rPr>
            </w:pPr>
            <w:r w:rsidRPr="00AB15C7">
              <w:rPr>
                <w:rFonts w:ascii="Cambria" w:hAnsi="Cambria"/>
                <w:noProof/>
              </w:rPr>
              <w:t>2 843 756</w:t>
            </w:r>
          </w:p>
        </w:tc>
        <w:tc>
          <w:tcPr>
            <w:tcW w:w="1949" w:type="dxa"/>
            <w:shd w:val="clear" w:color="auto" w:fill="auto"/>
            <w:vAlign w:val="center"/>
          </w:tcPr>
          <w:p w14:paraId="299CE26D" w14:textId="77777777" w:rsidR="009561CD" w:rsidRPr="00AB15C7" w:rsidRDefault="009561CD" w:rsidP="005921EF">
            <w:pPr>
              <w:spacing w:after="0"/>
              <w:jc w:val="right"/>
              <w:rPr>
                <w:rFonts w:ascii="Cambria" w:hAnsi="Cambria"/>
                <w:noProof/>
                <w:lang w:val="sr-Latn-ME"/>
              </w:rPr>
            </w:pPr>
            <w:r w:rsidRPr="00AB15C7">
              <w:rPr>
                <w:rFonts w:ascii="Cambria" w:hAnsi="Cambria"/>
                <w:noProof/>
                <w:lang w:val="sr-Latn-ME"/>
              </w:rPr>
              <w:t>2 962 895</w:t>
            </w:r>
          </w:p>
        </w:tc>
      </w:tr>
    </w:tbl>
    <w:p w14:paraId="64211D3B" w14:textId="77777777" w:rsidR="00651083" w:rsidRPr="00AB15C7" w:rsidRDefault="00651083" w:rsidP="005921EF">
      <w:pPr>
        <w:jc w:val="center"/>
        <w:rPr>
          <w:rFonts w:ascii="Cambria" w:hAnsi="Cambria"/>
          <w:i/>
          <w:noProof/>
        </w:rPr>
      </w:pPr>
      <w:r w:rsidRPr="00AB15C7">
        <w:rPr>
          <w:rFonts w:ascii="Cambria" w:hAnsi="Cambria"/>
          <w:i/>
          <w:noProof/>
          <w:lang w:val="sr-Latn-ME"/>
        </w:rPr>
        <w:t>Izvor: Anketa o potrošnji domaćinstava</w:t>
      </w:r>
      <w:r w:rsidR="008A7504" w:rsidRPr="00AB15C7">
        <w:rPr>
          <w:rFonts w:ascii="Cambria" w:hAnsi="Cambria"/>
          <w:i/>
          <w:noProof/>
          <w:lang w:val="sr-Latn-ME"/>
        </w:rPr>
        <w:t>-MONSTAT</w:t>
      </w:r>
    </w:p>
    <w:p w14:paraId="656B5912" w14:textId="77777777" w:rsidR="009C0247" w:rsidRDefault="009C0247" w:rsidP="005921EF">
      <w:pPr>
        <w:jc w:val="both"/>
        <w:rPr>
          <w:rFonts w:ascii="Cambria" w:hAnsi="Cambria"/>
          <w:noProof/>
          <w:lang w:val="sr-Latn-ME"/>
        </w:rPr>
      </w:pPr>
    </w:p>
    <w:p w14:paraId="6244E2F3" w14:textId="77777777" w:rsidR="006838F1" w:rsidRDefault="00765C17" w:rsidP="005921EF">
      <w:pPr>
        <w:jc w:val="both"/>
        <w:rPr>
          <w:rFonts w:ascii="Cambria" w:hAnsi="Cambria"/>
          <w:noProof/>
          <w:lang w:val="sr-Latn-ME"/>
        </w:rPr>
      </w:pPr>
      <w:r w:rsidRPr="00AB15C7">
        <w:rPr>
          <w:rFonts w:ascii="Cambria" w:hAnsi="Cambria"/>
          <w:noProof/>
          <w:lang w:val="sr-Latn-ME"/>
        </w:rPr>
        <w:t xml:space="preserve">Prema statističkim podacima o </w:t>
      </w:r>
      <w:r w:rsidRPr="00AB15C7">
        <w:rPr>
          <w:rFonts w:ascii="Cambria" w:hAnsi="Cambria"/>
          <w:noProof/>
        </w:rPr>
        <w:t>potrošnji sredstava za zaštitu bilja</w:t>
      </w:r>
      <w:r w:rsidR="002E33B2" w:rsidRPr="00AB15C7">
        <w:rPr>
          <w:rFonts w:ascii="Cambria" w:hAnsi="Cambria"/>
          <w:noProof/>
        </w:rPr>
        <w:t xml:space="preserve">, </w:t>
      </w:r>
      <w:r w:rsidRPr="00AB15C7">
        <w:rPr>
          <w:rFonts w:ascii="Cambria" w:hAnsi="Cambria"/>
          <w:noProof/>
        </w:rPr>
        <w:t xml:space="preserve"> </w:t>
      </w:r>
      <w:r w:rsidRPr="00AB15C7">
        <w:rPr>
          <w:rFonts w:ascii="Cambria" w:hAnsi="Cambria"/>
          <w:noProof/>
          <w:lang w:val="sr-Latn-ME"/>
        </w:rPr>
        <w:t xml:space="preserve">u Crnoj Gori </w:t>
      </w:r>
      <w:r w:rsidR="002E33B2" w:rsidRPr="00AB15C7">
        <w:rPr>
          <w:rFonts w:ascii="Cambria" w:hAnsi="Cambria"/>
          <w:noProof/>
          <w:lang w:val="sr-Latn-ME"/>
        </w:rPr>
        <w:t>se godišnje utroši 75-90 tona sred</w:t>
      </w:r>
      <w:r w:rsidR="001230F2" w:rsidRPr="00AB15C7">
        <w:rPr>
          <w:rFonts w:ascii="Cambria" w:hAnsi="Cambria"/>
          <w:noProof/>
          <w:lang w:val="sr-Latn-ME"/>
        </w:rPr>
        <w:t>s</w:t>
      </w:r>
      <w:r w:rsidR="002E33B2" w:rsidRPr="00AB15C7">
        <w:rPr>
          <w:rFonts w:ascii="Cambria" w:hAnsi="Cambria"/>
          <w:noProof/>
          <w:lang w:val="sr-Latn-ME"/>
        </w:rPr>
        <w:t>tava za zaštitu bilja od čega najviše fungicida</w:t>
      </w:r>
      <w:r w:rsidR="00F132C4" w:rsidRPr="00AB15C7">
        <w:rPr>
          <w:rFonts w:ascii="Cambria" w:hAnsi="Cambria"/>
          <w:noProof/>
          <w:lang w:val="sr-Latn-ME"/>
        </w:rPr>
        <w:t>.</w:t>
      </w:r>
      <w:r w:rsidR="00E459AE" w:rsidRPr="00AB15C7">
        <w:rPr>
          <w:rFonts w:ascii="Cambria" w:hAnsi="Cambria"/>
          <w:noProof/>
          <w:lang w:val="sr-Latn-ME"/>
        </w:rPr>
        <w:t xml:space="preserve"> </w:t>
      </w:r>
      <w:r w:rsidR="006838F1" w:rsidRPr="00AB15C7">
        <w:rPr>
          <w:rFonts w:ascii="Cambria" w:hAnsi="Cambria"/>
          <w:noProof/>
          <w:lang w:val="sr-Latn-ME"/>
        </w:rPr>
        <w:t xml:space="preserve">Prikaz </w:t>
      </w:r>
      <w:r w:rsidR="00ED565B" w:rsidRPr="00AB15C7">
        <w:rPr>
          <w:rFonts w:ascii="Cambria" w:hAnsi="Cambria"/>
          <w:noProof/>
          <w:lang w:val="sr-Latn-ME"/>
        </w:rPr>
        <w:t xml:space="preserve">potrošnje sredstava za zaštitu bilja u Crnoj Gori </w:t>
      </w:r>
      <w:r w:rsidR="002E33B2" w:rsidRPr="00AB15C7">
        <w:rPr>
          <w:rFonts w:ascii="Cambria" w:hAnsi="Cambria"/>
          <w:noProof/>
          <w:lang w:val="sr-Latn-ME"/>
        </w:rPr>
        <w:t xml:space="preserve">za 2013-2016. god. </w:t>
      </w:r>
      <w:r w:rsidR="006838F1" w:rsidRPr="00AB15C7">
        <w:rPr>
          <w:rFonts w:ascii="Cambria" w:hAnsi="Cambria"/>
          <w:noProof/>
          <w:lang w:val="sr-Latn-ME"/>
        </w:rPr>
        <w:t xml:space="preserve">dat je u </w:t>
      </w:r>
      <w:r w:rsidR="00E459AE" w:rsidRPr="00AB15C7">
        <w:rPr>
          <w:rFonts w:ascii="Cambria" w:hAnsi="Cambria"/>
          <w:noProof/>
          <w:lang w:val="sr-Latn-ME"/>
        </w:rPr>
        <w:t>t</w:t>
      </w:r>
      <w:r w:rsidR="006838F1" w:rsidRPr="00AB15C7">
        <w:rPr>
          <w:rFonts w:ascii="Cambria" w:hAnsi="Cambria"/>
          <w:noProof/>
          <w:lang w:val="sr-Latn-ME"/>
        </w:rPr>
        <w:t>abeli</w:t>
      </w:r>
      <w:r w:rsidR="00D54720" w:rsidRPr="00AB15C7">
        <w:rPr>
          <w:rFonts w:ascii="Cambria" w:hAnsi="Cambria"/>
          <w:noProof/>
          <w:lang w:val="sr-Latn-ME"/>
        </w:rPr>
        <w:t xml:space="preserve"> br. </w:t>
      </w:r>
      <w:r w:rsidR="003A2D38" w:rsidRPr="00AB15C7">
        <w:rPr>
          <w:rFonts w:ascii="Cambria" w:hAnsi="Cambria"/>
          <w:noProof/>
          <w:lang w:val="sr-Latn-ME"/>
        </w:rPr>
        <w:t>1</w:t>
      </w:r>
      <w:r w:rsidR="0065073A" w:rsidRPr="00AB15C7">
        <w:rPr>
          <w:rFonts w:ascii="Cambria" w:hAnsi="Cambria"/>
          <w:noProof/>
          <w:lang w:val="sr-Latn-ME"/>
        </w:rPr>
        <w:t>2</w:t>
      </w:r>
      <w:r w:rsidR="006838F1" w:rsidRPr="00AB15C7">
        <w:rPr>
          <w:rFonts w:ascii="Cambria" w:hAnsi="Cambria"/>
          <w:noProof/>
          <w:lang w:val="sr-Latn-ME"/>
        </w:rPr>
        <w:t>.</w:t>
      </w:r>
      <w:r w:rsidR="00711C3C" w:rsidRPr="00AB15C7">
        <w:rPr>
          <w:rStyle w:val="FootnoteReference"/>
          <w:rFonts w:ascii="Cambria" w:hAnsi="Cambria"/>
          <w:noProof/>
          <w:lang w:val="sr-Latn-ME"/>
        </w:rPr>
        <w:t xml:space="preserve"> </w:t>
      </w:r>
      <w:r w:rsidR="00711C3C" w:rsidRPr="00AB15C7">
        <w:rPr>
          <w:rStyle w:val="FootnoteReference"/>
          <w:rFonts w:ascii="Cambria" w:hAnsi="Cambria"/>
          <w:noProof/>
          <w:lang w:val="sr-Latn-ME"/>
        </w:rPr>
        <w:footnoteReference w:id="13"/>
      </w:r>
    </w:p>
    <w:p w14:paraId="7073CEBC" w14:textId="77777777" w:rsidR="001E056D" w:rsidRPr="00AB15C7" w:rsidRDefault="001E056D" w:rsidP="00940834">
      <w:pPr>
        <w:spacing w:after="120"/>
        <w:jc w:val="center"/>
        <w:rPr>
          <w:rFonts w:ascii="Cambria" w:hAnsi="Cambria"/>
          <w:noProof/>
          <w:lang w:val="sr-Latn-ME"/>
        </w:rPr>
      </w:pPr>
      <w:r w:rsidRPr="00940834">
        <w:rPr>
          <w:rFonts w:ascii="Cambria" w:hAnsi="Cambria"/>
          <w:i/>
          <w:noProof/>
          <w:lang w:val="sr-Latn-ME"/>
        </w:rPr>
        <w:t xml:space="preserve">Tabela </w:t>
      </w:r>
      <w:r w:rsidR="003A2D38" w:rsidRPr="00940834">
        <w:rPr>
          <w:rFonts w:ascii="Cambria" w:hAnsi="Cambria"/>
          <w:i/>
          <w:noProof/>
          <w:lang w:val="sr-Latn-ME"/>
        </w:rPr>
        <w:t>1</w:t>
      </w:r>
      <w:r w:rsidR="0065073A" w:rsidRPr="00940834">
        <w:rPr>
          <w:rFonts w:ascii="Cambria" w:hAnsi="Cambria"/>
          <w:i/>
          <w:noProof/>
          <w:lang w:val="sr-Latn-ME"/>
        </w:rPr>
        <w:t>2</w:t>
      </w:r>
      <w:r w:rsidRPr="00AB15C7">
        <w:rPr>
          <w:rFonts w:ascii="Cambria" w:hAnsi="Cambria"/>
          <w:noProof/>
          <w:lang w:val="sr-Latn-ME"/>
        </w:rPr>
        <w:t xml:space="preserve">. Potrošnja sredstava za zaštitu bilja </w:t>
      </w:r>
      <w:r w:rsidR="002E33B2" w:rsidRPr="00AB15C7">
        <w:rPr>
          <w:rFonts w:ascii="Cambria" w:hAnsi="Cambria"/>
          <w:noProof/>
          <w:lang w:val="sr-Latn-ME"/>
        </w:rPr>
        <w:t xml:space="preserve">u Crnoj Gori </w:t>
      </w:r>
      <w:r w:rsidR="00923C27" w:rsidRPr="00AB15C7">
        <w:rPr>
          <w:rFonts w:ascii="Cambria" w:hAnsi="Cambria"/>
          <w:noProof/>
          <w:lang w:val="sr-Latn-ME"/>
        </w:rPr>
        <w:t>po godinama</w:t>
      </w:r>
      <w:r w:rsidRPr="00AB15C7">
        <w:rPr>
          <w:rFonts w:ascii="Cambria" w:hAnsi="Cambria"/>
          <w:noProof/>
          <w:lang w:val="sr-Latn-ME"/>
        </w:rPr>
        <w:t xml:space="preserve"> </w:t>
      </w:r>
      <w:r w:rsidR="00F2252D" w:rsidRPr="00AB15C7">
        <w:rPr>
          <w:rFonts w:ascii="Cambria" w:hAnsi="Cambria"/>
          <w:noProof/>
          <w:lang w:val="sr-Latn-ME"/>
        </w:rPr>
        <w:t>(u tonama)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3"/>
        <w:gridCol w:w="1706"/>
        <w:gridCol w:w="1870"/>
        <w:gridCol w:w="1870"/>
        <w:gridCol w:w="1870"/>
      </w:tblGrid>
      <w:tr w:rsidR="00DF46C0" w:rsidRPr="00AB15C7" w14:paraId="797F0B8C" w14:textId="77777777" w:rsidTr="0066183A">
        <w:tc>
          <w:tcPr>
            <w:tcW w:w="2358" w:type="dxa"/>
            <w:shd w:val="clear" w:color="auto" w:fill="D9D9D9"/>
          </w:tcPr>
          <w:p w14:paraId="25CEFEC1" w14:textId="77777777" w:rsidR="00634452" w:rsidRPr="00AB15C7" w:rsidRDefault="00634452" w:rsidP="005921EF">
            <w:pPr>
              <w:spacing w:after="0"/>
              <w:jc w:val="both"/>
              <w:rPr>
                <w:rFonts w:ascii="Cambria" w:hAnsi="Cambria"/>
                <w:b/>
                <w:noProof/>
                <w:lang w:val="sr-Latn-ME"/>
              </w:rPr>
            </w:pPr>
          </w:p>
        </w:tc>
        <w:tc>
          <w:tcPr>
            <w:tcW w:w="1746" w:type="dxa"/>
            <w:shd w:val="clear" w:color="auto" w:fill="D9D9D9"/>
          </w:tcPr>
          <w:p w14:paraId="111000B7" w14:textId="77777777" w:rsidR="00634452" w:rsidRPr="00AB15C7" w:rsidRDefault="00923C27" w:rsidP="005921EF">
            <w:pPr>
              <w:spacing w:after="0"/>
              <w:jc w:val="center"/>
              <w:rPr>
                <w:rFonts w:ascii="Cambria" w:hAnsi="Cambria"/>
                <w:b/>
                <w:noProof/>
                <w:lang w:val="sr-Latn-ME"/>
              </w:rPr>
            </w:pPr>
            <w:r w:rsidRPr="00AB15C7">
              <w:rPr>
                <w:rFonts w:ascii="Cambria" w:hAnsi="Cambria"/>
                <w:b/>
                <w:noProof/>
                <w:lang w:val="sr-Latn-ME"/>
              </w:rPr>
              <w:t>2013</w:t>
            </w:r>
            <w:r w:rsidR="002E33B2" w:rsidRPr="00AB15C7">
              <w:rPr>
                <w:rFonts w:ascii="Cambria" w:hAnsi="Cambria"/>
                <w:b/>
                <w:noProof/>
                <w:lang w:val="sr-Latn-ME"/>
              </w:rPr>
              <w:t>.</w:t>
            </w:r>
          </w:p>
        </w:tc>
        <w:tc>
          <w:tcPr>
            <w:tcW w:w="1917" w:type="dxa"/>
            <w:shd w:val="clear" w:color="auto" w:fill="D9D9D9"/>
          </w:tcPr>
          <w:p w14:paraId="2DF834B6" w14:textId="77777777" w:rsidR="00634452" w:rsidRPr="00AB15C7" w:rsidRDefault="00923C27" w:rsidP="005921EF">
            <w:pPr>
              <w:spacing w:after="0"/>
              <w:jc w:val="center"/>
              <w:rPr>
                <w:rFonts w:ascii="Cambria" w:hAnsi="Cambria"/>
                <w:b/>
                <w:noProof/>
                <w:lang w:val="sr-Latn-ME"/>
              </w:rPr>
            </w:pPr>
            <w:r w:rsidRPr="00AB15C7">
              <w:rPr>
                <w:rFonts w:ascii="Cambria" w:hAnsi="Cambria"/>
                <w:b/>
                <w:noProof/>
                <w:lang w:val="sr-Latn-ME"/>
              </w:rPr>
              <w:t>2014</w:t>
            </w:r>
            <w:r w:rsidR="002E33B2" w:rsidRPr="00AB15C7">
              <w:rPr>
                <w:rFonts w:ascii="Cambria" w:hAnsi="Cambria"/>
                <w:b/>
                <w:noProof/>
                <w:lang w:val="sr-Latn-ME"/>
              </w:rPr>
              <w:t>.</w:t>
            </w:r>
          </w:p>
        </w:tc>
        <w:tc>
          <w:tcPr>
            <w:tcW w:w="1917" w:type="dxa"/>
            <w:shd w:val="clear" w:color="auto" w:fill="D9D9D9"/>
          </w:tcPr>
          <w:p w14:paraId="260B07DB" w14:textId="77777777" w:rsidR="00634452" w:rsidRPr="00AB15C7" w:rsidRDefault="00923C27" w:rsidP="005921EF">
            <w:pPr>
              <w:spacing w:after="0"/>
              <w:jc w:val="center"/>
              <w:rPr>
                <w:rFonts w:ascii="Cambria" w:hAnsi="Cambria"/>
                <w:b/>
                <w:noProof/>
                <w:lang w:val="sr-Latn-ME"/>
              </w:rPr>
            </w:pPr>
            <w:r w:rsidRPr="00AB15C7">
              <w:rPr>
                <w:rFonts w:ascii="Cambria" w:hAnsi="Cambria"/>
                <w:b/>
                <w:noProof/>
                <w:lang w:val="sr-Latn-ME"/>
              </w:rPr>
              <w:t>2015</w:t>
            </w:r>
            <w:r w:rsidR="002E33B2" w:rsidRPr="00AB15C7">
              <w:rPr>
                <w:rFonts w:ascii="Cambria" w:hAnsi="Cambria"/>
                <w:b/>
                <w:noProof/>
                <w:lang w:val="sr-Latn-ME"/>
              </w:rPr>
              <w:t>.</w:t>
            </w:r>
          </w:p>
        </w:tc>
        <w:tc>
          <w:tcPr>
            <w:tcW w:w="1917" w:type="dxa"/>
            <w:shd w:val="clear" w:color="auto" w:fill="D9D9D9"/>
          </w:tcPr>
          <w:p w14:paraId="103918F4" w14:textId="77777777" w:rsidR="00634452" w:rsidRPr="00AB15C7" w:rsidRDefault="00923C27" w:rsidP="005921EF">
            <w:pPr>
              <w:spacing w:after="0"/>
              <w:jc w:val="center"/>
              <w:rPr>
                <w:rFonts w:ascii="Cambria" w:hAnsi="Cambria"/>
                <w:b/>
                <w:noProof/>
                <w:lang w:val="sr-Latn-ME"/>
              </w:rPr>
            </w:pPr>
            <w:r w:rsidRPr="00AB15C7">
              <w:rPr>
                <w:rFonts w:ascii="Cambria" w:hAnsi="Cambria"/>
                <w:b/>
                <w:noProof/>
                <w:lang w:val="sr-Latn-ME"/>
              </w:rPr>
              <w:t>2016</w:t>
            </w:r>
            <w:r w:rsidR="002E33B2" w:rsidRPr="00AB15C7">
              <w:rPr>
                <w:rFonts w:ascii="Cambria" w:hAnsi="Cambria"/>
                <w:b/>
                <w:noProof/>
                <w:lang w:val="sr-Latn-ME"/>
              </w:rPr>
              <w:t>.</w:t>
            </w:r>
          </w:p>
        </w:tc>
      </w:tr>
      <w:tr w:rsidR="00923C27" w:rsidRPr="00AB15C7" w14:paraId="245AA6FF" w14:textId="77777777" w:rsidTr="0066183A">
        <w:tc>
          <w:tcPr>
            <w:tcW w:w="2358" w:type="dxa"/>
            <w:shd w:val="clear" w:color="auto" w:fill="D9D9D9"/>
          </w:tcPr>
          <w:p w14:paraId="19EB01EF" w14:textId="77777777" w:rsidR="00923C27" w:rsidRPr="00AB15C7" w:rsidRDefault="00923C27" w:rsidP="005921EF">
            <w:pPr>
              <w:spacing w:after="0"/>
              <w:jc w:val="both"/>
              <w:rPr>
                <w:rFonts w:ascii="Cambria" w:hAnsi="Cambria"/>
                <w:b/>
                <w:noProof/>
                <w:lang w:val="sr-Latn-ME"/>
              </w:rPr>
            </w:pPr>
            <w:r w:rsidRPr="00AB15C7">
              <w:rPr>
                <w:rFonts w:ascii="Cambria" w:hAnsi="Cambria"/>
                <w:b/>
                <w:noProof/>
                <w:lang w:val="sr-Latn-ME"/>
              </w:rPr>
              <w:t>Fungicidi</w:t>
            </w:r>
          </w:p>
        </w:tc>
        <w:tc>
          <w:tcPr>
            <w:tcW w:w="1746" w:type="dxa"/>
            <w:shd w:val="clear" w:color="auto" w:fill="auto"/>
          </w:tcPr>
          <w:p w14:paraId="67B5DBE7"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65</w:t>
            </w:r>
          </w:p>
        </w:tc>
        <w:tc>
          <w:tcPr>
            <w:tcW w:w="1917" w:type="dxa"/>
            <w:shd w:val="clear" w:color="auto" w:fill="auto"/>
          </w:tcPr>
          <w:p w14:paraId="46C221F5"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72</w:t>
            </w:r>
          </w:p>
        </w:tc>
        <w:tc>
          <w:tcPr>
            <w:tcW w:w="1917" w:type="dxa"/>
            <w:shd w:val="clear" w:color="auto" w:fill="auto"/>
          </w:tcPr>
          <w:p w14:paraId="209D8335" w14:textId="77777777" w:rsidR="00923C27" w:rsidRPr="00AB15C7" w:rsidRDefault="00923C27" w:rsidP="005921EF">
            <w:pPr>
              <w:spacing w:after="0"/>
              <w:jc w:val="center"/>
              <w:rPr>
                <w:rFonts w:ascii="Cambria" w:hAnsi="Cambria"/>
                <w:noProof/>
                <w:lang w:val="sr-Latn-ME"/>
              </w:rPr>
            </w:pPr>
            <w:r w:rsidRPr="00AB15C7">
              <w:rPr>
                <w:rFonts w:ascii="Cambria" w:hAnsi="Cambria"/>
                <w:noProof/>
              </w:rPr>
              <w:t>59</w:t>
            </w:r>
          </w:p>
        </w:tc>
        <w:tc>
          <w:tcPr>
            <w:tcW w:w="1917" w:type="dxa"/>
            <w:shd w:val="clear" w:color="auto" w:fill="auto"/>
          </w:tcPr>
          <w:p w14:paraId="55BF3B81"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75</w:t>
            </w:r>
          </w:p>
        </w:tc>
      </w:tr>
      <w:tr w:rsidR="00923C27" w:rsidRPr="00AB15C7" w14:paraId="555FC1FA" w14:textId="77777777" w:rsidTr="0066183A">
        <w:tc>
          <w:tcPr>
            <w:tcW w:w="2358" w:type="dxa"/>
            <w:shd w:val="clear" w:color="auto" w:fill="D9D9D9"/>
          </w:tcPr>
          <w:p w14:paraId="44C54407" w14:textId="77777777" w:rsidR="00923C27" w:rsidRPr="00AB15C7" w:rsidRDefault="00923C27" w:rsidP="005921EF">
            <w:pPr>
              <w:spacing w:after="0"/>
              <w:jc w:val="both"/>
              <w:rPr>
                <w:rFonts w:ascii="Cambria" w:hAnsi="Cambria"/>
                <w:b/>
                <w:noProof/>
                <w:lang w:val="sr-Latn-ME"/>
              </w:rPr>
            </w:pPr>
            <w:r w:rsidRPr="00AB15C7">
              <w:rPr>
                <w:rFonts w:ascii="Cambria" w:hAnsi="Cambria"/>
                <w:b/>
                <w:noProof/>
                <w:lang w:val="sr-Latn-ME"/>
              </w:rPr>
              <w:t>Herbicidi</w:t>
            </w:r>
          </w:p>
        </w:tc>
        <w:tc>
          <w:tcPr>
            <w:tcW w:w="1746" w:type="dxa"/>
            <w:shd w:val="clear" w:color="auto" w:fill="auto"/>
          </w:tcPr>
          <w:p w14:paraId="5ECF8DA5"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11</w:t>
            </w:r>
          </w:p>
        </w:tc>
        <w:tc>
          <w:tcPr>
            <w:tcW w:w="1917" w:type="dxa"/>
            <w:shd w:val="clear" w:color="auto" w:fill="auto"/>
          </w:tcPr>
          <w:p w14:paraId="5B79C942"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9</w:t>
            </w:r>
          </w:p>
        </w:tc>
        <w:tc>
          <w:tcPr>
            <w:tcW w:w="1917" w:type="dxa"/>
            <w:shd w:val="clear" w:color="auto" w:fill="auto"/>
          </w:tcPr>
          <w:p w14:paraId="6A2ACC67" w14:textId="77777777" w:rsidR="00923C27" w:rsidRPr="00AB15C7" w:rsidRDefault="00923C27" w:rsidP="005921EF">
            <w:pPr>
              <w:spacing w:after="0"/>
              <w:jc w:val="center"/>
              <w:rPr>
                <w:rFonts w:ascii="Cambria" w:hAnsi="Cambria"/>
                <w:noProof/>
                <w:lang w:val="sr-Latn-ME"/>
              </w:rPr>
            </w:pPr>
            <w:r w:rsidRPr="00AB15C7">
              <w:rPr>
                <w:rFonts w:ascii="Cambria" w:hAnsi="Cambria"/>
                <w:noProof/>
              </w:rPr>
              <w:t>9</w:t>
            </w:r>
          </w:p>
        </w:tc>
        <w:tc>
          <w:tcPr>
            <w:tcW w:w="1917" w:type="dxa"/>
            <w:shd w:val="clear" w:color="auto" w:fill="auto"/>
          </w:tcPr>
          <w:p w14:paraId="06F08D0C"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11</w:t>
            </w:r>
          </w:p>
        </w:tc>
      </w:tr>
      <w:tr w:rsidR="00923C27" w:rsidRPr="00AB15C7" w14:paraId="7F6B87FC" w14:textId="77777777" w:rsidTr="0066183A">
        <w:tc>
          <w:tcPr>
            <w:tcW w:w="2358" w:type="dxa"/>
            <w:shd w:val="clear" w:color="auto" w:fill="D9D9D9"/>
          </w:tcPr>
          <w:p w14:paraId="55A16BA3" w14:textId="77777777" w:rsidR="00923C27" w:rsidRPr="00AB15C7" w:rsidRDefault="00923C27" w:rsidP="005921EF">
            <w:pPr>
              <w:spacing w:after="0"/>
              <w:jc w:val="both"/>
              <w:rPr>
                <w:rFonts w:ascii="Cambria" w:hAnsi="Cambria"/>
                <w:b/>
                <w:noProof/>
                <w:lang w:val="sr-Latn-ME"/>
              </w:rPr>
            </w:pPr>
            <w:r w:rsidRPr="00AB15C7">
              <w:rPr>
                <w:rFonts w:ascii="Cambria" w:hAnsi="Cambria"/>
                <w:b/>
                <w:noProof/>
                <w:lang w:val="sr-Latn-ME"/>
              </w:rPr>
              <w:t>Insekticidi</w:t>
            </w:r>
          </w:p>
        </w:tc>
        <w:tc>
          <w:tcPr>
            <w:tcW w:w="1746" w:type="dxa"/>
            <w:shd w:val="clear" w:color="auto" w:fill="auto"/>
          </w:tcPr>
          <w:p w14:paraId="2CAB218F"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6</w:t>
            </w:r>
          </w:p>
        </w:tc>
        <w:tc>
          <w:tcPr>
            <w:tcW w:w="1917" w:type="dxa"/>
            <w:shd w:val="clear" w:color="auto" w:fill="auto"/>
          </w:tcPr>
          <w:p w14:paraId="3C334085"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9</w:t>
            </w:r>
          </w:p>
        </w:tc>
        <w:tc>
          <w:tcPr>
            <w:tcW w:w="1917" w:type="dxa"/>
            <w:shd w:val="clear" w:color="auto" w:fill="auto"/>
          </w:tcPr>
          <w:p w14:paraId="153EF26E" w14:textId="77777777" w:rsidR="00923C27" w:rsidRPr="00AB15C7" w:rsidRDefault="00923C27" w:rsidP="005921EF">
            <w:pPr>
              <w:spacing w:after="0"/>
              <w:jc w:val="center"/>
              <w:rPr>
                <w:rFonts w:ascii="Cambria" w:hAnsi="Cambria"/>
                <w:noProof/>
                <w:lang w:val="sr-Latn-ME"/>
              </w:rPr>
            </w:pPr>
            <w:r w:rsidRPr="00AB15C7">
              <w:rPr>
                <w:rFonts w:ascii="Cambria" w:hAnsi="Cambria"/>
                <w:noProof/>
              </w:rPr>
              <w:t>8</w:t>
            </w:r>
          </w:p>
        </w:tc>
        <w:tc>
          <w:tcPr>
            <w:tcW w:w="1917" w:type="dxa"/>
            <w:shd w:val="clear" w:color="auto" w:fill="auto"/>
          </w:tcPr>
          <w:p w14:paraId="2AE71DB6"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4</w:t>
            </w:r>
          </w:p>
        </w:tc>
      </w:tr>
      <w:tr w:rsidR="00923C27" w:rsidRPr="00AB15C7" w14:paraId="1B7E19F3" w14:textId="77777777" w:rsidTr="0066183A">
        <w:tc>
          <w:tcPr>
            <w:tcW w:w="2358" w:type="dxa"/>
            <w:shd w:val="clear" w:color="auto" w:fill="D9D9D9"/>
          </w:tcPr>
          <w:p w14:paraId="5B4CC994" w14:textId="77777777" w:rsidR="00923C27" w:rsidRPr="00AB15C7" w:rsidRDefault="00923C27" w:rsidP="005921EF">
            <w:pPr>
              <w:spacing w:after="0"/>
              <w:jc w:val="both"/>
              <w:rPr>
                <w:rFonts w:ascii="Cambria" w:hAnsi="Cambria"/>
                <w:b/>
                <w:noProof/>
                <w:lang w:val="sr-Latn-ME"/>
              </w:rPr>
            </w:pPr>
            <w:r w:rsidRPr="00AB15C7">
              <w:rPr>
                <w:rFonts w:ascii="Cambria" w:hAnsi="Cambria"/>
                <w:b/>
                <w:noProof/>
                <w:lang w:val="sr-Latn-ME"/>
              </w:rPr>
              <w:t xml:space="preserve">Ostalo </w:t>
            </w:r>
          </w:p>
        </w:tc>
        <w:tc>
          <w:tcPr>
            <w:tcW w:w="1746" w:type="dxa"/>
            <w:shd w:val="clear" w:color="auto" w:fill="auto"/>
          </w:tcPr>
          <w:p w14:paraId="2BDE167F"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1</w:t>
            </w:r>
          </w:p>
        </w:tc>
        <w:tc>
          <w:tcPr>
            <w:tcW w:w="1917" w:type="dxa"/>
            <w:shd w:val="clear" w:color="auto" w:fill="auto"/>
          </w:tcPr>
          <w:p w14:paraId="0211D6EA" w14:textId="77777777" w:rsidR="00923C27" w:rsidRPr="00AB15C7" w:rsidRDefault="002E33B2" w:rsidP="005921EF">
            <w:pPr>
              <w:spacing w:after="0"/>
              <w:jc w:val="center"/>
              <w:rPr>
                <w:rFonts w:ascii="Cambria" w:hAnsi="Cambria"/>
                <w:noProof/>
                <w:lang w:val="sr-Latn-ME"/>
              </w:rPr>
            </w:pPr>
            <w:r w:rsidRPr="00AB15C7">
              <w:rPr>
                <w:rFonts w:ascii="Cambria" w:hAnsi="Cambria"/>
                <w:noProof/>
                <w:lang w:val="sr-Latn-ME"/>
              </w:rPr>
              <w:t>-</w:t>
            </w:r>
          </w:p>
        </w:tc>
        <w:tc>
          <w:tcPr>
            <w:tcW w:w="1917" w:type="dxa"/>
            <w:shd w:val="clear" w:color="auto" w:fill="auto"/>
          </w:tcPr>
          <w:p w14:paraId="016E7B25" w14:textId="77777777" w:rsidR="00923C27" w:rsidRPr="00AB15C7" w:rsidRDefault="002E33B2" w:rsidP="005921EF">
            <w:pPr>
              <w:spacing w:after="0"/>
              <w:jc w:val="center"/>
              <w:rPr>
                <w:rFonts w:ascii="Cambria" w:hAnsi="Cambria"/>
                <w:noProof/>
                <w:lang w:val="sr-Latn-ME"/>
              </w:rPr>
            </w:pPr>
            <w:r w:rsidRPr="00AB15C7">
              <w:rPr>
                <w:rFonts w:ascii="Cambria" w:hAnsi="Cambria"/>
                <w:noProof/>
                <w:lang w:val="sr-Latn-ME"/>
              </w:rPr>
              <w:t>-</w:t>
            </w:r>
          </w:p>
        </w:tc>
        <w:tc>
          <w:tcPr>
            <w:tcW w:w="1917" w:type="dxa"/>
            <w:shd w:val="clear" w:color="auto" w:fill="auto"/>
          </w:tcPr>
          <w:p w14:paraId="0676ED66" w14:textId="77777777" w:rsidR="00923C27" w:rsidRPr="00AB15C7" w:rsidRDefault="002E33B2" w:rsidP="005921EF">
            <w:pPr>
              <w:spacing w:after="0"/>
              <w:jc w:val="center"/>
              <w:rPr>
                <w:rFonts w:ascii="Cambria" w:hAnsi="Cambria"/>
                <w:noProof/>
                <w:lang w:val="sr-Latn-ME"/>
              </w:rPr>
            </w:pPr>
            <w:r w:rsidRPr="00AB15C7">
              <w:rPr>
                <w:rFonts w:ascii="Cambria" w:hAnsi="Cambria"/>
                <w:noProof/>
                <w:lang w:val="sr-Latn-ME"/>
              </w:rPr>
              <w:t>-</w:t>
            </w:r>
          </w:p>
        </w:tc>
      </w:tr>
      <w:tr w:rsidR="00923C27" w:rsidRPr="00AB15C7" w14:paraId="3F3E1B84" w14:textId="77777777" w:rsidTr="0066183A">
        <w:tc>
          <w:tcPr>
            <w:tcW w:w="2358" w:type="dxa"/>
            <w:shd w:val="clear" w:color="auto" w:fill="D9D9D9"/>
          </w:tcPr>
          <w:p w14:paraId="4FB632F5" w14:textId="77777777" w:rsidR="00923C27" w:rsidRPr="00AB15C7" w:rsidRDefault="00923C27" w:rsidP="005921EF">
            <w:pPr>
              <w:spacing w:after="0"/>
              <w:jc w:val="both"/>
              <w:rPr>
                <w:rFonts w:ascii="Cambria" w:hAnsi="Cambria"/>
                <w:b/>
                <w:noProof/>
                <w:lang w:val="sr-Latn-ME"/>
              </w:rPr>
            </w:pPr>
            <w:r w:rsidRPr="00AB15C7">
              <w:rPr>
                <w:rFonts w:ascii="Cambria" w:hAnsi="Cambria"/>
                <w:b/>
                <w:noProof/>
                <w:lang w:val="sr-Latn-ME"/>
              </w:rPr>
              <w:t>UKUPNO</w:t>
            </w:r>
            <w:r w:rsidR="002E33B2" w:rsidRPr="00AB15C7">
              <w:rPr>
                <w:rFonts w:ascii="Cambria" w:hAnsi="Cambria"/>
                <w:b/>
                <w:noProof/>
                <w:lang w:val="sr-Latn-ME"/>
              </w:rPr>
              <w:t xml:space="preserve"> (t)</w:t>
            </w:r>
          </w:p>
        </w:tc>
        <w:tc>
          <w:tcPr>
            <w:tcW w:w="1746" w:type="dxa"/>
            <w:shd w:val="clear" w:color="auto" w:fill="auto"/>
          </w:tcPr>
          <w:p w14:paraId="1BCDCF73"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83</w:t>
            </w:r>
          </w:p>
        </w:tc>
        <w:tc>
          <w:tcPr>
            <w:tcW w:w="1917" w:type="dxa"/>
            <w:shd w:val="clear" w:color="auto" w:fill="auto"/>
          </w:tcPr>
          <w:p w14:paraId="419C3E94"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90</w:t>
            </w:r>
          </w:p>
        </w:tc>
        <w:tc>
          <w:tcPr>
            <w:tcW w:w="1917" w:type="dxa"/>
            <w:shd w:val="clear" w:color="auto" w:fill="auto"/>
          </w:tcPr>
          <w:p w14:paraId="22197867"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75</w:t>
            </w:r>
          </w:p>
        </w:tc>
        <w:tc>
          <w:tcPr>
            <w:tcW w:w="1917" w:type="dxa"/>
            <w:shd w:val="clear" w:color="auto" w:fill="auto"/>
          </w:tcPr>
          <w:p w14:paraId="462CC994" w14:textId="77777777" w:rsidR="00923C27" w:rsidRPr="00AB15C7" w:rsidRDefault="00923C27" w:rsidP="005921EF">
            <w:pPr>
              <w:spacing w:after="0"/>
              <w:jc w:val="center"/>
              <w:rPr>
                <w:rFonts w:ascii="Cambria" w:hAnsi="Cambria"/>
                <w:noProof/>
                <w:lang w:val="sr-Latn-ME"/>
              </w:rPr>
            </w:pPr>
            <w:r w:rsidRPr="00AB15C7">
              <w:rPr>
                <w:rFonts w:ascii="Cambria" w:hAnsi="Cambria"/>
                <w:noProof/>
                <w:lang w:val="sr-Latn-ME"/>
              </w:rPr>
              <w:t>90</w:t>
            </w:r>
          </w:p>
        </w:tc>
      </w:tr>
    </w:tbl>
    <w:p w14:paraId="4CB26E3E" w14:textId="77777777" w:rsidR="001E056D" w:rsidRPr="00940834" w:rsidRDefault="002E33B2" w:rsidP="005921EF">
      <w:pPr>
        <w:jc w:val="center"/>
        <w:rPr>
          <w:rFonts w:ascii="Cambria" w:hAnsi="Cambria"/>
          <w:i/>
          <w:noProof/>
          <w:lang w:val="sr-Latn-ME"/>
        </w:rPr>
      </w:pPr>
      <w:r w:rsidRPr="00940834">
        <w:rPr>
          <w:rFonts w:ascii="Cambria" w:hAnsi="Cambria"/>
          <w:i/>
          <w:noProof/>
          <w:lang w:val="sr-Latn-ME"/>
        </w:rPr>
        <w:t>Izvor: Statistički godišnjak-MONSTAT</w:t>
      </w:r>
    </w:p>
    <w:p w14:paraId="743C31D0" w14:textId="77777777" w:rsidR="000C17DD" w:rsidRPr="00AB15C7" w:rsidRDefault="00B12A23" w:rsidP="00802271">
      <w:pPr>
        <w:pStyle w:val="Heading2"/>
        <w:spacing w:after="120"/>
        <w:rPr>
          <w:noProof/>
          <w:sz w:val="22"/>
          <w:szCs w:val="22"/>
          <w:lang w:val="sr-Latn-RS"/>
        </w:rPr>
      </w:pPr>
      <w:bookmarkStart w:id="29" w:name="_Toc527353179"/>
      <w:r w:rsidRPr="00AB15C7">
        <w:rPr>
          <w:noProof/>
          <w:sz w:val="22"/>
          <w:szCs w:val="22"/>
          <w:lang w:val="en-US"/>
        </w:rPr>
        <w:t>2.</w:t>
      </w:r>
      <w:r w:rsidR="000E6B58" w:rsidRPr="00AB15C7">
        <w:rPr>
          <w:noProof/>
          <w:sz w:val="22"/>
          <w:szCs w:val="22"/>
          <w:lang w:val="en-US"/>
        </w:rPr>
        <w:t>2.</w:t>
      </w:r>
      <w:r w:rsidR="00486EB8" w:rsidRPr="00AB15C7">
        <w:rPr>
          <w:noProof/>
          <w:sz w:val="22"/>
          <w:szCs w:val="22"/>
          <w:lang w:val="en-US"/>
        </w:rPr>
        <w:t>2</w:t>
      </w:r>
      <w:r w:rsidR="000E6B58" w:rsidRPr="00AB15C7">
        <w:rPr>
          <w:noProof/>
          <w:sz w:val="22"/>
          <w:szCs w:val="22"/>
          <w:lang w:val="en-US"/>
        </w:rPr>
        <w:t xml:space="preserve">.  </w:t>
      </w:r>
      <w:r w:rsidR="00486EB8" w:rsidRPr="00AB15C7">
        <w:rPr>
          <w:noProof/>
          <w:sz w:val="22"/>
          <w:szCs w:val="22"/>
          <w:lang w:val="en-US"/>
        </w:rPr>
        <w:t xml:space="preserve">Industrijski/hemijski  </w:t>
      </w:r>
      <w:r w:rsidR="00486EB8" w:rsidRPr="00AB15C7">
        <w:rPr>
          <w:noProof/>
          <w:sz w:val="22"/>
          <w:szCs w:val="22"/>
        </w:rPr>
        <w:t>otpad</w:t>
      </w:r>
      <w:bookmarkEnd w:id="29"/>
      <w:r w:rsidR="003A2D38" w:rsidRPr="00AB15C7">
        <w:rPr>
          <w:noProof/>
          <w:sz w:val="22"/>
          <w:szCs w:val="22"/>
          <w:lang w:val="sr-Latn-RS"/>
        </w:rPr>
        <w:t xml:space="preserve"> </w:t>
      </w:r>
    </w:p>
    <w:p w14:paraId="444FEAFA" w14:textId="77777777" w:rsidR="005D2E5B" w:rsidRPr="00AB15C7" w:rsidRDefault="005D2E5B" w:rsidP="005921EF">
      <w:pPr>
        <w:spacing w:after="0"/>
        <w:jc w:val="both"/>
        <w:rPr>
          <w:rFonts w:ascii="Cambria" w:hAnsi="Cambria"/>
          <w:noProof/>
        </w:rPr>
      </w:pPr>
      <w:r w:rsidRPr="00AB15C7">
        <w:rPr>
          <w:rFonts w:ascii="Cambria" w:hAnsi="Cambria"/>
          <w:noProof/>
        </w:rPr>
        <w:t xml:space="preserve">U Strategiji upravljanja otpadom Crne Gore do 2030. godine utvrđeni su ciljevi u skladu s potrebom da se obezbijedi sinergija između razvoja države i zaštite životne sredine u smislu uticaja otpada na kvalitet njenih osnovnih parametara. Sveukupni cilj koji treba postići u oblasti upravljanja otpadom je uspostavljanje održivog sistema za upravljanje otpadom i njegovo kontinuirano unapređivanje. Važeći zakonodavni i regulatorni okvir u velikoj mjeri je usklađen s relevantnim pravom EU. </w:t>
      </w:r>
    </w:p>
    <w:p w14:paraId="48F660BF" w14:textId="77777777" w:rsidR="00C653DF" w:rsidRPr="00AB15C7" w:rsidRDefault="00C653DF" w:rsidP="005921EF">
      <w:pPr>
        <w:spacing w:after="0"/>
        <w:jc w:val="both"/>
        <w:rPr>
          <w:rFonts w:ascii="Cambria" w:hAnsi="Cambria"/>
          <w:noProof/>
        </w:rPr>
      </w:pPr>
    </w:p>
    <w:p w14:paraId="2EEA56C1" w14:textId="77777777" w:rsidR="005D2E5B" w:rsidRPr="00AB15C7" w:rsidRDefault="005D2E5B" w:rsidP="005921EF">
      <w:pPr>
        <w:spacing w:after="0"/>
        <w:jc w:val="both"/>
        <w:rPr>
          <w:rFonts w:ascii="Cambria" w:hAnsi="Cambria"/>
          <w:noProof/>
        </w:rPr>
      </w:pPr>
      <w:r w:rsidRPr="00AB15C7">
        <w:rPr>
          <w:rFonts w:ascii="Cambria" w:hAnsi="Cambria"/>
          <w:noProof/>
        </w:rPr>
        <w:t>S obzirom na to da je Crna Gora potpisnica Bazelske konvencije</w:t>
      </w:r>
      <w:r w:rsidRPr="00AB15C7">
        <w:rPr>
          <w:rFonts w:ascii="Cambria" w:hAnsi="Cambria"/>
          <w:bCs/>
          <w:noProof/>
          <w:shd w:val="clear" w:color="auto" w:fill="FFFFFF"/>
        </w:rPr>
        <w:t xml:space="preserve"> </w:t>
      </w:r>
      <w:r w:rsidRPr="00AB15C7">
        <w:rPr>
          <w:rFonts w:ascii="Cambria" w:hAnsi="Cambria"/>
          <w:bCs/>
          <w:noProof/>
        </w:rPr>
        <w:t>o kontroli prekograničnog kretanja opasnih otpada</w:t>
      </w:r>
      <w:r w:rsidRPr="00AB15C7">
        <w:rPr>
          <w:rFonts w:ascii="Cambria" w:hAnsi="Cambria"/>
          <w:noProof/>
        </w:rPr>
        <w:t> i </w:t>
      </w:r>
      <w:r w:rsidRPr="00AB15C7">
        <w:rPr>
          <w:rFonts w:ascii="Cambria" w:hAnsi="Cambria"/>
          <w:bCs/>
          <w:noProof/>
        </w:rPr>
        <w:t>njihovom odlaganju</w:t>
      </w:r>
      <w:r w:rsidRPr="00AB15C7">
        <w:rPr>
          <w:rFonts w:ascii="Cambria" w:hAnsi="Cambria"/>
          <w:noProof/>
        </w:rPr>
        <w:t>, nacionalni postupci propisani u Zakonu o upravljanju otpadom i podzakonskim aktima o pošiljkama otpada su usklađeni sa zahtjevima iz Konvencije i Regulative EU br. 1013/2006/EK o pošiljkama otpada, kao i s drugim relevantnim propisima EU.</w:t>
      </w:r>
    </w:p>
    <w:p w14:paraId="6F0EFC02" w14:textId="77777777" w:rsidR="00A1416A" w:rsidRPr="00AB15C7" w:rsidRDefault="00A1416A" w:rsidP="005921EF">
      <w:pPr>
        <w:spacing w:after="0"/>
        <w:jc w:val="both"/>
        <w:rPr>
          <w:rFonts w:ascii="Cambria" w:hAnsi="Cambria"/>
          <w:noProof/>
        </w:rPr>
      </w:pPr>
    </w:p>
    <w:p w14:paraId="2CE6C706" w14:textId="77777777" w:rsidR="00A1416A" w:rsidRPr="00AB15C7" w:rsidRDefault="00A1416A" w:rsidP="005921EF">
      <w:pPr>
        <w:spacing w:after="0"/>
        <w:jc w:val="both"/>
        <w:rPr>
          <w:rFonts w:ascii="Cambria" w:hAnsi="Cambria"/>
          <w:iCs/>
          <w:noProof/>
        </w:rPr>
      </w:pPr>
      <w:r w:rsidRPr="00AB15C7">
        <w:rPr>
          <w:rFonts w:ascii="Cambria" w:hAnsi="Cambria"/>
          <w:iCs/>
          <w:noProof/>
        </w:rPr>
        <w:t>U 2016. godini sektori industrije u Crnoj Gori generisali su 686 522 tone otpada</w:t>
      </w:r>
      <w:r w:rsidR="00C82D3B" w:rsidRPr="00AB15C7">
        <w:rPr>
          <w:rFonts w:ascii="Cambria" w:hAnsi="Cambria"/>
          <w:iCs/>
          <w:noProof/>
        </w:rPr>
        <w:t xml:space="preserve">, od čega je </w:t>
      </w:r>
      <w:r w:rsidRPr="00AB15C7">
        <w:rPr>
          <w:rFonts w:ascii="Cambria" w:hAnsi="Cambria"/>
          <w:iCs/>
          <w:noProof/>
        </w:rPr>
        <w:t xml:space="preserve"> sektor Rudarstvo generisao je 337 620 tona tj. 49,2%; sektor Prerađivačka industrija 37 957 tona tj. 5,5%; sektor Snabdijevanje električnom energijom, gasom, parom i klimatizacija 305 681 tona tj. 44,5% i sektor Snabdijevanje vodom, upravljanje otpadnim vodama, kontrolisanje procesa uklanjanja otpada i slične aktivnosti 5 264 tona tj. 0,8%</w:t>
      </w:r>
      <w:r w:rsidR="00961D3D" w:rsidRPr="00AB15C7">
        <w:rPr>
          <w:rFonts w:ascii="Cambria" w:hAnsi="Cambria"/>
          <w:iCs/>
          <w:noProof/>
        </w:rPr>
        <w:t xml:space="preserve"> (tabela 1</w:t>
      </w:r>
      <w:r w:rsidR="0065073A" w:rsidRPr="00AB15C7">
        <w:rPr>
          <w:rFonts w:ascii="Cambria" w:hAnsi="Cambria"/>
          <w:iCs/>
          <w:noProof/>
        </w:rPr>
        <w:t>3</w:t>
      </w:r>
      <w:r w:rsidR="00961D3D" w:rsidRPr="00AB15C7">
        <w:rPr>
          <w:rFonts w:ascii="Cambria" w:hAnsi="Cambria"/>
          <w:iCs/>
          <w:noProof/>
        </w:rPr>
        <w:t>.)</w:t>
      </w:r>
      <w:r w:rsidRPr="00AB15C7">
        <w:rPr>
          <w:rFonts w:ascii="Cambria" w:hAnsi="Cambria"/>
          <w:iCs/>
          <w:noProof/>
        </w:rPr>
        <w:t xml:space="preserve">. </w:t>
      </w:r>
      <w:r w:rsidR="0043527C" w:rsidRPr="00AB15C7">
        <w:rPr>
          <w:rStyle w:val="FootnoteReference"/>
          <w:rFonts w:ascii="Cambria" w:hAnsi="Cambria"/>
          <w:iCs/>
          <w:noProof/>
        </w:rPr>
        <w:footnoteReference w:id="14"/>
      </w:r>
    </w:p>
    <w:p w14:paraId="2C6DF30B" w14:textId="77777777" w:rsidR="00961D3D" w:rsidRPr="00AB15C7" w:rsidRDefault="00961D3D" w:rsidP="005921EF">
      <w:pPr>
        <w:spacing w:after="0"/>
        <w:jc w:val="both"/>
        <w:rPr>
          <w:rFonts w:ascii="Cambria" w:hAnsi="Cambria"/>
          <w:iCs/>
          <w:noProof/>
        </w:rPr>
      </w:pPr>
    </w:p>
    <w:tbl>
      <w:tblPr>
        <w:tblW w:w="9747" w:type="dxa"/>
        <w:tblInd w:w="108" w:type="dxa"/>
        <w:tblLook w:val="04A0" w:firstRow="1" w:lastRow="0" w:firstColumn="1" w:lastColumn="0" w:noHBand="0" w:noVBand="1"/>
      </w:tblPr>
      <w:tblGrid>
        <w:gridCol w:w="1604"/>
        <w:gridCol w:w="1276"/>
        <w:gridCol w:w="1602"/>
        <w:gridCol w:w="1720"/>
        <w:gridCol w:w="2520"/>
        <w:gridCol w:w="1125"/>
      </w:tblGrid>
      <w:tr w:rsidR="004F594E" w:rsidRPr="00F70A79" w14:paraId="701487C9" w14:textId="77777777" w:rsidTr="0005493B">
        <w:trPr>
          <w:trHeight w:val="315"/>
        </w:trPr>
        <w:tc>
          <w:tcPr>
            <w:tcW w:w="9747" w:type="dxa"/>
            <w:gridSpan w:val="6"/>
            <w:tcBorders>
              <w:top w:val="nil"/>
              <w:left w:val="nil"/>
              <w:bottom w:val="single" w:sz="4" w:space="0" w:color="auto"/>
              <w:right w:val="nil"/>
            </w:tcBorders>
            <w:shd w:val="clear" w:color="auto" w:fill="auto"/>
            <w:noWrap/>
            <w:vAlign w:val="center"/>
            <w:hideMark/>
          </w:tcPr>
          <w:p w14:paraId="1111B9E0" w14:textId="77777777" w:rsidR="004F594E" w:rsidRPr="00F70A79" w:rsidRDefault="004F594E" w:rsidP="00940834">
            <w:pPr>
              <w:spacing w:after="120"/>
              <w:jc w:val="center"/>
              <w:rPr>
                <w:rFonts w:ascii="Cambria" w:hAnsi="Cambria"/>
                <w:noProof/>
                <w:lang w:val="sr-Latn-ME"/>
              </w:rPr>
            </w:pPr>
            <w:r w:rsidRPr="00940834">
              <w:rPr>
                <w:rFonts w:ascii="Cambria" w:hAnsi="Cambria"/>
                <w:i/>
                <w:noProof/>
                <w:lang w:val="sr-Latn-ME"/>
              </w:rPr>
              <w:t>Tabela 1</w:t>
            </w:r>
            <w:r w:rsidR="0065073A" w:rsidRPr="00940834">
              <w:rPr>
                <w:rFonts w:ascii="Cambria" w:hAnsi="Cambria"/>
                <w:i/>
                <w:noProof/>
                <w:lang w:val="sr-Latn-ME"/>
              </w:rPr>
              <w:t>3</w:t>
            </w:r>
            <w:r w:rsidRPr="00F70A79">
              <w:rPr>
                <w:rFonts w:ascii="Cambria" w:hAnsi="Cambria"/>
                <w:noProof/>
                <w:lang w:val="sr-Latn-ME"/>
              </w:rPr>
              <w:t>. Generisani industrijski otpad prema sektorima 2016. u tonama</w:t>
            </w:r>
          </w:p>
        </w:tc>
      </w:tr>
      <w:tr w:rsidR="004F594E" w:rsidRPr="00AB15C7" w14:paraId="3D9C1610" w14:textId="77777777" w:rsidTr="00B60506">
        <w:trPr>
          <w:trHeight w:val="1286"/>
        </w:trPr>
        <w:tc>
          <w:tcPr>
            <w:tcW w:w="16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EAA19D0" w14:textId="77777777" w:rsidR="004F594E" w:rsidRPr="00AB15C7" w:rsidRDefault="004F594E" w:rsidP="001C6605">
            <w:pPr>
              <w:spacing w:after="0"/>
              <w:rPr>
                <w:rFonts w:ascii="Cambria" w:hAnsi="Cambria" w:cs="Arial"/>
                <w:b/>
                <w:bCs/>
                <w:noProof/>
              </w:rPr>
            </w:pPr>
            <w:r w:rsidRPr="00AB15C7">
              <w:rPr>
                <w:rFonts w:ascii="Cambria" w:hAnsi="Cambria" w:cs="Arial"/>
                <w:b/>
                <w:bCs/>
                <w:noProof/>
              </w:rPr>
              <w:t>CRNA GORA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AD1AB4" w14:textId="77777777" w:rsidR="004F594E" w:rsidRPr="00AB15C7" w:rsidRDefault="004F594E" w:rsidP="001C6605">
            <w:pPr>
              <w:spacing w:after="0"/>
              <w:jc w:val="right"/>
              <w:rPr>
                <w:rFonts w:ascii="Cambria" w:hAnsi="Cambria" w:cs="Arial"/>
                <w:b/>
                <w:bCs/>
                <w:noProof/>
              </w:rPr>
            </w:pPr>
            <w:r w:rsidRPr="00AB15C7">
              <w:rPr>
                <w:rFonts w:ascii="Cambria" w:hAnsi="Cambria" w:cs="Arial"/>
                <w:b/>
                <w:bCs/>
                <w:noProof/>
              </w:rPr>
              <w:t>Rudarstvo</w:t>
            </w:r>
          </w:p>
        </w:tc>
        <w:tc>
          <w:tcPr>
            <w:tcW w:w="160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E63293" w14:textId="77777777" w:rsidR="004F594E" w:rsidRPr="00AB15C7" w:rsidRDefault="004F594E" w:rsidP="001C6605">
            <w:pPr>
              <w:spacing w:after="0"/>
              <w:jc w:val="right"/>
              <w:rPr>
                <w:rFonts w:ascii="Cambria" w:hAnsi="Cambria" w:cs="Arial"/>
                <w:b/>
                <w:bCs/>
                <w:noProof/>
              </w:rPr>
            </w:pPr>
            <w:r w:rsidRPr="00AB15C7">
              <w:rPr>
                <w:rFonts w:ascii="Cambria" w:hAnsi="Cambria" w:cs="Arial"/>
                <w:b/>
                <w:bCs/>
                <w:noProof/>
              </w:rPr>
              <w:t>Prerađivačka industrija</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2EFA4F" w14:textId="77777777" w:rsidR="004F594E" w:rsidRPr="00AB15C7" w:rsidRDefault="004F594E" w:rsidP="001C6605">
            <w:pPr>
              <w:spacing w:after="0"/>
              <w:ind w:left="76"/>
              <w:jc w:val="right"/>
              <w:rPr>
                <w:rFonts w:ascii="Cambria" w:hAnsi="Cambria" w:cs="Arial"/>
                <w:b/>
                <w:bCs/>
                <w:noProof/>
              </w:rPr>
            </w:pPr>
            <w:r w:rsidRPr="00AB15C7">
              <w:rPr>
                <w:rFonts w:ascii="Cambria" w:hAnsi="Cambria" w:cs="Arial"/>
                <w:b/>
                <w:bCs/>
                <w:noProof/>
              </w:rPr>
              <w:t>Snabdijevanje el.energijom, gasom i parom</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45786C" w14:textId="77777777" w:rsidR="004F594E" w:rsidRPr="00AB15C7" w:rsidRDefault="004F594E" w:rsidP="009C0247">
            <w:pPr>
              <w:tabs>
                <w:tab w:val="left" w:pos="106"/>
              </w:tabs>
              <w:spacing w:after="0"/>
              <w:ind w:left="-209"/>
              <w:jc w:val="right"/>
              <w:rPr>
                <w:rFonts w:ascii="Cambria" w:hAnsi="Cambria" w:cs="Arial"/>
                <w:b/>
                <w:bCs/>
                <w:noProof/>
              </w:rPr>
            </w:pPr>
            <w:r w:rsidRPr="00AB15C7">
              <w:rPr>
                <w:rFonts w:ascii="Cambria" w:hAnsi="Cambria" w:cs="Arial"/>
                <w:b/>
                <w:bCs/>
                <w:noProof/>
              </w:rPr>
              <w:t>Snabdijevanje vodom, upravljanje otpadnim vodama, kontrolisanje procesa uklanjanja otpada i sl</w:t>
            </w:r>
            <w:r w:rsidR="009C0247">
              <w:rPr>
                <w:rFonts w:ascii="Cambria" w:hAnsi="Cambria" w:cs="Arial"/>
                <w:b/>
                <w:bCs/>
                <w:noProof/>
              </w:rPr>
              <w:t>.</w:t>
            </w:r>
          </w:p>
        </w:tc>
        <w:tc>
          <w:tcPr>
            <w:tcW w:w="11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29AB44" w14:textId="77777777" w:rsidR="004F594E" w:rsidRPr="00AB15C7" w:rsidRDefault="004F594E" w:rsidP="001C6605">
            <w:pPr>
              <w:spacing w:after="0"/>
              <w:jc w:val="right"/>
              <w:rPr>
                <w:rFonts w:ascii="Cambria" w:hAnsi="Cambria" w:cs="Arial"/>
                <w:b/>
                <w:bCs/>
                <w:noProof/>
              </w:rPr>
            </w:pPr>
            <w:r w:rsidRPr="00AB15C7">
              <w:rPr>
                <w:rFonts w:ascii="Cambria" w:hAnsi="Cambria" w:cs="Arial"/>
                <w:b/>
                <w:bCs/>
                <w:noProof/>
              </w:rPr>
              <w:t>Ukupno</w:t>
            </w:r>
          </w:p>
        </w:tc>
      </w:tr>
      <w:tr w:rsidR="004F594E" w:rsidRPr="00AB15C7" w14:paraId="536C44B1" w14:textId="77777777" w:rsidTr="00B60506">
        <w:trPr>
          <w:trHeight w:val="300"/>
        </w:trPr>
        <w:tc>
          <w:tcPr>
            <w:tcW w:w="1604"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8072CCB" w14:textId="77777777" w:rsidR="004F594E" w:rsidRPr="00AB15C7" w:rsidRDefault="004F594E" w:rsidP="001C6605">
            <w:pPr>
              <w:spacing w:after="0"/>
              <w:rPr>
                <w:rFonts w:ascii="Cambria" w:hAnsi="Cambria" w:cs="Arial"/>
                <w:noProof/>
              </w:rPr>
            </w:pPr>
            <w:r w:rsidRPr="00AB15C7">
              <w:rPr>
                <w:rFonts w:ascii="Cambria" w:hAnsi="Cambria" w:cs="Arial"/>
                <w:noProof/>
              </w:rPr>
              <w:t>Neopasni otpad</w:t>
            </w:r>
            <w:r w:rsidR="009E194E" w:rsidRPr="00AB15C7">
              <w:rPr>
                <w:rFonts w:ascii="Cambria" w:hAnsi="Cambria" w:cs="Arial"/>
                <w:noProof/>
              </w:rPr>
              <w:t xml:space="preserve"> (t)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E3E70" w14:textId="77777777" w:rsidR="004F594E" w:rsidRPr="00AB15C7" w:rsidRDefault="004F594E" w:rsidP="001C6605">
            <w:pPr>
              <w:spacing w:after="0"/>
              <w:jc w:val="right"/>
              <w:rPr>
                <w:rFonts w:ascii="Cambria" w:hAnsi="Cambria" w:cs="Arial"/>
                <w:noProof/>
              </w:rPr>
            </w:pPr>
            <w:r w:rsidRPr="00AB15C7">
              <w:rPr>
                <w:rFonts w:ascii="Cambria" w:hAnsi="Cambria" w:cs="Arial"/>
                <w:noProof/>
              </w:rPr>
              <w:t>15 754</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2E98" w14:textId="77777777" w:rsidR="004F594E" w:rsidRPr="00AB15C7" w:rsidRDefault="004F594E" w:rsidP="001C6605">
            <w:pPr>
              <w:spacing w:after="0"/>
              <w:jc w:val="right"/>
              <w:rPr>
                <w:rFonts w:ascii="Cambria" w:hAnsi="Cambria" w:cs="Arial"/>
                <w:noProof/>
              </w:rPr>
            </w:pPr>
            <w:r w:rsidRPr="00AB15C7">
              <w:rPr>
                <w:rFonts w:ascii="Cambria" w:hAnsi="Cambria" w:cs="Arial"/>
                <w:noProof/>
              </w:rPr>
              <w:t>37 007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E6A3E" w14:textId="77777777" w:rsidR="004F594E" w:rsidRPr="00AB15C7" w:rsidRDefault="004F594E" w:rsidP="001C6605">
            <w:pPr>
              <w:spacing w:after="0"/>
              <w:jc w:val="right"/>
              <w:rPr>
                <w:rFonts w:ascii="Cambria" w:hAnsi="Cambria" w:cs="Arial"/>
                <w:noProof/>
              </w:rPr>
            </w:pPr>
            <w:r w:rsidRPr="00AB15C7">
              <w:rPr>
                <w:rFonts w:ascii="Cambria" w:hAnsi="Cambria" w:cs="Arial"/>
                <w:noProof/>
              </w:rPr>
              <w:t>305 319</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E8B17" w14:textId="77777777" w:rsidR="004F594E" w:rsidRPr="00AB15C7" w:rsidRDefault="004F594E" w:rsidP="001C6605">
            <w:pPr>
              <w:spacing w:after="0"/>
              <w:jc w:val="right"/>
              <w:rPr>
                <w:rFonts w:ascii="Cambria" w:hAnsi="Cambria" w:cs="Arial"/>
                <w:noProof/>
              </w:rPr>
            </w:pPr>
            <w:r w:rsidRPr="00AB15C7">
              <w:rPr>
                <w:rFonts w:ascii="Cambria" w:hAnsi="Cambria" w:cs="Arial"/>
                <w:noProof/>
              </w:rPr>
              <w:t>5 199</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BE88" w14:textId="77777777" w:rsidR="004F594E" w:rsidRPr="00AB15C7" w:rsidRDefault="004F594E" w:rsidP="001C6605">
            <w:pPr>
              <w:spacing w:after="0"/>
              <w:jc w:val="right"/>
              <w:rPr>
                <w:rFonts w:ascii="Cambria" w:hAnsi="Cambria" w:cs="Arial"/>
                <w:noProof/>
              </w:rPr>
            </w:pPr>
            <w:r w:rsidRPr="00AB15C7">
              <w:rPr>
                <w:rFonts w:ascii="Cambria" w:hAnsi="Cambria" w:cs="Arial"/>
                <w:noProof/>
              </w:rPr>
              <w:t>363 279</w:t>
            </w:r>
          </w:p>
        </w:tc>
      </w:tr>
      <w:tr w:rsidR="004F594E" w:rsidRPr="00AB15C7" w14:paraId="3BCC5A06" w14:textId="77777777" w:rsidTr="00B60506">
        <w:trPr>
          <w:trHeight w:val="300"/>
        </w:trPr>
        <w:tc>
          <w:tcPr>
            <w:tcW w:w="16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B94199B" w14:textId="77777777" w:rsidR="0005493B" w:rsidRDefault="004F594E" w:rsidP="001C6605">
            <w:pPr>
              <w:spacing w:after="0"/>
              <w:rPr>
                <w:rFonts w:ascii="Cambria" w:hAnsi="Cambria" w:cs="Arial"/>
                <w:noProof/>
              </w:rPr>
            </w:pPr>
            <w:r w:rsidRPr="00AB15C7">
              <w:rPr>
                <w:rFonts w:ascii="Cambria" w:hAnsi="Cambria" w:cs="Arial"/>
                <w:noProof/>
              </w:rPr>
              <w:t xml:space="preserve">Opasni </w:t>
            </w:r>
          </w:p>
          <w:p w14:paraId="7BA7514E" w14:textId="77777777" w:rsidR="004F594E" w:rsidRPr="00AB15C7" w:rsidRDefault="004F594E" w:rsidP="001C6605">
            <w:pPr>
              <w:spacing w:after="0"/>
              <w:rPr>
                <w:rFonts w:ascii="Cambria" w:hAnsi="Cambria" w:cs="Arial"/>
                <w:noProof/>
              </w:rPr>
            </w:pPr>
            <w:r w:rsidRPr="00AB15C7">
              <w:rPr>
                <w:rFonts w:ascii="Cambria" w:hAnsi="Cambria" w:cs="Arial"/>
                <w:noProof/>
              </w:rPr>
              <w:lastRenderedPageBreak/>
              <w:t>otpad</w:t>
            </w:r>
            <w:r w:rsidR="009E194E" w:rsidRPr="00AB15C7">
              <w:rPr>
                <w:rFonts w:ascii="Cambria" w:hAnsi="Cambria" w:cs="Arial"/>
                <w:noProof/>
              </w:rPr>
              <w:t xml:space="preserve"> (t)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7233B" w14:textId="77777777" w:rsidR="004F594E" w:rsidRPr="00AB15C7" w:rsidRDefault="004F594E" w:rsidP="001C6605">
            <w:pPr>
              <w:spacing w:after="0"/>
              <w:jc w:val="right"/>
              <w:rPr>
                <w:rFonts w:ascii="Cambria" w:hAnsi="Cambria" w:cs="Arial"/>
                <w:noProof/>
              </w:rPr>
            </w:pPr>
            <w:r w:rsidRPr="00AB15C7">
              <w:rPr>
                <w:rFonts w:ascii="Cambria" w:hAnsi="Cambria" w:cs="Arial"/>
                <w:noProof/>
              </w:rPr>
              <w:lastRenderedPageBreak/>
              <w:t>321 866</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F7F0D" w14:textId="77777777" w:rsidR="004F594E" w:rsidRPr="00AB15C7" w:rsidRDefault="004F594E" w:rsidP="001C6605">
            <w:pPr>
              <w:spacing w:after="0"/>
              <w:jc w:val="right"/>
              <w:rPr>
                <w:rFonts w:ascii="Cambria" w:hAnsi="Cambria" w:cs="Arial"/>
                <w:noProof/>
              </w:rPr>
            </w:pPr>
            <w:r w:rsidRPr="00AB15C7">
              <w:rPr>
                <w:rFonts w:ascii="Cambria" w:hAnsi="Cambria" w:cs="Arial"/>
                <w:noProof/>
              </w:rPr>
              <w:t>950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9EFC9" w14:textId="77777777" w:rsidR="004F594E" w:rsidRPr="00AB15C7" w:rsidRDefault="004F594E" w:rsidP="001C6605">
            <w:pPr>
              <w:spacing w:after="0"/>
              <w:jc w:val="right"/>
              <w:rPr>
                <w:rFonts w:ascii="Cambria" w:hAnsi="Cambria" w:cs="Arial"/>
                <w:noProof/>
              </w:rPr>
            </w:pPr>
            <w:r w:rsidRPr="00AB15C7">
              <w:rPr>
                <w:rFonts w:ascii="Cambria" w:hAnsi="Cambria" w:cs="Arial"/>
                <w:noProof/>
              </w:rPr>
              <w:t>362</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0D898" w14:textId="77777777" w:rsidR="004F594E" w:rsidRPr="00AB15C7" w:rsidRDefault="004F594E" w:rsidP="001C6605">
            <w:pPr>
              <w:spacing w:after="0"/>
              <w:jc w:val="right"/>
              <w:rPr>
                <w:rFonts w:ascii="Cambria" w:hAnsi="Cambria" w:cs="Arial"/>
                <w:noProof/>
              </w:rPr>
            </w:pPr>
            <w:r w:rsidRPr="00AB15C7">
              <w:rPr>
                <w:rFonts w:ascii="Cambria" w:hAnsi="Cambria" w:cs="Arial"/>
                <w:noProof/>
              </w:rPr>
              <w:t>65</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2329B" w14:textId="77777777" w:rsidR="004F594E" w:rsidRPr="00AB15C7" w:rsidRDefault="004F594E" w:rsidP="001C6605">
            <w:pPr>
              <w:spacing w:after="0"/>
              <w:jc w:val="right"/>
              <w:rPr>
                <w:rFonts w:ascii="Cambria" w:hAnsi="Cambria" w:cs="Arial"/>
                <w:noProof/>
              </w:rPr>
            </w:pPr>
            <w:r w:rsidRPr="00AB15C7">
              <w:rPr>
                <w:rFonts w:ascii="Cambria" w:hAnsi="Cambria" w:cs="Arial"/>
                <w:noProof/>
              </w:rPr>
              <w:t>323 243</w:t>
            </w:r>
          </w:p>
        </w:tc>
      </w:tr>
      <w:tr w:rsidR="004F594E" w:rsidRPr="00AB15C7" w14:paraId="04A647EC" w14:textId="77777777" w:rsidTr="00B60506">
        <w:trPr>
          <w:trHeight w:val="300"/>
        </w:trPr>
        <w:tc>
          <w:tcPr>
            <w:tcW w:w="16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A6595E" w14:textId="77777777" w:rsidR="004F594E" w:rsidRPr="00AB15C7" w:rsidRDefault="004F594E" w:rsidP="001C6605">
            <w:pPr>
              <w:spacing w:after="0"/>
              <w:rPr>
                <w:rFonts w:ascii="Cambria" w:hAnsi="Cambria" w:cs="Arial"/>
                <w:b/>
                <w:bCs/>
                <w:noProof/>
              </w:rPr>
            </w:pPr>
            <w:r w:rsidRPr="00AB15C7">
              <w:rPr>
                <w:rFonts w:ascii="Cambria" w:hAnsi="Cambria" w:cs="Arial"/>
                <w:b/>
                <w:bCs/>
                <w:noProof/>
              </w:rPr>
              <w:t>UKUPNO</w:t>
            </w:r>
            <w:r w:rsidR="009E194E" w:rsidRPr="00AB15C7">
              <w:rPr>
                <w:rFonts w:ascii="Cambria" w:hAnsi="Cambria" w:cs="Arial"/>
                <w:b/>
                <w:bCs/>
                <w:noProof/>
              </w:rPr>
              <w:t xml:space="preserve"> (t)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F4609" w14:textId="77777777" w:rsidR="004F594E" w:rsidRPr="00AB15C7" w:rsidRDefault="004F594E" w:rsidP="001C6605">
            <w:pPr>
              <w:spacing w:after="0"/>
              <w:jc w:val="right"/>
              <w:rPr>
                <w:rFonts w:ascii="Cambria" w:hAnsi="Cambria" w:cs="Arial"/>
                <w:b/>
                <w:bCs/>
                <w:noProof/>
              </w:rPr>
            </w:pPr>
            <w:r w:rsidRPr="00AB15C7">
              <w:rPr>
                <w:rFonts w:ascii="Cambria" w:hAnsi="Cambria" w:cs="Arial"/>
                <w:b/>
                <w:bCs/>
                <w:noProof/>
              </w:rPr>
              <w:t>337 620</w:t>
            </w:r>
          </w:p>
        </w:tc>
        <w:tc>
          <w:tcPr>
            <w:tcW w:w="16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EADC5" w14:textId="77777777" w:rsidR="004F594E" w:rsidRPr="00AB15C7" w:rsidRDefault="004F594E" w:rsidP="001C6605">
            <w:pPr>
              <w:spacing w:after="0"/>
              <w:jc w:val="right"/>
              <w:rPr>
                <w:rFonts w:ascii="Cambria" w:hAnsi="Cambria" w:cs="Arial"/>
                <w:b/>
                <w:bCs/>
                <w:noProof/>
              </w:rPr>
            </w:pPr>
            <w:r w:rsidRPr="00AB15C7">
              <w:rPr>
                <w:rFonts w:ascii="Cambria" w:hAnsi="Cambria" w:cs="Arial"/>
                <w:b/>
                <w:bCs/>
                <w:noProof/>
              </w:rPr>
              <w:t>37 957</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D4AFD" w14:textId="77777777" w:rsidR="004F594E" w:rsidRPr="00AB15C7" w:rsidRDefault="004F594E" w:rsidP="001C6605">
            <w:pPr>
              <w:spacing w:after="0"/>
              <w:jc w:val="right"/>
              <w:rPr>
                <w:rFonts w:ascii="Cambria" w:hAnsi="Cambria" w:cs="Arial"/>
                <w:b/>
                <w:bCs/>
                <w:noProof/>
              </w:rPr>
            </w:pPr>
            <w:r w:rsidRPr="00AB15C7">
              <w:rPr>
                <w:rFonts w:ascii="Cambria" w:hAnsi="Cambria" w:cs="Arial"/>
                <w:b/>
                <w:bCs/>
                <w:noProof/>
              </w:rPr>
              <w:t>305 681</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29F61" w14:textId="77777777" w:rsidR="004F594E" w:rsidRPr="00AB15C7" w:rsidRDefault="004F594E" w:rsidP="001C6605">
            <w:pPr>
              <w:spacing w:after="0"/>
              <w:jc w:val="right"/>
              <w:rPr>
                <w:rFonts w:ascii="Cambria" w:hAnsi="Cambria" w:cs="Arial"/>
                <w:b/>
                <w:bCs/>
                <w:noProof/>
              </w:rPr>
            </w:pPr>
            <w:r w:rsidRPr="00AB15C7">
              <w:rPr>
                <w:rFonts w:ascii="Cambria" w:hAnsi="Cambria" w:cs="Arial"/>
                <w:b/>
                <w:bCs/>
                <w:noProof/>
              </w:rPr>
              <w:t>5 264</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9336A" w14:textId="77777777" w:rsidR="004F594E" w:rsidRPr="00AB15C7" w:rsidRDefault="004F594E" w:rsidP="001C6605">
            <w:pPr>
              <w:spacing w:after="0"/>
              <w:jc w:val="right"/>
              <w:rPr>
                <w:rFonts w:ascii="Cambria" w:hAnsi="Cambria" w:cs="Arial"/>
                <w:b/>
                <w:bCs/>
                <w:noProof/>
              </w:rPr>
            </w:pPr>
            <w:r w:rsidRPr="00AB15C7">
              <w:rPr>
                <w:rFonts w:ascii="Cambria" w:hAnsi="Cambria" w:cs="Arial"/>
                <w:b/>
                <w:bCs/>
                <w:noProof/>
              </w:rPr>
              <w:t>686 522</w:t>
            </w:r>
          </w:p>
        </w:tc>
      </w:tr>
    </w:tbl>
    <w:p w14:paraId="7A21D71D" w14:textId="77777777" w:rsidR="000C0BFE" w:rsidRPr="00AB15C7" w:rsidRDefault="000C0BFE" w:rsidP="005921EF">
      <w:pPr>
        <w:spacing w:after="0"/>
        <w:jc w:val="center"/>
        <w:rPr>
          <w:rFonts w:ascii="Cambria" w:hAnsi="Cambria"/>
          <w:iCs/>
          <w:noProof/>
        </w:rPr>
      </w:pPr>
      <w:r w:rsidRPr="00AB15C7">
        <w:rPr>
          <w:rFonts w:ascii="Cambria" w:hAnsi="Cambria"/>
          <w:i/>
          <w:noProof/>
          <w:lang w:val="sr-Latn-ME"/>
        </w:rPr>
        <w:t>Izvor:</w:t>
      </w:r>
      <w:r w:rsidRPr="00AB15C7">
        <w:rPr>
          <w:rFonts w:ascii="Cambria" w:hAnsi="Cambria"/>
          <w:i/>
          <w:noProof/>
          <w:shd w:val="clear" w:color="auto" w:fill="FFFFFF"/>
          <w:lang w:val="sr-Latn-ME"/>
        </w:rPr>
        <w:t xml:space="preserve"> </w:t>
      </w:r>
      <w:r w:rsidR="00940834" w:rsidRPr="00AB15C7">
        <w:rPr>
          <w:rFonts w:ascii="Cambria" w:hAnsi="Cambria"/>
          <w:i/>
          <w:noProof/>
          <w:shd w:val="clear" w:color="auto" w:fill="FFFFFF"/>
          <w:lang w:val="sr-Latn-ME"/>
        </w:rPr>
        <w:t>MONSTAT</w:t>
      </w:r>
    </w:p>
    <w:p w14:paraId="7F465E14" w14:textId="77777777" w:rsidR="000C0BFE" w:rsidRPr="00AB15C7" w:rsidRDefault="000C0BFE" w:rsidP="005921EF">
      <w:pPr>
        <w:spacing w:after="0"/>
        <w:jc w:val="both"/>
        <w:rPr>
          <w:rFonts w:ascii="Cambria" w:hAnsi="Cambria"/>
          <w:iCs/>
          <w:noProof/>
        </w:rPr>
      </w:pPr>
    </w:p>
    <w:p w14:paraId="499430DB" w14:textId="77777777" w:rsidR="00B13978" w:rsidRDefault="009E194E" w:rsidP="005921EF">
      <w:pPr>
        <w:spacing w:after="0"/>
        <w:jc w:val="both"/>
        <w:rPr>
          <w:rFonts w:ascii="Cambria" w:hAnsi="Cambria"/>
          <w:iCs/>
          <w:noProof/>
        </w:rPr>
      </w:pPr>
      <w:r w:rsidRPr="00AB15C7">
        <w:rPr>
          <w:rFonts w:ascii="Cambria" w:hAnsi="Cambria"/>
          <w:iCs/>
          <w:noProof/>
        </w:rPr>
        <w:t xml:space="preserve">Najveći udio </w:t>
      </w:r>
      <w:r w:rsidR="00A1416A" w:rsidRPr="00AB15C7">
        <w:rPr>
          <w:rFonts w:ascii="Cambria" w:hAnsi="Cambria"/>
          <w:iCs/>
          <w:noProof/>
        </w:rPr>
        <w:t xml:space="preserve">neopasnog otpada </w:t>
      </w:r>
      <w:r w:rsidRPr="00AB15C7">
        <w:rPr>
          <w:rFonts w:ascii="Cambria" w:hAnsi="Cambria"/>
          <w:iCs/>
          <w:noProof/>
        </w:rPr>
        <w:t>generisan je u sektoru Snabdijevanje električnom energijom, gasom i parom</w:t>
      </w:r>
      <w:r w:rsidR="00095910" w:rsidRPr="00AB15C7">
        <w:rPr>
          <w:rFonts w:ascii="Cambria" w:hAnsi="Cambria"/>
          <w:iCs/>
          <w:noProof/>
        </w:rPr>
        <w:t xml:space="preserve"> (305 319 t; 84,04% od ukupne količine neopasnog otpada)</w:t>
      </w:r>
      <w:r w:rsidRPr="00AB15C7">
        <w:rPr>
          <w:rFonts w:ascii="Cambria" w:hAnsi="Cambria"/>
          <w:iCs/>
          <w:noProof/>
        </w:rPr>
        <w:t xml:space="preserve">, dok najveći udio opasnog otpada generisan u </w:t>
      </w:r>
      <w:r w:rsidR="00A1416A" w:rsidRPr="00AB15C7">
        <w:rPr>
          <w:rFonts w:ascii="Cambria" w:hAnsi="Cambria"/>
          <w:iCs/>
          <w:noProof/>
        </w:rPr>
        <w:t>sektor</w:t>
      </w:r>
      <w:r w:rsidRPr="00AB15C7">
        <w:rPr>
          <w:rFonts w:ascii="Cambria" w:hAnsi="Cambria"/>
          <w:iCs/>
          <w:noProof/>
        </w:rPr>
        <w:t>u</w:t>
      </w:r>
      <w:r w:rsidR="00A1416A" w:rsidRPr="00AB15C7">
        <w:rPr>
          <w:rFonts w:ascii="Cambria" w:hAnsi="Cambria"/>
          <w:iCs/>
          <w:noProof/>
        </w:rPr>
        <w:t xml:space="preserve"> Rudarstvo (</w:t>
      </w:r>
      <w:r w:rsidR="00095910" w:rsidRPr="00AB15C7">
        <w:rPr>
          <w:rFonts w:ascii="Cambria" w:hAnsi="Cambria"/>
          <w:iCs/>
          <w:noProof/>
        </w:rPr>
        <w:t>321 866 t; 99,57</w:t>
      </w:r>
      <w:r w:rsidR="00A1416A" w:rsidRPr="00AB15C7">
        <w:rPr>
          <w:rFonts w:ascii="Cambria" w:hAnsi="Cambria"/>
          <w:iCs/>
          <w:noProof/>
        </w:rPr>
        <w:t>%</w:t>
      </w:r>
      <w:r w:rsidR="00095910" w:rsidRPr="00AB15C7">
        <w:rPr>
          <w:rFonts w:ascii="Cambria" w:hAnsi="Cambria"/>
          <w:iCs/>
          <w:noProof/>
        </w:rPr>
        <w:t xml:space="preserve"> od ukupne količine </w:t>
      </w:r>
      <w:r w:rsidR="00A1416A" w:rsidRPr="00AB15C7">
        <w:rPr>
          <w:rFonts w:ascii="Cambria" w:hAnsi="Cambria"/>
          <w:iCs/>
          <w:noProof/>
        </w:rPr>
        <w:t>opasn</w:t>
      </w:r>
      <w:r w:rsidR="00095910" w:rsidRPr="00AB15C7">
        <w:rPr>
          <w:rFonts w:ascii="Cambria" w:hAnsi="Cambria"/>
          <w:iCs/>
          <w:noProof/>
        </w:rPr>
        <w:t>og</w:t>
      </w:r>
      <w:r w:rsidR="00A1416A" w:rsidRPr="00AB15C7">
        <w:rPr>
          <w:rFonts w:ascii="Cambria" w:hAnsi="Cambria"/>
          <w:iCs/>
          <w:noProof/>
        </w:rPr>
        <w:t xml:space="preserve"> otpad</w:t>
      </w:r>
      <w:r w:rsidR="00095910" w:rsidRPr="00AB15C7">
        <w:rPr>
          <w:rFonts w:ascii="Cambria" w:hAnsi="Cambria"/>
          <w:iCs/>
          <w:noProof/>
        </w:rPr>
        <w:t xml:space="preserve">a). </w:t>
      </w:r>
      <w:r w:rsidR="006952C8" w:rsidRPr="00AB15C7">
        <w:rPr>
          <w:rFonts w:ascii="Cambria" w:hAnsi="Cambria"/>
          <w:iCs/>
          <w:noProof/>
        </w:rPr>
        <w:t>Raspodela generisanog industrijskog otpada prema grupama Kataloga otpada 2016</w:t>
      </w:r>
      <w:r w:rsidR="00095910" w:rsidRPr="00AB15C7">
        <w:rPr>
          <w:rFonts w:ascii="Cambria" w:hAnsi="Cambria"/>
          <w:iCs/>
          <w:noProof/>
        </w:rPr>
        <w:t>.</w:t>
      </w:r>
      <w:r w:rsidR="006952C8" w:rsidRPr="00AB15C7">
        <w:rPr>
          <w:rFonts w:ascii="Cambria" w:hAnsi="Cambria"/>
          <w:iCs/>
          <w:noProof/>
        </w:rPr>
        <w:t xml:space="preserve"> data je u Tabeli </w:t>
      </w:r>
      <w:r w:rsidR="00B13978" w:rsidRPr="00AB15C7">
        <w:rPr>
          <w:rFonts w:ascii="Cambria" w:hAnsi="Cambria"/>
          <w:iCs/>
          <w:noProof/>
        </w:rPr>
        <w:t>1</w:t>
      </w:r>
      <w:r w:rsidR="0065073A" w:rsidRPr="00AB15C7">
        <w:rPr>
          <w:rFonts w:ascii="Cambria" w:hAnsi="Cambria"/>
          <w:iCs/>
          <w:noProof/>
        </w:rPr>
        <w:t>4</w:t>
      </w:r>
      <w:r w:rsidR="006952C8" w:rsidRPr="00AB15C7">
        <w:rPr>
          <w:rFonts w:ascii="Cambria" w:hAnsi="Cambria"/>
          <w:iCs/>
          <w:noProof/>
        </w:rPr>
        <w:t>.</w:t>
      </w:r>
    </w:p>
    <w:p w14:paraId="55232AAF" w14:textId="77777777" w:rsidR="006952C8" w:rsidRPr="00F70A79" w:rsidRDefault="006952C8" w:rsidP="00940834">
      <w:pPr>
        <w:spacing w:after="120"/>
        <w:jc w:val="center"/>
        <w:rPr>
          <w:rFonts w:ascii="Cambria" w:hAnsi="Cambria"/>
          <w:noProof/>
          <w:lang w:val="sr-Latn-ME"/>
        </w:rPr>
      </w:pPr>
      <w:r w:rsidRPr="00940834">
        <w:rPr>
          <w:rFonts w:ascii="Cambria" w:hAnsi="Cambria"/>
          <w:i/>
          <w:iCs/>
          <w:noProof/>
          <w:sz w:val="16"/>
          <w:szCs w:val="16"/>
        </w:rPr>
        <w:br/>
      </w:r>
      <w:r w:rsidR="00B13978" w:rsidRPr="00940834">
        <w:rPr>
          <w:rFonts w:ascii="Cambria" w:hAnsi="Cambria"/>
          <w:i/>
          <w:noProof/>
          <w:lang w:val="sr-Latn-ME"/>
        </w:rPr>
        <w:t>Tabela 1</w:t>
      </w:r>
      <w:r w:rsidR="0065073A" w:rsidRPr="00940834">
        <w:rPr>
          <w:rFonts w:ascii="Cambria" w:hAnsi="Cambria"/>
          <w:i/>
          <w:noProof/>
          <w:lang w:val="sr-Latn-ME"/>
        </w:rPr>
        <w:t>4</w:t>
      </w:r>
      <w:r w:rsidR="00B13978" w:rsidRPr="00940834">
        <w:rPr>
          <w:rFonts w:ascii="Cambria" w:hAnsi="Cambria"/>
          <w:i/>
          <w:noProof/>
          <w:lang w:val="sr-Latn-ME"/>
        </w:rPr>
        <w:t>.</w:t>
      </w:r>
      <w:r w:rsidR="00B13978" w:rsidRPr="00F70A79">
        <w:rPr>
          <w:rFonts w:ascii="Cambria" w:hAnsi="Cambria"/>
          <w:noProof/>
          <w:lang w:val="sr-Latn-ME"/>
        </w:rPr>
        <w:t xml:space="preserve"> Generisani industrijski otpad prema grupama Kataloga otpada 2016. u tonama</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
        <w:gridCol w:w="6047"/>
        <w:gridCol w:w="1274"/>
        <w:gridCol w:w="979"/>
        <w:gridCol w:w="1016"/>
      </w:tblGrid>
      <w:tr w:rsidR="006952C8" w:rsidRPr="00AB15C7" w14:paraId="2DCC8B6D" w14:textId="77777777" w:rsidTr="00F70A79">
        <w:trPr>
          <w:trHeight w:val="300"/>
        </w:trPr>
        <w:tc>
          <w:tcPr>
            <w:tcW w:w="6480" w:type="dxa"/>
            <w:gridSpan w:val="2"/>
            <w:shd w:val="clear" w:color="auto" w:fill="D9D9D9"/>
            <w:noWrap/>
            <w:vAlign w:val="center"/>
            <w:hideMark/>
          </w:tcPr>
          <w:p w14:paraId="41294F58" w14:textId="77777777" w:rsidR="006952C8" w:rsidRPr="00AB15C7" w:rsidRDefault="006952C8" w:rsidP="001C6605">
            <w:pPr>
              <w:spacing w:after="0"/>
              <w:rPr>
                <w:rFonts w:ascii="Cambria" w:hAnsi="Cambria" w:cs="Arial"/>
                <w:b/>
                <w:bCs/>
                <w:noProof/>
              </w:rPr>
            </w:pPr>
            <w:r w:rsidRPr="00AB15C7">
              <w:rPr>
                <w:rFonts w:ascii="Cambria" w:hAnsi="Cambria" w:cs="Arial"/>
                <w:b/>
                <w:bCs/>
                <w:noProof/>
              </w:rPr>
              <w:t>Stvorena količina otpada</w:t>
            </w:r>
          </w:p>
        </w:tc>
        <w:tc>
          <w:tcPr>
            <w:tcW w:w="1274" w:type="dxa"/>
            <w:shd w:val="clear" w:color="auto" w:fill="D9D9D9"/>
            <w:noWrap/>
            <w:vAlign w:val="center"/>
            <w:hideMark/>
          </w:tcPr>
          <w:p w14:paraId="68D5BFA7" w14:textId="77777777" w:rsidR="006952C8" w:rsidRPr="00AB15C7" w:rsidRDefault="006952C8" w:rsidP="001C6605">
            <w:pPr>
              <w:spacing w:after="0"/>
              <w:jc w:val="center"/>
              <w:rPr>
                <w:rFonts w:ascii="Cambria" w:hAnsi="Cambria" w:cs="Arial"/>
                <w:b/>
                <w:bCs/>
                <w:noProof/>
              </w:rPr>
            </w:pPr>
            <w:r w:rsidRPr="00AB15C7">
              <w:rPr>
                <w:rFonts w:ascii="Cambria" w:hAnsi="Cambria" w:cs="Arial"/>
                <w:b/>
                <w:bCs/>
                <w:noProof/>
              </w:rPr>
              <w:t>Neopasni</w:t>
            </w:r>
          </w:p>
        </w:tc>
        <w:tc>
          <w:tcPr>
            <w:tcW w:w="979" w:type="dxa"/>
            <w:shd w:val="clear" w:color="auto" w:fill="D9D9D9"/>
            <w:noWrap/>
            <w:vAlign w:val="center"/>
            <w:hideMark/>
          </w:tcPr>
          <w:p w14:paraId="6B265DF4" w14:textId="77777777" w:rsidR="006952C8" w:rsidRPr="00AB15C7" w:rsidRDefault="006952C8" w:rsidP="001C6605">
            <w:pPr>
              <w:spacing w:after="0"/>
              <w:jc w:val="center"/>
              <w:rPr>
                <w:rFonts w:ascii="Cambria" w:hAnsi="Cambria" w:cs="Arial"/>
                <w:b/>
                <w:bCs/>
                <w:noProof/>
              </w:rPr>
            </w:pPr>
            <w:r w:rsidRPr="00AB15C7">
              <w:rPr>
                <w:rFonts w:ascii="Cambria" w:hAnsi="Cambria" w:cs="Arial"/>
                <w:b/>
                <w:bCs/>
                <w:noProof/>
              </w:rPr>
              <w:t>Opasni</w:t>
            </w:r>
          </w:p>
        </w:tc>
        <w:tc>
          <w:tcPr>
            <w:tcW w:w="1014" w:type="dxa"/>
            <w:shd w:val="clear" w:color="auto" w:fill="D9D9D9"/>
            <w:noWrap/>
            <w:vAlign w:val="center"/>
            <w:hideMark/>
          </w:tcPr>
          <w:p w14:paraId="39EF563F" w14:textId="77777777" w:rsidR="006952C8" w:rsidRPr="00AB15C7" w:rsidRDefault="006952C8" w:rsidP="001C6605">
            <w:pPr>
              <w:spacing w:after="0"/>
              <w:jc w:val="center"/>
              <w:rPr>
                <w:rFonts w:ascii="Cambria" w:hAnsi="Cambria" w:cs="Arial"/>
                <w:b/>
                <w:bCs/>
                <w:noProof/>
              </w:rPr>
            </w:pPr>
            <w:r w:rsidRPr="00AB15C7">
              <w:rPr>
                <w:rFonts w:ascii="Cambria" w:hAnsi="Cambria" w:cs="Arial"/>
                <w:b/>
                <w:bCs/>
                <w:noProof/>
              </w:rPr>
              <w:t>Ukupno</w:t>
            </w:r>
          </w:p>
        </w:tc>
      </w:tr>
      <w:tr w:rsidR="006952C8" w:rsidRPr="00AB15C7" w14:paraId="637087F8" w14:textId="77777777" w:rsidTr="00F70A79">
        <w:trPr>
          <w:trHeight w:val="300"/>
        </w:trPr>
        <w:tc>
          <w:tcPr>
            <w:tcW w:w="433" w:type="dxa"/>
            <w:shd w:val="clear" w:color="auto" w:fill="D9D9D9"/>
            <w:noWrap/>
            <w:vAlign w:val="center"/>
            <w:hideMark/>
          </w:tcPr>
          <w:p w14:paraId="1B0D9497"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01</w:t>
            </w:r>
          </w:p>
        </w:tc>
        <w:tc>
          <w:tcPr>
            <w:tcW w:w="6047" w:type="dxa"/>
            <w:shd w:val="clear" w:color="auto" w:fill="D9D9D9"/>
            <w:vAlign w:val="center"/>
            <w:hideMark/>
          </w:tcPr>
          <w:p w14:paraId="730A1CF9" w14:textId="77777777" w:rsidR="006952C8" w:rsidRPr="00AB15C7" w:rsidRDefault="006952C8" w:rsidP="001C6605">
            <w:pPr>
              <w:spacing w:after="0"/>
              <w:rPr>
                <w:rFonts w:ascii="Cambria" w:hAnsi="Cambria" w:cs="Arial"/>
                <w:noProof/>
              </w:rPr>
            </w:pPr>
            <w:r w:rsidRPr="00AB15C7">
              <w:rPr>
                <w:rFonts w:ascii="Cambria" w:hAnsi="Cambria" w:cs="Arial"/>
                <w:noProof/>
              </w:rPr>
              <w:t>Otpadi koji potiču od istraživanja, iskopavanja iz rudnika ili kamenoloma, i fizičkog i hemijskog tretmana minerala</w:t>
            </w:r>
          </w:p>
        </w:tc>
        <w:tc>
          <w:tcPr>
            <w:tcW w:w="1274" w:type="dxa"/>
            <w:shd w:val="clear" w:color="auto" w:fill="auto"/>
            <w:noWrap/>
            <w:vAlign w:val="center"/>
            <w:hideMark/>
          </w:tcPr>
          <w:p w14:paraId="66067E88" w14:textId="77777777" w:rsidR="006952C8" w:rsidRPr="00AB15C7" w:rsidRDefault="006952C8" w:rsidP="001C6605">
            <w:pPr>
              <w:spacing w:after="0"/>
              <w:jc w:val="right"/>
              <w:rPr>
                <w:rFonts w:ascii="Cambria" w:hAnsi="Cambria" w:cs="Arial"/>
                <w:noProof/>
              </w:rPr>
            </w:pPr>
            <w:r w:rsidRPr="00AB15C7">
              <w:rPr>
                <w:rFonts w:ascii="Cambria" w:hAnsi="Cambria" w:cs="Arial"/>
                <w:noProof/>
              </w:rPr>
              <w:t>5 488</w:t>
            </w:r>
          </w:p>
        </w:tc>
        <w:tc>
          <w:tcPr>
            <w:tcW w:w="979" w:type="dxa"/>
            <w:shd w:val="clear" w:color="auto" w:fill="auto"/>
            <w:noWrap/>
            <w:vAlign w:val="center"/>
            <w:hideMark/>
          </w:tcPr>
          <w:p w14:paraId="22310DD6" w14:textId="77777777" w:rsidR="006952C8" w:rsidRPr="00AB15C7" w:rsidRDefault="006952C8" w:rsidP="001C6605">
            <w:pPr>
              <w:spacing w:after="0"/>
              <w:ind w:left="-419"/>
              <w:jc w:val="right"/>
              <w:rPr>
                <w:rFonts w:ascii="Cambria" w:hAnsi="Cambria" w:cs="Arial"/>
                <w:noProof/>
              </w:rPr>
            </w:pPr>
            <w:r w:rsidRPr="00AB15C7">
              <w:rPr>
                <w:rFonts w:ascii="Cambria" w:hAnsi="Cambria" w:cs="Arial"/>
                <w:noProof/>
              </w:rPr>
              <w:t>321 765</w:t>
            </w:r>
          </w:p>
        </w:tc>
        <w:tc>
          <w:tcPr>
            <w:tcW w:w="1014" w:type="dxa"/>
            <w:shd w:val="clear" w:color="auto" w:fill="auto"/>
            <w:noWrap/>
            <w:vAlign w:val="center"/>
            <w:hideMark/>
          </w:tcPr>
          <w:p w14:paraId="4EEC89D5" w14:textId="77777777" w:rsidR="006952C8" w:rsidRPr="00AB15C7" w:rsidRDefault="006952C8" w:rsidP="001C6605">
            <w:pPr>
              <w:spacing w:after="0"/>
              <w:jc w:val="right"/>
              <w:rPr>
                <w:rFonts w:ascii="Cambria" w:hAnsi="Cambria" w:cs="Arial"/>
                <w:noProof/>
              </w:rPr>
            </w:pPr>
            <w:r w:rsidRPr="00AB15C7">
              <w:rPr>
                <w:rFonts w:ascii="Cambria" w:hAnsi="Cambria" w:cs="Arial"/>
                <w:noProof/>
              </w:rPr>
              <w:t>327 253</w:t>
            </w:r>
          </w:p>
        </w:tc>
      </w:tr>
      <w:tr w:rsidR="006952C8" w:rsidRPr="00AB15C7" w14:paraId="5813D35B" w14:textId="77777777" w:rsidTr="00F70A79">
        <w:trPr>
          <w:trHeight w:val="300"/>
        </w:trPr>
        <w:tc>
          <w:tcPr>
            <w:tcW w:w="433" w:type="dxa"/>
            <w:shd w:val="clear" w:color="auto" w:fill="D9D9D9"/>
            <w:noWrap/>
            <w:vAlign w:val="center"/>
            <w:hideMark/>
          </w:tcPr>
          <w:p w14:paraId="6F1D1BE5"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02</w:t>
            </w:r>
          </w:p>
        </w:tc>
        <w:tc>
          <w:tcPr>
            <w:tcW w:w="6047" w:type="dxa"/>
            <w:shd w:val="clear" w:color="auto" w:fill="D9D9D9"/>
            <w:vAlign w:val="center"/>
            <w:hideMark/>
          </w:tcPr>
          <w:p w14:paraId="4AC4021F" w14:textId="77777777" w:rsidR="006952C8" w:rsidRPr="00AB15C7" w:rsidRDefault="006952C8" w:rsidP="001C6605">
            <w:pPr>
              <w:spacing w:after="0"/>
              <w:rPr>
                <w:rFonts w:ascii="Cambria" w:hAnsi="Cambria" w:cs="Arial"/>
                <w:noProof/>
              </w:rPr>
            </w:pPr>
            <w:r w:rsidRPr="00AB15C7">
              <w:rPr>
                <w:rFonts w:ascii="Cambria" w:hAnsi="Cambria" w:cs="Arial"/>
                <w:noProof/>
              </w:rPr>
              <w:t>Otpadi iz poljoprivrede, hortikulture, akvakulture, šumarstva, lova i ribolova, pripreme i prerade hrane</w:t>
            </w:r>
          </w:p>
        </w:tc>
        <w:tc>
          <w:tcPr>
            <w:tcW w:w="1274" w:type="dxa"/>
            <w:shd w:val="clear" w:color="auto" w:fill="auto"/>
            <w:noWrap/>
            <w:vAlign w:val="center"/>
            <w:hideMark/>
          </w:tcPr>
          <w:p w14:paraId="5C9248AF" w14:textId="77777777" w:rsidR="006952C8" w:rsidRPr="00AB15C7" w:rsidRDefault="006952C8" w:rsidP="001C6605">
            <w:pPr>
              <w:spacing w:after="0"/>
              <w:jc w:val="right"/>
              <w:rPr>
                <w:rFonts w:ascii="Cambria" w:hAnsi="Cambria" w:cs="Arial"/>
                <w:noProof/>
              </w:rPr>
            </w:pPr>
            <w:r w:rsidRPr="00AB15C7">
              <w:rPr>
                <w:rFonts w:ascii="Cambria" w:hAnsi="Cambria" w:cs="Arial"/>
                <w:noProof/>
              </w:rPr>
              <w:t>1 806</w:t>
            </w:r>
          </w:p>
        </w:tc>
        <w:tc>
          <w:tcPr>
            <w:tcW w:w="979" w:type="dxa"/>
            <w:shd w:val="clear" w:color="auto" w:fill="auto"/>
            <w:noWrap/>
            <w:vAlign w:val="center"/>
            <w:hideMark/>
          </w:tcPr>
          <w:p w14:paraId="72FB5137"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1014" w:type="dxa"/>
            <w:shd w:val="clear" w:color="auto" w:fill="auto"/>
            <w:noWrap/>
            <w:vAlign w:val="center"/>
            <w:hideMark/>
          </w:tcPr>
          <w:p w14:paraId="2E679D8C" w14:textId="77777777" w:rsidR="006952C8" w:rsidRPr="00AB15C7" w:rsidRDefault="006952C8" w:rsidP="001C6605">
            <w:pPr>
              <w:spacing w:after="0"/>
              <w:jc w:val="right"/>
              <w:rPr>
                <w:rFonts w:ascii="Cambria" w:hAnsi="Cambria" w:cs="Arial"/>
                <w:noProof/>
              </w:rPr>
            </w:pPr>
            <w:r w:rsidRPr="00AB15C7">
              <w:rPr>
                <w:rFonts w:ascii="Cambria" w:hAnsi="Cambria" w:cs="Arial"/>
                <w:noProof/>
              </w:rPr>
              <w:t>1 806</w:t>
            </w:r>
          </w:p>
        </w:tc>
      </w:tr>
      <w:tr w:rsidR="006952C8" w:rsidRPr="00AB15C7" w14:paraId="62B76948" w14:textId="77777777" w:rsidTr="00F70A79">
        <w:trPr>
          <w:trHeight w:val="300"/>
        </w:trPr>
        <w:tc>
          <w:tcPr>
            <w:tcW w:w="433" w:type="dxa"/>
            <w:shd w:val="clear" w:color="auto" w:fill="D9D9D9"/>
            <w:noWrap/>
            <w:vAlign w:val="center"/>
            <w:hideMark/>
          </w:tcPr>
          <w:p w14:paraId="0BA03F8D"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03</w:t>
            </w:r>
          </w:p>
        </w:tc>
        <w:tc>
          <w:tcPr>
            <w:tcW w:w="6047" w:type="dxa"/>
            <w:shd w:val="clear" w:color="auto" w:fill="D9D9D9"/>
            <w:vAlign w:val="center"/>
            <w:hideMark/>
          </w:tcPr>
          <w:p w14:paraId="1DB2B082" w14:textId="77777777" w:rsidR="006952C8" w:rsidRPr="00AB15C7" w:rsidRDefault="006952C8" w:rsidP="001C6605">
            <w:pPr>
              <w:spacing w:after="0"/>
              <w:rPr>
                <w:rFonts w:ascii="Cambria" w:hAnsi="Cambria" w:cs="Arial"/>
                <w:noProof/>
              </w:rPr>
            </w:pPr>
            <w:r w:rsidRPr="00AB15C7">
              <w:rPr>
                <w:rFonts w:ascii="Cambria" w:hAnsi="Cambria" w:cs="Arial"/>
                <w:noProof/>
              </w:rPr>
              <w:t>Otpadi od prerade drveta i proizvodnje papira, kartona, pulpe, panela i namještaja</w:t>
            </w:r>
          </w:p>
        </w:tc>
        <w:tc>
          <w:tcPr>
            <w:tcW w:w="1274" w:type="dxa"/>
            <w:shd w:val="clear" w:color="auto" w:fill="auto"/>
            <w:noWrap/>
            <w:vAlign w:val="center"/>
            <w:hideMark/>
          </w:tcPr>
          <w:p w14:paraId="6B2A2C1D" w14:textId="77777777" w:rsidR="006952C8" w:rsidRPr="00AB15C7" w:rsidRDefault="006952C8" w:rsidP="001C6605">
            <w:pPr>
              <w:spacing w:after="0"/>
              <w:jc w:val="right"/>
              <w:rPr>
                <w:rFonts w:ascii="Cambria" w:hAnsi="Cambria" w:cs="Arial"/>
                <w:noProof/>
              </w:rPr>
            </w:pPr>
            <w:r w:rsidRPr="00AB15C7">
              <w:rPr>
                <w:rFonts w:ascii="Cambria" w:hAnsi="Cambria" w:cs="Arial"/>
                <w:noProof/>
              </w:rPr>
              <w:t>6 704</w:t>
            </w:r>
          </w:p>
        </w:tc>
        <w:tc>
          <w:tcPr>
            <w:tcW w:w="979" w:type="dxa"/>
            <w:shd w:val="clear" w:color="auto" w:fill="auto"/>
            <w:noWrap/>
            <w:vAlign w:val="center"/>
            <w:hideMark/>
          </w:tcPr>
          <w:p w14:paraId="4BEB39EA"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1014" w:type="dxa"/>
            <w:shd w:val="clear" w:color="auto" w:fill="auto"/>
            <w:noWrap/>
            <w:vAlign w:val="center"/>
            <w:hideMark/>
          </w:tcPr>
          <w:p w14:paraId="1A1996B5" w14:textId="77777777" w:rsidR="006952C8" w:rsidRPr="00AB15C7" w:rsidRDefault="006952C8" w:rsidP="001C6605">
            <w:pPr>
              <w:spacing w:after="0"/>
              <w:jc w:val="right"/>
              <w:rPr>
                <w:rFonts w:ascii="Cambria" w:hAnsi="Cambria" w:cs="Arial"/>
                <w:noProof/>
              </w:rPr>
            </w:pPr>
            <w:r w:rsidRPr="00AB15C7">
              <w:rPr>
                <w:rFonts w:ascii="Cambria" w:hAnsi="Cambria" w:cs="Arial"/>
                <w:noProof/>
              </w:rPr>
              <w:t>6 704</w:t>
            </w:r>
          </w:p>
        </w:tc>
      </w:tr>
      <w:tr w:rsidR="006952C8" w:rsidRPr="00AB15C7" w14:paraId="4E65D896" w14:textId="77777777" w:rsidTr="00F70A79">
        <w:trPr>
          <w:trHeight w:val="300"/>
        </w:trPr>
        <w:tc>
          <w:tcPr>
            <w:tcW w:w="433" w:type="dxa"/>
            <w:shd w:val="clear" w:color="auto" w:fill="D9D9D9"/>
            <w:noWrap/>
            <w:vAlign w:val="center"/>
            <w:hideMark/>
          </w:tcPr>
          <w:p w14:paraId="314ECC98"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04</w:t>
            </w:r>
          </w:p>
        </w:tc>
        <w:tc>
          <w:tcPr>
            <w:tcW w:w="6047" w:type="dxa"/>
            <w:shd w:val="clear" w:color="auto" w:fill="D9D9D9"/>
            <w:noWrap/>
            <w:vAlign w:val="center"/>
            <w:hideMark/>
          </w:tcPr>
          <w:p w14:paraId="370BAA1A" w14:textId="77777777" w:rsidR="006952C8" w:rsidRPr="00AB15C7" w:rsidRDefault="006952C8" w:rsidP="001C6605">
            <w:pPr>
              <w:spacing w:after="0"/>
              <w:rPr>
                <w:rFonts w:ascii="Cambria" w:hAnsi="Cambria" w:cs="Arial"/>
                <w:noProof/>
              </w:rPr>
            </w:pPr>
            <w:r w:rsidRPr="00AB15C7">
              <w:rPr>
                <w:rFonts w:ascii="Cambria" w:hAnsi="Cambria" w:cs="Arial"/>
                <w:noProof/>
              </w:rPr>
              <w:t>Otpadi iz kožne, krznarske i tekstilne industrije</w:t>
            </w:r>
          </w:p>
        </w:tc>
        <w:tc>
          <w:tcPr>
            <w:tcW w:w="1274" w:type="dxa"/>
            <w:shd w:val="clear" w:color="auto" w:fill="auto"/>
            <w:noWrap/>
            <w:vAlign w:val="center"/>
            <w:hideMark/>
          </w:tcPr>
          <w:p w14:paraId="55897AD7" w14:textId="77777777" w:rsidR="006952C8" w:rsidRPr="00AB15C7" w:rsidRDefault="006952C8" w:rsidP="001C6605">
            <w:pPr>
              <w:spacing w:after="0"/>
              <w:jc w:val="right"/>
              <w:rPr>
                <w:rFonts w:ascii="Cambria" w:hAnsi="Cambria" w:cs="Arial"/>
                <w:noProof/>
              </w:rPr>
            </w:pPr>
            <w:r w:rsidRPr="00AB15C7">
              <w:rPr>
                <w:rFonts w:ascii="Cambria" w:hAnsi="Cambria" w:cs="Arial"/>
                <w:noProof/>
              </w:rPr>
              <w:t>4</w:t>
            </w:r>
          </w:p>
        </w:tc>
        <w:tc>
          <w:tcPr>
            <w:tcW w:w="979" w:type="dxa"/>
            <w:shd w:val="clear" w:color="auto" w:fill="auto"/>
            <w:noWrap/>
            <w:vAlign w:val="center"/>
            <w:hideMark/>
          </w:tcPr>
          <w:p w14:paraId="163A6A51"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1014" w:type="dxa"/>
            <w:shd w:val="clear" w:color="auto" w:fill="auto"/>
            <w:noWrap/>
            <w:vAlign w:val="center"/>
            <w:hideMark/>
          </w:tcPr>
          <w:p w14:paraId="5A0D6198" w14:textId="77777777" w:rsidR="006952C8" w:rsidRPr="00AB15C7" w:rsidRDefault="006952C8" w:rsidP="001C6605">
            <w:pPr>
              <w:spacing w:after="0"/>
              <w:jc w:val="right"/>
              <w:rPr>
                <w:rFonts w:ascii="Cambria" w:hAnsi="Cambria" w:cs="Arial"/>
                <w:noProof/>
              </w:rPr>
            </w:pPr>
            <w:r w:rsidRPr="00AB15C7">
              <w:rPr>
                <w:rFonts w:ascii="Cambria" w:hAnsi="Cambria" w:cs="Arial"/>
                <w:noProof/>
              </w:rPr>
              <w:t>4</w:t>
            </w:r>
          </w:p>
        </w:tc>
      </w:tr>
      <w:tr w:rsidR="006952C8" w:rsidRPr="00AB15C7" w14:paraId="51121C82" w14:textId="77777777" w:rsidTr="00F70A79">
        <w:trPr>
          <w:trHeight w:val="375"/>
        </w:trPr>
        <w:tc>
          <w:tcPr>
            <w:tcW w:w="433" w:type="dxa"/>
            <w:shd w:val="clear" w:color="auto" w:fill="D9D9D9"/>
            <w:noWrap/>
            <w:vAlign w:val="center"/>
            <w:hideMark/>
          </w:tcPr>
          <w:p w14:paraId="3432E090"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06</w:t>
            </w:r>
          </w:p>
        </w:tc>
        <w:tc>
          <w:tcPr>
            <w:tcW w:w="6047" w:type="dxa"/>
            <w:shd w:val="clear" w:color="auto" w:fill="D9D9D9"/>
            <w:vAlign w:val="center"/>
            <w:hideMark/>
          </w:tcPr>
          <w:p w14:paraId="1EDDC7A3" w14:textId="77777777" w:rsidR="006952C8" w:rsidRPr="00AB15C7" w:rsidRDefault="006952C8" w:rsidP="001C6605">
            <w:pPr>
              <w:spacing w:after="0"/>
              <w:rPr>
                <w:rFonts w:ascii="Cambria" w:hAnsi="Cambria" w:cs="Arial"/>
                <w:noProof/>
              </w:rPr>
            </w:pPr>
            <w:r w:rsidRPr="00AB15C7">
              <w:rPr>
                <w:rFonts w:ascii="Cambria" w:hAnsi="Cambria" w:cs="Arial"/>
                <w:noProof/>
              </w:rPr>
              <w:t>Otpadi od neorganske hemijske prerade</w:t>
            </w:r>
          </w:p>
        </w:tc>
        <w:tc>
          <w:tcPr>
            <w:tcW w:w="1274" w:type="dxa"/>
            <w:shd w:val="clear" w:color="auto" w:fill="auto"/>
            <w:noWrap/>
            <w:vAlign w:val="center"/>
            <w:hideMark/>
          </w:tcPr>
          <w:p w14:paraId="3D406B17"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979" w:type="dxa"/>
            <w:shd w:val="clear" w:color="auto" w:fill="auto"/>
            <w:noWrap/>
            <w:vAlign w:val="center"/>
            <w:hideMark/>
          </w:tcPr>
          <w:p w14:paraId="6B593801" w14:textId="77777777" w:rsidR="006952C8" w:rsidRPr="00AB15C7" w:rsidRDefault="006952C8" w:rsidP="001C6605">
            <w:pPr>
              <w:spacing w:after="0"/>
              <w:jc w:val="right"/>
              <w:rPr>
                <w:rFonts w:ascii="Cambria" w:hAnsi="Cambria" w:cs="Arial"/>
                <w:noProof/>
              </w:rPr>
            </w:pPr>
            <w:r w:rsidRPr="00AB15C7">
              <w:rPr>
                <w:rFonts w:ascii="Cambria" w:hAnsi="Cambria" w:cs="Arial"/>
                <w:noProof/>
              </w:rPr>
              <w:t>50</w:t>
            </w:r>
          </w:p>
        </w:tc>
        <w:tc>
          <w:tcPr>
            <w:tcW w:w="1014" w:type="dxa"/>
            <w:shd w:val="clear" w:color="auto" w:fill="auto"/>
            <w:noWrap/>
            <w:vAlign w:val="center"/>
            <w:hideMark/>
          </w:tcPr>
          <w:p w14:paraId="58C678B8" w14:textId="77777777" w:rsidR="006952C8" w:rsidRPr="00AB15C7" w:rsidRDefault="006952C8" w:rsidP="001C6605">
            <w:pPr>
              <w:spacing w:after="0"/>
              <w:jc w:val="right"/>
              <w:rPr>
                <w:rFonts w:ascii="Cambria" w:hAnsi="Cambria" w:cs="Arial"/>
                <w:noProof/>
              </w:rPr>
            </w:pPr>
            <w:r w:rsidRPr="00AB15C7">
              <w:rPr>
                <w:rFonts w:ascii="Cambria" w:hAnsi="Cambria" w:cs="Arial"/>
                <w:noProof/>
              </w:rPr>
              <w:t>50</w:t>
            </w:r>
          </w:p>
        </w:tc>
      </w:tr>
      <w:tr w:rsidR="006952C8" w:rsidRPr="00AB15C7" w14:paraId="01155E75" w14:textId="77777777" w:rsidTr="00F70A79">
        <w:trPr>
          <w:trHeight w:val="375"/>
        </w:trPr>
        <w:tc>
          <w:tcPr>
            <w:tcW w:w="433" w:type="dxa"/>
            <w:shd w:val="clear" w:color="auto" w:fill="D9D9D9"/>
            <w:noWrap/>
            <w:vAlign w:val="center"/>
            <w:hideMark/>
          </w:tcPr>
          <w:p w14:paraId="3EDC961F"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07</w:t>
            </w:r>
          </w:p>
        </w:tc>
        <w:tc>
          <w:tcPr>
            <w:tcW w:w="6047" w:type="dxa"/>
            <w:shd w:val="clear" w:color="auto" w:fill="D9D9D9"/>
            <w:vAlign w:val="center"/>
            <w:hideMark/>
          </w:tcPr>
          <w:p w14:paraId="2F77F682" w14:textId="77777777" w:rsidR="006952C8" w:rsidRPr="00AB15C7" w:rsidRDefault="006952C8" w:rsidP="001C6605">
            <w:pPr>
              <w:spacing w:after="0"/>
              <w:rPr>
                <w:rFonts w:ascii="Cambria" w:hAnsi="Cambria" w:cs="Arial"/>
                <w:noProof/>
              </w:rPr>
            </w:pPr>
            <w:r w:rsidRPr="00AB15C7">
              <w:rPr>
                <w:rFonts w:ascii="Cambria" w:hAnsi="Cambria" w:cs="Arial"/>
                <w:noProof/>
              </w:rPr>
              <w:t>Otpadi od organske hemijske prerade</w:t>
            </w:r>
          </w:p>
        </w:tc>
        <w:tc>
          <w:tcPr>
            <w:tcW w:w="1274" w:type="dxa"/>
            <w:shd w:val="clear" w:color="auto" w:fill="auto"/>
            <w:noWrap/>
            <w:vAlign w:val="center"/>
            <w:hideMark/>
          </w:tcPr>
          <w:p w14:paraId="2838AB80" w14:textId="77777777" w:rsidR="006952C8" w:rsidRPr="00AB15C7" w:rsidRDefault="006952C8" w:rsidP="001C6605">
            <w:pPr>
              <w:spacing w:after="0"/>
              <w:jc w:val="right"/>
              <w:rPr>
                <w:rFonts w:ascii="Cambria" w:hAnsi="Cambria" w:cs="Arial"/>
                <w:noProof/>
              </w:rPr>
            </w:pPr>
            <w:r w:rsidRPr="00AB15C7">
              <w:rPr>
                <w:rFonts w:ascii="Cambria" w:hAnsi="Cambria" w:cs="Arial"/>
                <w:noProof/>
              </w:rPr>
              <w:t>34</w:t>
            </w:r>
          </w:p>
        </w:tc>
        <w:tc>
          <w:tcPr>
            <w:tcW w:w="979" w:type="dxa"/>
            <w:shd w:val="clear" w:color="auto" w:fill="auto"/>
            <w:noWrap/>
            <w:vAlign w:val="center"/>
            <w:hideMark/>
          </w:tcPr>
          <w:p w14:paraId="211811E9"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1014" w:type="dxa"/>
            <w:shd w:val="clear" w:color="auto" w:fill="auto"/>
            <w:noWrap/>
            <w:vAlign w:val="center"/>
            <w:hideMark/>
          </w:tcPr>
          <w:p w14:paraId="3373EB44" w14:textId="77777777" w:rsidR="006952C8" w:rsidRPr="00AB15C7" w:rsidRDefault="006952C8" w:rsidP="001C6605">
            <w:pPr>
              <w:spacing w:after="0"/>
              <w:jc w:val="right"/>
              <w:rPr>
                <w:rFonts w:ascii="Cambria" w:hAnsi="Cambria" w:cs="Arial"/>
                <w:noProof/>
              </w:rPr>
            </w:pPr>
            <w:r w:rsidRPr="00AB15C7">
              <w:rPr>
                <w:rFonts w:ascii="Cambria" w:hAnsi="Cambria" w:cs="Arial"/>
                <w:noProof/>
              </w:rPr>
              <w:t>34</w:t>
            </w:r>
          </w:p>
        </w:tc>
      </w:tr>
      <w:tr w:rsidR="006952C8" w:rsidRPr="00AB15C7" w14:paraId="5825470C" w14:textId="77777777" w:rsidTr="00F70A79">
        <w:trPr>
          <w:trHeight w:val="615"/>
        </w:trPr>
        <w:tc>
          <w:tcPr>
            <w:tcW w:w="433" w:type="dxa"/>
            <w:shd w:val="clear" w:color="auto" w:fill="D9D9D9"/>
            <w:noWrap/>
            <w:vAlign w:val="center"/>
            <w:hideMark/>
          </w:tcPr>
          <w:p w14:paraId="2BD55E4F"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08</w:t>
            </w:r>
          </w:p>
        </w:tc>
        <w:tc>
          <w:tcPr>
            <w:tcW w:w="6047" w:type="dxa"/>
            <w:shd w:val="clear" w:color="auto" w:fill="D9D9D9"/>
            <w:vAlign w:val="center"/>
            <w:hideMark/>
          </w:tcPr>
          <w:p w14:paraId="338FD232" w14:textId="77777777" w:rsidR="006952C8" w:rsidRPr="00AB15C7" w:rsidRDefault="006952C8" w:rsidP="001C6605">
            <w:pPr>
              <w:spacing w:after="0"/>
              <w:rPr>
                <w:rFonts w:ascii="Cambria" w:hAnsi="Cambria" w:cs="Arial"/>
                <w:noProof/>
              </w:rPr>
            </w:pPr>
            <w:r w:rsidRPr="00AB15C7">
              <w:rPr>
                <w:rFonts w:ascii="Cambria" w:hAnsi="Cambria" w:cs="Arial"/>
                <w:noProof/>
              </w:rPr>
              <w:t>Otpadi od izrade, formulacije, pribavljanja i upotrebe premaza (boje, lakovi i staklene glazure), lijepkovi, zaptivači i štamparska mastila</w:t>
            </w:r>
          </w:p>
        </w:tc>
        <w:tc>
          <w:tcPr>
            <w:tcW w:w="1274" w:type="dxa"/>
            <w:shd w:val="clear" w:color="auto" w:fill="auto"/>
            <w:noWrap/>
            <w:vAlign w:val="center"/>
            <w:hideMark/>
          </w:tcPr>
          <w:p w14:paraId="2F7F90CF"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979" w:type="dxa"/>
            <w:shd w:val="clear" w:color="auto" w:fill="auto"/>
            <w:noWrap/>
            <w:vAlign w:val="center"/>
            <w:hideMark/>
          </w:tcPr>
          <w:p w14:paraId="4BE31FB7" w14:textId="77777777" w:rsidR="006952C8" w:rsidRPr="00AB15C7" w:rsidRDefault="006952C8" w:rsidP="001C6605">
            <w:pPr>
              <w:spacing w:after="0"/>
              <w:jc w:val="right"/>
              <w:rPr>
                <w:rFonts w:ascii="Cambria" w:hAnsi="Cambria" w:cs="Arial"/>
                <w:noProof/>
              </w:rPr>
            </w:pPr>
            <w:r w:rsidRPr="00AB15C7">
              <w:rPr>
                <w:rFonts w:ascii="Cambria" w:hAnsi="Cambria" w:cs="Arial"/>
                <w:noProof/>
              </w:rPr>
              <w:t>1</w:t>
            </w:r>
          </w:p>
        </w:tc>
        <w:tc>
          <w:tcPr>
            <w:tcW w:w="1014" w:type="dxa"/>
            <w:shd w:val="clear" w:color="auto" w:fill="auto"/>
            <w:noWrap/>
            <w:vAlign w:val="center"/>
            <w:hideMark/>
          </w:tcPr>
          <w:p w14:paraId="63448EC0" w14:textId="77777777" w:rsidR="006952C8" w:rsidRPr="00AB15C7" w:rsidRDefault="006952C8" w:rsidP="001C6605">
            <w:pPr>
              <w:spacing w:after="0"/>
              <w:jc w:val="right"/>
              <w:rPr>
                <w:rFonts w:ascii="Cambria" w:hAnsi="Cambria" w:cs="Arial"/>
                <w:noProof/>
              </w:rPr>
            </w:pPr>
            <w:r w:rsidRPr="00AB15C7">
              <w:rPr>
                <w:rFonts w:ascii="Cambria" w:hAnsi="Cambria" w:cs="Arial"/>
                <w:noProof/>
              </w:rPr>
              <w:t>1</w:t>
            </w:r>
          </w:p>
        </w:tc>
      </w:tr>
      <w:tr w:rsidR="006952C8" w:rsidRPr="00AB15C7" w14:paraId="3455D7FB" w14:textId="77777777" w:rsidTr="00F70A79">
        <w:trPr>
          <w:trHeight w:val="300"/>
        </w:trPr>
        <w:tc>
          <w:tcPr>
            <w:tcW w:w="433" w:type="dxa"/>
            <w:shd w:val="clear" w:color="auto" w:fill="D9D9D9"/>
            <w:noWrap/>
            <w:vAlign w:val="center"/>
            <w:hideMark/>
          </w:tcPr>
          <w:p w14:paraId="29237565"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10</w:t>
            </w:r>
          </w:p>
        </w:tc>
        <w:tc>
          <w:tcPr>
            <w:tcW w:w="6047" w:type="dxa"/>
            <w:shd w:val="clear" w:color="auto" w:fill="D9D9D9"/>
            <w:noWrap/>
            <w:vAlign w:val="center"/>
            <w:hideMark/>
          </w:tcPr>
          <w:p w14:paraId="505B7BF5" w14:textId="77777777" w:rsidR="006952C8" w:rsidRPr="00AB15C7" w:rsidRDefault="006952C8" w:rsidP="001C6605">
            <w:pPr>
              <w:spacing w:after="0"/>
              <w:rPr>
                <w:rFonts w:ascii="Cambria" w:hAnsi="Cambria" w:cs="Arial"/>
                <w:noProof/>
              </w:rPr>
            </w:pPr>
            <w:r w:rsidRPr="00AB15C7">
              <w:rPr>
                <w:rFonts w:ascii="Cambria" w:hAnsi="Cambria" w:cs="Arial"/>
                <w:noProof/>
              </w:rPr>
              <w:t>Otpadi iz termičkih procesa</w:t>
            </w:r>
          </w:p>
        </w:tc>
        <w:tc>
          <w:tcPr>
            <w:tcW w:w="1274" w:type="dxa"/>
            <w:shd w:val="clear" w:color="auto" w:fill="auto"/>
            <w:noWrap/>
            <w:vAlign w:val="center"/>
            <w:hideMark/>
          </w:tcPr>
          <w:p w14:paraId="60AF3ECB" w14:textId="77777777" w:rsidR="006952C8" w:rsidRPr="00AB15C7" w:rsidRDefault="006952C8" w:rsidP="001C6605">
            <w:pPr>
              <w:spacing w:after="0"/>
              <w:jc w:val="right"/>
              <w:rPr>
                <w:rFonts w:ascii="Cambria" w:hAnsi="Cambria" w:cs="Arial"/>
                <w:noProof/>
              </w:rPr>
            </w:pPr>
            <w:r w:rsidRPr="00AB15C7">
              <w:rPr>
                <w:rFonts w:ascii="Cambria" w:hAnsi="Cambria" w:cs="Arial"/>
                <w:noProof/>
              </w:rPr>
              <w:t>319 856</w:t>
            </w:r>
          </w:p>
        </w:tc>
        <w:tc>
          <w:tcPr>
            <w:tcW w:w="979" w:type="dxa"/>
            <w:shd w:val="clear" w:color="auto" w:fill="auto"/>
            <w:noWrap/>
            <w:vAlign w:val="center"/>
            <w:hideMark/>
          </w:tcPr>
          <w:p w14:paraId="3E08D4F4" w14:textId="77777777" w:rsidR="006952C8" w:rsidRPr="00AB15C7" w:rsidRDefault="006952C8" w:rsidP="001C6605">
            <w:pPr>
              <w:spacing w:after="0"/>
              <w:jc w:val="right"/>
              <w:rPr>
                <w:rFonts w:ascii="Cambria" w:hAnsi="Cambria" w:cs="Arial"/>
                <w:noProof/>
              </w:rPr>
            </w:pPr>
            <w:r w:rsidRPr="00AB15C7">
              <w:rPr>
                <w:rFonts w:ascii="Cambria" w:hAnsi="Cambria" w:cs="Arial"/>
                <w:noProof/>
              </w:rPr>
              <w:t>770</w:t>
            </w:r>
          </w:p>
        </w:tc>
        <w:tc>
          <w:tcPr>
            <w:tcW w:w="1014" w:type="dxa"/>
            <w:shd w:val="clear" w:color="auto" w:fill="auto"/>
            <w:noWrap/>
            <w:vAlign w:val="center"/>
            <w:hideMark/>
          </w:tcPr>
          <w:p w14:paraId="73DE5AFF" w14:textId="77777777" w:rsidR="006952C8" w:rsidRPr="00AB15C7" w:rsidRDefault="006952C8" w:rsidP="001C6605">
            <w:pPr>
              <w:spacing w:after="0"/>
              <w:jc w:val="right"/>
              <w:rPr>
                <w:rFonts w:ascii="Cambria" w:hAnsi="Cambria" w:cs="Arial"/>
                <w:noProof/>
              </w:rPr>
            </w:pPr>
            <w:r w:rsidRPr="00AB15C7">
              <w:rPr>
                <w:rFonts w:ascii="Cambria" w:hAnsi="Cambria" w:cs="Arial"/>
                <w:noProof/>
              </w:rPr>
              <w:t>320 626</w:t>
            </w:r>
          </w:p>
        </w:tc>
      </w:tr>
      <w:tr w:rsidR="006952C8" w:rsidRPr="00AB15C7" w14:paraId="44A8184D" w14:textId="77777777" w:rsidTr="00F70A79">
        <w:trPr>
          <w:trHeight w:val="300"/>
        </w:trPr>
        <w:tc>
          <w:tcPr>
            <w:tcW w:w="433" w:type="dxa"/>
            <w:shd w:val="clear" w:color="auto" w:fill="D9D9D9"/>
            <w:noWrap/>
            <w:vAlign w:val="center"/>
            <w:hideMark/>
          </w:tcPr>
          <w:p w14:paraId="5C4B8F06"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12</w:t>
            </w:r>
          </w:p>
        </w:tc>
        <w:tc>
          <w:tcPr>
            <w:tcW w:w="6047" w:type="dxa"/>
            <w:shd w:val="clear" w:color="auto" w:fill="D9D9D9"/>
            <w:vAlign w:val="center"/>
            <w:hideMark/>
          </w:tcPr>
          <w:p w14:paraId="59BAC706" w14:textId="77777777" w:rsidR="006952C8" w:rsidRPr="00AB15C7" w:rsidRDefault="006952C8" w:rsidP="001C6605">
            <w:pPr>
              <w:spacing w:after="0"/>
              <w:rPr>
                <w:rFonts w:ascii="Cambria" w:hAnsi="Cambria" w:cs="Arial"/>
                <w:noProof/>
              </w:rPr>
            </w:pPr>
            <w:r w:rsidRPr="00AB15C7">
              <w:rPr>
                <w:rFonts w:ascii="Cambria" w:hAnsi="Cambria" w:cs="Arial"/>
                <w:noProof/>
              </w:rPr>
              <w:t>Otpadi od oblikovanja i fizičke i mehaničke površinske obrade metala i plastike</w:t>
            </w:r>
          </w:p>
        </w:tc>
        <w:tc>
          <w:tcPr>
            <w:tcW w:w="1274" w:type="dxa"/>
            <w:shd w:val="clear" w:color="auto" w:fill="auto"/>
            <w:noWrap/>
            <w:vAlign w:val="center"/>
            <w:hideMark/>
          </w:tcPr>
          <w:p w14:paraId="6D7215F5" w14:textId="77777777" w:rsidR="006952C8" w:rsidRPr="00AB15C7" w:rsidRDefault="006952C8" w:rsidP="001C6605">
            <w:pPr>
              <w:spacing w:after="0"/>
              <w:jc w:val="right"/>
              <w:rPr>
                <w:rFonts w:ascii="Cambria" w:hAnsi="Cambria" w:cs="Arial"/>
                <w:noProof/>
              </w:rPr>
            </w:pPr>
            <w:r w:rsidRPr="00AB15C7">
              <w:rPr>
                <w:rFonts w:ascii="Cambria" w:hAnsi="Cambria" w:cs="Arial"/>
                <w:noProof/>
              </w:rPr>
              <w:t>750</w:t>
            </w:r>
          </w:p>
        </w:tc>
        <w:tc>
          <w:tcPr>
            <w:tcW w:w="979" w:type="dxa"/>
            <w:shd w:val="clear" w:color="auto" w:fill="auto"/>
            <w:noWrap/>
            <w:vAlign w:val="center"/>
            <w:hideMark/>
          </w:tcPr>
          <w:p w14:paraId="4CC13D9B"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1014" w:type="dxa"/>
            <w:shd w:val="clear" w:color="auto" w:fill="auto"/>
            <w:noWrap/>
            <w:vAlign w:val="center"/>
            <w:hideMark/>
          </w:tcPr>
          <w:p w14:paraId="2C6548D7" w14:textId="77777777" w:rsidR="006952C8" w:rsidRPr="00AB15C7" w:rsidRDefault="006952C8" w:rsidP="001C6605">
            <w:pPr>
              <w:spacing w:after="0"/>
              <w:jc w:val="right"/>
              <w:rPr>
                <w:rFonts w:ascii="Cambria" w:hAnsi="Cambria" w:cs="Arial"/>
                <w:noProof/>
              </w:rPr>
            </w:pPr>
            <w:r w:rsidRPr="00AB15C7">
              <w:rPr>
                <w:rFonts w:ascii="Cambria" w:hAnsi="Cambria" w:cs="Arial"/>
                <w:noProof/>
              </w:rPr>
              <w:t>750</w:t>
            </w:r>
          </w:p>
        </w:tc>
      </w:tr>
      <w:tr w:rsidR="006952C8" w:rsidRPr="00AB15C7" w14:paraId="10F3954B" w14:textId="77777777" w:rsidTr="00F70A79">
        <w:trPr>
          <w:trHeight w:val="300"/>
        </w:trPr>
        <w:tc>
          <w:tcPr>
            <w:tcW w:w="433" w:type="dxa"/>
            <w:shd w:val="clear" w:color="auto" w:fill="D9D9D9"/>
            <w:noWrap/>
            <w:vAlign w:val="center"/>
            <w:hideMark/>
          </w:tcPr>
          <w:p w14:paraId="7FB924A6"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13</w:t>
            </w:r>
          </w:p>
        </w:tc>
        <w:tc>
          <w:tcPr>
            <w:tcW w:w="6047" w:type="dxa"/>
            <w:shd w:val="clear" w:color="auto" w:fill="D9D9D9"/>
            <w:vAlign w:val="center"/>
            <w:hideMark/>
          </w:tcPr>
          <w:p w14:paraId="7CBFFCF8" w14:textId="77777777" w:rsidR="006952C8" w:rsidRPr="00AB15C7" w:rsidRDefault="006952C8" w:rsidP="001C6605">
            <w:pPr>
              <w:spacing w:after="0"/>
              <w:rPr>
                <w:rFonts w:ascii="Cambria" w:hAnsi="Cambria" w:cs="Arial"/>
                <w:noProof/>
              </w:rPr>
            </w:pPr>
            <w:r w:rsidRPr="00AB15C7">
              <w:rPr>
                <w:rFonts w:ascii="Cambria" w:hAnsi="Cambria" w:cs="Arial"/>
                <w:noProof/>
              </w:rPr>
              <w:t>Otpadi od ulja i ostataka tečnih goriva (osim jestivih ulja i onih u grupama 05, 12 i 19</w:t>
            </w:r>
          </w:p>
        </w:tc>
        <w:tc>
          <w:tcPr>
            <w:tcW w:w="1274" w:type="dxa"/>
            <w:shd w:val="clear" w:color="auto" w:fill="auto"/>
            <w:noWrap/>
            <w:vAlign w:val="center"/>
            <w:hideMark/>
          </w:tcPr>
          <w:p w14:paraId="6C58C248"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979" w:type="dxa"/>
            <w:shd w:val="clear" w:color="auto" w:fill="auto"/>
            <w:noWrap/>
            <w:vAlign w:val="center"/>
            <w:hideMark/>
          </w:tcPr>
          <w:p w14:paraId="24223EAB" w14:textId="77777777" w:rsidR="006952C8" w:rsidRPr="00AB15C7" w:rsidRDefault="006952C8" w:rsidP="001C6605">
            <w:pPr>
              <w:spacing w:after="0"/>
              <w:jc w:val="right"/>
              <w:rPr>
                <w:rFonts w:ascii="Cambria" w:hAnsi="Cambria" w:cs="Arial"/>
                <w:noProof/>
              </w:rPr>
            </w:pPr>
            <w:r w:rsidRPr="00AB15C7">
              <w:rPr>
                <w:rFonts w:ascii="Cambria" w:hAnsi="Cambria" w:cs="Arial"/>
                <w:noProof/>
              </w:rPr>
              <w:t>288</w:t>
            </w:r>
          </w:p>
        </w:tc>
        <w:tc>
          <w:tcPr>
            <w:tcW w:w="1014" w:type="dxa"/>
            <w:shd w:val="clear" w:color="auto" w:fill="auto"/>
            <w:noWrap/>
            <w:vAlign w:val="center"/>
            <w:hideMark/>
          </w:tcPr>
          <w:p w14:paraId="50CAD8FF" w14:textId="77777777" w:rsidR="006952C8" w:rsidRPr="00AB15C7" w:rsidRDefault="006952C8" w:rsidP="001C6605">
            <w:pPr>
              <w:spacing w:after="0"/>
              <w:jc w:val="right"/>
              <w:rPr>
                <w:rFonts w:ascii="Cambria" w:hAnsi="Cambria" w:cs="Arial"/>
                <w:noProof/>
              </w:rPr>
            </w:pPr>
            <w:r w:rsidRPr="00AB15C7">
              <w:rPr>
                <w:rFonts w:ascii="Cambria" w:hAnsi="Cambria" w:cs="Arial"/>
                <w:noProof/>
              </w:rPr>
              <w:t>288</w:t>
            </w:r>
          </w:p>
        </w:tc>
      </w:tr>
      <w:tr w:rsidR="006952C8" w:rsidRPr="00AB15C7" w14:paraId="08BCD693" w14:textId="77777777" w:rsidTr="00F70A79">
        <w:trPr>
          <w:trHeight w:val="300"/>
        </w:trPr>
        <w:tc>
          <w:tcPr>
            <w:tcW w:w="433" w:type="dxa"/>
            <w:shd w:val="clear" w:color="auto" w:fill="D9D9D9"/>
            <w:noWrap/>
            <w:vAlign w:val="center"/>
            <w:hideMark/>
          </w:tcPr>
          <w:p w14:paraId="6BB30BE0"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14</w:t>
            </w:r>
          </w:p>
        </w:tc>
        <w:tc>
          <w:tcPr>
            <w:tcW w:w="6047" w:type="dxa"/>
            <w:shd w:val="clear" w:color="auto" w:fill="D9D9D9"/>
            <w:vAlign w:val="center"/>
            <w:hideMark/>
          </w:tcPr>
          <w:p w14:paraId="4EDB81F7" w14:textId="77777777" w:rsidR="006952C8" w:rsidRPr="00AB15C7" w:rsidRDefault="006952C8" w:rsidP="001C6605">
            <w:pPr>
              <w:spacing w:after="0"/>
              <w:rPr>
                <w:rFonts w:ascii="Cambria" w:hAnsi="Cambria" w:cs="Arial"/>
                <w:noProof/>
              </w:rPr>
            </w:pPr>
            <w:r w:rsidRPr="00AB15C7">
              <w:rPr>
                <w:rFonts w:ascii="Cambria" w:hAnsi="Cambria" w:cs="Arial"/>
                <w:noProof/>
              </w:rPr>
              <w:t>Otpadi od organskih supstanci koje se koriste kao rastvarači, sredstva za hlañenje i kao pogon za letilice (osim u gr</w:t>
            </w:r>
            <w:r w:rsidR="004949F5">
              <w:rPr>
                <w:rFonts w:ascii="Cambria" w:hAnsi="Cambria" w:cs="Arial"/>
                <w:noProof/>
              </w:rPr>
              <w:t>.</w:t>
            </w:r>
            <w:r w:rsidRPr="00AB15C7">
              <w:rPr>
                <w:rFonts w:ascii="Cambria" w:hAnsi="Cambria" w:cs="Arial"/>
                <w:noProof/>
              </w:rPr>
              <w:t xml:space="preserve"> 07 i 08)</w:t>
            </w:r>
          </w:p>
        </w:tc>
        <w:tc>
          <w:tcPr>
            <w:tcW w:w="1274" w:type="dxa"/>
            <w:shd w:val="clear" w:color="auto" w:fill="auto"/>
            <w:noWrap/>
            <w:vAlign w:val="center"/>
            <w:hideMark/>
          </w:tcPr>
          <w:p w14:paraId="5615C8A8"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979" w:type="dxa"/>
            <w:shd w:val="clear" w:color="auto" w:fill="auto"/>
            <w:noWrap/>
            <w:vAlign w:val="center"/>
            <w:hideMark/>
          </w:tcPr>
          <w:p w14:paraId="1CBFAC66" w14:textId="77777777" w:rsidR="006952C8" w:rsidRPr="00AB15C7" w:rsidRDefault="006952C8" w:rsidP="001C6605">
            <w:pPr>
              <w:spacing w:after="0"/>
              <w:jc w:val="right"/>
              <w:rPr>
                <w:rFonts w:ascii="Cambria" w:hAnsi="Cambria" w:cs="Arial"/>
                <w:noProof/>
              </w:rPr>
            </w:pPr>
            <w:r w:rsidRPr="00AB15C7">
              <w:rPr>
                <w:rFonts w:ascii="Cambria" w:hAnsi="Cambria" w:cs="Arial"/>
                <w:noProof/>
              </w:rPr>
              <w:t>1</w:t>
            </w:r>
          </w:p>
        </w:tc>
        <w:tc>
          <w:tcPr>
            <w:tcW w:w="1014" w:type="dxa"/>
            <w:shd w:val="clear" w:color="auto" w:fill="auto"/>
            <w:noWrap/>
            <w:vAlign w:val="center"/>
            <w:hideMark/>
          </w:tcPr>
          <w:p w14:paraId="004596F5" w14:textId="77777777" w:rsidR="006952C8" w:rsidRPr="00AB15C7" w:rsidRDefault="006952C8" w:rsidP="001C6605">
            <w:pPr>
              <w:spacing w:after="0"/>
              <w:jc w:val="right"/>
              <w:rPr>
                <w:rFonts w:ascii="Cambria" w:hAnsi="Cambria" w:cs="Arial"/>
                <w:noProof/>
              </w:rPr>
            </w:pPr>
            <w:r w:rsidRPr="00AB15C7">
              <w:rPr>
                <w:rFonts w:ascii="Cambria" w:hAnsi="Cambria" w:cs="Arial"/>
                <w:noProof/>
              </w:rPr>
              <w:t>1</w:t>
            </w:r>
          </w:p>
        </w:tc>
      </w:tr>
      <w:tr w:rsidR="006952C8" w:rsidRPr="00AB15C7" w14:paraId="0D421532" w14:textId="77777777" w:rsidTr="00F70A79">
        <w:trPr>
          <w:trHeight w:val="300"/>
        </w:trPr>
        <w:tc>
          <w:tcPr>
            <w:tcW w:w="433" w:type="dxa"/>
            <w:shd w:val="clear" w:color="auto" w:fill="D9D9D9"/>
            <w:noWrap/>
            <w:vAlign w:val="center"/>
            <w:hideMark/>
          </w:tcPr>
          <w:p w14:paraId="4F808744"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15</w:t>
            </w:r>
          </w:p>
        </w:tc>
        <w:tc>
          <w:tcPr>
            <w:tcW w:w="6047" w:type="dxa"/>
            <w:shd w:val="clear" w:color="auto" w:fill="D9D9D9"/>
            <w:vAlign w:val="center"/>
            <w:hideMark/>
          </w:tcPr>
          <w:p w14:paraId="10D216F6" w14:textId="77777777" w:rsidR="006952C8" w:rsidRPr="00AB15C7" w:rsidRDefault="006952C8" w:rsidP="001C6605">
            <w:pPr>
              <w:spacing w:after="0"/>
              <w:rPr>
                <w:rFonts w:ascii="Cambria" w:hAnsi="Cambria" w:cs="Arial"/>
                <w:noProof/>
              </w:rPr>
            </w:pPr>
            <w:r w:rsidRPr="00AB15C7">
              <w:rPr>
                <w:rFonts w:ascii="Cambria" w:hAnsi="Cambria" w:cs="Arial"/>
                <w:noProof/>
              </w:rPr>
              <w:t>Otpadi od ambalaže; apsorbenti, krpe za brisanje, materijali za filtriranje i zaštitne tkanine, ako nije drugačije specificirano</w:t>
            </w:r>
          </w:p>
        </w:tc>
        <w:tc>
          <w:tcPr>
            <w:tcW w:w="1274" w:type="dxa"/>
            <w:shd w:val="clear" w:color="auto" w:fill="auto"/>
            <w:noWrap/>
            <w:vAlign w:val="center"/>
            <w:hideMark/>
          </w:tcPr>
          <w:p w14:paraId="66C788B2" w14:textId="77777777" w:rsidR="006952C8" w:rsidRPr="00AB15C7" w:rsidRDefault="006952C8" w:rsidP="001C6605">
            <w:pPr>
              <w:spacing w:after="0"/>
              <w:jc w:val="right"/>
              <w:rPr>
                <w:rFonts w:ascii="Cambria" w:hAnsi="Cambria" w:cs="Arial"/>
                <w:noProof/>
              </w:rPr>
            </w:pPr>
            <w:r w:rsidRPr="00AB15C7">
              <w:rPr>
                <w:rFonts w:ascii="Cambria" w:hAnsi="Cambria" w:cs="Arial"/>
                <w:noProof/>
              </w:rPr>
              <w:t>1 555</w:t>
            </w:r>
          </w:p>
        </w:tc>
        <w:tc>
          <w:tcPr>
            <w:tcW w:w="979" w:type="dxa"/>
            <w:shd w:val="clear" w:color="auto" w:fill="auto"/>
            <w:noWrap/>
            <w:vAlign w:val="center"/>
            <w:hideMark/>
          </w:tcPr>
          <w:p w14:paraId="0FD410C0" w14:textId="77777777" w:rsidR="006952C8" w:rsidRPr="00AB15C7" w:rsidRDefault="006952C8" w:rsidP="001C6605">
            <w:pPr>
              <w:spacing w:after="0"/>
              <w:jc w:val="right"/>
              <w:rPr>
                <w:rFonts w:ascii="Cambria" w:hAnsi="Cambria" w:cs="Arial"/>
                <w:noProof/>
              </w:rPr>
            </w:pPr>
            <w:r w:rsidRPr="00AB15C7">
              <w:rPr>
                <w:rFonts w:ascii="Cambria" w:hAnsi="Cambria" w:cs="Arial"/>
                <w:noProof/>
              </w:rPr>
              <w:t>6</w:t>
            </w:r>
          </w:p>
        </w:tc>
        <w:tc>
          <w:tcPr>
            <w:tcW w:w="1014" w:type="dxa"/>
            <w:shd w:val="clear" w:color="auto" w:fill="auto"/>
            <w:noWrap/>
            <w:vAlign w:val="center"/>
            <w:hideMark/>
          </w:tcPr>
          <w:p w14:paraId="5593416F" w14:textId="77777777" w:rsidR="006952C8" w:rsidRPr="00AB15C7" w:rsidRDefault="006952C8" w:rsidP="001C6605">
            <w:pPr>
              <w:spacing w:after="0"/>
              <w:jc w:val="right"/>
              <w:rPr>
                <w:rFonts w:ascii="Cambria" w:hAnsi="Cambria" w:cs="Arial"/>
                <w:noProof/>
              </w:rPr>
            </w:pPr>
            <w:r w:rsidRPr="00AB15C7">
              <w:rPr>
                <w:rFonts w:ascii="Cambria" w:hAnsi="Cambria" w:cs="Arial"/>
                <w:noProof/>
              </w:rPr>
              <w:t>1 561</w:t>
            </w:r>
          </w:p>
        </w:tc>
      </w:tr>
      <w:tr w:rsidR="006952C8" w:rsidRPr="00AB15C7" w14:paraId="3B3FD529" w14:textId="77777777" w:rsidTr="00F70A79">
        <w:trPr>
          <w:trHeight w:val="300"/>
        </w:trPr>
        <w:tc>
          <w:tcPr>
            <w:tcW w:w="433" w:type="dxa"/>
            <w:shd w:val="clear" w:color="auto" w:fill="D9D9D9"/>
            <w:noWrap/>
            <w:vAlign w:val="center"/>
            <w:hideMark/>
          </w:tcPr>
          <w:p w14:paraId="3B33D8C9"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16</w:t>
            </w:r>
          </w:p>
        </w:tc>
        <w:tc>
          <w:tcPr>
            <w:tcW w:w="6047" w:type="dxa"/>
            <w:shd w:val="clear" w:color="auto" w:fill="D9D9D9"/>
            <w:noWrap/>
            <w:vAlign w:val="center"/>
            <w:hideMark/>
          </w:tcPr>
          <w:p w14:paraId="4F1064A5" w14:textId="77777777" w:rsidR="006952C8" w:rsidRPr="00AB15C7" w:rsidRDefault="006952C8" w:rsidP="001C6605">
            <w:pPr>
              <w:spacing w:after="0"/>
              <w:rPr>
                <w:rFonts w:ascii="Cambria" w:hAnsi="Cambria" w:cs="Arial"/>
                <w:noProof/>
              </w:rPr>
            </w:pPr>
            <w:r w:rsidRPr="00AB15C7">
              <w:rPr>
                <w:rFonts w:ascii="Cambria" w:hAnsi="Cambria" w:cs="Arial"/>
                <w:noProof/>
              </w:rPr>
              <w:t>Otpadi koji nijesu drugačije specificirani u katalogu</w:t>
            </w:r>
          </w:p>
        </w:tc>
        <w:tc>
          <w:tcPr>
            <w:tcW w:w="1274" w:type="dxa"/>
            <w:shd w:val="clear" w:color="auto" w:fill="auto"/>
            <w:noWrap/>
            <w:vAlign w:val="center"/>
            <w:hideMark/>
          </w:tcPr>
          <w:p w14:paraId="42F1EEAD" w14:textId="77777777" w:rsidR="006952C8" w:rsidRPr="00AB15C7" w:rsidRDefault="006952C8" w:rsidP="001C6605">
            <w:pPr>
              <w:spacing w:after="0"/>
              <w:jc w:val="right"/>
              <w:rPr>
                <w:rFonts w:ascii="Cambria" w:hAnsi="Cambria" w:cs="Arial"/>
                <w:noProof/>
              </w:rPr>
            </w:pPr>
            <w:r w:rsidRPr="00AB15C7">
              <w:rPr>
                <w:rFonts w:ascii="Cambria" w:hAnsi="Cambria" w:cs="Arial"/>
                <w:noProof/>
              </w:rPr>
              <w:t>5 470</w:t>
            </w:r>
          </w:p>
        </w:tc>
        <w:tc>
          <w:tcPr>
            <w:tcW w:w="979" w:type="dxa"/>
            <w:shd w:val="clear" w:color="auto" w:fill="auto"/>
            <w:noWrap/>
            <w:vAlign w:val="center"/>
            <w:hideMark/>
          </w:tcPr>
          <w:p w14:paraId="565E296E" w14:textId="77777777" w:rsidR="006952C8" w:rsidRPr="00AB15C7" w:rsidRDefault="006952C8" w:rsidP="001C6605">
            <w:pPr>
              <w:spacing w:after="0"/>
              <w:jc w:val="right"/>
              <w:rPr>
                <w:rFonts w:ascii="Cambria" w:hAnsi="Cambria" w:cs="Arial"/>
                <w:noProof/>
              </w:rPr>
            </w:pPr>
            <w:r w:rsidRPr="00AB15C7">
              <w:rPr>
                <w:rFonts w:ascii="Cambria" w:hAnsi="Cambria" w:cs="Arial"/>
                <w:noProof/>
              </w:rPr>
              <w:t>319</w:t>
            </w:r>
          </w:p>
        </w:tc>
        <w:tc>
          <w:tcPr>
            <w:tcW w:w="1014" w:type="dxa"/>
            <w:shd w:val="clear" w:color="auto" w:fill="auto"/>
            <w:noWrap/>
            <w:vAlign w:val="center"/>
            <w:hideMark/>
          </w:tcPr>
          <w:p w14:paraId="75683ED8" w14:textId="77777777" w:rsidR="006952C8" w:rsidRPr="00AB15C7" w:rsidRDefault="006952C8" w:rsidP="001C6605">
            <w:pPr>
              <w:spacing w:after="0"/>
              <w:jc w:val="right"/>
              <w:rPr>
                <w:rFonts w:ascii="Cambria" w:hAnsi="Cambria" w:cs="Arial"/>
                <w:noProof/>
              </w:rPr>
            </w:pPr>
            <w:r w:rsidRPr="00AB15C7">
              <w:rPr>
                <w:rFonts w:ascii="Cambria" w:hAnsi="Cambria" w:cs="Arial"/>
                <w:noProof/>
              </w:rPr>
              <w:t>5 789</w:t>
            </w:r>
          </w:p>
        </w:tc>
      </w:tr>
      <w:tr w:rsidR="006952C8" w:rsidRPr="00AB15C7" w14:paraId="3670BD12" w14:textId="77777777" w:rsidTr="00F70A79">
        <w:trPr>
          <w:trHeight w:val="300"/>
        </w:trPr>
        <w:tc>
          <w:tcPr>
            <w:tcW w:w="433" w:type="dxa"/>
            <w:shd w:val="clear" w:color="auto" w:fill="D9D9D9"/>
            <w:noWrap/>
            <w:vAlign w:val="center"/>
            <w:hideMark/>
          </w:tcPr>
          <w:p w14:paraId="1AE166EE"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17</w:t>
            </w:r>
          </w:p>
        </w:tc>
        <w:tc>
          <w:tcPr>
            <w:tcW w:w="6047" w:type="dxa"/>
            <w:shd w:val="clear" w:color="auto" w:fill="D9D9D9"/>
            <w:vAlign w:val="center"/>
            <w:hideMark/>
          </w:tcPr>
          <w:p w14:paraId="5436748D" w14:textId="77777777" w:rsidR="006952C8" w:rsidRPr="00AB15C7" w:rsidRDefault="006952C8" w:rsidP="001C6605">
            <w:pPr>
              <w:spacing w:after="0"/>
              <w:rPr>
                <w:rFonts w:ascii="Cambria" w:hAnsi="Cambria" w:cs="Arial"/>
                <w:noProof/>
              </w:rPr>
            </w:pPr>
            <w:r w:rsidRPr="00AB15C7">
              <w:rPr>
                <w:rFonts w:ascii="Cambria" w:hAnsi="Cambria" w:cs="Arial"/>
                <w:noProof/>
              </w:rPr>
              <w:t>Građevinski otpad i otpad od rušenja (uključujući i iskopanu zemlju sa kontaminiranih lokacija)</w:t>
            </w:r>
          </w:p>
        </w:tc>
        <w:tc>
          <w:tcPr>
            <w:tcW w:w="1274" w:type="dxa"/>
            <w:shd w:val="clear" w:color="auto" w:fill="auto"/>
            <w:noWrap/>
            <w:vAlign w:val="center"/>
            <w:hideMark/>
          </w:tcPr>
          <w:p w14:paraId="482238FD" w14:textId="77777777" w:rsidR="006952C8" w:rsidRPr="00AB15C7" w:rsidRDefault="006952C8" w:rsidP="001C6605">
            <w:pPr>
              <w:spacing w:after="0"/>
              <w:jc w:val="right"/>
              <w:rPr>
                <w:rFonts w:ascii="Cambria" w:hAnsi="Cambria" w:cs="Arial"/>
                <w:noProof/>
              </w:rPr>
            </w:pPr>
            <w:r w:rsidRPr="00AB15C7">
              <w:rPr>
                <w:rFonts w:ascii="Cambria" w:hAnsi="Cambria" w:cs="Arial"/>
                <w:noProof/>
              </w:rPr>
              <w:t>14 505</w:t>
            </w:r>
          </w:p>
        </w:tc>
        <w:tc>
          <w:tcPr>
            <w:tcW w:w="979" w:type="dxa"/>
            <w:shd w:val="clear" w:color="auto" w:fill="auto"/>
            <w:noWrap/>
            <w:vAlign w:val="center"/>
            <w:hideMark/>
          </w:tcPr>
          <w:p w14:paraId="63F10DBC"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1014" w:type="dxa"/>
            <w:shd w:val="clear" w:color="auto" w:fill="auto"/>
            <w:noWrap/>
            <w:vAlign w:val="center"/>
            <w:hideMark/>
          </w:tcPr>
          <w:p w14:paraId="31A8DE9B" w14:textId="77777777" w:rsidR="006952C8" w:rsidRPr="00AB15C7" w:rsidRDefault="006952C8" w:rsidP="001C6605">
            <w:pPr>
              <w:spacing w:after="0"/>
              <w:jc w:val="right"/>
              <w:rPr>
                <w:rFonts w:ascii="Cambria" w:hAnsi="Cambria" w:cs="Arial"/>
                <w:noProof/>
              </w:rPr>
            </w:pPr>
            <w:r w:rsidRPr="00AB15C7">
              <w:rPr>
                <w:rFonts w:ascii="Cambria" w:hAnsi="Cambria" w:cs="Arial"/>
                <w:noProof/>
              </w:rPr>
              <w:t>14 505</w:t>
            </w:r>
          </w:p>
        </w:tc>
      </w:tr>
      <w:tr w:rsidR="006952C8" w:rsidRPr="00AB15C7" w14:paraId="51FB5BFB" w14:textId="77777777" w:rsidTr="00F70A79">
        <w:trPr>
          <w:trHeight w:val="300"/>
        </w:trPr>
        <w:tc>
          <w:tcPr>
            <w:tcW w:w="433" w:type="dxa"/>
            <w:shd w:val="clear" w:color="auto" w:fill="D9D9D9"/>
            <w:noWrap/>
            <w:vAlign w:val="center"/>
            <w:hideMark/>
          </w:tcPr>
          <w:p w14:paraId="1E12306F"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18</w:t>
            </w:r>
          </w:p>
        </w:tc>
        <w:tc>
          <w:tcPr>
            <w:tcW w:w="6047" w:type="dxa"/>
            <w:shd w:val="clear" w:color="auto" w:fill="D9D9D9"/>
            <w:vAlign w:val="center"/>
            <w:hideMark/>
          </w:tcPr>
          <w:p w14:paraId="3AD8E472" w14:textId="77777777" w:rsidR="006952C8" w:rsidRPr="00AB15C7" w:rsidRDefault="006952C8" w:rsidP="001C6605">
            <w:pPr>
              <w:spacing w:after="0"/>
              <w:rPr>
                <w:rFonts w:ascii="Cambria" w:hAnsi="Cambria" w:cs="Arial"/>
                <w:noProof/>
              </w:rPr>
            </w:pPr>
            <w:r w:rsidRPr="00AB15C7">
              <w:rPr>
                <w:rFonts w:ascii="Cambria" w:hAnsi="Cambria" w:cs="Arial"/>
                <w:noProof/>
              </w:rPr>
              <w:t>Otpadi od zdravstvene zaštite ljudi i životinja i/ili s tim povezanog istraživanja (isključujući otpad iz kuhinja i restorana koji ne dolazi od neposredne zdravstvene zaštite)</w:t>
            </w:r>
          </w:p>
        </w:tc>
        <w:tc>
          <w:tcPr>
            <w:tcW w:w="1274" w:type="dxa"/>
            <w:shd w:val="clear" w:color="auto" w:fill="auto"/>
            <w:noWrap/>
            <w:vAlign w:val="center"/>
            <w:hideMark/>
          </w:tcPr>
          <w:p w14:paraId="2DC0C640" w14:textId="77777777" w:rsidR="006952C8" w:rsidRPr="00AB15C7" w:rsidRDefault="006952C8" w:rsidP="001C6605">
            <w:pPr>
              <w:spacing w:after="0"/>
              <w:jc w:val="right"/>
              <w:rPr>
                <w:rFonts w:ascii="Cambria" w:hAnsi="Cambria" w:cs="Arial"/>
                <w:noProof/>
              </w:rPr>
            </w:pPr>
            <w:r w:rsidRPr="00AB15C7">
              <w:rPr>
                <w:rFonts w:ascii="Cambria" w:hAnsi="Cambria" w:cs="Arial"/>
                <w:noProof/>
              </w:rPr>
              <w:t>7</w:t>
            </w:r>
          </w:p>
        </w:tc>
        <w:tc>
          <w:tcPr>
            <w:tcW w:w="979" w:type="dxa"/>
            <w:shd w:val="clear" w:color="auto" w:fill="auto"/>
            <w:noWrap/>
            <w:vAlign w:val="center"/>
            <w:hideMark/>
          </w:tcPr>
          <w:p w14:paraId="5782611C" w14:textId="77777777" w:rsidR="006952C8" w:rsidRPr="00AB15C7" w:rsidRDefault="006952C8" w:rsidP="001C6605">
            <w:pPr>
              <w:spacing w:after="0"/>
              <w:jc w:val="right"/>
              <w:rPr>
                <w:rFonts w:ascii="Cambria" w:hAnsi="Cambria" w:cs="Arial"/>
                <w:noProof/>
              </w:rPr>
            </w:pPr>
            <w:r w:rsidRPr="00AB15C7">
              <w:rPr>
                <w:rFonts w:ascii="Cambria" w:hAnsi="Cambria" w:cs="Arial"/>
                <w:noProof/>
              </w:rPr>
              <w:t>0</w:t>
            </w:r>
          </w:p>
        </w:tc>
        <w:tc>
          <w:tcPr>
            <w:tcW w:w="1014" w:type="dxa"/>
            <w:shd w:val="clear" w:color="auto" w:fill="auto"/>
            <w:noWrap/>
            <w:vAlign w:val="center"/>
            <w:hideMark/>
          </w:tcPr>
          <w:p w14:paraId="3FD46389" w14:textId="77777777" w:rsidR="006952C8" w:rsidRPr="00AB15C7" w:rsidRDefault="006952C8" w:rsidP="001C6605">
            <w:pPr>
              <w:spacing w:after="0"/>
              <w:jc w:val="right"/>
              <w:rPr>
                <w:rFonts w:ascii="Cambria" w:hAnsi="Cambria" w:cs="Arial"/>
                <w:noProof/>
              </w:rPr>
            </w:pPr>
            <w:r w:rsidRPr="00AB15C7">
              <w:rPr>
                <w:rFonts w:ascii="Cambria" w:hAnsi="Cambria" w:cs="Arial"/>
                <w:noProof/>
              </w:rPr>
              <w:t>7</w:t>
            </w:r>
          </w:p>
        </w:tc>
      </w:tr>
      <w:tr w:rsidR="006952C8" w:rsidRPr="00AB15C7" w14:paraId="610F366E" w14:textId="77777777" w:rsidTr="00F70A79">
        <w:trPr>
          <w:trHeight w:val="300"/>
        </w:trPr>
        <w:tc>
          <w:tcPr>
            <w:tcW w:w="433" w:type="dxa"/>
            <w:shd w:val="clear" w:color="auto" w:fill="D9D9D9"/>
            <w:noWrap/>
            <w:vAlign w:val="center"/>
            <w:hideMark/>
          </w:tcPr>
          <w:p w14:paraId="33048486"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19</w:t>
            </w:r>
          </w:p>
        </w:tc>
        <w:tc>
          <w:tcPr>
            <w:tcW w:w="6047" w:type="dxa"/>
            <w:shd w:val="clear" w:color="auto" w:fill="D9D9D9"/>
            <w:vAlign w:val="center"/>
            <w:hideMark/>
          </w:tcPr>
          <w:p w14:paraId="4F5CE870" w14:textId="77777777" w:rsidR="006952C8" w:rsidRPr="00AB15C7" w:rsidRDefault="006952C8" w:rsidP="001C6605">
            <w:pPr>
              <w:spacing w:after="0"/>
              <w:rPr>
                <w:rFonts w:ascii="Cambria" w:hAnsi="Cambria" w:cs="Arial"/>
                <w:noProof/>
              </w:rPr>
            </w:pPr>
            <w:r w:rsidRPr="00AB15C7">
              <w:rPr>
                <w:rFonts w:ascii="Cambria" w:hAnsi="Cambria" w:cs="Arial"/>
                <w:noProof/>
              </w:rPr>
              <w:t>Otpadi iz objekata za obradu otpada, pogona za tretman otpadnih voda dalje od lokacije proizvodnje i pripremu vode namijenjene ljudskoj upotrebi i vode za industrijsku upotrebu</w:t>
            </w:r>
          </w:p>
        </w:tc>
        <w:tc>
          <w:tcPr>
            <w:tcW w:w="1274" w:type="dxa"/>
            <w:shd w:val="clear" w:color="auto" w:fill="auto"/>
            <w:noWrap/>
            <w:vAlign w:val="center"/>
            <w:hideMark/>
          </w:tcPr>
          <w:p w14:paraId="3A4DEFC6" w14:textId="77777777" w:rsidR="006952C8" w:rsidRPr="00AB15C7" w:rsidRDefault="006952C8" w:rsidP="001C6605">
            <w:pPr>
              <w:spacing w:after="0"/>
              <w:jc w:val="right"/>
              <w:rPr>
                <w:rFonts w:ascii="Cambria" w:hAnsi="Cambria" w:cs="Arial"/>
                <w:noProof/>
              </w:rPr>
            </w:pPr>
            <w:r w:rsidRPr="00AB15C7">
              <w:rPr>
                <w:rFonts w:ascii="Cambria" w:hAnsi="Cambria" w:cs="Arial"/>
                <w:noProof/>
              </w:rPr>
              <w:t>2 999</w:t>
            </w:r>
          </w:p>
        </w:tc>
        <w:tc>
          <w:tcPr>
            <w:tcW w:w="979" w:type="dxa"/>
            <w:shd w:val="clear" w:color="auto" w:fill="auto"/>
            <w:noWrap/>
            <w:vAlign w:val="center"/>
            <w:hideMark/>
          </w:tcPr>
          <w:p w14:paraId="5AF445A9" w14:textId="77777777" w:rsidR="006952C8" w:rsidRPr="00AB15C7" w:rsidRDefault="006952C8" w:rsidP="001C6605">
            <w:pPr>
              <w:spacing w:after="0"/>
              <w:jc w:val="right"/>
              <w:rPr>
                <w:rFonts w:ascii="Cambria" w:hAnsi="Cambria" w:cs="Arial"/>
                <w:noProof/>
              </w:rPr>
            </w:pPr>
            <w:r w:rsidRPr="00AB15C7">
              <w:rPr>
                <w:rFonts w:ascii="Cambria" w:hAnsi="Cambria" w:cs="Arial"/>
                <w:noProof/>
              </w:rPr>
              <w:t>41</w:t>
            </w:r>
          </w:p>
        </w:tc>
        <w:tc>
          <w:tcPr>
            <w:tcW w:w="1014" w:type="dxa"/>
            <w:shd w:val="clear" w:color="auto" w:fill="auto"/>
            <w:noWrap/>
            <w:vAlign w:val="center"/>
            <w:hideMark/>
          </w:tcPr>
          <w:p w14:paraId="68215037" w14:textId="77777777" w:rsidR="006952C8" w:rsidRPr="00AB15C7" w:rsidRDefault="006952C8" w:rsidP="001C6605">
            <w:pPr>
              <w:spacing w:after="0"/>
              <w:jc w:val="right"/>
              <w:rPr>
                <w:rFonts w:ascii="Cambria" w:hAnsi="Cambria" w:cs="Arial"/>
                <w:noProof/>
              </w:rPr>
            </w:pPr>
            <w:r w:rsidRPr="00AB15C7">
              <w:rPr>
                <w:rFonts w:ascii="Cambria" w:hAnsi="Cambria" w:cs="Arial"/>
                <w:noProof/>
              </w:rPr>
              <w:t>3 040</w:t>
            </w:r>
          </w:p>
        </w:tc>
      </w:tr>
      <w:tr w:rsidR="006952C8" w:rsidRPr="00AB15C7" w14:paraId="3F90E9DF" w14:textId="77777777" w:rsidTr="00F70A79">
        <w:trPr>
          <w:trHeight w:val="300"/>
        </w:trPr>
        <w:tc>
          <w:tcPr>
            <w:tcW w:w="433" w:type="dxa"/>
            <w:shd w:val="clear" w:color="auto" w:fill="D9D9D9"/>
            <w:noWrap/>
            <w:vAlign w:val="center"/>
            <w:hideMark/>
          </w:tcPr>
          <w:p w14:paraId="1FA7FBBF" w14:textId="77777777" w:rsidR="006952C8" w:rsidRPr="0005493B" w:rsidRDefault="006952C8" w:rsidP="001C6605">
            <w:pPr>
              <w:spacing w:after="0"/>
              <w:jc w:val="center"/>
              <w:rPr>
                <w:rFonts w:ascii="Cambria" w:hAnsi="Cambria" w:cs="Arial"/>
                <w:noProof/>
                <w:sz w:val="18"/>
              </w:rPr>
            </w:pPr>
            <w:r w:rsidRPr="0005493B">
              <w:rPr>
                <w:rFonts w:ascii="Cambria" w:hAnsi="Cambria" w:cs="Arial"/>
                <w:noProof/>
                <w:sz w:val="18"/>
              </w:rPr>
              <w:t>20</w:t>
            </w:r>
          </w:p>
        </w:tc>
        <w:tc>
          <w:tcPr>
            <w:tcW w:w="6047" w:type="dxa"/>
            <w:shd w:val="clear" w:color="auto" w:fill="D9D9D9"/>
            <w:vAlign w:val="center"/>
            <w:hideMark/>
          </w:tcPr>
          <w:p w14:paraId="0A718371" w14:textId="77777777" w:rsidR="006952C8" w:rsidRPr="00AB15C7" w:rsidRDefault="006952C8" w:rsidP="001C6605">
            <w:pPr>
              <w:spacing w:after="0"/>
              <w:rPr>
                <w:rFonts w:ascii="Cambria" w:hAnsi="Cambria" w:cs="Arial"/>
                <w:noProof/>
              </w:rPr>
            </w:pPr>
            <w:r w:rsidRPr="00AB15C7">
              <w:rPr>
                <w:rFonts w:ascii="Cambria" w:hAnsi="Cambria" w:cs="Arial"/>
                <w:noProof/>
              </w:rPr>
              <w:t>Opštinski otpadi (kućni otpad i slični komercijalni i industrijski otpadi), uključujući odvojeno sakupljene frakcije</w:t>
            </w:r>
          </w:p>
        </w:tc>
        <w:tc>
          <w:tcPr>
            <w:tcW w:w="1274" w:type="dxa"/>
            <w:shd w:val="clear" w:color="auto" w:fill="auto"/>
            <w:noWrap/>
            <w:vAlign w:val="center"/>
            <w:hideMark/>
          </w:tcPr>
          <w:p w14:paraId="3FCC2A3E" w14:textId="77777777" w:rsidR="006952C8" w:rsidRPr="00AB15C7" w:rsidRDefault="006952C8" w:rsidP="001C6605">
            <w:pPr>
              <w:spacing w:after="0"/>
              <w:jc w:val="right"/>
              <w:rPr>
                <w:rFonts w:ascii="Cambria" w:hAnsi="Cambria" w:cs="Arial"/>
                <w:noProof/>
              </w:rPr>
            </w:pPr>
            <w:r w:rsidRPr="00AB15C7">
              <w:rPr>
                <w:rFonts w:ascii="Cambria" w:hAnsi="Cambria" w:cs="Arial"/>
                <w:noProof/>
              </w:rPr>
              <w:t>4 101</w:t>
            </w:r>
          </w:p>
        </w:tc>
        <w:tc>
          <w:tcPr>
            <w:tcW w:w="979" w:type="dxa"/>
            <w:shd w:val="clear" w:color="auto" w:fill="auto"/>
            <w:noWrap/>
            <w:vAlign w:val="center"/>
            <w:hideMark/>
          </w:tcPr>
          <w:p w14:paraId="167D5C1A" w14:textId="77777777" w:rsidR="006952C8" w:rsidRPr="00AB15C7" w:rsidRDefault="006952C8" w:rsidP="001C6605">
            <w:pPr>
              <w:spacing w:after="0"/>
              <w:jc w:val="right"/>
              <w:rPr>
                <w:rFonts w:ascii="Cambria" w:hAnsi="Cambria" w:cs="Arial"/>
                <w:noProof/>
              </w:rPr>
            </w:pPr>
            <w:r w:rsidRPr="00AB15C7">
              <w:rPr>
                <w:rFonts w:ascii="Cambria" w:hAnsi="Cambria" w:cs="Arial"/>
                <w:noProof/>
              </w:rPr>
              <w:t>2</w:t>
            </w:r>
          </w:p>
        </w:tc>
        <w:tc>
          <w:tcPr>
            <w:tcW w:w="1014" w:type="dxa"/>
            <w:shd w:val="clear" w:color="auto" w:fill="auto"/>
            <w:noWrap/>
            <w:vAlign w:val="center"/>
            <w:hideMark/>
          </w:tcPr>
          <w:p w14:paraId="6243012C" w14:textId="77777777" w:rsidR="006952C8" w:rsidRPr="00AB15C7" w:rsidRDefault="006952C8" w:rsidP="001C6605">
            <w:pPr>
              <w:spacing w:after="0"/>
              <w:jc w:val="right"/>
              <w:rPr>
                <w:rFonts w:ascii="Cambria" w:hAnsi="Cambria" w:cs="Arial"/>
                <w:noProof/>
              </w:rPr>
            </w:pPr>
            <w:r w:rsidRPr="00AB15C7">
              <w:rPr>
                <w:rFonts w:ascii="Cambria" w:hAnsi="Cambria" w:cs="Arial"/>
                <w:noProof/>
              </w:rPr>
              <w:t>4 103</w:t>
            </w:r>
          </w:p>
        </w:tc>
      </w:tr>
      <w:tr w:rsidR="006952C8" w:rsidRPr="00AB15C7" w14:paraId="4CECBB92" w14:textId="77777777" w:rsidTr="00F70A79">
        <w:trPr>
          <w:trHeight w:val="300"/>
        </w:trPr>
        <w:tc>
          <w:tcPr>
            <w:tcW w:w="6480" w:type="dxa"/>
            <w:gridSpan w:val="2"/>
            <w:shd w:val="clear" w:color="auto" w:fill="D9D9D9"/>
            <w:noWrap/>
            <w:vAlign w:val="center"/>
            <w:hideMark/>
          </w:tcPr>
          <w:p w14:paraId="3568F7A3" w14:textId="77777777" w:rsidR="006952C8" w:rsidRPr="00AB15C7" w:rsidRDefault="006952C8" w:rsidP="001C6605">
            <w:pPr>
              <w:spacing w:after="0"/>
              <w:rPr>
                <w:rFonts w:ascii="Cambria" w:hAnsi="Cambria" w:cs="Arial"/>
                <w:b/>
                <w:bCs/>
                <w:noProof/>
              </w:rPr>
            </w:pPr>
            <w:r w:rsidRPr="00AB15C7">
              <w:rPr>
                <w:rFonts w:ascii="Cambria" w:hAnsi="Cambria" w:cs="Arial"/>
                <w:b/>
                <w:bCs/>
                <w:noProof/>
              </w:rPr>
              <w:t>CRNA GORA</w:t>
            </w:r>
          </w:p>
        </w:tc>
        <w:tc>
          <w:tcPr>
            <w:tcW w:w="1274" w:type="dxa"/>
            <w:shd w:val="clear" w:color="auto" w:fill="auto"/>
            <w:noWrap/>
            <w:vAlign w:val="center"/>
            <w:hideMark/>
          </w:tcPr>
          <w:p w14:paraId="16F10A13" w14:textId="77777777" w:rsidR="006952C8" w:rsidRPr="00AB15C7" w:rsidRDefault="006952C8" w:rsidP="001C6605">
            <w:pPr>
              <w:spacing w:after="0"/>
              <w:jc w:val="right"/>
              <w:rPr>
                <w:rFonts w:ascii="Cambria" w:hAnsi="Cambria" w:cs="Arial"/>
                <w:b/>
                <w:bCs/>
                <w:noProof/>
              </w:rPr>
            </w:pPr>
            <w:r w:rsidRPr="00AB15C7">
              <w:rPr>
                <w:rFonts w:ascii="Cambria" w:hAnsi="Cambria" w:cs="Arial"/>
                <w:b/>
                <w:bCs/>
                <w:noProof/>
              </w:rPr>
              <w:t>363 279</w:t>
            </w:r>
          </w:p>
        </w:tc>
        <w:tc>
          <w:tcPr>
            <w:tcW w:w="979" w:type="dxa"/>
            <w:shd w:val="clear" w:color="auto" w:fill="auto"/>
            <w:noWrap/>
            <w:vAlign w:val="center"/>
            <w:hideMark/>
          </w:tcPr>
          <w:p w14:paraId="381C36EC" w14:textId="77777777" w:rsidR="006952C8" w:rsidRPr="00AB15C7" w:rsidRDefault="006952C8" w:rsidP="001C6605">
            <w:pPr>
              <w:spacing w:after="0"/>
              <w:ind w:left="-134"/>
              <w:jc w:val="right"/>
              <w:rPr>
                <w:rFonts w:ascii="Cambria" w:hAnsi="Cambria" w:cs="Arial"/>
                <w:b/>
                <w:bCs/>
                <w:noProof/>
              </w:rPr>
            </w:pPr>
            <w:r w:rsidRPr="00AB15C7">
              <w:rPr>
                <w:rFonts w:ascii="Cambria" w:hAnsi="Cambria" w:cs="Arial"/>
                <w:b/>
                <w:bCs/>
                <w:noProof/>
              </w:rPr>
              <w:t>323 243</w:t>
            </w:r>
          </w:p>
        </w:tc>
        <w:tc>
          <w:tcPr>
            <w:tcW w:w="1014" w:type="dxa"/>
            <w:shd w:val="clear" w:color="auto" w:fill="auto"/>
            <w:noWrap/>
            <w:vAlign w:val="center"/>
            <w:hideMark/>
          </w:tcPr>
          <w:p w14:paraId="2D73C22B" w14:textId="77777777" w:rsidR="006952C8" w:rsidRPr="00AB15C7" w:rsidRDefault="006952C8" w:rsidP="001C6605">
            <w:pPr>
              <w:tabs>
                <w:tab w:val="left" w:pos="721"/>
              </w:tabs>
              <w:spacing w:after="0"/>
              <w:ind w:left="-239"/>
              <w:jc w:val="right"/>
              <w:rPr>
                <w:rFonts w:ascii="Cambria" w:hAnsi="Cambria" w:cs="Arial"/>
                <w:b/>
                <w:bCs/>
                <w:noProof/>
              </w:rPr>
            </w:pPr>
            <w:r w:rsidRPr="00AB15C7">
              <w:rPr>
                <w:rFonts w:ascii="Cambria" w:hAnsi="Cambria" w:cs="Arial"/>
                <w:b/>
                <w:bCs/>
                <w:noProof/>
              </w:rPr>
              <w:t>686 522</w:t>
            </w:r>
          </w:p>
        </w:tc>
      </w:tr>
    </w:tbl>
    <w:p w14:paraId="30E4A29C" w14:textId="77777777" w:rsidR="004F594E" w:rsidRPr="00AB15C7" w:rsidRDefault="000C0BFE" w:rsidP="005921EF">
      <w:pPr>
        <w:spacing w:after="0"/>
        <w:jc w:val="center"/>
        <w:rPr>
          <w:rFonts w:ascii="Cambria" w:hAnsi="Cambria"/>
          <w:i/>
          <w:noProof/>
          <w:shd w:val="clear" w:color="auto" w:fill="FFFFFF"/>
          <w:lang w:val="sr-Latn-ME"/>
        </w:rPr>
      </w:pPr>
      <w:r w:rsidRPr="00AB15C7">
        <w:rPr>
          <w:rFonts w:ascii="Cambria" w:hAnsi="Cambria"/>
          <w:i/>
          <w:noProof/>
          <w:lang w:val="sr-Latn-ME"/>
        </w:rPr>
        <w:t>Izvor:</w:t>
      </w:r>
      <w:r w:rsidRPr="00AB15C7">
        <w:rPr>
          <w:rFonts w:ascii="Cambria" w:hAnsi="Cambria"/>
          <w:i/>
          <w:noProof/>
          <w:shd w:val="clear" w:color="auto" w:fill="FFFFFF"/>
          <w:lang w:val="sr-Latn-ME"/>
        </w:rPr>
        <w:t xml:space="preserve"> </w:t>
      </w:r>
      <w:r w:rsidR="00940834" w:rsidRPr="00AB15C7">
        <w:rPr>
          <w:rFonts w:ascii="Cambria" w:hAnsi="Cambria"/>
          <w:i/>
          <w:noProof/>
          <w:shd w:val="clear" w:color="auto" w:fill="FFFFFF"/>
          <w:lang w:val="sr-Latn-ME"/>
        </w:rPr>
        <w:t>MONSTAT</w:t>
      </w:r>
    </w:p>
    <w:p w14:paraId="4E3F1AF4" w14:textId="77777777" w:rsidR="000C0BFE" w:rsidRPr="00AB15C7" w:rsidRDefault="000C0BFE" w:rsidP="005921EF">
      <w:pPr>
        <w:spacing w:after="0"/>
        <w:jc w:val="both"/>
        <w:rPr>
          <w:rFonts w:ascii="Cambria" w:hAnsi="Cambria"/>
          <w:iCs/>
          <w:noProof/>
        </w:rPr>
      </w:pPr>
    </w:p>
    <w:p w14:paraId="65F9EC23" w14:textId="77777777" w:rsidR="00A82B17" w:rsidRPr="00AB15C7" w:rsidRDefault="00A82B17" w:rsidP="005921EF">
      <w:pPr>
        <w:spacing w:after="0"/>
        <w:jc w:val="both"/>
        <w:rPr>
          <w:rFonts w:ascii="Cambria" w:hAnsi="Cambria"/>
          <w:iCs/>
          <w:noProof/>
        </w:rPr>
      </w:pPr>
      <w:r w:rsidRPr="00AB15C7">
        <w:rPr>
          <w:rFonts w:ascii="Cambria" w:hAnsi="Cambria"/>
          <w:iCs/>
          <w:noProof/>
        </w:rPr>
        <w:lastRenderedPageBreak/>
        <w:t xml:space="preserve">U Crnoj Gori se ne vrši </w:t>
      </w:r>
      <w:r w:rsidR="00386F07" w:rsidRPr="00AB15C7">
        <w:rPr>
          <w:rFonts w:ascii="Cambria" w:hAnsi="Cambria"/>
          <w:iCs/>
          <w:noProof/>
        </w:rPr>
        <w:t>spaljiva</w:t>
      </w:r>
      <w:r w:rsidRPr="00AB15C7">
        <w:rPr>
          <w:rFonts w:ascii="Cambria" w:hAnsi="Cambria"/>
          <w:iCs/>
          <w:noProof/>
        </w:rPr>
        <w:t xml:space="preserve">nje opasnog otpada niti postoje deponije projektovane za prihvat opasnih materijala.  </w:t>
      </w:r>
      <w:r w:rsidR="0093674E" w:rsidRPr="00AB15C7">
        <w:rPr>
          <w:rFonts w:ascii="Cambria" w:hAnsi="Cambria"/>
          <w:iCs/>
          <w:noProof/>
        </w:rPr>
        <w:t xml:space="preserve">Kada se sakupi, opasni otpad pažljivo se čuva u skladu sa zakonom na za to predviđenoj lokaciji, a zatim se izvozi uglavnom u zemlje Evropske unije gdje se obrađuje i spaljuje. </w:t>
      </w:r>
      <w:r w:rsidRPr="00AB15C7">
        <w:rPr>
          <w:rFonts w:ascii="Cambria" w:hAnsi="Cambria"/>
          <w:iCs/>
          <w:noProof/>
        </w:rPr>
        <w:t xml:space="preserve">Najveće društvo u Crnoj Gori </w:t>
      </w:r>
      <w:r w:rsidR="0093674E" w:rsidRPr="00AB15C7">
        <w:rPr>
          <w:rFonts w:ascii="Cambria" w:hAnsi="Cambria"/>
          <w:iCs/>
          <w:noProof/>
        </w:rPr>
        <w:t xml:space="preserve">registrovano za sakupljanje, odlaganje i izvoz opasnog otpada </w:t>
      </w:r>
      <w:r w:rsidRPr="00AB15C7">
        <w:rPr>
          <w:rFonts w:ascii="Cambria" w:hAnsi="Cambria"/>
          <w:iCs/>
          <w:noProof/>
        </w:rPr>
        <w:t>je „Hemosan” Bar, koje posjeduje sve dozvole neophodne za obavljanje ovakvih aktivnosti.</w:t>
      </w:r>
    </w:p>
    <w:p w14:paraId="3FE4F154" w14:textId="77777777" w:rsidR="00A1416A" w:rsidRPr="00AB15C7" w:rsidRDefault="00A1416A" w:rsidP="005921EF">
      <w:pPr>
        <w:spacing w:after="0"/>
        <w:jc w:val="both"/>
        <w:rPr>
          <w:rFonts w:ascii="Cambria" w:hAnsi="Cambria"/>
          <w:iCs/>
          <w:noProof/>
        </w:rPr>
      </w:pPr>
      <w:r w:rsidRPr="00AB15C7">
        <w:rPr>
          <w:rFonts w:ascii="Cambria" w:hAnsi="Cambria"/>
          <w:iCs/>
          <w:noProof/>
        </w:rPr>
        <w:t>Od ukupno generisanog i skladi</w:t>
      </w:r>
      <w:r w:rsidR="004F594E" w:rsidRPr="00AB15C7">
        <w:rPr>
          <w:rFonts w:ascii="Cambria" w:hAnsi="Cambria"/>
          <w:iCs/>
          <w:noProof/>
        </w:rPr>
        <w:t>š</w:t>
      </w:r>
      <w:r w:rsidRPr="00AB15C7">
        <w:rPr>
          <w:rFonts w:ascii="Cambria" w:hAnsi="Cambria"/>
          <w:iCs/>
          <w:noProof/>
        </w:rPr>
        <w:t>tenog otpada u iznosu od 834</w:t>
      </w:r>
      <w:r w:rsidR="00F107C7" w:rsidRPr="00AB15C7">
        <w:rPr>
          <w:rFonts w:ascii="Cambria" w:hAnsi="Cambria"/>
          <w:iCs/>
          <w:noProof/>
        </w:rPr>
        <w:t>.</w:t>
      </w:r>
      <w:r w:rsidRPr="00AB15C7">
        <w:rPr>
          <w:rFonts w:ascii="Cambria" w:hAnsi="Cambria"/>
          <w:iCs/>
          <w:noProof/>
        </w:rPr>
        <w:t>303 tone u 2016. godini, preduzeća u oblasti industrije sopstveno su obradila 813</w:t>
      </w:r>
      <w:r w:rsidR="00F107C7" w:rsidRPr="00AB15C7">
        <w:rPr>
          <w:rFonts w:ascii="Cambria" w:hAnsi="Cambria"/>
          <w:iCs/>
          <w:noProof/>
        </w:rPr>
        <w:t>.</w:t>
      </w:r>
      <w:r w:rsidRPr="00AB15C7">
        <w:rPr>
          <w:rFonts w:ascii="Cambria" w:hAnsi="Cambria"/>
          <w:iCs/>
          <w:noProof/>
        </w:rPr>
        <w:t>409 tona otpada</w:t>
      </w:r>
      <w:r w:rsidR="00F107C7" w:rsidRPr="00AB15C7">
        <w:rPr>
          <w:rFonts w:ascii="Cambria" w:hAnsi="Cambria"/>
          <w:iCs/>
          <w:noProof/>
        </w:rPr>
        <w:t xml:space="preserve"> (tabela 1</w:t>
      </w:r>
      <w:r w:rsidR="0065073A" w:rsidRPr="00AB15C7">
        <w:rPr>
          <w:rFonts w:ascii="Cambria" w:hAnsi="Cambria"/>
          <w:iCs/>
          <w:noProof/>
        </w:rPr>
        <w:t>5</w:t>
      </w:r>
      <w:r w:rsidR="00F107C7" w:rsidRPr="00AB15C7">
        <w:rPr>
          <w:rFonts w:ascii="Cambria" w:hAnsi="Cambria"/>
          <w:iCs/>
          <w:noProof/>
        </w:rPr>
        <w:t>.)</w:t>
      </w:r>
      <w:r w:rsidRPr="00AB15C7">
        <w:rPr>
          <w:rFonts w:ascii="Cambria" w:hAnsi="Cambria"/>
          <w:iCs/>
          <w:noProof/>
        </w:rPr>
        <w:t xml:space="preserve">, od toga sopstveno su preradili </w:t>
      </w:r>
      <w:r w:rsidR="00F107C7" w:rsidRPr="00AB15C7">
        <w:rPr>
          <w:rFonts w:ascii="Cambria" w:hAnsi="Cambria"/>
          <w:iCs/>
          <w:noProof/>
        </w:rPr>
        <w:t>2,8% i odstranili</w:t>
      </w:r>
      <w:r w:rsidRPr="00AB15C7">
        <w:rPr>
          <w:rFonts w:ascii="Cambria" w:hAnsi="Cambria"/>
          <w:iCs/>
          <w:noProof/>
        </w:rPr>
        <w:t xml:space="preserve"> </w:t>
      </w:r>
      <w:r w:rsidR="00F107C7" w:rsidRPr="00AB15C7">
        <w:rPr>
          <w:rFonts w:ascii="Cambria" w:hAnsi="Cambria"/>
          <w:iCs/>
          <w:noProof/>
        </w:rPr>
        <w:t xml:space="preserve">ukupno </w:t>
      </w:r>
      <w:r w:rsidRPr="00AB15C7">
        <w:rPr>
          <w:rFonts w:ascii="Cambria" w:hAnsi="Cambria"/>
          <w:iCs/>
          <w:noProof/>
        </w:rPr>
        <w:t>8</w:t>
      </w:r>
      <w:r w:rsidR="00F107C7" w:rsidRPr="00AB15C7">
        <w:rPr>
          <w:rFonts w:ascii="Cambria" w:hAnsi="Cambria"/>
          <w:iCs/>
          <w:noProof/>
        </w:rPr>
        <w:t>1</w:t>
      </w:r>
      <w:r w:rsidRPr="00AB15C7">
        <w:rPr>
          <w:rFonts w:ascii="Cambria" w:hAnsi="Cambria"/>
          <w:iCs/>
          <w:noProof/>
        </w:rPr>
        <w:t>,</w:t>
      </w:r>
      <w:r w:rsidR="00F107C7" w:rsidRPr="00AB15C7">
        <w:rPr>
          <w:rFonts w:ascii="Cambria" w:hAnsi="Cambria"/>
          <w:iCs/>
          <w:noProof/>
        </w:rPr>
        <w:t>8</w:t>
      </w:r>
      <w:r w:rsidRPr="00AB15C7">
        <w:rPr>
          <w:rFonts w:ascii="Cambria" w:hAnsi="Cambria"/>
          <w:iCs/>
          <w:noProof/>
        </w:rPr>
        <w:t xml:space="preserve">% i privremeno skladištili </w:t>
      </w:r>
      <w:r w:rsidR="00F107C7" w:rsidRPr="00AB15C7">
        <w:rPr>
          <w:rFonts w:ascii="Cambria" w:hAnsi="Cambria"/>
          <w:iCs/>
          <w:noProof/>
        </w:rPr>
        <w:t xml:space="preserve">otpada </w:t>
      </w:r>
      <w:r w:rsidRPr="00AB15C7">
        <w:rPr>
          <w:rFonts w:ascii="Cambria" w:hAnsi="Cambria"/>
          <w:iCs/>
          <w:noProof/>
        </w:rPr>
        <w:t>1</w:t>
      </w:r>
      <w:r w:rsidR="00F107C7" w:rsidRPr="00AB15C7">
        <w:rPr>
          <w:rFonts w:ascii="Cambria" w:hAnsi="Cambria"/>
          <w:iCs/>
          <w:noProof/>
        </w:rPr>
        <w:t>2</w:t>
      </w:r>
      <w:r w:rsidRPr="00AB15C7">
        <w:rPr>
          <w:rFonts w:ascii="Cambria" w:hAnsi="Cambria"/>
          <w:iCs/>
          <w:noProof/>
        </w:rPr>
        <w:t>,</w:t>
      </w:r>
      <w:r w:rsidR="00F107C7" w:rsidRPr="00AB15C7">
        <w:rPr>
          <w:rFonts w:ascii="Cambria" w:hAnsi="Cambria"/>
          <w:iCs/>
          <w:noProof/>
        </w:rPr>
        <w:t>9</w:t>
      </w:r>
      <w:r w:rsidRPr="00AB15C7">
        <w:rPr>
          <w:rFonts w:ascii="Cambria" w:hAnsi="Cambria"/>
          <w:iCs/>
          <w:noProof/>
        </w:rPr>
        <w:t>% otpada. Izvezli su 4</w:t>
      </w:r>
      <w:r w:rsidR="00F107C7" w:rsidRPr="00AB15C7">
        <w:rPr>
          <w:rFonts w:ascii="Cambria" w:hAnsi="Cambria"/>
          <w:iCs/>
          <w:noProof/>
        </w:rPr>
        <w:t>.</w:t>
      </w:r>
      <w:r w:rsidRPr="00AB15C7">
        <w:rPr>
          <w:rFonts w:ascii="Cambria" w:hAnsi="Cambria"/>
          <w:iCs/>
          <w:noProof/>
        </w:rPr>
        <w:t>513 tona otpada</w:t>
      </w:r>
      <w:r w:rsidR="00F107C7" w:rsidRPr="00AB15C7">
        <w:rPr>
          <w:rFonts w:ascii="Cambria" w:hAnsi="Cambria"/>
          <w:iCs/>
          <w:noProof/>
        </w:rPr>
        <w:t xml:space="preserve"> (0,5%),</w:t>
      </w:r>
      <w:r w:rsidRPr="00AB15C7">
        <w:rPr>
          <w:rFonts w:ascii="Cambria" w:hAnsi="Cambria"/>
          <w:iCs/>
          <w:noProof/>
        </w:rPr>
        <w:t xml:space="preserve"> a </w:t>
      </w:r>
      <w:r w:rsidR="00F107C7" w:rsidRPr="00AB15C7">
        <w:rPr>
          <w:rFonts w:ascii="Cambria" w:hAnsi="Cambria"/>
          <w:iCs/>
          <w:noProof/>
        </w:rPr>
        <w:t>pre</w:t>
      </w:r>
      <w:r w:rsidRPr="00AB15C7">
        <w:rPr>
          <w:rFonts w:ascii="Cambria" w:hAnsi="Cambria"/>
          <w:iCs/>
          <w:noProof/>
        </w:rPr>
        <w:t>ostale količine (16 381 tona</w:t>
      </w:r>
      <w:r w:rsidR="00F107C7" w:rsidRPr="00AB15C7">
        <w:rPr>
          <w:rFonts w:ascii="Cambria" w:hAnsi="Cambria"/>
          <w:iCs/>
          <w:noProof/>
        </w:rPr>
        <w:t>, 2,0%</w:t>
      </w:r>
      <w:r w:rsidRPr="00AB15C7">
        <w:rPr>
          <w:rFonts w:ascii="Cambria" w:hAnsi="Cambria"/>
          <w:iCs/>
          <w:noProof/>
        </w:rPr>
        <w:t>) predali su drugim preduzećima u Crnoj Gori</w:t>
      </w:r>
      <w:r w:rsidR="00F107C7" w:rsidRPr="00AB15C7">
        <w:rPr>
          <w:rFonts w:ascii="Cambria" w:hAnsi="Cambria"/>
          <w:iCs/>
          <w:noProof/>
        </w:rPr>
        <w:t xml:space="preserve"> (</w:t>
      </w:r>
      <w:r w:rsidR="009C0247">
        <w:rPr>
          <w:rFonts w:ascii="Cambria" w:hAnsi="Cambria"/>
          <w:iCs/>
          <w:noProof/>
        </w:rPr>
        <w:t>G</w:t>
      </w:r>
      <w:r w:rsidR="00F107C7" w:rsidRPr="00AB15C7">
        <w:rPr>
          <w:rFonts w:ascii="Cambria" w:hAnsi="Cambria"/>
          <w:iCs/>
          <w:noProof/>
        </w:rPr>
        <w:t xml:space="preserve">rafik </w:t>
      </w:r>
      <w:r w:rsidR="00870D2E" w:rsidRPr="00AB15C7">
        <w:rPr>
          <w:rFonts w:ascii="Cambria" w:hAnsi="Cambria"/>
          <w:iCs/>
          <w:noProof/>
        </w:rPr>
        <w:t>6</w:t>
      </w:r>
      <w:r w:rsidR="00F107C7" w:rsidRPr="00AB15C7">
        <w:rPr>
          <w:rFonts w:ascii="Cambria" w:hAnsi="Cambria"/>
          <w:iCs/>
          <w:noProof/>
        </w:rPr>
        <w:t>)</w:t>
      </w:r>
      <w:r w:rsidRPr="00AB15C7">
        <w:rPr>
          <w:rFonts w:ascii="Cambria" w:hAnsi="Cambria"/>
          <w:iCs/>
          <w:noProof/>
        </w:rPr>
        <w:t xml:space="preserve">. </w:t>
      </w:r>
    </w:p>
    <w:p w14:paraId="4D0AEB99" w14:textId="77777777" w:rsidR="004F594E" w:rsidRPr="00AB15C7" w:rsidRDefault="004F594E" w:rsidP="005921EF">
      <w:pPr>
        <w:spacing w:after="0"/>
        <w:jc w:val="both"/>
        <w:rPr>
          <w:rFonts w:ascii="Cambria" w:hAnsi="Cambria"/>
          <w:noProof/>
        </w:rPr>
      </w:pPr>
    </w:p>
    <w:p w14:paraId="36FD1C62" w14:textId="77777777" w:rsidR="00F107C7" w:rsidRPr="00AB15C7" w:rsidRDefault="00F107C7" w:rsidP="00F1313E">
      <w:pPr>
        <w:spacing w:after="120"/>
        <w:jc w:val="center"/>
        <w:rPr>
          <w:rFonts w:ascii="Cambria" w:hAnsi="Cambria"/>
          <w:noProof/>
        </w:rPr>
      </w:pPr>
      <w:r w:rsidRPr="00940834">
        <w:rPr>
          <w:rFonts w:ascii="Cambria" w:hAnsi="Cambria"/>
          <w:i/>
          <w:noProof/>
        </w:rPr>
        <w:t>Tabela 1</w:t>
      </w:r>
      <w:r w:rsidR="0065073A" w:rsidRPr="00940834">
        <w:rPr>
          <w:rFonts w:ascii="Cambria" w:hAnsi="Cambria"/>
          <w:i/>
          <w:noProof/>
        </w:rPr>
        <w:t>5</w:t>
      </w:r>
      <w:r w:rsidRPr="00940834">
        <w:rPr>
          <w:rFonts w:ascii="Cambria" w:hAnsi="Cambria"/>
          <w:i/>
          <w:noProof/>
        </w:rPr>
        <w:t>.</w:t>
      </w:r>
      <w:r w:rsidRPr="00AB15C7">
        <w:rPr>
          <w:rFonts w:ascii="Cambria" w:hAnsi="Cambria"/>
          <w:noProof/>
        </w:rPr>
        <w:t xml:space="preserve"> Tretman otpada u industrijskim preduzećima 2016 (u tonama)</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2070"/>
        <w:gridCol w:w="1471"/>
        <w:gridCol w:w="2055"/>
        <w:gridCol w:w="1341"/>
        <w:gridCol w:w="1100"/>
      </w:tblGrid>
      <w:tr w:rsidR="00B418B4" w:rsidRPr="00AB15C7" w14:paraId="39F3C4FA" w14:textId="77777777" w:rsidTr="00F70A79">
        <w:trPr>
          <w:trHeight w:val="675"/>
        </w:trPr>
        <w:tc>
          <w:tcPr>
            <w:tcW w:w="1710" w:type="dxa"/>
            <w:shd w:val="clear" w:color="auto" w:fill="D9D9D9"/>
            <w:noWrap/>
            <w:vAlign w:val="center"/>
            <w:hideMark/>
          </w:tcPr>
          <w:p w14:paraId="2736A03D" w14:textId="77777777" w:rsidR="004F594E" w:rsidRPr="00AB15C7" w:rsidRDefault="004F594E" w:rsidP="005921EF">
            <w:pPr>
              <w:spacing w:after="0"/>
              <w:rPr>
                <w:rFonts w:ascii="Cambria" w:hAnsi="Cambria" w:cs="Arial"/>
                <w:b/>
                <w:bCs/>
                <w:noProof/>
              </w:rPr>
            </w:pPr>
            <w:r w:rsidRPr="00AB15C7">
              <w:rPr>
                <w:rFonts w:ascii="Cambria" w:hAnsi="Cambria" w:cs="Arial"/>
                <w:b/>
                <w:bCs/>
                <w:noProof/>
              </w:rPr>
              <w:t>CRNA GORA</w:t>
            </w:r>
          </w:p>
        </w:tc>
        <w:tc>
          <w:tcPr>
            <w:tcW w:w="2070" w:type="dxa"/>
            <w:shd w:val="clear" w:color="auto" w:fill="D9D9D9"/>
            <w:vAlign w:val="center"/>
            <w:hideMark/>
          </w:tcPr>
          <w:p w14:paraId="75AE0652" w14:textId="77777777" w:rsidR="004F594E" w:rsidRPr="00AB15C7" w:rsidRDefault="004F594E" w:rsidP="00F70A79">
            <w:pPr>
              <w:spacing w:after="0"/>
              <w:ind w:right="-105"/>
              <w:jc w:val="center"/>
              <w:rPr>
                <w:rFonts w:ascii="Cambria" w:hAnsi="Cambria" w:cs="Arial"/>
                <w:b/>
                <w:bCs/>
                <w:noProof/>
              </w:rPr>
            </w:pPr>
            <w:r w:rsidRPr="00AB15C7">
              <w:rPr>
                <w:rFonts w:ascii="Cambria" w:hAnsi="Cambria" w:cs="Arial"/>
                <w:b/>
                <w:bCs/>
                <w:noProof/>
              </w:rPr>
              <w:t>Sopstvena prerada i odstranjivanje</w:t>
            </w:r>
          </w:p>
        </w:tc>
        <w:tc>
          <w:tcPr>
            <w:tcW w:w="1471" w:type="dxa"/>
            <w:shd w:val="clear" w:color="auto" w:fill="D9D9D9"/>
            <w:vAlign w:val="center"/>
            <w:hideMark/>
          </w:tcPr>
          <w:p w14:paraId="3035608A" w14:textId="77777777" w:rsidR="004F594E" w:rsidRPr="00AB15C7" w:rsidRDefault="004F594E" w:rsidP="00F70A79">
            <w:pPr>
              <w:spacing w:after="0"/>
              <w:ind w:right="-30"/>
              <w:jc w:val="center"/>
              <w:rPr>
                <w:rFonts w:ascii="Cambria" w:hAnsi="Cambria" w:cs="Arial"/>
                <w:b/>
                <w:bCs/>
                <w:noProof/>
              </w:rPr>
            </w:pPr>
            <w:r w:rsidRPr="00AB15C7">
              <w:rPr>
                <w:rFonts w:ascii="Cambria" w:hAnsi="Cambria" w:cs="Arial"/>
                <w:b/>
                <w:bCs/>
                <w:noProof/>
              </w:rPr>
              <w:t>Privremeno skladi</w:t>
            </w:r>
            <w:r w:rsidR="00F70A79">
              <w:rPr>
                <w:rFonts w:ascii="Cambria" w:hAnsi="Cambria" w:cs="Arial"/>
                <w:b/>
                <w:bCs/>
                <w:noProof/>
                <w:lang w:val="sr-Latn-RS"/>
              </w:rPr>
              <w:t>š</w:t>
            </w:r>
            <w:r w:rsidRPr="00AB15C7">
              <w:rPr>
                <w:rFonts w:ascii="Cambria" w:hAnsi="Cambria" w:cs="Arial"/>
                <w:b/>
                <w:bCs/>
                <w:noProof/>
              </w:rPr>
              <w:t>tenje</w:t>
            </w:r>
          </w:p>
        </w:tc>
        <w:tc>
          <w:tcPr>
            <w:tcW w:w="2055" w:type="dxa"/>
            <w:shd w:val="clear" w:color="auto" w:fill="D9D9D9"/>
            <w:vAlign w:val="center"/>
            <w:hideMark/>
          </w:tcPr>
          <w:p w14:paraId="0AC56594" w14:textId="77777777" w:rsidR="004F594E" w:rsidRPr="00AB15C7" w:rsidRDefault="004F594E" w:rsidP="00F70A79">
            <w:pPr>
              <w:spacing w:after="0"/>
              <w:jc w:val="center"/>
              <w:rPr>
                <w:rFonts w:ascii="Cambria" w:hAnsi="Cambria" w:cs="Arial"/>
                <w:b/>
                <w:bCs/>
                <w:noProof/>
              </w:rPr>
            </w:pPr>
            <w:r w:rsidRPr="00AB15C7">
              <w:rPr>
                <w:rFonts w:ascii="Cambria" w:hAnsi="Cambria" w:cs="Arial"/>
                <w:b/>
                <w:bCs/>
                <w:noProof/>
              </w:rPr>
              <w:t>Predato drugome u Crnoj Gori</w:t>
            </w:r>
          </w:p>
        </w:tc>
        <w:tc>
          <w:tcPr>
            <w:tcW w:w="1341" w:type="dxa"/>
            <w:shd w:val="clear" w:color="auto" w:fill="D9D9D9"/>
            <w:vAlign w:val="center"/>
            <w:hideMark/>
          </w:tcPr>
          <w:p w14:paraId="51D69144" w14:textId="77777777" w:rsidR="004F594E" w:rsidRPr="00AB15C7" w:rsidRDefault="004F594E" w:rsidP="00F70A79">
            <w:pPr>
              <w:spacing w:after="0"/>
              <w:jc w:val="center"/>
              <w:rPr>
                <w:rFonts w:ascii="Cambria" w:hAnsi="Cambria" w:cs="Arial"/>
                <w:b/>
                <w:bCs/>
                <w:noProof/>
              </w:rPr>
            </w:pPr>
            <w:r w:rsidRPr="00AB15C7">
              <w:rPr>
                <w:rFonts w:ascii="Cambria" w:hAnsi="Cambria" w:cs="Arial"/>
                <w:b/>
                <w:bCs/>
                <w:noProof/>
              </w:rPr>
              <w:t xml:space="preserve">Izvezeno iz Crne </w:t>
            </w:r>
            <w:r w:rsidR="007C5532" w:rsidRPr="00AB15C7">
              <w:rPr>
                <w:rFonts w:ascii="Cambria" w:hAnsi="Cambria" w:cs="Arial"/>
                <w:b/>
                <w:bCs/>
                <w:noProof/>
              </w:rPr>
              <w:t>G</w:t>
            </w:r>
            <w:r w:rsidRPr="00AB15C7">
              <w:rPr>
                <w:rFonts w:ascii="Cambria" w:hAnsi="Cambria" w:cs="Arial"/>
                <w:b/>
                <w:bCs/>
                <w:noProof/>
              </w:rPr>
              <w:t>ore</w:t>
            </w:r>
          </w:p>
        </w:tc>
        <w:tc>
          <w:tcPr>
            <w:tcW w:w="1100" w:type="dxa"/>
            <w:shd w:val="clear" w:color="auto" w:fill="D9D9D9"/>
            <w:vAlign w:val="center"/>
            <w:hideMark/>
          </w:tcPr>
          <w:p w14:paraId="2F8FC7E1" w14:textId="77777777" w:rsidR="004F594E" w:rsidRPr="00AB15C7" w:rsidRDefault="004F594E" w:rsidP="00F70A79">
            <w:pPr>
              <w:spacing w:after="0"/>
              <w:jc w:val="center"/>
              <w:rPr>
                <w:rFonts w:ascii="Cambria" w:hAnsi="Cambria" w:cs="Arial"/>
                <w:b/>
                <w:bCs/>
                <w:noProof/>
              </w:rPr>
            </w:pPr>
            <w:r w:rsidRPr="00AB15C7">
              <w:rPr>
                <w:rFonts w:ascii="Cambria" w:hAnsi="Cambria" w:cs="Arial"/>
                <w:b/>
                <w:bCs/>
                <w:noProof/>
              </w:rPr>
              <w:t>Ukupno</w:t>
            </w:r>
          </w:p>
        </w:tc>
      </w:tr>
      <w:tr w:rsidR="004F594E" w:rsidRPr="00AB15C7" w14:paraId="7DB92AC4" w14:textId="77777777" w:rsidTr="00F70A79">
        <w:trPr>
          <w:trHeight w:val="300"/>
        </w:trPr>
        <w:tc>
          <w:tcPr>
            <w:tcW w:w="1710" w:type="dxa"/>
            <w:shd w:val="clear" w:color="auto" w:fill="D9D9D9"/>
            <w:noWrap/>
            <w:vAlign w:val="bottom"/>
            <w:hideMark/>
          </w:tcPr>
          <w:p w14:paraId="57D8742D" w14:textId="77777777" w:rsidR="004F594E" w:rsidRPr="00AB15C7" w:rsidRDefault="004F594E" w:rsidP="005921EF">
            <w:pPr>
              <w:spacing w:after="0"/>
              <w:rPr>
                <w:rFonts w:ascii="Cambria" w:hAnsi="Cambria" w:cs="Arial"/>
                <w:noProof/>
              </w:rPr>
            </w:pPr>
            <w:r w:rsidRPr="00AB15C7">
              <w:rPr>
                <w:rFonts w:ascii="Cambria" w:hAnsi="Cambria" w:cs="Arial"/>
                <w:noProof/>
              </w:rPr>
              <w:t>Neopasni otpad</w:t>
            </w:r>
          </w:p>
        </w:tc>
        <w:tc>
          <w:tcPr>
            <w:tcW w:w="2070" w:type="dxa"/>
            <w:shd w:val="clear" w:color="auto" w:fill="auto"/>
            <w:noWrap/>
            <w:vAlign w:val="center"/>
            <w:hideMark/>
          </w:tcPr>
          <w:p w14:paraId="25EDB585" w14:textId="77777777" w:rsidR="004F594E" w:rsidRPr="00AB15C7" w:rsidRDefault="004F594E" w:rsidP="005921EF">
            <w:pPr>
              <w:spacing w:after="0"/>
              <w:jc w:val="right"/>
              <w:rPr>
                <w:rFonts w:ascii="Cambria" w:hAnsi="Cambria" w:cs="Arial"/>
                <w:noProof/>
              </w:rPr>
            </w:pPr>
            <w:r w:rsidRPr="00AB15C7">
              <w:rPr>
                <w:rFonts w:ascii="Cambria" w:hAnsi="Cambria" w:cs="Arial"/>
                <w:noProof/>
              </w:rPr>
              <w:t>376 882</w:t>
            </w:r>
          </w:p>
        </w:tc>
        <w:tc>
          <w:tcPr>
            <w:tcW w:w="1471" w:type="dxa"/>
            <w:shd w:val="clear" w:color="auto" w:fill="auto"/>
            <w:noWrap/>
            <w:vAlign w:val="bottom"/>
            <w:hideMark/>
          </w:tcPr>
          <w:p w14:paraId="2B597A9F" w14:textId="77777777" w:rsidR="004F594E" w:rsidRPr="00AB15C7" w:rsidRDefault="004F594E" w:rsidP="005921EF">
            <w:pPr>
              <w:spacing w:after="0"/>
              <w:jc w:val="right"/>
              <w:rPr>
                <w:rFonts w:ascii="Cambria" w:hAnsi="Cambria" w:cs="Arial"/>
                <w:noProof/>
              </w:rPr>
            </w:pPr>
            <w:r w:rsidRPr="00AB15C7">
              <w:rPr>
                <w:rFonts w:ascii="Cambria" w:hAnsi="Cambria" w:cs="Arial"/>
                <w:noProof/>
              </w:rPr>
              <w:t>107 360</w:t>
            </w:r>
          </w:p>
        </w:tc>
        <w:tc>
          <w:tcPr>
            <w:tcW w:w="2055" w:type="dxa"/>
            <w:shd w:val="clear" w:color="auto" w:fill="auto"/>
            <w:noWrap/>
            <w:vAlign w:val="bottom"/>
            <w:hideMark/>
          </w:tcPr>
          <w:p w14:paraId="22C1EE4B" w14:textId="77777777" w:rsidR="004F594E" w:rsidRPr="00AB15C7" w:rsidRDefault="004F594E" w:rsidP="005921EF">
            <w:pPr>
              <w:spacing w:after="0"/>
              <w:jc w:val="right"/>
              <w:rPr>
                <w:rFonts w:ascii="Cambria" w:hAnsi="Cambria" w:cs="Arial"/>
                <w:noProof/>
              </w:rPr>
            </w:pPr>
            <w:r w:rsidRPr="00AB15C7">
              <w:rPr>
                <w:rFonts w:ascii="Cambria" w:hAnsi="Cambria" w:cs="Arial"/>
                <w:noProof/>
              </w:rPr>
              <w:t>15 263</w:t>
            </w:r>
          </w:p>
        </w:tc>
        <w:tc>
          <w:tcPr>
            <w:tcW w:w="1341" w:type="dxa"/>
            <w:shd w:val="clear" w:color="auto" w:fill="auto"/>
            <w:noWrap/>
            <w:vAlign w:val="bottom"/>
            <w:hideMark/>
          </w:tcPr>
          <w:p w14:paraId="04DF867F" w14:textId="77777777" w:rsidR="004F594E" w:rsidRPr="00AB15C7" w:rsidRDefault="004F594E" w:rsidP="005921EF">
            <w:pPr>
              <w:spacing w:after="0"/>
              <w:jc w:val="right"/>
              <w:rPr>
                <w:rFonts w:ascii="Cambria" w:hAnsi="Cambria" w:cs="Arial"/>
                <w:noProof/>
              </w:rPr>
            </w:pPr>
            <w:r w:rsidRPr="00AB15C7">
              <w:rPr>
                <w:rFonts w:ascii="Cambria" w:hAnsi="Cambria" w:cs="Arial"/>
                <w:noProof/>
              </w:rPr>
              <w:t>4 513</w:t>
            </w:r>
          </w:p>
        </w:tc>
        <w:tc>
          <w:tcPr>
            <w:tcW w:w="1100" w:type="dxa"/>
            <w:shd w:val="clear" w:color="auto" w:fill="auto"/>
            <w:noWrap/>
            <w:vAlign w:val="bottom"/>
            <w:hideMark/>
          </w:tcPr>
          <w:p w14:paraId="0E37620C" w14:textId="77777777" w:rsidR="004F594E" w:rsidRPr="00AB15C7" w:rsidRDefault="004F594E" w:rsidP="005921EF">
            <w:pPr>
              <w:spacing w:after="0"/>
              <w:jc w:val="right"/>
              <w:rPr>
                <w:rFonts w:ascii="Cambria" w:hAnsi="Cambria" w:cs="Arial"/>
                <w:noProof/>
              </w:rPr>
            </w:pPr>
            <w:r w:rsidRPr="00AB15C7">
              <w:rPr>
                <w:rFonts w:ascii="Cambria" w:hAnsi="Cambria" w:cs="Arial"/>
                <w:noProof/>
              </w:rPr>
              <w:t>504 018</w:t>
            </w:r>
          </w:p>
        </w:tc>
      </w:tr>
      <w:tr w:rsidR="004F594E" w:rsidRPr="00AB15C7" w14:paraId="7C5FFB03" w14:textId="77777777" w:rsidTr="00F70A79">
        <w:trPr>
          <w:trHeight w:val="300"/>
        </w:trPr>
        <w:tc>
          <w:tcPr>
            <w:tcW w:w="1710" w:type="dxa"/>
            <w:shd w:val="clear" w:color="auto" w:fill="D9D9D9"/>
            <w:noWrap/>
            <w:vAlign w:val="center"/>
            <w:hideMark/>
          </w:tcPr>
          <w:p w14:paraId="43AA9B30" w14:textId="77777777" w:rsidR="004F594E" w:rsidRPr="00AB15C7" w:rsidRDefault="004F594E" w:rsidP="005921EF">
            <w:pPr>
              <w:spacing w:after="0"/>
              <w:rPr>
                <w:rFonts w:ascii="Cambria" w:hAnsi="Cambria" w:cs="Arial"/>
                <w:noProof/>
              </w:rPr>
            </w:pPr>
            <w:r w:rsidRPr="00AB15C7">
              <w:rPr>
                <w:rFonts w:ascii="Cambria" w:hAnsi="Cambria" w:cs="Arial"/>
                <w:noProof/>
              </w:rPr>
              <w:t>Opasni otpad</w:t>
            </w:r>
          </w:p>
        </w:tc>
        <w:tc>
          <w:tcPr>
            <w:tcW w:w="2070" w:type="dxa"/>
            <w:shd w:val="clear" w:color="auto" w:fill="auto"/>
            <w:noWrap/>
            <w:vAlign w:val="center"/>
            <w:hideMark/>
          </w:tcPr>
          <w:p w14:paraId="03104F31" w14:textId="77777777" w:rsidR="004F594E" w:rsidRPr="00AB15C7" w:rsidRDefault="004F594E" w:rsidP="005921EF">
            <w:pPr>
              <w:spacing w:after="0"/>
              <w:jc w:val="right"/>
              <w:rPr>
                <w:rFonts w:ascii="Cambria" w:hAnsi="Cambria" w:cs="Arial"/>
                <w:noProof/>
              </w:rPr>
            </w:pPr>
            <w:r w:rsidRPr="00AB15C7">
              <w:rPr>
                <w:rFonts w:ascii="Cambria" w:hAnsi="Cambria" w:cs="Arial"/>
                <w:noProof/>
              </w:rPr>
              <w:t>329 035</w:t>
            </w:r>
          </w:p>
        </w:tc>
        <w:tc>
          <w:tcPr>
            <w:tcW w:w="1471" w:type="dxa"/>
            <w:shd w:val="clear" w:color="auto" w:fill="auto"/>
            <w:noWrap/>
            <w:vAlign w:val="center"/>
            <w:hideMark/>
          </w:tcPr>
          <w:p w14:paraId="23BABA9B" w14:textId="77777777" w:rsidR="004F594E" w:rsidRPr="00AB15C7" w:rsidRDefault="004F594E" w:rsidP="005921EF">
            <w:pPr>
              <w:spacing w:after="0"/>
              <w:jc w:val="right"/>
              <w:rPr>
                <w:rFonts w:ascii="Cambria" w:hAnsi="Cambria" w:cs="Arial"/>
                <w:noProof/>
              </w:rPr>
            </w:pPr>
            <w:r w:rsidRPr="00AB15C7">
              <w:rPr>
                <w:rFonts w:ascii="Cambria" w:hAnsi="Cambria" w:cs="Arial"/>
                <w:noProof/>
              </w:rPr>
              <w:t>132</w:t>
            </w:r>
          </w:p>
        </w:tc>
        <w:tc>
          <w:tcPr>
            <w:tcW w:w="2055" w:type="dxa"/>
            <w:shd w:val="clear" w:color="auto" w:fill="auto"/>
            <w:noWrap/>
            <w:vAlign w:val="center"/>
            <w:hideMark/>
          </w:tcPr>
          <w:p w14:paraId="4D95A1CE" w14:textId="77777777" w:rsidR="004F594E" w:rsidRPr="00AB15C7" w:rsidRDefault="004F594E" w:rsidP="005921EF">
            <w:pPr>
              <w:spacing w:after="0"/>
              <w:jc w:val="right"/>
              <w:rPr>
                <w:rFonts w:ascii="Cambria" w:hAnsi="Cambria" w:cs="Arial"/>
                <w:noProof/>
              </w:rPr>
            </w:pPr>
            <w:r w:rsidRPr="00AB15C7">
              <w:rPr>
                <w:rFonts w:ascii="Cambria" w:hAnsi="Cambria" w:cs="Arial"/>
                <w:noProof/>
              </w:rPr>
              <w:t>1 118</w:t>
            </w:r>
          </w:p>
        </w:tc>
        <w:tc>
          <w:tcPr>
            <w:tcW w:w="1341" w:type="dxa"/>
            <w:shd w:val="clear" w:color="auto" w:fill="auto"/>
            <w:noWrap/>
            <w:vAlign w:val="center"/>
            <w:hideMark/>
          </w:tcPr>
          <w:p w14:paraId="006D2FFC" w14:textId="77777777" w:rsidR="004F594E" w:rsidRPr="00AB15C7" w:rsidRDefault="004F594E" w:rsidP="005921EF">
            <w:pPr>
              <w:spacing w:after="0"/>
              <w:jc w:val="right"/>
              <w:rPr>
                <w:rFonts w:ascii="Cambria" w:hAnsi="Cambria" w:cs="Arial"/>
                <w:noProof/>
              </w:rPr>
            </w:pPr>
            <w:r w:rsidRPr="00AB15C7">
              <w:rPr>
                <w:rFonts w:ascii="Cambria" w:hAnsi="Cambria" w:cs="Arial"/>
                <w:noProof/>
              </w:rPr>
              <w:t>0</w:t>
            </w:r>
          </w:p>
        </w:tc>
        <w:tc>
          <w:tcPr>
            <w:tcW w:w="1100" w:type="dxa"/>
            <w:shd w:val="clear" w:color="auto" w:fill="auto"/>
            <w:noWrap/>
            <w:vAlign w:val="center"/>
            <w:hideMark/>
          </w:tcPr>
          <w:p w14:paraId="77D68958" w14:textId="77777777" w:rsidR="004F594E" w:rsidRPr="00AB15C7" w:rsidRDefault="004F594E" w:rsidP="005921EF">
            <w:pPr>
              <w:spacing w:after="0"/>
              <w:jc w:val="right"/>
              <w:rPr>
                <w:rFonts w:ascii="Cambria" w:hAnsi="Cambria" w:cs="Arial"/>
                <w:noProof/>
              </w:rPr>
            </w:pPr>
            <w:r w:rsidRPr="00AB15C7">
              <w:rPr>
                <w:rFonts w:ascii="Cambria" w:hAnsi="Cambria" w:cs="Arial"/>
                <w:noProof/>
              </w:rPr>
              <w:t>330 285</w:t>
            </w:r>
          </w:p>
        </w:tc>
      </w:tr>
      <w:tr w:rsidR="004F594E" w:rsidRPr="00AB15C7" w14:paraId="793528DD" w14:textId="77777777" w:rsidTr="00F70A79">
        <w:trPr>
          <w:trHeight w:val="300"/>
        </w:trPr>
        <w:tc>
          <w:tcPr>
            <w:tcW w:w="1710" w:type="dxa"/>
            <w:shd w:val="clear" w:color="auto" w:fill="D9D9D9"/>
            <w:noWrap/>
            <w:vAlign w:val="center"/>
            <w:hideMark/>
          </w:tcPr>
          <w:p w14:paraId="092DAC30" w14:textId="77777777" w:rsidR="004F594E" w:rsidRPr="00AB15C7" w:rsidRDefault="004F594E" w:rsidP="005921EF">
            <w:pPr>
              <w:spacing w:after="0"/>
              <w:rPr>
                <w:rFonts w:ascii="Cambria" w:hAnsi="Cambria" w:cs="Arial"/>
                <w:b/>
                <w:bCs/>
                <w:noProof/>
              </w:rPr>
            </w:pPr>
            <w:r w:rsidRPr="00AB15C7">
              <w:rPr>
                <w:rFonts w:ascii="Cambria" w:hAnsi="Cambria" w:cs="Arial"/>
                <w:b/>
                <w:bCs/>
                <w:noProof/>
              </w:rPr>
              <w:t>UKUPNO</w:t>
            </w:r>
          </w:p>
        </w:tc>
        <w:tc>
          <w:tcPr>
            <w:tcW w:w="2070" w:type="dxa"/>
            <w:shd w:val="clear" w:color="auto" w:fill="auto"/>
            <w:noWrap/>
            <w:vAlign w:val="center"/>
            <w:hideMark/>
          </w:tcPr>
          <w:p w14:paraId="383357EC" w14:textId="77777777" w:rsidR="004F594E" w:rsidRPr="00AB15C7" w:rsidRDefault="004F594E" w:rsidP="005921EF">
            <w:pPr>
              <w:spacing w:after="0"/>
              <w:jc w:val="right"/>
              <w:rPr>
                <w:rFonts w:ascii="Cambria" w:hAnsi="Cambria" w:cs="Arial"/>
                <w:b/>
                <w:bCs/>
                <w:noProof/>
              </w:rPr>
            </w:pPr>
            <w:r w:rsidRPr="00AB15C7">
              <w:rPr>
                <w:rFonts w:ascii="Cambria" w:hAnsi="Cambria" w:cs="Arial"/>
                <w:b/>
                <w:bCs/>
                <w:noProof/>
              </w:rPr>
              <w:t>705 917</w:t>
            </w:r>
          </w:p>
        </w:tc>
        <w:tc>
          <w:tcPr>
            <w:tcW w:w="1471" w:type="dxa"/>
            <w:shd w:val="clear" w:color="auto" w:fill="auto"/>
            <w:noWrap/>
            <w:vAlign w:val="center"/>
            <w:hideMark/>
          </w:tcPr>
          <w:p w14:paraId="24C0D233" w14:textId="77777777" w:rsidR="004F594E" w:rsidRPr="00AB15C7" w:rsidRDefault="004F594E" w:rsidP="005921EF">
            <w:pPr>
              <w:spacing w:after="0"/>
              <w:jc w:val="right"/>
              <w:rPr>
                <w:rFonts w:ascii="Cambria" w:hAnsi="Cambria" w:cs="Arial"/>
                <w:b/>
                <w:bCs/>
                <w:noProof/>
              </w:rPr>
            </w:pPr>
            <w:r w:rsidRPr="00AB15C7">
              <w:rPr>
                <w:rFonts w:ascii="Cambria" w:hAnsi="Cambria" w:cs="Arial"/>
                <w:b/>
                <w:bCs/>
                <w:noProof/>
              </w:rPr>
              <w:t>107 492</w:t>
            </w:r>
          </w:p>
        </w:tc>
        <w:tc>
          <w:tcPr>
            <w:tcW w:w="2055" w:type="dxa"/>
            <w:shd w:val="clear" w:color="auto" w:fill="auto"/>
            <w:noWrap/>
            <w:vAlign w:val="center"/>
            <w:hideMark/>
          </w:tcPr>
          <w:p w14:paraId="144CC3B9" w14:textId="77777777" w:rsidR="004F594E" w:rsidRPr="00AB15C7" w:rsidRDefault="004F594E" w:rsidP="005921EF">
            <w:pPr>
              <w:spacing w:after="0"/>
              <w:jc w:val="right"/>
              <w:rPr>
                <w:rFonts w:ascii="Cambria" w:hAnsi="Cambria" w:cs="Arial"/>
                <w:b/>
                <w:bCs/>
                <w:noProof/>
              </w:rPr>
            </w:pPr>
            <w:r w:rsidRPr="00AB15C7">
              <w:rPr>
                <w:rFonts w:ascii="Cambria" w:hAnsi="Cambria" w:cs="Arial"/>
                <w:b/>
                <w:bCs/>
                <w:noProof/>
              </w:rPr>
              <w:t>16 381</w:t>
            </w:r>
          </w:p>
        </w:tc>
        <w:tc>
          <w:tcPr>
            <w:tcW w:w="1341" w:type="dxa"/>
            <w:shd w:val="clear" w:color="auto" w:fill="auto"/>
            <w:noWrap/>
            <w:vAlign w:val="center"/>
            <w:hideMark/>
          </w:tcPr>
          <w:p w14:paraId="5FFD57D6" w14:textId="77777777" w:rsidR="004F594E" w:rsidRPr="00AB15C7" w:rsidRDefault="004F594E" w:rsidP="005921EF">
            <w:pPr>
              <w:spacing w:after="0"/>
              <w:jc w:val="right"/>
              <w:rPr>
                <w:rFonts w:ascii="Cambria" w:hAnsi="Cambria" w:cs="Arial"/>
                <w:b/>
                <w:bCs/>
                <w:noProof/>
              </w:rPr>
            </w:pPr>
            <w:r w:rsidRPr="00AB15C7">
              <w:rPr>
                <w:rFonts w:ascii="Cambria" w:hAnsi="Cambria" w:cs="Arial"/>
                <w:b/>
                <w:bCs/>
                <w:noProof/>
              </w:rPr>
              <w:t>4 513</w:t>
            </w:r>
          </w:p>
        </w:tc>
        <w:tc>
          <w:tcPr>
            <w:tcW w:w="1100" w:type="dxa"/>
            <w:shd w:val="clear" w:color="auto" w:fill="auto"/>
            <w:noWrap/>
            <w:vAlign w:val="center"/>
            <w:hideMark/>
          </w:tcPr>
          <w:p w14:paraId="151F9F76" w14:textId="77777777" w:rsidR="004F594E" w:rsidRPr="00AB15C7" w:rsidRDefault="004F594E" w:rsidP="005921EF">
            <w:pPr>
              <w:spacing w:after="0"/>
              <w:jc w:val="right"/>
              <w:rPr>
                <w:rFonts w:ascii="Cambria" w:hAnsi="Cambria" w:cs="Arial"/>
                <w:b/>
                <w:bCs/>
                <w:noProof/>
              </w:rPr>
            </w:pPr>
            <w:r w:rsidRPr="00AB15C7">
              <w:rPr>
                <w:rFonts w:ascii="Cambria" w:hAnsi="Cambria" w:cs="Arial"/>
                <w:b/>
                <w:bCs/>
                <w:noProof/>
              </w:rPr>
              <w:t>834 303</w:t>
            </w:r>
          </w:p>
        </w:tc>
      </w:tr>
    </w:tbl>
    <w:p w14:paraId="076D8C91" w14:textId="4D9AEA31" w:rsidR="004F594E" w:rsidRDefault="000C0BFE" w:rsidP="005921EF">
      <w:pPr>
        <w:spacing w:after="0"/>
        <w:jc w:val="center"/>
        <w:rPr>
          <w:rFonts w:ascii="Cambria" w:hAnsi="Cambria"/>
          <w:i/>
          <w:noProof/>
          <w:shd w:val="clear" w:color="auto" w:fill="FFFFFF"/>
          <w:lang w:val="sr-Latn-ME"/>
        </w:rPr>
      </w:pPr>
      <w:r w:rsidRPr="00AB15C7">
        <w:rPr>
          <w:rFonts w:ascii="Cambria" w:hAnsi="Cambria"/>
          <w:i/>
          <w:noProof/>
          <w:lang w:val="sr-Latn-ME"/>
        </w:rPr>
        <w:t>Izvor:</w:t>
      </w:r>
      <w:r w:rsidRPr="00AB15C7">
        <w:rPr>
          <w:rFonts w:ascii="Cambria" w:hAnsi="Cambria"/>
          <w:i/>
          <w:noProof/>
          <w:shd w:val="clear" w:color="auto" w:fill="FFFFFF"/>
          <w:lang w:val="sr-Latn-ME"/>
        </w:rPr>
        <w:t xml:space="preserve"> </w:t>
      </w:r>
      <w:r w:rsidR="00940834" w:rsidRPr="00AB15C7">
        <w:rPr>
          <w:rFonts w:ascii="Cambria" w:hAnsi="Cambria"/>
          <w:i/>
          <w:noProof/>
          <w:shd w:val="clear" w:color="auto" w:fill="FFFFFF"/>
          <w:lang w:val="sr-Latn-ME"/>
        </w:rPr>
        <w:t>MONSTAT</w:t>
      </w:r>
    </w:p>
    <w:p w14:paraId="01EFE226" w14:textId="77777777" w:rsidR="00D32C8D" w:rsidRPr="00AB15C7" w:rsidRDefault="00D32C8D" w:rsidP="005921EF">
      <w:pPr>
        <w:spacing w:after="0"/>
        <w:jc w:val="center"/>
        <w:rPr>
          <w:rFonts w:ascii="Cambria" w:hAnsi="Cambria"/>
          <w:noProof/>
        </w:rPr>
      </w:pPr>
    </w:p>
    <w:p w14:paraId="10B647E8" w14:textId="77777777" w:rsidR="004F594E" w:rsidRPr="00AB15C7" w:rsidRDefault="00B325C3" w:rsidP="005921EF">
      <w:pPr>
        <w:spacing w:after="0"/>
        <w:jc w:val="center"/>
        <w:rPr>
          <w:rFonts w:ascii="Cambria" w:hAnsi="Cambria"/>
          <w:iCs/>
          <w:noProof/>
        </w:rPr>
      </w:pPr>
      <w:r w:rsidRPr="00AB15C7">
        <w:rPr>
          <w:rFonts w:ascii="Cambria" w:hAnsi="Cambria"/>
          <w:noProof/>
        </w:rPr>
        <w:drawing>
          <wp:inline distT="0" distB="0" distL="0" distR="0" wp14:anchorId="393AEE1C" wp14:editId="24CD6B89">
            <wp:extent cx="4752975" cy="24241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4301" cy="2424799"/>
                    </a:xfrm>
                    <a:prstGeom prst="rect">
                      <a:avLst/>
                    </a:prstGeom>
                    <a:noFill/>
                    <a:ln>
                      <a:noFill/>
                    </a:ln>
                  </pic:spPr>
                </pic:pic>
              </a:graphicData>
            </a:graphic>
          </wp:inline>
        </w:drawing>
      </w:r>
    </w:p>
    <w:p w14:paraId="3BF14FB8" w14:textId="77777777" w:rsidR="000C0BFE" w:rsidRPr="00AB15C7" w:rsidRDefault="00F107C7" w:rsidP="005921EF">
      <w:pPr>
        <w:spacing w:after="0"/>
        <w:jc w:val="center"/>
        <w:rPr>
          <w:rFonts w:ascii="Cambria" w:hAnsi="Cambria"/>
          <w:iCs/>
          <w:noProof/>
        </w:rPr>
      </w:pPr>
      <w:bookmarkStart w:id="30" w:name="_Hlk524088244"/>
      <w:r w:rsidRPr="00940834">
        <w:rPr>
          <w:rFonts w:ascii="Cambria" w:hAnsi="Cambria"/>
          <w:i/>
          <w:iCs/>
          <w:noProof/>
        </w:rPr>
        <w:t xml:space="preserve">Grafik </w:t>
      </w:r>
      <w:r w:rsidR="00870D2E" w:rsidRPr="00940834">
        <w:rPr>
          <w:rFonts w:ascii="Cambria" w:hAnsi="Cambria"/>
          <w:i/>
          <w:iCs/>
          <w:noProof/>
        </w:rPr>
        <w:t>6</w:t>
      </w:r>
      <w:r w:rsidRPr="00AB15C7">
        <w:rPr>
          <w:rFonts w:ascii="Cambria" w:hAnsi="Cambria"/>
          <w:iCs/>
          <w:noProof/>
        </w:rPr>
        <w:t>.</w:t>
      </w:r>
      <w:r w:rsidRPr="00AB15C7">
        <w:rPr>
          <w:rFonts w:ascii="Cambria" w:hAnsi="Cambria"/>
          <w:noProof/>
        </w:rPr>
        <w:t xml:space="preserve"> </w:t>
      </w:r>
      <w:r w:rsidRPr="00AB15C7">
        <w:rPr>
          <w:rFonts w:ascii="Cambria" w:hAnsi="Cambria"/>
          <w:iCs/>
          <w:noProof/>
        </w:rPr>
        <w:t>Postupanje sa industrijskim otpadom, 2016. godina</w:t>
      </w:r>
    </w:p>
    <w:bookmarkEnd w:id="30"/>
    <w:p w14:paraId="338C27C7" w14:textId="77777777" w:rsidR="000C0BFE" w:rsidRPr="00AB15C7" w:rsidRDefault="000C0BFE" w:rsidP="005921EF">
      <w:pPr>
        <w:spacing w:after="0"/>
        <w:jc w:val="center"/>
        <w:rPr>
          <w:rFonts w:ascii="Cambria" w:hAnsi="Cambria"/>
          <w:i/>
          <w:noProof/>
          <w:shd w:val="clear" w:color="auto" w:fill="FFFFFF"/>
          <w:lang w:val="sr-Latn-ME"/>
        </w:rPr>
      </w:pPr>
      <w:r w:rsidRPr="00AB15C7">
        <w:rPr>
          <w:rFonts w:ascii="Cambria" w:hAnsi="Cambria"/>
          <w:i/>
          <w:noProof/>
          <w:lang w:val="sr-Latn-ME"/>
        </w:rPr>
        <w:t>Izvor:</w:t>
      </w:r>
      <w:r w:rsidRPr="00AB15C7">
        <w:rPr>
          <w:rFonts w:ascii="Cambria" w:hAnsi="Cambria"/>
          <w:i/>
          <w:noProof/>
          <w:shd w:val="clear" w:color="auto" w:fill="FFFFFF"/>
          <w:lang w:val="sr-Latn-ME"/>
        </w:rPr>
        <w:t xml:space="preserve"> </w:t>
      </w:r>
      <w:r w:rsidR="00940834" w:rsidRPr="00AB15C7">
        <w:rPr>
          <w:rFonts w:ascii="Cambria" w:hAnsi="Cambria"/>
          <w:i/>
          <w:noProof/>
          <w:shd w:val="clear" w:color="auto" w:fill="FFFFFF"/>
          <w:lang w:val="sr-Latn-ME"/>
        </w:rPr>
        <w:t>MONSTAT</w:t>
      </w:r>
    </w:p>
    <w:p w14:paraId="22DEC048" w14:textId="77777777" w:rsidR="00F107C7" w:rsidRPr="00AB15C7" w:rsidRDefault="00F107C7" w:rsidP="005921EF">
      <w:pPr>
        <w:spacing w:after="0"/>
        <w:jc w:val="center"/>
        <w:rPr>
          <w:rFonts w:ascii="Cambria" w:hAnsi="Cambria"/>
          <w:iCs/>
          <w:noProof/>
        </w:rPr>
      </w:pPr>
    </w:p>
    <w:p w14:paraId="56834C77" w14:textId="50CF6ECB" w:rsidR="00A1416A" w:rsidRDefault="007750E9" w:rsidP="005921EF">
      <w:pPr>
        <w:spacing w:after="0"/>
        <w:jc w:val="both"/>
        <w:rPr>
          <w:rFonts w:ascii="Cambria" w:hAnsi="Cambria"/>
          <w:iCs/>
          <w:noProof/>
        </w:rPr>
      </w:pPr>
      <w:r>
        <w:rPr>
          <w:noProof/>
        </w:rPr>
        <w:drawing>
          <wp:anchor distT="0" distB="0" distL="114300" distR="114300" simplePos="0" relativeHeight="251657728" behindDoc="1" locked="0" layoutInCell="1" allowOverlap="1" wp14:anchorId="77A3258E" wp14:editId="6D109308">
            <wp:simplePos x="0" y="0"/>
            <wp:positionH relativeFrom="column">
              <wp:posOffset>499110</wp:posOffset>
            </wp:positionH>
            <wp:positionV relativeFrom="paragraph">
              <wp:posOffset>691515</wp:posOffset>
            </wp:positionV>
            <wp:extent cx="5353685" cy="2623804"/>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8936" cy="2626378"/>
                    </a:xfrm>
                    <a:prstGeom prst="rect">
                      <a:avLst/>
                    </a:prstGeom>
                    <a:noFill/>
                    <a:ln>
                      <a:noFill/>
                    </a:ln>
                  </pic:spPr>
                </pic:pic>
              </a:graphicData>
            </a:graphic>
            <wp14:sizeRelH relativeFrom="page">
              <wp14:pctWidth>0</wp14:pctWidth>
            </wp14:sizeRelH>
            <wp14:sizeRelV relativeFrom="page">
              <wp14:pctHeight>0</wp14:pctHeight>
            </wp14:sizeRelV>
          </wp:anchor>
        </w:drawing>
      </w:r>
      <w:r w:rsidR="00A1416A" w:rsidRPr="00AB15C7">
        <w:rPr>
          <w:rFonts w:ascii="Cambria" w:hAnsi="Cambria"/>
          <w:iCs/>
          <w:noProof/>
        </w:rPr>
        <w:t>Kod sopstvene prerade najzastupljenija operacija je zatrpavanje sa 82,3%, spaljivanje sa 8,3%, zatim reciklaža sa 7,4%, dok ostali postupci čine 2%. Postupcima zbrinjavanja preduzeća iz oblasti industrije u 2016. godini zbrinula su 682 694 tone otpada, pri čemu je najzastupljenija operacija D1 – odstranjivanje na zemljištu ili u zemljištu sa 47,4%</w:t>
      </w:r>
      <w:r w:rsidR="00675D3D" w:rsidRPr="00AB15C7">
        <w:rPr>
          <w:rFonts w:ascii="Cambria" w:hAnsi="Cambria"/>
          <w:iCs/>
          <w:noProof/>
        </w:rPr>
        <w:t xml:space="preserve"> (Grafik </w:t>
      </w:r>
      <w:r w:rsidR="00870D2E" w:rsidRPr="00AB15C7">
        <w:rPr>
          <w:rFonts w:ascii="Cambria" w:hAnsi="Cambria"/>
          <w:iCs/>
          <w:noProof/>
        </w:rPr>
        <w:t>7</w:t>
      </w:r>
      <w:r w:rsidR="00675D3D" w:rsidRPr="00AB15C7">
        <w:rPr>
          <w:rFonts w:ascii="Cambria" w:hAnsi="Cambria"/>
          <w:iCs/>
          <w:noProof/>
        </w:rPr>
        <w:t>.)</w:t>
      </w:r>
      <w:r w:rsidR="00A1416A" w:rsidRPr="00AB15C7">
        <w:rPr>
          <w:rFonts w:ascii="Cambria" w:hAnsi="Cambria"/>
          <w:iCs/>
          <w:noProof/>
        </w:rPr>
        <w:t xml:space="preserve">. </w:t>
      </w:r>
    </w:p>
    <w:p w14:paraId="5B52BB75" w14:textId="49294BE7" w:rsidR="0005493B" w:rsidRDefault="0005493B" w:rsidP="005921EF">
      <w:pPr>
        <w:spacing w:after="0"/>
        <w:jc w:val="both"/>
        <w:rPr>
          <w:rFonts w:ascii="Cambria" w:hAnsi="Cambria"/>
          <w:iCs/>
          <w:noProof/>
        </w:rPr>
      </w:pPr>
    </w:p>
    <w:p w14:paraId="0FEE571E" w14:textId="77777777" w:rsidR="0005493B" w:rsidRDefault="0005493B" w:rsidP="005921EF">
      <w:pPr>
        <w:spacing w:after="0"/>
        <w:jc w:val="both"/>
        <w:rPr>
          <w:rFonts w:ascii="Cambria" w:hAnsi="Cambria"/>
          <w:iCs/>
          <w:noProof/>
        </w:rPr>
      </w:pPr>
    </w:p>
    <w:p w14:paraId="4590C4AF" w14:textId="3EA81236" w:rsidR="0005493B" w:rsidRDefault="0005493B" w:rsidP="005921EF">
      <w:pPr>
        <w:spacing w:after="0"/>
        <w:jc w:val="both"/>
        <w:rPr>
          <w:rFonts w:ascii="Cambria" w:hAnsi="Cambria"/>
          <w:iCs/>
          <w:noProof/>
        </w:rPr>
      </w:pPr>
    </w:p>
    <w:p w14:paraId="5DD63C8C" w14:textId="77777777" w:rsidR="0005493B" w:rsidRDefault="0005493B" w:rsidP="005921EF">
      <w:pPr>
        <w:spacing w:after="0"/>
        <w:jc w:val="both"/>
        <w:rPr>
          <w:rFonts w:ascii="Cambria" w:hAnsi="Cambria"/>
          <w:iCs/>
          <w:noProof/>
        </w:rPr>
      </w:pPr>
    </w:p>
    <w:p w14:paraId="7EDDB1EE" w14:textId="77777777" w:rsidR="0005493B" w:rsidRDefault="0005493B" w:rsidP="005921EF">
      <w:pPr>
        <w:spacing w:after="0"/>
        <w:jc w:val="both"/>
        <w:rPr>
          <w:rFonts w:ascii="Cambria" w:hAnsi="Cambria"/>
          <w:iCs/>
          <w:noProof/>
        </w:rPr>
      </w:pPr>
    </w:p>
    <w:p w14:paraId="19FFE6F5" w14:textId="77777777" w:rsidR="0005493B" w:rsidRDefault="0005493B" w:rsidP="005921EF">
      <w:pPr>
        <w:spacing w:after="0"/>
        <w:jc w:val="both"/>
        <w:rPr>
          <w:rFonts w:ascii="Cambria" w:hAnsi="Cambria"/>
          <w:iCs/>
          <w:noProof/>
        </w:rPr>
      </w:pPr>
    </w:p>
    <w:p w14:paraId="094C0346" w14:textId="77777777" w:rsidR="0005493B" w:rsidRPr="00AB15C7" w:rsidRDefault="0005493B" w:rsidP="005921EF">
      <w:pPr>
        <w:spacing w:after="0"/>
        <w:jc w:val="both"/>
        <w:rPr>
          <w:rFonts w:ascii="Cambria" w:hAnsi="Cambria"/>
          <w:iCs/>
          <w:noProof/>
        </w:rPr>
      </w:pPr>
    </w:p>
    <w:p w14:paraId="442645BC" w14:textId="77777777" w:rsidR="004F594E" w:rsidRPr="00AB15C7" w:rsidRDefault="004F594E" w:rsidP="005921EF">
      <w:pPr>
        <w:spacing w:after="0"/>
        <w:jc w:val="center"/>
        <w:rPr>
          <w:rFonts w:ascii="Cambria" w:hAnsi="Cambria"/>
          <w:noProof/>
        </w:rPr>
      </w:pPr>
    </w:p>
    <w:p w14:paraId="0B4E04B5" w14:textId="77777777" w:rsidR="0005493B" w:rsidRDefault="0005493B" w:rsidP="005921EF">
      <w:pPr>
        <w:spacing w:after="0"/>
        <w:jc w:val="center"/>
        <w:rPr>
          <w:rFonts w:ascii="Cambria" w:hAnsi="Cambria"/>
          <w:b/>
          <w:bCs/>
          <w:noProof/>
        </w:rPr>
      </w:pPr>
    </w:p>
    <w:p w14:paraId="4B174B33" w14:textId="77777777" w:rsidR="009C0247" w:rsidRDefault="009C0247" w:rsidP="005921EF">
      <w:pPr>
        <w:spacing w:after="0"/>
        <w:jc w:val="center"/>
        <w:rPr>
          <w:rFonts w:ascii="Cambria" w:hAnsi="Cambria"/>
          <w:bCs/>
          <w:i/>
          <w:noProof/>
        </w:rPr>
      </w:pPr>
    </w:p>
    <w:p w14:paraId="25B55280" w14:textId="77777777" w:rsidR="00675D3D" w:rsidRPr="004949F5" w:rsidRDefault="00675D3D" w:rsidP="007750E9">
      <w:pPr>
        <w:spacing w:before="240" w:after="0"/>
        <w:jc w:val="center"/>
        <w:rPr>
          <w:rFonts w:ascii="Cambria" w:hAnsi="Cambria"/>
          <w:noProof/>
          <w:lang w:val="sr-Latn-ME"/>
        </w:rPr>
      </w:pPr>
      <w:r w:rsidRPr="00940834">
        <w:rPr>
          <w:rFonts w:ascii="Cambria" w:hAnsi="Cambria"/>
          <w:bCs/>
          <w:i/>
          <w:noProof/>
        </w:rPr>
        <w:t xml:space="preserve">Grafik </w:t>
      </w:r>
      <w:r w:rsidR="00870D2E" w:rsidRPr="00940834">
        <w:rPr>
          <w:rFonts w:ascii="Cambria" w:hAnsi="Cambria"/>
          <w:bCs/>
          <w:i/>
          <w:noProof/>
        </w:rPr>
        <w:t>7</w:t>
      </w:r>
      <w:r w:rsidRPr="00940834">
        <w:rPr>
          <w:rFonts w:ascii="Cambria" w:hAnsi="Cambria"/>
          <w:bCs/>
          <w:i/>
          <w:noProof/>
        </w:rPr>
        <w:t>.</w:t>
      </w:r>
      <w:r w:rsidRPr="004949F5">
        <w:rPr>
          <w:rFonts w:ascii="Cambria" w:hAnsi="Cambria"/>
          <w:bCs/>
          <w:noProof/>
        </w:rPr>
        <w:t xml:space="preserve"> Postupci obrade industrijskog otpada, 2016. godina</w:t>
      </w:r>
    </w:p>
    <w:p w14:paraId="382AC96C" w14:textId="77777777" w:rsidR="000C0BFE" w:rsidRPr="00AB15C7" w:rsidRDefault="000C0BFE" w:rsidP="005921EF">
      <w:pPr>
        <w:spacing w:after="0"/>
        <w:jc w:val="center"/>
        <w:rPr>
          <w:rFonts w:ascii="Cambria" w:hAnsi="Cambria"/>
          <w:i/>
          <w:noProof/>
          <w:shd w:val="clear" w:color="auto" w:fill="FFFFFF"/>
          <w:lang w:val="sr-Latn-ME"/>
        </w:rPr>
      </w:pPr>
      <w:r w:rsidRPr="00AB15C7">
        <w:rPr>
          <w:rFonts w:ascii="Cambria" w:hAnsi="Cambria"/>
          <w:i/>
          <w:noProof/>
          <w:lang w:val="sr-Latn-ME"/>
        </w:rPr>
        <w:t>Izvor:</w:t>
      </w:r>
      <w:r w:rsidRPr="00AB15C7">
        <w:rPr>
          <w:rFonts w:ascii="Cambria" w:hAnsi="Cambria"/>
          <w:i/>
          <w:noProof/>
          <w:shd w:val="clear" w:color="auto" w:fill="FFFFFF"/>
          <w:lang w:val="sr-Latn-ME"/>
        </w:rPr>
        <w:t xml:space="preserve"> </w:t>
      </w:r>
      <w:r w:rsidR="00940834" w:rsidRPr="00AB15C7">
        <w:rPr>
          <w:rFonts w:ascii="Cambria" w:hAnsi="Cambria"/>
          <w:i/>
          <w:noProof/>
          <w:shd w:val="clear" w:color="auto" w:fill="FFFFFF"/>
          <w:lang w:val="sr-Latn-ME"/>
        </w:rPr>
        <w:t>MONSTAT</w:t>
      </w:r>
    </w:p>
    <w:p w14:paraId="5C7E14AA" w14:textId="77777777" w:rsidR="009E194E" w:rsidRPr="00AB15C7" w:rsidRDefault="009E194E" w:rsidP="005921EF">
      <w:pPr>
        <w:spacing w:after="0"/>
        <w:jc w:val="center"/>
        <w:rPr>
          <w:rFonts w:ascii="Cambria" w:hAnsi="Cambria"/>
          <w:noProof/>
        </w:rPr>
      </w:pPr>
    </w:p>
    <w:p w14:paraId="65DF35E5" w14:textId="47647927" w:rsidR="008A14DB" w:rsidRDefault="00A1416A" w:rsidP="005921EF">
      <w:pPr>
        <w:autoSpaceDE w:val="0"/>
        <w:autoSpaceDN w:val="0"/>
        <w:adjustRightInd w:val="0"/>
        <w:spacing w:after="0"/>
        <w:jc w:val="both"/>
        <w:rPr>
          <w:rFonts w:ascii="Cambria" w:hAnsi="Cambria"/>
          <w:noProof/>
        </w:rPr>
      </w:pPr>
      <w:r w:rsidRPr="00AB15C7">
        <w:rPr>
          <w:rFonts w:ascii="Cambria" w:hAnsi="Cambria"/>
          <w:iCs/>
          <w:noProof/>
        </w:rPr>
        <w:t xml:space="preserve">Industrijska preduzeća u Crnoj Gori u 2016. godini direktno su izvezla 4 513 tona </w:t>
      </w:r>
      <w:r w:rsidR="004131E2" w:rsidRPr="00AB15C7">
        <w:rPr>
          <w:rFonts w:ascii="Cambria" w:hAnsi="Cambria"/>
          <w:iCs/>
          <w:noProof/>
        </w:rPr>
        <w:t xml:space="preserve">neopasnog </w:t>
      </w:r>
      <w:r w:rsidRPr="00AB15C7">
        <w:rPr>
          <w:rFonts w:ascii="Cambria" w:hAnsi="Cambria"/>
          <w:iCs/>
          <w:noProof/>
        </w:rPr>
        <w:t>otpada, od čega 48,5% čini otpad iz prerade drveta, 24,6% uglavnom metalni otpad, 20,3% papirna i kartonska ambalaža i 6,6% anode</w:t>
      </w:r>
      <w:r w:rsidR="00675D3D" w:rsidRPr="00AB15C7">
        <w:rPr>
          <w:rFonts w:ascii="Cambria" w:hAnsi="Cambria"/>
          <w:iCs/>
          <w:noProof/>
        </w:rPr>
        <w:t xml:space="preserve"> (</w:t>
      </w:r>
      <w:r w:rsidR="009C0247">
        <w:rPr>
          <w:rFonts w:ascii="Cambria" w:hAnsi="Cambria"/>
          <w:iCs/>
          <w:noProof/>
        </w:rPr>
        <w:t>G</w:t>
      </w:r>
      <w:r w:rsidR="00675D3D" w:rsidRPr="00AB15C7">
        <w:rPr>
          <w:rFonts w:ascii="Cambria" w:hAnsi="Cambria"/>
          <w:iCs/>
          <w:noProof/>
        </w:rPr>
        <w:t xml:space="preserve">rafik </w:t>
      </w:r>
      <w:r w:rsidR="00870D2E" w:rsidRPr="00AB15C7">
        <w:rPr>
          <w:rFonts w:ascii="Cambria" w:hAnsi="Cambria"/>
          <w:iCs/>
          <w:noProof/>
        </w:rPr>
        <w:t>8</w:t>
      </w:r>
      <w:r w:rsidR="00675D3D" w:rsidRPr="00AB15C7">
        <w:rPr>
          <w:rFonts w:ascii="Cambria" w:hAnsi="Cambria"/>
          <w:iCs/>
          <w:noProof/>
        </w:rPr>
        <w:t>.)</w:t>
      </w:r>
      <w:r w:rsidRPr="00AB15C7">
        <w:rPr>
          <w:rFonts w:ascii="Cambria" w:hAnsi="Cambria"/>
          <w:noProof/>
        </w:rPr>
        <w:t xml:space="preserve">. </w:t>
      </w:r>
    </w:p>
    <w:p w14:paraId="62BA85F1" w14:textId="77777777" w:rsidR="008A14DB" w:rsidRDefault="009C0247" w:rsidP="009C0247">
      <w:pPr>
        <w:autoSpaceDE w:val="0"/>
        <w:autoSpaceDN w:val="0"/>
        <w:adjustRightInd w:val="0"/>
        <w:spacing w:after="0"/>
        <w:jc w:val="center"/>
        <w:rPr>
          <w:rFonts w:ascii="Cambria" w:hAnsi="Cambria"/>
          <w:noProof/>
        </w:rPr>
      </w:pPr>
      <w:r>
        <w:rPr>
          <w:noProof/>
        </w:rPr>
        <w:drawing>
          <wp:inline distT="0" distB="0" distL="0" distR="0" wp14:anchorId="0ACE20E8" wp14:editId="20D12552">
            <wp:extent cx="4480560" cy="23774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7">
                      <a:extLst>
                        <a:ext uri="{28A0092B-C50C-407E-A947-70E740481C1C}">
                          <a14:useLocalDpi xmlns:a14="http://schemas.microsoft.com/office/drawing/2010/main" val="0"/>
                        </a:ext>
                      </a:extLst>
                    </a:blip>
                    <a:srcRect l="1000" t="11289" r="1000" b="4835"/>
                    <a:stretch/>
                  </pic:blipFill>
                  <pic:spPr bwMode="auto">
                    <a:xfrm>
                      <a:off x="0" y="0"/>
                      <a:ext cx="4480560"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28B15F18" w14:textId="77777777" w:rsidR="000C0BFE" w:rsidRPr="00AB15C7" w:rsidRDefault="00675D3D" w:rsidP="005921EF">
      <w:pPr>
        <w:autoSpaceDE w:val="0"/>
        <w:autoSpaceDN w:val="0"/>
        <w:adjustRightInd w:val="0"/>
        <w:spacing w:after="0"/>
        <w:jc w:val="center"/>
        <w:rPr>
          <w:rFonts w:ascii="Cambria" w:hAnsi="Cambria"/>
          <w:noProof/>
        </w:rPr>
      </w:pPr>
      <w:r w:rsidRPr="00940834">
        <w:rPr>
          <w:rFonts w:ascii="Cambria" w:hAnsi="Cambria"/>
          <w:i/>
          <w:noProof/>
        </w:rPr>
        <w:t xml:space="preserve">Grafik </w:t>
      </w:r>
      <w:r w:rsidR="00870D2E" w:rsidRPr="00940834">
        <w:rPr>
          <w:rFonts w:ascii="Cambria" w:hAnsi="Cambria"/>
          <w:i/>
          <w:noProof/>
        </w:rPr>
        <w:t>8</w:t>
      </w:r>
      <w:r w:rsidRPr="00AB15C7">
        <w:rPr>
          <w:rFonts w:ascii="Cambria" w:hAnsi="Cambria"/>
          <w:noProof/>
        </w:rPr>
        <w:t>. Izvoz industrijskog otpada, 2016. godina</w:t>
      </w:r>
    </w:p>
    <w:p w14:paraId="3799EED1" w14:textId="77777777" w:rsidR="000C0BFE" w:rsidRDefault="00223E2E" w:rsidP="005921EF">
      <w:pPr>
        <w:autoSpaceDE w:val="0"/>
        <w:autoSpaceDN w:val="0"/>
        <w:adjustRightInd w:val="0"/>
        <w:spacing w:after="0"/>
        <w:jc w:val="center"/>
        <w:rPr>
          <w:rFonts w:ascii="Cambria" w:hAnsi="Cambria"/>
          <w:i/>
          <w:noProof/>
          <w:shd w:val="clear" w:color="auto" w:fill="FFFFFF"/>
          <w:lang w:val="sr-Latn-ME"/>
        </w:rPr>
      </w:pPr>
      <w:r w:rsidRPr="00AB15C7">
        <w:rPr>
          <w:rFonts w:ascii="Cambria" w:hAnsi="Cambria"/>
          <w:i/>
          <w:noProof/>
          <w:lang w:val="sr-Latn-ME"/>
        </w:rPr>
        <w:t>Izvor:</w:t>
      </w:r>
      <w:r w:rsidR="00CD79E8" w:rsidRPr="00AB15C7">
        <w:rPr>
          <w:rFonts w:ascii="Cambria" w:hAnsi="Cambria"/>
          <w:i/>
          <w:noProof/>
          <w:shd w:val="clear" w:color="auto" w:fill="FFFFFF"/>
          <w:lang w:val="sr-Latn-ME"/>
        </w:rPr>
        <w:t xml:space="preserve"> </w:t>
      </w:r>
      <w:r w:rsidR="00940834" w:rsidRPr="00AB15C7">
        <w:rPr>
          <w:rFonts w:ascii="Cambria" w:hAnsi="Cambria"/>
          <w:i/>
          <w:noProof/>
          <w:shd w:val="clear" w:color="auto" w:fill="FFFFFF"/>
          <w:lang w:val="sr-Latn-ME"/>
        </w:rPr>
        <w:t>MONSTAT</w:t>
      </w:r>
    </w:p>
    <w:p w14:paraId="276B8C43" w14:textId="77777777" w:rsidR="00B60506" w:rsidRPr="00AB15C7" w:rsidRDefault="00B60506" w:rsidP="005921EF">
      <w:pPr>
        <w:autoSpaceDE w:val="0"/>
        <w:autoSpaceDN w:val="0"/>
        <w:adjustRightInd w:val="0"/>
        <w:spacing w:after="0"/>
        <w:jc w:val="center"/>
        <w:rPr>
          <w:rFonts w:ascii="Cambria" w:hAnsi="Cambria"/>
          <w:i/>
          <w:noProof/>
          <w:shd w:val="clear" w:color="auto" w:fill="FFFFFF"/>
          <w:lang w:val="sr-Latn-ME"/>
        </w:rPr>
      </w:pPr>
    </w:p>
    <w:p w14:paraId="63F0B2FD" w14:textId="77777777" w:rsidR="00A1416A" w:rsidRPr="00AB15C7" w:rsidRDefault="008637EC" w:rsidP="007750E9">
      <w:pPr>
        <w:spacing w:after="120"/>
        <w:jc w:val="both"/>
        <w:rPr>
          <w:rFonts w:ascii="Cambria" w:hAnsi="Cambria"/>
          <w:i/>
          <w:noProof/>
          <w:shd w:val="clear" w:color="auto" w:fill="FFFFFF"/>
          <w:lang w:val="sr-Latn-ME"/>
        </w:rPr>
      </w:pPr>
      <w:r w:rsidRPr="00AB15C7">
        <w:rPr>
          <w:rFonts w:ascii="Cambria" w:hAnsi="Cambria"/>
          <w:iCs/>
          <w:noProof/>
        </w:rPr>
        <w:t>U Crnoj Gori, ne postoji infrastruktura za odlaganje opasnog otpada, koja je tehnički i tehnološki riješena u skladu sa evropskim standardima. Iz tog razloga, u skladu sa Zakonom o upravljanju otpadom („Sl. list CG“, br. 64/11</w:t>
      </w:r>
      <w:r w:rsidR="000A0D9B" w:rsidRPr="00AB15C7">
        <w:rPr>
          <w:rFonts w:ascii="Cambria" w:hAnsi="Cambria"/>
          <w:iCs/>
          <w:noProof/>
        </w:rPr>
        <w:t xml:space="preserve"> i</w:t>
      </w:r>
      <w:r w:rsidRPr="00AB15C7">
        <w:rPr>
          <w:rFonts w:ascii="Cambria" w:hAnsi="Cambria"/>
          <w:iCs/>
          <w:noProof/>
        </w:rPr>
        <w:t xml:space="preserve"> 39/16) i zahtjevima Bazelske konvencije o kontroli prekograničnog kretanja opasnog otpada i njegovog odlaganja, a na osnovu dozvola koje izdaje Agencija za zaštitu prirode i životne sredine</w:t>
      </w:r>
      <w:r w:rsidR="00675D3D" w:rsidRPr="00AB15C7">
        <w:rPr>
          <w:rFonts w:ascii="Cambria" w:hAnsi="Cambria"/>
          <w:iCs/>
          <w:noProof/>
        </w:rPr>
        <w:t xml:space="preserve"> (EPA)</w:t>
      </w:r>
      <w:r w:rsidRPr="00AB15C7">
        <w:rPr>
          <w:rFonts w:ascii="Cambria" w:hAnsi="Cambria"/>
          <w:iCs/>
          <w:noProof/>
        </w:rPr>
        <w:t>, opasni otpad se izvozi iz Crne Gore. U 2016. godini, Agencija je izdala 9 dozvola za izvoz opasnog otpada. Iste se odnose na izvoz 6</w:t>
      </w:r>
      <w:r w:rsidR="00675D3D" w:rsidRPr="00AB15C7">
        <w:rPr>
          <w:rFonts w:ascii="Cambria" w:hAnsi="Cambria"/>
          <w:iCs/>
          <w:noProof/>
        </w:rPr>
        <w:t>.</w:t>
      </w:r>
      <w:r w:rsidRPr="00AB15C7">
        <w:rPr>
          <w:rFonts w:ascii="Cambria" w:hAnsi="Cambria"/>
          <w:iCs/>
          <w:noProof/>
        </w:rPr>
        <w:t xml:space="preserve">300 tona opasnog otpada navedenog po vrstama u tabeli </w:t>
      </w:r>
      <w:r w:rsidR="00675D3D" w:rsidRPr="00AB15C7">
        <w:rPr>
          <w:rFonts w:ascii="Cambria" w:hAnsi="Cambria"/>
          <w:iCs/>
          <w:noProof/>
        </w:rPr>
        <w:t>1</w:t>
      </w:r>
      <w:r w:rsidR="0065073A" w:rsidRPr="00AB15C7">
        <w:rPr>
          <w:rFonts w:ascii="Cambria" w:hAnsi="Cambria"/>
          <w:iCs/>
          <w:noProof/>
        </w:rPr>
        <w:t>6</w:t>
      </w:r>
      <w:r w:rsidRPr="00AB15C7">
        <w:rPr>
          <w:rFonts w:ascii="Cambria" w:hAnsi="Cambria"/>
          <w:iCs/>
          <w:noProof/>
        </w:rPr>
        <w:t>.</w:t>
      </w:r>
      <w:r w:rsidR="008A60BE" w:rsidRPr="00AB15C7">
        <w:rPr>
          <w:rStyle w:val="FootnoteReference"/>
          <w:rFonts w:ascii="Cambria" w:hAnsi="Cambria"/>
          <w:iCs/>
          <w:noProof/>
        </w:rPr>
        <w:footnoteReference w:id="15"/>
      </w:r>
    </w:p>
    <w:p w14:paraId="240F8D25" w14:textId="77777777" w:rsidR="008637EC" w:rsidRPr="004949F5" w:rsidRDefault="008637EC" w:rsidP="00940834">
      <w:pPr>
        <w:spacing w:after="120"/>
        <w:jc w:val="center"/>
        <w:rPr>
          <w:rFonts w:ascii="Cambria" w:hAnsi="Cambria"/>
          <w:i/>
          <w:noProof/>
          <w:shd w:val="clear" w:color="auto" w:fill="FFFFFF"/>
          <w:lang w:val="sr-Latn-ME"/>
        </w:rPr>
      </w:pPr>
      <w:r w:rsidRPr="00940834">
        <w:rPr>
          <w:rFonts w:ascii="Cambria" w:hAnsi="Cambria"/>
          <w:i/>
          <w:noProof/>
        </w:rPr>
        <w:t xml:space="preserve">Tabela </w:t>
      </w:r>
      <w:r w:rsidR="00675D3D" w:rsidRPr="00940834">
        <w:rPr>
          <w:rFonts w:ascii="Cambria" w:hAnsi="Cambria"/>
          <w:i/>
          <w:noProof/>
        </w:rPr>
        <w:t>1</w:t>
      </w:r>
      <w:r w:rsidR="0065073A" w:rsidRPr="00940834">
        <w:rPr>
          <w:rFonts w:ascii="Cambria" w:hAnsi="Cambria"/>
          <w:i/>
          <w:noProof/>
        </w:rPr>
        <w:t>6</w:t>
      </w:r>
      <w:r w:rsidRPr="004949F5">
        <w:rPr>
          <w:rFonts w:ascii="Cambria" w:hAnsi="Cambria"/>
          <w:noProof/>
        </w:rPr>
        <w:t xml:space="preserve">. Vrste i količina opasnog otpada </w:t>
      </w:r>
      <w:r w:rsidR="00675D3D" w:rsidRPr="004949F5">
        <w:rPr>
          <w:rFonts w:ascii="Cambria" w:hAnsi="Cambria"/>
          <w:noProof/>
        </w:rPr>
        <w:t>na osnovu izdatih</w:t>
      </w:r>
      <w:r w:rsidRPr="004949F5">
        <w:rPr>
          <w:rFonts w:ascii="Cambria" w:hAnsi="Cambria"/>
          <w:noProof/>
        </w:rPr>
        <w:t xml:space="preserve"> dozvol</w:t>
      </w:r>
      <w:r w:rsidR="00675D3D" w:rsidRPr="004949F5">
        <w:rPr>
          <w:rFonts w:ascii="Cambria" w:hAnsi="Cambria"/>
          <w:noProof/>
        </w:rPr>
        <w:t>a</w:t>
      </w:r>
      <w:r w:rsidRPr="004949F5">
        <w:rPr>
          <w:rFonts w:ascii="Cambria" w:hAnsi="Cambria"/>
          <w:noProof/>
        </w:rPr>
        <w:t xml:space="preserve"> </w:t>
      </w:r>
      <w:r w:rsidR="00675D3D" w:rsidRPr="004949F5">
        <w:rPr>
          <w:rFonts w:ascii="Cambria" w:hAnsi="Cambria"/>
          <w:noProof/>
        </w:rPr>
        <w:t xml:space="preserve">za izvoz </w:t>
      </w:r>
      <w:r w:rsidRPr="004949F5">
        <w:rPr>
          <w:rFonts w:ascii="Cambria" w:hAnsi="Cambria"/>
          <w:noProof/>
        </w:rPr>
        <w:t>u 2016. godini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1"/>
        <w:gridCol w:w="1628"/>
      </w:tblGrid>
      <w:tr w:rsidR="008A60BE" w:rsidRPr="00AB15C7" w14:paraId="735FA54E" w14:textId="77777777" w:rsidTr="009A2099">
        <w:tc>
          <w:tcPr>
            <w:tcW w:w="8001" w:type="dxa"/>
            <w:shd w:val="clear" w:color="auto" w:fill="D9D9D9"/>
          </w:tcPr>
          <w:p w14:paraId="03A69A3D" w14:textId="77777777" w:rsidR="008A60BE" w:rsidRPr="00AB15C7" w:rsidRDefault="008A60BE" w:rsidP="005921EF">
            <w:pPr>
              <w:spacing w:after="0"/>
              <w:jc w:val="center"/>
              <w:rPr>
                <w:rFonts w:ascii="Cambria" w:hAnsi="Cambria"/>
                <w:b/>
                <w:noProof/>
              </w:rPr>
            </w:pPr>
            <w:r w:rsidRPr="00AB15C7">
              <w:rPr>
                <w:rFonts w:ascii="Cambria" w:hAnsi="Cambria"/>
                <w:b/>
                <w:noProof/>
              </w:rPr>
              <w:t>Vrsta otpada</w:t>
            </w:r>
          </w:p>
        </w:tc>
        <w:tc>
          <w:tcPr>
            <w:tcW w:w="1628" w:type="dxa"/>
            <w:shd w:val="clear" w:color="auto" w:fill="D9D9D9"/>
          </w:tcPr>
          <w:p w14:paraId="2977C8D0" w14:textId="77777777" w:rsidR="008A60BE" w:rsidRPr="00AB15C7" w:rsidRDefault="008A60BE" w:rsidP="005921EF">
            <w:pPr>
              <w:spacing w:after="0"/>
              <w:jc w:val="center"/>
              <w:rPr>
                <w:rFonts w:ascii="Cambria" w:hAnsi="Cambria"/>
                <w:b/>
                <w:noProof/>
              </w:rPr>
            </w:pPr>
            <w:r w:rsidRPr="00AB15C7">
              <w:rPr>
                <w:rFonts w:ascii="Cambria" w:hAnsi="Cambria"/>
                <w:b/>
                <w:noProof/>
              </w:rPr>
              <w:t xml:space="preserve">Količina (t) </w:t>
            </w:r>
          </w:p>
        </w:tc>
      </w:tr>
      <w:tr w:rsidR="008A60BE" w:rsidRPr="00AB15C7" w14:paraId="323D0075" w14:textId="77777777" w:rsidTr="009A2099">
        <w:tc>
          <w:tcPr>
            <w:tcW w:w="8001" w:type="dxa"/>
            <w:shd w:val="clear" w:color="auto" w:fill="D9D9D9"/>
          </w:tcPr>
          <w:p w14:paraId="3755A80F" w14:textId="77777777" w:rsidR="008A60BE" w:rsidRPr="00AB15C7" w:rsidRDefault="008A60BE" w:rsidP="005921EF">
            <w:pPr>
              <w:spacing w:after="0"/>
              <w:rPr>
                <w:rFonts w:ascii="Cambria" w:hAnsi="Cambria"/>
                <w:noProof/>
              </w:rPr>
            </w:pPr>
            <w:r w:rsidRPr="00AB15C7">
              <w:rPr>
                <w:rFonts w:ascii="Cambria" w:hAnsi="Cambria"/>
                <w:noProof/>
              </w:rPr>
              <w:t>Otpadne olovne baterije</w:t>
            </w:r>
          </w:p>
        </w:tc>
        <w:tc>
          <w:tcPr>
            <w:tcW w:w="1628" w:type="dxa"/>
            <w:shd w:val="clear" w:color="auto" w:fill="auto"/>
          </w:tcPr>
          <w:p w14:paraId="6C1D11B3" w14:textId="77777777" w:rsidR="008A60BE" w:rsidRPr="00AB15C7" w:rsidRDefault="008A60BE" w:rsidP="005921EF">
            <w:pPr>
              <w:spacing w:after="0"/>
              <w:jc w:val="center"/>
              <w:rPr>
                <w:rFonts w:ascii="Cambria" w:hAnsi="Cambria"/>
                <w:noProof/>
              </w:rPr>
            </w:pPr>
            <w:r w:rsidRPr="00AB15C7">
              <w:rPr>
                <w:rFonts w:ascii="Cambria" w:hAnsi="Cambria"/>
                <w:noProof/>
              </w:rPr>
              <w:t xml:space="preserve">5 000 </w:t>
            </w:r>
          </w:p>
        </w:tc>
      </w:tr>
      <w:tr w:rsidR="008A60BE" w:rsidRPr="00AB15C7" w14:paraId="549F1924" w14:textId="77777777" w:rsidTr="009A2099">
        <w:tc>
          <w:tcPr>
            <w:tcW w:w="8001" w:type="dxa"/>
            <w:shd w:val="clear" w:color="auto" w:fill="D9D9D9"/>
          </w:tcPr>
          <w:p w14:paraId="694748DD" w14:textId="77777777" w:rsidR="008A60BE" w:rsidRPr="00AB15C7" w:rsidRDefault="008A60BE" w:rsidP="005921EF">
            <w:pPr>
              <w:spacing w:after="0"/>
              <w:rPr>
                <w:rFonts w:ascii="Cambria" w:hAnsi="Cambria"/>
                <w:noProof/>
              </w:rPr>
            </w:pPr>
            <w:r w:rsidRPr="00AB15C7">
              <w:rPr>
                <w:rFonts w:ascii="Cambria" w:hAnsi="Cambria"/>
                <w:noProof/>
              </w:rPr>
              <w:t>Otpad koji sadrži cijanide</w:t>
            </w:r>
          </w:p>
        </w:tc>
        <w:tc>
          <w:tcPr>
            <w:tcW w:w="1628" w:type="dxa"/>
            <w:shd w:val="clear" w:color="auto" w:fill="auto"/>
          </w:tcPr>
          <w:p w14:paraId="6EC3479C" w14:textId="77777777" w:rsidR="008A60BE" w:rsidRPr="00AB15C7" w:rsidRDefault="008A60BE" w:rsidP="005921EF">
            <w:pPr>
              <w:spacing w:after="0"/>
              <w:jc w:val="center"/>
              <w:rPr>
                <w:rFonts w:ascii="Cambria" w:hAnsi="Cambria"/>
                <w:noProof/>
              </w:rPr>
            </w:pPr>
            <w:r w:rsidRPr="00AB15C7">
              <w:rPr>
                <w:rFonts w:ascii="Cambria" w:hAnsi="Cambria"/>
                <w:noProof/>
              </w:rPr>
              <w:t>50</w:t>
            </w:r>
          </w:p>
        </w:tc>
      </w:tr>
      <w:tr w:rsidR="008A60BE" w:rsidRPr="00AB15C7" w14:paraId="36F02E2D" w14:textId="77777777" w:rsidTr="009A2099">
        <w:tc>
          <w:tcPr>
            <w:tcW w:w="8001" w:type="dxa"/>
            <w:shd w:val="clear" w:color="auto" w:fill="D9D9D9"/>
          </w:tcPr>
          <w:p w14:paraId="76946273" w14:textId="77777777" w:rsidR="008A60BE" w:rsidRPr="00AB15C7" w:rsidRDefault="008A60BE" w:rsidP="005921EF">
            <w:pPr>
              <w:spacing w:after="0"/>
              <w:rPr>
                <w:rFonts w:ascii="Cambria" w:hAnsi="Cambria"/>
                <w:noProof/>
              </w:rPr>
            </w:pPr>
            <w:r w:rsidRPr="00AB15C7">
              <w:rPr>
                <w:rFonts w:ascii="Cambria" w:hAnsi="Cambria"/>
                <w:noProof/>
              </w:rPr>
              <w:t>Ostali otpadi (uključujući i smješu materijala od mehaničkog tretmana otpada koji sadrži opasne supstance)</w:t>
            </w:r>
          </w:p>
        </w:tc>
        <w:tc>
          <w:tcPr>
            <w:tcW w:w="1628" w:type="dxa"/>
            <w:shd w:val="clear" w:color="auto" w:fill="auto"/>
          </w:tcPr>
          <w:p w14:paraId="3591D6F4" w14:textId="77777777" w:rsidR="008A60BE" w:rsidRPr="00AB15C7" w:rsidRDefault="008A60BE" w:rsidP="005921EF">
            <w:pPr>
              <w:spacing w:after="0"/>
              <w:jc w:val="center"/>
              <w:rPr>
                <w:rFonts w:ascii="Cambria" w:hAnsi="Cambria"/>
                <w:noProof/>
              </w:rPr>
            </w:pPr>
            <w:r w:rsidRPr="00AB15C7">
              <w:rPr>
                <w:rFonts w:ascii="Cambria" w:hAnsi="Cambria"/>
                <w:noProof/>
              </w:rPr>
              <w:t>500</w:t>
            </w:r>
          </w:p>
        </w:tc>
      </w:tr>
      <w:tr w:rsidR="008A60BE" w:rsidRPr="00AB15C7" w14:paraId="2486ED6A" w14:textId="77777777" w:rsidTr="009A2099">
        <w:tc>
          <w:tcPr>
            <w:tcW w:w="8001" w:type="dxa"/>
            <w:shd w:val="clear" w:color="auto" w:fill="D9D9D9"/>
          </w:tcPr>
          <w:p w14:paraId="37283E87" w14:textId="77777777" w:rsidR="008A60BE" w:rsidRPr="00AB15C7" w:rsidRDefault="008A60BE" w:rsidP="005921EF">
            <w:pPr>
              <w:spacing w:after="0"/>
              <w:rPr>
                <w:rFonts w:ascii="Cambria" w:hAnsi="Cambria"/>
                <w:noProof/>
              </w:rPr>
            </w:pPr>
            <w:r w:rsidRPr="00AB15C7">
              <w:rPr>
                <w:rFonts w:ascii="Cambria" w:hAnsi="Cambria"/>
                <w:noProof/>
              </w:rPr>
              <w:t>Šljaka iz primarne proizvodnje (aluminijuma)</w:t>
            </w:r>
          </w:p>
        </w:tc>
        <w:tc>
          <w:tcPr>
            <w:tcW w:w="1628" w:type="dxa"/>
            <w:shd w:val="clear" w:color="auto" w:fill="auto"/>
          </w:tcPr>
          <w:p w14:paraId="1DF39424" w14:textId="77777777" w:rsidR="008A60BE" w:rsidRPr="00AB15C7" w:rsidRDefault="008A60BE" w:rsidP="005921EF">
            <w:pPr>
              <w:spacing w:after="0"/>
              <w:jc w:val="center"/>
              <w:rPr>
                <w:rFonts w:ascii="Cambria" w:hAnsi="Cambria"/>
                <w:noProof/>
              </w:rPr>
            </w:pPr>
            <w:r w:rsidRPr="00AB15C7">
              <w:rPr>
                <w:rFonts w:ascii="Cambria" w:hAnsi="Cambria"/>
                <w:noProof/>
              </w:rPr>
              <w:t>500</w:t>
            </w:r>
          </w:p>
        </w:tc>
      </w:tr>
      <w:tr w:rsidR="008A60BE" w:rsidRPr="00AB15C7" w14:paraId="403AF7FF" w14:textId="77777777" w:rsidTr="009A2099">
        <w:tc>
          <w:tcPr>
            <w:tcW w:w="8001" w:type="dxa"/>
            <w:shd w:val="clear" w:color="auto" w:fill="D9D9D9"/>
          </w:tcPr>
          <w:p w14:paraId="674EC828" w14:textId="77777777" w:rsidR="008A60BE" w:rsidRPr="00AB15C7" w:rsidRDefault="008A60BE" w:rsidP="005921EF">
            <w:pPr>
              <w:spacing w:after="0"/>
              <w:rPr>
                <w:rFonts w:ascii="Cambria" w:hAnsi="Cambria"/>
                <w:noProof/>
              </w:rPr>
            </w:pPr>
            <w:r w:rsidRPr="00AB15C7">
              <w:rPr>
                <w:rFonts w:ascii="Cambria" w:hAnsi="Cambria"/>
                <w:noProof/>
              </w:rPr>
              <w:t>Otpad od pjeskarenja koji sadrži opasne supstance</w:t>
            </w:r>
          </w:p>
        </w:tc>
        <w:tc>
          <w:tcPr>
            <w:tcW w:w="1628" w:type="dxa"/>
            <w:shd w:val="clear" w:color="auto" w:fill="auto"/>
          </w:tcPr>
          <w:p w14:paraId="54619FC4" w14:textId="77777777" w:rsidR="008A60BE" w:rsidRPr="00AB15C7" w:rsidRDefault="008A60BE" w:rsidP="005921EF">
            <w:pPr>
              <w:spacing w:after="0"/>
              <w:jc w:val="center"/>
              <w:rPr>
                <w:rFonts w:ascii="Cambria" w:hAnsi="Cambria"/>
                <w:noProof/>
              </w:rPr>
            </w:pPr>
            <w:r w:rsidRPr="00AB15C7">
              <w:rPr>
                <w:rFonts w:ascii="Cambria" w:hAnsi="Cambria"/>
                <w:noProof/>
              </w:rPr>
              <w:t>200</w:t>
            </w:r>
          </w:p>
        </w:tc>
      </w:tr>
      <w:tr w:rsidR="008A60BE" w:rsidRPr="00AB15C7" w14:paraId="3B34D4DE" w14:textId="77777777" w:rsidTr="009A2099">
        <w:tc>
          <w:tcPr>
            <w:tcW w:w="8001" w:type="dxa"/>
            <w:shd w:val="clear" w:color="auto" w:fill="D9D9D9"/>
          </w:tcPr>
          <w:p w14:paraId="3148CAA7" w14:textId="77777777" w:rsidR="008A60BE" w:rsidRPr="00AB15C7" w:rsidRDefault="008A60BE" w:rsidP="005921EF">
            <w:pPr>
              <w:spacing w:after="0"/>
              <w:rPr>
                <w:rFonts w:ascii="Cambria" w:hAnsi="Cambria"/>
                <w:noProof/>
              </w:rPr>
            </w:pPr>
            <w:r w:rsidRPr="00AB15C7">
              <w:rPr>
                <w:rFonts w:ascii="Cambria" w:hAnsi="Cambria"/>
                <w:noProof/>
              </w:rPr>
              <w:t>Otpad (čvrsti otpad, laboratorijske hemikalije, odbačene neorganske i organske hemikalije) koji se sastoji od ili sadrži opasne supstance</w:t>
            </w:r>
          </w:p>
        </w:tc>
        <w:tc>
          <w:tcPr>
            <w:tcW w:w="1628" w:type="dxa"/>
            <w:shd w:val="clear" w:color="auto" w:fill="auto"/>
          </w:tcPr>
          <w:p w14:paraId="50933A6A" w14:textId="77777777" w:rsidR="008A60BE" w:rsidRPr="00AB15C7" w:rsidRDefault="008A60BE" w:rsidP="005921EF">
            <w:pPr>
              <w:spacing w:after="0"/>
              <w:jc w:val="center"/>
              <w:rPr>
                <w:rFonts w:ascii="Cambria" w:hAnsi="Cambria"/>
                <w:noProof/>
              </w:rPr>
            </w:pPr>
            <w:r w:rsidRPr="00AB15C7">
              <w:rPr>
                <w:rFonts w:ascii="Cambria" w:hAnsi="Cambria"/>
                <w:noProof/>
              </w:rPr>
              <w:t>50</w:t>
            </w:r>
          </w:p>
        </w:tc>
      </w:tr>
      <w:tr w:rsidR="008A60BE" w:rsidRPr="00AB15C7" w14:paraId="1DB50CFB" w14:textId="77777777" w:rsidTr="009A2099">
        <w:tc>
          <w:tcPr>
            <w:tcW w:w="8001" w:type="dxa"/>
            <w:shd w:val="clear" w:color="auto" w:fill="D9D9D9"/>
          </w:tcPr>
          <w:p w14:paraId="74D712C0" w14:textId="77777777" w:rsidR="008A60BE" w:rsidRPr="00AB15C7" w:rsidRDefault="008A60BE" w:rsidP="005921EF">
            <w:pPr>
              <w:spacing w:after="0"/>
              <w:jc w:val="right"/>
              <w:rPr>
                <w:rFonts w:ascii="Cambria" w:hAnsi="Cambria"/>
                <w:noProof/>
              </w:rPr>
            </w:pPr>
            <w:r w:rsidRPr="00AB15C7">
              <w:rPr>
                <w:rFonts w:ascii="Cambria" w:hAnsi="Cambria"/>
                <w:noProof/>
              </w:rPr>
              <w:t>Ukupno:</w:t>
            </w:r>
          </w:p>
        </w:tc>
        <w:tc>
          <w:tcPr>
            <w:tcW w:w="1628" w:type="dxa"/>
            <w:shd w:val="clear" w:color="auto" w:fill="auto"/>
          </w:tcPr>
          <w:p w14:paraId="79F7423D" w14:textId="77777777" w:rsidR="008A60BE" w:rsidRPr="00AB15C7" w:rsidRDefault="008A60BE" w:rsidP="005921EF">
            <w:pPr>
              <w:spacing w:after="0"/>
              <w:jc w:val="center"/>
              <w:rPr>
                <w:rFonts w:ascii="Cambria" w:hAnsi="Cambria"/>
                <w:noProof/>
              </w:rPr>
            </w:pPr>
            <w:r w:rsidRPr="00AB15C7">
              <w:rPr>
                <w:rFonts w:ascii="Cambria" w:hAnsi="Cambria"/>
                <w:noProof/>
              </w:rPr>
              <w:t xml:space="preserve">6 300 </w:t>
            </w:r>
          </w:p>
        </w:tc>
      </w:tr>
    </w:tbl>
    <w:p w14:paraId="45BFC589" w14:textId="77777777" w:rsidR="00EE69E3" w:rsidRPr="009A2099" w:rsidRDefault="009A2099" w:rsidP="009A2099">
      <w:pPr>
        <w:jc w:val="center"/>
        <w:rPr>
          <w:rFonts w:ascii="Cambria" w:hAnsi="Cambria"/>
          <w:i/>
          <w:noProof/>
          <w:color w:val="000000"/>
          <w:lang w:val="sr-Latn-ME"/>
        </w:rPr>
      </w:pPr>
      <w:r w:rsidRPr="009A2099">
        <w:rPr>
          <w:rFonts w:ascii="Cambria" w:hAnsi="Cambria"/>
          <w:i/>
          <w:noProof/>
          <w:color w:val="000000"/>
        </w:rPr>
        <w:t>Izvor: Agencija za zaštitu prirode i životne sredine</w:t>
      </w:r>
    </w:p>
    <w:p w14:paraId="6909F621" w14:textId="04DC2A0F" w:rsidR="00A60FEF" w:rsidRPr="00AB15C7" w:rsidRDefault="00523368" w:rsidP="005921EF">
      <w:pPr>
        <w:jc w:val="both"/>
        <w:rPr>
          <w:rFonts w:ascii="Cambria" w:hAnsi="Cambria"/>
          <w:noProof/>
        </w:rPr>
      </w:pPr>
      <w:r w:rsidRPr="00AB15C7">
        <w:rPr>
          <w:rFonts w:ascii="Cambria" w:hAnsi="Cambria"/>
          <w:noProof/>
        </w:rPr>
        <w:t>Na nacionalnom nivou, i dalje postoji potreba za rješavanjem problema „istorijskog“ industrijskog otpada nastalog usl</w:t>
      </w:r>
      <w:r w:rsidR="0034598E">
        <w:rPr>
          <w:rFonts w:ascii="Cambria" w:hAnsi="Cambria"/>
          <w:noProof/>
        </w:rPr>
        <w:t>j</w:t>
      </w:r>
      <w:r w:rsidRPr="00AB15C7">
        <w:rPr>
          <w:rFonts w:ascii="Cambria" w:hAnsi="Cambria"/>
          <w:noProof/>
        </w:rPr>
        <w:t>ed proizvodnih aktivnosti velikih industrijskih sistema kao što su Kombinat aluminijuma Podgorica, Željezara Nikšić</w:t>
      </w:r>
      <w:r w:rsidR="00675D3D" w:rsidRPr="00AB15C7">
        <w:rPr>
          <w:rFonts w:ascii="Cambria" w:hAnsi="Cambria"/>
          <w:noProof/>
        </w:rPr>
        <w:t xml:space="preserve"> (Toščelik)</w:t>
      </w:r>
      <w:r w:rsidRPr="00AB15C7">
        <w:rPr>
          <w:rFonts w:ascii="Cambria" w:hAnsi="Cambria"/>
          <w:noProof/>
        </w:rPr>
        <w:t xml:space="preserve">, TE Pljevlja i drugi. </w:t>
      </w:r>
      <w:r w:rsidR="00B37BB8" w:rsidRPr="00AB15C7">
        <w:rPr>
          <w:rFonts w:ascii="Cambria" w:hAnsi="Cambria"/>
          <w:noProof/>
        </w:rPr>
        <w:t xml:space="preserve">Industrijski otpad predstavlja izvor izuzetnog pritiska na sve segmente životne sredine, a posebno u slučajevima neadekvatnog </w:t>
      </w:r>
      <w:r w:rsidR="00B37BB8" w:rsidRPr="00AB15C7">
        <w:rPr>
          <w:rFonts w:ascii="Cambria" w:hAnsi="Cambria"/>
          <w:noProof/>
        </w:rPr>
        <w:lastRenderedPageBreak/>
        <w:t>upravljanja istim. Teški metali, polihlorovani bifenili (PCB</w:t>
      </w:r>
      <w:r w:rsidR="0034598E">
        <w:rPr>
          <w:rFonts w:ascii="Cambria" w:hAnsi="Cambria"/>
          <w:noProof/>
        </w:rPr>
        <w:t xml:space="preserve"> </w:t>
      </w:r>
      <w:r w:rsidR="00B37BB8" w:rsidRPr="00AB15C7">
        <w:rPr>
          <w:rFonts w:ascii="Cambria" w:hAnsi="Cambria"/>
          <w:noProof/>
        </w:rPr>
        <w:t>grupe), dioksini i policiklični aromatični ugljovodonici (PAH) su neke od zagađujućih supstanci, kojima industrijski otpad najčešće utiče na sastav i kvalitet, odnosno zagađenje, površinskih i podzemnih voda, zemljišta ili vazduha.</w:t>
      </w:r>
      <w:r w:rsidR="00A60FEF" w:rsidRPr="00AB15C7">
        <w:rPr>
          <w:rFonts w:ascii="Cambria" w:hAnsi="Cambria"/>
          <w:noProof/>
        </w:rPr>
        <w:t xml:space="preserve"> M</w:t>
      </w:r>
      <w:r w:rsidRPr="00AB15C7">
        <w:rPr>
          <w:rFonts w:ascii="Cambria" w:hAnsi="Cambria"/>
          <w:noProof/>
        </w:rPr>
        <w:t>onitoringom zemljišta koji se vrši na lokacijama odlagališta otpada pomenutih industrijskih postrojenja, kao i u njihovoj neposrednoj blizini, u kontinuitetu se prati postojeći pritisak na segment zemljišta, koji se evidentira kroz povećanje koncentracija pojedinih organskih i neorganskih polutanata.</w:t>
      </w:r>
      <w:r w:rsidR="00A60FEF" w:rsidRPr="00AB15C7">
        <w:rPr>
          <w:rFonts w:ascii="Cambria" w:hAnsi="Cambria"/>
          <w:noProof/>
        </w:rPr>
        <w:t xml:space="preserve"> </w:t>
      </w:r>
    </w:p>
    <w:p w14:paraId="7412A637" w14:textId="77777777" w:rsidR="001037EE" w:rsidRDefault="00B12A23" w:rsidP="00802271">
      <w:pPr>
        <w:pStyle w:val="Heading2"/>
        <w:spacing w:after="120"/>
        <w:rPr>
          <w:noProof/>
          <w:sz w:val="22"/>
          <w:szCs w:val="22"/>
          <w:lang w:val="en-US"/>
        </w:rPr>
      </w:pPr>
      <w:bookmarkStart w:id="31" w:name="_Toc527353180"/>
      <w:r w:rsidRPr="00AB15C7">
        <w:rPr>
          <w:noProof/>
          <w:sz w:val="22"/>
          <w:szCs w:val="22"/>
          <w:lang w:val="en-US"/>
        </w:rPr>
        <w:t>2.</w:t>
      </w:r>
      <w:r w:rsidR="009B4111" w:rsidRPr="00AB15C7">
        <w:rPr>
          <w:noProof/>
          <w:sz w:val="22"/>
          <w:szCs w:val="22"/>
          <w:lang w:val="en-US"/>
        </w:rPr>
        <w:t>2.</w:t>
      </w:r>
      <w:r w:rsidR="00486EB8" w:rsidRPr="00AB15C7">
        <w:rPr>
          <w:noProof/>
          <w:sz w:val="22"/>
          <w:szCs w:val="22"/>
          <w:lang w:val="en-US"/>
        </w:rPr>
        <w:t>3</w:t>
      </w:r>
      <w:r w:rsidR="009B4111" w:rsidRPr="00AB15C7">
        <w:rPr>
          <w:noProof/>
          <w:sz w:val="22"/>
          <w:szCs w:val="22"/>
          <w:lang w:val="en-US"/>
        </w:rPr>
        <w:t xml:space="preserve">.  </w:t>
      </w:r>
      <w:r w:rsidR="0053405F" w:rsidRPr="00AB15C7">
        <w:rPr>
          <w:noProof/>
          <w:sz w:val="22"/>
          <w:szCs w:val="22"/>
          <w:lang w:val="en-US"/>
        </w:rPr>
        <w:t>Zaostale, n</w:t>
      </w:r>
      <w:r w:rsidR="00486EB8" w:rsidRPr="00AB15C7">
        <w:rPr>
          <w:noProof/>
          <w:sz w:val="22"/>
          <w:szCs w:val="22"/>
          <w:lang w:val="en-US"/>
        </w:rPr>
        <w:t>apuštene i  zastarijele hemikalije</w:t>
      </w:r>
      <w:bookmarkEnd w:id="31"/>
      <w:r w:rsidR="009B4111" w:rsidRPr="00AB15C7">
        <w:rPr>
          <w:noProof/>
          <w:sz w:val="22"/>
          <w:szCs w:val="22"/>
          <w:lang w:val="en-US"/>
        </w:rPr>
        <w:t xml:space="preserve"> </w:t>
      </w:r>
    </w:p>
    <w:p w14:paraId="0A7F922E" w14:textId="77777777" w:rsidR="00196289" w:rsidRPr="00AB15C7" w:rsidRDefault="0010076F" w:rsidP="005921EF">
      <w:pPr>
        <w:jc w:val="both"/>
        <w:rPr>
          <w:rFonts w:ascii="Cambria" w:hAnsi="Cambria"/>
          <w:noProof/>
        </w:rPr>
      </w:pPr>
      <w:r w:rsidRPr="00AB15C7">
        <w:rPr>
          <w:rFonts w:ascii="Cambria" w:hAnsi="Cambria"/>
          <w:noProof/>
        </w:rPr>
        <w:t xml:space="preserve">Poseban problem predstavljaju zaostale hemikalije u </w:t>
      </w:r>
      <w:r w:rsidR="00196289" w:rsidRPr="00AB15C7">
        <w:rPr>
          <w:rFonts w:ascii="Cambria" w:hAnsi="Cambria"/>
          <w:noProof/>
        </w:rPr>
        <w:t xml:space="preserve">starim </w:t>
      </w:r>
      <w:r w:rsidRPr="00AB15C7">
        <w:rPr>
          <w:rFonts w:ascii="Cambria" w:hAnsi="Cambria"/>
          <w:noProof/>
        </w:rPr>
        <w:t xml:space="preserve">fabrikama </w:t>
      </w:r>
      <w:r w:rsidR="00196289" w:rsidRPr="00AB15C7">
        <w:rPr>
          <w:rFonts w:ascii="Cambria" w:hAnsi="Cambria"/>
          <w:noProof/>
        </w:rPr>
        <w:t xml:space="preserve">iz vremena  SFRJ </w:t>
      </w:r>
      <w:r w:rsidRPr="00AB15C7">
        <w:rPr>
          <w:rFonts w:ascii="Cambria" w:hAnsi="Cambria"/>
          <w:noProof/>
        </w:rPr>
        <w:t xml:space="preserve"> koje su pro</w:t>
      </w:r>
      <w:r w:rsidR="00196289" w:rsidRPr="00AB15C7">
        <w:rPr>
          <w:rFonts w:ascii="Cambria" w:hAnsi="Cambria"/>
          <w:noProof/>
        </w:rPr>
        <w:t>š</w:t>
      </w:r>
      <w:r w:rsidRPr="00AB15C7">
        <w:rPr>
          <w:rFonts w:ascii="Cambria" w:hAnsi="Cambria"/>
          <w:noProof/>
        </w:rPr>
        <w:t xml:space="preserve">le kroz </w:t>
      </w:r>
      <w:r w:rsidR="00196289" w:rsidRPr="00AB15C7">
        <w:rPr>
          <w:rFonts w:ascii="Cambria" w:hAnsi="Cambria"/>
          <w:noProof/>
        </w:rPr>
        <w:t xml:space="preserve">brojne </w:t>
      </w:r>
      <w:r w:rsidR="00FD4F74" w:rsidRPr="00AB15C7">
        <w:rPr>
          <w:rFonts w:ascii="Cambria" w:hAnsi="Cambria"/>
          <w:noProof/>
        </w:rPr>
        <w:t xml:space="preserve">trnsformacije i </w:t>
      </w:r>
      <w:r w:rsidR="00196289" w:rsidRPr="00AB15C7">
        <w:rPr>
          <w:rFonts w:ascii="Cambria" w:hAnsi="Cambria"/>
          <w:noProof/>
        </w:rPr>
        <w:t>poslovne krize koje su uzrokovale neadekvatno staranje o hemikalijama u krugu fabrike. Naime, u prostorijama ovakvih preduzeća postoje zaostale hemikalije kojima je istekao rok trajanja ili se iz drugih razloga više ne mogu koristiti</w:t>
      </w:r>
      <w:r w:rsidR="00FD4F74" w:rsidRPr="00AB15C7">
        <w:rPr>
          <w:rFonts w:ascii="Cambria" w:hAnsi="Cambria"/>
          <w:noProof/>
        </w:rPr>
        <w:t xml:space="preserve">, a zbog višestrukih vlasničkih transformacija u kojima nijesu do kraja precizno utvrđeni pravni nasljednici </w:t>
      </w:r>
      <w:r w:rsidR="006035BD" w:rsidRPr="00AB15C7">
        <w:rPr>
          <w:rFonts w:ascii="Cambria" w:hAnsi="Cambria"/>
          <w:noProof/>
        </w:rPr>
        <w:t xml:space="preserve">kada se radi o </w:t>
      </w:r>
      <w:r w:rsidR="00FD4F74" w:rsidRPr="00AB15C7">
        <w:rPr>
          <w:rFonts w:ascii="Cambria" w:hAnsi="Cambria"/>
          <w:noProof/>
        </w:rPr>
        <w:t>smješten</w:t>
      </w:r>
      <w:r w:rsidR="006035BD" w:rsidRPr="00AB15C7">
        <w:rPr>
          <w:rFonts w:ascii="Cambria" w:hAnsi="Cambria"/>
          <w:noProof/>
        </w:rPr>
        <w:t>im</w:t>
      </w:r>
      <w:r w:rsidR="00FD4F74" w:rsidRPr="00AB15C7">
        <w:rPr>
          <w:rFonts w:ascii="Cambria" w:hAnsi="Cambria"/>
          <w:noProof/>
        </w:rPr>
        <w:t xml:space="preserve"> hemikalija</w:t>
      </w:r>
      <w:r w:rsidR="006035BD" w:rsidRPr="00AB15C7">
        <w:rPr>
          <w:rFonts w:ascii="Cambria" w:hAnsi="Cambria"/>
          <w:noProof/>
        </w:rPr>
        <w:t>ma</w:t>
      </w:r>
      <w:r w:rsidR="00FD4F74" w:rsidRPr="00AB15C7">
        <w:rPr>
          <w:rFonts w:ascii="Cambria" w:hAnsi="Cambria"/>
          <w:noProof/>
        </w:rPr>
        <w:t>, ne može se definisati ko je vlasnik ovakvih hemikalija koji bi p</w:t>
      </w:r>
      <w:r w:rsidR="003D3EC6" w:rsidRPr="00AB15C7">
        <w:rPr>
          <w:rFonts w:ascii="Cambria" w:hAnsi="Cambria"/>
          <w:noProof/>
        </w:rPr>
        <w:t>r</w:t>
      </w:r>
      <w:r w:rsidR="00FD4F74" w:rsidRPr="00AB15C7">
        <w:rPr>
          <w:rFonts w:ascii="Cambria" w:hAnsi="Cambria"/>
          <w:noProof/>
        </w:rPr>
        <w:t>euzeo obavezu njihovog zbrinjavanja</w:t>
      </w:r>
      <w:r w:rsidR="00196289" w:rsidRPr="00AB15C7">
        <w:rPr>
          <w:rFonts w:ascii="Cambria" w:hAnsi="Cambria"/>
          <w:noProof/>
        </w:rPr>
        <w:t xml:space="preserve">. </w:t>
      </w:r>
      <w:r w:rsidR="001F2DC1" w:rsidRPr="00AB15C7">
        <w:rPr>
          <w:rFonts w:ascii="Cambria" w:hAnsi="Cambria"/>
          <w:noProof/>
        </w:rPr>
        <w:t xml:space="preserve">MORT </w:t>
      </w:r>
      <w:r w:rsidR="00196289" w:rsidRPr="00AB15C7">
        <w:rPr>
          <w:rFonts w:ascii="Cambria" w:hAnsi="Cambria"/>
          <w:noProof/>
        </w:rPr>
        <w:t>raspola</w:t>
      </w:r>
      <w:r w:rsidR="0028333D" w:rsidRPr="00AB15C7">
        <w:rPr>
          <w:rFonts w:ascii="Cambria" w:hAnsi="Cambria"/>
          <w:noProof/>
        </w:rPr>
        <w:t>ž</w:t>
      </w:r>
      <w:r w:rsidR="00196289" w:rsidRPr="00AB15C7">
        <w:rPr>
          <w:rFonts w:ascii="Cambria" w:hAnsi="Cambria"/>
          <w:noProof/>
        </w:rPr>
        <w:t xml:space="preserve">e </w:t>
      </w:r>
      <w:r w:rsidR="003D3EC6" w:rsidRPr="00AB15C7">
        <w:rPr>
          <w:rFonts w:ascii="Cambria" w:hAnsi="Cambria"/>
          <w:noProof/>
        </w:rPr>
        <w:t>podaci</w:t>
      </w:r>
      <w:r w:rsidR="001F2DC1" w:rsidRPr="00AB15C7">
        <w:rPr>
          <w:rFonts w:ascii="Cambria" w:hAnsi="Cambria"/>
          <w:noProof/>
        </w:rPr>
        <w:t>ma</w:t>
      </w:r>
      <w:r w:rsidR="003D3EC6" w:rsidRPr="00AB15C7">
        <w:rPr>
          <w:rFonts w:ascii="Cambria" w:hAnsi="Cambria"/>
          <w:noProof/>
        </w:rPr>
        <w:t xml:space="preserve"> </w:t>
      </w:r>
      <w:r w:rsidR="00CE0224">
        <w:rPr>
          <w:rFonts w:ascii="Cambria" w:hAnsi="Cambria"/>
          <w:noProof/>
        </w:rPr>
        <w:t xml:space="preserve">koji su dostavljeni od strane Uprave za inspekcijske poslove, </w:t>
      </w:r>
      <w:r w:rsidR="003D3EC6" w:rsidRPr="00AB15C7">
        <w:rPr>
          <w:rFonts w:ascii="Cambria" w:hAnsi="Cambria"/>
          <w:noProof/>
        </w:rPr>
        <w:t xml:space="preserve">o </w:t>
      </w:r>
      <w:r w:rsidR="00196289" w:rsidRPr="00AB15C7">
        <w:rPr>
          <w:rFonts w:ascii="Cambria" w:hAnsi="Cambria"/>
          <w:noProof/>
        </w:rPr>
        <w:t>zaostal</w:t>
      </w:r>
      <w:r w:rsidR="003D3EC6" w:rsidRPr="00AB15C7">
        <w:rPr>
          <w:rFonts w:ascii="Cambria" w:hAnsi="Cambria"/>
          <w:noProof/>
        </w:rPr>
        <w:t>im</w:t>
      </w:r>
      <w:r w:rsidR="00196289" w:rsidRPr="00AB15C7">
        <w:rPr>
          <w:rFonts w:ascii="Cambria" w:hAnsi="Cambria"/>
          <w:noProof/>
        </w:rPr>
        <w:t xml:space="preserve"> hemikalij</w:t>
      </w:r>
      <w:r w:rsidR="001F2DC1" w:rsidRPr="00AB15C7">
        <w:rPr>
          <w:rFonts w:ascii="Cambria" w:hAnsi="Cambria"/>
          <w:noProof/>
        </w:rPr>
        <w:t>ama</w:t>
      </w:r>
      <w:r w:rsidR="00196289" w:rsidRPr="00AB15C7">
        <w:rPr>
          <w:rFonts w:ascii="Cambria" w:hAnsi="Cambria"/>
          <w:noProof/>
        </w:rPr>
        <w:t xml:space="preserve"> prikazanim u tabeli</w:t>
      </w:r>
      <w:r w:rsidR="004949F5">
        <w:rPr>
          <w:rFonts w:ascii="Cambria" w:hAnsi="Cambria"/>
          <w:noProof/>
        </w:rPr>
        <w:t xml:space="preserve"> 17.</w:t>
      </w:r>
    </w:p>
    <w:p w14:paraId="5B17AE79" w14:textId="77777777" w:rsidR="0028333D" w:rsidRPr="00AB15C7" w:rsidRDefault="001F2DC1" w:rsidP="00940834">
      <w:pPr>
        <w:spacing w:after="120"/>
        <w:jc w:val="center"/>
        <w:rPr>
          <w:rFonts w:ascii="Cambria" w:hAnsi="Cambria"/>
          <w:noProof/>
        </w:rPr>
      </w:pPr>
      <w:r w:rsidRPr="00940834">
        <w:rPr>
          <w:rFonts w:ascii="Cambria" w:hAnsi="Cambria"/>
          <w:i/>
          <w:noProof/>
        </w:rPr>
        <w:t xml:space="preserve">Tabela </w:t>
      </w:r>
      <w:r w:rsidR="004949F5" w:rsidRPr="00940834">
        <w:rPr>
          <w:rFonts w:ascii="Cambria" w:hAnsi="Cambria"/>
          <w:i/>
          <w:noProof/>
        </w:rPr>
        <w:t>17</w:t>
      </w:r>
      <w:r w:rsidRPr="004949F5">
        <w:rPr>
          <w:rFonts w:ascii="Cambria" w:hAnsi="Cambria"/>
          <w:noProof/>
        </w:rPr>
        <w:t>. Podaci o zaostalim hemikalijama u bivšim fabrikama u Crnoj Gori</w:t>
      </w:r>
    </w:p>
    <w:tbl>
      <w:tblPr>
        <w:tblW w:w="97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39"/>
        <w:gridCol w:w="2900"/>
        <w:gridCol w:w="3220"/>
        <w:gridCol w:w="1710"/>
      </w:tblGrid>
      <w:tr w:rsidR="00196289" w:rsidRPr="00AB15C7" w14:paraId="5B7B3819" w14:textId="77777777" w:rsidTr="00205CED">
        <w:trPr>
          <w:trHeight w:val="138"/>
          <w:jc w:val="center"/>
        </w:trPr>
        <w:tc>
          <w:tcPr>
            <w:tcW w:w="1939" w:type="dxa"/>
            <w:shd w:val="clear" w:color="auto" w:fill="D9D9D9" w:themeFill="background1" w:themeFillShade="D9"/>
            <w:tcMar>
              <w:top w:w="0" w:type="dxa"/>
              <w:left w:w="108" w:type="dxa"/>
              <w:bottom w:w="0" w:type="dxa"/>
              <w:right w:w="108" w:type="dxa"/>
            </w:tcMar>
            <w:hideMark/>
          </w:tcPr>
          <w:p w14:paraId="368D47E7" w14:textId="77777777" w:rsidR="00196289" w:rsidRPr="00AB15C7" w:rsidRDefault="00196289" w:rsidP="005921EF">
            <w:pPr>
              <w:spacing w:after="0"/>
              <w:jc w:val="both"/>
              <w:rPr>
                <w:rFonts w:ascii="Cambria" w:hAnsi="Cambria"/>
                <w:noProof/>
              </w:rPr>
            </w:pPr>
            <w:r w:rsidRPr="00AB15C7">
              <w:rPr>
                <w:rFonts w:ascii="Cambria" w:hAnsi="Cambria"/>
                <w:noProof/>
              </w:rPr>
              <w:t> Naziv fabrike</w:t>
            </w:r>
          </w:p>
        </w:tc>
        <w:tc>
          <w:tcPr>
            <w:tcW w:w="2900" w:type="dxa"/>
            <w:shd w:val="clear" w:color="auto" w:fill="D9D9D9" w:themeFill="background1" w:themeFillShade="D9"/>
          </w:tcPr>
          <w:p w14:paraId="650C2AA1" w14:textId="4B6AFBA2" w:rsidR="00196289" w:rsidRPr="00AB15C7" w:rsidRDefault="00196289" w:rsidP="005921EF">
            <w:pPr>
              <w:spacing w:after="0"/>
              <w:ind w:left="61" w:right="121"/>
              <w:jc w:val="both"/>
              <w:rPr>
                <w:rFonts w:ascii="Cambria" w:hAnsi="Cambria"/>
                <w:noProof/>
              </w:rPr>
            </w:pPr>
            <w:r w:rsidRPr="00AB15C7">
              <w:rPr>
                <w:rFonts w:ascii="Cambria" w:hAnsi="Cambria"/>
                <w:noProof/>
              </w:rPr>
              <w:t>Pretežna d</w:t>
            </w:r>
            <w:r w:rsidR="00002F49">
              <w:rPr>
                <w:rFonts w:ascii="Cambria" w:hAnsi="Cambria"/>
                <w:noProof/>
              </w:rPr>
              <w:t>j</w:t>
            </w:r>
            <w:r w:rsidRPr="00AB15C7">
              <w:rPr>
                <w:rFonts w:ascii="Cambria" w:hAnsi="Cambria"/>
                <w:noProof/>
              </w:rPr>
              <w:t xml:space="preserve">elatnost </w:t>
            </w:r>
          </w:p>
        </w:tc>
        <w:tc>
          <w:tcPr>
            <w:tcW w:w="3220" w:type="dxa"/>
            <w:shd w:val="clear" w:color="auto" w:fill="D9D9D9" w:themeFill="background1" w:themeFillShade="D9"/>
          </w:tcPr>
          <w:p w14:paraId="1ECC47CB" w14:textId="77777777" w:rsidR="00196289" w:rsidRPr="00AB15C7" w:rsidRDefault="00196289" w:rsidP="005921EF">
            <w:pPr>
              <w:spacing w:after="0"/>
              <w:ind w:right="121"/>
              <w:jc w:val="both"/>
              <w:rPr>
                <w:rFonts w:ascii="Cambria" w:hAnsi="Cambria"/>
                <w:noProof/>
              </w:rPr>
            </w:pPr>
            <w:r w:rsidRPr="00AB15C7">
              <w:rPr>
                <w:rFonts w:ascii="Cambria" w:hAnsi="Cambria"/>
                <w:noProof/>
              </w:rPr>
              <w:t xml:space="preserve">Vrsta </w:t>
            </w:r>
            <w:r w:rsidR="0028333D" w:rsidRPr="00AB15C7">
              <w:rPr>
                <w:rFonts w:ascii="Cambria" w:hAnsi="Cambria"/>
                <w:noProof/>
              </w:rPr>
              <w:t xml:space="preserve">zaostale </w:t>
            </w:r>
            <w:r w:rsidRPr="00AB15C7">
              <w:rPr>
                <w:rFonts w:ascii="Cambria" w:hAnsi="Cambria"/>
                <w:noProof/>
              </w:rPr>
              <w:t>hemikalije</w:t>
            </w:r>
          </w:p>
        </w:tc>
        <w:tc>
          <w:tcPr>
            <w:tcW w:w="1710" w:type="dxa"/>
            <w:shd w:val="clear" w:color="auto" w:fill="D9D9D9" w:themeFill="background1" w:themeFillShade="D9"/>
          </w:tcPr>
          <w:p w14:paraId="1DEB0067" w14:textId="77777777" w:rsidR="00196289" w:rsidRPr="00AB15C7" w:rsidRDefault="00196289" w:rsidP="005921EF">
            <w:pPr>
              <w:spacing w:after="0"/>
              <w:ind w:left="181" w:right="121" w:hanging="181"/>
              <w:jc w:val="right"/>
              <w:rPr>
                <w:rFonts w:ascii="Cambria" w:hAnsi="Cambria"/>
                <w:noProof/>
              </w:rPr>
            </w:pPr>
            <w:r w:rsidRPr="00AB15C7">
              <w:rPr>
                <w:rFonts w:ascii="Cambria" w:hAnsi="Cambria"/>
                <w:noProof/>
              </w:rPr>
              <w:t xml:space="preserve">Količina </w:t>
            </w:r>
          </w:p>
        </w:tc>
      </w:tr>
      <w:tr w:rsidR="00196289" w:rsidRPr="00AB15C7" w14:paraId="61B0457A" w14:textId="77777777" w:rsidTr="00205CED">
        <w:trPr>
          <w:trHeight w:val="138"/>
          <w:jc w:val="center"/>
        </w:trPr>
        <w:tc>
          <w:tcPr>
            <w:tcW w:w="1939" w:type="dxa"/>
            <w:shd w:val="clear" w:color="auto" w:fill="F2F2F2" w:themeFill="background1" w:themeFillShade="F2"/>
            <w:tcMar>
              <w:top w:w="0" w:type="dxa"/>
              <w:left w:w="108" w:type="dxa"/>
              <w:bottom w:w="0" w:type="dxa"/>
              <w:right w:w="108" w:type="dxa"/>
            </w:tcMar>
            <w:hideMark/>
          </w:tcPr>
          <w:p w14:paraId="2123F844" w14:textId="77777777" w:rsidR="00196289" w:rsidRPr="00AB15C7" w:rsidRDefault="00196289" w:rsidP="005921EF">
            <w:pPr>
              <w:spacing w:after="0"/>
              <w:rPr>
                <w:rFonts w:ascii="Cambria" w:hAnsi="Cambria"/>
                <w:noProof/>
              </w:rPr>
            </w:pPr>
            <w:r w:rsidRPr="00AB15C7">
              <w:rPr>
                <w:rFonts w:ascii="Cambria" w:hAnsi="Cambria"/>
                <w:noProof/>
              </w:rPr>
              <w:t>AD “Dekor” - Rožaje</w:t>
            </w:r>
          </w:p>
        </w:tc>
        <w:tc>
          <w:tcPr>
            <w:tcW w:w="2900" w:type="dxa"/>
          </w:tcPr>
          <w:p w14:paraId="7BF812BB" w14:textId="77777777" w:rsidR="00196289" w:rsidRPr="00AB15C7" w:rsidRDefault="001A7C92" w:rsidP="005921EF">
            <w:pPr>
              <w:spacing w:after="0"/>
              <w:ind w:left="61" w:right="121"/>
              <w:rPr>
                <w:rFonts w:ascii="Cambria" w:hAnsi="Cambria"/>
                <w:noProof/>
              </w:rPr>
            </w:pPr>
            <w:r w:rsidRPr="00AB15C7">
              <w:rPr>
                <w:rFonts w:ascii="Cambria" w:hAnsi="Cambria"/>
                <w:noProof/>
              </w:rPr>
              <w:t>Proizvodnja ostalih proizvoda od papira i kartona</w:t>
            </w:r>
          </w:p>
        </w:tc>
        <w:tc>
          <w:tcPr>
            <w:tcW w:w="3220" w:type="dxa"/>
          </w:tcPr>
          <w:p w14:paraId="76F37B74" w14:textId="77777777" w:rsidR="00196289" w:rsidRPr="00AB15C7" w:rsidRDefault="0028333D" w:rsidP="005921EF">
            <w:pPr>
              <w:spacing w:after="0"/>
              <w:ind w:left="46" w:right="121"/>
              <w:rPr>
                <w:rFonts w:ascii="Cambria" w:hAnsi="Cambria"/>
                <w:noProof/>
              </w:rPr>
            </w:pPr>
            <w:r w:rsidRPr="00AB15C7">
              <w:rPr>
                <w:rFonts w:ascii="Cambria" w:hAnsi="Cambria"/>
                <w:noProof/>
              </w:rPr>
              <w:t>A</w:t>
            </w:r>
            <w:r w:rsidR="00196289" w:rsidRPr="00AB15C7">
              <w:rPr>
                <w:rFonts w:ascii="Cambria" w:hAnsi="Cambria"/>
                <w:noProof/>
              </w:rPr>
              <w:t>cetaldehidne i formaldehidne smole za impregnaciju  papira, dekor boje za štampu dekor papira i boje za štampu pisaćeg papira.</w:t>
            </w:r>
          </w:p>
        </w:tc>
        <w:tc>
          <w:tcPr>
            <w:tcW w:w="1710" w:type="dxa"/>
          </w:tcPr>
          <w:p w14:paraId="75D40427" w14:textId="77777777" w:rsidR="00196289" w:rsidRPr="00AB15C7" w:rsidRDefault="00196289" w:rsidP="005921EF">
            <w:pPr>
              <w:spacing w:after="0"/>
              <w:ind w:right="121"/>
              <w:jc w:val="right"/>
              <w:rPr>
                <w:rFonts w:ascii="Cambria" w:hAnsi="Cambria"/>
                <w:noProof/>
              </w:rPr>
            </w:pPr>
            <w:r w:rsidRPr="00AB15C7">
              <w:rPr>
                <w:rFonts w:ascii="Cambria" w:hAnsi="Cambria"/>
                <w:noProof/>
              </w:rPr>
              <w:t>14.45 t</w:t>
            </w:r>
          </w:p>
        </w:tc>
      </w:tr>
      <w:tr w:rsidR="00196289" w:rsidRPr="00AB15C7" w14:paraId="4F1B38EE" w14:textId="77777777" w:rsidTr="00205CED">
        <w:trPr>
          <w:jc w:val="center"/>
        </w:trPr>
        <w:tc>
          <w:tcPr>
            <w:tcW w:w="1939" w:type="dxa"/>
            <w:shd w:val="clear" w:color="auto" w:fill="F2F2F2" w:themeFill="background1" w:themeFillShade="F2"/>
            <w:tcMar>
              <w:top w:w="0" w:type="dxa"/>
              <w:left w:w="108" w:type="dxa"/>
              <w:bottom w:w="0" w:type="dxa"/>
              <w:right w:w="108" w:type="dxa"/>
            </w:tcMar>
            <w:hideMark/>
          </w:tcPr>
          <w:p w14:paraId="42663628" w14:textId="77777777" w:rsidR="00196289" w:rsidRPr="00AB15C7" w:rsidRDefault="00196289" w:rsidP="005921EF">
            <w:pPr>
              <w:spacing w:after="0"/>
              <w:rPr>
                <w:rFonts w:ascii="Cambria" w:hAnsi="Cambria"/>
                <w:noProof/>
              </w:rPr>
            </w:pPr>
            <w:r w:rsidRPr="00AB15C7">
              <w:rPr>
                <w:rFonts w:ascii="Cambria" w:hAnsi="Cambria"/>
                <w:noProof/>
              </w:rPr>
              <w:t>AD Vunarski kombinat “Vunko” - Bijelo Polje</w:t>
            </w:r>
          </w:p>
        </w:tc>
        <w:tc>
          <w:tcPr>
            <w:tcW w:w="2900" w:type="dxa"/>
          </w:tcPr>
          <w:p w14:paraId="66387864" w14:textId="77777777" w:rsidR="00196289" w:rsidRPr="00AB15C7" w:rsidRDefault="001A7C92" w:rsidP="005921EF">
            <w:pPr>
              <w:spacing w:after="0"/>
              <w:ind w:left="61" w:right="121"/>
              <w:rPr>
                <w:rFonts w:ascii="Cambria" w:hAnsi="Cambria"/>
                <w:noProof/>
              </w:rPr>
            </w:pPr>
            <w:r w:rsidRPr="00AB15C7">
              <w:rPr>
                <w:rFonts w:ascii="Cambria" w:hAnsi="Cambria"/>
                <w:noProof/>
              </w:rPr>
              <w:t>Proizvodnja i prerada vunenih štofova</w:t>
            </w:r>
          </w:p>
        </w:tc>
        <w:tc>
          <w:tcPr>
            <w:tcW w:w="3220" w:type="dxa"/>
          </w:tcPr>
          <w:p w14:paraId="1F6F88B2" w14:textId="77777777" w:rsidR="00196289" w:rsidRPr="00AB15C7" w:rsidRDefault="0028333D" w:rsidP="005921EF">
            <w:pPr>
              <w:spacing w:after="0"/>
              <w:ind w:left="46" w:right="121"/>
              <w:rPr>
                <w:rFonts w:ascii="Cambria" w:hAnsi="Cambria"/>
                <w:noProof/>
              </w:rPr>
            </w:pPr>
            <w:r w:rsidRPr="00AB15C7">
              <w:rPr>
                <w:rFonts w:ascii="Cambria" w:hAnsi="Cambria"/>
                <w:noProof/>
              </w:rPr>
              <w:t>O</w:t>
            </w:r>
            <w:r w:rsidR="001A7C92" w:rsidRPr="00AB15C7">
              <w:rPr>
                <w:rFonts w:ascii="Cambria" w:hAnsi="Cambria"/>
                <w:noProof/>
              </w:rPr>
              <w:t>stataci hemikalija korišćenih u proizvodnji  u originalnoj ambalaži,  uskladišteni u obezbijeđenom prostoru.</w:t>
            </w:r>
          </w:p>
        </w:tc>
        <w:tc>
          <w:tcPr>
            <w:tcW w:w="1710" w:type="dxa"/>
          </w:tcPr>
          <w:p w14:paraId="14DBCB84" w14:textId="77777777" w:rsidR="00196289" w:rsidRPr="00AB15C7" w:rsidRDefault="00196289" w:rsidP="005921EF">
            <w:pPr>
              <w:spacing w:after="0"/>
              <w:ind w:right="121"/>
              <w:jc w:val="right"/>
              <w:rPr>
                <w:rFonts w:ascii="Cambria" w:hAnsi="Cambria"/>
                <w:noProof/>
              </w:rPr>
            </w:pPr>
            <w:r w:rsidRPr="00AB15C7">
              <w:rPr>
                <w:rFonts w:ascii="Cambria" w:hAnsi="Cambria"/>
                <w:noProof/>
              </w:rPr>
              <w:t>1.98 t</w:t>
            </w:r>
          </w:p>
        </w:tc>
      </w:tr>
      <w:tr w:rsidR="00196289" w:rsidRPr="00AB15C7" w14:paraId="15409AB7" w14:textId="77777777" w:rsidTr="00205CED">
        <w:trPr>
          <w:jc w:val="center"/>
        </w:trPr>
        <w:tc>
          <w:tcPr>
            <w:tcW w:w="1939" w:type="dxa"/>
            <w:shd w:val="clear" w:color="auto" w:fill="F2F2F2" w:themeFill="background1" w:themeFillShade="F2"/>
            <w:tcMar>
              <w:top w:w="0" w:type="dxa"/>
              <w:left w:w="108" w:type="dxa"/>
              <w:bottom w:w="0" w:type="dxa"/>
              <w:right w:w="108" w:type="dxa"/>
            </w:tcMar>
            <w:hideMark/>
          </w:tcPr>
          <w:p w14:paraId="6263E238" w14:textId="77777777" w:rsidR="00196289" w:rsidRPr="00AB15C7" w:rsidRDefault="00196289" w:rsidP="005921EF">
            <w:pPr>
              <w:spacing w:after="0"/>
              <w:rPr>
                <w:rFonts w:ascii="Cambria" w:hAnsi="Cambria"/>
                <w:noProof/>
              </w:rPr>
            </w:pPr>
            <w:r w:rsidRPr="00AB15C7">
              <w:rPr>
                <w:rFonts w:ascii="Cambria" w:hAnsi="Cambria"/>
                <w:noProof/>
              </w:rPr>
              <w:t>A.D. “KIPS POLIMKA”- Berane</w:t>
            </w:r>
          </w:p>
        </w:tc>
        <w:tc>
          <w:tcPr>
            <w:tcW w:w="2900" w:type="dxa"/>
          </w:tcPr>
          <w:p w14:paraId="2CEA5D6E" w14:textId="77777777" w:rsidR="00196289" w:rsidRPr="00AB15C7" w:rsidRDefault="001A7C92" w:rsidP="005921EF">
            <w:pPr>
              <w:spacing w:after="0"/>
              <w:ind w:left="61" w:right="121"/>
              <w:rPr>
                <w:rFonts w:ascii="Cambria" w:hAnsi="Cambria"/>
                <w:noProof/>
              </w:rPr>
            </w:pPr>
            <w:r w:rsidRPr="00AB15C7">
              <w:rPr>
                <w:rFonts w:ascii="Cambria" w:hAnsi="Cambria"/>
                <w:noProof/>
              </w:rPr>
              <w:t xml:space="preserve">Nekada fabrika za preradu kože, a sada je </w:t>
            </w:r>
            <w:r w:rsidR="00FD4F74" w:rsidRPr="00AB15C7">
              <w:rPr>
                <w:rFonts w:ascii="Cambria" w:hAnsi="Cambria"/>
                <w:noProof/>
              </w:rPr>
              <w:t xml:space="preserve">njenim prostorijama preduzeće koje se bavi </w:t>
            </w:r>
            <w:r w:rsidRPr="00AB15C7">
              <w:rPr>
                <w:rFonts w:ascii="Cambria" w:hAnsi="Cambria"/>
                <w:noProof/>
              </w:rPr>
              <w:t>trgovin</w:t>
            </w:r>
            <w:r w:rsidR="00FD4F74" w:rsidRPr="00AB15C7">
              <w:rPr>
                <w:rFonts w:ascii="Cambria" w:hAnsi="Cambria"/>
                <w:noProof/>
              </w:rPr>
              <w:t>om</w:t>
            </w:r>
            <w:r w:rsidRPr="00AB15C7">
              <w:rPr>
                <w:rFonts w:ascii="Cambria" w:hAnsi="Cambria"/>
                <w:noProof/>
              </w:rPr>
              <w:t xml:space="preserve"> na veliko drvetom, građevinskim materijalom i sanitarnom opremom</w:t>
            </w:r>
            <w:r w:rsidR="006035BD" w:rsidRPr="00AB15C7">
              <w:rPr>
                <w:rFonts w:ascii="Cambria" w:hAnsi="Cambria"/>
                <w:noProof/>
              </w:rPr>
              <w:t>.</w:t>
            </w:r>
          </w:p>
        </w:tc>
        <w:tc>
          <w:tcPr>
            <w:tcW w:w="3220" w:type="dxa"/>
          </w:tcPr>
          <w:p w14:paraId="360F0BB2" w14:textId="77777777" w:rsidR="00196289" w:rsidRPr="00AB15C7" w:rsidRDefault="0028333D" w:rsidP="005921EF">
            <w:pPr>
              <w:spacing w:after="0"/>
              <w:ind w:left="46" w:right="121"/>
              <w:rPr>
                <w:rFonts w:ascii="Cambria" w:hAnsi="Cambria"/>
                <w:noProof/>
              </w:rPr>
            </w:pPr>
            <w:r w:rsidRPr="00AB15C7">
              <w:rPr>
                <w:rFonts w:ascii="Cambria" w:hAnsi="Cambria"/>
                <w:noProof/>
              </w:rPr>
              <w:t>R</w:t>
            </w:r>
            <w:r w:rsidR="00FD4F74" w:rsidRPr="00AB15C7">
              <w:rPr>
                <w:rFonts w:ascii="Cambria" w:hAnsi="Cambria"/>
                <w:noProof/>
              </w:rPr>
              <w:t>azn</w:t>
            </w:r>
            <w:r w:rsidRPr="00AB15C7">
              <w:rPr>
                <w:rFonts w:ascii="Cambria" w:hAnsi="Cambria"/>
                <w:noProof/>
              </w:rPr>
              <w:t>e</w:t>
            </w:r>
            <w:r w:rsidR="00FD4F74" w:rsidRPr="00AB15C7">
              <w:rPr>
                <w:rFonts w:ascii="Cambria" w:hAnsi="Cambria"/>
                <w:noProof/>
              </w:rPr>
              <w:t xml:space="preserve"> hemikalij</w:t>
            </w:r>
            <w:r w:rsidRPr="00AB15C7">
              <w:rPr>
                <w:rFonts w:ascii="Cambria" w:hAnsi="Cambria"/>
                <w:noProof/>
              </w:rPr>
              <w:t>e</w:t>
            </w:r>
            <w:r w:rsidR="00FD4F74" w:rsidRPr="00AB15C7">
              <w:rPr>
                <w:rFonts w:ascii="Cambria" w:hAnsi="Cambria"/>
                <w:noProof/>
              </w:rPr>
              <w:t xml:space="preserve"> zaostal</w:t>
            </w:r>
            <w:r w:rsidRPr="00AB15C7">
              <w:rPr>
                <w:rFonts w:ascii="Cambria" w:hAnsi="Cambria"/>
                <w:noProof/>
              </w:rPr>
              <w:t>e</w:t>
            </w:r>
            <w:r w:rsidR="00FD4F74" w:rsidRPr="00AB15C7">
              <w:rPr>
                <w:rFonts w:ascii="Cambria" w:hAnsi="Cambria"/>
                <w:noProof/>
              </w:rPr>
              <w:t xml:space="preserve"> iz prethodnog perioda nalaz</w:t>
            </w:r>
            <w:r w:rsidRPr="00AB15C7">
              <w:rPr>
                <w:rFonts w:ascii="Cambria" w:hAnsi="Cambria"/>
                <w:noProof/>
              </w:rPr>
              <w:t>e</w:t>
            </w:r>
            <w:r w:rsidR="00FD4F74" w:rsidRPr="00AB15C7">
              <w:rPr>
                <w:rFonts w:ascii="Cambria" w:hAnsi="Cambria"/>
                <w:noProof/>
              </w:rPr>
              <w:t xml:space="preserve"> se u tzv “atomskom skloništu” u krugu </w:t>
            </w:r>
            <w:r w:rsidRPr="00AB15C7">
              <w:rPr>
                <w:rFonts w:ascii="Cambria" w:hAnsi="Cambria"/>
                <w:noProof/>
              </w:rPr>
              <w:t xml:space="preserve">bivše </w:t>
            </w:r>
            <w:r w:rsidR="00FD4F74" w:rsidRPr="00AB15C7">
              <w:rPr>
                <w:rFonts w:ascii="Cambria" w:hAnsi="Cambria"/>
                <w:noProof/>
              </w:rPr>
              <w:t>fabrike.</w:t>
            </w:r>
          </w:p>
        </w:tc>
        <w:tc>
          <w:tcPr>
            <w:tcW w:w="1710" w:type="dxa"/>
          </w:tcPr>
          <w:p w14:paraId="7A40711F" w14:textId="77777777" w:rsidR="00196289" w:rsidRPr="00AB15C7" w:rsidRDefault="00196289" w:rsidP="005921EF">
            <w:pPr>
              <w:spacing w:after="0"/>
              <w:ind w:right="121"/>
              <w:jc w:val="right"/>
              <w:rPr>
                <w:rFonts w:ascii="Cambria" w:hAnsi="Cambria"/>
                <w:noProof/>
              </w:rPr>
            </w:pPr>
            <w:r w:rsidRPr="00AB15C7">
              <w:rPr>
                <w:rFonts w:ascii="Cambria" w:hAnsi="Cambria"/>
                <w:noProof/>
              </w:rPr>
              <w:t>38. 72  t</w:t>
            </w:r>
          </w:p>
        </w:tc>
      </w:tr>
      <w:tr w:rsidR="00196289" w:rsidRPr="00AB15C7" w14:paraId="77D36691" w14:textId="77777777" w:rsidTr="00205CED">
        <w:trPr>
          <w:jc w:val="center"/>
        </w:trPr>
        <w:tc>
          <w:tcPr>
            <w:tcW w:w="1939" w:type="dxa"/>
            <w:shd w:val="clear" w:color="auto" w:fill="F2F2F2" w:themeFill="background1" w:themeFillShade="F2"/>
            <w:tcMar>
              <w:top w:w="0" w:type="dxa"/>
              <w:left w:w="108" w:type="dxa"/>
              <w:bottom w:w="0" w:type="dxa"/>
              <w:right w:w="108" w:type="dxa"/>
            </w:tcMar>
            <w:hideMark/>
          </w:tcPr>
          <w:p w14:paraId="6A7C1A0C" w14:textId="77777777" w:rsidR="00196289" w:rsidRPr="00AB15C7" w:rsidRDefault="00196289" w:rsidP="005921EF">
            <w:pPr>
              <w:spacing w:after="0"/>
              <w:rPr>
                <w:rFonts w:ascii="Cambria" w:hAnsi="Cambria"/>
                <w:noProof/>
              </w:rPr>
            </w:pPr>
            <w:r w:rsidRPr="00AB15C7">
              <w:rPr>
                <w:rFonts w:ascii="Cambria" w:hAnsi="Cambria"/>
                <w:noProof/>
              </w:rPr>
              <w:t>Fabrika sulfatne celuloze i papira - Berane</w:t>
            </w:r>
          </w:p>
        </w:tc>
        <w:tc>
          <w:tcPr>
            <w:tcW w:w="2900" w:type="dxa"/>
          </w:tcPr>
          <w:p w14:paraId="360027B6" w14:textId="77777777" w:rsidR="00196289" w:rsidRPr="00AB15C7" w:rsidRDefault="0028333D" w:rsidP="005921EF">
            <w:pPr>
              <w:spacing w:after="0"/>
              <w:ind w:left="61" w:right="121"/>
              <w:rPr>
                <w:rFonts w:ascii="Cambria" w:hAnsi="Cambria"/>
                <w:noProof/>
              </w:rPr>
            </w:pPr>
            <w:r w:rsidRPr="00AB15C7">
              <w:rPr>
                <w:rFonts w:ascii="Cambria" w:hAnsi="Cambria"/>
                <w:noProof/>
              </w:rPr>
              <w:t xml:space="preserve">Proizvodnja </w:t>
            </w:r>
            <w:r w:rsidR="006035BD" w:rsidRPr="00AB15C7">
              <w:rPr>
                <w:rFonts w:ascii="Cambria" w:hAnsi="Cambria"/>
                <w:noProof/>
              </w:rPr>
              <w:t xml:space="preserve"> </w:t>
            </w:r>
            <w:r w:rsidRPr="00AB15C7">
              <w:rPr>
                <w:rFonts w:ascii="Cambria" w:hAnsi="Cambria"/>
                <w:noProof/>
              </w:rPr>
              <w:t xml:space="preserve">sulfatne celuloze i </w:t>
            </w:r>
            <w:r w:rsidR="006035BD" w:rsidRPr="00AB15C7">
              <w:rPr>
                <w:rFonts w:ascii="Cambria" w:hAnsi="Cambria"/>
                <w:noProof/>
              </w:rPr>
              <w:t xml:space="preserve">papira </w:t>
            </w:r>
          </w:p>
        </w:tc>
        <w:tc>
          <w:tcPr>
            <w:tcW w:w="3220" w:type="dxa"/>
          </w:tcPr>
          <w:p w14:paraId="3F00336E" w14:textId="77777777" w:rsidR="00196289" w:rsidRPr="00AB15C7" w:rsidRDefault="0028333D" w:rsidP="005921EF">
            <w:pPr>
              <w:spacing w:after="0"/>
              <w:ind w:left="46" w:right="121"/>
              <w:rPr>
                <w:rFonts w:ascii="Cambria" w:hAnsi="Cambria"/>
                <w:noProof/>
              </w:rPr>
            </w:pPr>
            <w:r w:rsidRPr="00AB15C7">
              <w:rPr>
                <w:rFonts w:ascii="Cambria" w:hAnsi="Cambria"/>
                <w:noProof/>
              </w:rPr>
              <w:t>H</w:t>
            </w:r>
            <w:r w:rsidR="006035BD" w:rsidRPr="00AB15C7">
              <w:rPr>
                <w:rFonts w:ascii="Cambria" w:hAnsi="Cambria"/>
                <w:noProof/>
              </w:rPr>
              <w:t xml:space="preserve">emikalije za hemijske analize </w:t>
            </w:r>
            <w:r w:rsidRPr="00AB15C7">
              <w:rPr>
                <w:rFonts w:ascii="Cambria" w:hAnsi="Cambria"/>
                <w:noProof/>
              </w:rPr>
              <w:t xml:space="preserve">i druge </w:t>
            </w:r>
            <w:r w:rsidR="006035BD" w:rsidRPr="00AB15C7">
              <w:rPr>
                <w:rFonts w:ascii="Cambria" w:hAnsi="Cambria"/>
                <w:noProof/>
              </w:rPr>
              <w:t>hemikalije sa isteklim rokom upotrebe u originalnom pakovanju</w:t>
            </w:r>
            <w:r w:rsidRPr="00AB15C7">
              <w:rPr>
                <w:rFonts w:ascii="Cambria" w:hAnsi="Cambria"/>
                <w:noProof/>
              </w:rPr>
              <w:t>, neadekvatno skladištene u prostorijama bivše fabrike.</w:t>
            </w:r>
          </w:p>
        </w:tc>
        <w:tc>
          <w:tcPr>
            <w:tcW w:w="1710" w:type="dxa"/>
          </w:tcPr>
          <w:p w14:paraId="05C1D34A" w14:textId="77777777" w:rsidR="00196289" w:rsidRPr="00AB15C7" w:rsidRDefault="00196289" w:rsidP="005921EF">
            <w:pPr>
              <w:spacing w:after="0"/>
              <w:ind w:right="121"/>
              <w:jc w:val="right"/>
              <w:rPr>
                <w:rFonts w:ascii="Cambria" w:hAnsi="Cambria"/>
                <w:noProof/>
              </w:rPr>
            </w:pPr>
            <w:r w:rsidRPr="00AB15C7">
              <w:rPr>
                <w:rFonts w:ascii="Cambria" w:hAnsi="Cambria"/>
                <w:noProof/>
              </w:rPr>
              <w:t>23400 l</w:t>
            </w:r>
          </w:p>
        </w:tc>
      </w:tr>
      <w:tr w:rsidR="0028333D" w:rsidRPr="00AB15C7" w14:paraId="41CAF4F1" w14:textId="77777777" w:rsidTr="00205CED">
        <w:trPr>
          <w:jc w:val="center"/>
        </w:trPr>
        <w:tc>
          <w:tcPr>
            <w:tcW w:w="8059" w:type="dxa"/>
            <w:gridSpan w:val="3"/>
            <w:tcMar>
              <w:top w:w="0" w:type="dxa"/>
              <w:left w:w="108" w:type="dxa"/>
              <w:bottom w:w="0" w:type="dxa"/>
              <w:right w:w="108" w:type="dxa"/>
            </w:tcMar>
            <w:hideMark/>
          </w:tcPr>
          <w:p w14:paraId="0412BAB8" w14:textId="77777777" w:rsidR="0028333D" w:rsidRPr="00AB15C7" w:rsidRDefault="0028333D" w:rsidP="005921EF">
            <w:pPr>
              <w:spacing w:after="0"/>
              <w:ind w:right="121"/>
              <w:jc w:val="center"/>
              <w:rPr>
                <w:rFonts w:ascii="Cambria" w:hAnsi="Cambria"/>
                <w:noProof/>
              </w:rPr>
            </w:pPr>
            <w:r w:rsidRPr="00AB15C7">
              <w:rPr>
                <w:rFonts w:ascii="Cambria" w:hAnsi="Cambria"/>
                <w:noProof/>
              </w:rPr>
              <w:t>UKUPNA KOLIČINA ZAOSTALIH HEMIKALIJA</w:t>
            </w:r>
          </w:p>
        </w:tc>
        <w:tc>
          <w:tcPr>
            <w:tcW w:w="1710" w:type="dxa"/>
          </w:tcPr>
          <w:p w14:paraId="5D91EA00" w14:textId="77777777" w:rsidR="0028333D" w:rsidRPr="00AB15C7" w:rsidRDefault="0028333D" w:rsidP="005921EF">
            <w:pPr>
              <w:spacing w:after="0"/>
              <w:ind w:right="121"/>
              <w:jc w:val="right"/>
              <w:rPr>
                <w:rFonts w:ascii="Cambria" w:hAnsi="Cambria"/>
                <w:noProof/>
              </w:rPr>
            </w:pPr>
            <w:r w:rsidRPr="00AB15C7">
              <w:rPr>
                <w:rFonts w:ascii="Cambria" w:hAnsi="Cambria"/>
                <w:noProof/>
              </w:rPr>
              <w:t>55.15 t + 23.4 kL</w:t>
            </w:r>
          </w:p>
        </w:tc>
      </w:tr>
    </w:tbl>
    <w:p w14:paraId="22238D75" w14:textId="77777777" w:rsidR="001F2DC1" w:rsidRPr="009C0247" w:rsidRDefault="00C30D42" w:rsidP="00B60506">
      <w:pPr>
        <w:jc w:val="center"/>
        <w:rPr>
          <w:rFonts w:ascii="Cambria" w:hAnsi="Cambria"/>
          <w:i/>
          <w:noProof/>
          <w:lang w:val="sr-Latn-ME"/>
        </w:rPr>
      </w:pPr>
      <w:r w:rsidRPr="009C0247">
        <w:rPr>
          <w:rFonts w:ascii="Cambria" w:hAnsi="Cambria"/>
          <w:i/>
          <w:noProof/>
          <w:lang w:val="sr-Latn-ME"/>
        </w:rPr>
        <w:t>Izvor: Ministarstvo održivog razvoja i turizma</w:t>
      </w:r>
    </w:p>
    <w:p w14:paraId="48F6750E" w14:textId="398748E2" w:rsidR="00EF3E91" w:rsidRPr="00AB15C7" w:rsidRDefault="004B290C" w:rsidP="005921EF">
      <w:pPr>
        <w:jc w:val="both"/>
        <w:rPr>
          <w:rFonts w:ascii="Cambria" w:hAnsi="Cambria"/>
          <w:noProof/>
          <w:lang w:val="sr-Latn-ME"/>
        </w:rPr>
      </w:pPr>
      <w:r w:rsidRPr="00AB15C7">
        <w:rPr>
          <w:rFonts w:ascii="Cambria" w:hAnsi="Cambria"/>
          <w:noProof/>
          <w:lang w:val="sr-Latn-ME"/>
        </w:rPr>
        <w:br/>
      </w:r>
      <w:r w:rsidR="00801AAE" w:rsidRPr="00AB15C7">
        <w:rPr>
          <w:rFonts w:ascii="Cambria" w:hAnsi="Cambria"/>
          <w:noProof/>
          <w:lang w:val="sr-Latn-ME"/>
        </w:rPr>
        <w:t xml:space="preserve">U pogledu hemikalija koje </w:t>
      </w:r>
      <w:r w:rsidR="000B1AEC" w:rsidRPr="00AB15C7">
        <w:rPr>
          <w:rFonts w:ascii="Cambria" w:hAnsi="Cambria"/>
          <w:noProof/>
          <w:lang w:val="sr-Latn-ME"/>
        </w:rPr>
        <w:t>su obuhvaćene medjunarodnim konv</w:t>
      </w:r>
      <w:r w:rsidR="000C0A5A" w:rsidRPr="00AB15C7">
        <w:rPr>
          <w:rFonts w:ascii="Cambria" w:hAnsi="Cambria"/>
          <w:noProof/>
          <w:lang w:val="sr-Latn-ME"/>
        </w:rPr>
        <w:t>e</w:t>
      </w:r>
      <w:r w:rsidR="000B1AEC" w:rsidRPr="00AB15C7">
        <w:rPr>
          <w:rFonts w:ascii="Cambria" w:hAnsi="Cambria"/>
          <w:noProof/>
          <w:lang w:val="sr-Latn-ME"/>
        </w:rPr>
        <w:t xml:space="preserve">ncijama </w:t>
      </w:r>
      <w:r w:rsidR="00C24331" w:rsidRPr="00AB15C7">
        <w:rPr>
          <w:rFonts w:ascii="Cambria" w:hAnsi="Cambria"/>
          <w:noProof/>
          <w:lang w:val="sr-Latn-ME"/>
        </w:rPr>
        <w:t>jer</w:t>
      </w:r>
      <w:r w:rsidR="000B1AEC" w:rsidRPr="00AB15C7">
        <w:rPr>
          <w:rFonts w:ascii="Cambria" w:hAnsi="Cambria"/>
          <w:noProof/>
          <w:lang w:val="sr-Latn-ME"/>
        </w:rPr>
        <w:t xml:space="preserve"> da </w:t>
      </w:r>
      <w:r w:rsidR="00801AAE" w:rsidRPr="00AB15C7">
        <w:rPr>
          <w:rFonts w:ascii="Cambria" w:hAnsi="Cambria"/>
          <w:noProof/>
          <w:lang w:val="sr-Latn-ME"/>
        </w:rPr>
        <w:t>predstavljaju neprihvatljiv rizik</w:t>
      </w:r>
      <w:r w:rsidR="000B1AEC" w:rsidRPr="00AB15C7">
        <w:rPr>
          <w:rFonts w:ascii="Cambria" w:hAnsi="Cambria"/>
          <w:noProof/>
          <w:lang w:val="sr-Latn-ME"/>
        </w:rPr>
        <w:t xml:space="preserve"> po zdravlje ljudi i životnu sredinu</w:t>
      </w:r>
      <w:r w:rsidR="000C0A5A" w:rsidRPr="00AB15C7">
        <w:rPr>
          <w:rFonts w:ascii="Cambria" w:hAnsi="Cambria"/>
          <w:noProof/>
          <w:lang w:val="sr-Latn-ME"/>
        </w:rPr>
        <w:t xml:space="preserve"> koji </w:t>
      </w:r>
      <w:r w:rsidR="000C0A5A" w:rsidRPr="00AB15C7">
        <w:rPr>
          <w:rFonts w:ascii="Cambria" w:hAnsi="Cambria"/>
          <w:noProof/>
        </w:rPr>
        <w:t>zaht</w:t>
      </w:r>
      <w:r w:rsidR="007711F3" w:rsidRPr="00AB15C7">
        <w:rPr>
          <w:rFonts w:ascii="Cambria" w:hAnsi="Cambria"/>
          <w:noProof/>
        </w:rPr>
        <w:t>j</w:t>
      </w:r>
      <w:r w:rsidR="000C0A5A" w:rsidRPr="00AB15C7">
        <w:rPr>
          <w:rFonts w:ascii="Cambria" w:hAnsi="Cambria"/>
          <w:noProof/>
        </w:rPr>
        <w:t>eva stratešku akciju na globalnom nivou</w:t>
      </w:r>
      <w:r w:rsidR="00386F07" w:rsidRPr="00AB15C7">
        <w:rPr>
          <w:rFonts w:ascii="Cambria" w:hAnsi="Cambria"/>
          <w:noProof/>
        </w:rPr>
        <w:t xml:space="preserve"> kako bi se zabranila ili značajno ograničila njihova proizvodnja i upotreba</w:t>
      </w:r>
      <w:r w:rsidR="000C0A5A" w:rsidRPr="00AB15C7">
        <w:rPr>
          <w:rFonts w:ascii="Cambria" w:hAnsi="Cambria"/>
          <w:noProof/>
        </w:rPr>
        <w:t xml:space="preserve">, </w:t>
      </w:r>
      <w:r w:rsidR="00801AAE" w:rsidRPr="00AB15C7">
        <w:rPr>
          <w:rFonts w:ascii="Cambria" w:hAnsi="Cambria"/>
          <w:noProof/>
          <w:lang w:val="sr-Latn-ME"/>
        </w:rPr>
        <w:t xml:space="preserve">Crna Gora je potpisnica </w:t>
      </w:r>
      <w:r w:rsidR="00801AAE" w:rsidRPr="00AB15C7">
        <w:rPr>
          <w:rFonts w:ascii="Cambria" w:hAnsi="Cambria"/>
          <w:noProof/>
          <w:lang w:val="sr-Latn-ME"/>
        </w:rPr>
        <w:lastRenderedPageBreak/>
        <w:t xml:space="preserve">Stokholmske </w:t>
      </w:r>
      <w:r w:rsidR="000C0A5A" w:rsidRPr="00AB15C7">
        <w:rPr>
          <w:rFonts w:ascii="Cambria" w:hAnsi="Cambria"/>
          <w:noProof/>
          <w:lang w:val="sr-Latn-ME"/>
        </w:rPr>
        <w:t xml:space="preserve">konvencije </w:t>
      </w:r>
      <w:r w:rsidR="000C0A5A" w:rsidRPr="00AB15C7">
        <w:rPr>
          <w:rFonts w:ascii="Cambria" w:hAnsi="Cambria"/>
          <w:noProof/>
        </w:rPr>
        <w:t>o dugotrajnim organskim zagađujućim materijama (engl. persistent organic pollutants, u daljem tekstu POPs)</w:t>
      </w:r>
      <w:r w:rsidR="00B01ECB" w:rsidRPr="00AB15C7">
        <w:rPr>
          <w:rFonts w:ascii="Cambria" w:hAnsi="Cambria"/>
          <w:noProof/>
          <w:lang w:val="sr-Latn-ME"/>
        </w:rPr>
        <w:t xml:space="preserve">, </w:t>
      </w:r>
      <w:r w:rsidR="006C0116">
        <w:rPr>
          <w:rFonts w:ascii="Cambria" w:hAnsi="Cambria"/>
          <w:noProof/>
          <w:lang w:val="sr-Latn-ME"/>
        </w:rPr>
        <w:t xml:space="preserve">a u toku je </w:t>
      </w:r>
      <w:r w:rsidR="00CE0224">
        <w:rPr>
          <w:rFonts w:ascii="Cambria" w:hAnsi="Cambria"/>
          <w:noProof/>
          <w:lang w:val="sr-Latn-ME"/>
        </w:rPr>
        <w:t>i</w:t>
      </w:r>
      <w:r w:rsidR="006C0116">
        <w:rPr>
          <w:rFonts w:ascii="Cambria" w:hAnsi="Cambria"/>
          <w:noProof/>
          <w:lang w:val="sr-Latn-ME"/>
        </w:rPr>
        <w:t xml:space="preserve"> </w:t>
      </w:r>
      <w:r w:rsidR="00CE0224">
        <w:rPr>
          <w:rFonts w:ascii="Cambria" w:hAnsi="Cambria"/>
          <w:noProof/>
          <w:lang w:val="sr-Latn-ME"/>
        </w:rPr>
        <w:t xml:space="preserve">ratifikacija </w:t>
      </w:r>
      <w:r w:rsidR="000B1AEC" w:rsidRPr="00AB15C7">
        <w:rPr>
          <w:rFonts w:ascii="Cambria" w:hAnsi="Cambria"/>
          <w:noProof/>
          <w:lang w:val="sr-Latn-ME"/>
        </w:rPr>
        <w:t>Minamata konvencij</w:t>
      </w:r>
      <w:r w:rsidR="00AA773D" w:rsidRPr="00AB15C7">
        <w:rPr>
          <w:rFonts w:ascii="Cambria" w:hAnsi="Cambria"/>
          <w:noProof/>
          <w:lang w:val="sr-Latn-ME"/>
        </w:rPr>
        <w:t>e</w:t>
      </w:r>
      <w:r w:rsidR="000B1AEC" w:rsidRPr="00AB15C7">
        <w:rPr>
          <w:rFonts w:ascii="Cambria" w:hAnsi="Cambria"/>
          <w:noProof/>
          <w:lang w:val="sr-Latn-ME"/>
        </w:rPr>
        <w:t xml:space="preserve"> </w:t>
      </w:r>
      <w:r w:rsidR="00AA773D" w:rsidRPr="00AB15C7">
        <w:rPr>
          <w:rFonts w:ascii="Cambria" w:hAnsi="Cambria"/>
          <w:noProof/>
          <w:lang w:val="sr-Latn-ME"/>
        </w:rPr>
        <w:t>o živi.</w:t>
      </w:r>
      <w:r w:rsidR="001252C0" w:rsidRPr="00AB15C7">
        <w:rPr>
          <w:rFonts w:ascii="Cambria" w:hAnsi="Cambria"/>
          <w:noProof/>
          <w:lang w:val="sr-Latn-ME"/>
        </w:rPr>
        <w:t xml:space="preserve"> </w:t>
      </w:r>
    </w:p>
    <w:p w14:paraId="31F572BA" w14:textId="77777777" w:rsidR="007659D6" w:rsidRPr="00AB15C7" w:rsidRDefault="00AA773D" w:rsidP="005921EF">
      <w:pPr>
        <w:jc w:val="both"/>
        <w:rPr>
          <w:rFonts w:ascii="Cambria" w:hAnsi="Cambria"/>
          <w:noProof/>
        </w:rPr>
      </w:pPr>
      <w:r w:rsidRPr="00AB15C7">
        <w:rPr>
          <w:rFonts w:ascii="Cambria" w:hAnsi="Cambria"/>
          <w:noProof/>
        </w:rPr>
        <w:t>Osnovni cilj </w:t>
      </w:r>
      <w:r w:rsidRPr="00AB15C7">
        <w:rPr>
          <w:rFonts w:ascii="Cambria" w:hAnsi="Cambria"/>
          <w:noProof/>
          <w:lang w:val="sr-Latn-ME"/>
        </w:rPr>
        <w:t>Stokholmske konvencije</w:t>
      </w:r>
      <w:r w:rsidRPr="00AB15C7">
        <w:rPr>
          <w:rFonts w:ascii="Cambria" w:hAnsi="Cambria"/>
          <w:noProof/>
        </w:rPr>
        <w:t> je zaštita zdravlja ljudi i životne sredine od POPs hemikalija. Države potpisnice ove Konvencije imaju obavezu da utvrde, zabrane ili ograniče proizvodnju, promet i korišćenje POPs, kao i obavezu da smanje, odnosno eliminišu emisije  POPs hemikalija</w:t>
      </w:r>
      <w:r w:rsidR="00190FB8" w:rsidRPr="00AB15C7">
        <w:rPr>
          <w:rFonts w:ascii="Cambria" w:hAnsi="Cambria"/>
          <w:noProof/>
        </w:rPr>
        <w:t>.</w:t>
      </w:r>
      <w:r w:rsidR="000D46E5" w:rsidRPr="00AB15C7">
        <w:rPr>
          <w:rFonts w:ascii="Cambria" w:hAnsi="Cambria"/>
          <w:noProof/>
        </w:rPr>
        <w:t xml:space="preserve"> </w:t>
      </w:r>
      <w:bookmarkStart w:id="32" w:name="_Hlk522998933"/>
      <w:r w:rsidR="000D46E5" w:rsidRPr="00AB15C7">
        <w:rPr>
          <w:rFonts w:ascii="Cambria" w:hAnsi="Cambria"/>
          <w:noProof/>
        </w:rPr>
        <w:t xml:space="preserve">Inicijalno </w:t>
      </w:r>
      <w:r w:rsidR="00A550EE" w:rsidRPr="00AB15C7">
        <w:rPr>
          <w:rFonts w:ascii="Cambria" w:hAnsi="Cambria"/>
          <w:noProof/>
        </w:rPr>
        <w:t>S</w:t>
      </w:r>
      <w:r w:rsidR="000D46E5" w:rsidRPr="00AB15C7">
        <w:rPr>
          <w:rFonts w:ascii="Cambria" w:hAnsi="Cambria"/>
          <w:noProof/>
        </w:rPr>
        <w:t>tokholmska konvencija je obuhvatala</w:t>
      </w:r>
      <w:r w:rsidRPr="00AB15C7">
        <w:rPr>
          <w:rFonts w:ascii="Cambria" w:hAnsi="Cambria"/>
          <w:noProof/>
        </w:rPr>
        <w:t xml:space="preserve"> </w:t>
      </w:r>
      <w:r w:rsidR="000D46E5" w:rsidRPr="00AB15C7">
        <w:rPr>
          <w:rFonts w:ascii="Cambria" w:hAnsi="Cambria"/>
          <w:noProof/>
        </w:rPr>
        <w:t>12 POPs hemikalija</w:t>
      </w:r>
      <w:r w:rsidR="007451BE">
        <w:rPr>
          <w:rFonts w:ascii="Cambria" w:hAnsi="Cambria"/>
          <w:noProof/>
        </w:rPr>
        <w:t xml:space="preserve">, ali </w:t>
      </w:r>
      <w:r w:rsidR="00C62B45" w:rsidRPr="00AB15C7">
        <w:rPr>
          <w:rFonts w:ascii="Cambria" w:hAnsi="Cambria"/>
          <w:noProof/>
        </w:rPr>
        <w:t xml:space="preserve">je do </w:t>
      </w:r>
      <w:r w:rsidR="005C0956" w:rsidRPr="00AB15C7">
        <w:rPr>
          <w:rFonts w:ascii="Cambria" w:hAnsi="Cambria"/>
          <w:noProof/>
        </w:rPr>
        <w:t xml:space="preserve">2018. godine, </w:t>
      </w:r>
      <w:r w:rsidR="00C62B45" w:rsidRPr="00AB15C7">
        <w:rPr>
          <w:rFonts w:ascii="Cambria" w:hAnsi="Cambria"/>
          <w:noProof/>
        </w:rPr>
        <w:t xml:space="preserve"> </w:t>
      </w:r>
      <w:r w:rsidR="000D46E5" w:rsidRPr="00AB15C7">
        <w:rPr>
          <w:rFonts w:ascii="Cambria" w:hAnsi="Cambria"/>
          <w:noProof/>
        </w:rPr>
        <w:t xml:space="preserve">amandmanima na anekse Stokholmske konvencije ovaj broj proširen za </w:t>
      </w:r>
      <w:r w:rsidR="00C62B45" w:rsidRPr="00AB15C7">
        <w:rPr>
          <w:rFonts w:ascii="Cambria" w:hAnsi="Cambria"/>
          <w:noProof/>
        </w:rPr>
        <w:t>16</w:t>
      </w:r>
      <w:r w:rsidR="000D46E5" w:rsidRPr="00AB15C7">
        <w:rPr>
          <w:rFonts w:ascii="Cambria" w:hAnsi="Cambria"/>
          <w:noProof/>
        </w:rPr>
        <w:t xml:space="preserve"> novih POPs hemikalija (tabela </w:t>
      </w:r>
      <w:r w:rsidR="00962EE3" w:rsidRPr="00AB15C7">
        <w:rPr>
          <w:rFonts w:ascii="Cambria" w:hAnsi="Cambria"/>
          <w:noProof/>
        </w:rPr>
        <w:t>1</w:t>
      </w:r>
      <w:r w:rsidR="004949F5">
        <w:rPr>
          <w:rFonts w:ascii="Cambria" w:hAnsi="Cambria"/>
          <w:noProof/>
        </w:rPr>
        <w:t>8</w:t>
      </w:r>
      <w:r w:rsidR="00962EE3" w:rsidRPr="00AB15C7">
        <w:rPr>
          <w:rFonts w:ascii="Cambria" w:hAnsi="Cambria"/>
          <w:noProof/>
        </w:rPr>
        <w:t>.</w:t>
      </w:r>
      <w:r w:rsidR="00BE74F1" w:rsidRPr="00AB15C7">
        <w:rPr>
          <w:rFonts w:ascii="Cambria" w:hAnsi="Cambria"/>
          <w:noProof/>
        </w:rPr>
        <w:t>)</w:t>
      </w:r>
      <w:r w:rsidR="0074068D" w:rsidRPr="00AB15C7">
        <w:rPr>
          <w:rFonts w:ascii="Cambria" w:hAnsi="Cambria"/>
          <w:noProof/>
        </w:rPr>
        <w:t>, od kojih neke spadaju u više grupa POPs (POPs pesticidi, industrijske i/ili nenamjerno proizvedene POPs hemikalije)</w:t>
      </w:r>
      <w:r w:rsidR="00793D1D" w:rsidRPr="00AB15C7">
        <w:rPr>
          <w:rFonts w:ascii="Cambria" w:hAnsi="Cambria"/>
          <w:noProof/>
        </w:rPr>
        <w:t>.</w:t>
      </w:r>
    </w:p>
    <w:bookmarkEnd w:id="32"/>
    <w:p w14:paraId="303F1ED7" w14:textId="77777777" w:rsidR="00BE74F1" w:rsidRPr="00940834" w:rsidRDefault="00BE74F1" w:rsidP="00940834">
      <w:pPr>
        <w:shd w:val="clear" w:color="auto" w:fill="FFFFFF"/>
        <w:spacing w:before="204" w:after="120"/>
        <w:jc w:val="center"/>
        <w:textAlignment w:val="baseline"/>
        <w:rPr>
          <w:rFonts w:ascii="Cambria" w:hAnsi="Cambria"/>
          <w:i/>
          <w:noProof/>
        </w:rPr>
      </w:pPr>
      <w:r w:rsidRPr="00940834">
        <w:rPr>
          <w:rFonts w:ascii="Cambria" w:hAnsi="Cambria"/>
          <w:i/>
          <w:noProof/>
        </w:rPr>
        <w:t>Tabela 1</w:t>
      </w:r>
      <w:r w:rsidR="004949F5" w:rsidRPr="00940834">
        <w:rPr>
          <w:rFonts w:ascii="Cambria" w:hAnsi="Cambria"/>
          <w:i/>
          <w:noProof/>
        </w:rPr>
        <w:t>8</w:t>
      </w:r>
      <w:r w:rsidRPr="00940834">
        <w:rPr>
          <w:rFonts w:ascii="Cambria" w:hAnsi="Cambria"/>
          <w:i/>
          <w:noProof/>
        </w:rPr>
        <w:t>.</w:t>
      </w:r>
      <w:r w:rsidR="00940834" w:rsidRPr="00940834">
        <w:rPr>
          <w:rFonts w:ascii="Cambria" w:hAnsi="Cambria"/>
          <w:i/>
          <w:noProof/>
        </w:rPr>
        <w:t xml:space="preserve"> </w:t>
      </w:r>
      <w:r w:rsidR="0074068D" w:rsidRPr="00940834">
        <w:rPr>
          <w:rFonts w:ascii="Cambria" w:hAnsi="Cambria"/>
          <w:noProof/>
        </w:rPr>
        <w:t>Inicijalne</w:t>
      </w:r>
      <w:r w:rsidRPr="00940834">
        <w:rPr>
          <w:rFonts w:ascii="Cambria" w:hAnsi="Cambria"/>
          <w:noProof/>
        </w:rPr>
        <w:t xml:space="preserve"> i nove POPs hemikalije</w:t>
      </w:r>
    </w:p>
    <w:tbl>
      <w:tblPr>
        <w:tblW w:w="9810" w:type="dxa"/>
        <w:shd w:val="clear" w:color="auto" w:fill="FCFCFC"/>
        <w:tblCellMar>
          <w:left w:w="0" w:type="dxa"/>
          <w:right w:w="0" w:type="dxa"/>
        </w:tblCellMar>
        <w:tblLook w:val="04A0" w:firstRow="1" w:lastRow="0" w:firstColumn="1" w:lastColumn="0" w:noHBand="0" w:noVBand="1"/>
      </w:tblPr>
      <w:tblGrid>
        <w:gridCol w:w="2070"/>
        <w:gridCol w:w="2962"/>
        <w:gridCol w:w="4778"/>
      </w:tblGrid>
      <w:tr w:rsidR="00BE74F1" w:rsidRPr="00AB15C7" w14:paraId="506C3068" w14:textId="77777777" w:rsidTr="00205CED">
        <w:tc>
          <w:tcPr>
            <w:tcW w:w="2070" w:type="dxa"/>
            <w:tcBorders>
              <w:top w:val="single" w:sz="6" w:space="0" w:color="E1E1E1"/>
              <w:left w:val="single" w:sz="6" w:space="0" w:color="E1E1E1"/>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008EECB6" w14:textId="77777777" w:rsidR="00BE74F1" w:rsidRPr="00AB15C7" w:rsidRDefault="00BE74F1" w:rsidP="005921EF">
            <w:pPr>
              <w:spacing w:after="0"/>
              <w:rPr>
                <w:rFonts w:ascii="Cambria" w:hAnsi="Cambria"/>
                <w:b/>
                <w:noProof/>
              </w:rPr>
            </w:pPr>
            <w:r w:rsidRPr="00AB15C7">
              <w:rPr>
                <w:rFonts w:ascii="Cambria" w:hAnsi="Cambria"/>
                <w:b/>
                <w:noProof/>
              </w:rPr>
              <w:t>Grupa POPs</w:t>
            </w:r>
          </w:p>
        </w:tc>
        <w:tc>
          <w:tcPr>
            <w:tcW w:w="2962" w:type="dxa"/>
            <w:tcBorders>
              <w:top w:val="single" w:sz="6" w:space="0" w:color="E1E1E1"/>
              <w:left w:val="nil"/>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061BA3FD" w14:textId="77777777" w:rsidR="00BE74F1" w:rsidRPr="00AB15C7" w:rsidRDefault="00BE74F1" w:rsidP="005921EF">
            <w:pPr>
              <w:spacing w:after="0"/>
              <w:rPr>
                <w:rFonts w:ascii="Cambria" w:hAnsi="Cambria"/>
                <w:b/>
                <w:noProof/>
              </w:rPr>
            </w:pPr>
            <w:r w:rsidRPr="00AB15C7">
              <w:rPr>
                <w:rFonts w:ascii="Cambria" w:hAnsi="Cambria"/>
                <w:b/>
                <w:noProof/>
              </w:rPr>
              <w:t xml:space="preserve">12 </w:t>
            </w:r>
            <w:r w:rsidR="00C62B45" w:rsidRPr="00AB15C7">
              <w:rPr>
                <w:rFonts w:ascii="Cambria" w:hAnsi="Cambria"/>
                <w:b/>
                <w:noProof/>
              </w:rPr>
              <w:t xml:space="preserve">inicijalnih </w:t>
            </w:r>
            <w:r w:rsidRPr="00AB15C7">
              <w:rPr>
                <w:rFonts w:ascii="Cambria" w:hAnsi="Cambria"/>
                <w:b/>
                <w:noProof/>
              </w:rPr>
              <w:t>POPs</w:t>
            </w:r>
          </w:p>
        </w:tc>
        <w:tc>
          <w:tcPr>
            <w:tcW w:w="4778" w:type="dxa"/>
            <w:tcBorders>
              <w:top w:val="single" w:sz="6" w:space="0" w:color="E1E1E1"/>
              <w:left w:val="nil"/>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6D6ED848" w14:textId="77777777" w:rsidR="00BE74F1" w:rsidRPr="00AB15C7" w:rsidRDefault="00BE74F1" w:rsidP="005921EF">
            <w:pPr>
              <w:spacing w:after="0"/>
              <w:rPr>
                <w:rFonts w:ascii="Cambria" w:hAnsi="Cambria"/>
                <w:b/>
                <w:noProof/>
              </w:rPr>
            </w:pPr>
            <w:r w:rsidRPr="00AB15C7">
              <w:rPr>
                <w:rFonts w:ascii="Cambria" w:hAnsi="Cambria"/>
                <w:b/>
                <w:noProof/>
              </w:rPr>
              <w:t>1</w:t>
            </w:r>
            <w:r w:rsidR="0074068D" w:rsidRPr="00AB15C7">
              <w:rPr>
                <w:rFonts w:ascii="Cambria" w:hAnsi="Cambria"/>
                <w:b/>
                <w:noProof/>
              </w:rPr>
              <w:t>6</w:t>
            </w:r>
            <w:r w:rsidRPr="00AB15C7">
              <w:rPr>
                <w:rFonts w:ascii="Cambria" w:hAnsi="Cambria"/>
                <w:b/>
                <w:noProof/>
              </w:rPr>
              <w:t xml:space="preserve"> </w:t>
            </w:r>
            <w:r w:rsidR="0074068D" w:rsidRPr="00AB15C7">
              <w:rPr>
                <w:rFonts w:ascii="Cambria" w:hAnsi="Cambria"/>
                <w:b/>
                <w:noProof/>
              </w:rPr>
              <w:t xml:space="preserve">novih </w:t>
            </w:r>
            <w:r w:rsidRPr="00AB15C7">
              <w:rPr>
                <w:rFonts w:ascii="Cambria" w:hAnsi="Cambria"/>
                <w:b/>
                <w:noProof/>
              </w:rPr>
              <w:t>POPs</w:t>
            </w:r>
          </w:p>
        </w:tc>
      </w:tr>
      <w:tr w:rsidR="00BE74F1" w:rsidRPr="00AB15C7" w14:paraId="2AB93B35" w14:textId="77777777" w:rsidTr="00205CED">
        <w:tc>
          <w:tcPr>
            <w:tcW w:w="2070" w:type="dxa"/>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6189F619" w14:textId="77777777" w:rsidR="00BE74F1" w:rsidRPr="00AB15C7" w:rsidRDefault="00BE74F1" w:rsidP="005921EF">
            <w:pPr>
              <w:spacing w:after="0"/>
              <w:rPr>
                <w:rFonts w:ascii="Cambria" w:hAnsi="Cambria"/>
                <w:noProof/>
              </w:rPr>
            </w:pPr>
            <w:r w:rsidRPr="00AB15C7">
              <w:rPr>
                <w:rFonts w:ascii="Cambria" w:hAnsi="Cambria"/>
                <w:noProof/>
              </w:rPr>
              <w:t>POPs pesticidi</w:t>
            </w:r>
          </w:p>
        </w:tc>
        <w:tc>
          <w:tcPr>
            <w:tcW w:w="2962" w:type="dxa"/>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04B301A4" w14:textId="77777777" w:rsidR="00BE74F1" w:rsidRPr="00AB15C7" w:rsidRDefault="00BE74F1" w:rsidP="005921EF">
            <w:pPr>
              <w:spacing w:after="0"/>
              <w:rPr>
                <w:rFonts w:ascii="Cambria" w:hAnsi="Cambria"/>
                <w:noProof/>
              </w:rPr>
            </w:pPr>
            <w:r w:rsidRPr="00AB15C7">
              <w:rPr>
                <w:rFonts w:ascii="Cambria" w:hAnsi="Cambria"/>
                <w:noProof/>
              </w:rPr>
              <w:t>aldrin, DDT, endrin, dieldrin, hlordan, mireks,</w:t>
            </w:r>
            <w:r w:rsidR="00123817" w:rsidRPr="00AB15C7">
              <w:rPr>
                <w:rFonts w:ascii="Cambria" w:hAnsi="Cambria"/>
                <w:noProof/>
              </w:rPr>
              <w:t xml:space="preserve"> </w:t>
            </w:r>
            <w:r w:rsidRPr="00AB15C7">
              <w:rPr>
                <w:rFonts w:ascii="Cambria" w:hAnsi="Cambria"/>
                <w:noProof/>
              </w:rPr>
              <w:t>toksafen,</w:t>
            </w:r>
            <w:r w:rsidR="00123817" w:rsidRPr="00AB15C7">
              <w:rPr>
                <w:rFonts w:ascii="Cambria" w:hAnsi="Cambria"/>
                <w:noProof/>
              </w:rPr>
              <w:t xml:space="preserve"> </w:t>
            </w:r>
            <w:r w:rsidRPr="00AB15C7">
              <w:rPr>
                <w:rFonts w:ascii="Cambria" w:hAnsi="Cambria"/>
                <w:noProof/>
              </w:rPr>
              <w:t>heptahlor</w:t>
            </w:r>
            <w:r w:rsidR="00123817" w:rsidRPr="00AB15C7">
              <w:rPr>
                <w:rFonts w:ascii="Cambria" w:hAnsi="Cambria"/>
                <w:noProof/>
              </w:rPr>
              <w:t xml:space="preserve">, </w:t>
            </w:r>
            <w:r w:rsidRPr="00AB15C7">
              <w:rPr>
                <w:rFonts w:ascii="Cambria" w:hAnsi="Cambria"/>
                <w:noProof/>
              </w:rPr>
              <w:t>heksahlorbenzen</w:t>
            </w:r>
          </w:p>
        </w:tc>
        <w:tc>
          <w:tcPr>
            <w:tcW w:w="4778" w:type="dxa"/>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62529AE9" w14:textId="77777777" w:rsidR="00C62B45" w:rsidRPr="00AB15C7" w:rsidRDefault="00BE74F1" w:rsidP="005921EF">
            <w:pPr>
              <w:spacing w:after="0"/>
              <w:rPr>
                <w:rFonts w:ascii="Cambria" w:hAnsi="Cambria"/>
                <w:noProof/>
              </w:rPr>
            </w:pPr>
            <w:r w:rsidRPr="00AB15C7">
              <w:rPr>
                <w:rFonts w:ascii="Cambria" w:hAnsi="Cambria"/>
                <w:noProof/>
              </w:rPr>
              <w:t>Lindan (γ- HCH), Hlordekon, Pentahlorbenzen, α-HCH, β-HCH</w:t>
            </w:r>
            <w:r w:rsidR="00C62B45" w:rsidRPr="00AB15C7">
              <w:rPr>
                <w:rFonts w:ascii="Cambria" w:hAnsi="Cambria"/>
                <w:noProof/>
              </w:rPr>
              <w:t xml:space="preserve">, </w:t>
            </w:r>
            <w:r w:rsidRPr="00AB15C7">
              <w:rPr>
                <w:rFonts w:ascii="Cambria" w:hAnsi="Cambria"/>
                <w:noProof/>
              </w:rPr>
              <w:t xml:space="preserve"> Endosulfan</w:t>
            </w:r>
            <w:r w:rsidR="00C62B45" w:rsidRPr="00AB15C7">
              <w:rPr>
                <w:rFonts w:ascii="Cambria" w:hAnsi="Cambria"/>
                <w:noProof/>
              </w:rPr>
              <w:t xml:space="preserve">, Pentahlorfenol </w:t>
            </w:r>
          </w:p>
          <w:p w14:paraId="160DCE8A" w14:textId="77777777" w:rsidR="00BE74F1" w:rsidRPr="00AB15C7" w:rsidRDefault="00BE74F1" w:rsidP="005921EF">
            <w:pPr>
              <w:spacing w:after="0"/>
              <w:rPr>
                <w:rFonts w:ascii="Cambria" w:hAnsi="Cambria"/>
                <w:noProof/>
              </w:rPr>
            </w:pPr>
          </w:p>
        </w:tc>
      </w:tr>
      <w:tr w:rsidR="00BE74F1" w:rsidRPr="00AB15C7" w14:paraId="2692DAC5" w14:textId="77777777" w:rsidTr="00205CED">
        <w:tc>
          <w:tcPr>
            <w:tcW w:w="2070" w:type="dxa"/>
            <w:tcBorders>
              <w:top w:val="nil"/>
              <w:left w:val="single" w:sz="6" w:space="0" w:color="E1E1E1"/>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1F212723" w14:textId="77777777" w:rsidR="00BE74F1" w:rsidRPr="00AB15C7" w:rsidRDefault="00BE74F1" w:rsidP="005921EF">
            <w:pPr>
              <w:spacing w:after="0"/>
              <w:rPr>
                <w:rFonts w:ascii="Cambria" w:hAnsi="Cambria"/>
                <w:noProof/>
              </w:rPr>
            </w:pPr>
            <w:r w:rsidRPr="00AB15C7">
              <w:rPr>
                <w:rFonts w:ascii="Cambria" w:hAnsi="Cambria"/>
                <w:noProof/>
              </w:rPr>
              <w:t>Industrijske POPs</w:t>
            </w:r>
            <w:r w:rsidR="0074068D" w:rsidRPr="00AB15C7">
              <w:rPr>
                <w:rFonts w:ascii="Cambria" w:hAnsi="Cambria"/>
                <w:noProof/>
              </w:rPr>
              <w:t xml:space="preserve"> </w:t>
            </w:r>
          </w:p>
        </w:tc>
        <w:tc>
          <w:tcPr>
            <w:tcW w:w="2962" w:type="dxa"/>
            <w:tcBorders>
              <w:top w:val="nil"/>
              <w:left w:val="nil"/>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55E73D1C" w14:textId="77777777" w:rsidR="00BE74F1" w:rsidRPr="00AB15C7" w:rsidRDefault="00123817" w:rsidP="005921EF">
            <w:pPr>
              <w:spacing w:after="0"/>
              <w:rPr>
                <w:rFonts w:ascii="Cambria" w:hAnsi="Cambria"/>
                <w:noProof/>
              </w:rPr>
            </w:pPr>
            <w:r w:rsidRPr="00AB15C7">
              <w:rPr>
                <w:rFonts w:ascii="Cambria" w:hAnsi="Cambria"/>
                <w:noProof/>
              </w:rPr>
              <w:t>H</w:t>
            </w:r>
            <w:r w:rsidR="00C62B45" w:rsidRPr="00AB15C7">
              <w:rPr>
                <w:rFonts w:ascii="Cambria" w:hAnsi="Cambria"/>
                <w:noProof/>
              </w:rPr>
              <w:t>eksahlorbenzen</w:t>
            </w:r>
            <w:r w:rsidRPr="00AB15C7">
              <w:rPr>
                <w:rFonts w:ascii="Cambria" w:hAnsi="Cambria"/>
                <w:noProof/>
              </w:rPr>
              <w:t>,</w:t>
            </w:r>
            <w:r w:rsidR="00C62B45" w:rsidRPr="00AB15C7">
              <w:rPr>
                <w:rFonts w:ascii="Cambria" w:hAnsi="Cambria"/>
                <w:noProof/>
              </w:rPr>
              <w:t xml:space="preserve"> </w:t>
            </w:r>
            <w:r w:rsidR="00BE74F1" w:rsidRPr="00AB15C7">
              <w:rPr>
                <w:rFonts w:ascii="Cambria" w:hAnsi="Cambria"/>
                <w:noProof/>
              </w:rPr>
              <w:t>PCBs</w:t>
            </w:r>
          </w:p>
        </w:tc>
        <w:tc>
          <w:tcPr>
            <w:tcW w:w="4778" w:type="dxa"/>
            <w:tcBorders>
              <w:top w:val="nil"/>
              <w:left w:val="nil"/>
              <w:bottom w:val="single" w:sz="6" w:space="0" w:color="E1E1E1"/>
              <w:right w:val="single" w:sz="6" w:space="0" w:color="E1E1E1"/>
            </w:tcBorders>
            <w:shd w:val="clear" w:color="auto" w:fill="FCFCFC"/>
            <w:tcMar>
              <w:top w:w="135" w:type="dxa"/>
              <w:left w:w="180" w:type="dxa"/>
              <w:bottom w:w="135" w:type="dxa"/>
              <w:right w:w="180" w:type="dxa"/>
            </w:tcMar>
            <w:vAlign w:val="bottom"/>
            <w:hideMark/>
          </w:tcPr>
          <w:p w14:paraId="23203B62" w14:textId="77777777" w:rsidR="00BE74F1" w:rsidRPr="00AB15C7" w:rsidRDefault="00BE74F1" w:rsidP="005921EF">
            <w:pPr>
              <w:spacing w:after="0"/>
              <w:rPr>
                <w:rFonts w:ascii="Cambria" w:hAnsi="Cambria"/>
                <w:noProof/>
              </w:rPr>
            </w:pPr>
            <w:r w:rsidRPr="00AB15C7">
              <w:rPr>
                <w:rFonts w:ascii="Cambria" w:hAnsi="Cambria"/>
                <w:noProof/>
              </w:rPr>
              <w:t>PFOS</w:t>
            </w:r>
            <w:r w:rsidR="0074068D" w:rsidRPr="00AB15C7">
              <w:rPr>
                <w:rFonts w:ascii="Cambria" w:hAnsi="Cambria"/>
                <w:noProof/>
              </w:rPr>
              <w:t xml:space="preserve"> i PFOSF</w:t>
            </w:r>
            <w:r w:rsidRPr="00AB15C7">
              <w:rPr>
                <w:rFonts w:ascii="Cambria" w:hAnsi="Cambria"/>
                <w:noProof/>
              </w:rPr>
              <w:t>, heksabrombifenil,</w:t>
            </w:r>
            <w:r w:rsidR="00123817" w:rsidRPr="00AB15C7">
              <w:rPr>
                <w:rFonts w:ascii="Cambria" w:hAnsi="Cambria"/>
                <w:noProof/>
              </w:rPr>
              <w:t xml:space="preserve"> h</w:t>
            </w:r>
            <w:r w:rsidR="0074068D" w:rsidRPr="00AB15C7">
              <w:rPr>
                <w:rFonts w:ascii="Cambria" w:hAnsi="Cambria"/>
                <w:noProof/>
              </w:rPr>
              <w:t>e</w:t>
            </w:r>
            <w:r w:rsidR="00123817" w:rsidRPr="00AB15C7">
              <w:rPr>
                <w:rFonts w:ascii="Cambria" w:hAnsi="Cambria"/>
                <w:noProof/>
              </w:rPr>
              <w:t>ksa</w:t>
            </w:r>
            <w:r w:rsidR="0074068D" w:rsidRPr="00AB15C7">
              <w:rPr>
                <w:rFonts w:ascii="Cambria" w:hAnsi="Cambria"/>
                <w:noProof/>
              </w:rPr>
              <w:t>brom</w:t>
            </w:r>
            <w:r w:rsidR="00123817" w:rsidRPr="00AB15C7">
              <w:rPr>
                <w:rFonts w:ascii="Cambria" w:hAnsi="Cambria"/>
                <w:noProof/>
              </w:rPr>
              <w:t>cik</w:t>
            </w:r>
            <w:r w:rsidR="0074068D" w:rsidRPr="00AB15C7">
              <w:rPr>
                <w:rFonts w:ascii="Cambria" w:hAnsi="Cambria"/>
                <w:noProof/>
              </w:rPr>
              <w:t>lodode</w:t>
            </w:r>
            <w:r w:rsidR="00123817" w:rsidRPr="00AB15C7">
              <w:rPr>
                <w:rFonts w:ascii="Cambria" w:hAnsi="Cambria"/>
                <w:noProof/>
              </w:rPr>
              <w:t>k</w:t>
            </w:r>
            <w:r w:rsidR="0074068D" w:rsidRPr="00AB15C7">
              <w:rPr>
                <w:rFonts w:ascii="Cambria" w:hAnsi="Cambria"/>
                <w:noProof/>
              </w:rPr>
              <w:t xml:space="preserve">an, </w:t>
            </w:r>
            <w:r w:rsidRPr="00AB15C7">
              <w:rPr>
                <w:rFonts w:ascii="Cambria" w:hAnsi="Cambria"/>
                <w:noProof/>
              </w:rPr>
              <w:t>tetrabromdifenil etar i pentabromdifenil etar; heksabromdifenil etar i heptabromdifenil etar</w:t>
            </w:r>
            <w:r w:rsidR="00123817" w:rsidRPr="00AB15C7">
              <w:rPr>
                <w:rFonts w:ascii="Cambria" w:hAnsi="Cambria"/>
                <w:noProof/>
              </w:rPr>
              <w:t xml:space="preserve">, </w:t>
            </w:r>
            <w:r w:rsidRPr="00AB15C7">
              <w:rPr>
                <w:rFonts w:ascii="Cambria" w:hAnsi="Cambria"/>
                <w:noProof/>
              </w:rPr>
              <w:t xml:space="preserve"> </w:t>
            </w:r>
            <w:r w:rsidR="00123817" w:rsidRPr="00AB15C7">
              <w:rPr>
                <w:rFonts w:ascii="Cambria" w:hAnsi="Cambria"/>
                <w:noProof/>
              </w:rPr>
              <w:t>h</w:t>
            </w:r>
            <w:r w:rsidR="0074068D" w:rsidRPr="00AB15C7">
              <w:rPr>
                <w:rFonts w:ascii="Cambria" w:hAnsi="Cambria"/>
                <w:noProof/>
              </w:rPr>
              <w:t>e</w:t>
            </w:r>
            <w:r w:rsidR="00123817" w:rsidRPr="00AB15C7">
              <w:rPr>
                <w:rFonts w:ascii="Cambria" w:hAnsi="Cambria"/>
                <w:noProof/>
              </w:rPr>
              <w:t>ks</w:t>
            </w:r>
            <w:r w:rsidR="0074068D" w:rsidRPr="00AB15C7">
              <w:rPr>
                <w:rFonts w:ascii="Cambria" w:hAnsi="Cambria"/>
                <w:noProof/>
              </w:rPr>
              <w:t>ahlorbutadien</w:t>
            </w:r>
            <w:r w:rsidR="00123817" w:rsidRPr="00AB15C7">
              <w:rPr>
                <w:rFonts w:ascii="Cambria" w:hAnsi="Cambria"/>
                <w:noProof/>
              </w:rPr>
              <w:t>,</w:t>
            </w:r>
            <w:r w:rsidR="0074068D" w:rsidRPr="00AB15C7">
              <w:rPr>
                <w:rFonts w:ascii="Cambria" w:hAnsi="Cambria"/>
                <w:noProof/>
              </w:rPr>
              <w:t xml:space="preserve"> </w:t>
            </w:r>
            <w:r w:rsidR="00123817" w:rsidRPr="00AB15C7">
              <w:rPr>
                <w:rFonts w:ascii="Cambria" w:hAnsi="Cambria"/>
                <w:noProof/>
              </w:rPr>
              <w:t>p</w:t>
            </w:r>
            <w:r w:rsidR="0074068D" w:rsidRPr="00AB15C7">
              <w:rPr>
                <w:rFonts w:ascii="Cambria" w:hAnsi="Cambria"/>
                <w:noProof/>
              </w:rPr>
              <w:t xml:space="preserve">entahlorbenzen, </w:t>
            </w:r>
            <w:r w:rsidR="00123817" w:rsidRPr="00AB15C7">
              <w:rPr>
                <w:rFonts w:ascii="Cambria" w:hAnsi="Cambria"/>
                <w:noProof/>
              </w:rPr>
              <w:t>p</w:t>
            </w:r>
            <w:r w:rsidR="0074068D" w:rsidRPr="00AB15C7">
              <w:rPr>
                <w:rFonts w:ascii="Cambria" w:hAnsi="Cambria"/>
                <w:noProof/>
              </w:rPr>
              <w:t>ol</w:t>
            </w:r>
            <w:r w:rsidR="00123817" w:rsidRPr="00AB15C7">
              <w:rPr>
                <w:rFonts w:ascii="Cambria" w:hAnsi="Cambria"/>
                <w:noProof/>
              </w:rPr>
              <w:t>i</w:t>
            </w:r>
            <w:r w:rsidR="0074068D" w:rsidRPr="00AB15C7">
              <w:rPr>
                <w:rFonts w:ascii="Cambria" w:hAnsi="Cambria"/>
                <w:noProof/>
              </w:rPr>
              <w:t>hlorin</w:t>
            </w:r>
            <w:r w:rsidR="00123817" w:rsidRPr="00AB15C7">
              <w:rPr>
                <w:rFonts w:ascii="Cambria" w:hAnsi="Cambria"/>
                <w:noProof/>
              </w:rPr>
              <w:t>ovani naftaleni</w:t>
            </w:r>
            <w:r w:rsidR="0074068D" w:rsidRPr="00AB15C7">
              <w:rPr>
                <w:rFonts w:ascii="Cambria" w:hAnsi="Cambria"/>
                <w:noProof/>
              </w:rPr>
              <w:t>,</w:t>
            </w:r>
            <w:r w:rsidR="00123817" w:rsidRPr="00AB15C7">
              <w:rPr>
                <w:rFonts w:ascii="Cambria" w:hAnsi="Cambria"/>
                <w:noProof/>
              </w:rPr>
              <w:t xml:space="preserve">   </w:t>
            </w:r>
            <w:r w:rsidR="0074068D" w:rsidRPr="00AB15C7">
              <w:rPr>
                <w:rFonts w:ascii="Cambria" w:hAnsi="Cambria"/>
                <w:noProof/>
              </w:rPr>
              <w:t xml:space="preserve"> c</w:t>
            </w:r>
            <w:r w:rsidR="00123817" w:rsidRPr="00AB15C7">
              <w:rPr>
                <w:rFonts w:ascii="Cambria" w:hAnsi="Cambria"/>
                <w:noProof/>
              </w:rPr>
              <w:t>-</w:t>
            </w:r>
            <w:r w:rsidR="0074068D" w:rsidRPr="00AB15C7">
              <w:rPr>
                <w:rFonts w:ascii="Cambria" w:hAnsi="Cambria"/>
                <w:noProof/>
              </w:rPr>
              <w:t>DecaBDE, SCCPs</w:t>
            </w:r>
          </w:p>
        </w:tc>
      </w:tr>
      <w:tr w:rsidR="00BE74F1" w:rsidRPr="00AB15C7" w14:paraId="5E1C53B3" w14:textId="77777777" w:rsidTr="00205CED">
        <w:tc>
          <w:tcPr>
            <w:tcW w:w="2070" w:type="dxa"/>
            <w:tcBorders>
              <w:top w:val="nil"/>
              <w:left w:val="single" w:sz="6" w:space="0" w:color="E1E1E1"/>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6ADF8BEF" w14:textId="77777777" w:rsidR="00BE74F1" w:rsidRPr="00AB15C7" w:rsidRDefault="00BE74F1" w:rsidP="005921EF">
            <w:pPr>
              <w:spacing w:after="0"/>
              <w:rPr>
                <w:rFonts w:ascii="Cambria" w:hAnsi="Cambria"/>
                <w:noProof/>
              </w:rPr>
            </w:pPr>
            <w:r w:rsidRPr="00AB15C7">
              <w:rPr>
                <w:rFonts w:ascii="Cambria" w:hAnsi="Cambria"/>
                <w:noProof/>
              </w:rPr>
              <w:t>Nenamjerno proizveden</w:t>
            </w:r>
            <w:r w:rsidR="00205CED">
              <w:rPr>
                <w:rFonts w:ascii="Cambria" w:hAnsi="Cambria"/>
                <w:noProof/>
              </w:rPr>
              <w:t>e</w:t>
            </w:r>
            <w:r w:rsidRPr="00AB15C7">
              <w:rPr>
                <w:rFonts w:ascii="Cambria" w:hAnsi="Cambria"/>
                <w:noProof/>
              </w:rPr>
              <w:t xml:space="preserve"> POPs</w:t>
            </w:r>
          </w:p>
        </w:tc>
        <w:tc>
          <w:tcPr>
            <w:tcW w:w="2962" w:type="dxa"/>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1D083DE5" w14:textId="77777777" w:rsidR="00BE74F1" w:rsidRPr="00AB15C7" w:rsidRDefault="00BE74F1" w:rsidP="005921EF">
            <w:pPr>
              <w:spacing w:after="0"/>
              <w:rPr>
                <w:rFonts w:ascii="Cambria" w:hAnsi="Cambria"/>
                <w:noProof/>
              </w:rPr>
            </w:pPr>
            <w:r w:rsidRPr="00AB15C7">
              <w:rPr>
                <w:rFonts w:ascii="Cambria" w:hAnsi="Cambria"/>
                <w:noProof/>
              </w:rPr>
              <w:t>PCDDs, PCDFs, PCBs</w:t>
            </w:r>
            <w:r w:rsidR="00123817" w:rsidRPr="00AB15C7">
              <w:rPr>
                <w:rFonts w:ascii="Cambria" w:hAnsi="Cambria"/>
                <w:noProof/>
              </w:rPr>
              <w:t xml:space="preserve">, </w:t>
            </w:r>
            <w:r w:rsidRPr="00AB15C7">
              <w:rPr>
                <w:rFonts w:ascii="Cambria" w:hAnsi="Cambria"/>
                <w:noProof/>
              </w:rPr>
              <w:t>heksahlorbenzen</w:t>
            </w:r>
          </w:p>
        </w:tc>
        <w:tc>
          <w:tcPr>
            <w:tcW w:w="4778" w:type="dxa"/>
            <w:tcBorders>
              <w:top w:val="nil"/>
              <w:left w:val="nil"/>
              <w:bottom w:val="single" w:sz="6" w:space="0" w:color="E1E1E1"/>
              <w:right w:val="single" w:sz="6" w:space="0" w:color="E1E1E1"/>
            </w:tcBorders>
            <w:shd w:val="clear" w:color="auto" w:fill="FFFFFF"/>
            <w:tcMar>
              <w:top w:w="135" w:type="dxa"/>
              <w:left w:w="180" w:type="dxa"/>
              <w:bottom w:w="135" w:type="dxa"/>
              <w:right w:w="180" w:type="dxa"/>
            </w:tcMar>
            <w:vAlign w:val="bottom"/>
            <w:hideMark/>
          </w:tcPr>
          <w:p w14:paraId="603B4D96" w14:textId="77777777" w:rsidR="00BE74F1" w:rsidRPr="00AB15C7" w:rsidRDefault="00BE74F1" w:rsidP="005921EF">
            <w:pPr>
              <w:spacing w:after="0"/>
              <w:rPr>
                <w:rFonts w:ascii="Cambria" w:hAnsi="Cambria"/>
                <w:noProof/>
              </w:rPr>
            </w:pPr>
            <w:r w:rsidRPr="00AB15C7">
              <w:rPr>
                <w:rFonts w:ascii="Cambria" w:hAnsi="Cambria"/>
                <w:noProof/>
              </w:rPr>
              <w:t>α-HCH, β-HCH</w:t>
            </w:r>
            <w:r w:rsidR="00123817" w:rsidRPr="00AB15C7">
              <w:rPr>
                <w:rFonts w:ascii="Cambria" w:hAnsi="Cambria"/>
                <w:noProof/>
              </w:rPr>
              <w:t>,</w:t>
            </w:r>
            <w:r w:rsidRPr="00AB15C7">
              <w:rPr>
                <w:rFonts w:ascii="Cambria" w:hAnsi="Cambria"/>
                <w:noProof/>
              </w:rPr>
              <w:t xml:space="preserve"> pentahl</w:t>
            </w:r>
            <w:r w:rsidR="00123817" w:rsidRPr="00AB15C7">
              <w:rPr>
                <w:rFonts w:ascii="Cambria" w:hAnsi="Cambria"/>
                <w:noProof/>
              </w:rPr>
              <w:t>o</w:t>
            </w:r>
            <w:r w:rsidRPr="00AB15C7">
              <w:rPr>
                <w:rFonts w:ascii="Cambria" w:hAnsi="Cambria"/>
                <w:noProof/>
              </w:rPr>
              <w:t>robenzen</w:t>
            </w:r>
            <w:r w:rsidR="00123817" w:rsidRPr="00AB15C7">
              <w:rPr>
                <w:rFonts w:ascii="Cambria" w:hAnsi="Cambria"/>
                <w:noProof/>
              </w:rPr>
              <w:t>, polihlorinovani naftaleni, heksahlorbutadien</w:t>
            </w:r>
          </w:p>
        </w:tc>
      </w:tr>
    </w:tbl>
    <w:p w14:paraId="7FC3DC8E" w14:textId="77777777" w:rsidR="009C0247" w:rsidRDefault="009C0247" w:rsidP="005921EF">
      <w:pPr>
        <w:spacing w:after="0"/>
        <w:jc w:val="both"/>
        <w:rPr>
          <w:rFonts w:ascii="Cambria" w:hAnsi="Cambria"/>
          <w:noProof/>
        </w:rPr>
      </w:pPr>
    </w:p>
    <w:p w14:paraId="17F12E52" w14:textId="77777777" w:rsidR="002B6478" w:rsidRPr="00AB15C7" w:rsidRDefault="002B6478" w:rsidP="005921EF">
      <w:pPr>
        <w:spacing w:after="0"/>
        <w:jc w:val="both"/>
        <w:rPr>
          <w:rFonts w:ascii="Cambria" w:hAnsi="Cambria"/>
          <w:noProof/>
        </w:rPr>
      </w:pPr>
      <w:r w:rsidRPr="00AB15C7">
        <w:rPr>
          <w:rFonts w:ascii="Cambria" w:hAnsi="Cambria"/>
          <w:noProof/>
        </w:rPr>
        <w:t>Crna Gora je zemlja članica </w:t>
      </w:r>
      <w:r w:rsidR="00B60506">
        <w:rPr>
          <w:rFonts w:ascii="Cambria" w:hAnsi="Cambria"/>
          <w:noProof/>
        </w:rPr>
        <w:t xml:space="preserve"> </w:t>
      </w:r>
      <w:r w:rsidRPr="00AB15C7">
        <w:rPr>
          <w:rFonts w:ascii="Cambria" w:hAnsi="Cambria"/>
          <w:b/>
          <w:bCs/>
          <w:noProof/>
        </w:rPr>
        <w:t>Stokholmske Konvencije</w:t>
      </w:r>
      <w:r w:rsidRPr="00AB15C7">
        <w:rPr>
          <w:rFonts w:ascii="Cambria" w:hAnsi="Cambria"/>
          <w:noProof/>
        </w:rPr>
        <w:t xml:space="preserve"> o dugotrajnim organskim zagađujućim </w:t>
      </w:r>
      <w:r w:rsidR="00B60506">
        <w:rPr>
          <w:rFonts w:ascii="Cambria" w:hAnsi="Cambria"/>
          <w:noProof/>
        </w:rPr>
        <w:t>supstancama</w:t>
      </w:r>
      <w:r w:rsidRPr="00AB15C7">
        <w:rPr>
          <w:rFonts w:ascii="Cambria" w:hAnsi="Cambria"/>
          <w:noProof/>
        </w:rPr>
        <w:t xml:space="preserve"> od marta 2011. godine.  </w:t>
      </w:r>
      <w:r w:rsidRPr="00AB15C7">
        <w:rPr>
          <w:rFonts w:ascii="Cambria" w:hAnsi="Cambria"/>
          <w:noProof/>
          <w:lang w:val="sr-Latn-ME"/>
        </w:rPr>
        <w:t xml:space="preserve">Takođe, </w:t>
      </w:r>
      <w:r w:rsidRPr="00AB15C7">
        <w:rPr>
          <w:rFonts w:ascii="Cambria" w:hAnsi="Cambria"/>
          <w:noProof/>
        </w:rPr>
        <w:t>Crna Gora je u junu 2011. potvrdila i Protokol o dugotrajnim organskim zagađujućim materijama u okviru</w:t>
      </w:r>
      <w:r w:rsidRPr="00AB15C7">
        <w:rPr>
          <w:rFonts w:ascii="Cambria" w:eastAsia="SimSun" w:hAnsi="Cambria" w:cs="Constantia"/>
          <w:noProof/>
        </w:rPr>
        <w:t xml:space="preserve"> </w:t>
      </w:r>
      <w:r w:rsidRPr="00AB15C7">
        <w:rPr>
          <w:rFonts w:ascii="Cambria" w:hAnsi="Cambria"/>
          <w:noProof/>
        </w:rPr>
        <w:t>Konvencije o prekograničnom zagađenju vazduha na velikim udaljenostima, koji je</w:t>
      </w:r>
      <w:r w:rsidRPr="00AB15C7">
        <w:rPr>
          <w:rFonts w:ascii="Cambria" w:eastAsia="SimSun" w:hAnsi="Cambria" w:cs="Constantia"/>
          <w:noProof/>
        </w:rPr>
        <w:t xml:space="preserve"> </w:t>
      </w:r>
      <w:r w:rsidRPr="00AB15C7">
        <w:rPr>
          <w:rFonts w:ascii="Cambria" w:hAnsi="Cambria"/>
          <w:noProof/>
        </w:rPr>
        <w:t xml:space="preserve">međunarodni sporazum srodan </w:t>
      </w:r>
      <w:r w:rsidRPr="00AB15C7">
        <w:rPr>
          <w:rFonts w:ascii="Cambria" w:hAnsi="Cambria"/>
          <w:bCs/>
          <w:noProof/>
        </w:rPr>
        <w:t>Stokholmskoj Konvenciji s obzirom da su im zahtjevi, ograničenja i ciljevi gotovo identični</w:t>
      </w:r>
      <w:r w:rsidRPr="00AB15C7">
        <w:rPr>
          <w:rFonts w:ascii="Cambria" w:hAnsi="Cambria"/>
          <w:noProof/>
        </w:rPr>
        <w:t>.</w:t>
      </w:r>
    </w:p>
    <w:p w14:paraId="1A8AC7A6" w14:textId="77777777" w:rsidR="002B6478" w:rsidRPr="00AB15C7" w:rsidRDefault="002B6478" w:rsidP="005921EF">
      <w:pPr>
        <w:spacing w:after="0"/>
        <w:jc w:val="both"/>
        <w:rPr>
          <w:rFonts w:ascii="Cambria" w:hAnsi="Cambria"/>
          <w:noProof/>
        </w:rPr>
      </w:pPr>
    </w:p>
    <w:p w14:paraId="5919E632" w14:textId="77777777" w:rsidR="007659D6" w:rsidRPr="00AB15C7" w:rsidRDefault="007659D6" w:rsidP="005921EF">
      <w:pPr>
        <w:spacing w:after="0"/>
        <w:jc w:val="both"/>
        <w:rPr>
          <w:rFonts w:ascii="Cambria" w:hAnsi="Cambria"/>
          <w:noProof/>
        </w:rPr>
      </w:pPr>
      <w:r w:rsidRPr="00AB15C7">
        <w:rPr>
          <w:rFonts w:ascii="Cambria" w:hAnsi="Cambria"/>
          <w:noProof/>
        </w:rPr>
        <w:t xml:space="preserve">U skladu sa preuzetim obavezama, Crna </w:t>
      </w:r>
      <w:r w:rsidR="00190FB8" w:rsidRPr="00AB15C7">
        <w:rPr>
          <w:rFonts w:ascii="Cambria" w:hAnsi="Cambria"/>
          <w:noProof/>
        </w:rPr>
        <w:t>G</w:t>
      </w:r>
      <w:r w:rsidRPr="00AB15C7">
        <w:rPr>
          <w:rFonts w:ascii="Cambria" w:hAnsi="Cambria"/>
          <w:noProof/>
        </w:rPr>
        <w:t xml:space="preserve">ora je izradila Nacionalni plan za implementaciju Stokholmske konvencije za period 2014-2021. </w:t>
      </w:r>
      <w:r w:rsidR="00190FB8" w:rsidRPr="00AB15C7">
        <w:rPr>
          <w:rFonts w:ascii="Cambria" w:hAnsi="Cambria"/>
          <w:noProof/>
        </w:rPr>
        <w:t>g</w:t>
      </w:r>
      <w:r w:rsidRPr="00AB15C7">
        <w:rPr>
          <w:rFonts w:ascii="Cambria" w:hAnsi="Cambria"/>
          <w:noProof/>
        </w:rPr>
        <w:t>odine</w:t>
      </w:r>
      <w:r w:rsidR="00B74C9D" w:rsidRPr="00AB15C7">
        <w:rPr>
          <w:rFonts w:ascii="Cambria" w:hAnsi="Cambria"/>
          <w:noProof/>
        </w:rPr>
        <w:t xml:space="preserve"> (NIP)</w:t>
      </w:r>
      <w:r w:rsidR="00962EE3" w:rsidRPr="00AB15C7">
        <w:rPr>
          <w:rStyle w:val="FootnoteReference"/>
          <w:rFonts w:ascii="Cambria" w:hAnsi="Cambria"/>
          <w:noProof/>
        </w:rPr>
        <w:footnoteReference w:id="16"/>
      </w:r>
      <w:r w:rsidRPr="00AB15C7">
        <w:rPr>
          <w:rFonts w:ascii="Cambria" w:hAnsi="Cambria"/>
          <w:noProof/>
        </w:rPr>
        <w:t xml:space="preserve"> koji je identifikovao da prisustvo opreme koja sadrži PCB i otpada sa PCB, predstavlja jedan od gorućih problema u upravljanju POPs hemikalijama u Crnoj Gori. Prema inicijalnom inventaru </w:t>
      </w:r>
      <w:r w:rsidRPr="00AB15C7">
        <w:rPr>
          <w:rFonts w:ascii="Cambria" w:hAnsi="Cambria"/>
          <w:bCs/>
          <w:noProof/>
        </w:rPr>
        <w:t>PCB otpad i oprema kontaminirana sa PCB koja je u upotrebi</w:t>
      </w:r>
      <w:r w:rsidRPr="00AB15C7">
        <w:rPr>
          <w:rFonts w:ascii="Cambria" w:hAnsi="Cambria"/>
          <w:noProof/>
        </w:rPr>
        <w:t xml:space="preserve"> nalazi se na lokacijama sljedećih </w:t>
      </w:r>
      <w:r w:rsidR="00190FB8" w:rsidRPr="00AB15C7">
        <w:rPr>
          <w:rFonts w:ascii="Cambria" w:hAnsi="Cambria"/>
          <w:noProof/>
        </w:rPr>
        <w:t>preduzeća</w:t>
      </w:r>
      <w:r w:rsidRPr="00AB15C7">
        <w:rPr>
          <w:rFonts w:ascii="Cambria" w:hAnsi="Cambria"/>
          <w:noProof/>
        </w:rPr>
        <w:t xml:space="preserve">: </w:t>
      </w:r>
    </w:p>
    <w:p w14:paraId="51A10386"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t xml:space="preserve">Kombinat aluminijuma Podgorica a.d. </w:t>
      </w:r>
    </w:p>
    <w:p w14:paraId="29111315"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t xml:space="preserve">Hemosan d.o.o. Bar </w:t>
      </w:r>
    </w:p>
    <w:p w14:paraId="0F15D995"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t xml:space="preserve">Željezara Nikšić </w:t>
      </w:r>
    </w:p>
    <w:p w14:paraId="5448F182"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t>Elektroprivreda Crne Gore a.d. Nikšić (  HE „Piva” , HE ,,Perućica” , TE ,,Pljevlja”)</w:t>
      </w:r>
    </w:p>
    <w:p w14:paraId="0D65F3E7"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t xml:space="preserve">Kompleks bivše fabrike ,,Radoje Dakić” u Podgorici </w:t>
      </w:r>
    </w:p>
    <w:p w14:paraId="1B4A9912"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t xml:space="preserve">Porto Montenegro – Adriatic marinass d.o.o. </w:t>
      </w:r>
    </w:p>
    <w:p w14:paraId="17DF0B34"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lastRenderedPageBreak/>
        <w:t xml:space="preserve">Željeznička infrastruktura Crne Gore a.d. </w:t>
      </w:r>
    </w:p>
    <w:p w14:paraId="62BD7E30"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t xml:space="preserve">Jadransko brodogradilište „Bijela” </w:t>
      </w:r>
    </w:p>
    <w:p w14:paraId="1A9EEF66"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t xml:space="preserve">Elektroindustrija „Obod“ a.d. u stečaju </w:t>
      </w:r>
    </w:p>
    <w:p w14:paraId="5E52EE79"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t xml:space="preserve">Rudnik uglja Pljevlja </w:t>
      </w:r>
    </w:p>
    <w:p w14:paraId="2E9390AB" w14:textId="77777777" w:rsidR="007659D6" w:rsidRPr="00AB15C7" w:rsidRDefault="007659D6" w:rsidP="005921EF">
      <w:pPr>
        <w:numPr>
          <w:ilvl w:val="0"/>
          <w:numId w:val="4"/>
        </w:numPr>
        <w:spacing w:after="0"/>
        <w:jc w:val="both"/>
        <w:rPr>
          <w:rFonts w:ascii="Cambria" w:hAnsi="Cambria"/>
          <w:noProof/>
        </w:rPr>
      </w:pPr>
      <w:r w:rsidRPr="00AB15C7">
        <w:rPr>
          <w:rFonts w:ascii="Cambria" w:hAnsi="Cambria"/>
          <w:noProof/>
        </w:rPr>
        <w:t xml:space="preserve">Luka Bar </w:t>
      </w:r>
    </w:p>
    <w:p w14:paraId="6E21BB7F" w14:textId="77777777" w:rsidR="007659D6" w:rsidRPr="00AB15C7" w:rsidRDefault="007659D6" w:rsidP="005921EF">
      <w:pPr>
        <w:numPr>
          <w:ilvl w:val="0"/>
          <w:numId w:val="4"/>
        </w:numPr>
        <w:jc w:val="both"/>
        <w:rPr>
          <w:rFonts w:ascii="Cambria" w:hAnsi="Cambria"/>
          <w:noProof/>
        </w:rPr>
      </w:pPr>
      <w:r w:rsidRPr="00AB15C7">
        <w:rPr>
          <w:rFonts w:ascii="Cambria" w:hAnsi="Cambria"/>
          <w:noProof/>
        </w:rPr>
        <w:t xml:space="preserve">Plantaže a.d. ,,13. jul” </w:t>
      </w:r>
    </w:p>
    <w:p w14:paraId="1F22ED00" w14:textId="2216E2B3" w:rsidR="007659D6" w:rsidRPr="00AB15C7" w:rsidRDefault="00190FB8" w:rsidP="005921EF">
      <w:pPr>
        <w:jc w:val="both"/>
        <w:rPr>
          <w:rFonts w:ascii="Cambria" w:hAnsi="Cambria"/>
          <w:noProof/>
        </w:rPr>
      </w:pPr>
      <w:r w:rsidRPr="00AB15C7">
        <w:rPr>
          <w:rFonts w:ascii="Cambria" w:hAnsi="Cambria"/>
          <w:noProof/>
        </w:rPr>
        <w:t xml:space="preserve">Treba naglasiti da su u pojedinim od gore navedenih preduzeća već preduzete </w:t>
      </w:r>
      <w:r w:rsidR="007659D6" w:rsidRPr="00AB15C7">
        <w:rPr>
          <w:rFonts w:ascii="Cambria" w:hAnsi="Cambria"/>
          <w:noProof/>
        </w:rPr>
        <w:t>odredjene mjere u pogledu r</w:t>
      </w:r>
      <w:r w:rsidR="00002F49">
        <w:rPr>
          <w:rFonts w:ascii="Cambria" w:hAnsi="Cambria"/>
          <w:noProof/>
        </w:rPr>
        <w:t>j</w:t>
      </w:r>
      <w:r w:rsidR="007659D6" w:rsidRPr="00AB15C7">
        <w:rPr>
          <w:rFonts w:ascii="Cambria" w:hAnsi="Cambria"/>
          <w:noProof/>
        </w:rPr>
        <w:t xml:space="preserve">ešavanja pitanja </w:t>
      </w:r>
      <w:r w:rsidR="00B74C9D" w:rsidRPr="00AB15C7">
        <w:rPr>
          <w:rFonts w:ascii="Cambria" w:hAnsi="Cambria"/>
          <w:noProof/>
        </w:rPr>
        <w:t>u vezi sa PCB</w:t>
      </w:r>
      <w:r w:rsidRPr="00AB15C7">
        <w:rPr>
          <w:rFonts w:ascii="Cambria" w:hAnsi="Cambria"/>
          <w:noProof/>
        </w:rPr>
        <w:t xml:space="preserve">. Naime, </w:t>
      </w:r>
      <w:r w:rsidR="00B74C9D" w:rsidRPr="00AB15C7">
        <w:rPr>
          <w:rFonts w:ascii="Cambria" w:hAnsi="Cambria"/>
          <w:noProof/>
        </w:rPr>
        <w:t xml:space="preserve"> nakon što je utvrđeno izlivanje starog piralenskog ulja (transformatorsko ulje na bazi PCBa) u KAP-u 1989. godine, pristupilo se realizaciji Studije utvrđivanja stepena zagađenosti okoline Kombinata aluminijuma sa polihlorovanim bifenilima. Studija je pokazala visok stepen zagađenosti, na osnovu koje je Državna </w:t>
      </w:r>
      <w:r w:rsidR="00CF3570">
        <w:rPr>
          <w:rFonts w:ascii="Cambria" w:hAnsi="Cambria"/>
          <w:noProof/>
        </w:rPr>
        <w:t>k</w:t>
      </w:r>
      <w:r w:rsidR="00B74C9D" w:rsidRPr="00AB15C7">
        <w:rPr>
          <w:rFonts w:ascii="Cambria" w:hAnsi="Cambria"/>
          <w:noProof/>
        </w:rPr>
        <w:t>omisija propisala hitne i dugotrajne mjere sanacije, koje je KAP morao da realizuje. U okviru tih mjera prvo je izvršena sanacija zemljišta u okolini pogona PCR-a (održavanje sredstava rada) na kome se izlilo oko 1,5 tona piralena (60% Hexahlorbifenila i 40% Hexsahlorbenzena). Vlada Crne Gore preko firme Miteko Beograd u toku 2007. godine iz Kombinata aluminujama Podgorica izvršila je izvoz 65 600 kg otpadnih PCB transformatora, 24 020 kg otpadnih PCB kondenzatora, 36 080 kg zemlje zagađenje PCB uljem, 1260 kg otpadnih metalnih buradi i 81 200 kg otpadnog PCB ulja. Otpadni transformatori i kondenzatori izvezeni su u Njemačku i isti su pripremljeni u postrojenje za obradu otpada Envio Recycling GmbH &amp; Co KG u Dortmundu. Čvrsti otpad i ulje zagađeno PCB predati su postrojenju za obradu otpada Fernwarme GmbH u Beču. Takođe, Pivara Nikšić „Trebjesa“ a.d. u toku 2009. god. izvršila je preko preduzeća d.o.o. Miteko Beograd izvoz 1422,50 kg PCB otpada u Njemačku i isti je pripremljen u postrojenje za obradu otpada Envio Recycling GmbH &amp; Co KG u Dortmundu. Monitoring mogućih lokacija zagađenih sa PCB-a realizovan je tokom 2006. i 2007. godine. Nakon sprovedenih ispitivanja od strane novog vlasnika „Adriatic Marinas”, izrađen je projekat sanacije i rekultivacije prostora, na osnovu kojeg je izvšen izvoz opasnog otpada na trajno zbrinjavanje.</w:t>
      </w:r>
    </w:p>
    <w:p w14:paraId="19EAE834" w14:textId="2E2FEE46" w:rsidR="007659D6" w:rsidRPr="00AB15C7" w:rsidRDefault="007659D6" w:rsidP="005921EF">
      <w:pPr>
        <w:jc w:val="both"/>
        <w:rPr>
          <w:rFonts w:ascii="Cambria" w:hAnsi="Cambria"/>
          <w:noProof/>
        </w:rPr>
      </w:pPr>
      <w:r w:rsidRPr="00AB15C7">
        <w:rPr>
          <w:rFonts w:ascii="Cambria" w:hAnsi="Cambria"/>
          <w:noProof/>
        </w:rPr>
        <w:t xml:space="preserve">Pored </w:t>
      </w:r>
      <w:r w:rsidR="00B74C9D" w:rsidRPr="00AB15C7">
        <w:rPr>
          <w:rFonts w:ascii="Cambria" w:hAnsi="Cambria"/>
          <w:noProof/>
        </w:rPr>
        <w:t>gorućeg problema u vezi sa PCB</w:t>
      </w:r>
      <w:r w:rsidRPr="00AB15C7">
        <w:rPr>
          <w:rFonts w:ascii="Cambria" w:hAnsi="Cambria"/>
          <w:noProof/>
        </w:rPr>
        <w:t>, identifikovan</w:t>
      </w:r>
      <w:r w:rsidR="00DC7277" w:rsidRPr="00AB15C7">
        <w:rPr>
          <w:rFonts w:ascii="Cambria" w:hAnsi="Cambria"/>
          <w:noProof/>
        </w:rPr>
        <w:t>a je i potreba za r</w:t>
      </w:r>
      <w:r w:rsidR="00002F49">
        <w:rPr>
          <w:rFonts w:ascii="Cambria" w:hAnsi="Cambria"/>
          <w:noProof/>
        </w:rPr>
        <w:t>j</w:t>
      </w:r>
      <w:r w:rsidR="00DC7277" w:rsidRPr="00AB15C7">
        <w:rPr>
          <w:rFonts w:ascii="Cambria" w:hAnsi="Cambria"/>
          <w:noProof/>
        </w:rPr>
        <w:t xml:space="preserve">ešavanje pitanja </w:t>
      </w:r>
      <w:r w:rsidRPr="00AB15C7">
        <w:rPr>
          <w:rFonts w:ascii="Cambria" w:hAnsi="Cambria"/>
          <w:noProof/>
        </w:rPr>
        <w:t xml:space="preserve"> nenam</w:t>
      </w:r>
      <w:r w:rsidR="00746B63">
        <w:rPr>
          <w:rFonts w:ascii="Cambria" w:hAnsi="Cambria"/>
          <w:noProof/>
        </w:rPr>
        <w:t>j</w:t>
      </w:r>
      <w:r w:rsidRPr="00AB15C7">
        <w:rPr>
          <w:rFonts w:ascii="Cambria" w:hAnsi="Cambria"/>
          <w:noProof/>
        </w:rPr>
        <w:t>erno emitovanih POPs. U inventarizaciji PCDD/PCDF, PCB i HCB prepoznati su sektori, podsektori i specifični procesi u kojima dolazi do ispuštanja navedenih polutanata u vazduh. Prema obrađenim podacima najveće emisije dioksina i furana nastaju u procesu proizvodnje gvožđa i čelika, sagorjevanja fosilnih goriva kao i u energetskim postrojenjima. Treba ukazati na činjenicu da nedostaju precizniji podaci za količinu potrošenog goriva u transportu koji su jedni od najznačajnijih izvora emisije PCDD/PCDF u vazduh, kao i podaci o količinama nekontrolisano spaljenog otpada.</w:t>
      </w:r>
    </w:p>
    <w:p w14:paraId="63DAC624" w14:textId="2A34942F" w:rsidR="00DC7277" w:rsidRPr="00AB15C7" w:rsidRDefault="00DC7277" w:rsidP="005921EF">
      <w:pPr>
        <w:jc w:val="both"/>
        <w:rPr>
          <w:rFonts w:ascii="Cambria" w:hAnsi="Cambria"/>
          <w:noProof/>
          <w:lang w:val="sr-Latn-ME"/>
        </w:rPr>
      </w:pPr>
      <w:r w:rsidRPr="00AB15C7">
        <w:rPr>
          <w:rFonts w:ascii="Cambria" w:hAnsi="Cambria"/>
          <w:noProof/>
          <w:lang w:val="sr-Latn-ME"/>
        </w:rPr>
        <w:t xml:space="preserve">U pogledu POPs </w:t>
      </w:r>
      <w:r w:rsidR="009314B9">
        <w:rPr>
          <w:rFonts w:ascii="Cambria" w:hAnsi="Cambria"/>
          <w:noProof/>
          <w:lang w:val="sr-Latn-ME"/>
        </w:rPr>
        <w:t>pesticid</w:t>
      </w:r>
      <w:r w:rsidR="007E37C6">
        <w:rPr>
          <w:rFonts w:ascii="Cambria" w:hAnsi="Cambria"/>
          <w:noProof/>
          <w:lang w:val="sr-Latn-ME"/>
        </w:rPr>
        <w:t>a</w:t>
      </w:r>
      <w:r w:rsidRPr="00AB15C7">
        <w:rPr>
          <w:rFonts w:ascii="Cambria" w:hAnsi="Cambria"/>
          <w:noProof/>
          <w:lang w:val="sr-Latn-ME"/>
        </w:rPr>
        <w:t xml:space="preserve">, u inicijalnom NIP nije utvrđeno da u Crnoj Gori postoje </w:t>
      </w:r>
      <w:r w:rsidR="007E37C6" w:rsidRPr="007E37C6">
        <w:rPr>
          <w:rFonts w:ascii="Cambria" w:hAnsi="Cambria"/>
          <w:noProof/>
        </w:rPr>
        <w:t>zalih</w:t>
      </w:r>
      <w:r w:rsidR="007E37C6">
        <w:rPr>
          <w:rFonts w:ascii="Cambria" w:hAnsi="Cambria"/>
          <w:noProof/>
        </w:rPr>
        <w:t xml:space="preserve">e niti </w:t>
      </w:r>
      <w:r w:rsidR="007E37C6" w:rsidRPr="007E37C6">
        <w:rPr>
          <w:rFonts w:ascii="Cambria" w:hAnsi="Cambria"/>
          <w:noProof/>
        </w:rPr>
        <w:t>lokacije kontaminirane POPs pesticid</w:t>
      </w:r>
      <w:r w:rsidR="007E37C6">
        <w:rPr>
          <w:rFonts w:ascii="Cambria" w:hAnsi="Cambria"/>
          <w:noProof/>
        </w:rPr>
        <w:t xml:space="preserve">ima. </w:t>
      </w:r>
      <w:r w:rsidRPr="00AB15C7">
        <w:rPr>
          <w:rFonts w:ascii="Cambria" w:hAnsi="Cambria"/>
          <w:noProof/>
          <w:lang w:val="sr-Latn-ME"/>
        </w:rPr>
        <w:t xml:space="preserve"> </w:t>
      </w:r>
    </w:p>
    <w:p w14:paraId="5AF03635" w14:textId="77777777" w:rsidR="00DC7277" w:rsidRPr="00AB15C7" w:rsidRDefault="00694C11" w:rsidP="005921EF">
      <w:pPr>
        <w:jc w:val="both"/>
        <w:rPr>
          <w:rFonts w:ascii="Cambria" w:hAnsi="Cambria"/>
          <w:bCs/>
          <w:noProof/>
          <w:lang w:val="sr-Latn-ME"/>
        </w:rPr>
      </w:pPr>
      <w:r w:rsidRPr="00AB15C7">
        <w:rPr>
          <w:rFonts w:ascii="Cambria" w:hAnsi="Cambria"/>
          <w:bCs/>
          <w:noProof/>
        </w:rPr>
        <w:t>U</w:t>
      </w:r>
      <w:r w:rsidR="00DC7277" w:rsidRPr="00AB15C7">
        <w:rPr>
          <w:rFonts w:ascii="Cambria" w:hAnsi="Cambria"/>
          <w:bCs/>
          <w:noProof/>
        </w:rPr>
        <w:t xml:space="preserve"> toku </w:t>
      </w:r>
      <w:r w:rsidRPr="00AB15C7">
        <w:rPr>
          <w:rFonts w:ascii="Cambria" w:hAnsi="Cambria"/>
          <w:bCs/>
          <w:noProof/>
        </w:rPr>
        <w:t xml:space="preserve">je </w:t>
      </w:r>
      <w:r w:rsidR="00DC7277" w:rsidRPr="00AB15C7">
        <w:rPr>
          <w:rFonts w:ascii="Cambria" w:hAnsi="Cambria"/>
          <w:bCs/>
          <w:noProof/>
        </w:rPr>
        <w:t>izrada Revizije Nacionalnog plana implementacije Stokholmske konvencije o dugotrajnim organskim zagađivačima (POPs) u okviru projekta koju sprovodi Centar za  ekotoksikološka ispitivanja u saradnji sa Ministarstvom održivog razvoja i turizma (MORT) i Programom Ujedinjenih nacija za životnu sredinu (UNEP), sa ciljem da se  ažuriraju inventari starih POPs hemikalija i izrade inventari novih POPs hemikalija i predlože mjere za eliminaciju odnosno smanjenje rizika i izloženosti POPs</w:t>
      </w:r>
      <w:r w:rsidR="005A3A49" w:rsidRPr="00AB15C7">
        <w:rPr>
          <w:rFonts w:ascii="Cambria" w:hAnsi="Cambria"/>
          <w:bCs/>
          <w:noProof/>
        </w:rPr>
        <w:t xml:space="preserve"> u skladu sa revidiranim nalazima.</w:t>
      </w:r>
    </w:p>
    <w:p w14:paraId="4C5C7502" w14:textId="77777777" w:rsidR="00DC7277" w:rsidRPr="00AB15C7" w:rsidRDefault="005A3A49" w:rsidP="005921EF">
      <w:pPr>
        <w:jc w:val="both"/>
        <w:rPr>
          <w:rFonts w:ascii="Cambria" w:hAnsi="Cambria"/>
          <w:bCs/>
          <w:noProof/>
        </w:rPr>
      </w:pPr>
      <w:r w:rsidRPr="00AB15C7">
        <w:rPr>
          <w:rFonts w:ascii="Cambria" w:hAnsi="Cambria"/>
          <w:bCs/>
          <w:noProof/>
        </w:rPr>
        <w:t>Pored toga, u</w:t>
      </w:r>
      <w:r w:rsidR="00DC7277" w:rsidRPr="00AB15C7">
        <w:rPr>
          <w:rFonts w:ascii="Cambria" w:hAnsi="Cambria"/>
          <w:bCs/>
          <w:noProof/>
        </w:rPr>
        <w:t xml:space="preserve"> </w:t>
      </w:r>
      <w:r w:rsidRPr="00AB15C7">
        <w:rPr>
          <w:rFonts w:ascii="Cambria" w:hAnsi="Cambria"/>
          <w:bCs/>
          <w:noProof/>
        </w:rPr>
        <w:t xml:space="preserve">toku je realizacija </w:t>
      </w:r>
      <w:r w:rsidR="00DC7277" w:rsidRPr="00AB15C7">
        <w:rPr>
          <w:rFonts w:ascii="Cambria" w:hAnsi="Cambria"/>
          <w:bCs/>
          <w:noProof/>
        </w:rPr>
        <w:t>projekta UNDP “Sveobuhvatno ekološki prihvatljivo upravljanje otpadom koji sadrži polihlorovane bifenile (PCB) u Crnoj Gori”, u kojem je CETI implementator u saradnji sa Ministarstvom održivog razvoja i turizma i Crnogorskim elektrodistributivnim sistemom (CEDIS</w:t>
      </w:r>
      <w:r w:rsidRPr="00AB15C7">
        <w:rPr>
          <w:rFonts w:ascii="Cambria" w:hAnsi="Cambria"/>
          <w:bCs/>
          <w:noProof/>
        </w:rPr>
        <w:t>)</w:t>
      </w:r>
      <w:r w:rsidR="00DC7277" w:rsidRPr="00AB15C7">
        <w:rPr>
          <w:rFonts w:ascii="Cambria" w:hAnsi="Cambria"/>
          <w:bCs/>
          <w:noProof/>
        </w:rPr>
        <w:t>.</w:t>
      </w:r>
      <w:r w:rsidRPr="00AB15C7">
        <w:rPr>
          <w:rFonts w:ascii="Cambria" w:hAnsi="Cambria"/>
          <w:bCs/>
          <w:noProof/>
        </w:rPr>
        <w:t xml:space="preserve"> Cilj projekta je da se do kraja 2020. godine identifikuju oprema i otpad</w:t>
      </w:r>
      <w:r w:rsidR="00617129" w:rsidRPr="00AB15C7">
        <w:rPr>
          <w:rFonts w:ascii="Cambria" w:hAnsi="Cambria"/>
          <w:bCs/>
          <w:noProof/>
        </w:rPr>
        <w:t xml:space="preserve"> koji sadrži PCB</w:t>
      </w:r>
      <w:r w:rsidRPr="00AB15C7">
        <w:rPr>
          <w:rFonts w:ascii="Cambria" w:hAnsi="Cambria"/>
          <w:bCs/>
          <w:noProof/>
        </w:rPr>
        <w:t xml:space="preserve">, kao i da se analogno tome izradi inventar, kako bi se pristupilo dekontaminaciji ili njegovom trajnom </w:t>
      </w:r>
      <w:r w:rsidRPr="00AB15C7">
        <w:rPr>
          <w:rFonts w:ascii="Cambria" w:hAnsi="Cambria"/>
          <w:bCs/>
          <w:noProof/>
        </w:rPr>
        <w:lastRenderedPageBreak/>
        <w:t>zbrinjavanju.</w:t>
      </w:r>
      <w:r w:rsidR="00617129" w:rsidRPr="00AB15C7">
        <w:rPr>
          <w:rFonts w:ascii="Cambria" w:hAnsi="Cambria"/>
          <w:bCs/>
          <w:noProof/>
        </w:rPr>
        <w:t xml:space="preserve"> </w:t>
      </w:r>
      <w:r w:rsidR="00DC7277" w:rsidRPr="00AB15C7">
        <w:rPr>
          <w:rFonts w:ascii="Cambria" w:hAnsi="Cambria"/>
          <w:bCs/>
          <w:noProof/>
        </w:rPr>
        <w:t>Budžet koji je opredijeljen za kompletan projekat iznosi 23 miliona dolara, od čega Globalni fond za životnu sredinu (GEF) finansira tri i po miliona, a ostatak Vlada i partneri na projektu, odnosno CEDIS, Kombinat aluminijuma Podgorica i ostali manji subjekti.</w:t>
      </w:r>
    </w:p>
    <w:p w14:paraId="12019AD5" w14:textId="3F552BC9" w:rsidR="002B6478" w:rsidRPr="00AB15C7" w:rsidRDefault="002B6478" w:rsidP="005921EF">
      <w:pPr>
        <w:jc w:val="both"/>
        <w:rPr>
          <w:rFonts w:ascii="Cambria" w:hAnsi="Cambria"/>
          <w:bCs/>
          <w:noProof/>
        </w:rPr>
      </w:pPr>
      <w:r w:rsidRPr="00AB15C7">
        <w:rPr>
          <w:rFonts w:ascii="Cambria" w:hAnsi="Cambria"/>
          <w:bCs/>
          <w:noProof/>
        </w:rPr>
        <w:t xml:space="preserve">Crna Gora potpisala je Minamata konvenciju o živi 24. septembra 2014. godine. Prvi korak u pripremi za izvršavanje budućih obaveza u skladu s Minamata konvencijom i radi preduzimanja rane akcije u cilju smanjenja ispuštanja žive i očuvanja stanovništva i životne sredine, Crna Gora je pristupila izradi </w:t>
      </w:r>
      <w:r w:rsidR="000748B2" w:rsidRPr="00AB15C7">
        <w:rPr>
          <w:rFonts w:ascii="Cambria" w:hAnsi="Cambria"/>
          <w:bCs/>
          <w:noProof/>
        </w:rPr>
        <w:t>Izvještaj</w:t>
      </w:r>
      <w:r w:rsidR="000748B2">
        <w:rPr>
          <w:rFonts w:ascii="Cambria" w:hAnsi="Cambria"/>
          <w:bCs/>
          <w:noProof/>
        </w:rPr>
        <w:t>a</w:t>
      </w:r>
      <w:r w:rsidR="000748B2" w:rsidRPr="00AB15C7">
        <w:rPr>
          <w:rFonts w:ascii="Cambria" w:hAnsi="Cambria"/>
          <w:bCs/>
          <w:noProof/>
        </w:rPr>
        <w:t xml:space="preserve"> o Minamata inicijalnoj procjeni za </w:t>
      </w:r>
      <w:r w:rsidR="000748B2" w:rsidRPr="00AB15C7">
        <w:rPr>
          <w:rFonts w:ascii="Cambria" w:hAnsi="Cambria"/>
          <w:bCs/>
          <w:noProof/>
          <w:lang w:val="sr-Latn-RS"/>
        </w:rPr>
        <w:t>živu</w:t>
      </w:r>
      <w:r w:rsidRPr="00AB15C7">
        <w:rPr>
          <w:rFonts w:ascii="Cambria" w:hAnsi="Cambria"/>
          <w:bCs/>
          <w:noProof/>
        </w:rPr>
        <w:t xml:space="preserve">. </w:t>
      </w:r>
    </w:p>
    <w:p w14:paraId="629D8D55" w14:textId="43EDE047" w:rsidR="001252C0" w:rsidRPr="00AB15C7" w:rsidRDefault="002B6478" w:rsidP="005921EF">
      <w:pPr>
        <w:jc w:val="both"/>
        <w:rPr>
          <w:rFonts w:ascii="Cambria" w:hAnsi="Cambria"/>
          <w:bCs/>
          <w:noProof/>
        </w:rPr>
      </w:pPr>
      <w:r w:rsidRPr="00AB15C7">
        <w:rPr>
          <w:rFonts w:ascii="Cambria" w:hAnsi="Cambria"/>
          <w:bCs/>
          <w:noProof/>
        </w:rPr>
        <w:t xml:space="preserve">Centar za ekotoksikološka ispitivanja Crne Gore (CETI), u saradnji s konsultantima koji su bili angažovani za izradu </w:t>
      </w:r>
      <w:r w:rsidR="00BD5575" w:rsidRPr="00AB15C7">
        <w:rPr>
          <w:rFonts w:ascii="Cambria" w:hAnsi="Cambria"/>
          <w:bCs/>
          <w:noProof/>
        </w:rPr>
        <w:t>I</w:t>
      </w:r>
      <w:r w:rsidRPr="00AB15C7">
        <w:rPr>
          <w:rFonts w:ascii="Cambria" w:hAnsi="Cambria"/>
          <w:bCs/>
          <w:noProof/>
        </w:rPr>
        <w:t>zvještaja</w:t>
      </w:r>
      <w:r w:rsidR="00BD5575" w:rsidRPr="00AB15C7">
        <w:rPr>
          <w:rFonts w:ascii="Cambria" w:hAnsi="Cambria"/>
          <w:bCs/>
          <w:noProof/>
        </w:rPr>
        <w:t xml:space="preserve"> o </w:t>
      </w:r>
      <w:bookmarkStart w:id="33" w:name="_Hlk522345575"/>
      <w:r w:rsidR="00BD5575" w:rsidRPr="00AB15C7">
        <w:rPr>
          <w:rFonts w:ascii="Cambria" w:hAnsi="Cambria"/>
          <w:bCs/>
          <w:noProof/>
        </w:rPr>
        <w:t xml:space="preserve">Minamata </w:t>
      </w:r>
      <w:bookmarkEnd w:id="33"/>
      <w:r w:rsidR="00BD5575" w:rsidRPr="00AB15C7">
        <w:rPr>
          <w:rFonts w:ascii="Cambria" w:hAnsi="Cambria"/>
          <w:bCs/>
          <w:noProof/>
        </w:rPr>
        <w:t xml:space="preserve">inicijalnoj procjeni za </w:t>
      </w:r>
      <w:r w:rsidR="00CB3722" w:rsidRPr="00AB15C7">
        <w:rPr>
          <w:rFonts w:ascii="Cambria" w:hAnsi="Cambria"/>
          <w:bCs/>
          <w:noProof/>
          <w:lang w:val="sr-Latn-RS"/>
        </w:rPr>
        <w:t>Crnu Goru</w:t>
      </w:r>
      <w:r w:rsidR="00CB3722" w:rsidRPr="00AB15C7">
        <w:rPr>
          <w:rFonts w:ascii="Cambria" w:hAnsi="Cambria"/>
          <w:bCs/>
          <w:noProof/>
          <w:vertAlign w:val="superscript"/>
        </w:rPr>
        <w:footnoteReference w:id="17"/>
      </w:r>
      <w:r w:rsidRPr="00AB15C7">
        <w:rPr>
          <w:rFonts w:ascii="Cambria" w:hAnsi="Cambria"/>
          <w:bCs/>
          <w:noProof/>
        </w:rPr>
        <w:t xml:space="preserve">, izradio je nacionalni inventar emisija žive iz različitih sektora. Kao osnovni izvor ispuštanja žive u Crnoj </w:t>
      </w:r>
      <w:r w:rsidR="0053405F" w:rsidRPr="00AB15C7">
        <w:rPr>
          <w:rFonts w:ascii="Cambria" w:hAnsi="Cambria"/>
          <w:bCs/>
          <w:noProof/>
        </w:rPr>
        <w:t xml:space="preserve">Gori </w:t>
      </w:r>
      <w:r w:rsidRPr="00AB15C7">
        <w:rPr>
          <w:rFonts w:ascii="Cambria" w:hAnsi="Cambria"/>
          <w:bCs/>
          <w:noProof/>
        </w:rPr>
        <w:t xml:space="preserve">identifikovano je sagorijevanje uglja i druge upotrebe uglja,  </w:t>
      </w:r>
      <w:r w:rsidR="008D6982" w:rsidRPr="00AB15C7">
        <w:rPr>
          <w:rFonts w:ascii="Cambria" w:hAnsi="Cambria"/>
          <w:bCs/>
          <w:noProof/>
        </w:rPr>
        <w:t xml:space="preserve">a slijede </w:t>
      </w:r>
      <w:r w:rsidRPr="00AB15C7">
        <w:rPr>
          <w:rFonts w:ascii="Cambria" w:hAnsi="Cambria"/>
          <w:bCs/>
          <w:noProof/>
        </w:rPr>
        <w:t xml:space="preserve">upotreba i odlaganje ostalih proizvoda, nezakonito odlaganje komunalnog otpada i odlaganje otpada. </w:t>
      </w:r>
      <w:r w:rsidR="008D6982" w:rsidRPr="00AB15C7">
        <w:rPr>
          <w:rFonts w:ascii="Cambria" w:hAnsi="Cambria"/>
          <w:bCs/>
          <w:noProof/>
        </w:rPr>
        <w:t xml:space="preserve"> </w:t>
      </w:r>
      <w:r w:rsidRPr="00AB15C7">
        <w:rPr>
          <w:rFonts w:ascii="Cambria" w:hAnsi="Cambria"/>
          <w:bCs/>
          <w:noProof/>
        </w:rPr>
        <w:t>Ostali važni izvori sa značajno nižim emisijama su: sistem/prečišćavanje otpadnih voda, primjena, upotreba i odlaganje zubnih amalgamskih plombi, sagorijevanje ostalih fosilnih goriva/biomase i groblja.  Cilj inventara bio je da se identifikuju osnovni izvori ispuštanja žive u Crnoj Gori.</w:t>
      </w:r>
      <w:r w:rsidR="00BD5575" w:rsidRPr="00AB15C7">
        <w:rPr>
          <w:rFonts w:ascii="Cambria" w:hAnsi="Cambria"/>
          <w:bCs/>
          <w:noProof/>
        </w:rPr>
        <w:t xml:space="preserve"> Pored inventara Izvještaj o </w:t>
      </w:r>
      <w:r w:rsidR="00CB3722" w:rsidRPr="00AB15C7">
        <w:rPr>
          <w:rFonts w:ascii="Cambria" w:hAnsi="Cambria"/>
          <w:bCs/>
          <w:noProof/>
        </w:rPr>
        <w:t xml:space="preserve">Minamata </w:t>
      </w:r>
      <w:r w:rsidR="00BD5575" w:rsidRPr="00AB15C7">
        <w:rPr>
          <w:rFonts w:ascii="Cambria" w:hAnsi="Cambria"/>
          <w:bCs/>
          <w:noProof/>
        </w:rPr>
        <w:t xml:space="preserve">inicijalnoj procjeni za </w:t>
      </w:r>
      <w:r w:rsidR="00BD5575" w:rsidRPr="00AB15C7">
        <w:rPr>
          <w:rFonts w:ascii="Cambria" w:hAnsi="Cambria"/>
          <w:bCs/>
          <w:noProof/>
          <w:lang w:val="sr-Latn-RS"/>
        </w:rPr>
        <w:t>živu obra</w:t>
      </w:r>
      <w:r w:rsidR="00E9278A">
        <w:rPr>
          <w:rFonts w:ascii="Cambria" w:hAnsi="Cambria"/>
          <w:bCs/>
          <w:noProof/>
          <w:lang w:val="sr-Latn-RS"/>
        </w:rPr>
        <w:t>đ</w:t>
      </w:r>
      <w:r w:rsidR="00BD5575" w:rsidRPr="00AB15C7">
        <w:rPr>
          <w:rFonts w:ascii="Cambria" w:hAnsi="Cambria"/>
          <w:bCs/>
          <w:noProof/>
          <w:lang w:val="sr-Latn-RS"/>
        </w:rPr>
        <w:t>uje sve druge aspekte bitne za sprovo</w:t>
      </w:r>
      <w:r w:rsidR="00E9278A">
        <w:rPr>
          <w:rFonts w:ascii="Cambria" w:hAnsi="Cambria"/>
          <w:bCs/>
          <w:noProof/>
          <w:lang w:val="sr-Latn-RS"/>
        </w:rPr>
        <w:t>đ</w:t>
      </w:r>
      <w:r w:rsidR="00BD5575" w:rsidRPr="00AB15C7">
        <w:rPr>
          <w:rFonts w:ascii="Cambria" w:hAnsi="Cambria"/>
          <w:bCs/>
          <w:noProof/>
          <w:lang w:val="sr-Latn-RS"/>
        </w:rPr>
        <w:t>enje Minamata konvencije u Crnoj Gori.</w:t>
      </w:r>
    </w:p>
    <w:p w14:paraId="32F486F7" w14:textId="77777777" w:rsidR="000430B7" w:rsidRPr="00AB15C7" w:rsidRDefault="00B12A23" w:rsidP="00802271">
      <w:pPr>
        <w:pStyle w:val="Heading2"/>
        <w:spacing w:after="120"/>
        <w:rPr>
          <w:noProof/>
          <w:sz w:val="22"/>
          <w:szCs w:val="22"/>
          <w:lang w:val="en-US"/>
        </w:rPr>
      </w:pPr>
      <w:bookmarkStart w:id="34" w:name="_Toc527353181"/>
      <w:r w:rsidRPr="00AB15C7">
        <w:rPr>
          <w:noProof/>
          <w:sz w:val="22"/>
          <w:szCs w:val="22"/>
          <w:lang w:val="en-US"/>
        </w:rPr>
        <w:t>2.</w:t>
      </w:r>
      <w:r w:rsidR="000430B7" w:rsidRPr="00AB15C7">
        <w:rPr>
          <w:noProof/>
          <w:sz w:val="22"/>
          <w:szCs w:val="22"/>
          <w:lang w:val="en-US"/>
        </w:rPr>
        <w:t>2.</w:t>
      </w:r>
      <w:r w:rsidR="00486EB8" w:rsidRPr="00AB15C7">
        <w:rPr>
          <w:noProof/>
          <w:sz w:val="22"/>
          <w:szCs w:val="22"/>
          <w:lang w:val="en-US"/>
        </w:rPr>
        <w:t xml:space="preserve">4. Kontaminirani lokaliteti na teritoriji </w:t>
      </w:r>
      <w:r w:rsidR="0053405F" w:rsidRPr="00AB15C7">
        <w:rPr>
          <w:noProof/>
          <w:sz w:val="22"/>
          <w:szCs w:val="22"/>
          <w:lang w:val="en-US"/>
        </w:rPr>
        <w:t>Crne Gore</w:t>
      </w:r>
      <w:bookmarkEnd w:id="34"/>
    </w:p>
    <w:p w14:paraId="69EA6E58" w14:textId="77777777" w:rsidR="00B60506" w:rsidRDefault="00AA10D5" w:rsidP="00B60506">
      <w:pPr>
        <w:jc w:val="both"/>
        <w:rPr>
          <w:rFonts w:ascii="Cambria" w:hAnsi="Cambria"/>
          <w:bCs/>
          <w:noProof/>
          <w:lang w:val="sr-Latn-ME"/>
        </w:rPr>
      </w:pPr>
      <w:r w:rsidRPr="00AB15C7">
        <w:rPr>
          <w:rFonts w:ascii="Cambria" w:hAnsi="Cambria"/>
          <w:bCs/>
          <w:noProof/>
          <w:lang w:val="sr-Latn-ME"/>
        </w:rPr>
        <w:t xml:space="preserve">Kao ključni izazovi u pogledu kontaminiranih lokacija u Crnoj </w:t>
      </w:r>
      <w:r w:rsidR="0053405F" w:rsidRPr="00AB15C7">
        <w:rPr>
          <w:rFonts w:ascii="Cambria" w:hAnsi="Cambria"/>
          <w:bCs/>
          <w:noProof/>
          <w:lang w:val="sr-Latn-ME"/>
        </w:rPr>
        <w:t xml:space="preserve">Gori </w:t>
      </w:r>
      <w:r w:rsidRPr="00AB15C7">
        <w:rPr>
          <w:rFonts w:ascii="Cambria" w:hAnsi="Cambria"/>
          <w:bCs/>
          <w:noProof/>
          <w:lang w:val="sr-Latn-ME"/>
        </w:rPr>
        <w:t>identifikovane su 4 crne ekološke tačke na lokacijama na kojima se nalaze deponije industrijskog  otpada, i to:</w:t>
      </w:r>
    </w:p>
    <w:p w14:paraId="61982425" w14:textId="77777777" w:rsidR="00AA10D5" w:rsidRPr="00B60506" w:rsidRDefault="00B60506" w:rsidP="00557C13">
      <w:pPr>
        <w:pStyle w:val="ListParagraph"/>
        <w:numPr>
          <w:ilvl w:val="0"/>
          <w:numId w:val="54"/>
        </w:numPr>
        <w:spacing w:after="0" w:line="360" w:lineRule="auto"/>
        <w:jc w:val="both"/>
        <w:rPr>
          <w:rFonts w:ascii="Cambria" w:hAnsi="Cambria"/>
          <w:bCs/>
          <w:noProof/>
          <w:u w:val="single"/>
          <w:lang w:val="sr-Latn-ME"/>
        </w:rPr>
      </w:pPr>
      <w:r w:rsidRPr="00B60506">
        <w:rPr>
          <w:rFonts w:ascii="Cambria" w:hAnsi="Cambria"/>
          <w:bCs/>
          <w:noProof/>
          <w:u w:val="single"/>
          <w:lang w:val="sr-Latn-ME"/>
        </w:rPr>
        <w:t>Kombinat Aluminijuma Podgorica-</w:t>
      </w:r>
      <w:r w:rsidR="00AA10D5" w:rsidRPr="00B60506">
        <w:rPr>
          <w:rFonts w:ascii="Cambria" w:hAnsi="Cambria"/>
          <w:bCs/>
          <w:noProof/>
          <w:u w:val="single"/>
          <w:lang w:val="sr-Latn-ME"/>
        </w:rPr>
        <w:t>KAP (bazeni crvenog mulja i deponija čvrstog otpada)</w:t>
      </w:r>
    </w:p>
    <w:p w14:paraId="24AF9B26" w14:textId="77777777" w:rsidR="008B3355" w:rsidRPr="00AB15C7" w:rsidRDefault="00AA10D5" w:rsidP="005921EF">
      <w:pPr>
        <w:jc w:val="both"/>
        <w:rPr>
          <w:rFonts w:ascii="Cambria" w:hAnsi="Cambria"/>
          <w:b/>
          <w:bCs/>
          <w:noProof/>
          <w:lang w:val="sr-Latn-CS"/>
        </w:rPr>
      </w:pPr>
      <w:r w:rsidRPr="00AB15C7">
        <w:rPr>
          <w:rFonts w:ascii="Cambria" w:hAnsi="Cambria"/>
          <w:bCs/>
          <w:noProof/>
          <w:lang w:val="sr-Latn-ME"/>
        </w:rPr>
        <w:t>Primarna i sekundarna proizvodnja aluminijuma proizvele su veliki broj različitih otpadnih frakcija koje su deponovane u neposrednoj blizini proizvodnog pogona. Najveća količina se sastoji od alkalne emulzije crvenog mulja koja je deponovana u dva bazena (A i B) ukupne površine od 420.000 m². Basen A je zaptiven plastičnom oblogom, dok Basen B uopšte nema osnovni zaptivni sloj. Pretpostavlja se da slegnuti i sasušeni crveni mulj u oba basena dostiže prosječnu debljinu izmenu 13 i 15 m. U KAP-u od 2005. godine vrši selektivno odlaganje otpada. Opasni otpad</w:t>
      </w:r>
      <w:r w:rsidR="008B3355" w:rsidRPr="00AB15C7">
        <w:rPr>
          <w:rFonts w:ascii="Cambria" w:hAnsi="Cambria"/>
          <w:bCs/>
          <w:noProof/>
          <w:lang w:val="sr-Latn-ME"/>
        </w:rPr>
        <w:t xml:space="preserve"> </w:t>
      </w:r>
      <w:r w:rsidR="008B3355" w:rsidRPr="00AB15C7">
        <w:rPr>
          <w:rFonts w:ascii="Cambria" w:hAnsi="Cambria"/>
          <w:bCs/>
          <w:noProof/>
          <w:lang w:val="sr-Latn-CS"/>
        </w:rPr>
        <w:t>(katodna prašina, prašina od prerade livačke šljake, skladišta sirovina u Anodama, prašina od prerade kolača soli)</w:t>
      </w:r>
      <w:r w:rsidRPr="00AB15C7">
        <w:rPr>
          <w:rFonts w:ascii="Cambria" w:hAnsi="Cambria"/>
          <w:bCs/>
          <w:noProof/>
          <w:lang w:val="sr-Latn-ME"/>
        </w:rPr>
        <w:t xml:space="preserve"> se po vrstama odlaže u betonske bunkere za tu vrstu otpada. Površina betonskih bunkera je 20000 m</w:t>
      </w:r>
      <w:r w:rsidRPr="00AB15C7">
        <w:rPr>
          <w:rFonts w:ascii="Cambria" w:hAnsi="Cambria"/>
          <w:bCs/>
          <w:noProof/>
          <w:vertAlign w:val="superscript"/>
          <w:lang w:val="sr-Latn-ME"/>
        </w:rPr>
        <w:t>2</w:t>
      </w:r>
      <w:r w:rsidRPr="00AB15C7">
        <w:rPr>
          <w:rFonts w:ascii="Cambria" w:hAnsi="Cambria"/>
          <w:bCs/>
          <w:noProof/>
          <w:lang w:val="sr-Latn-ME"/>
        </w:rPr>
        <w:t xml:space="preserve"> i vodi se  evidencija o količinama i vrsti otpada. Površina deponije za neopasan otpad je 97000 m</w:t>
      </w:r>
      <w:r w:rsidRPr="00AB15C7">
        <w:rPr>
          <w:rFonts w:ascii="Cambria" w:hAnsi="Cambria"/>
          <w:bCs/>
          <w:noProof/>
          <w:vertAlign w:val="superscript"/>
          <w:lang w:val="sr-Latn-ME"/>
        </w:rPr>
        <w:t>3</w:t>
      </w:r>
      <w:r w:rsidRPr="00AB15C7">
        <w:rPr>
          <w:rFonts w:ascii="Cambria" w:hAnsi="Cambria"/>
          <w:bCs/>
          <w:noProof/>
          <w:lang w:val="sr-Latn-ME"/>
        </w:rPr>
        <w:t>.</w:t>
      </w:r>
      <w:r w:rsidR="008B3355" w:rsidRPr="00AB15C7">
        <w:rPr>
          <w:rFonts w:ascii="Cambria" w:hAnsi="Cambria"/>
          <w:bCs/>
          <w:noProof/>
          <w:lang w:val="sr-Latn-CS"/>
        </w:rPr>
        <w:t xml:space="preserve"> Deponija u sastavu kakvom se sada nalazi predstavlja potencijalnu opasnost od zagađenja podzemnih voda.</w:t>
      </w:r>
      <w:r w:rsidR="00B60506">
        <w:rPr>
          <w:rFonts w:ascii="Cambria" w:hAnsi="Cambria"/>
          <w:bCs/>
          <w:noProof/>
          <w:lang w:val="sr-Latn-CS"/>
        </w:rPr>
        <w:t xml:space="preserve"> </w:t>
      </w:r>
      <w:r w:rsidRPr="00AB15C7">
        <w:rPr>
          <w:rFonts w:ascii="Cambria" w:hAnsi="Cambria"/>
          <w:bCs/>
          <w:noProof/>
          <w:lang w:val="sr-Latn-ME"/>
        </w:rPr>
        <w:t>Ranije kampanje praćenja pokazale su da se kritične koncentracije fluorida, PAH, PCB i mineralnih ulja u podzemnim vodama tokom godina smanjuju u bunarima podzemnih voda nizvodno od bazena crvenog mul</w:t>
      </w:r>
      <w:r w:rsidR="00205CED">
        <w:rPr>
          <w:rFonts w:ascii="Cambria" w:hAnsi="Cambria"/>
          <w:bCs/>
          <w:noProof/>
          <w:lang w:val="sr-Latn-ME"/>
        </w:rPr>
        <w:t>j</w:t>
      </w:r>
      <w:r w:rsidRPr="00AB15C7">
        <w:rPr>
          <w:rFonts w:ascii="Cambria" w:hAnsi="Cambria"/>
          <w:bCs/>
          <w:noProof/>
          <w:lang w:val="sr-Latn-ME"/>
        </w:rPr>
        <w:t xml:space="preserve">a. </w:t>
      </w:r>
      <w:r w:rsidR="00B60506">
        <w:rPr>
          <w:rFonts w:ascii="Cambria" w:hAnsi="Cambria"/>
          <w:bCs/>
          <w:noProof/>
          <w:lang w:val="sr-Latn-ME"/>
        </w:rPr>
        <w:t xml:space="preserve"> </w:t>
      </w:r>
      <w:r w:rsidR="00C3452B" w:rsidRPr="00AB15C7">
        <w:rPr>
          <w:rFonts w:ascii="Cambria" w:hAnsi="Cambria"/>
          <w:bCs/>
          <w:noProof/>
          <w:lang w:val="sr-Latn-CS"/>
        </w:rPr>
        <w:t>U prethodnom periodu su zabilježeni vanredni događaji u Kombinatu aluminijuma u Podgorici, i to: 1990. godine prosipanje piralenskog ulja</w:t>
      </w:r>
      <w:r w:rsidR="00C3452B" w:rsidRPr="00AB15C7">
        <w:rPr>
          <w:rFonts w:ascii="Cambria" w:hAnsi="Cambria"/>
          <w:b/>
          <w:bCs/>
          <w:noProof/>
          <w:lang w:val="sr-Latn-CS"/>
        </w:rPr>
        <w:t xml:space="preserve"> </w:t>
      </w:r>
      <w:r w:rsidR="00C3452B" w:rsidRPr="00AB15C7">
        <w:rPr>
          <w:rFonts w:ascii="Cambria" w:hAnsi="Cambria"/>
          <w:bCs/>
          <w:noProof/>
          <w:lang w:val="sr-Latn-CS"/>
        </w:rPr>
        <w:t>iz lagerovanih buradi na skladištu PCR-a, kao i havarija transformatora u pogonu Glinice</w:t>
      </w:r>
      <w:r w:rsidR="00C3452B" w:rsidRPr="00AB15C7">
        <w:rPr>
          <w:rFonts w:ascii="Cambria" w:hAnsi="Cambria"/>
          <w:bCs/>
          <w:noProof/>
          <w:lang w:val="sr-Latn-RS"/>
        </w:rPr>
        <w:t>; 2004. godine eksplozija na autoklavu 15, pri kojoj su život izgubila dva radnika i 2009. godine izlivanje kaustične sode</w:t>
      </w:r>
      <w:r w:rsidR="00C3452B" w:rsidRPr="00AB15C7">
        <w:rPr>
          <w:rFonts w:ascii="Cambria" w:hAnsi="Cambria"/>
          <w:bCs/>
          <w:noProof/>
          <w:lang w:val="sr-Latn-CS"/>
        </w:rPr>
        <w:t xml:space="preserve"> koja nije imala ozbiljnije posljedice.</w:t>
      </w:r>
      <w:r w:rsidR="008B3355" w:rsidRPr="00AB15C7">
        <w:rPr>
          <w:rFonts w:ascii="Cambria" w:hAnsi="Cambria"/>
          <w:noProof/>
          <w:color w:val="000000"/>
          <w:lang w:val="sr-Latn-CS"/>
        </w:rPr>
        <w:t xml:space="preserve"> </w:t>
      </w:r>
      <w:r w:rsidR="008B3355" w:rsidRPr="00AB15C7">
        <w:rPr>
          <w:rFonts w:ascii="Cambria" w:hAnsi="Cambria"/>
          <w:bCs/>
          <w:noProof/>
          <w:lang w:val="sr-Latn-CS"/>
        </w:rPr>
        <w:t>Danas u KAP-u postoje polihlorovani befenili (PCB) koji se nalaze u transformatorskim uljima pored ostalih opasnih materija kao što su: elektrodna smola, lož ulje, petrol koks, kalcinisana soda itd. Zaostala je i količina od oko 50.000 m</w:t>
      </w:r>
      <w:r w:rsidR="008B3355" w:rsidRPr="00AB15C7">
        <w:rPr>
          <w:rFonts w:ascii="Cambria" w:hAnsi="Cambria"/>
          <w:bCs/>
          <w:noProof/>
          <w:vertAlign w:val="superscript"/>
          <w:lang w:val="sr-Latn-CS"/>
        </w:rPr>
        <w:t>3</w:t>
      </w:r>
      <w:r w:rsidR="008B3355" w:rsidRPr="00AB15C7">
        <w:rPr>
          <w:rFonts w:ascii="Cambria" w:hAnsi="Cambria"/>
          <w:bCs/>
          <w:noProof/>
          <w:lang w:val="sr-Latn-CS"/>
        </w:rPr>
        <w:t xml:space="preserve"> rastvora slabe lužine različite koncentracije koja predstavlja rizik za životnu sredinu, zdravlje i bezbjednost ljudi. </w:t>
      </w:r>
    </w:p>
    <w:p w14:paraId="7FDFD65F" w14:textId="77777777" w:rsidR="00AA10D5" w:rsidRPr="00B60506" w:rsidRDefault="00B60506" w:rsidP="00557C13">
      <w:pPr>
        <w:pStyle w:val="ListParagraph"/>
        <w:numPr>
          <w:ilvl w:val="0"/>
          <w:numId w:val="54"/>
        </w:numPr>
        <w:spacing w:after="0" w:line="360" w:lineRule="auto"/>
        <w:jc w:val="both"/>
        <w:rPr>
          <w:rFonts w:ascii="Cambria" w:hAnsi="Cambria"/>
          <w:bCs/>
          <w:noProof/>
          <w:u w:val="single"/>
          <w:lang w:val="sr-Latn-ME"/>
        </w:rPr>
      </w:pPr>
      <w:r w:rsidRPr="00B60506">
        <w:rPr>
          <w:rFonts w:ascii="Cambria" w:hAnsi="Cambria"/>
          <w:bCs/>
          <w:noProof/>
          <w:u w:val="single"/>
          <w:lang w:val="sr-Latn-ME"/>
        </w:rPr>
        <w:t>Jadransko b</w:t>
      </w:r>
      <w:r w:rsidR="00AA10D5" w:rsidRPr="00B60506">
        <w:rPr>
          <w:rFonts w:ascii="Cambria" w:hAnsi="Cambria"/>
          <w:bCs/>
          <w:noProof/>
          <w:u w:val="single"/>
          <w:lang w:val="sr-Latn-ME"/>
        </w:rPr>
        <w:t>rodogradilište Bijela</w:t>
      </w:r>
    </w:p>
    <w:p w14:paraId="492FE4FC" w14:textId="2ECBD889" w:rsidR="00AA10D5" w:rsidRPr="00AB15C7" w:rsidRDefault="00D41040" w:rsidP="005921EF">
      <w:pPr>
        <w:jc w:val="both"/>
        <w:rPr>
          <w:rFonts w:ascii="Cambria" w:hAnsi="Cambria"/>
          <w:bCs/>
          <w:noProof/>
          <w:lang w:val="sr-Latn-ME"/>
        </w:rPr>
      </w:pPr>
      <w:r>
        <w:rPr>
          <w:rFonts w:ascii="Cambria" w:hAnsi="Cambria"/>
          <w:bCs/>
          <w:noProof/>
          <w:lang w:val="sr-Latn-ME"/>
        </w:rPr>
        <w:t>Prema posljednjim procjenama, u</w:t>
      </w:r>
      <w:r w:rsidR="00AA10D5" w:rsidRPr="00AB15C7">
        <w:rPr>
          <w:rFonts w:ascii="Cambria" w:hAnsi="Cambria"/>
          <w:bCs/>
          <w:noProof/>
          <w:lang w:val="sr-Latn-ME"/>
        </w:rPr>
        <w:t xml:space="preserve"> krugu Jadranskog brodogradilišta a.d. Bijela </w:t>
      </w:r>
      <w:r w:rsidR="009D41A9" w:rsidRPr="009D41A9">
        <w:rPr>
          <w:rFonts w:ascii="Cambria" w:hAnsi="Cambria"/>
          <w:bCs/>
          <w:noProof/>
          <w:lang w:val="sr-Latn-ME"/>
        </w:rPr>
        <w:t>u vrećama na pet depoa s</w:t>
      </w:r>
      <w:r>
        <w:rPr>
          <w:rFonts w:ascii="Cambria" w:hAnsi="Cambria"/>
          <w:bCs/>
          <w:noProof/>
          <w:lang w:val="sr-Latn-ME"/>
        </w:rPr>
        <w:t>e nalazi</w:t>
      </w:r>
      <w:r w:rsidR="009D41A9" w:rsidRPr="009D41A9">
        <w:rPr>
          <w:rFonts w:ascii="Cambria" w:hAnsi="Cambria"/>
          <w:bCs/>
          <w:noProof/>
          <w:lang w:val="sr-Latn-ME"/>
        </w:rPr>
        <w:t xml:space="preserve"> oko 80 000t</w:t>
      </w:r>
      <w:r w:rsidR="009D41A9">
        <w:rPr>
          <w:rFonts w:ascii="Cambria" w:hAnsi="Cambria"/>
          <w:bCs/>
          <w:noProof/>
          <w:lang w:val="sr-Latn-ME"/>
        </w:rPr>
        <w:t xml:space="preserve"> otpadnog grita</w:t>
      </w:r>
      <w:r w:rsidR="00676593" w:rsidRPr="00676593">
        <w:rPr>
          <w:rFonts w:ascii="Cambria" w:hAnsi="Cambria"/>
          <w:bCs/>
          <w:noProof/>
          <w:lang w:val="sr-Latn-ME"/>
        </w:rPr>
        <w:t xml:space="preserve"> </w:t>
      </w:r>
      <w:r w:rsidR="00676593" w:rsidRPr="00AB15C7">
        <w:rPr>
          <w:rFonts w:ascii="Cambria" w:hAnsi="Cambria"/>
          <w:bCs/>
          <w:noProof/>
          <w:lang w:val="sr-Latn-ME"/>
        </w:rPr>
        <w:t>koji je nastao pjeskarenjem brodova</w:t>
      </w:r>
      <w:r w:rsidR="009D41A9" w:rsidRPr="009D41A9">
        <w:rPr>
          <w:rFonts w:ascii="Cambria" w:hAnsi="Cambria"/>
          <w:bCs/>
          <w:noProof/>
          <w:lang w:val="sr-Latn-ME"/>
        </w:rPr>
        <w:t xml:space="preserve">, dok je količina zemljišta </w:t>
      </w:r>
      <w:r w:rsidR="009D41A9" w:rsidRPr="009D41A9">
        <w:rPr>
          <w:rFonts w:ascii="Cambria" w:hAnsi="Cambria"/>
          <w:bCs/>
          <w:noProof/>
          <w:lang w:val="sr-Latn-ME"/>
        </w:rPr>
        <w:lastRenderedPageBreak/>
        <w:t>pomiješanog sa gritom i kontaminiranog zemljišta ukupno oko 60 000t.</w:t>
      </w:r>
      <w:r w:rsidR="00AA10D5" w:rsidRPr="00AB15C7">
        <w:rPr>
          <w:rFonts w:ascii="Cambria" w:hAnsi="Cambria"/>
          <w:bCs/>
          <w:noProof/>
          <w:lang w:val="sr-Latn-ME"/>
        </w:rPr>
        <w:t xml:space="preserve">. </w:t>
      </w:r>
      <w:r w:rsidR="00676593" w:rsidRPr="009D41A9">
        <w:rPr>
          <w:rFonts w:ascii="Cambria" w:hAnsi="Cambria"/>
          <w:bCs/>
          <w:noProof/>
          <w:lang w:val="sr-Latn-ME"/>
        </w:rPr>
        <w:t xml:space="preserve">Od ukupne količine grita koja je skladištena na površini u vrećama, biće izvezeno oko 55 000t i oko 55 000t zemljišta pomiješanog sa gritom i kontaminiranog zemljišta. Ostatak će biti iskorišćen na gradilištu za nasipanje iskopa (22 000t) i deponovano u CG oko 8 000t. </w:t>
      </w:r>
      <w:r w:rsidRPr="009D41A9">
        <w:rPr>
          <w:rFonts w:ascii="Cambria" w:hAnsi="Cambria"/>
          <w:bCs/>
          <w:noProof/>
          <w:lang w:val="sr-Latn-ME"/>
        </w:rPr>
        <w:t>Očekuje se uklanjanje oko 4-5 hiljada tona drugih vrsta otpada</w:t>
      </w:r>
      <w:r w:rsidRPr="00AB15C7" w:rsidDel="00676593">
        <w:rPr>
          <w:rFonts w:ascii="Cambria" w:hAnsi="Cambria"/>
          <w:bCs/>
          <w:noProof/>
          <w:lang w:val="sr-Latn-ME"/>
        </w:rPr>
        <w:t xml:space="preserve"> </w:t>
      </w:r>
      <w:r w:rsidR="00AA10D5" w:rsidRPr="00AB15C7">
        <w:rPr>
          <w:rFonts w:ascii="Cambria" w:hAnsi="Cambria"/>
          <w:bCs/>
          <w:noProof/>
          <w:lang w:val="sr-Latn-ME"/>
        </w:rPr>
        <w:t>koje nastaju pružanjem aktivnosti u Brodogradilištu</w:t>
      </w:r>
      <w:r>
        <w:rPr>
          <w:rFonts w:ascii="Cambria" w:hAnsi="Cambria"/>
          <w:bCs/>
          <w:noProof/>
          <w:lang w:val="sr-Latn-ME"/>
        </w:rPr>
        <w:t xml:space="preserve"> i</w:t>
      </w:r>
      <w:r w:rsidR="00AA10D5" w:rsidRPr="00AB15C7">
        <w:rPr>
          <w:rFonts w:ascii="Cambria" w:hAnsi="Cambria"/>
          <w:bCs/>
          <w:noProof/>
          <w:lang w:val="sr-Latn-ME"/>
        </w:rPr>
        <w:t xml:space="preserve"> </w:t>
      </w:r>
      <w:r>
        <w:rPr>
          <w:rFonts w:ascii="Cambria" w:hAnsi="Cambria"/>
          <w:bCs/>
          <w:noProof/>
          <w:lang w:val="sr-Latn-ME"/>
        </w:rPr>
        <w:t>uključuju</w:t>
      </w:r>
      <w:r w:rsidR="00AA10D5" w:rsidRPr="00AB15C7">
        <w:rPr>
          <w:rFonts w:ascii="Cambria" w:hAnsi="Cambria"/>
          <w:bCs/>
          <w:noProof/>
          <w:lang w:val="sr-Latn-ME"/>
        </w:rPr>
        <w:t xml:space="preserve"> otpadno željezo iz radionica. Sakupljanje metalnog otpada sa operativnih obala, radnih površina i kruga Brodogradilišta vrši ovlašteni sakupljač. Sakupljene otpadne gume, zauljani otpad, baterije, akumulatori i druge vrste posebnog otpada  se ustupaju  ovlašćenom sakupljaču sa kojim je Brodogradilište sklopilo Ugovor o poslovno-tehničkoj saradnji, uz propisanu dokumentaciju.</w:t>
      </w:r>
    </w:p>
    <w:p w14:paraId="4D7075BB" w14:textId="77777777" w:rsidR="00AA10D5" w:rsidRPr="00B60506" w:rsidRDefault="00AA10D5" w:rsidP="00557C13">
      <w:pPr>
        <w:pStyle w:val="ListParagraph"/>
        <w:numPr>
          <w:ilvl w:val="0"/>
          <w:numId w:val="54"/>
        </w:numPr>
        <w:spacing w:after="0" w:line="360" w:lineRule="auto"/>
        <w:jc w:val="both"/>
        <w:rPr>
          <w:rFonts w:ascii="Cambria" w:hAnsi="Cambria"/>
          <w:bCs/>
          <w:noProof/>
          <w:u w:val="single"/>
          <w:lang w:val="sr-Latn-ME"/>
        </w:rPr>
      </w:pPr>
      <w:r w:rsidRPr="00B60506">
        <w:rPr>
          <w:rFonts w:ascii="Cambria" w:hAnsi="Cambria"/>
          <w:bCs/>
          <w:noProof/>
          <w:u w:val="single"/>
          <w:lang w:val="sr-Latn-ME"/>
        </w:rPr>
        <w:t>Termo-elektrana Pljevlja</w:t>
      </w:r>
      <w:r w:rsidR="00B60506" w:rsidRPr="00B60506">
        <w:rPr>
          <w:rFonts w:ascii="Cambria" w:hAnsi="Cambria"/>
          <w:bCs/>
          <w:noProof/>
          <w:u w:val="single"/>
          <w:lang w:val="sr-Latn-ME"/>
        </w:rPr>
        <w:t xml:space="preserve">, </w:t>
      </w:r>
      <w:r w:rsidRPr="00B60506">
        <w:rPr>
          <w:rFonts w:ascii="Cambria" w:hAnsi="Cambria"/>
          <w:bCs/>
          <w:noProof/>
          <w:u w:val="single"/>
          <w:lang w:val="sr-Latn-ME"/>
        </w:rPr>
        <w:t>s deponijom pepela i šljake Maljevac</w:t>
      </w:r>
    </w:p>
    <w:p w14:paraId="6E616D22" w14:textId="4B43D47A" w:rsidR="00AA10D5" w:rsidRPr="00AB15C7" w:rsidRDefault="00AA10D5" w:rsidP="005921EF">
      <w:pPr>
        <w:jc w:val="both"/>
        <w:rPr>
          <w:rFonts w:ascii="Cambria" w:hAnsi="Cambria"/>
          <w:bCs/>
          <w:noProof/>
          <w:lang w:val="sr-Latn-ME"/>
        </w:rPr>
      </w:pPr>
      <w:r w:rsidRPr="00AB15C7">
        <w:rPr>
          <w:rFonts w:ascii="Cambria" w:hAnsi="Cambria"/>
          <w:bCs/>
          <w:noProof/>
          <w:lang w:val="sr-Latn-ME"/>
        </w:rPr>
        <w:t xml:space="preserve">Deponija pepela Maljevac obuhvata oko 8.000.000 </w:t>
      </w:r>
      <w:r w:rsidR="00D41040">
        <w:rPr>
          <w:rFonts w:ascii="Cambria" w:hAnsi="Cambria"/>
          <w:bCs/>
          <w:noProof/>
          <w:lang w:val="sr-Latn-ME"/>
        </w:rPr>
        <w:t>m</w:t>
      </w:r>
      <w:r w:rsidR="00D41040" w:rsidRPr="00360F0F">
        <w:rPr>
          <w:rFonts w:ascii="Cambria" w:hAnsi="Cambria"/>
          <w:bCs/>
          <w:noProof/>
          <w:vertAlign w:val="superscript"/>
          <w:lang w:val="sr-Latn-ME"/>
        </w:rPr>
        <w:t>3</w:t>
      </w:r>
      <w:r w:rsidR="00D41040" w:rsidRPr="00AB15C7">
        <w:rPr>
          <w:rFonts w:ascii="Cambria" w:hAnsi="Cambria"/>
          <w:bCs/>
          <w:noProof/>
          <w:lang w:val="sr-Latn-ME"/>
        </w:rPr>
        <w:t xml:space="preserve"> </w:t>
      </w:r>
      <w:r w:rsidRPr="00AB15C7">
        <w:rPr>
          <w:rFonts w:ascii="Cambria" w:hAnsi="Cambria"/>
          <w:bCs/>
          <w:noProof/>
          <w:lang w:val="sr-Latn-ME"/>
        </w:rPr>
        <w:t>otpad</w:t>
      </w:r>
      <w:r w:rsidR="00D41040" w:rsidRPr="00D41040">
        <w:rPr>
          <w:rFonts w:ascii="Cambria" w:hAnsi="Cambria"/>
          <w:bCs/>
          <w:noProof/>
          <w:lang w:val="sr-Latn-ME"/>
        </w:rPr>
        <w:t>ne šljake i pepela</w:t>
      </w:r>
      <w:r w:rsidRPr="00AB15C7">
        <w:rPr>
          <w:rFonts w:ascii="Cambria" w:hAnsi="Cambria"/>
          <w:bCs/>
          <w:noProof/>
          <w:lang w:val="sr-Latn-ME"/>
        </w:rPr>
        <w:t xml:space="preserve">. Nije otkriveno značajno hemijsko zagađenje, tokom analiza koje su sprovedene tokom preliminarne faze projekta “Upravljanje industrijskim otpadom i čišćenje”, iako na Paleški potok i njegove recipijente Vezišnicu i Ćehotinu utiču zagađene procjedne i odvodne vode sa deponije pepela. </w:t>
      </w:r>
    </w:p>
    <w:p w14:paraId="2AA4A844" w14:textId="77777777" w:rsidR="00AA10D5" w:rsidRPr="00B60506" w:rsidRDefault="00AA10D5" w:rsidP="00557C13">
      <w:pPr>
        <w:pStyle w:val="ListParagraph"/>
        <w:numPr>
          <w:ilvl w:val="0"/>
          <w:numId w:val="54"/>
        </w:numPr>
        <w:spacing w:after="0" w:line="360" w:lineRule="auto"/>
        <w:jc w:val="both"/>
        <w:rPr>
          <w:rFonts w:ascii="Cambria" w:hAnsi="Cambria"/>
          <w:bCs/>
          <w:noProof/>
          <w:u w:val="single"/>
          <w:lang w:val="sr-Latn-ME"/>
        </w:rPr>
      </w:pPr>
      <w:r w:rsidRPr="00B60506">
        <w:rPr>
          <w:rFonts w:ascii="Cambria" w:hAnsi="Cambria"/>
          <w:bCs/>
          <w:noProof/>
          <w:u w:val="single"/>
          <w:lang w:val="sr-Latn-ME"/>
        </w:rPr>
        <w:t xml:space="preserve">Rudnik „Šuplja stijena“ </w:t>
      </w:r>
      <w:r w:rsidR="00B60506" w:rsidRPr="00B60506">
        <w:rPr>
          <w:rFonts w:ascii="Cambria" w:hAnsi="Cambria"/>
          <w:bCs/>
          <w:noProof/>
          <w:u w:val="single"/>
          <w:lang w:val="sr-Latn-ME"/>
        </w:rPr>
        <w:t xml:space="preserve">Pljevlja, </w:t>
      </w:r>
      <w:r w:rsidRPr="00B60506">
        <w:rPr>
          <w:rFonts w:ascii="Cambria" w:hAnsi="Cambria"/>
          <w:bCs/>
          <w:noProof/>
          <w:u w:val="single"/>
          <w:lang w:val="sr-Latn-ME"/>
        </w:rPr>
        <w:t>s jalovištem Gradac</w:t>
      </w:r>
    </w:p>
    <w:p w14:paraId="09D7F65F" w14:textId="043B3885" w:rsidR="00AA10D5" w:rsidRPr="00AB15C7" w:rsidRDefault="00AA10D5" w:rsidP="005921EF">
      <w:pPr>
        <w:jc w:val="both"/>
        <w:rPr>
          <w:rFonts w:ascii="Cambria" w:hAnsi="Cambria"/>
          <w:bCs/>
          <w:noProof/>
          <w:lang w:val="sr-Latn-ME"/>
        </w:rPr>
      </w:pPr>
      <w:r w:rsidRPr="00AB15C7">
        <w:rPr>
          <w:rFonts w:ascii="Cambria" w:hAnsi="Cambria"/>
          <w:bCs/>
          <w:noProof/>
          <w:lang w:val="sr-Latn-ME"/>
        </w:rPr>
        <w:t xml:space="preserve">Rudnik cinka i olova „Šuplja Stijena“ s flotacionim postrojenjem nalazi se u sjevernom dijelu Crne Gore u blizini Gradca. Na obali rijeke Ćehotine odloženo je </w:t>
      </w:r>
      <w:r w:rsidR="00D41040">
        <w:rPr>
          <w:rFonts w:ascii="Cambria" w:hAnsi="Cambria"/>
          <w:bCs/>
          <w:noProof/>
          <w:lang w:val="sr-Latn-ME"/>
        </w:rPr>
        <w:t>između 2 i 4</w:t>
      </w:r>
      <w:r w:rsidRPr="00AB15C7">
        <w:rPr>
          <w:rFonts w:ascii="Cambria" w:hAnsi="Cambria"/>
          <w:bCs/>
          <w:noProof/>
          <w:lang w:val="sr-Latn-ME"/>
        </w:rPr>
        <w:t xml:space="preserve"> miliona tona naslaga toksične flotacione jalovine, iz procesa proizvodnje cinka i olova. </w:t>
      </w:r>
      <w:r w:rsidR="00D41040" w:rsidRPr="00D41040">
        <w:rPr>
          <w:rFonts w:ascii="Cambria" w:hAnsi="Cambria"/>
          <w:bCs/>
          <w:noProof/>
          <w:lang w:val="sr-Latn-ME"/>
        </w:rPr>
        <w:t>Precizniji podaci o količinama naslaga jalovine će se utvrditi nakon što se sprovedu geološka istraživanja i utvrdi dubina nasipa</w:t>
      </w:r>
      <w:r w:rsidR="00D41040">
        <w:rPr>
          <w:rFonts w:ascii="Cambria" w:hAnsi="Cambria"/>
          <w:bCs/>
          <w:noProof/>
          <w:lang w:val="sr-Latn-ME"/>
        </w:rPr>
        <w:t xml:space="preserve">. </w:t>
      </w:r>
      <w:r w:rsidRPr="00AB15C7">
        <w:rPr>
          <w:rFonts w:ascii="Cambria" w:hAnsi="Cambria"/>
          <w:bCs/>
          <w:noProof/>
          <w:lang w:val="sr-Latn-ME"/>
        </w:rPr>
        <w:t xml:space="preserve">Cilj remedijacije je da ograniči štetne uticaje sprovođenjem različitih mjera ublažavanja. </w:t>
      </w:r>
    </w:p>
    <w:p w14:paraId="3D1360CC" w14:textId="77777777" w:rsidR="00FD582F" w:rsidRPr="00AB15C7" w:rsidRDefault="00AA10D5" w:rsidP="00205CED">
      <w:pPr>
        <w:spacing w:after="0"/>
        <w:jc w:val="both"/>
        <w:rPr>
          <w:rFonts w:ascii="Cambria" w:hAnsi="Cambria"/>
          <w:bCs/>
          <w:noProof/>
          <w:lang w:val="sr-Latn-ME"/>
        </w:rPr>
      </w:pPr>
      <w:r w:rsidRPr="00AB15C7">
        <w:rPr>
          <w:rFonts w:ascii="Cambria" w:hAnsi="Cambria"/>
          <w:bCs/>
          <w:noProof/>
          <w:lang w:val="sr-Latn-ME"/>
        </w:rPr>
        <w:t>U vezi sa gore navedenim kontaminiranim lo</w:t>
      </w:r>
      <w:r w:rsidR="00BB11A0" w:rsidRPr="00AB15C7">
        <w:rPr>
          <w:rFonts w:ascii="Cambria" w:hAnsi="Cambria"/>
          <w:bCs/>
          <w:noProof/>
          <w:lang w:val="sr-Latn-ME"/>
        </w:rPr>
        <w:t>k</w:t>
      </w:r>
      <w:r w:rsidRPr="00AB15C7">
        <w:rPr>
          <w:rFonts w:ascii="Cambria" w:hAnsi="Cambria"/>
          <w:bCs/>
          <w:noProof/>
          <w:lang w:val="sr-Latn-ME"/>
        </w:rPr>
        <w:t xml:space="preserve">acijama, </w:t>
      </w:r>
      <w:r w:rsidR="000430B7" w:rsidRPr="00AB15C7">
        <w:rPr>
          <w:rFonts w:ascii="Cambria" w:hAnsi="Cambria"/>
          <w:bCs/>
          <w:noProof/>
          <w:lang w:val="sr-Latn-ME"/>
        </w:rPr>
        <w:t xml:space="preserve">Vlada Crne Gore, preko Ministarstva </w:t>
      </w:r>
      <w:r w:rsidR="0079777C" w:rsidRPr="00AB15C7">
        <w:rPr>
          <w:rFonts w:ascii="Cambria" w:hAnsi="Cambria"/>
          <w:bCs/>
          <w:noProof/>
          <w:lang w:val="sr-Latn-ME"/>
        </w:rPr>
        <w:t>od</w:t>
      </w:r>
      <w:r w:rsidR="000430B7" w:rsidRPr="00AB15C7">
        <w:rPr>
          <w:rFonts w:ascii="Cambria" w:hAnsi="Cambria"/>
          <w:bCs/>
          <w:noProof/>
          <w:lang w:val="sr-Latn-ME"/>
        </w:rPr>
        <w:t>rživog razvoja i turizma, u saradnji sa Svjetskom bankom realizuje projekat “Upravljanje industrijskim otpadom i čišćenje“ („Industrial Waste Management and Cleanup Project</w:t>
      </w:r>
      <w:r w:rsidR="00FD582F" w:rsidRPr="00AB15C7">
        <w:rPr>
          <w:rFonts w:ascii="Cambria" w:hAnsi="Cambria"/>
          <w:bCs/>
          <w:noProof/>
        </w:rPr>
        <w:t xml:space="preserve"> -IWMCP</w:t>
      </w:r>
      <w:r w:rsidR="000430B7" w:rsidRPr="00AB15C7">
        <w:rPr>
          <w:rFonts w:ascii="Cambria" w:hAnsi="Cambria"/>
          <w:bCs/>
          <w:noProof/>
          <w:lang w:val="sr-Latn-ME"/>
        </w:rPr>
        <w:t>“).</w:t>
      </w:r>
      <w:r w:rsidR="000430B7" w:rsidRPr="00AB15C7">
        <w:rPr>
          <w:rFonts w:ascii="Cambria" w:hAnsi="Cambria"/>
          <w:bCs/>
          <w:noProof/>
          <w:vertAlign w:val="superscript"/>
          <w:lang w:val="sr-Latn-ME"/>
        </w:rPr>
        <w:footnoteReference w:id="18"/>
      </w:r>
      <w:r w:rsidR="000430B7" w:rsidRPr="00AB15C7">
        <w:rPr>
          <w:rFonts w:ascii="Cambria" w:hAnsi="Cambria"/>
          <w:bCs/>
          <w:noProof/>
          <w:lang w:val="sr-Latn-ME"/>
        </w:rPr>
        <w:t xml:space="preserve"> </w:t>
      </w:r>
      <w:r w:rsidR="00556BFE" w:rsidRPr="00AB15C7">
        <w:rPr>
          <w:rFonts w:ascii="Cambria" w:hAnsi="Cambria"/>
          <w:bCs/>
          <w:noProof/>
        </w:rPr>
        <w:t xml:space="preserve">Agencija za zaštitu </w:t>
      </w:r>
      <w:r w:rsidR="00BB11A0" w:rsidRPr="00AB15C7">
        <w:rPr>
          <w:rFonts w:ascii="Cambria" w:hAnsi="Cambria"/>
          <w:bCs/>
          <w:noProof/>
        </w:rPr>
        <w:t xml:space="preserve">prirode i </w:t>
      </w:r>
      <w:r w:rsidR="00556BFE" w:rsidRPr="00AB15C7">
        <w:rPr>
          <w:rFonts w:ascii="Cambria" w:hAnsi="Cambria"/>
          <w:bCs/>
          <w:noProof/>
        </w:rPr>
        <w:t>životne sredine je implementaciona jedinica</w:t>
      </w:r>
      <w:r w:rsidR="00556BFE" w:rsidRPr="00AB15C7">
        <w:rPr>
          <w:rFonts w:ascii="Cambria" w:hAnsi="Cambria"/>
          <w:bCs/>
          <w:noProof/>
          <w:lang w:val="sr-Latn-ME"/>
        </w:rPr>
        <w:t xml:space="preserve"> </w:t>
      </w:r>
      <w:r w:rsidR="00FD582F" w:rsidRPr="00AB15C7">
        <w:rPr>
          <w:rFonts w:ascii="Cambria" w:hAnsi="Cambria"/>
          <w:bCs/>
          <w:noProof/>
        </w:rPr>
        <w:t>ovog projekta</w:t>
      </w:r>
      <w:r w:rsidR="00556BFE" w:rsidRPr="00AB15C7">
        <w:rPr>
          <w:rFonts w:ascii="Cambria" w:hAnsi="Cambria"/>
          <w:bCs/>
          <w:noProof/>
        </w:rPr>
        <w:t xml:space="preserve">, a za </w:t>
      </w:r>
      <w:r w:rsidR="00B73891" w:rsidRPr="00AB15C7">
        <w:rPr>
          <w:rFonts w:ascii="Cambria" w:hAnsi="Cambria"/>
          <w:bCs/>
          <w:noProof/>
        </w:rPr>
        <w:t xml:space="preserve">aktivnosti u vezi sa nabavkama i finansijama zadužena je </w:t>
      </w:r>
      <w:r w:rsidR="00FD582F" w:rsidRPr="00AB15C7">
        <w:rPr>
          <w:rFonts w:ascii="Cambria" w:hAnsi="Cambria"/>
          <w:bCs/>
          <w:noProof/>
        </w:rPr>
        <w:t>jedinic</w:t>
      </w:r>
      <w:r w:rsidR="00B73891" w:rsidRPr="00AB15C7">
        <w:rPr>
          <w:rFonts w:ascii="Cambria" w:hAnsi="Cambria"/>
          <w:bCs/>
          <w:noProof/>
        </w:rPr>
        <w:t>a</w:t>
      </w:r>
      <w:r w:rsidR="00FD582F" w:rsidRPr="00AB15C7">
        <w:rPr>
          <w:rFonts w:ascii="Cambria" w:hAnsi="Cambria"/>
          <w:bCs/>
          <w:noProof/>
        </w:rPr>
        <w:t xml:space="preserve"> za podršku projektima koja postoji u okviru </w:t>
      </w:r>
      <w:r w:rsidR="00FD582F" w:rsidRPr="00AB15C7">
        <w:rPr>
          <w:rFonts w:ascii="Cambria" w:hAnsi="Cambria"/>
          <w:bCs/>
          <w:noProof/>
          <w:lang w:val="sr-Latn-ME"/>
        </w:rPr>
        <w:t>Ministarstva finansija. Cilj IWMCP Projekta je smanjenje kontaminacije prirodnih resursa i rizika po javno zdravlje zbog izlaganja građana kontaminaciji, koji će se postići kroz:</w:t>
      </w:r>
    </w:p>
    <w:p w14:paraId="2B75341F" w14:textId="77777777" w:rsidR="00FD582F" w:rsidRPr="00205CED" w:rsidRDefault="00FD582F" w:rsidP="00557C13">
      <w:pPr>
        <w:pStyle w:val="ListParagraph"/>
        <w:numPr>
          <w:ilvl w:val="0"/>
          <w:numId w:val="51"/>
        </w:numPr>
        <w:spacing w:after="0"/>
        <w:jc w:val="both"/>
        <w:rPr>
          <w:rFonts w:ascii="Cambria" w:hAnsi="Cambria"/>
          <w:bCs/>
          <w:noProof/>
        </w:rPr>
      </w:pPr>
      <w:r w:rsidRPr="00205CED">
        <w:rPr>
          <w:rFonts w:ascii="Cambria" w:hAnsi="Cambria"/>
          <w:bCs/>
          <w:noProof/>
        </w:rPr>
        <w:t xml:space="preserve">Izradu i implementaciju programa za sanaciju odabranih naslijeđenih </w:t>
      </w:r>
      <w:bookmarkStart w:id="35" w:name="_Hlk518233113"/>
      <w:r w:rsidRPr="00205CED">
        <w:rPr>
          <w:rFonts w:ascii="Cambria" w:hAnsi="Cambria"/>
          <w:bCs/>
          <w:noProof/>
        </w:rPr>
        <w:t>deponija industrijskog  otpada</w:t>
      </w:r>
      <w:bookmarkEnd w:id="35"/>
      <w:r w:rsidRPr="00205CED">
        <w:rPr>
          <w:rFonts w:ascii="Cambria" w:hAnsi="Cambria"/>
          <w:bCs/>
          <w:noProof/>
        </w:rPr>
        <w:t>,</w:t>
      </w:r>
      <w:r w:rsidRPr="00205CED">
        <w:rPr>
          <w:rFonts w:ascii="Cambria" w:hAnsi="Cambria"/>
          <w:bCs/>
          <w:noProof/>
          <w:lang w:val="sr-Latn-ME"/>
        </w:rPr>
        <w:t xml:space="preserve"> tzv. „ 4 crne ekološke tačke“, a to su: Kombinat Aluminijuma Podgorica, Jadransko brodogradilište Bijela, Termo-elektrana Pljevlja i Rudnik „Šuplja stijena“ Pljevlja</w:t>
      </w:r>
      <w:r w:rsidRPr="00205CED">
        <w:rPr>
          <w:rFonts w:ascii="Cambria" w:hAnsi="Cambria"/>
          <w:bCs/>
          <w:noProof/>
        </w:rPr>
        <w:t>.</w:t>
      </w:r>
    </w:p>
    <w:p w14:paraId="4A5D6413" w14:textId="77777777" w:rsidR="00FD582F" w:rsidRDefault="00B73891" w:rsidP="00557C13">
      <w:pPr>
        <w:pStyle w:val="ListParagraph"/>
        <w:numPr>
          <w:ilvl w:val="0"/>
          <w:numId w:val="51"/>
        </w:numPr>
        <w:spacing w:after="0"/>
        <w:jc w:val="both"/>
        <w:rPr>
          <w:rFonts w:ascii="Cambria" w:hAnsi="Cambria"/>
          <w:bCs/>
          <w:noProof/>
        </w:rPr>
      </w:pPr>
      <w:r w:rsidRPr="00205CED">
        <w:rPr>
          <w:rFonts w:ascii="Cambria" w:hAnsi="Cambria"/>
          <w:bCs/>
          <w:noProof/>
        </w:rPr>
        <w:t>P</w:t>
      </w:r>
      <w:r w:rsidR="00FD582F" w:rsidRPr="00205CED">
        <w:rPr>
          <w:rFonts w:ascii="Cambria" w:hAnsi="Cambria"/>
          <w:bCs/>
          <w:noProof/>
        </w:rPr>
        <w:t xml:space="preserve">odršku za </w:t>
      </w:r>
      <w:bookmarkStart w:id="36" w:name="_Hlk523426151"/>
      <w:r w:rsidRPr="00205CED">
        <w:rPr>
          <w:rFonts w:ascii="Cambria" w:hAnsi="Cambria"/>
          <w:bCs/>
          <w:noProof/>
        </w:rPr>
        <w:t xml:space="preserve">dalji razvoj sistema </w:t>
      </w:r>
      <w:r w:rsidR="00FD582F" w:rsidRPr="00205CED">
        <w:rPr>
          <w:rFonts w:ascii="Cambria" w:hAnsi="Cambria"/>
          <w:bCs/>
          <w:noProof/>
        </w:rPr>
        <w:t>upravljanj</w:t>
      </w:r>
      <w:r w:rsidRPr="00205CED">
        <w:rPr>
          <w:rFonts w:ascii="Cambria" w:hAnsi="Cambria"/>
          <w:bCs/>
          <w:noProof/>
        </w:rPr>
        <w:t>a</w:t>
      </w:r>
      <w:r w:rsidR="00FD582F" w:rsidRPr="00205CED">
        <w:rPr>
          <w:rFonts w:ascii="Cambria" w:hAnsi="Cambria"/>
          <w:bCs/>
          <w:noProof/>
        </w:rPr>
        <w:t xml:space="preserve"> </w:t>
      </w:r>
      <w:r w:rsidRPr="00205CED">
        <w:rPr>
          <w:rFonts w:ascii="Cambria" w:hAnsi="Cambria"/>
          <w:bCs/>
          <w:noProof/>
        </w:rPr>
        <w:t>opasnim i</w:t>
      </w:r>
      <w:r w:rsidR="00FD582F" w:rsidRPr="00205CED">
        <w:rPr>
          <w:rFonts w:ascii="Cambria" w:hAnsi="Cambria"/>
          <w:bCs/>
          <w:noProof/>
        </w:rPr>
        <w:t xml:space="preserve"> industrijskim otpadom na način usklađen sa nacionalnim zakonodavstvom i standardima Evropske unije</w:t>
      </w:r>
      <w:bookmarkEnd w:id="36"/>
      <w:r w:rsidR="00FD582F" w:rsidRPr="00205CED">
        <w:rPr>
          <w:rFonts w:ascii="Cambria" w:hAnsi="Cambria"/>
          <w:bCs/>
          <w:noProof/>
        </w:rPr>
        <w:t>.</w:t>
      </w:r>
    </w:p>
    <w:p w14:paraId="7BD50C6F" w14:textId="77777777" w:rsidR="00205CED" w:rsidRPr="00205CED" w:rsidRDefault="00205CED" w:rsidP="00205CED">
      <w:pPr>
        <w:pStyle w:val="ListParagraph"/>
        <w:spacing w:after="0"/>
        <w:jc w:val="both"/>
        <w:rPr>
          <w:rFonts w:ascii="Cambria" w:hAnsi="Cambria"/>
          <w:bCs/>
          <w:noProof/>
        </w:rPr>
      </w:pPr>
    </w:p>
    <w:p w14:paraId="6BE3CD5E" w14:textId="77777777" w:rsidR="002E0FCA" w:rsidRDefault="0073627B" w:rsidP="005921EF">
      <w:pPr>
        <w:jc w:val="both"/>
        <w:rPr>
          <w:rFonts w:ascii="Cambria" w:hAnsi="Cambria"/>
          <w:bCs/>
          <w:noProof/>
          <w:lang w:val="sr-Latn-ME"/>
        </w:rPr>
      </w:pPr>
      <w:bookmarkStart w:id="37" w:name="_Hlk523431954"/>
      <w:r w:rsidRPr="00AB15C7">
        <w:rPr>
          <w:rFonts w:ascii="Cambria" w:hAnsi="Cambria"/>
          <w:bCs/>
          <w:noProof/>
        </w:rPr>
        <w:t xml:space="preserve">Ugovor o kreditu za </w:t>
      </w:r>
      <w:r w:rsidRPr="002518E9">
        <w:rPr>
          <w:rFonts w:ascii="Cambria" w:hAnsi="Cambria"/>
          <w:bCs/>
          <w:noProof/>
        </w:rPr>
        <w:t>realizaciju</w:t>
      </w:r>
      <w:r w:rsidRPr="00301A27">
        <w:rPr>
          <w:rFonts w:ascii="Cambria" w:hAnsi="Cambria"/>
          <w:b/>
          <w:bCs/>
          <w:noProof/>
        </w:rPr>
        <w:t xml:space="preserve"> projekta “Upravljanje industrijskim otpadom i čišćenje”</w:t>
      </w:r>
      <w:r w:rsidRPr="00AB15C7">
        <w:rPr>
          <w:rFonts w:ascii="Cambria" w:hAnsi="Cambria"/>
          <w:bCs/>
          <w:noProof/>
        </w:rPr>
        <w:t xml:space="preserve"> potpisan je 10. X 2014. sa Međunarodnom bankom za obnovu i razvoj (IBRD). Vrijednost kredita, čija sredstva je moguće povlačiti do 30. VI 2019, je €50 miliona. </w:t>
      </w:r>
      <w:r w:rsidR="00AA10D5" w:rsidRPr="00AB15C7">
        <w:rPr>
          <w:rFonts w:ascii="Cambria" w:hAnsi="Cambria"/>
          <w:bCs/>
          <w:noProof/>
          <w:lang w:val="sr-Latn-ME"/>
        </w:rPr>
        <w:t xml:space="preserve">Ugovorom je predviđeno da se kredit vraća u periodu od 27 godina, sa grejs periodom od 5 godina. </w:t>
      </w:r>
    </w:p>
    <w:p w14:paraId="08D0B303" w14:textId="61A0574E" w:rsidR="001C57F9" w:rsidRPr="001C57F9" w:rsidRDefault="001C57F9" w:rsidP="001C57F9">
      <w:pPr>
        <w:jc w:val="both"/>
        <w:rPr>
          <w:rFonts w:ascii="Cambria" w:hAnsi="Cambria"/>
          <w:bCs/>
          <w:noProof/>
          <w:lang w:val="sr-Latn-CS"/>
        </w:rPr>
      </w:pPr>
      <w:r w:rsidRPr="001C57F9">
        <w:rPr>
          <w:rFonts w:ascii="Cambria" w:hAnsi="Cambria"/>
          <w:bCs/>
          <w:noProof/>
          <w:lang w:val="sr-Latn-ME"/>
        </w:rPr>
        <w:t>Shodno planiranim aktivnostima za lokaciju Brodogradilišta Bijela</w:t>
      </w:r>
      <w:r>
        <w:rPr>
          <w:rFonts w:ascii="Cambria" w:hAnsi="Cambria"/>
          <w:bCs/>
          <w:noProof/>
          <w:lang w:val="sr-Latn-ME"/>
        </w:rPr>
        <w:t xml:space="preserve"> </w:t>
      </w:r>
      <w:r w:rsidRPr="001C57F9">
        <w:rPr>
          <w:rFonts w:ascii="Cambria" w:hAnsi="Cambria"/>
          <w:bCs/>
          <w:noProof/>
          <w:lang w:val="sr-Latn-ME"/>
        </w:rPr>
        <w:t>izvršeno je intenzivno uzorkovanje i analiziranje kontaminiranog zemljišta i grita na pomenutoj lokaciji</w:t>
      </w:r>
      <w:r>
        <w:rPr>
          <w:rFonts w:ascii="Cambria" w:hAnsi="Cambria"/>
          <w:bCs/>
          <w:noProof/>
          <w:lang w:val="sr-Latn-ME"/>
        </w:rPr>
        <w:t>, kao i</w:t>
      </w:r>
      <w:r w:rsidRPr="001C57F9">
        <w:rPr>
          <w:rFonts w:ascii="Cambria" w:hAnsi="Cambria"/>
          <w:bCs/>
          <w:noProof/>
          <w:lang w:val="sr-Latn-ME"/>
        </w:rPr>
        <w:t xml:space="preserve"> geodetsko mjerenje na lokaciji u cilju utvrđivanja tačnih količina otpadnog grita. </w:t>
      </w:r>
      <w:r w:rsidRPr="001C57F9">
        <w:rPr>
          <w:rFonts w:ascii="Cambria" w:hAnsi="Cambria"/>
          <w:bCs/>
          <w:noProof/>
          <w:lang w:val="sr-Latn-RS"/>
        </w:rPr>
        <w:t xml:space="preserve">Rezultati navedenih analiza predstavljali su osnov za izradu Glavnog projekta remedijacije, </w:t>
      </w:r>
      <w:r>
        <w:rPr>
          <w:rFonts w:ascii="Cambria" w:hAnsi="Cambria"/>
          <w:bCs/>
          <w:noProof/>
          <w:lang w:val="sr-Latn-RS"/>
        </w:rPr>
        <w:t>n</w:t>
      </w:r>
      <w:r w:rsidRPr="001C57F9">
        <w:rPr>
          <w:rFonts w:ascii="Cambria" w:hAnsi="Cambria"/>
          <w:bCs/>
          <w:noProof/>
          <w:lang w:val="sr-Latn-RS"/>
        </w:rPr>
        <w:t xml:space="preserve">a osnovu </w:t>
      </w:r>
      <w:r>
        <w:rPr>
          <w:rFonts w:ascii="Cambria" w:hAnsi="Cambria"/>
          <w:bCs/>
          <w:noProof/>
          <w:lang w:val="sr-Latn-RS"/>
        </w:rPr>
        <w:t>koga je</w:t>
      </w:r>
      <w:r w:rsidRPr="001C57F9">
        <w:rPr>
          <w:rFonts w:ascii="Cambria" w:hAnsi="Cambria"/>
          <w:bCs/>
          <w:noProof/>
          <w:lang w:val="sr-Latn-RS"/>
        </w:rPr>
        <w:t xml:space="preserve"> pripremljen je, i od strane Međunarodne banke za obnovu i razvoj odobren Elaborat procjene uticaja na životnu sredinu i društvo</w:t>
      </w:r>
      <w:r>
        <w:rPr>
          <w:rFonts w:ascii="Cambria" w:hAnsi="Cambria"/>
          <w:bCs/>
          <w:noProof/>
          <w:lang w:val="sr-Latn-RS"/>
        </w:rPr>
        <w:t xml:space="preserve">, kao </w:t>
      </w:r>
      <w:r w:rsidRPr="001C57F9">
        <w:rPr>
          <w:rFonts w:ascii="Cambria" w:hAnsi="Cambria"/>
          <w:bCs/>
          <w:noProof/>
          <w:lang w:val="sr-Latn-RS"/>
        </w:rPr>
        <w:t xml:space="preserve">i Plan upravljanja </w:t>
      </w:r>
      <w:r w:rsidRPr="001C57F9">
        <w:rPr>
          <w:rFonts w:ascii="Cambria" w:hAnsi="Cambria"/>
          <w:bCs/>
          <w:noProof/>
          <w:lang w:val="sr-Latn-RS"/>
        </w:rPr>
        <w:lastRenderedPageBreak/>
        <w:t xml:space="preserve">životnom sredinom. </w:t>
      </w:r>
      <w:r>
        <w:rPr>
          <w:rFonts w:ascii="Cambria" w:hAnsi="Cambria"/>
          <w:bCs/>
          <w:noProof/>
          <w:lang w:val="sr-Latn-RS"/>
        </w:rPr>
        <w:t>T</w:t>
      </w:r>
      <w:r w:rsidRPr="001C57F9">
        <w:rPr>
          <w:rFonts w:ascii="Cambria" w:hAnsi="Cambria"/>
          <w:bCs/>
          <w:noProof/>
          <w:lang w:val="sr-Latn-RS"/>
        </w:rPr>
        <w:t>akođe urađen je i Elaborat procjene uticaja na životnu sredinu (EIA) na koji je Agencija za zaštitu životne sredine dala saglasnost 8. novembra 2016. godine</w:t>
      </w:r>
      <w:r w:rsidR="005C1542">
        <w:rPr>
          <w:rFonts w:ascii="Cambria" w:hAnsi="Cambria"/>
          <w:bCs/>
          <w:noProof/>
          <w:lang w:val="sr-Latn-RS"/>
        </w:rPr>
        <w:t xml:space="preserve">. </w:t>
      </w:r>
      <w:r w:rsidRPr="001C57F9">
        <w:rPr>
          <w:rFonts w:ascii="Cambria" w:hAnsi="Cambria"/>
          <w:bCs/>
          <w:noProof/>
          <w:lang w:val="sr-Latn-RS"/>
        </w:rPr>
        <w:t>Tehnička dokumentacija Glavnog projekta remedijacije odobrena je od strane revidenta “Instituta za građevinarstvo”, 6. oktobra 2016</w:t>
      </w:r>
      <w:r w:rsidR="005C1542">
        <w:rPr>
          <w:rFonts w:ascii="Cambria" w:hAnsi="Cambria"/>
          <w:bCs/>
          <w:noProof/>
          <w:lang w:val="sr-Latn-RS"/>
        </w:rPr>
        <w:t xml:space="preserve">. </w:t>
      </w:r>
      <w:r w:rsidRPr="001C57F9">
        <w:rPr>
          <w:rFonts w:ascii="Cambria" w:hAnsi="Cambria"/>
          <w:bCs/>
          <w:noProof/>
          <w:lang w:val="sr-Latn-RS"/>
        </w:rPr>
        <w:t xml:space="preserve">Na osnovu prethodno spovedenih pomenutih aktivnosti, pripremljena je tenderska dokumentacija i </w:t>
      </w:r>
      <w:r w:rsidR="005C1542">
        <w:rPr>
          <w:rFonts w:ascii="Cambria" w:hAnsi="Cambria"/>
          <w:bCs/>
          <w:noProof/>
          <w:lang w:val="sr-Latn-RS"/>
        </w:rPr>
        <w:t xml:space="preserve">raspisan </w:t>
      </w:r>
      <w:r w:rsidRPr="001C57F9">
        <w:rPr>
          <w:rFonts w:ascii="Cambria" w:hAnsi="Cambria"/>
          <w:bCs/>
          <w:noProof/>
          <w:lang w:val="sr-Latn-RS"/>
        </w:rPr>
        <w:t xml:space="preserve">Međunarodni tender za izbor izvođača radova na remedijaciji tla pomenute lokacije. raspisan je 11. septemra 2017. </w:t>
      </w:r>
      <w:r w:rsidR="005C1542">
        <w:rPr>
          <w:rFonts w:ascii="Cambria" w:hAnsi="Cambria"/>
          <w:bCs/>
          <w:noProof/>
          <w:lang w:val="sr-Latn-RS"/>
        </w:rPr>
        <w:t xml:space="preserve"> </w:t>
      </w:r>
      <w:r w:rsidRPr="001C57F9">
        <w:rPr>
          <w:rFonts w:ascii="Cambria" w:hAnsi="Cambria"/>
          <w:bCs/>
          <w:noProof/>
          <w:lang w:val="sr-Latn-RS"/>
        </w:rPr>
        <w:t xml:space="preserve">Ugovor sa izabranim izvođačem radova, komanijom VALGO SA (Francuska) potpisan je 04. juna 2018. godine i radovi na remdijaciji su u toku. </w:t>
      </w:r>
      <w:r w:rsidRPr="001C57F9">
        <w:rPr>
          <w:rFonts w:ascii="Cambria" w:hAnsi="Cambria"/>
          <w:bCs/>
          <w:noProof/>
          <w:lang w:val="sr-Latn-CS"/>
        </w:rPr>
        <w:t xml:space="preserve">Predviđeno je da radovi na remedijaciji traju 21 mjesec od dana potpisivanja Ugovora. </w:t>
      </w:r>
      <w:r w:rsidR="005C1542">
        <w:rPr>
          <w:rFonts w:ascii="Cambria" w:hAnsi="Cambria"/>
          <w:bCs/>
          <w:noProof/>
          <w:lang w:val="sr-Latn-CS"/>
        </w:rPr>
        <w:t xml:space="preserve"> </w:t>
      </w:r>
      <w:r w:rsidRPr="001C57F9">
        <w:rPr>
          <w:rFonts w:ascii="Cambria" w:hAnsi="Cambria"/>
          <w:bCs/>
          <w:noProof/>
          <w:lang w:val="sr-Latn-CS"/>
        </w:rPr>
        <w:t xml:space="preserve">Ugovor sa komanijom INTERGEO (Austrija) koja je zadužena za nadzor nad izvodjem radova na pomenutoj lokacji potpisan je 24. </w:t>
      </w:r>
      <w:r w:rsidR="005C1542">
        <w:rPr>
          <w:rFonts w:ascii="Cambria" w:hAnsi="Cambria"/>
          <w:bCs/>
          <w:noProof/>
          <w:lang w:val="sr-Latn-CS"/>
        </w:rPr>
        <w:t>a</w:t>
      </w:r>
      <w:r w:rsidRPr="001C57F9">
        <w:rPr>
          <w:rFonts w:ascii="Cambria" w:hAnsi="Cambria"/>
          <w:bCs/>
          <w:noProof/>
          <w:lang w:val="sr-Latn-CS"/>
        </w:rPr>
        <w:t>prila 2018. godine.</w:t>
      </w:r>
    </w:p>
    <w:p w14:paraId="19972E9A" w14:textId="523236F2" w:rsidR="001C57F9" w:rsidRPr="001C57F9" w:rsidRDefault="001C57F9" w:rsidP="001C57F9">
      <w:pPr>
        <w:jc w:val="both"/>
        <w:rPr>
          <w:rFonts w:ascii="Cambria" w:hAnsi="Cambria"/>
          <w:b/>
          <w:bCs/>
          <w:noProof/>
        </w:rPr>
      </w:pPr>
      <w:r w:rsidRPr="00360F0F">
        <w:rPr>
          <w:rFonts w:ascii="Cambria" w:hAnsi="Cambria"/>
          <w:bCs/>
          <w:noProof/>
        </w:rPr>
        <w:t xml:space="preserve">Kao </w:t>
      </w:r>
      <w:r w:rsidRPr="00360F0F">
        <w:rPr>
          <w:rFonts w:ascii="Cambria" w:hAnsi="Cambria"/>
          <w:bCs/>
          <w:noProof/>
          <w:u w:val="single"/>
        </w:rPr>
        <w:t>drugi prioritet</w:t>
      </w:r>
      <w:r w:rsidRPr="00360F0F">
        <w:rPr>
          <w:rFonts w:ascii="Cambria" w:hAnsi="Cambria"/>
          <w:bCs/>
          <w:noProof/>
        </w:rPr>
        <w:t xml:space="preserve"> implementacionoj jedinici je postavljena sanacija zagađenja</w:t>
      </w:r>
      <w:r w:rsidRPr="001C57F9">
        <w:rPr>
          <w:rFonts w:ascii="Cambria" w:hAnsi="Cambria"/>
          <w:b/>
          <w:bCs/>
          <w:noProof/>
        </w:rPr>
        <w:t xml:space="preserve"> flotacionog jalovišta Gradac u Pljevljima. </w:t>
      </w:r>
      <w:r w:rsidRPr="001C57F9">
        <w:rPr>
          <w:rFonts w:ascii="Cambria" w:hAnsi="Cambria"/>
          <w:bCs/>
          <w:noProof/>
        </w:rPr>
        <w:t xml:space="preserve">Tim povodom, Vlada CG je na sjednici održanoj 6. aprila 2017. dala saglasnost da se sredstva iz kredita za projekat “Upravljanje industrijskim otpadom i čišćenje” koriste za remedijaciju pomenute lokacije. U vezi sa navedenim, pristupilo se </w:t>
      </w:r>
      <w:r w:rsidR="005C1542">
        <w:rPr>
          <w:rFonts w:ascii="Cambria" w:hAnsi="Cambria"/>
          <w:bCs/>
          <w:noProof/>
        </w:rPr>
        <w:t xml:space="preserve">sprovođenju potrebnih procedura za </w:t>
      </w:r>
      <w:r w:rsidRPr="001C57F9">
        <w:rPr>
          <w:rFonts w:ascii="Cambria" w:hAnsi="Cambria"/>
          <w:bCs/>
          <w:noProof/>
        </w:rPr>
        <w:t>izbor konsultantske firme za izradu Glavnog projekta remedijacije</w:t>
      </w:r>
      <w:r w:rsidR="005C1542">
        <w:rPr>
          <w:rFonts w:ascii="Cambria" w:hAnsi="Cambria"/>
          <w:bCs/>
          <w:noProof/>
        </w:rPr>
        <w:t xml:space="preserve">, kao </w:t>
      </w:r>
      <w:r w:rsidRPr="001C57F9">
        <w:rPr>
          <w:rFonts w:ascii="Cambria" w:hAnsi="Cambria"/>
          <w:bCs/>
          <w:noProof/>
        </w:rPr>
        <w:t xml:space="preserve"> i sprovođenj</w:t>
      </w:r>
      <w:r w:rsidR="005C1542">
        <w:rPr>
          <w:rFonts w:ascii="Cambria" w:hAnsi="Cambria"/>
          <w:bCs/>
          <w:noProof/>
        </w:rPr>
        <w:t>e</w:t>
      </w:r>
      <w:r w:rsidRPr="001C57F9">
        <w:rPr>
          <w:rFonts w:ascii="Cambria" w:hAnsi="Cambria"/>
          <w:bCs/>
          <w:noProof/>
        </w:rPr>
        <w:t xml:space="preserve"> nadzora nad izvođenjem radova. Ugovor sa izabranim konsultantom JV NIK COM (Nikšić) i Institutom za metalurgiju i rudarsvo (Bor, Srbija), </w:t>
      </w:r>
      <w:r w:rsidRPr="000668A9">
        <w:rPr>
          <w:rFonts w:ascii="Cambria" w:hAnsi="Cambria"/>
          <w:bCs/>
          <w:noProof/>
        </w:rPr>
        <w:t xml:space="preserve">potpisan je 28. maja 2018. godine. Priprema glavnog projekta je u toku. Krajem marta 2019. godine biće pripremljena tenderska dokumentacija, dok je </w:t>
      </w:r>
      <w:r w:rsidRPr="000668A9">
        <w:rPr>
          <w:rFonts w:ascii="Cambria" w:hAnsi="Cambria"/>
          <w:bCs/>
          <w:noProof/>
          <w:lang w:val="sr-Latn-ME"/>
        </w:rPr>
        <w:t>završetak procesa izbora izvođača radova planiran za 23. maj 2019. godine.</w:t>
      </w:r>
      <w:r w:rsidRPr="00683287">
        <w:rPr>
          <w:rFonts w:ascii="Cambria" w:hAnsi="Cambria"/>
          <w:bCs/>
          <w:noProof/>
        </w:rPr>
        <w:t xml:space="preserve"> </w:t>
      </w:r>
      <w:r w:rsidRPr="000B19F7">
        <w:rPr>
          <w:rFonts w:ascii="Cambria" w:hAnsi="Cambria"/>
          <w:bCs/>
          <w:noProof/>
          <w:lang w:val="sr-Latn-ME"/>
        </w:rPr>
        <w:t>Početak radova na remedijaciji lokacij</w:t>
      </w:r>
      <w:r w:rsidRPr="009F41C4">
        <w:rPr>
          <w:rFonts w:ascii="Cambria" w:hAnsi="Cambria"/>
          <w:bCs/>
          <w:noProof/>
          <w:lang w:val="sr-Latn-ME"/>
        </w:rPr>
        <w:t>e planiran je za 27. maj 2019. goidne, a zavšetak radova 22. maj 2020. godine.</w:t>
      </w:r>
      <w:r w:rsidR="00910BCB" w:rsidRPr="009F41C4">
        <w:rPr>
          <w:rFonts w:ascii="Cambria" w:hAnsi="Cambria"/>
          <w:bCs/>
          <w:noProof/>
          <w:lang w:val="sr-Latn-ME"/>
        </w:rPr>
        <w:t xml:space="preserve">  </w:t>
      </w:r>
      <w:r w:rsidRPr="003D4102">
        <w:rPr>
          <w:rFonts w:ascii="Cambria" w:hAnsi="Cambria"/>
          <w:bCs/>
          <w:noProof/>
        </w:rPr>
        <w:t xml:space="preserve">Ugovor sa konsultantom Ground engineering d.o.o (Nikšić) zaduženim za reviziju projekta geoloških istraživanja, nadzor nad istraživanjem i reviziju Elaborata potpisan je </w:t>
      </w:r>
      <w:r w:rsidRPr="00360F0F">
        <w:rPr>
          <w:rFonts w:ascii="Cambria" w:hAnsi="Cambria"/>
          <w:bCs/>
          <w:noProof/>
        </w:rPr>
        <w:t>03. jula 2018.</w:t>
      </w:r>
      <w:r w:rsidRPr="000668A9">
        <w:rPr>
          <w:rFonts w:ascii="Cambria" w:hAnsi="Cambria"/>
          <w:bCs/>
          <w:noProof/>
        </w:rPr>
        <w:t xml:space="preserve"> godine.</w:t>
      </w:r>
      <w:r w:rsidR="00910BCB" w:rsidRPr="000668A9">
        <w:rPr>
          <w:rFonts w:ascii="Cambria" w:hAnsi="Cambria"/>
          <w:bCs/>
          <w:noProof/>
        </w:rPr>
        <w:t xml:space="preserve"> </w:t>
      </w:r>
      <w:r w:rsidRPr="000668A9">
        <w:rPr>
          <w:rFonts w:ascii="Cambria" w:hAnsi="Cambria"/>
          <w:bCs/>
          <w:noProof/>
        </w:rPr>
        <w:t xml:space="preserve">Pored navedenog, </w:t>
      </w:r>
      <w:r w:rsidRPr="00360F0F">
        <w:rPr>
          <w:rFonts w:ascii="Cambria" w:hAnsi="Cambria"/>
          <w:bCs/>
          <w:noProof/>
        </w:rPr>
        <w:t xml:space="preserve">12. </w:t>
      </w:r>
      <w:r w:rsidR="000668A9">
        <w:rPr>
          <w:rFonts w:ascii="Cambria" w:hAnsi="Cambria"/>
          <w:bCs/>
          <w:noProof/>
        </w:rPr>
        <w:t>s</w:t>
      </w:r>
      <w:r w:rsidRPr="00360F0F">
        <w:rPr>
          <w:rFonts w:ascii="Cambria" w:hAnsi="Cambria"/>
          <w:bCs/>
          <w:noProof/>
        </w:rPr>
        <w:t>eptembra 2018. godine</w:t>
      </w:r>
      <w:r w:rsidRPr="000668A9">
        <w:rPr>
          <w:rFonts w:ascii="Cambria" w:hAnsi="Cambria"/>
          <w:bCs/>
          <w:noProof/>
        </w:rPr>
        <w:t>, potpisan je Ugovor sa konsultantom  JV: Ambiente (Italija)/SES (Crna Gora) za izradu Elaborata procjene uticaja na životnu sredinu i društvo (ESIA) i sprovođenje postupka izrade Elaborata procjene uticaja na životnu sredinu.</w:t>
      </w:r>
      <w:r w:rsidRPr="001C57F9">
        <w:rPr>
          <w:rFonts w:ascii="Cambria" w:hAnsi="Cambria"/>
          <w:bCs/>
          <w:noProof/>
        </w:rPr>
        <w:t xml:space="preserve"> </w:t>
      </w:r>
    </w:p>
    <w:p w14:paraId="238249B5" w14:textId="1E36629C" w:rsidR="001C57F9" w:rsidRPr="001C57F9" w:rsidRDefault="001C57F9" w:rsidP="001C57F9">
      <w:pPr>
        <w:jc w:val="both"/>
        <w:rPr>
          <w:rFonts w:ascii="Cambria" w:hAnsi="Cambria"/>
          <w:bCs/>
          <w:noProof/>
          <w:lang w:val="sr-Latn-ME"/>
        </w:rPr>
      </w:pPr>
      <w:r w:rsidRPr="001C57F9">
        <w:rPr>
          <w:rFonts w:ascii="Cambria" w:hAnsi="Cambria"/>
          <w:bCs/>
          <w:noProof/>
          <w:lang w:val="sr-Latn-ME"/>
        </w:rPr>
        <w:t xml:space="preserve">Vlada CG je na sjednici </w:t>
      </w:r>
      <w:r w:rsidRPr="000668A9">
        <w:rPr>
          <w:rFonts w:ascii="Cambria" w:hAnsi="Cambria"/>
          <w:bCs/>
          <w:noProof/>
          <w:lang w:val="sr-Latn-ME"/>
        </w:rPr>
        <w:t xml:space="preserve">održanoj </w:t>
      </w:r>
      <w:r w:rsidRPr="00360F0F">
        <w:rPr>
          <w:rFonts w:ascii="Cambria" w:hAnsi="Cambria"/>
          <w:bCs/>
          <w:noProof/>
          <w:lang w:val="sr-Latn-ME"/>
        </w:rPr>
        <w:t>6. aprila 2017</w:t>
      </w:r>
      <w:r w:rsidRPr="000668A9">
        <w:rPr>
          <w:rFonts w:ascii="Cambria" w:hAnsi="Cambria"/>
          <w:bCs/>
          <w:noProof/>
          <w:lang w:val="sr-Latn-ME"/>
        </w:rPr>
        <w:t>, zadužila</w:t>
      </w:r>
      <w:r w:rsidRPr="001C57F9">
        <w:rPr>
          <w:rFonts w:ascii="Cambria" w:hAnsi="Cambria"/>
          <w:bCs/>
          <w:noProof/>
          <w:lang w:val="sr-Latn-ME"/>
        </w:rPr>
        <w:t xml:space="preserve"> Ministarstvo finansija i Elektroprivredu (EPCG) da potpišu poseban Ugovor o korišćenju sredstava iz budžeta projekta „Upravljanje industrijskim otpadom i čišćenje“ </w:t>
      </w:r>
      <w:r w:rsidRPr="001C57F9">
        <w:rPr>
          <w:rFonts w:ascii="Cambria" w:hAnsi="Cambria"/>
          <w:b/>
          <w:bCs/>
          <w:noProof/>
          <w:lang w:val="sr-Latn-ME"/>
        </w:rPr>
        <w:t>za remedijaciju deponije pepela i šljake „Maljevac“,</w:t>
      </w:r>
      <w:r w:rsidRPr="001C57F9">
        <w:rPr>
          <w:rFonts w:ascii="Cambria" w:hAnsi="Cambria"/>
          <w:bCs/>
          <w:noProof/>
          <w:lang w:val="sr-Latn-ME"/>
        </w:rPr>
        <w:t xml:space="preserve"> što je uslov za otpočinjanje pripremnih aktivnosti na remedijaciji pomenut</w:t>
      </w:r>
      <w:r w:rsidR="00910BCB">
        <w:rPr>
          <w:rFonts w:ascii="Cambria" w:hAnsi="Cambria"/>
          <w:bCs/>
          <w:noProof/>
          <w:lang w:val="sr-Latn-ME"/>
        </w:rPr>
        <w:t>e</w:t>
      </w:r>
      <w:r w:rsidRPr="001C57F9">
        <w:rPr>
          <w:rFonts w:ascii="Cambria" w:hAnsi="Cambria"/>
          <w:bCs/>
          <w:noProof/>
          <w:lang w:val="sr-Latn-ME"/>
        </w:rPr>
        <w:t xml:space="preserve"> lokacije</w:t>
      </w:r>
      <w:r w:rsidR="00910BCB">
        <w:rPr>
          <w:rFonts w:ascii="Cambria" w:hAnsi="Cambria"/>
          <w:bCs/>
          <w:noProof/>
          <w:lang w:val="sr-Latn-ME"/>
        </w:rPr>
        <w:t>.</w:t>
      </w:r>
      <w:r w:rsidRPr="001C57F9">
        <w:rPr>
          <w:rFonts w:ascii="Cambria" w:hAnsi="Cambria"/>
          <w:bCs/>
          <w:noProof/>
        </w:rPr>
        <w:t xml:space="preserve"> </w:t>
      </w:r>
      <w:r w:rsidR="00910BCB" w:rsidRPr="001C57F9">
        <w:rPr>
          <w:rFonts w:ascii="Cambria" w:hAnsi="Cambria"/>
          <w:bCs/>
          <w:noProof/>
        </w:rPr>
        <w:t>Predmetni Ugovor potpisan je 27. marta 2018. godine.</w:t>
      </w:r>
      <w:r w:rsidR="00910BCB">
        <w:rPr>
          <w:rFonts w:ascii="Cambria" w:hAnsi="Cambria"/>
          <w:bCs/>
          <w:noProof/>
        </w:rPr>
        <w:t xml:space="preserve"> i njime se bliže </w:t>
      </w:r>
      <w:r w:rsidRPr="001C57F9">
        <w:rPr>
          <w:rFonts w:ascii="Cambria" w:hAnsi="Cambria"/>
          <w:bCs/>
          <w:noProof/>
        </w:rPr>
        <w:t>defini</w:t>
      </w:r>
      <w:r w:rsidR="00910BCB">
        <w:rPr>
          <w:rFonts w:ascii="Cambria" w:hAnsi="Cambria"/>
          <w:bCs/>
          <w:noProof/>
        </w:rPr>
        <w:t>še</w:t>
      </w:r>
      <w:r w:rsidRPr="001C57F9">
        <w:rPr>
          <w:rFonts w:ascii="Cambria" w:hAnsi="Cambria"/>
          <w:bCs/>
          <w:noProof/>
        </w:rPr>
        <w:t xml:space="preserve"> obveznik vraćanja kreditnih sredstava, uslovi korišćenja sredstava, implementacija projekta, kao i obaveze održavanja lokacije kao preduslova za korišćenje sredstava iz kredita. </w:t>
      </w:r>
      <w:r w:rsidRPr="001C57F9">
        <w:rPr>
          <w:rFonts w:ascii="Cambria" w:hAnsi="Cambria"/>
          <w:bCs/>
          <w:noProof/>
          <w:lang w:val="sr-Latn-ME"/>
        </w:rPr>
        <w:t>Tehnička kont</w:t>
      </w:r>
      <w:r w:rsidR="00910BCB">
        <w:rPr>
          <w:rFonts w:ascii="Cambria" w:hAnsi="Cambria"/>
          <w:bCs/>
          <w:noProof/>
          <w:lang w:val="sr-Latn-ME"/>
        </w:rPr>
        <w:t>r</w:t>
      </w:r>
      <w:r w:rsidRPr="001C57F9">
        <w:rPr>
          <w:rFonts w:ascii="Cambria" w:hAnsi="Cambria"/>
          <w:bCs/>
          <w:noProof/>
          <w:lang w:val="sr-Latn-ME"/>
        </w:rPr>
        <w:t>ola Glavnog projekta remedijacije je završena. Priprema tenderske dokumentaciije je u toku i biće zavrešena do kraja oktobra 2018. godine. Tender za izbor izvođača radova biće raspisan početkom novem</w:t>
      </w:r>
      <w:r w:rsidR="000668A9">
        <w:rPr>
          <w:rFonts w:ascii="Cambria" w:hAnsi="Cambria"/>
          <w:bCs/>
          <w:noProof/>
          <w:lang w:val="sr-Latn-ME"/>
        </w:rPr>
        <w:t>b</w:t>
      </w:r>
      <w:r w:rsidRPr="001C57F9">
        <w:rPr>
          <w:rFonts w:ascii="Cambria" w:hAnsi="Cambria"/>
          <w:bCs/>
          <w:noProof/>
          <w:lang w:val="sr-Latn-ME"/>
        </w:rPr>
        <w:t xml:space="preserve">ra 2018. godine. Planirani početak radova na remedijaciji 01. mart 2019. godine, a završetak april 2020. godine. </w:t>
      </w:r>
      <w:r w:rsidR="000668A9">
        <w:rPr>
          <w:rFonts w:ascii="Cambria" w:hAnsi="Cambria"/>
          <w:bCs/>
          <w:noProof/>
          <w:lang w:val="sr-Latn-ME"/>
        </w:rPr>
        <w:t xml:space="preserve"> </w:t>
      </w:r>
      <w:r w:rsidRPr="000668A9">
        <w:rPr>
          <w:rFonts w:ascii="Cambria" w:hAnsi="Cambria"/>
          <w:bCs/>
          <w:noProof/>
          <w:lang w:val="sr-Latn-ME"/>
        </w:rPr>
        <w:t xml:space="preserve">Takodje,  </w:t>
      </w:r>
      <w:r w:rsidRPr="00360F0F">
        <w:rPr>
          <w:rFonts w:ascii="Cambria" w:hAnsi="Cambria"/>
          <w:bCs/>
          <w:noProof/>
          <w:lang w:val="sr-Latn-ME"/>
        </w:rPr>
        <w:t>15. Avgusta 2018. godine</w:t>
      </w:r>
      <w:r w:rsidRPr="000668A9">
        <w:rPr>
          <w:rFonts w:ascii="Cambria" w:hAnsi="Cambria"/>
          <w:bCs/>
          <w:noProof/>
          <w:lang w:val="sr-Latn-ME"/>
        </w:rPr>
        <w:t>,</w:t>
      </w:r>
      <w:r w:rsidRPr="001C57F9">
        <w:rPr>
          <w:rFonts w:ascii="Cambria" w:hAnsi="Cambria"/>
          <w:bCs/>
          <w:noProof/>
          <w:lang w:val="sr-Latn-ME"/>
        </w:rPr>
        <w:t xml:space="preserve"> </w:t>
      </w:r>
      <w:r w:rsidRPr="001C57F9">
        <w:rPr>
          <w:rFonts w:ascii="Cambria" w:hAnsi="Cambria"/>
          <w:bCs/>
          <w:noProof/>
        </w:rPr>
        <w:t>potpisan je Ugovor sa konsultantom ENCON (Turska) angažovanim za pripremu Elaborata procjene uticaja na životnu sredinu i društvo, a priprema Plana raseljavanja je u toku.</w:t>
      </w:r>
    </w:p>
    <w:p w14:paraId="3C9C1289" w14:textId="3C33DDB6" w:rsidR="001C57F9" w:rsidRPr="001C57F9" w:rsidRDefault="001C57F9" w:rsidP="001C57F9">
      <w:pPr>
        <w:jc w:val="both"/>
        <w:rPr>
          <w:rFonts w:ascii="Cambria" w:hAnsi="Cambria"/>
          <w:bCs/>
          <w:noProof/>
          <w:lang w:val="sr-Latn-ME"/>
        </w:rPr>
      </w:pPr>
      <w:r w:rsidRPr="001C57F9">
        <w:rPr>
          <w:rFonts w:ascii="Cambria" w:hAnsi="Cambria"/>
          <w:bCs/>
          <w:noProof/>
          <w:lang w:val="sr-Latn-ME"/>
        </w:rPr>
        <w:t xml:space="preserve">Projektni zadatak za izradu Glavnog projekta remedijacije </w:t>
      </w:r>
      <w:r w:rsidRPr="001C57F9">
        <w:rPr>
          <w:rFonts w:ascii="Cambria" w:hAnsi="Cambria"/>
          <w:b/>
          <w:bCs/>
          <w:noProof/>
          <w:lang w:val="sr-Latn-ME"/>
        </w:rPr>
        <w:t>bazena crvenog mulja</w:t>
      </w:r>
      <w:r w:rsidR="000668A9">
        <w:rPr>
          <w:rFonts w:ascii="Cambria" w:hAnsi="Cambria"/>
          <w:b/>
          <w:bCs/>
          <w:noProof/>
          <w:lang w:val="sr-Latn-ME"/>
        </w:rPr>
        <w:t xml:space="preserve"> u KAP</w:t>
      </w:r>
      <w:r w:rsidRPr="001C57F9">
        <w:rPr>
          <w:rFonts w:ascii="Cambria" w:hAnsi="Cambria"/>
          <w:bCs/>
          <w:noProof/>
          <w:lang w:val="sr-Latn-ME"/>
        </w:rPr>
        <w:t>, dostavljen je Svjetskoj banci na odobrenje 25. Jula 2018. godine. Nakon odobrenja istog biće objavljen Zahtjev za izražavanje interesovanja za izbor konsultanta</w:t>
      </w:r>
      <w:r w:rsidR="00910BCB">
        <w:rPr>
          <w:rFonts w:ascii="Cambria" w:hAnsi="Cambria"/>
          <w:bCs/>
          <w:noProof/>
          <w:lang w:val="sr-Latn-ME"/>
        </w:rPr>
        <w:t>.</w:t>
      </w:r>
    </w:p>
    <w:p w14:paraId="1FE25C77" w14:textId="77777777" w:rsidR="00BD5926" w:rsidRPr="00AB15C7" w:rsidRDefault="00BD5926" w:rsidP="005921EF">
      <w:pPr>
        <w:pStyle w:val="Heading2"/>
        <w:rPr>
          <w:noProof/>
          <w:sz w:val="22"/>
          <w:szCs w:val="22"/>
          <w:lang w:val="en-US"/>
        </w:rPr>
      </w:pPr>
      <w:bookmarkStart w:id="38" w:name="_Toc527353182"/>
      <w:bookmarkEnd w:id="37"/>
      <w:r w:rsidRPr="00AB15C7">
        <w:rPr>
          <w:noProof/>
          <w:sz w:val="22"/>
          <w:szCs w:val="22"/>
          <w:lang w:val="en-US"/>
        </w:rPr>
        <w:t>2.</w:t>
      </w:r>
      <w:r w:rsidR="00F677A3" w:rsidRPr="00AB15C7">
        <w:rPr>
          <w:noProof/>
          <w:sz w:val="22"/>
          <w:szCs w:val="22"/>
          <w:lang w:val="en-US"/>
        </w:rPr>
        <w:t>2.</w:t>
      </w:r>
      <w:r w:rsidRPr="00AB15C7">
        <w:rPr>
          <w:noProof/>
          <w:sz w:val="22"/>
          <w:szCs w:val="22"/>
          <w:lang w:val="en-US"/>
        </w:rPr>
        <w:t>5. Monitoring</w:t>
      </w:r>
      <w:bookmarkEnd w:id="38"/>
      <w:r w:rsidRPr="00AB15C7">
        <w:rPr>
          <w:noProof/>
          <w:sz w:val="22"/>
          <w:szCs w:val="22"/>
          <w:lang w:val="en-US"/>
        </w:rPr>
        <w:t xml:space="preserve"> </w:t>
      </w:r>
    </w:p>
    <w:p w14:paraId="4A0205A4" w14:textId="77777777" w:rsidR="00BD5926" w:rsidRPr="00AB15C7" w:rsidRDefault="00B12A23" w:rsidP="00205CED">
      <w:pPr>
        <w:pStyle w:val="Heading2"/>
        <w:spacing w:line="480" w:lineRule="auto"/>
        <w:rPr>
          <w:noProof/>
          <w:sz w:val="22"/>
          <w:szCs w:val="22"/>
          <w:lang w:val="en-US"/>
        </w:rPr>
      </w:pPr>
      <w:bookmarkStart w:id="39" w:name="_Toc527353183"/>
      <w:r w:rsidRPr="00AB15C7">
        <w:rPr>
          <w:noProof/>
          <w:sz w:val="22"/>
          <w:szCs w:val="22"/>
          <w:lang w:val="en-US"/>
        </w:rPr>
        <w:t>2.</w:t>
      </w:r>
      <w:r w:rsidR="00F677A3" w:rsidRPr="00AB15C7">
        <w:rPr>
          <w:noProof/>
          <w:sz w:val="22"/>
          <w:szCs w:val="22"/>
          <w:lang w:val="en-US"/>
        </w:rPr>
        <w:t>2.</w:t>
      </w:r>
      <w:r w:rsidRPr="00AB15C7">
        <w:rPr>
          <w:noProof/>
          <w:sz w:val="22"/>
          <w:szCs w:val="22"/>
          <w:lang w:val="en-US"/>
        </w:rPr>
        <w:t>5.1. Monitoring u segmentima životne sredine</w:t>
      </w:r>
      <w:bookmarkEnd w:id="39"/>
    </w:p>
    <w:p w14:paraId="4A9F3833" w14:textId="77777777" w:rsidR="005F66A3" w:rsidRPr="00AB15C7" w:rsidRDefault="00BD5926" w:rsidP="005921EF">
      <w:pPr>
        <w:jc w:val="both"/>
        <w:rPr>
          <w:rFonts w:ascii="Cambria" w:hAnsi="Cambria"/>
          <w:noProof/>
          <w:lang w:val="sr-Latn-CS"/>
        </w:rPr>
      </w:pPr>
      <w:r w:rsidRPr="00AB15C7">
        <w:rPr>
          <w:rFonts w:ascii="Cambria" w:hAnsi="Cambria"/>
          <w:noProof/>
          <w:lang w:val="sr-Latn-CS"/>
        </w:rPr>
        <w:t xml:space="preserve">Stanje životne sredine </w:t>
      </w:r>
      <w:r w:rsidR="006D38D6" w:rsidRPr="00AB15C7">
        <w:rPr>
          <w:rFonts w:ascii="Cambria" w:hAnsi="Cambria"/>
          <w:noProof/>
          <w:lang w:val="sr-Latn-CS"/>
        </w:rPr>
        <w:t xml:space="preserve">Crne Gore prati se na osnovu rezultata mjerenja ostvarenih realizacijom Programa monitoringa životne sredine i prikupljenih podataka, kroz direktnu saradnju sa institucijama nadležnim za pojedine tematske oblasti. Informacije o stanju </w:t>
      </w:r>
      <w:r w:rsidR="006D38D6" w:rsidRPr="00AB15C7">
        <w:rPr>
          <w:rFonts w:ascii="Cambria" w:hAnsi="Cambria"/>
          <w:noProof/>
          <w:lang w:val="sr-Latn-RS"/>
        </w:rPr>
        <w:t xml:space="preserve">životne sredine objavljuju se svake godine </w:t>
      </w:r>
      <w:r w:rsidR="006D38D6" w:rsidRPr="00AB15C7">
        <w:rPr>
          <w:rFonts w:ascii="Cambria" w:hAnsi="Cambria"/>
          <w:noProof/>
          <w:lang w:val="sr-Latn-RS"/>
        </w:rPr>
        <w:lastRenderedPageBreak/>
        <w:t>na web sajtu</w:t>
      </w:r>
      <w:r w:rsidR="006D38D6" w:rsidRPr="00AB15C7">
        <w:rPr>
          <w:rFonts w:ascii="Cambria" w:hAnsi="Cambria"/>
          <w:noProof/>
          <w:lang w:val="sr-Latn-CS"/>
        </w:rPr>
        <w:t xml:space="preserve"> Agencije za zaštitu prirode i životne sredine</w:t>
      </w:r>
      <w:r w:rsidR="006D38D6" w:rsidRPr="00AB15C7">
        <w:rPr>
          <w:rFonts w:ascii="Cambria" w:hAnsi="Cambria"/>
          <w:noProof/>
          <w:lang w:val="sr-Latn-RS"/>
        </w:rPr>
        <w:t xml:space="preserve">, a Izvještaj o stanju životne sredine u Crnoj Gori na bazi indikatora usvaja </w:t>
      </w:r>
      <w:r w:rsidR="002B6B6D" w:rsidRPr="00AB15C7">
        <w:rPr>
          <w:rFonts w:ascii="Cambria" w:hAnsi="Cambria"/>
          <w:noProof/>
          <w:lang w:val="sr-Latn-RS"/>
        </w:rPr>
        <w:t>V</w:t>
      </w:r>
      <w:r w:rsidR="006D38D6" w:rsidRPr="00AB15C7">
        <w:rPr>
          <w:rFonts w:ascii="Cambria" w:hAnsi="Cambria"/>
          <w:noProof/>
          <w:lang w:val="sr-Latn-RS"/>
        </w:rPr>
        <w:t>lada za četvorogodišnji period</w:t>
      </w:r>
      <w:r w:rsidR="005C0956" w:rsidRPr="00AB15C7">
        <w:rPr>
          <w:rFonts w:ascii="Cambria" w:hAnsi="Cambria"/>
          <w:noProof/>
          <w:lang w:val="sr-Latn-RS"/>
        </w:rPr>
        <w:t>.</w:t>
      </w:r>
    </w:p>
    <w:p w14:paraId="593BCB47" w14:textId="16AB5BF2" w:rsidR="005F66A3" w:rsidRPr="00AB15C7" w:rsidRDefault="005F66A3" w:rsidP="005921EF">
      <w:pPr>
        <w:jc w:val="both"/>
        <w:rPr>
          <w:rFonts w:ascii="Cambria" w:hAnsi="Cambria"/>
          <w:noProof/>
          <w:lang w:val="sr-Latn-CS"/>
        </w:rPr>
      </w:pPr>
      <w:r w:rsidRPr="00AB15C7">
        <w:rPr>
          <w:rFonts w:ascii="Cambria" w:hAnsi="Cambria"/>
          <w:noProof/>
          <w:lang w:val="sr-Latn-CS"/>
        </w:rPr>
        <w:t>Program monitoringa</w:t>
      </w:r>
      <w:r w:rsidRPr="00AB15C7">
        <w:rPr>
          <w:rFonts w:ascii="Cambria" w:hAnsi="Cambria"/>
          <w:noProof/>
          <w:vertAlign w:val="superscript"/>
          <w:lang w:val="sr-Latn-CS"/>
        </w:rPr>
        <w:footnoteReference w:id="19"/>
      </w:r>
      <w:r w:rsidRPr="00AB15C7">
        <w:rPr>
          <w:rFonts w:ascii="Cambria" w:hAnsi="Cambria"/>
          <w:noProof/>
          <w:lang w:val="sr-Latn-CS"/>
        </w:rPr>
        <w:t xml:space="preserve"> realizuju institucije izabrane u tenderskoj proceduri, osim monitoringa kvaliteta vazduha koji realizuje D.O.O. „Centar za ekotoksikološka ispitivanja“, na osnovu Uredbe o povjeravanju dijela poslova iz nadležnosti </w:t>
      </w:r>
      <w:bookmarkStart w:id="40" w:name="_Hlk519008867"/>
      <w:r w:rsidRPr="00AB15C7">
        <w:rPr>
          <w:rFonts w:ascii="Cambria" w:hAnsi="Cambria"/>
          <w:noProof/>
          <w:lang w:val="sr-Latn-CS"/>
        </w:rPr>
        <w:t>Agencije za zaštitu prirode i životne sredine</w:t>
      </w:r>
      <w:bookmarkEnd w:id="40"/>
      <w:r w:rsidRPr="00AB15C7">
        <w:rPr>
          <w:rFonts w:ascii="Cambria" w:hAnsi="Cambria"/>
          <w:noProof/>
          <w:lang w:val="sr-Latn-CS"/>
        </w:rPr>
        <w:t xml:space="preserve"> ("Sl. list CG", br. 62/11). </w:t>
      </w:r>
      <w:r w:rsidR="009D41A9">
        <w:rPr>
          <w:rFonts w:ascii="Cambria" w:hAnsi="Cambria"/>
          <w:noProof/>
          <w:lang w:val="sr-Latn-CS"/>
        </w:rPr>
        <w:t xml:space="preserve"> </w:t>
      </w:r>
      <w:r w:rsidRPr="00AB15C7">
        <w:rPr>
          <w:rFonts w:ascii="Cambria" w:hAnsi="Cambria"/>
          <w:noProof/>
          <w:lang w:val="sr-Latn-CS"/>
        </w:rPr>
        <w:t xml:space="preserve">Za realizaciju Programa monitoringa sredstva se obezbjeđuju iz </w:t>
      </w:r>
      <w:r w:rsidRPr="00AB15C7">
        <w:rPr>
          <w:rFonts w:ascii="Cambria" w:hAnsi="Cambria"/>
          <w:noProof/>
        </w:rPr>
        <w:t>budžeta.</w:t>
      </w:r>
      <w:r w:rsidR="00E23BD8" w:rsidRPr="00AB15C7">
        <w:rPr>
          <w:rFonts w:ascii="Cambria" w:hAnsi="Cambria"/>
          <w:noProof/>
          <w:lang w:val="sr-Latn-CS"/>
        </w:rPr>
        <w:t xml:space="preserve"> Program monitoringa kvaliteta voda predlaže Ministarstvo poljoprivrede i ruralnog razvoja, koji u skladu sa Zakonom o vodama ("Sl. list CG", br. 27/07) realizuje Zavod za hidrometeorologiju i seizmologiju Crne Gore.</w:t>
      </w:r>
    </w:p>
    <w:p w14:paraId="65F238F5" w14:textId="77777777" w:rsidR="005F66A3" w:rsidRPr="00AB15C7" w:rsidRDefault="005F66A3" w:rsidP="00C450E6">
      <w:pPr>
        <w:numPr>
          <w:ilvl w:val="0"/>
          <w:numId w:val="3"/>
        </w:numPr>
        <w:spacing w:before="240" w:after="0" w:line="360" w:lineRule="auto"/>
        <w:jc w:val="both"/>
        <w:rPr>
          <w:rFonts w:ascii="Cambria" w:hAnsi="Cambria"/>
          <w:b/>
          <w:noProof/>
          <w:lang w:val="sr-Latn-CS"/>
        </w:rPr>
      </w:pPr>
      <w:r w:rsidRPr="00AB15C7">
        <w:rPr>
          <w:rFonts w:ascii="Cambria" w:hAnsi="Cambria"/>
          <w:b/>
          <w:noProof/>
          <w:lang w:val="sr-Latn-CS"/>
        </w:rPr>
        <w:t>Vazduh</w:t>
      </w:r>
    </w:p>
    <w:p w14:paraId="18800ADD" w14:textId="77777777" w:rsidR="00E23BD8" w:rsidRPr="00AB15C7" w:rsidRDefault="00E23BD8" w:rsidP="005921EF">
      <w:pPr>
        <w:jc w:val="both"/>
        <w:rPr>
          <w:rFonts w:ascii="Cambria" w:hAnsi="Cambria"/>
          <w:noProof/>
          <w:lang w:val="sr-Latn-CS"/>
        </w:rPr>
      </w:pPr>
      <w:r w:rsidRPr="00AB15C7">
        <w:rPr>
          <w:rFonts w:ascii="Cambria" w:hAnsi="Cambria"/>
          <w:noProof/>
          <w:lang w:val="sr-Latn-CS"/>
        </w:rPr>
        <w:t>Realizacija Programa monitoringa kvaliteta vazduha vrši se u skladu sa Pravilnikom o načinu i uslovima praćenja kvaliteta vazduha ("Službeni list CG", br. 21/2011), kojim je  propisan način praćenja kvaliteta vazduha i prikupljanja podataka, kao i referentne metode mjerenja, kriterijumi za postizanje kvaliteta podataka, obezbjeđivanje kvaliteta podataka i njihova validacija.</w:t>
      </w:r>
    </w:p>
    <w:p w14:paraId="032D7D6E" w14:textId="77777777" w:rsidR="005F66A3" w:rsidRPr="00AB15C7" w:rsidRDefault="005F66A3" w:rsidP="005921EF">
      <w:pPr>
        <w:jc w:val="both"/>
        <w:rPr>
          <w:rFonts w:ascii="Cambria" w:hAnsi="Cambria"/>
          <w:noProof/>
          <w:lang w:val="sr-Latn-CS"/>
        </w:rPr>
      </w:pPr>
      <w:r w:rsidRPr="00AB15C7">
        <w:rPr>
          <w:rFonts w:ascii="Cambria" w:hAnsi="Cambria"/>
          <w:noProof/>
          <w:lang w:val="sr-Latn-CS"/>
        </w:rPr>
        <w:t xml:space="preserve">Na automatskim stacionarnim stanicama </w:t>
      </w:r>
      <w:r w:rsidR="001A4341" w:rsidRPr="00AB15C7">
        <w:rPr>
          <w:rFonts w:ascii="Cambria" w:hAnsi="Cambria"/>
          <w:noProof/>
          <w:lang w:val="sr-Latn-CS"/>
        </w:rPr>
        <w:t xml:space="preserve">u 2016. godini </w:t>
      </w:r>
      <w:r w:rsidRPr="00AB15C7">
        <w:rPr>
          <w:rFonts w:ascii="Cambria" w:hAnsi="Cambria"/>
          <w:noProof/>
          <w:lang w:val="sr-Latn-CS"/>
        </w:rPr>
        <w:t>praćen je kvalitet vazduha u Podgorici, Nikšiću, Pljevljima, Baru, Tivtu, Golubovcima i Gradini (Pljevlja). Mjerena je koncentracija sledećih parametara: sumpor dioksida (SO</w:t>
      </w:r>
      <w:r w:rsidRPr="00AB15C7">
        <w:rPr>
          <w:rFonts w:ascii="Cambria" w:hAnsi="Cambria"/>
          <w:noProof/>
          <w:vertAlign w:val="subscript"/>
          <w:lang w:val="sr-Latn-CS"/>
        </w:rPr>
        <w:t>2</w:t>
      </w:r>
      <w:r w:rsidRPr="00AB15C7">
        <w:rPr>
          <w:rFonts w:ascii="Cambria" w:hAnsi="Cambria"/>
          <w:noProof/>
          <w:lang w:val="sr-Latn-CS"/>
        </w:rPr>
        <w:t>), azot monoksida (NO), azot dioksida (NO</w:t>
      </w:r>
      <w:r w:rsidRPr="00AB15C7">
        <w:rPr>
          <w:rFonts w:ascii="Cambria" w:hAnsi="Cambria"/>
          <w:noProof/>
          <w:vertAlign w:val="subscript"/>
          <w:lang w:val="sr-Latn-CS"/>
        </w:rPr>
        <w:t>2</w:t>
      </w:r>
      <w:r w:rsidRPr="00AB15C7">
        <w:rPr>
          <w:rFonts w:ascii="Cambria" w:hAnsi="Cambria"/>
          <w:noProof/>
          <w:lang w:val="sr-Latn-CS"/>
        </w:rPr>
        <w:t>), ukupnih azotnih oksida (NO</w:t>
      </w:r>
      <w:r w:rsidRPr="00AB15C7">
        <w:rPr>
          <w:rFonts w:ascii="Cambria" w:hAnsi="Cambria"/>
          <w:noProof/>
          <w:vertAlign w:val="subscript"/>
          <w:lang w:val="sr-Latn-CS"/>
        </w:rPr>
        <w:t>x</w:t>
      </w:r>
      <w:r w:rsidRPr="00AB15C7">
        <w:rPr>
          <w:rFonts w:ascii="Cambria" w:hAnsi="Cambria"/>
          <w:noProof/>
          <w:lang w:val="sr-Latn-CS"/>
        </w:rPr>
        <w:t>), ugljen monoksida (CO), metana (CH</w:t>
      </w:r>
      <w:r w:rsidRPr="00AB15C7">
        <w:rPr>
          <w:rFonts w:ascii="Cambria" w:hAnsi="Cambria"/>
          <w:noProof/>
          <w:vertAlign w:val="subscript"/>
          <w:lang w:val="sr-Latn-CS"/>
        </w:rPr>
        <w:t>4</w:t>
      </w:r>
      <w:r w:rsidRPr="00AB15C7">
        <w:rPr>
          <w:rFonts w:ascii="Cambria" w:hAnsi="Cambria"/>
          <w:noProof/>
          <w:lang w:val="sr-Latn-CS"/>
        </w:rPr>
        <w:t>), nemetanskih ugljovodonika (NMHC), ukupnih ugljovodonika (THC), PM</w:t>
      </w:r>
      <w:r w:rsidRPr="00AB15C7">
        <w:rPr>
          <w:rFonts w:ascii="Cambria" w:hAnsi="Cambria"/>
          <w:noProof/>
          <w:vertAlign w:val="subscript"/>
          <w:lang w:val="sr-Latn-CS"/>
        </w:rPr>
        <w:t>10</w:t>
      </w:r>
      <w:r w:rsidRPr="00AB15C7">
        <w:rPr>
          <w:rFonts w:ascii="Cambria" w:hAnsi="Cambria"/>
          <w:noProof/>
          <w:lang w:val="sr-Latn-CS"/>
        </w:rPr>
        <w:t xml:space="preserve"> čestica, prizemnog ozona (O</w:t>
      </w:r>
      <w:r w:rsidRPr="00AB15C7">
        <w:rPr>
          <w:rFonts w:ascii="Cambria" w:hAnsi="Cambria"/>
          <w:noProof/>
          <w:vertAlign w:val="subscript"/>
          <w:lang w:val="sr-Latn-CS"/>
        </w:rPr>
        <w:t>3</w:t>
      </w:r>
      <w:r w:rsidRPr="00AB15C7">
        <w:rPr>
          <w:rFonts w:ascii="Cambria" w:hAnsi="Cambria"/>
          <w:noProof/>
          <w:lang w:val="sr-Latn-CS"/>
        </w:rPr>
        <w:t xml:space="preserve">), benzena, toluena, etilbenzena, o-m-p xilena (BTX). </w:t>
      </w:r>
    </w:p>
    <w:p w14:paraId="0331A0D5" w14:textId="77777777" w:rsidR="005F66A3" w:rsidRPr="00AB15C7" w:rsidRDefault="005F66A3" w:rsidP="005921EF">
      <w:pPr>
        <w:jc w:val="both"/>
        <w:rPr>
          <w:rFonts w:ascii="Cambria" w:hAnsi="Cambria"/>
          <w:noProof/>
          <w:lang w:val="sr-Latn-CS"/>
        </w:rPr>
      </w:pPr>
      <w:r w:rsidRPr="00AB15C7">
        <w:rPr>
          <w:rFonts w:ascii="Cambria" w:hAnsi="Cambria"/>
          <w:noProof/>
          <w:lang w:val="sr-Latn-CS"/>
        </w:rPr>
        <w:t>Ocjena kvaliteta vazduha vršena je u skladu sa Uredbom o utvrđivanju vrsta zagađujućih materija, graničnih vrijednosti i drugih standarda kvaliteta vazduha ("Službeni list CG", br. 45/2008, 25/2012).</w:t>
      </w:r>
    </w:p>
    <w:p w14:paraId="21F3C3E1" w14:textId="77777777" w:rsidR="005F66A3" w:rsidRPr="00AB15C7" w:rsidRDefault="005F66A3" w:rsidP="005921EF">
      <w:pPr>
        <w:jc w:val="both"/>
        <w:rPr>
          <w:rFonts w:ascii="Cambria" w:hAnsi="Cambria"/>
          <w:noProof/>
          <w:lang w:val="sr-Latn-CS"/>
        </w:rPr>
      </w:pPr>
      <w:r w:rsidRPr="00AB15C7">
        <w:rPr>
          <w:rFonts w:ascii="Cambria" w:hAnsi="Cambria"/>
          <w:noProof/>
          <w:lang w:val="sr-Latn-CS"/>
        </w:rPr>
        <w:t>Podaci sa automatskih stacionarnih stanica dostupni su javnosti i drugim zainteresovanim stranama na sajtu Agencije (</w:t>
      </w:r>
      <w:r w:rsidRPr="00AB15C7">
        <w:rPr>
          <w:rFonts w:ascii="Cambria" w:hAnsi="Cambria"/>
          <w:noProof/>
        </w:rPr>
        <w:t>www.epa.org.me)</w:t>
      </w:r>
      <w:r w:rsidRPr="00AB15C7">
        <w:rPr>
          <w:rFonts w:ascii="Cambria" w:hAnsi="Cambria"/>
          <w:noProof/>
          <w:lang w:val="sr-Latn-CS"/>
        </w:rPr>
        <w:t xml:space="preserve">. Na ovaj način ispunjeni su zahtjevi kako nacionalnog tako i EU zakonodavstva o pravovremenom informisanju o kvalitetu vazduha. </w:t>
      </w:r>
    </w:p>
    <w:p w14:paraId="1FAE5791" w14:textId="77777777" w:rsidR="00793D1D" w:rsidRPr="00AB15C7" w:rsidRDefault="005F66A3" w:rsidP="00205CED">
      <w:pPr>
        <w:spacing w:after="0"/>
        <w:jc w:val="both"/>
        <w:rPr>
          <w:rFonts w:ascii="Cambria" w:hAnsi="Cambria"/>
          <w:noProof/>
        </w:rPr>
      </w:pPr>
      <w:r w:rsidRPr="00AB15C7">
        <w:rPr>
          <w:rFonts w:ascii="Cambria" w:hAnsi="Cambria"/>
          <w:noProof/>
          <w:lang w:val="sr-Latn-CS"/>
        </w:rPr>
        <w:t xml:space="preserve">U skladu sa Uredbom o uspostavljanju mreže mjernih mjesta za praćenje kvaliteta vazduha ("Službeni list CG", br. 44/2010 i 13/2011), teritorija Crne Gore podijeljena je tri </w:t>
      </w:r>
      <w:r w:rsidRPr="00AB15C7">
        <w:rPr>
          <w:rFonts w:ascii="Cambria" w:hAnsi="Cambria"/>
          <w:noProof/>
        </w:rPr>
        <w:t>zone</w:t>
      </w:r>
      <w:r w:rsidR="00793D1D" w:rsidRPr="00AB15C7">
        <w:rPr>
          <w:rFonts w:ascii="Cambria" w:hAnsi="Cambria"/>
          <w:noProof/>
        </w:rPr>
        <w:t xml:space="preserve"> kvaliteta vazduha,</w:t>
      </w:r>
      <w:r w:rsidRPr="00AB15C7">
        <w:rPr>
          <w:rFonts w:ascii="Cambria" w:hAnsi="Cambria"/>
          <w:noProof/>
        </w:rPr>
        <w:t xml:space="preserve"> </w:t>
      </w:r>
      <w:r w:rsidR="00793D1D" w:rsidRPr="00AB15C7">
        <w:rPr>
          <w:rFonts w:ascii="Cambria" w:hAnsi="Cambria"/>
          <w:noProof/>
        </w:rPr>
        <w:t xml:space="preserve"> i to:</w:t>
      </w:r>
    </w:p>
    <w:p w14:paraId="7E6216C9" w14:textId="77777777" w:rsidR="00793D1D" w:rsidRPr="00AB15C7" w:rsidRDefault="00793D1D" w:rsidP="00557C13">
      <w:pPr>
        <w:numPr>
          <w:ilvl w:val="0"/>
          <w:numId w:val="12"/>
        </w:numPr>
        <w:spacing w:after="0"/>
        <w:jc w:val="both"/>
        <w:rPr>
          <w:rFonts w:ascii="Cambria" w:hAnsi="Cambria"/>
          <w:noProof/>
        </w:rPr>
      </w:pPr>
      <w:r w:rsidRPr="00AB15C7">
        <w:rPr>
          <w:rFonts w:ascii="Cambria" w:hAnsi="Cambria"/>
          <w:b/>
          <w:bCs/>
          <w:noProof/>
          <w:lang w:val="sr-Latn-CS"/>
        </w:rPr>
        <w:t>Zona održavanja kvaliteta vazduha</w:t>
      </w:r>
      <w:r w:rsidRPr="00AB15C7">
        <w:rPr>
          <w:rFonts w:ascii="Cambria" w:hAnsi="Cambria"/>
          <w:bCs/>
          <w:noProof/>
          <w:lang w:val="sr-Latn-CS"/>
        </w:rPr>
        <w:t xml:space="preserve">  koja obuhvata opštine: Andrijevica, Budva, Danilovgrad, Herceg Novi, Kolašin, Kotor, Mojkovac, Plav, Plužine, Rožaje, Šavnik, Tivat, Ulcinj i Žabljak</w:t>
      </w:r>
    </w:p>
    <w:p w14:paraId="1411174E" w14:textId="77777777" w:rsidR="00793D1D" w:rsidRPr="00AB15C7" w:rsidRDefault="00793D1D" w:rsidP="00557C13">
      <w:pPr>
        <w:numPr>
          <w:ilvl w:val="0"/>
          <w:numId w:val="12"/>
        </w:numPr>
        <w:spacing w:after="0"/>
        <w:jc w:val="both"/>
        <w:rPr>
          <w:rFonts w:ascii="Cambria" w:hAnsi="Cambria"/>
          <w:noProof/>
        </w:rPr>
      </w:pPr>
      <w:r w:rsidRPr="00AB15C7">
        <w:rPr>
          <w:rFonts w:ascii="Cambria" w:hAnsi="Cambria"/>
          <w:b/>
          <w:noProof/>
        </w:rPr>
        <w:t>Sjeverna zona</w:t>
      </w:r>
      <w:r w:rsidRPr="00AB15C7">
        <w:rPr>
          <w:rFonts w:ascii="Cambria" w:hAnsi="Cambria"/>
          <w:noProof/>
        </w:rPr>
        <w:t xml:space="preserve"> u kojoj je neophodno  unaprijeđenje kvaliteta vazduha, a obuhvata opštine: Berane, Bijelo Polje i Pljevlja</w:t>
      </w:r>
    </w:p>
    <w:p w14:paraId="6EB7CF98" w14:textId="77777777" w:rsidR="00793D1D" w:rsidRPr="00AB15C7" w:rsidRDefault="00793D1D" w:rsidP="00557C13">
      <w:pPr>
        <w:numPr>
          <w:ilvl w:val="0"/>
          <w:numId w:val="12"/>
        </w:numPr>
        <w:jc w:val="both"/>
        <w:rPr>
          <w:rFonts w:ascii="Cambria" w:hAnsi="Cambria"/>
          <w:noProof/>
        </w:rPr>
      </w:pPr>
      <w:r w:rsidRPr="00AB15C7">
        <w:rPr>
          <w:rFonts w:ascii="Cambria" w:hAnsi="Cambria"/>
          <w:b/>
          <w:noProof/>
        </w:rPr>
        <w:t>Južna zona</w:t>
      </w:r>
      <w:r w:rsidRPr="00AB15C7">
        <w:rPr>
          <w:rFonts w:ascii="Cambria" w:hAnsi="Cambria"/>
          <w:noProof/>
        </w:rPr>
        <w:t xml:space="preserve"> u kojoj je neophodno unaprijeđenje kvaliteta vazduha, a obuhvata opštine:</w:t>
      </w:r>
      <w:r w:rsidRPr="00AB15C7">
        <w:rPr>
          <w:rFonts w:ascii="Cambria" w:hAnsi="Cambria"/>
          <w:noProof/>
          <w:lang w:val="sr-Latn-CS"/>
        </w:rPr>
        <w:t xml:space="preserve"> Bar, Cetinje, Nikšić i Podgorica</w:t>
      </w:r>
    </w:p>
    <w:p w14:paraId="56C595D8" w14:textId="77777777" w:rsidR="006D38D6" w:rsidRPr="00AB15C7" w:rsidRDefault="006D38D6" w:rsidP="005921EF">
      <w:pPr>
        <w:jc w:val="both"/>
        <w:rPr>
          <w:rFonts w:ascii="Cambria" w:hAnsi="Cambria"/>
          <w:noProof/>
          <w:lang w:val="sr-Latn-RS"/>
        </w:rPr>
      </w:pPr>
      <w:r w:rsidRPr="00AB15C7">
        <w:rPr>
          <w:rFonts w:ascii="Cambria" w:hAnsi="Cambria"/>
          <w:noProof/>
          <w:lang w:val="sr-Latn-RS"/>
        </w:rPr>
        <w:t>Tokom 2016. godine prekoračenja koncentracije PM čestica u odnosu na propisane vrijednosti dominantno su uticale na lošiji kvalitet vazduha. Prisustvo ovih čestica u koncentracijama iznad propisanih sa aspekta zaštite zdravlja najveće je u Pljevljima. Prekoračenja se najčešće dešavaju tokom sezone grijanja. Na kvalitet vazduha najviše su uticale emisije koje su rezultat sagorijevanja goriva u velikim i malim ložištima</w:t>
      </w:r>
      <w:r w:rsidR="00C6769A" w:rsidRPr="00AB15C7">
        <w:rPr>
          <w:rFonts w:ascii="Cambria" w:hAnsi="Cambria"/>
          <w:noProof/>
          <w:lang w:val="sr-Latn-RS"/>
        </w:rPr>
        <w:t xml:space="preserve"> </w:t>
      </w:r>
      <w:r w:rsidRPr="00AB15C7">
        <w:rPr>
          <w:rFonts w:ascii="Cambria" w:hAnsi="Cambria"/>
          <w:noProof/>
          <w:lang w:val="sr-Latn-RS"/>
        </w:rPr>
        <w:t xml:space="preserve">i u motorima sa unutrašnjim sagorijevanjem, emisije iz industrije, kao i nepovoljni meteorološki uslovi. </w:t>
      </w:r>
    </w:p>
    <w:p w14:paraId="751262D2" w14:textId="77777777" w:rsidR="001A4341" w:rsidRPr="00AB15C7" w:rsidRDefault="001A4341" w:rsidP="00C450E6">
      <w:pPr>
        <w:numPr>
          <w:ilvl w:val="0"/>
          <w:numId w:val="3"/>
        </w:numPr>
        <w:spacing w:before="240" w:after="0" w:line="360" w:lineRule="auto"/>
        <w:jc w:val="both"/>
        <w:rPr>
          <w:rFonts w:ascii="Cambria" w:hAnsi="Cambria"/>
          <w:b/>
          <w:noProof/>
          <w:lang w:val="sr-Latn-CS"/>
        </w:rPr>
      </w:pPr>
      <w:r w:rsidRPr="00AB15C7">
        <w:rPr>
          <w:rFonts w:ascii="Cambria" w:hAnsi="Cambria"/>
          <w:b/>
          <w:noProof/>
          <w:lang w:val="sr-Latn-CS"/>
        </w:rPr>
        <w:t xml:space="preserve">Vode </w:t>
      </w:r>
    </w:p>
    <w:p w14:paraId="5D660CF2" w14:textId="77777777" w:rsidR="001A4341" w:rsidRPr="00AB15C7" w:rsidRDefault="001A4341" w:rsidP="005921EF">
      <w:pPr>
        <w:jc w:val="both"/>
        <w:rPr>
          <w:rFonts w:ascii="Cambria" w:hAnsi="Cambria"/>
          <w:noProof/>
          <w:lang w:val="sr-Latn-CS"/>
        </w:rPr>
      </w:pPr>
      <w:r w:rsidRPr="00AB15C7">
        <w:rPr>
          <w:rFonts w:ascii="Cambria" w:hAnsi="Cambria"/>
          <w:noProof/>
          <w:lang w:val="sr-Latn-CS"/>
        </w:rPr>
        <w:t xml:space="preserve">Vodni potencijali čine jedan od osnovnih razvojnih potencijala Crne Gore. Na osnovu dosadašnjih istraživanja površinskih vodotoka u Crnoj Gori, može se govoriti o vrlo izraženoj vodnosti u odnosu na </w:t>
      </w:r>
      <w:r w:rsidRPr="00AB15C7">
        <w:rPr>
          <w:rFonts w:ascii="Cambria" w:hAnsi="Cambria"/>
          <w:noProof/>
          <w:lang w:val="sr-Latn-CS"/>
        </w:rPr>
        <w:lastRenderedPageBreak/>
        <w:t xml:space="preserve">relativno malu površinu Crne Gore, a time i o raspoloživosti značajnog hidropotencijala za energetsko korišćenje. </w:t>
      </w:r>
    </w:p>
    <w:p w14:paraId="2F0B8717" w14:textId="77777777" w:rsidR="00344C01" w:rsidRPr="00AB15C7" w:rsidRDefault="001A4341" w:rsidP="005921EF">
      <w:pPr>
        <w:jc w:val="both"/>
        <w:rPr>
          <w:rFonts w:ascii="Cambria" w:hAnsi="Cambria"/>
          <w:noProof/>
          <w:lang w:val="sr-Latn-CS"/>
        </w:rPr>
      </w:pPr>
      <w:r w:rsidRPr="00AB15C7">
        <w:rPr>
          <w:rFonts w:ascii="Cambria" w:hAnsi="Cambria"/>
          <w:noProof/>
          <w:lang w:val="sr-Latn-CS"/>
        </w:rPr>
        <w:t>Zakon o vodama (,, Službeni list RCG“, broj 27/07 i Službeni list CG”, br. 32/11, 48/15 i 52/16“), član 75, predstavlja zakonsku osnovu za zaštitu površinskih i podzemnih voda u Crnoj Gori. Uredbom o klasifikaciji i kategorizaciji površinskih i podzemnih voda (”Sl. list CG” , br. 2/07), izvršena je klasifikacija i kategorizacija površinskih i podzemnih voda na kopnu i priobalnih morskih voda u Crnoj Gori.</w:t>
      </w:r>
    </w:p>
    <w:p w14:paraId="684A5BC3" w14:textId="77777777" w:rsidR="001A4341" w:rsidRPr="00AB15C7" w:rsidRDefault="001A4341" w:rsidP="005921EF">
      <w:pPr>
        <w:jc w:val="both"/>
        <w:rPr>
          <w:rFonts w:ascii="Cambria" w:hAnsi="Cambria"/>
          <w:noProof/>
          <w:lang w:val="sr-Latn-CS"/>
        </w:rPr>
      </w:pPr>
      <w:r w:rsidRPr="00AB15C7">
        <w:rPr>
          <w:rFonts w:ascii="Cambria" w:hAnsi="Cambria"/>
          <w:noProof/>
          <w:lang w:val="sr-Latn-CS"/>
        </w:rPr>
        <w:t xml:space="preserve">Iako se ispuštanje komunalnih i industrijskih otpadnih voda u prirodne prijemnike vrši gotovo bez ikakvog prečišćavanja (izuzetak su neka industrijska postrojenja i dio komunalnih otpadnih voda u Podgorici, Mojkovcu, Žabljaku i Budvi), Crna Gora raspolaže kvalitetnim i obilnim, podzemnim i površinskim vodama. Dodatni problem predstavlja i nedostatak predtretmana industrijskih otpadnih voda koje se ispuštaju u javne kanalizacione sisteme. </w:t>
      </w:r>
    </w:p>
    <w:p w14:paraId="69A82876" w14:textId="645F0BE5" w:rsidR="006D38D6" w:rsidRPr="00AB15C7" w:rsidRDefault="001A4341" w:rsidP="005921EF">
      <w:pPr>
        <w:jc w:val="both"/>
        <w:rPr>
          <w:rFonts w:ascii="Cambria" w:hAnsi="Cambria"/>
          <w:noProof/>
          <w:lang w:val="sr-Latn-CS"/>
        </w:rPr>
      </w:pPr>
      <w:r w:rsidRPr="00AB15C7">
        <w:rPr>
          <w:rFonts w:ascii="Cambria" w:hAnsi="Cambria"/>
          <w:noProof/>
          <w:lang w:val="sr-Latn-CS"/>
        </w:rPr>
        <w:t>Najzagađeniji vodotoci su Vezišnica i Ćehotina na dijelu ispod Pljevalja i Ibar  na dijelu ispod Rožaja. Umjerenu zagađenost imaju vode Rijeke srednjeg i donjeg toka Lima,</w:t>
      </w:r>
      <w:r w:rsidR="005B5004">
        <w:rPr>
          <w:rFonts w:ascii="Cambria" w:hAnsi="Cambria"/>
          <w:noProof/>
          <w:lang w:val="sr-Latn-CS"/>
        </w:rPr>
        <w:t xml:space="preserve"> </w:t>
      </w:r>
      <w:r w:rsidRPr="00AB15C7">
        <w:rPr>
          <w:rFonts w:ascii="Cambria" w:hAnsi="Cambria"/>
          <w:noProof/>
          <w:lang w:val="sr-Latn-CS"/>
        </w:rPr>
        <w:t xml:space="preserve">vode Crnojevića rijeke,Grnčar na području Gusinja  i Morača na dijelu ispod uliva voda gradskog kolektora Podgorice. Rezultati mjerenja indiciraju na veliku osjetljivost ovih akvatičnih ekosistema, prije svega u malovodnom režimu, kao i porast ljudskih aktivnosti na njihovim obalama.  </w:t>
      </w:r>
      <w:r w:rsidR="007750E9">
        <w:rPr>
          <w:rFonts w:ascii="Cambria" w:hAnsi="Cambria"/>
          <w:noProof/>
          <w:lang w:val="sr-Latn-CS"/>
        </w:rPr>
        <w:t xml:space="preserve"> </w:t>
      </w:r>
      <w:r w:rsidRPr="00AB15C7">
        <w:rPr>
          <w:rFonts w:ascii="Cambria" w:hAnsi="Cambria"/>
          <w:noProof/>
          <w:lang w:val="sr-Latn-CS"/>
        </w:rPr>
        <w:t xml:space="preserve">Program praćenja kvaliteta voda uglavnom se zasniva na fizičko-hemijskim parametrima. </w:t>
      </w:r>
    </w:p>
    <w:p w14:paraId="73251BF1" w14:textId="77777777" w:rsidR="00344C01" w:rsidRPr="00AB15C7" w:rsidRDefault="00344C01" w:rsidP="005921EF">
      <w:pPr>
        <w:jc w:val="both"/>
        <w:rPr>
          <w:rFonts w:ascii="Cambria" w:hAnsi="Cambria"/>
          <w:noProof/>
          <w:lang w:val="sr-Latn-CS"/>
        </w:rPr>
      </w:pPr>
      <w:r w:rsidRPr="00AB15C7">
        <w:rPr>
          <w:rFonts w:ascii="Cambria" w:hAnsi="Cambria"/>
          <w:noProof/>
          <w:lang w:val="sr-Latn-CS"/>
        </w:rPr>
        <w:t>Program monitoringa stanja morskog ekosistema Crne Gore, se kao dio Nacionalnog programa monitoringa stanja životne sredine sprovodi od 2008. godine, i u skladu je sa nacionalnim propisima: Zakonom o životnoj sredini (Sl. List RCG, br. 52/16), Zakona o vodama (Sl. List RCG, broj 27/07 i Sl. List CG”, broj 32/11 i 48/15), Uredbom o klasifikaciji i kategorizaciji površinskih i podzemnih voda (Sl. list RCG, br. 02/07), a djelimično je usklađen i sa preporukama Evropske Agencije za životnu sredinu iz Kopenhagena kao i sa kriterijumima MEDPOL-a</w:t>
      </w:r>
      <w:r w:rsidR="007265D6" w:rsidRPr="00AB15C7">
        <w:rPr>
          <w:rFonts w:ascii="Cambria" w:hAnsi="Cambria"/>
          <w:noProof/>
          <w:lang w:val="sr-Latn-CS"/>
        </w:rPr>
        <w:t xml:space="preserve">. </w:t>
      </w:r>
      <w:r w:rsidR="004B290C" w:rsidRPr="00AB15C7">
        <w:rPr>
          <w:rFonts w:ascii="Cambria" w:hAnsi="Cambria"/>
          <w:noProof/>
          <w:lang w:val="sr-Latn-CS"/>
        </w:rPr>
        <w:t xml:space="preserve">Crna Gora nije utvrdila kriterijume za ocjenu kvaliteta morskih sedimenata. Iako je riječ o drugom matriksu, procjena zagađenja sedimenata teškim metalima često se vrši na osnovu Pravilnika o dozvoljenim količinama opasnih i štetnih materija u zemljištu („Sl.list RCG“, br. 18/97). U nedostatku domaćih kriterijuma za procjenu kvaliteta </w:t>
      </w:r>
      <w:r w:rsidR="004B290C" w:rsidRPr="00205CED">
        <w:rPr>
          <w:rFonts w:ascii="Cambria" w:hAnsi="Cambria"/>
          <w:i/>
          <w:noProof/>
          <w:lang w:val="sr-Latn-CS"/>
        </w:rPr>
        <w:t>in situ</w:t>
      </w:r>
      <w:r w:rsidR="004B290C" w:rsidRPr="00AB15C7">
        <w:rPr>
          <w:rFonts w:ascii="Cambria" w:hAnsi="Cambria"/>
          <w:noProof/>
          <w:lang w:val="sr-Latn-CS"/>
        </w:rPr>
        <w:t xml:space="preserve"> sedimenta, procjena se vrši pozivajući se na zakonske okvire Evropske Unije i standarde za sedimente razvijenih zemalja (Kanada, Holandija, UK i druge), kao i poređenjem sa kvalitetom sedimenata u okruženju. </w:t>
      </w:r>
      <w:r w:rsidR="00205CED">
        <w:rPr>
          <w:rFonts w:ascii="Cambria" w:hAnsi="Cambria"/>
          <w:noProof/>
          <w:lang w:val="sr-Latn-CS"/>
        </w:rPr>
        <w:t>D</w:t>
      </w:r>
      <w:r w:rsidRPr="00AB15C7">
        <w:rPr>
          <w:rFonts w:ascii="Cambria" w:hAnsi="Cambria"/>
          <w:noProof/>
          <w:lang w:val="sr-Latn-CS"/>
        </w:rPr>
        <w:t>obijeni podaci o ovom segmentu životne sredine kreću u prihvatljivim okvirima i nisu alarmantni, ali svakako neophodno je preduzeti niz mjera za adekvatnije očuvanje i zaštitu morskog ekosistema.</w:t>
      </w:r>
    </w:p>
    <w:p w14:paraId="71ADEE06" w14:textId="77777777" w:rsidR="003B1193" w:rsidRPr="00AB15C7" w:rsidRDefault="003B1193" w:rsidP="00C450E6">
      <w:pPr>
        <w:numPr>
          <w:ilvl w:val="0"/>
          <w:numId w:val="3"/>
        </w:numPr>
        <w:spacing w:before="240" w:after="0" w:line="360" w:lineRule="auto"/>
        <w:jc w:val="both"/>
        <w:rPr>
          <w:rFonts w:ascii="Cambria" w:hAnsi="Cambria"/>
          <w:b/>
          <w:noProof/>
          <w:lang w:val="sr-Latn-CS"/>
        </w:rPr>
      </w:pPr>
      <w:r w:rsidRPr="00AB15C7">
        <w:rPr>
          <w:rFonts w:ascii="Cambria" w:hAnsi="Cambria"/>
          <w:b/>
          <w:noProof/>
          <w:lang w:val="sr-Latn-CS"/>
        </w:rPr>
        <w:t>Zemljište</w:t>
      </w:r>
    </w:p>
    <w:p w14:paraId="56B0D6B0" w14:textId="2F5BEC83" w:rsidR="003B1193" w:rsidRPr="00AB15C7" w:rsidRDefault="00FB6E49" w:rsidP="005921EF">
      <w:pPr>
        <w:jc w:val="both"/>
        <w:rPr>
          <w:rFonts w:ascii="Cambria" w:hAnsi="Cambria"/>
          <w:noProof/>
          <w:lang w:val="sr-Latn-CS"/>
        </w:rPr>
      </w:pPr>
      <w:r w:rsidRPr="00AB15C7">
        <w:rPr>
          <w:rFonts w:ascii="Cambria" w:hAnsi="Cambria"/>
          <w:noProof/>
          <w:lang w:val="sr-Latn-CS"/>
        </w:rPr>
        <w:t>Sprovođenje monitoringa, tj. kontinuirano praćenje stanja promjena u zemljištu, poljoprivrednom i nepoljoprivrednom, jedna je od najznačajnijih mjera zaštite i očuvanja zemljišta, kao jednog od najvažnijih prirodnih resursa.</w:t>
      </w:r>
      <w:r w:rsidR="007750E9">
        <w:rPr>
          <w:rFonts w:ascii="Cambria" w:hAnsi="Cambria"/>
          <w:noProof/>
          <w:lang w:val="sr-Latn-CS"/>
        </w:rPr>
        <w:t xml:space="preserve"> </w:t>
      </w:r>
      <w:r w:rsidR="003B1193" w:rsidRPr="00AB15C7">
        <w:rPr>
          <w:rFonts w:ascii="Cambria" w:hAnsi="Cambria"/>
          <w:noProof/>
          <w:lang w:val="sr-Latn-CS"/>
        </w:rPr>
        <w:t xml:space="preserve">U cilju određivanja kvaliteta zemljišta, odnosno utvrđivanja sadržaja opasnih i štetnih materija u zemljištu u toku 2016. godine, izvršeno je uzorkovanje i analiza zemljišta u 10 gradskih naselja u Crnoj Gori, od toga na dječijim igralištima u 4 opštine. </w:t>
      </w:r>
      <w:r w:rsidR="007750E9">
        <w:rPr>
          <w:rFonts w:ascii="Cambria" w:hAnsi="Cambria"/>
          <w:noProof/>
          <w:lang w:val="sr-Latn-CS"/>
        </w:rPr>
        <w:t xml:space="preserve"> </w:t>
      </w:r>
      <w:r w:rsidR="003B1193" w:rsidRPr="00AB15C7">
        <w:rPr>
          <w:rFonts w:ascii="Cambria" w:hAnsi="Cambria"/>
          <w:noProof/>
          <w:lang w:val="sr-Latn-CS"/>
        </w:rPr>
        <w:t>Rezultati ispitivanja su upoređivani sa maksimalno dozvoljenim koncentr</w:t>
      </w:r>
      <w:r w:rsidR="0079777C" w:rsidRPr="00AB15C7">
        <w:rPr>
          <w:rFonts w:ascii="Cambria" w:hAnsi="Cambria"/>
          <w:noProof/>
          <w:lang w:val="sr-Latn-CS"/>
        </w:rPr>
        <w:t>a</w:t>
      </w:r>
      <w:r w:rsidR="003B1193" w:rsidRPr="00AB15C7">
        <w:rPr>
          <w:rFonts w:ascii="Cambria" w:hAnsi="Cambria"/>
          <w:noProof/>
          <w:lang w:val="sr-Latn-CS"/>
        </w:rPr>
        <w:t>cijama (u daljem tekstu: MDK) normiranim Pravilnikom o dozvoljenim količinama opasnih i štetnih materija u zemljištu i metodama za njihovo ispitivanje („Sl. list RCG“, br. 18/97)</w:t>
      </w:r>
      <w:r w:rsidRPr="00AB15C7">
        <w:rPr>
          <w:rFonts w:ascii="Cambria" w:hAnsi="Cambria"/>
          <w:noProof/>
          <w:lang w:val="sr-Latn-CS"/>
        </w:rPr>
        <w:t>.</w:t>
      </w:r>
    </w:p>
    <w:p w14:paraId="5928F66D" w14:textId="77777777" w:rsidR="003B1193" w:rsidRPr="00AB15C7" w:rsidRDefault="003B1193" w:rsidP="005921EF">
      <w:pPr>
        <w:jc w:val="both"/>
        <w:rPr>
          <w:rFonts w:ascii="Cambria" w:hAnsi="Cambria"/>
          <w:noProof/>
          <w:lang w:val="sr-Latn-CS"/>
        </w:rPr>
      </w:pPr>
      <w:r w:rsidRPr="00AB15C7">
        <w:rPr>
          <w:rFonts w:ascii="Cambria" w:hAnsi="Cambria"/>
          <w:noProof/>
          <w:lang w:val="sr-Latn-CS"/>
        </w:rPr>
        <w:t>Rezultati ispitivanja uzoraka zemljišta iz Programom ispitivanja štetnih materija u zemljištu Crne Gore u 2016. godini utvrđenim lokacijama pokazuju zadovoljavajuće rezultate kad je u pitanju sadržaj</w:t>
      </w:r>
      <w:r w:rsidR="00FB6E49" w:rsidRPr="00AB15C7">
        <w:rPr>
          <w:rFonts w:ascii="Cambria" w:hAnsi="Cambria"/>
          <w:noProof/>
          <w:lang w:val="sr-Latn-CS"/>
        </w:rPr>
        <w:t xml:space="preserve"> </w:t>
      </w:r>
      <w:r w:rsidRPr="00AB15C7">
        <w:rPr>
          <w:rFonts w:ascii="Cambria" w:hAnsi="Cambria"/>
          <w:noProof/>
          <w:lang w:val="sr-Latn-CS"/>
        </w:rPr>
        <w:t>opasnih i štetnih materija,</w:t>
      </w:r>
      <w:r w:rsidR="00FB6E49" w:rsidRPr="00AB15C7">
        <w:rPr>
          <w:rFonts w:ascii="Cambria" w:hAnsi="Cambria"/>
          <w:noProof/>
          <w:lang w:val="sr-Latn-CS"/>
        </w:rPr>
        <w:t xml:space="preserve"> </w:t>
      </w:r>
      <w:r w:rsidRPr="00AB15C7">
        <w:rPr>
          <w:rFonts w:ascii="Cambria" w:hAnsi="Cambria"/>
          <w:noProof/>
          <w:lang w:val="sr-Latn-CS"/>
        </w:rPr>
        <w:t xml:space="preserve">toksičnih i kancerogenih materija, </w:t>
      </w:r>
      <w:r w:rsidR="00FB6E49" w:rsidRPr="00AB15C7">
        <w:rPr>
          <w:rFonts w:ascii="Cambria" w:hAnsi="Cambria"/>
          <w:noProof/>
          <w:lang w:val="sr-Latn-CS"/>
        </w:rPr>
        <w:t>kao i</w:t>
      </w:r>
      <w:r w:rsidR="0069029D" w:rsidRPr="00AB15C7">
        <w:rPr>
          <w:rFonts w:ascii="Cambria" w:hAnsi="Cambria"/>
          <w:noProof/>
          <w:lang w:val="sr-Latn-CS"/>
        </w:rPr>
        <w:t xml:space="preserve"> </w:t>
      </w:r>
      <w:r w:rsidRPr="00AB15C7">
        <w:rPr>
          <w:rFonts w:ascii="Cambria" w:hAnsi="Cambria"/>
          <w:noProof/>
          <w:lang w:val="sr-Latn-CS"/>
        </w:rPr>
        <w:t>dioksina i furana.</w:t>
      </w:r>
    </w:p>
    <w:p w14:paraId="15729117" w14:textId="77777777" w:rsidR="003B1193" w:rsidRPr="00AB15C7" w:rsidRDefault="003B1193" w:rsidP="005921EF">
      <w:pPr>
        <w:jc w:val="both"/>
        <w:rPr>
          <w:rFonts w:ascii="Cambria" w:hAnsi="Cambria"/>
          <w:noProof/>
          <w:lang w:val="sr-Latn-CS"/>
        </w:rPr>
      </w:pPr>
      <w:r w:rsidRPr="00AB15C7">
        <w:rPr>
          <w:rFonts w:ascii="Cambria" w:hAnsi="Cambria"/>
          <w:noProof/>
          <w:lang w:val="sr-Latn-CS"/>
        </w:rPr>
        <w:t xml:space="preserve">Programom monitoringa obuhvaćeno je i ispitivanje 10 uzoraka zemljišta pored trafostanica u opštinama Berane, Pljevlja, Podgorica, Tivat i Ulcinj. U 2016. godini, prisustvo PCB kongenera u </w:t>
      </w:r>
      <w:r w:rsidRPr="00AB15C7">
        <w:rPr>
          <w:rFonts w:ascii="Cambria" w:hAnsi="Cambria"/>
          <w:noProof/>
          <w:lang w:val="sr-Latn-CS"/>
        </w:rPr>
        <w:lastRenderedPageBreak/>
        <w:t>koncentraciji iznad MDK je utvrđeno samo u uzorku zemljišta uzorkovanom na lokaciji jedne od podgoričkih trafostanica (Tološi). U svim ostalim slučajevima, vrijednosti navedenih parametara ne prelaze Pravilnikom propisane koncentracije.</w:t>
      </w:r>
    </w:p>
    <w:p w14:paraId="6734E6D6" w14:textId="62C35AE6" w:rsidR="003B1193" w:rsidRDefault="003B1193" w:rsidP="005921EF">
      <w:pPr>
        <w:jc w:val="both"/>
        <w:rPr>
          <w:rFonts w:ascii="Cambria" w:hAnsi="Cambria"/>
          <w:noProof/>
          <w:lang w:val="sr-Latn-CS"/>
        </w:rPr>
      </w:pPr>
      <w:r w:rsidRPr="00AB15C7">
        <w:rPr>
          <w:rFonts w:ascii="Cambria" w:hAnsi="Cambria"/>
          <w:noProof/>
          <w:lang w:val="sr-Latn-CS"/>
        </w:rPr>
        <w:t>Prisustvo dioksina i furana analizirano je u 19 uzoraka zemljišta. U nedostatku odgovarajućeg nacionalnog zakonskog okvira kojim se definišu dozvoljene vrijednosti ovih polutanata u različitim tipovima zemljišta, dobijeni rezultati su poređeni sa vrijednostima propisanim EU regulativom</w:t>
      </w:r>
      <w:r w:rsidR="0069029D" w:rsidRPr="00AB15C7">
        <w:rPr>
          <w:rFonts w:ascii="Cambria" w:hAnsi="Cambria"/>
          <w:noProof/>
          <w:lang w:val="sr-Latn-CS"/>
        </w:rPr>
        <w:t>.</w:t>
      </w:r>
      <w:r w:rsidRPr="00AB15C7">
        <w:rPr>
          <w:rFonts w:ascii="Cambria" w:hAnsi="Cambria"/>
          <w:noProof/>
          <w:lang w:val="sr-Latn-CS"/>
        </w:rPr>
        <w:t xml:space="preserve"> </w:t>
      </w:r>
      <w:r w:rsidR="0069029D" w:rsidRPr="00AB15C7">
        <w:rPr>
          <w:rFonts w:ascii="Cambria" w:hAnsi="Cambria"/>
          <w:noProof/>
          <w:lang w:val="sr-Latn-CS"/>
        </w:rPr>
        <w:t xml:space="preserve">Svaki </w:t>
      </w:r>
      <w:r w:rsidRPr="00AB15C7">
        <w:rPr>
          <w:rFonts w:ascii="Cambria" w:hAnsi="Cambria"/>
          <w:noProof/>
          <w:lang w:val="sr-Latn-CS"/>
        </w:rPr>
        <w:t>od ispitivanih uzoraka zemljišta po sadržaju dioksina/furana je bezbjedan sa stanovišta korišćenja istog kao zemljište za rekreativne svrhe, stambeno zemljište, sportske terene, igrališta, poljoprivredno zemljište.</w:t>
      </w:r>
    </w:p>
    <w:p w14:paraId="5750C7EB" w14:textId="77777777" w:rsidR="007A2421" w:rsidRDefault="00BD5926" w:rsidP="00205CED">
      <w:pPr>
        <w:pStyle w:val="Heading2"/>
        <w:spacing w:line="480" w:lineRule="auto"/>
        <w:rPr>
          <w:noProof/>
          <w:sz w:val="22"/>
          <w:szCs w:val="22"/>
          <w:lang w:val="en-US"/>
        </w:rPr>
      </w:pPr>
      <w:bookmarkStart w:id="41" w:name="_Toc527353184"/>
      <w:r w:rsidRPr="00AB15C7">
        <w:rPr>
          <w:noProof/>
          <w:sz w:val="22"/>
          <w:szCs w:val="22"/>
          <w:lang w:val="en-US"/>
        </w:rPr>
        <w:t>2</w:t>
      </w:r>
      <w:r w:rsidR="00B12A23" w:rsidRPr="00AB15C7">
        <w:rPr>
          <w:noProof/>
          <w:sz w:val="22"/>
          <w:szCs w:val="22"/>
          <w:lang w:val="en-US"/>
        </w:rPr>
        <w:t>.2</w:t>
      </w:r>
      <w:r w:rsidRPr="00AB15C7">
        <w:rPr>
          <w:noProof/>
          <w:sz w:val="22"/>
          <w:szCs w:val="22"/>
          <w:lang w:val="en-US"/>
        </w:rPr>
        <w:t xml:space="preserve">.5.2. </w:t>
      </w:r>
      <w:r w:rsidR="003A594F" w:rsidRPr="00AB15C7">
        <w:rPr>
          <w:noProof/>
          <w:sz w:val="22"/>
          <w:szCs w:val="22"/>
          <w:lang w:val="en-US"/>
        </w:rPr>
        <w:t xml:space="preserve">Monitoring </w:t>
      </w:r>
      <w:r w:rsidRPr="00AB15C7">
        <w:rPr>
          <w:noProof/>
          <w:sz w:val="22"/>
          <w:szCs w:val="22"/>
          <w:lang w:val="en-US"/>
        </w:rPr>
        <w:t xml:space="preserve">u uzorcima </w:t>
      </w:r>
      <w:r w:rsidR="003468A9" w:rsidRPr="00AB15C7">
        <w:rPr>
          <w:noProof/>
          <w:sz w:val="22"/>
          <w:szCs w:val="22"/>
          <w:lang w:val="en-US"/>
        </w:rPr>
        <w:t>hrane</w:t>
      </w:r>
      <w:r w:rsidR="003A594F" w:rsidRPr="00AB15C7">
        <w:rPr>
          <w:noProof/>
          <w:sz w:val="22"/>
          <w:szCs w:val="22"/>
          <w:lang w:val="en-US"/>
        </w:rPr>
        <w:t>,</w:t>
      </w:r>
      <w:r w:rsidRPr="00AB15C7">
        <w:rPr>
          <w:noProof/>
          <w:sz w:val="22"/>
          <w:szCs w:val="22"/>
          <w:lang w:val="en-US"/>
        </w:rPr>
        <w:t xml:space="preserve"> predmeta opšte upotrebe</w:t>
      </w:r>
      <w:r w:rsidR="003A594F" w:rsidRPr="00AB15C7">
        <w:rPr>
          <w:noProof/>
          <w:sz w:val="22"/>
          <w:szCs w:val="22"/>
          <w:lang w:val="en-US"/>
        </w:rPr>
        <w:t xml:space="preserve"> i vodi za piće</w:t>
      </w:r>
      <w:bookmarkEnd w:id="41"/>
    </w:p>
    <w:p w14:paraId="511267E6" w14:textId="77777777" w:rsidR="00BD5926" w:rsidRPr="00AB15C7" w:rsidRDefault="00BD5926" w:rsidP="005921EF">
      <w:pPr>
        <w:pStyle w:val="Default"/>
        <w:spacing w:line="276" w:lineRule="auto"/>
        <w:jc w:val="both"/>
        <w:rPr>
          <w:rFonts w:ascii="Cambria" w:hAnsi="Cambria"/>
          <w:noProof/>
          <w:sz w:val="22"/>
          <w:szCs w:val="22"/>
          <w:lang w:val="sr-Latn-ME"/>
        </w:rPr>
      </w:pPr>
      <w:r w:rsidRPr="00AB15C7">
        <w:rPr>
          <w:rFonts w:ascii="Cambria" w:hAnsi="Cambria"/>
          <w:noProof/>
          <w:sz w:val="22"/>
          <w:szCs w:val="22"/>
          <w:lang w:val="sr-Latn-ME"/>
        </w:rPr>
        <w:t>Faktori iz životne sredine u značajnoj mjeri direktno ili indirektno, utiču na zdravlje stanovništva. Od svih faktora koji imaju uticaja na zdravlje preko 50% su faktori iz okruženja</w:t>
      </w:r>
      <w:r w:rsidR="00B573C6" w:rsidRPr="00AB15C7">
        <w:rPr>
          <w:rFonts w:ascii="Cambria" w:hAnsi="Cambria"/>
          <w:noProof/>
          <w:sz w:val="22"/>
          <w:szCs w:val="22"/>
          <w:lang w:val="sr-Latn-ME"/>
        </w:rPr>
        <w:t xml:space="preserve">, </w:t>
      </w:r>
      <w:r w:rsidRPr="00AB15C7">
        <w:rPr>
          <w:rFonts w:ascii="Cambria" w:hAnsi="Cambria"/>
          <w:noProof/>
          <w:sz w:val="22"/>
          <w:szCs w:val="22"/>
          <w:lang w:val="sr-Latn-ME"/>
        </w:rPr>
        <w:t>odnosno životne sredine.</w:t>
      </w:r>
    </w:p>
    <w:p w14:paraId="4A28C11D" w14:textId="77777777" w:rsidR="007A2421" w:rsidRPr="00AB15C7" w:rsidRDefault="00BD5926" w:rsidP="005921EF">
      <w:pPr>
        <w:pStyle w:val="Default"/>
        <w:spacing w:line="276" w:lineRule="auto"/>
        <w:jc w:val="both"/>
        <w:rPr>
          <w:rFonts w:ascii="Cambria" w:hAnsi="Cambria"/>
          <w:noProof/>
          <w:sz w:val="22"/>
          <w:szCs w:val="22"/>
          <w:lang w:val="sr-Latn-ME"/>
        </w:rPr>
      </w:pPr>
      <w:r w:rsidRPr="00AB15C7">
        <w:rPr>
          <w:rFonts w:ascii="Cambria" w:hAnsi="Cambria"/>
          <w:noProof/>
          <w:sz w:val="22"/>
          <w:szCs w:val="22"/>
          <w:lang w:val="sr-Latn-ME"/>
        </w:rPr>
        <w:t>U okviru statističkih istraživanja u oblasti zdravstva</w:t>
      </w:r>
      <w:r w:rsidR="00B573C6" w:rsidRPr="00AB15C7">
        <w:rPr>
          <w:rFonts w:ascii="Cambria" w:hAnsi="Cambria"/>
          <w:noProof/>
          <w:sz w:val="22"/>
          <w:szCs w:val="22"/>
          <w:lang w:val="sr-Latn-ME"/>
        </w:rPr>
        <w:t xml:space="preserve"> </w:t>
      </w:r>
      <w:r w:rsidRPr="00AB15C7">
        <w:rPr>
          <w:rFonts w:ascii="Cambria" w:hAnsi="Cambria"/>
          <w:noProof/>
          <w:sz w:val="22"/>
          <w:szCs w:val="22"/>
          <w:lang w:val="sr-Latn-ME"/>
        </w:rPr>
        <w:t xml:space="preserve">koji </w:t>
      </w:r>
      <w:r w:rsidR="00B573C6" w:rsidRPr="00AB15C7">
        <w:rPr>
          <w:rFonts w:ascii="Cambria" w:hAnsi="Cambria"/>
          <w:noProof/>
          <w:sz w:val="22"/>
          <w:szCs w:val="22"/>
          <w:lang w:val="sr-Latn-ME"/>
        </w:rPr>
        <w:t>s</w:t>
      </w:r>
      <w:r w:rsidR="0069029D" w:rsidRPr="00AB15C7">
        <w:rPr>
          <w:rFonts w:ascii="Cambria" w:hAnsi="Cambria"/>
          <w:noProof/>
          <w:sz w:val="22"/>
          <w:szCs w:val="22"/>
          <w:lang w:val="sr-Latn-ME"/>
        </w:rPr>
        <w:t>e</w:t>
      </w:r>
      <w:r w:rsidRPr="00AB15C7">
        <w:rPr>
          <w:rFonts w:ascii="Cambria" w:hAnsi="Cambria"/>
          <w:noProof/>
          <w:sz w:val="22"/>
          <w:szCs w:val="22"/>
          <w:lang w:val="sr-Latn-ME"/>
        </w:rPr>
        <w:t xml:space="preserve"> </w:t>
      </w:r>
      <w:r w:rsidR="00B573C6" w:rsidRPr="00AB15C7">
        <w:rPr>
          <w:rFonts w:ascii="Cambria" w:hAnsi="Cambria"/>
          <w:noProof/>
          <w:sz w:val="22"/>
          <w:szCs w:val="22"/>
          <w:lang w:val="sr-Latn-ME"/>
        </w:rPr>
        <w:t xml:space="preserve">objavljuju u okviru Statističkog godišnjaka o </w:t>
      </w:r>
      <w:r w:rsidR="00B573C6" w:rsidRPr="00AB15C7">
        <w:rPr>
          <w:rFonts w:ascii="Cambria" w:hAnsi="Cambria"/>
          <w:bCs/>
          <w:iCs/>
          <w:noProof/>
          <w:sz w:val="22"/>
          <w:szCs w:val="22"/>
        </w:rPr>
        <w:t>zdravlju stanovništva i zdravstvenoj zaštiti u Crnoj Gori, za 2015 godinu</w:t>
      </w:r>
      <w:r w:rsidRPr="00AB15C7">
        <w:rPr>
          <w:rFonts w:ascii="Cambria" w:hAnsi="Cambria"/>
          <w:noProof/>
          <w:sz w:val="22"/>
          <w:szCs w:val="22"/>
          <w:lang w:val="sr-Latn-ME"/>
        </w:rPr>
        <w:t xml:space="preserve">, </w:t>
      </w:r>
      <w:r w:rsidR="00B573C6" w:rsidRPr="00AB15C7">
        <w:rPr>
          <w:rFonts w:ascii="Cambria" w:hAnsi="Cambria"/>
          <w:noProof/>
          <w:sz w:val="22"/>
          <w:szCs w:val="22"/>
          <w:lang w:val="sr-Latn-ME"/>
        </w:rPr>
        <w:t xml:space="preserve">između ostalog, </w:t>
      </w:r>
      <w:r w:rsidRPr="00AB15C7">
        <w:rPr>
          <w:rFonts w:ascii="Cambria" w:hAnsi="Cambria"/>
          <w:noProof/>
          <w:sz w:val="22"/>
          <w:szCs w:val="22"/>
          <w:lang w:val="sr-Latn-ME"/>
        </w:rPr>
        <w:t xml:space="preserve">prikazani su </w:t>
      </w:r>
      <w:r w:rsidR="00B573C6" w:rsidRPr="00AB15C7">
        <w:rPr>
          <w:rFonts w:ascii="Cambria" w:hAnsi="Cambria"/>
          <w:noProof/>
          <w:sz w:val="22"/>
          <w:szCs w:val="22"/>
          <w:lang w:val="sr-Latn-ME"/>
        </w:rPr>
        <w:t xml:space="preserve">i </w:t>
      </w:r>
      <w:r w:rsidRPr="00AB15C7">
        <w:rPr>
          <w:rFonts w:ascii="Cambria" w:hAnsi="Cambria"/>
          <w:noProof/>
          <w:sz w:val="22"/>
          <w:szCs w:val="22"/>
          <w:lang w:val="sr-Latn-ME"/>
        </w:rPr>
        <w:t xml:space="preserve">podaci o bezbjednosti </w:t>
      </w:r>
      <w:r w:rsidR="00CA3593" w:rsidRPr="00AB15C7">
        <w:rPr>
          <w:rFonts w:ascii="Cambria" w:hAnsi="Cambria"/>
          <w:noProof/>
          <w:sz w:val="22"/>
          <w:szCs w:val="22"/>
          <w:lang w:val="sr-Latn-ME"/>
        </w:rPr>
        <w:t>hrane</w:t>
      </w:r>
      <w:r w:rsidRPr="00AB15C7">
        <w:rPr>
          <w:rFonts w:ascii="Cambria" w:hAnsi="Cambria"/>
          <w:noProof/>
          <w:sz w:val="22"/>
          <w:szCs w:val="22"/>
          <w:lang w:val="sr-Latn-ME"/>
        </w:rPr>
        <w:t xml:space="preserve"> i</w:t>
      </w:r>
      <w:r w:rsidR="00B573C6" w:rsidRPr="00AB15C7">
        <w:rPr>
          <w:rFonts w:ascii="Cambria" w:hAnsi="Cambria"/>
          <w:noProof/>
          <w:sz w:val="22"/>
          <w:szCs w:val="22"/>
          <w:lang w:val="sr-Latn-ME"/>
        </w:rPr>
        <w:t xml:space="preserve"> </w:t>
      </w:r>
      <w:r w:rsidRPr="00AB15C7">
        <w:rPr>
          <w:rFonts w:ascii="Cambria" w:hAnsi="Cambria"/>
          <w:noProof/>
          <w:sz w:val="22"/>
          <w:szCs w:val="22"/>
          <w:lang w:val="sr-Latn-ME"/>
        </w:rPr>
        <w:t>zdravstvenoj ispravnosti predmeta opšte upotrebe</w:t>
      </w:r>
      <w:r w:rsidR="00CA3593" w:rsidRPr="00AB15C7">
        <w:rPr>
          <w:rFonts w:ascii="Cambria" w:hAnsi="Cambria"/>
          <w:noProof/>
          <w:sz w:val="22"/>
          <w:szCs w:val="22"/>
          <w:lang w:val="sr-Latn-ME"/>
        </w:rPr>
        <w:t xml:space="preserve"> (uključujući kozmetiku, igračke, </w:t>
      </w:r>
      <w:r w:rsidR="00561436" w:rsidRPr="00AB15C7">
        <w:rPr>
          <w:rFonts w:ascii="Cambria" w:hAnsi="Cambria"/>
          <w:noProof/>
          <w:sz w:val="22"/>
          <w:szCs w:val="22"/>
          <w:lang w:val="sr-Latn-ME"/>
        </w:rPr>
        <w:t xml:space="preserve">sredstava za čišćenje i sl.) </w:t>
      </w:r>
      <w:r w:rsidRPr="00AB15C7">
        <w:rPr>
          <w:rFonts w:ascii="Cambria" w:hAnsi="Cambria"/>
          <w:noProof/>
          <w:sz w:val="22"/>
          <w:szCs w:val="22"/>
          <w:lang w:val="sr-Latn-ME"/>
        </w:rPr>
        <w:t xml:space="preserve"> kao i podaci</w:t>
      </w:r>
      <w:r w:rsidR="00B573C6" w:rsidRPr="00AB15C7">
        <w:rPr>
          <w:rFonts w:ascii="Cambria" w:hAnsi="Cambria"/>
          <w:noProof/>
          <w:sz w:val="22"/>
          <w:szCs w:val="22"/>
          <w:lang w:val="sr-Latn-ME"/>
        </w:rPr>
        <w:t xml:space="preserve"> </w:t>
      </w:r>
      <w:r w:rsidRPr="00AB15C7">
        <w:rPr>
          <w:rFonts w:ascii="Cambria" w:hAnsi="Cambria"/>
          <w:noProof/>
          <w:sz w:val="22"/>
          <w:szCs w:val="22"/>
          <w:lang w:val="sr-Latn-ME"/>
        </w:rPr>
        <w:t>o higijenskoj ispravnosti vode za piće sa gradskih vodovoda u</w:t>
      </w:r>
      <w:r w:rsidR="00B573C6" w:rsidRPr="00AB15C7">
        <w:rPr>
          <w:rFonts w:ascii="Cambria" w:hAnsi="Cambria"/>
          <w:noProof/>
          <w:sz w:val="22"/>
          <w:szCs w:val="22"/>
          <w:lang w:val="sr-Latn-ME"/>
        </w:rPr>
        <w:t xml:space="preserve"> </w:t>
      </w:r>
      <w:r w:rsidRPr="00AB15C7">
        <w:rPr>
          <w:rFonts w:ascii="Cambria" w:hAnsi="Cambria"/>
          <w:noProof/>
          <w:sz w:val="22"/>
          <w:szCs w:val="22"/>
          <w:lang w:val="sr-Latn-ME"/>
        </w:rPr>
        <w:t>Crnoj Gori.</w:t>
      </w:r>
    </w:p>
    <w:p w14:paraId="18855838" w14:textId="77777777" w:rsidR="007A2421" w:rsidRPr="00AB15C7" w:rsidRDefault="007A2421" w:rsidP="005921EF">
      <w:pPr>
        <w:pStyle w:val="Default"/>
        <w:spacing w:line="276" w:lineRule="auto"/>
        <w:jc w:val="both"/>
        <w:rPr>
          <w:rFonts w:ascii="Cambria" w:hAnsi="Cambria"/>
          <w:noProof/>
          <w:sz w:val="22"/>
          <w:szCs w:val="22"/>
          <w:lang w:val="sr-Latn-ME"/>
        </w:rPr>
      </w:pPr>
    </w:p>
    <w:p w14:paraId="4E961849" w14:textId="77777777" w:rsidR="007A2421" w:rsidRPr="00205CED" w:rsidRDefault="00205CED" w:rsidP="00557C13">
      <w:pPr>
        <w:pStyle w:val="Default"/>
        <w:numPr>
          <w:ilvl w:val="0"/>
          <w:numId w:val="28"/>
        </w:numPr>
        <w:spacing w:line="360" w:lineRule="auto"/>
        <w:jc w:val="both"/>
        <w:rPr>
          <w:rFonts w:ascii="Cambria" w:hAnsi="Cambria"/>
          <w:b/>
          <w:noProof/>
          <w:sz w:val="22"/>
          <w:szCs w:val="22"/>
          <w:lang w:val="sr-Latn-ME"/>
        </w:rPr>
      </w:pPr>
      <w:r w:rsidRPr="00205CED">
        <w:rPr>
          <w:rFonts w:ascii="Cambria" w:hAnsi="Cambria"/>
          <w:b/>
          <w:noProof/>
          <w:sz w:val="22"/>
          <w:szCs w:val="22"/>
          <w:lang w:val="sr-Latn-ME"/>
        </w:rPr>
        <w:t>Bezbjednost hrane i predmeta opšte upotrebe</w:t>
      </w:r>
    </w:p>
    <w:p w14:paraId="723D01C3" w14:textId="4A845A7A" w:rsidR="00F654B6" w:rsidRPr="00AB15C7" w:rsidRDefault="00B573C6" w:rsidP="005921EF">
      <w:pPr>
        <w:pStyle w:val="Default"/>
        <w:spacing w:line="276" w:lineRule="auto"/>
        <w:jc w:val="both"/>
        <w:rPr>
          <w:rFonts w:ascii="Cambria" w:hAnsi="Cambria"/>
          <w:noProof/>
          <w:sz w:val="22"/>
          <w:szCs w:val="22"/>
        </w:rPr>
      </w:pPr>
      <w:r w:rsidRPr="00AB15C7">
        <w:rPr>
          <w:rFonts w:ascii="Cambria" w:hAnsi="Cambria"/>
          <w:noProof/>
          <w:sz w:val="22"/>
          <w:szCs w:val="22"/>
          <w:lang w:val="sr-Latn-ME"/>
        </w:rPr>
        <w:t>Rezultati prezentirani u Godišnjaku za 2015., odnose se na ispitivanja zdravstvene bezbjednosti namirnica</w:t>
      </w:r>
      <w:r w:rsidR="004B290C" w:rsidRPr="00AB15C7">
        <w:rPr>
          <w:rFonts w:ascii="Cambria" w:hAnsi="Cambria"/>
          <w:noProof/>
          <w:sz w:val="22"/>
          <w:szCs w:val="22"/>
          <w:lang w:val="sr-Latn-ME"/>
        </w:rPr>
        <w:t xml:space="preserve"> (tj. hrane)</w:t>
      </w:r>
      <w:r w:rsidRPr="00AB15C7">
        <w:rPr>
          <w:rFonts w:ascii="Cambria" w:hAnsi="Cambria"/>
          <w:noProof/>
          <w:sz w:val="22"/>
          <w:szCs w:val="22"/>
          <w:lang w:val="sr-Latn-ME"/>
        </w:rPr>
        <w:t xml:space="preserve"> i predmeta opšte upotrebe koja su vršena u: Institutu za javno zdravlje Crne Gore, JZU Dom zdravlja Bar, JU Centar za ekotoksikološka istraživanja i u Odjeljenju za ispitivanje hrane životinjskog porijekla Specijalističke veterinarske laboratoratorije. U toku 2015. godine ukupno je analizirano 10664 uzoraka</w:t>
      </w:r>
      <w:r w:rsidR="007750E9">
        <w:rPr>
          <w:rFonts w:ascii="Cambria" w:hAnsi="Cambria"/>
          <w:noProof/>
          <w:sz w:val="22"/>
          <w:szCs w:val="22"/>
          <w:lang w:val="sr-Latn-ME"/>
        </w:rPr>
        <w:t>,</w:t>
      </w:r>
      <w:r w:rsidRPr="00AB15C7">
        <w:rPr>
          <w:rFonts w:ascii="Cambria" w:hAnsi="Cambria"/>
          <w:noProof/>
          <w:sz w:val="22"/>
          <w:szCs w:val="22"/>
          <w:lang w:val="sr-Latn-ME"/>
        </w:rPr>
        <w:t xml:space="preserve"> od čega namirnica 9884, što čini 92,7% i 760 ili 7,3% uzoraka predmeta opšte upotrebe.</w:t>
      </w:r>
      <w:r w:rsidRPr="00AB15C7">
        <w:rPr>
          <w:rFonts w:ascii="Cambria" w:hAnsi="Cambria"/>
          <w:noProof/>
          <w:sz w:val="22"/>
          <w:szCs w:val="22"/>
        </w:rPr>
        <w:t xml:space="preserve"> </w:t>
      </w:r>
      <w:r w:rsidR="00F86760" w:rsidRPr="00AB15C7">
        <w:rPr>
          <w:rFonts w:ascii="Cambria" w:hAnsi="Cambria"/>
          <w:noProof/>
          <w:sz w:val="22"/>
          <w:szCs w:val="22"/>
          <w:lang w:val="sr-Latn-ME"/>
        </w:rPr>
        <w:t xml:space="preserve">Od analiziranih 9884 uzoraka </w:t>
      </w:r>
      <w:r w:rsidR="00561436" w:rsidRPr="00AB15C7">
        <w:rPr>
          <w:rFonts w:ascii="Cambria" w:hAnsi="Cambria"/>
          <w:noProof/>
          <w:sz w:val="22"/>
          <w:szCs w:val="22"/>
          <w:lang w:val="sr-Latn-ME"/>
        </w:rPr>
        <w:t>hrane</w:t>
      </w:r>
      <w:r w:rsidR="00F86760" w:rsidRPr="00AB15C7">
        <w:rPr>
          <w:rFonts w:ascii="Cambria" w:hAnsi="Cambria"/>
          <w:noProof/>
          <w:sz w:val="22"/>
          <w:szCs w:val="22"/>
          <w:lang w:val="sr-Latn-ME"/>
        </w:rPr>
        <w:t>, neispravnih je bilo ukupno 1034 ili 10,46%</w:t>
      </w:r>
      <w:r w:rsidR="00DF3C85" w:rsidRPr="00AB15C7">
        <w:rPr>
          <w:rFonts w:ascii="Cambria" w:hAnsi="Cambria"/>
          <w:noProof/>
          <w:sz w:val="22"/>
          <w:szCs w:val="22"/>
          <w:lang w:val="sr-Latn-ME"/>
        </w:rPr>
        <w:t>, a neispravnosti su se uglavnom odnosile na mikrobiološke parametre</w:t>
      </w:r>
      <w:r w:rsidR="00F86760" w:rsidRPr="00AB15C7">
        <w:rPr>
          <w:rFonts w:ascii="Cambria" w:hAnsi="Cambria"/>
          <w:noProof/>
          <w:sz w:val="22"/>
          <w:szCs w:val="22"/>
          <w:lang w:val="sr-Latn-ME"/>
        </w:rPr>
        <w:t>. Kod predmeta opšte upotrebe od ukupno analiziranih 760 uzorka, neispravnih je bilo 5 ili 0.6%</w:t>
      </w:r>
      <w:r w:rsidR="00DF3C85" w:rsidRPr="00AB15C7">
        <w:rPr>
          <w:rFonts w:ascii="Cambria" w:hAnsi="Cambria"/>
          <w:noProof/>
          <w:sz w:val="22"/>
          <w:szCs w:val="22"/>
          <w:lang w:val="sr-Latn-ME"/>
        </w:rPr>
        <w:t xml:space="preserve"> a sve neispravnosti su se odnosile na </w:t>
      </w:r>
      <w:r w:rsidR="00DF3C85" w:rsidRPr="00AB15C7">
        <w:rPr>
          <w:rFonts w:ascii="Cambria" w:hAnsi="Cambria"/>
          <w:noProof/>
          <w:sz w:val="22"/>
          <w:szCs w:val="22"/>
        </w:rPr>
        <w:t xml:space="preserve"> parametre fizičko-hemijske ispravnosti i to promjenjene senzorne karakteristike</w:t>
      </w:r>
      <w:r w:rsidR="00F654B6" w:rsidRPr="00AB15C7">
        <w:rPr>
          <w:rFonts w:ascii="Cambria" w:hAnsi="Cambria"/>
          <w:noProof/>
          <w:sz w:val="22"/>
          <w:szCs w:val="22"/>
        </w:rPr>
        <w:t>, neodgovarajući sastav ili nepravilna deklaracija.</w:t>
      </w:r>
    </w:p>
    <w:p w14:paraId="36532EC7" w14:textId="77777777" w:rsidR="00C450E6" w:rsidRPr="00AB15C7" w:rsidRDefault="00C450E6" w:rsidP="005921EF">
      <w:pPr>
        <w:pStyle w:val="Default"/>
        <w:spacing w:line="276" w:lineRule="auto"/>
        <w:jc w:val="both"/>
        <w:rPr>
          <w:rFonts w:ascii="Cambria" w:hAnsi="Cambria"/>
          <w:noProof/>
          <w:sz w:val="22"/>
          <w:szCs w:val="22"/>
        </w:rPr>
      </w:pPr>
    </w:p>
    <w:p w14:paraId="3036655B" w14:textId="77777777" w:rsidR="00F86760" w:rsidRPr="00205CED" w:rsidRDefault="00E23B2F" w:rsidP="00557C13">
      <w:pPr>
        <w:pStyle w:val="Default"/>
        <w:numPr>
          <w:ilvl w:val="0"/>
          <w:numId w:val="28"/>
        </w:numPr>
        <w:spacing w:line="360" w:lineRule="auto"/>
        <w:jc w:val="both"/>
        <w:rPr>
          <w:rFonts w:ascii="Cambria" w:hAnsi="Cambria"/>
          <w:b/>
          <w:noProof/>
          <w:sz w:val="22"/>
          <w:szCs w:val="22"/>
        </w:rPr>
      </w:pPr>
      <w:r w:rsidRPr="00AB15C7">
        <w:rPr>
          <w:rFonts w:ascii="Cambria" w:hAnsi="Cambria"/>
          <w:b/>
          <w:noProof/>
          <w:sz w:val="22"/>
          <w:szCs w:val="22"/>
          <w:lang w:val="sr-Latn-ME"/>
        </w:rPr>
        <w:t>I</w:t>
      </w:r>
      <w:r w:rsidR="00F86760" w:rsidRPr="00AB15C7">
        <w:rPr>
          <w:rFonts w:ascii="Cambria" w:hAnsi="Cambria"/>
          <w:b/>
          <w:noProof/>
          <w:sz w:val="22"/>
          <w:szCs w:val="22"/>
          <w:lang w:val="sr-Latn-ME"/>
        </w:rPr>
        <w:t xml:space="preserve">spravnost vode za piće </w:t>
      </w:r>
    </w:p>
    <w:p w14:paraId="3E2C7CDE" w14:textId="519970BD" w:rsidR="00F86760" w:rsidRPr="00AB15C7" w:rsidRDefault="00F86760" w:rsidP="00360F0F">
      <w:pPr>
        <w:pStyle w:val="Default"/>
        <w:spacing w:line="276" w:lineRule="auto"/>
        <w:jc w:val="both"/>
        <w:rPr>
          <w:rFonts w:ascii="Cambria" w:hAnsi="Cambria"/>
          <w:noProof/>
          <w:sz w:val="22"/>
          <w:szCs w:val="22"/>
          <w:lang w:val="sr-Latn-ME"/>
        </w:rPr>
      </w:pPr>
      <w:r w:rsidRPr="00AB15C7">
        <w:rPr>
          <w:rFonts w:ascii="Cambria" w:hAnsi="Cambria"/>
          <w:noProof/>
          <w:sz w:val="22"/>
          <w:szCs w:val="22"/>
          <w:lang w:val="sr-Latn-ME"/>
        </w:rPr>
        <w:t xml:space="preserve">U 2015. godini ispitano 11591 uzoraka vode za piće </w:t>
      </w:r>
      <w:r w:rsidR="00E23B2F" w:rsidRPr="00AB15C7">
        <w:rPr>
          <w:rFonts w:ascii="Cambria" w:hAnsi="Cambria"/>
          <w:noProof/>
          <w:sz w:val="22"/>
          <w:szCs w:val="22"/>
          <w:lang w:val="sr-Latn-ME"/>
        </w:rPr>
        <w:t xml:space="preserve">na higijensku ispravnost </w:t>
      </w:r>
      <w:r w:rsidRPr="00AB15C7">
        <w:rPr>
          <w:rFonts w:ascii="Cambria" w:hAnsi="Cambria"/>
          <w:noProof/>
          <w:sz w:val="22"/>
          <w:szCs w:val="22"/>
          <w:lang w:val="sr-Latn-ME"/>
        </w:rPr>
        <w:t>sa gotovo svih gradskih vodovoda u Crnoj Gori</w:t>
      </w:r>
      <w:r w:rsidRPr="00AB15C7">
        <w:rPr>
          <w:rFonts w:ascii="Cambria" w:hAnsi="Cambria"/>
          <w:noProof/>
          <w:sz w:val="22"/>
          <w:szCs w:val="22"/>
        </w:rPr>
        <w:t xml:space="preserve"> i to sa krajnjih tačaka razvodne mreže, sa crpnih stanica nakon dezinfekcije i sirove vode sa kaptažnih objekata</w:t>
      </w:r>
      <w:r w:rsidRPr="00AB15C7">
        <w:rPr>
          <w:rFonts w:ascii="Cambria" w:hAnsi="Cambria"/>
          <w:noProof/>
          <w:sz w:val="22"/>
          <w:szCs w:val="22"/>
          <w:lang w:val="sr-Latn-ME"/>
        </w:rPr>
        <w:t>.</w:t>
      </w:r>
      <w:r w:rsidR="00E23B2F" w:rsidRPr="00AB15C7">
        <w:rPr>
          <w:rFonts w:ascii="Cambria" w:hAnsi="Cambria"/>
          <w:noProof/>
          <w:sz w:val="22"/>
          <w:szCs w:val="22"/>
          <w:lang w:val="sr-Latn-ME"/>
        </w:rPr>
        <w:t xml:space="preserve"> </w:t>
      </w:r>
      <w:r w:rsidR="003B3FC7">
        <w:rPr>
          <w:rFonts w:ascii="Cambria" w:hAnsi="Cambria"/>
          <w:noProof/>
          <w:sz w:val="22"/>
          <w:szCs w:val="22"/>
          <w:lang w:val="sr-Latn-ME"/>
        </w:rPr>
        <w:t>Na fizičko</w:t>
      </w:r>
      <w:r w:rsidR="00416F0E">
        <w:rPr>
          <w:rFonts w:ascii="Cambria" w:hAnsi="Cambria"/>
          <w:noProof/>
          <w:sz w:val="22"/>
          <w:szCs w:val="22"/>
          <w:lang w:val="sr-Latn-ME"/>
        </w:rPr>
        <w:t>-</w:t>
      </w:r>
      <w:r w:rsidR="003B3FC7">
        <w:rPr>
          <w:rFonts w:ascii="Cambria" w:hAnsi="Cambria"/>
          <w:noProof/>
          <w:sz w:val="22"/>
          <w:szCs w:val="22"/>
          <w:lang w:val="sr-Latn-ME"/>
        </w:rPr>
        <w:t xml:space="preserve">hemijske parametre ispitano je </w:t>
      </w:r>
      <w:r w:rsidR="003B3FC7" w:rsidRPr="003B3FC7">
        <w:rPr>
          <w:rFonts w:ascii="Cambria" w:hAnsi="Cambria"/>
          <w:noProof/>
          <w:sz w:val="22"/>
          <w:szCs w:val="22"/>
          <w:lang w:val="sr-Latn-ME"/>
        </w:rPr>
        <w:t xml:space="preserve">5274 </w:t>
      </w:r>
      <w:r w:rsidR="003B3FC7">
        <w:rPr>
          <w:rFonts w:ascii="Cambria" w:hAnsi="Cambria"/>
          <w:noProof/>
          <w:sz w:val="22"/>
          <w:szCs w:val="22"/>
          <w:lang w:val="sr-Latn-ME"/>
        </w:rPr>
        <w:t xml:space="preserve">uzoraka hlorisane i </w:t>
      </w:r>
      <w:r w:rsidR="00416F0E" w:rsidRPr="00416F0E">
        <w:rPr>
          <w:rFonts w:ascii="Cambria" w:hAnsi="Cambria"/>
          <w:noProof/>
          <w:sz w:val="22"/>
          <w:szCs w:val="22"/>
          <w:lang w:val="sr-Latn-ME"/>
        </w:rPr>
        <w:t>486</w:t>
      </w:r>
      <w:r w:rsidR="00416F0E">
        <w:rPr>
          <w:rFonts w:ascii="Cambria" w:hAnsi="Cambria"/>
          <w:noProof/>
          <w:sz w:val="22"/>
          <w:szCs w:val="22"/>
          <w:lang w:val="sr-Latn-ME"/>
        </w:rPr>
        <w:t xml:space="preserve"> uzoraka nehlorisane vode</w:t>
      </w:r>
      <w:r w:rsidR="003B3FC7">
        <w:rPr>
          <w:rFonts w:ascii="Cambria" w:hAnsi="Cambria"/>
          <w:noProof/>
          <w:sz w:val="22"/>
          <w:szCs w:val="22"/>
          <w:lang w:val="sr-Latn-ME"/>
        </w:rPr>
        <w:t>, a na mik</w:t>
      </w:r>
      <w:r w:rsidR="00416F0E">
        <w:rPr>
          <w:rFonts w:ascii="Cambria" w:hAnsi="Cambria"/>
          <w:noProof/>
          <w:sz w:val="22"/>
          <w:szCs w:val="22"/>
          <w:lang w:val="sr-Latn-ME"/>
        </w:rPr>
        <w:t>r</w:t>
      </w:r>
      <w:r w:rsidR="003B3FC7">
        <w:rPr>
          <w:rFonts w:ascii="Cambria" w:hAnsi="Cambria"/>
          <w:noProof/>
          <w:sz w:val="22"/>
          <w:szCs w:val="22"/>
          <w:lang w:val="sr-Latn-ME"/>
        </w:rPr>
        <w:t>obiološke</w:t>
      </w:r>
      <w:r w:rsidR="00416F0E">
        <w:rPr>
          <w:rFonts w:ascii="Cambria" w:hAnsi="Cambria"/>
          <w:noProof/>
          <w:sz w:val="22"/>
          <w:szCs w:val="22"/>
          <w:lang w:val="sr-Latn-ME"/>
        </w:rPr>
        <w:t xml:space="preserve"> parametre</w:t>
      </w:r>
      <w:r w:rsidR="003B3FC7">
        <w:rPr>
          <w:rFonts w:ascii="Cambria" w:hAnsi="Cambria"/>
          <w:noProof/>
          <w:sz w:val="22"/>
          <w:szCs w:val="22"/>
          <w:lang w:val="sr-Latn-ME"/>
        </w:rPr>
        <w:t xml:space="preserve"> </w:t>
      </w:r>
      <w:r w:rsidR="00416F0E" w:rsidRPr="00416F0E">
        <w:rPr>
          <w:rFonts w:ascii="Cambria" w:hAnsi="Cambria"/>
          <w:noProof/>
          <w:sz w:val="22"/>
          <w:szCs w:val="22"/>
          <w:lang w:val="sr-Latn-ME"/>
        </w:rPr>
        <w:t>5263 uzoraka hlorisane i 568 uzoraka nehlorisane vode</w:t>
      </w:r>
      <w:r w:rsidR="003B3FC7">
        <w:rPr>
          <w:rFonts w:ascii="Cambria" w:hAnsi="Cambria"/>
          <w:noProof/>
          <w:sz w:val="22"/>
          <w:szCs w:val="22"/>
          <w:lang w:val="sr-Latn-ME"/>
        </w:rPr>
        <w:t xml:space="preserve">. </w:t>
      </w:r>
      <w:r w:rsidR="00E23B2F" w:rsidRPr="00AB15C7">
        <w:rPr>
          <w:rFonts w:ascii="Cambria" w:hAnsi="Cambria"/>
          <w:noProof/>
          <w:sz w:val="22"/>
          <w:szCs w:val="22"/>
          <w:lang w:val="sr-Latn-ME"/>
        </w:rPr>
        <w:t xml:space="preserve">Dobijeni rezultati </w:t>
      </w:r>
      <w:r w:rsidR="00CA3900" w:rsidRPr="00AB15C7">
        <w:rPr>
          <w:rFonts w:ascii="Cambria" w:hAnsi="Cambria"/>
          <w:noProof/>
          <w:sz w:val="22"/>
          <w:szCs w:val="22"/>
          <w:lang w:val="sr-Latn-ME"/>
        </w:rPr>
        <w:t>fizičko-hemijski</w:t>
      </w:r>
      <w:r w:rsidR="00CA3900">
        <w:rPr>
          <w:rFonts w:ascii="Cambria" w:hAnsi="Cambria"/>
          <w:noProof/>
          <w:sz w:val="22"/>
          <w:szCs w:val="22"/>
          <w:lang w:val="sr-Latn-ME"/>
        </w:rPr>
        <w:t>h</w:t>
      </w:r>
      <w:r w:rsidR="00CA3900" w:rsidRPr="00AB15C7">
        <w:rPr>
          <w:rFonts w:ascii="Cambria" w:hAnsi="Cambria"/>
          <w:noProof/>
          <w:sz w:val="22"/>
          <w:szCs w:val="22"/>
          <w:lang w:val="sr-Latn-ME"/>
        </w:rPr>
        <w:t xml:space="preserve"> analiz</w:t>
      </w:r>
      <w:r w:rsidR="00CA3900">
        <w:rPr>
          <w:rFonts w:ascii="Cambria" w:hAnsi="Cambria"/>
          <w:noProof/>
          <w:sz w:val="22"/>
          <w:szCs w:val="22"/>
          <w:lang w:val="sr-Latn-ME"/>
        </w:rPr>
        <w:t>a</w:t>
      </w:r>
      <w:r w:rsidR="00CA3900" w:rsidRPr="00AB15C7">
        <w:rPr>
          <w:rFonts w:ascii="Cambria" w:hAnsi="Cambria"/>
          <w:noProof/>
          <w:sz w:val="22"/>
          <w:szCs w:val="22"/>
          <w:lang w:val="sr-Latn-ME"/>
        </w:rPr>
        <w:t xml:space="preserve"> pokaz</w:t>
      </w:r>
      <w:r w:rsidR="00CA3900">
        <w:rPr>
          <w:rFonts w:ascii="Cambria" w:hAnsi="Cambria"/>
          <w:noProof/>
          <w:sz w:val="22"/>
          <w:szCs w:val="22"/>
          <w:lang w:val="sr-Latn-ME"/>
        </w:rPr>
        <w:t>ali su</w:t>
      </w:r>
      <w:r w:rsidR="00CA3900" w:rsidRPr="00AB15C7">
        <w:rPr>
          <w:rFonts w:ascii="Cambria" w:hAnsi="Cambria"/>
          <w:noProof/>
          <w:sz w:val="22"/>
          <w:szCs w:val="22"/>
          <w:lang w:val="sr-Latn-ME"/>
        </w:rPr>
        <w:t xml:space="preserve"> </w:t>
      </w:r>
      <w:r w:rsidR="00E23B2F" w:rsidRPr="00AB15C7">
        <w:rPr>
          <w:rFonts w:ascii="Cambria" w:hAnsi="Cambria"/>
          <w:noProof/>
          <w:sz w:val="22"/>
          <w:szCs w:val="22"/>
          <w:lang w:val="sr-Latn-ME"/>
        </w:rPr>
        <w:t>da</w:t>
      </w:r>
      <w:r w:rsidR="00113CB3">
        <w:rPr>
          <w:rFonts w:ascii="Cambria" w:hAnsi="Cambria"/>
          <w:noProof/>
          <w:sz w:val="22"/>
          <w:szCs w:val="22"/>
          <w:lang w:val="sr-Latn-ME"/>
        </w:rPr>
        <w:t xml:space="preserve"> </w:t>
      </w:r>
      <w:r w:rsidRPr="00AB15C7">
        <w:rPr>
          <w:rFonts w:ascii="Cambria" w:hAnsi="Cambria"/>
          <w:noProof/>
          <w:sz w:val="22"/>
          <w:szCs w:val="22"/>
          <w:lang w:val="sr-Latn-ME"/>
        </w:rPr>
        <w:t xml:space="preserve"> </w:t>
      </w:r>
      <w:r w:rsidR="00113CB3" w:rsidRPr="00AB15C7">
        <w:rPr>
          <w:rFonts w:ascii="Cambria" w:hAnsi="Cambria"/>
          <w:noProof/>
          <w:sz w:val="22"/>
          <w:szCs w:val="22"/>
          <w:lang w:val="sr-Latn-ME"/>
        </w:rPr>
        <w:t>9,03%</w:t>
      </w:r>
      <w:r w:rsidR="00113CB3">
        <w:rPr>
          <w:rFonts w:ascii="Cambria" w:hAnsi="Cambria"/>
          <w:noProof/>
          <w:sz w:val="22"/>
          <w:szCs w:val="22"/>
          <w:lang w:val="sr-Latn-ME"/>
        </w:rPr>
        <w:t xml:space="preserve"> </w:t>
      </w:r>
      <w:r w:rsidR="00CA3900">
        <w:rPr>
          <w:rFonts w:ascii="Cambria" w:hAnsi="Cambria"/>
          <w:noProof/>
          <w:sz w:val="22"/>
          <w:szCs w:val="22"/>
          <w:lang w:val="sr-Latn-ME"/>
        </w:rPr>
        <w:t xml:space="preserve">uzoraka </w:t>
      </w:r>
      <w:r w:rsidRPr="00AB15C7">
        <w:rPr>
          <w:rFonts w:ascii="Cambria" w:hAnsi="Cambria"/>
          <w:noProof/>
          <w:sz w:val="22"/>
          <w:szCs w:val="22"/>
          <w:lang w:val="sr-Latn-ME"/>
        </w:rPr>
        <w:t>hlorisanih voda</w:t>
      </w:r>
      <w:r w:rsidR="00CA3900">
        <w:rPr>
          <w:rFonts w:ascii="Cambria" w:hAnsi="Cambria"/>
          <w:noProof/>
          <w:sz w:val="22"/>
          <w:szCs w:val="22"/>
          <w:lang w:val="sr-Latn-ME"/>
        </w:rPr>
        <w:t xml:space="preserve">, kao i </w:t>
      </w:r>
      <w:r w:rsidR="00CA3900" w:rsidRPr="00AB15C7">
        <w:rPr>
          <w:rFonts w:ascii="Cambria" w:hAnsi="Cambria"/>
          <w:noProof/>
          <w:sz w:val="22"/>
          <w:szCs w:val="22"/>
          <w:lang w:val="sr-Latn-ME"/>
        </w:rPr>
        <w:t>17,08%</w:t>
      </w:r>
      <w:r w:rsidR="00CA3900">
        <w:rPr>
          <w:rFonts w:ascii="Cambria" w:hAnsi="Cambria"/>
          <w:noProof/>
          <w:sz w:val="22"/>
          <w:szCs w:val="22"/>
          <w:lang w:val="sr-Latn-ME"/>
        </w:rPr>
        <w:t xml:space="preserve"> uzoraka </w:t>
      </w:r>
      <w:r w:rsidR="00CA3900" w:rsidRPr="00AB15C7">
        <w:rPr>
          <w:rFonts w:ascii="Cambria" w:hAnsi="Cambria"/>
          <w:noProof/>
          <w:sz w:val="22"/>
          <w:szCs w:val="22"/>
          <w:lang w:val="sr-Latn-ME"/>
        </w:rPr>
        <w:t>nehlorisanih voda</w:t>
      </w:r>
      <w:r w:rsidR="00CA3900">
        <w:rPr>
          <w:rFonts w:ascii="Cambria" w:hAnsi="Cambria"/>
          <w:noProof/>
          <w:sz w:val="22"/>
          <w:szCs w:val="22"/>
          <w:lang w:val="sr-Latn-ME"/>
        </w:rPr>
        <w:t xml:space="preserve"> </w:t>
      </w:r>
      <w:r w:rsidRPr="00AB15C7">
        <w:rPr>
          <w:rFonts w:ascii="Cambria" w:hAnsi="Cambria"/>
          <w:noProof/>
          <w:sz w:val="22"/>
          <w:szCs w:val="22"/>
          <w:lang w:val="sr-Latn-ME"/>
        </w:rPr>
        <w:t>nije odgovaralo propisanim normama.</w:t>
      </w:r>
      <w:r w:rsidR="00CA3900">
        <w:rPr>
          <w:rFonts w:ascii="Cambria" w:hAnsi="Cambria"/>
          <w:noProof/>
          <w:sz w:val="22"/>
          <w:szCs w:val="22"/>
          <w:lang w:val="sr-Latn-ME"/>
        </w:rPr>
        <w:t xml:space="preserve"> Rezultati </w:t>
      </w:r>
      <w:r w:rsidR="00CA3900" w:rsidRPr="00AB15C7">
        <w:rPr>
          <w:rFonts w:ascii="Cambria" w:hAnsi="Cambria"/>
          <w:noProof/>
          <w:sz w:val="22"/>
          <w:szCs w:val="22"/>
          <w:lang w:val="sr-Latn-ME"/>
        </w:rPr>
        <w:t>mikrobiološki</w:t>
      </w:r>
      <w:r w:rsidR="00CA3900">
        <w:rPr>
          <w:rFonts w:ascii="Cambria" w:hAnsi="Cambria"/>
          <w:noProof/>
          <w:sz w:val="22"/>
          <w:szCs w:val="22"/>
          <w:lang w:val="sr-Latn-ME"/>
        </w:rPr>
        <w:t xml:space="preserve">h analiza </w:t>
      </w:r>
      <w:r w:rsidR="00CA3900" w:rsidRPr="00CA3900">
        <w:rPr>
          <w:rFonts w:ascii="Cambria" w:hAnsi="Cambria"/>
          <w:noProof/>
          <w:sz w:val="22"/>
          <w:szCs w:val="22"/>
          <w:lang w:val="sr-Latn-ME"/>
        </w:rPr>
        <w:t xml:space="preserve">pokazali su da </w:t>
      </w:r>
      <w:r w:rsidR="00CA3900" w:rsidRPr="00AB15C7">
        <w:rPr>
          <w:rFonts w:ascii="Cambria" w:hAnsi="Cambria"/>
          <w:noProof/>
          <w:sz w:val="22"/>
          <w:szCs w:val="22"/>
          <w:lang w:val="sr-Latn-ME"/>
        </w:rPr>
        <w:t>7,20%</w:t>
      </w:r>
      <w:r w:rsidR="00CA3900" w:rsidRPr="00CA3900">
        <w:rPr>
          <w:rFonts w:ascii="Cambria" w:hAnsi="Cambria"/>
          <w:noProof/>
          <w:sz w:val="22"/>
          <w:szCs w:val="22"/>
          <w:lang w:val="sr-Latn-ME"/>
        </w:rPr>
        <w:t xml:space="preserve"> uzoraka hlorisanih voda, kao i </w:t>
      </w:r>
      <w:r w:rsidR="00CA3900" w:rsidRPr="00AB15C7">
        <w:rPr>
          <w:rFonts w:ascii="Cambria" w:hAnsi="Cambria"/>
          <w:noProof/>
          <w:sz w:val="22"/>
          <w:szCs w:val="22"/>
          <w:lang w:val="sr-Latn-ME"/>
        </w:rPr>
        <w:t>61,61%</w:t>
      </w:r>
      <w:r w:rsidR="00CA3900" w:rsidRPr="00CA3900">
        <w:rPr>
          <w:rFonts w:ascii="Cambria" w:hAnsi="Cambria"/>
          <w:noProof/>
          <w:sz w:val="22"/>
          <w:szCs w:val="22"/>
          <w:lang w:val="sr-Latn-ME"/>
        </w:rPr>
        <w:t xml:space="preserve"> uzoraka nehlorisanih voda nije odgovaralo propisanim normama</w:t>
      </w:r>
      <w:r w:rsidR="00CA3900">
        <w:rPr>
          <w:rFonts w:ascii="Cambria" w:hAnsi="Cambria"/>
          <w:noProof/>
          <w:sz w:val="22"/>
          <w:szCs w:val="22"/>
          <w:lang w:val="sr-Latn-ME"/>
        </w:rPr>
        <w:t>.</w:t>
      </w:r>
    </w:p>
    <w:p w14:paraId="51048435" w14:textId="77777777" w:rsidR="00E23B2F" w:rsidRPr="00AB15C7" w:rsidRDefault="00E23B2F" w:rsidP="005921EF">
      <w:pPr>
        <w:pStyle w:val="Default"/>
        <w:spacing w:line="276" w:lineRule="auto"/>
        <w:jc w:val="both"/>
        <w:rPr>
          <w:rFonts w:ascii="Cambria" w:hAnsi="Cambria"/>
          <w:noProof/>
          <w:sz w:val="22"/>
          <w:szCs w:val="22"/>
          <w:lang w:val="sr-Latn-ME"/>
        </w:rPr>
      </w:pPr>
    </w:p>
    <w:p w14:paraId="781D3F9A" w14:textId="4B3201D7" w:rsidR="00E23B2F" w:rsidRPr="00AB15C7" w:rsidRDefault="00E23B2F" w:rsidP="005921EF">
      <w:pPr>
        <w:pStyle w:val="Default"/>
        <w:spacing w:line="276" w:lineRule="auto"/>
        <w:jc w:val="both"/>
        <w:rPr>
          <w:rFonts w:ascii="Cambria" w:hAnsi="Cambria"/>
          <w:noProof/>
          <w:sz w:val="22"/>
          <w:szCs w:val="22"/>
          <w:lang w:val="sr-Latn-ME"/>
        </w:rPr>
      </w:pPr>
      <w:r w:rsidRPr="00AB15C7">
        <w:rPr>
          <w:rFonts w:ascii="Cambria" w:hAnsi="Cambria"/>
          <w:noProof/>
          <w:sz w:val="22"/>
          <w:szCs w:val="22"/>
          <w:lang w:val="sr-Latn-ME"/>
        </w:rPr>
        <w:t xml:space="preserve">Ispitivanja fizičko-hemiskih karakteristika </w:t>
      </w:r>
      <w:r w:rsidR="000748B2">
        <w:rPr>
          <w:rFonts w:ascii="Cambria" w:hAnsi="Cambria"/>
          <w:noProof/>
          <w:sz w:val="22"/>
          <w:szCs w:val="22"/>
          <w:lang w:val="sr-Latn-ME"/>
        </w:rPr>
        <w:t>s</w:t>
      </w:r>
      <w:r w:rsidRPr="00AB15C7">
        <w:rPr>
          <w:rFonts w:ascii="Cambria" w:hAnsi="Cambria"/>
          <w:noProof/>
          <w:sz w:val="22"/>
          <w:szCs w:val="22"/>
          <w:lang w:val="sr-Latn-ME"/>
        </w:rPr>
        <w:t>provodi se na gradskim vodovodima u skladu sa godišnjim programom ispitivanja pri čemu se na terenu vrši određivanje nivoa rezidualnog hlora i uzimaju uzorci za osnovna ispitivanja. Pored redovne i kontinuirane dezinfekcije, na rezultate ispitivanja higijenske ispravnosti vode sa gradskih vodovoda imaju uticaja i higijensko - sanitarno stanje kaptažnih objekata i crpnih stanica, kao i stanje razvodne mreže, koja je u većini gradskih vodovoda stara i dosta dotrajala.</w:t>
      </w:r>
      <w:r w:rsidR="009D41A9">
        <w:rPr>
          <w:rFonts w:ascii="Cambria" w:hAnsi="Cambria"/>
          <w:noProof/>
          <w:sz w:val="22"/>
          <w:szCs w:val="22"/>
          <w:lang w:val="sr-Latn-ME"/>
        </w:rPr>
        <w:t xml:space="preserve"> </w:t>
      </w:r>
      <w:r w:rsidRPr="00AB15C7">
        <w:rPr>
          <w:rFonts w:ascii="Cambria" w:hAnsi="Cambria"/>
          <w:noProof/>
          <w:sz w:val="22"/>
          <w:szCs w:val="22"/>
          <w:lang w:val="sr-Latn-ME"/>
        </w:rPr>
        <w:t xml:space="preserve">Takođe, značajan faktor u obezbjeđenju higijenske ispravnosti pijaće vode je uspostavljanje sanitarnih </w:t>
      </w:r>
      <w:r w:rsidRPr="00AB15C7">
        <w:rPr>
          <w:rFonts w:ascii="Cambria" w:hAnsi="Cambria"/>
          <w:noProof/>
          <w:sz w:val="22"/>
          <w:szCs w:val="22"/>
          <w:lang w:val="sr-Latn-ME"/>
        </w:rPr>
        <w:lastRenderedPageBreak/>
        <w:t>zona zaštite oko izvorišta, što za većinu vodovoda nije izvedeno u potpunosti, već obično postoji samo neposredna zona sanitarne zaštite dok posredne zone koje obuhvataju šire, uticajno područje obično nijesu uspostavljene.</w:t>
      </w:r>
    </w:p>
    <w:p w14:paraId="3669238A" w14:textId="77777777" w:rsidR="00495181" w:rsidRPr="00AB15C7" w:rsidRDefault="00D02650" w:rsidP="005921EF">
      <w:pPr>
        <w:pStyle w:val="Heading2"/>
        <w:rPr>
          <w:noProof/>
          <w:sz w:val="22"/>
          <w:szCs w:val="22"/>
          <w:lang w:val="en-US"/>
        </w:rPr>
      </w:pPr>
      <w:bookmarkStart w:id="42" w:name="_Toc509222418"/>
      <w:bookmarkStart w:id="43" w:name="_Toc527353185"/>
      <w:r w:rsidRPr="00AB15C7">
        <w:rPr>
          <w:noProof/>
          <w:sz w:val="22"/>
          <w:szCs w:val="22"/>
          <w:lang w:val="en-US"/>
        </w:rPr>
        <w:t>2</w:t>
      </w:r>
      <w:r w:rsidR="00495181" w:rsidRPr="00AB15C7">
        <w:rPr>
          <w:noProof/>
          <w:sz w:val="22"/>
          <w:szCs w:val="22"/>
          <w:lang w:val="en-US"/>
        </w:rPr>
        <w:t>.2</w:t>
      </w:r>
      <w:r w:rsidRPr="00AB15C7">
        <w:rPr>
          <w:noProof/>
          <w:sz w:val="22"/>
          <w:szCs w:val="22"/>
          <w:lang w:val="en-US"/>
        </w:rPr>
        <w:t>.6.</w:t>
      </w:r>
      <w:r w:rsidR="00495181" w:rsidRPr="00AB15C7">
        <w:rPr>
          <w:noProof/>
          <w:sz w:val="22"/>
          <w:szCs w:val="22"/>
          <w:lang w:val="en-US"/>
        </w:rPr>
        <w:t xml:space="preserve"> Inspekcijski nadzor</w:t>
      </w:r>
      <w:bookmarkEnd w:id="42"/>
      <w:bookmarkEnd w:id="43"/>
    </w:p>
    <w:p w14:paraId="7A853AD9" w14:textId="77777777" w:rsidR="00495181" w:rsidRPr="00AB15C7" w:rsidRDefault="00495181" w:rsidP="005921EF">
      <w:pPr>
        <w:pStyle w:val="Default"/>
        <w:spacing w:line="276" w:lineRule="auto"/>
        <w:rPr>
          <w:rFonts w:ascii="Cambria" w:hAnsi="Cambria"/>
          <w:b/>
          <w:bCs/>
          <w:noProof/>
          <w:sz w:val="22"/>
          <w:szCs w:val="22"/>
        </w:rPr>
      </w:pPr>
    </w:p>
    <w:p w14:paraId="642F8F3D" w14:textId="77777777" w:rsidR="00D02650" w:rsidRPr="00AB15C7" w:rsidRDefault="00495181" w:rsidP="005921EF">
      <w:pPr>
        <w:pStyle w:val="Default"/>
        <w:spacing w:line="276" w:lineRule="auto"/>
        <w:jc w:val="both"/>
        <w:rPr>
          <w:rFonts w:ascii="Cambria" w:hAnsi="Cambria"/>
          <w:bCs/>
          <w:noProof/>
          <w:sz w:val="22"/>
          <w:szCs w:val="22"/>
          <w:lang w:val="sr-Latn-ME"/>
        </w:rPr>
      </w:pPr>
      <w:r w:rsidRPr="00AB15C7">
        <w:rPr>
          <w:rFonts w:ascii="Cambria" w:hAnsi="Cambria"/>
          <w:bCs/>
          <w:noProof/>
          <w:sz w:val="22"/>
          <w:szCs w:val="22"/>
          <w:lang w:val="sr-Latn-ME"/>
        </w:rPr>
        <w:t>Inspekcijski nadzor u pogledu hemikalija vrše ekološka i sanitarna inspekcija</w:t>
      </w:r>
      <w:r w:rsidR="0089576E" w:rsidRPr="00AB15C7">
        <w:rPr>
          <w:rFonts w:ascii="Cambria" w:hAnsi="Cambria"/>
          <w:bCs/>
          <w:noProof/>
          <w:sz w:val="22"/>
          <w:szCs w:val="22"/>
          <w:lang w:val="sr-Latn-ME"/>
        </w:rPr>
        <w:t xml:space="preserve">. </w:t>
      </w:r>
    </w:p>
    <w:p w14:paraId="0F971378" w14:textId="421E90D9" w:rsidR="00495181" w:rsidRPr="00AB15C7" w:rsidRDefault="0089576E" w:rsidP="005921EF">
      <w:pPr>
        <w:pStyle w:val="Default"/>
        <w:spacing w:line="276" w:lineRule="auto"/>
        <w:jc w:val="both"/>
        <w:rPr>
          <w:rFonts w:ascii="Cambria" w:hAnsi="Cambria"/>
          <w:noProof/>
          <w:sz w:val="22"/>
          <w:szCs w:val="22"/>
          <w:lang w:val="sr-Latn-ME"/>
        </w:rPr>
      </w:pPr>
      <w:r w:rsidRPr="00AB15C7">
        <w:rPr>
          <w:rFonts w:ascii="Cambria" w:hAnsi="Cambria"/>
          <w:bCs/>
          <w:noProof/>
          <w:sz w:val="22"/>
          <w:szCs w:val="22"/>
          <w:lang w:val="sr-Latn-ME"/>
        </w:rPr>
        <w:t>U 2017. godini ekolo</w:t>
      </w:r>
      <w:r w:rsidR="00D02650" w:rsidRPr="00AB15C7">
        <w:rPr>
          <w:rFonts w:ascii="Cambria" w:hAnsi="Cambria"/>
          <w:bCs/>
          <w:noProof/>
          <w:sz w:val="22"/>
          <w:szCs w:val="22"/>
          <w:lang w:val="sr-Latn-RS"/>
        </w:rPr>
        <w:t>š</w:t>
      </w:r>
      <w:r w:rsidR="00D02650" w:rsidRPr="00AB15C7">
        <w:rPr>
          <w:rFonts w:ascii="Cambria" w:hAnsi="Cambria"/>
          <w:bCs/>
          <w:noProof/>
          <w:sz w:val="22"/>
          <w:szCs w:val="22"/>
          <w:lang w:val="sr-Latn-ME"/>
        </w:rPr>
        <w:t xml:space="preserve">ka inpekcija je izvršila inspekcijski nadzor upotrebe hemikalija u industrijskim postrojenjima, nad: klasifikacijom, označavanjem, pakovanjem, upisom u registar hemikalija, ispunjenošću uslova za skladištenje hemikalije, sadržajem i dostavljanjem bezbjednosnog lista, evidencijom i industrijskim detergentima. </w:t>
      </w:r>
      <w:r w:rsidR="00122FF2">
        <w:rPr>
          <w:rFonts w:ascii="Cambria" w:hAnsi="Cambria"/>
          <w:bCs/>
          <w:noProof/>
          <w:sz w:val="22"/>
          <w:szCs w:val="22"/>
          <w:lang w:val="sr-Latn-ME"/>
        </w:rPr>
        <w:t xml:space="preserve">Od ukupno </w:t>
      </w:r>
      <w:r w:rsidR="00122FF2" w:rsidRPr="00122FF2">
        <w:rPr>
          <w:rFonts w:ascii="Cambria" w:hAnsi="Cambria"/>
          <w:bCs/>
          <w:noProof/>
          <w:sz w:val="22"/>
          <w:szCs w:val="22"/>
          <w:lang w:val="sl-SI"/>
        </w:rPr>
        <w:t>804 rješenja</w:t>
      </w:r>
      <w:r w:rsidR="00122FF2">
        <w:rPr>
          <w:rFonts w:ascii="Cambria" w:hAnsi="Cambria"/>
          <w:bCs/>
          <w:noProof/>
          <w:sz w:val="22"/>
          <w:szCs w:val="22"/>
          <w:lang w:val="sl-SI"/>
        </w:rPr>
        <w:t xml:space="preserve"> ekološke inspekcije</w:t>
      </w:r>
      <w:r w:rsidR="00122FF2" w:rsidRPr="00122FF2">
        <w:rPr>
          <w:rFonts w:ascii="Cambria" w:hAnsi="Cambria"/>
          <w:bCs/>
          <w:noProof/>
          <w:sz w:val="22"/>
          <w:szCs w:val="22"/>
          <w:lang w:val="sl-SI"/>
        </w:rPr>
        <w:t xml:space="preserve">, </w:t>
      </w:r>
      <w:r w:rsidR="00122FF2">
        <w:rPr>
          <w:rFonts w:ascii="Cambria" w:hAnsi="Cambria"/>
          <w:bCs/>
          <w:noProof/>
          <w:sz w:val="22"/>
          <w:szCs w:val="22"/>
          <w:lang w:val="sl-SI"/>
        </w:rPr>
        <w:t>113</w:t>
      </w:r>
      <w:r w:rsidR="0095798E">
        <w:rPr>
          <w:rFonts w:ascii="Cambria" w:hAnsi="Cambria"/>
          <w:bCs/>
          <w:noProof/>
          <w:sz w:val="22"/>
          <w:szCs w:val="22"/>
          <w:lang w:val="sl-SI"/>
        </w:rPr>
        <w:t xml:space="preserve"> rješenja </w:t>
      </w:r>
      <w:r w:rsidR="00122FF2">
        <w:rPr>
          <w:rFonts w:ascii="Cambria" w:hAnsi="Cambria"/>
          <w:bCs/>
          <w:noProof/>
          <w:sz w:val="22"/>
          <w:szCs w:val="22"/>
          <w:lang w:val="sl-SI"/>
        </w:rPr>
        <w:t xml:space="preserve">su se odnosila na nepravilnosti u pogledu izvršavanja obaveza propisanih </w:t>
      </w:r>
      <w:r w:rsidR="00122FF2" w:rsidRPr="00122FF2">
        <w:rPr>
          <w:rFonts w:ascii="Cambria" w:hAnsi="Cambria"/>
          <w:bCs/>
          <w:noProof/>
          <w:sz w:val="22"/>
          <w:szCs w:val="22"/>
          <w:lang w:val="sl-SI"/>
        </w:rPr>
        <w:t>Zakon</w:t>
      </w:r>
      <w:r w:rsidR="00122FF2">
        <w:rPr>
          <w:rFonts w:ascii="Cambria" w:hAnsi="Cambria"/>
          <w:bCs/>
          <w:noProof/>
          <w:sz w:val="22"/>
          <w:szCs w:val="22"/>
          <w:lang w:val="sl-SI"/>
        </w:rPr>
        <w:t>om</w:t>
      </w:r>
      <w:r w:rsidR="00122FF2" w:rsidRPr="00122FF2">
        <w:rPr>
          <w:rFonts w:ascii="Cambria" w:hAnsi="Cambria"/>
          <w:bCs/>
          <w:noProof/>
          <w:sz w:val="22"/>
          <w:szCs w:val="22"/>
          <w:lang w:val="sl-SI"/>
        </w:rPr>
        <w:t xml:space="preserve"> o hemikalijama</w:t>
      </w:r>
      <w:r w:rsidR="00122FF2">
        <w:rPr>
          <w:rFonts w:ascii="Cambria" w:hAnsi="Cambria"/>
          <w:bCs/>
          <w:noProof/>
          <w:sz w:val="22"/>
          <w:szCs w:val="22"/>
          <w:lang w:val="sl-SI"/>
        </w:rPr>
        <w:t>.</w:t>
      </w:r>
      <w:r w:rsidR="00122FF2" w:rsidRPr="00122FF2">
        <w:rPr>
          <w:rFonts w:ascii="Cambria" w:hAnsi="Cambria"/>
          <w:bCs/>
          <w:noProof/>
          <w:sz w:val="22"/>
          <w:szCs w:val="22"/>
          <w:lang w:val="sl-SI"/>
        </w:rPr>
        <w:t xml:space="preserve"> </w:t>
      </w:r>
      <w:r w:rsidR="00495181" w:rsidRPr="00AB15C7">
        <w:rPr>
          <w:rFonts w:ascii="Cambria" w:hAnsi="Cambria"/>
          <w:noProof/>
          <w:sz w:val="22"/>
          <w:szCs w:val="22"/>
          <w:lang w:val="sr-Latn-ME"/>
        </w:rPr>
        <w:t>Određenom broju pravnih lica je naloženo odnosno ukazano da su obavezni da se pridržavaju odredbi člana 16 stav 2 Zakona o hemikalijama, tj. da su otpad od hemikalija, odnosno ostatke od hemikalija i korišćenu ambalažu dužni skladištiti i bezbjedno odlagati u skladu sa Zakonom o upravljanju otpadom.</w:t>
      </w:r>
    </w:p>
    <w:p w14:paraId="33A9D84C" w14:textId="470A2B64" w:rsidR="00495181" w:rsidRPr="00AB15C7" w:rsidRDefault="00495181" w:rsidP="005921EF">
      <w:pPr>
        <w:pStyle w:val="Default"/>
        <w:spacing w:line="276" w:lineRule="auto"/>
        <w:jc w:val="both"/>
        <w:rPr>
          <w:rFonts w:ascii="Cambria" w:hAnsi="Cambria"/>
          <w:noProof/>
          <w:sz w:val="22"/>
          <w:szCs w:val="22"/>
          <w:lang w:val="sr-Latn-ME"/>
        </w:rPr>
      </w:pPr>
      <w:r w:rsidRPr="00AB15C7">
        <w:rPr>
          <w:rFonts w:ascii="Cambria" w:hAnsi="Cambria"/>
          <w:noProof/>
          <w:sz w:val="22"/>
          <w:szCs w:val="22"/>
          <w:lang w:val="sr-Latn-ME"/>
        </w:rPr>
        <w:t>Ovlašćenom sakupljaču d.o.o. Hemosan predato je 41971 kg građevinskog materijala koji sadrži azbest na dalje upravljanje – izvoz, i to od strane</w:t>
      </w:r>
      <w:r w:rsidR="00FC12F7">
        <w:rPr>
          <w:rFonts w:ascii="Cambria" w:hAnsi="Cambria"/>
          <w:noProof/>
          <w:sz w:val="22"/>
          <w:szCs w:val="22"/>
          <w:lang w:val="sr-Latn-ME"/>
        </w:rPr>
        <w:t xml:space="preserve"> </w:t>
      </w:r>
      <w:r w:rsidRPr="00AB15C7">
        <w:rPr>
          <w:rFonts w:ascii="Cambria" w:hAnsi="Cambria"/>
          <w:noProof/>
          <w:sz w:val="22"/>
          <w:szCs w:val="22"/>
          <w:lang w:val="sr-Latn-ME"/>
        </w:rPr>
        <w:t>d.o.o. Politropus alternative, d.o.o. Adriatic marinas, d.o.o. Volvox inžinjering, d.o.o. Imperio holdings limited i a.d. Kombinat aluminijuma u stečaju</w:t>
      </w:r>
      <w:r w:rsidR="00FC12F7">
        <w:rPr>
          <w:rFonts w:ascii="Cambria" w:hAnsi="Cambria"/>
          <w:noProof/>
          <w:sz w:val="22"/>
          <w:szCs w:val="22"/>
          <w:lang w:val="sr-Latn-ME"/>
        </w:rPr>
        <w:t>.</w:t>
      </w:r>
    </w:p>
    <w:p w14:paraId="294B95C5" w14:textId="77777777" w:rsidR="00FC12F7" w:rsidRDefault="00FC12F7" w:rsidP="005921EF">
      <w:pPr>
        <w:pStyle w:val="Default"/>
        <w:spacing w:line="276" w:lineRule="auto"/>
        <w:jc w:val="both"/>
        <w:rPr>
          <w:rFonts w:ascii="Cambria" w:hAnsi="Cambria"/>
          <w:noProof/>
          <w:sz w:val="22"/>
          <w:szCs w:val="22"/>
          <w:lang w:val="sr-Latn-ME"/>
        </w:rPr>
      </w:pPr>
    </w:p>
    <w:p w14:paraId="273D406D" w14:textId="6C2F667B" w:rsidR="00F078AF" w:rsidRPr="00AB15C7" w:rsidRDefault="00495181" w:rsidP="005921EF">
      <w:pPr>
        <w:pStyle w:val="Default"/>
        <w:spacing w:line="276" w:lineRule="auto"/>
        <w:jc w:val="both"/>
        <w:rPr>
          <w:rFonts w:ascii="Cambria" w:hAnsi="Cambria"/>
          <w:noProof/>
          <w:sz w:val="22"/>
          <w:szCs w:val="22"/>
          <w:lang w:val="sr-Latn-ME"/>
        </w:rPr>
      </w:pPr>
      <w:r w:rsidRPr="00AB15C7">
        <w:rPr>
          <w:rFonts w:ascii="Cambria" w:hAnsi="Cambria"/>
          <w:noProof/>
          <w:sz w:val="22"/>
          <w:szCs w:val="22"/>
          <w:lang w:val="sr-Latn-ME"/>
        </w:rPr>
        <w:t>Takođe, d.o.o. Hemosan su na dalje upravljanje predate i laboratorijske hemikalije koje se sastoje od ili sadrže opasne supstance, uključujući i mješavine laboratorijskih hemikalija u količini od 7749,65 kg; odbačene neorganske hemikalija koje se sastoje od ili sadrže opasne supstance; kao i hemikalije koje se sastoje od ili sadrže opasne supstance u količini od 75,18 kg.</w:t>
      </w:r>
      <w:r w:rsidR="00FC12F7">
        <w:rPr>
          <w:rFonts w:ascii="Cambria" w:hAnsi="Cambria"/>
          <w:noProof/>
          <w:sz w:val="22"/>
          <w:szCs w:val="22"/>
          <w:lang w:val="sr-Latn-ME"/>
        </w:rPr>
        <w:t xml:space="preserve"> </w:t>
      </w:r>
      <w:r w:rsidRPr="00AB15C7">
        <w:rPr>
          <w:rFonts w:ascii="Cambria" w:hAnsi="Cambria"/>
          <w:noProof/>
          <w:sz w:val="22"/>
          <w:szCs w:val="22"/>
          <w:lang w:val="sr-Latn-ME"/>
        </w:rPr>
        <w:t>Otpad koji sadrži hemikalije i smješe hemikalija koje su preuzete iz d.o.o. „Prerada“ – u stečaju za preradu aluminijuma, u količini od 17400 kg nalaze se na privremenom skladištenju u reciklažnom centru pravnog lica d.o.o. Hemosan u Baru.</w:t>
      </w:r>
    </w:p>
    <w:p w14:paraId="1A8F1384" w14:textId="77777777" w:rsidR="00FC12F7" w:rsidRDefault="00FC12F7" w:rsidP="005921EF">
      <w:pPr>
        <w:pStyle w:val="Default"/>
        <w:spacing w:line="276" w:lineRule="auto"/>
        <w:jc w:val="both"/>
        <w:rPr>
          <w:rFonts w:ascii="Cambria" w:hAnsi="Cambria"/>
          <w:noProof/>
          <w:sz w:val="22"/>
          <w:szCs w:val="22"/>
          <w:lang w:val="sr-Latn-RS"/>
        </w:rPr>
      </w:pPr>
    </w:p>
    <w:p w14:paraId="547644E5" w14:textId="17821323" w:rsidR="00434342" w:rsidRPr="00AB15C7" w:rsidRDefault="00434342" w:rsidP="005921EF">
      <w:pPr>
        <w:pStyle w:val="Default"/>
        <w:spacing w:line="276" w:lineRule="auto"/>
        <w:jc w:val="both"/>
        <w:rPr>
          <w:rFonts w:ascii="Cambria" w:hAnsi="Cambria"/>
          <w:noProof/>
          <w:sz w:val="22"/>
          <w:szCs w:val="22"/>
          <w:lang w:val="sr-Latn-RS"/>
        </w:rPr>
      </w:pPr>
      <w:r w:rsidRPr="00AB15C7">
        <w:rPr>
          <w:rFonts w:ascii="Cambria" w:hAnsi="Cambria"/>
          <w:noProof/>
          <w:sz w:val="22"/>
          <w:szCs w:val="22"/>
          <w:lang w:val="sr-Latn-RS"/>
        </w:rPr>
        <w:t xml:space="preserve">U </w:t>
      </w:r>
      <w:r w:rsidR="00D02650" w:rsidRPr="00AB15C7">
        <w:rPr>
          <w:rFonts w:ascii="Cambria" w:hAnsi="Cambria"/>
          <w:noProof/>
          <w:sz w:val="22"/>
          <w:szCs w:val="22"/>
          <w:lang w:val="sr-Latn-RS"/>
        </w:rPr>
        <w:t>2017.</w:t>
      </w:r>
      <w:r w:rsidRPr="00AB15C7">
        <w:rPr>
          <w:rFonts w:ascii="Cambria" w:hAnsi="Cambria"/>
          <w:noProof/>
          <w:sz w:val="22"/>
          <w:szCs w:val="22"/>
          <w:lang w:val="sr-Latn-RS"/>
        </w:rPr>
        <w:t xml:space="preserve"> sanitarni inspektori Odsjeka za zdravstveno – sanitarnu inspekciju UIP izvršili su 254 pregleda pošiljki pri uvozu hemikalija i biocidnih proizvoda u količini od 1 488 334 kg. </w:t>
      </w:r>
      <w:r w:rsidR="00FC12F7">
        <w:rPr>
          <w:rFonts w:ascii="Cambria" w:hAnsi="Cambria"/>
          <w:noProof/>
          <w:sz w:val="22"/>
          <w:szCs w:val="22"/>
          <w:lang w:val="sr-Latn-RS"/>
        </w:rPr>
        <w:t xml:space="preserve"> </w:t>
      </w:r>
      <w:r w:rsidRPr="00AB15C7">
        <w:rPr>
          <w:rFonts w:ascii="Cambria" w:hAnsi="Cambria"/>
          <w:noProof/>
          <w:sz w:val="22"/>
          <w:szCs w:val="22"/>
          <w:lang w:val="sr-Latn-RS"/>
        </w:rPr>
        <w:t>Pregledi od strane sanitarnih inspektora pri uvozu vršeni su u smislu kontrole poštovanja: obaveze posjedovanja dozvole za uvoz izdate od strane MZ ili AZPŽS, upisa u registar AZPŽS, poštovanja uslova navedenih u dozvoli kao što su između ostalog, klasifik</w:t>
      </w:r>
      <w:r w:rsidR="00D02650" w:rsidRPr="00AB15C7">
        <w:rPr>
          <w:rFonts w:ascii="Cambria" w:hAnsi="Cambria"/>
          <w:noProof/>
          <w:sz w:val="22"/>
          <w:szCs w:val="22"/>
          <w:lang w:val="sr-Latn-RS"/>
        </w:rPr>
        <w:t>acija</w:t>
      </w:r>
      <w:r w:rsidRPr="00AB15C7">
        <w:rPr>
          <w:rFonts w:ascii="Cambria" w:hAnsi="Cambria"/>
          <w:noProof/>
          <w:sz w:val="22"/>
          <w:szCs w:val="22"/>
          <w:lang w:val="sr-Latn-RS"/>
        </w:rPr>
        <w:t>, pakovanje i označavanje hemikalija prije uvoza i stavljanja u promet, obaveze posjedovanja bezbjednosnog lista, kao i tačnost podataka navedenih u bezbjednosnom listu, načina i uslova transporta i dr.</w:t>
      </w:r>
      <w:r w:rsidR="00FC12F7">
        <w:rPr>
          <w:rFonts w:ascii="Cambria" w:hAnsi="Cambria"/>
          <w:noProof/>
          <w:sz w:val="22"/>
          <w:szCs w:val="22"/>
          <w:lang w:val="sr-Latn-RS"/>
        </w:rPr>
        <w:t xml:space="preserve"> </w:t>
      </w:r>
      <w:r w:rsidRPr="00AB15C7">
        <w:rPr>
          <w:rFonts w:ascii="Cambria" w:hAnsi="Cambria"/>
          <w:noProof/>
          <w:sz w:val="22"/>
          <w:szCs w:val="22"/>
          <w:lang w:val="sr-Latn-RS"/>
        </w:rPr>
        <w:t>Svaku hemikaliju kojoj je dozvoljen uvoz i promet obavezno je pratio bezbjednosni list</w:t>
      </w:r>
      <w:r w:rsidR="00D02650" w:rsidRPr="00AB15C7">
        <w:rPr>
          <w:rFonts w:ascii="Cambria" w:hAnsi="Cambria"/>
          <w:noProof/>
          <w:sz w:val="22"/>
          <w:szCs w:val="22"/>
          <w:lang w:val="sr-Latn-RS"/>
        </w:rPr>
        <w:t>.</w:t>
      </w:r>
      <w:r w:rsidR="00FC12F7">
        <w:rPr>
          <w:rFonts w:ascii="Cambria" w:hAnsi="Cambria"/>
          <w:noProof/>
          <w:sz w:val="22"/>
          <w:szCs w:val="22"/>
          <w:lang w:val="sr-Latn-RS"/>
        </w:rPr>
        <w:t xml:space="preserve"> </w:t>
      </w:r>
      <w:r w:rsidRPr="00AB15C7">
        <w:rPr>
          <w:rFonts w:ascii="Cambria" w:hAnsi="Cambria"/>
          <w:noProof/>
          <w:sz w:val="22"/>
          <w:szCs w:val="22"/>
          <w:lang w:val="sr-Latn-RS"/>
        </w:rPr>
        <w:t xml:space="preserve">Biocidne proizvode je takođe pratila potrebna dokumentacija u skladu sa Zakonom o biocidnim proizvodima i pratećim pravilnicima. </w:t>
      </w:r>
      <w:r w:rsidR="00FC12F7">
        <w:rPr>
          <w:rFonts w:ascii="Cambria" w:hAnsi="Cambria"/>
          <w:noProof/>
          <w:sz w:val="22"/>
          <w:szCs w:val="22"/>
          <w:lang w:val="sr-Latn-RS"/>
        </w:rPr>
        <w:t xml:space="preserve"> </w:t>
      </w:r>
      <w:r w:rsidRPr="00AB15C7">
        <w:rPr>
          <w:rFonts w:ascii="Cambria" w:hAnsi="Cambria"/>
          <w:noProof/>
          <w:sz w:val="22"/>
          <w:szCs w:val="22"/>
        </w:rPr>
        <w:t>Sanitarni inspektori su vršili preglede sredstava za održavanje čistoće u domaćinstvu u skladu sa Zakonom o zdravstvenoj ispravnosti životnih namirnica i pregleda opšte upotrebe (“Sl.list SRJ“, broj 53/91) i Pravilnika o uslovima u pogledu zdravstvene ispravnosti predmeta opšte upotrebe koji se mogu stavljati u promet („Sl. list SFRJ“ br. 26/83,18/91), prilikom kojih nijesu utvrđene nepravilnosti, a uzeto je 86 uzoraka za laboratorijsko ispitivanje i svi ispitivani uzorci su bili zdravstveno ispravni</w:t>
      </w:r>
      <w:r w:rsidRPr="00AB15C7">
        <w:rPr>
          <w:rFonts w:ascii="Cambria" w:hAnsi="Cambria"/>
          <w:noProof/>
          <w:sz w:val="22"/>
          <w:szCs w:val="22"/>
          <w:lang w:val="sr-Latn-RS"/>
        </w:rPr>
        <w:t>.</w:t>
      </w:r>
    </w:p>
    <w:p w14:paraId="583DF8BB" w14:textId="77777777" w:rsidR="00434342" w:rsidRPr="00AB15C7" w:rsidRDefault="00434342" w:rsidP="005921EF">
      <w:pPr>
        <w:pStyle w:val="Default"/>
        <w:spacing w:line="276" w:lineRule="auto"/>
        <w:jc w:val="both"/>
        <w:rPr>
          <w:rFonts w:ascii="Cambria" w:hAnsi="Cambria"/>
          <w:noProof/>
          <w:sz w:val="22"/>
          <w:szCs w:val="22"/>
          <w:lang w:val="sr-Latn-RS"/>
        </w:rPr>
      </w:pPr>
    </w:p>
    <w:p w14:paraId="5C7BFB38" w14:textId="77777777" w:rsidR="00F078AF" w:rsidRPr="00AB15C7" w:rsidRDefault="00F078AF" w:rsidP="005921EF">
      <w:pPr>
        <w:pStyle w:val="Default"/>
        <w:spacing w:line="276" w:lineRule="auto"/>
        <w:jc w:val="both"/>
        <w:rPr>
          <w:rFonts w:ascii="Cambria" w:hAnsi="Cambria"/>
          <w:noProof/>
          <w:sz w:val="22"/>
          <w:szCs w:val="22"/>
          <w:lang w:val="sr-Latn-RS"/>
        </w:rPr>
      </w:pPr>
      <w:r w:rsidRPr="00AB15C7">
        <w:rPr>
          <w:rFonts w:ascii="Cambria" w:hAnsi="Cambria"/>
          <w:noProof/>
          <w:sz w:val="22"/>
          <w:szCs w:val="22"/>
          <w:lang w:val="sr-Latn-RS"/>
        </w:rPr>
        <w:t xml:space="preserve">U Crnoj Gori je uspostavljen </w:t>
      </w:r>
      <w:r w:rsidRPr="00AB15C7">
        <w:rPr>
          <w:rFonts w:ascii="Cambria" w:hAnsi="Cambria"/>
          <w:b/>
          <w:noProof/>
          <w:sz w:val="22"/>
          <w:szCs w:val="22"/>
          <w:lang w:val="sr-Latn-RS"/>
        </w:rPr>
        <w:t>Nacionalni Rapex sistem</w:t>
      </w:r>
      <w:r w:rsidRPr="00AB15C7">
        <w:rPr>
          <w:rFonts w:ascii="Cambria" w:hAnsi="Cambria"/>
          <w:noProof/>
          <w:sz w:val="22"/>
          <w:szCs w:val="22"/>
          <w:lang w:val="sr-Latn-RS"/>
        </w:rPr>
        <w:t xml:space="preserve"> (sistem za brzu razmjenu informacija o opasnim neprehrambenim proizvodima) i objavljeno je Uputstvo za funkcionisanje kontaktne tačke sistema brze razmjene informacija o opasnim proizvodima (tržišna inspekcija). Kontakt tačka, tj. tržišna inspekcija dostavlja nedjeljna Rapex obavještenja EU i po potrebi podatke iz Regionalnih sistema nadzora nad opasnim proizvodima kontakt tačkama svih učesnika u sprovođenju tržišnog nadzora. Za opasne proizvode sa hemijskim rizikom koji bi se mogli naći na tržištu Crne Gore vršeni su inspekcijski pregledi kod uvoznika, distributera, u maloprodaji, a o istima je obaviještena i Uprava carina.</w:t>
      </w:r>
    </w:p>
    <w:p w14:paraId="04784C4F" w14:textId="7424D272" w:rsidR="00301A27" w:rsidRDefault="00F078AF" w:rsidP="005921EF">
      <w:pPr>
        <w:pStyle w:val="Default"/>
        <w:spacing w:line="276" w:lineRule="auto"/>
        <w:jc w:val="both"/>
        <w:rPr>
          <w:rFonts w:ascii="Cambria" w:hAnsi="Cambria"/>
          <w:noProof/>
          <w:sz w:val="22"/>
          <w:szCs w:val="22"/>
          <w:lang w:val="sr-Latn-RS"/>
        </w:rPr>
        <w:sectPr w:rsidR="00301A27" w:rsidSect="00D87252">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134" w:left="1134" w:header="709" w:footer="709" w:gutter="0"/>
          <w:pgNumType w:start="1"/>
          <w:cols w:space="720"/>
          <w:docGrid w:linePitch="360"/>
        </w:sectPr>
      </w:pPr>
      <w:r w:rsidRPr="00AB15C7">
        <w:rPr>
          <w:rFonts w:ascii="Cambria" w:hAnsi="Cambria"/>
          <w:noProof/>
          <w:sz w:val="22"/>
          <w:szCs w:val="22"/>
          <w:lang w:val="sr-Latn-RS"/>
        </w:rPr>
        <w:lastRenderedPageBreak/>
        <w:t>Tokom 2017. sanitarni inspektori na tržištu Crne Gore nijesu pronašli opasne proizvode iz nadležnosti koji su objavljeni u Rapex obavještenjima EU i Regionalnim obavještenjima.</w:t>
      </w:r>
      <w:r w:rsidR="009D41A9">
        <w:rPr>
          <w:rFonts w:ascii="Cambria" w:hAnsi="Cambria"/>
          <w:noProof/>
          <w:sz w:val="22"/>
          <w:szCs w:val="22"/>
          <w:lang w:val="sr-Latn-RS"/>
        </w:rPr>
        <w:t xml:space="preserve"> </w:t>
      </w:r>
      <w:r w:rsidRPr="00AB15C7">
        <w:rPr>
          <w:rFonts w:ascii="Cambria" w:hAnsi="Cambria"/>
          <w:noProof/>
          <w:sz w:val="22"/>
          <w:szCs w:val="22"/>
          <w:lang w:val="sr-Latn-RS"/>
        </w:rPr>
        <w:t>Na tržištu su traženi proizvodi sa hemijskim rizikom: igračke (plastične lutke-igračke 96 vrsta), jedan hemijski proizvod (ljepilo) i jedan kozmetički proizvod i jedna maska za mobilne telefone. Ukupno je izvršeno po ovom osnovu 753 pregleda.</w:t>
      </w:r>
      <w:r w:rsidR="004949F5">
        <w:rPr>
          <w:rFonts w:ascii="Cambria" w:hAnsi="Cambria"/>
          <w:noProof/>
          <w:sz w:val="22"/>
          <w:szCs w:val="22"/>
          <w:lang w:val="sr-Latn-RS"/>
        </w:rPr>
        <w:t xml:space="preserve"> </w:t>
      </w:r>
      <w:r w:rsidRPr="00AB15C7">
        <w:rPr>
          <w:rFonts w:ascii="Cambria" w:hAnsi="Cambria"/>
          <w:noProof/>
          <w:sz w:val="22"/>
          <w:szCs w:val="22"/>
        </w:rPr>
        <w:t>U četvrtom kvartalu 2017. vršen je proaktivni nadzor nad igračkama u cilju utvrđivanja da li plastične igračke sadrže hemijske supstance-ftalate iznad dozvoljene koncentacije. Nakon sprovedenog nadzora (42 pregleda) utvrđeno je da 15 vrsta igračaka nije bezbjedno–ukupna količina je 991 komada koje su sadržale ftalate iznad propisanog nivoa Pravilnikom o zabrani i ograničenju korišćenja, stavljanja u promet i proizvodnji hemikalija koje predstavljaju neprihvatljiv rizik po zdravlje ljudi i životnu sredinu ("Sl. list CG", br. 49/13, 12/16)</w:t>
      </w:r>
      <w:r w:rsidRPr="00AB15C7">
        <w:rPr>
          <w:rFonts w:ascii="Cambria" w:hAnsi="Cambria"/>
          <w:noProof/>
          <w:sz w:val="22"/>
          <w:szCs w:val="22"/>
          <w:lang w:val="sr-Latn-RS"/>
        </w:rPr>
        <w:t>. Subjekti nadzora su odmah, dobrovoljno, preduzeli mjere neodložnog povlačenja iz prometa i opoziva ovih igračaka i uništene su sve nebezbjedne igračke u skladu sa propisima od strane uvoznika i distributera. O radu Nacionalnog sistema brze razmjene informacija o proizvodima koji predstavljaju rizik, kao i Nadzoru proizvoda na tržištu sačinjavaju se godišnji izvještaji.</w:t>
      </w:r>
    </w:p>
    <w:p w14:paraId="16142BCC" w14:textId="77777777" w:rsidR="00DE50A7" w:rsidRPr="00AB15C7" w:rsidRDefault="00903AAF" w:rsidP="00557C13">
      <w:pPr>
        <w:pStyle w:val="Heading1"/>
        <w:numPr>
          <w:ilvl w:val="1"/>
          <w:numId w:val="33"/>
        </w:numPr>
        <w:rPr>
          <w:noProof/>
          <w:sz w:val="22"/>
          <w:szCs w:val="22"/>
          <w:lang w:val="en-US"/>
        </w:rPr>
      </w:pPr>
      <w:bookmarkStart w:id="44" w:name="_Toc527353186"/>
      <w:r w:rsidRPr="00AB15C7">
        <w:rPr>
          <w:noProof/>
          <w:sz w:val="22"/>
          <w:szCs w:val="22"/>
          <w:lang w:val="en-US"/>
        </w:rPr>
        <w:lastRenderedPageBreak/>
        <w:t>ZAKONODAVNI INSTRUMENTI I MEHANIZMI ZA UPRAVLJANJE HEMIKALIJAMA</w:t>
      </w:r>
      <w:bookmarkEnd w:id="44"/>
      <w:r w:rsidRPr="00AB15C7">
        <w:rPr>
          <w:noProof/>
          <w:sz w:val="22"/>
          <w:szCs w:val="22"/>
          <w:lang w:val="en-US"/>
        </w:rPr>
        <w:t xml:space="preserve"> </w:t>
      </w:r>
      <w:bookmarkStart w:id="45" w:name="_Toc390417892"/>
    </w:p>
    <w:p w14:paraId="1EE0F453" w14:textId="77777777" w:rsidR="00E414AD" w:rsidRPr="00AB15C7" w:rsidRDefault="00E414AD" w:rsidP="005921EF">
      <w:pPr>
        <w:spacing w:before="120" w:after="0"/>
        <w:jc w:val="both"/>
        <w:rPr>
          <w:rFonts w:ascii="Cambria" w:hAnsi="Cambria" w:cs="Arial"/>
          <w:noProof/>
          <w:lang w:val="sr-Latn-ME"/>
        </w:rPr>
      </w:pPr>
      <w:r w:rsidRPr="00AB15C7">
        <w:rPr>
          <w:rFonts w:ascii="Cambria" w:hAnsi="Cambria" w:cs="Arial"/>
          <w:noProof/>
          <w:lang w:val="sr-Latn-ME"/>
        </w:rPr>
        <w:t>Zakonodavno-pravni okvir zaštite životne sredine</w:t>
      </w:r>
      <w:r w:rsidR="00B82EE1" w:rsidRPr="00AB15C7">
        <w:rPr>
          <w:rFonts w:ascii="Cambria" w:hAnsi="Cambria" w:cs="Arial"/>
          <w:noProof/>
          <w:lang w:val="sr-Latn-ME"/>
        </w:rPr>
        <w:t>, koji uklju</w:t>
      </w:r>
      <w:r w:rsidR="003A2ADF" w:rsidRPr="00AB15C7">
        <w:rPr>
          <w:rFonts w:ascii="Cambria" w:hAnsi="Cambria" w:cs="Arial"/>
          <w:noProof/>
          <w:lang w:val="sr-Latn-ME"/>
        </w:rPr>
        <w:t>č</w:t>
      </w:r>
      <w:r w:rsidR="00B82EE1" w:rsidRPr="00AB15C7">
        <w:rPr>
          <w:rFonts w:ascii="Cambria" w:hAnsi="Cambria" w:cs="Arial"/>
          <w:noProof/>
          <w:lang w:val="sr-Latn-ME"/>
        </w:rPr>
        <w:t>uje i upravljanje hemikalijama,</w:t>
      </w:r>
      <w:r w:rsidRPr="00AB15C7">
        <w:rPr>
          <w:rFonts w:ascii="Cambria" w:hAnsi="Cambria" w:cs="Arial"/>
          <w:noProof/>
          <w:lang w:val="sr-Latn-ME"/>
        </w:rPr>
        <w:t xml:space="preserve"> ima svoje uporište u Ustavu Crne Gore kojim se utvrđuje pravo građana na zdravu životnu sredinu, kao i dužnost građana da štite i unapređuju životnu sredinu (član 23). </w:t>
      </w:r>
      <w:r w:rsidRPr="00AB15C7">
        <w:rPr>
          <w:rFonts w:ascii="Cambria" w:hAnsi="Cambria" w:cs="Arial"/>
          <w:noProof/>
          <w:color w:val="000000"/>
          <w:lang w:val="sr-Latn-ME"/>
        </w:rPr>
        <w:t>Zaštitu životne sredine, u okviru svojih prava i obaveza, obezbjeđuju: državni organi, organi državne uprave, jedinice lokalne samouprave, domaća i strana pravna i fizička lica, nevladine organizacije, građani i udruženja građana</w:t>
      </w:r>
      <w:r w:rsidRPr="00AB15C7">
        <w:rPr>
          <w:rFonts w:ascii="Cambria" w:hAnsi="Cambria" w:cs="Arial"/>
          <w:noProof/>
          <w:lang w:val="sr-Latn-ME"/>
        </w:rPr>
        <w:t>.</w:t>
      </w:r>
    </w:p>
    <w:p w14:paraId="3709C502" w14:textId="7E1A992C" w:rsidR="00BB3FEF" w:rsidRPr="00AB15C7" w:rsidRDefault="0066079C" w:rsidP="005921EF">
      <w:pPr>
        <w:spacing w:after="0"/>
        <w:jc w:val="both"/>
        <w:rPr>
          <w:rFonts w:ascii="Cambria" w:hAnsi="Cambria" w:cs="Arial"/>
          <w:noProof/>
          <w:lang w:val="sr-Latn-ME"/>
        </w:rPr>
      </w:pPr>
      <w:r w:rsidRPr="00AB15C7">
        <w:rPr>
          <w:rFonts w:ascii="Cambria" w:hAnsi="Cambria" w:cs="Arial"/>
          <w:noProof/>
          <w:lang w:val="sr-Latn-ME"/>
        </w:rPr>
        <w:t xml:space="preserve">Usljed međuresorne prirode upravljanja hemikalijama, </w:t>
      </w:r>
      <w:r w:rsidR="007707E8" w:rsidRPr="00AB15C7">
        <w:rPr>
          <w:rFonts w:ascii="Cambria" w:hAnsi="Cambria" w:cs="Arial"/>
          <w:noProof/>
          <w:lang w:val="sr-Latn-ME"/>
        </w:rPr>
        <w:t xml:space="preserve">pored Zakona o hemikalijama, kao </w:t>
      </w:r>
      <w:r w:rsidR="003752C9" w:rsidRPr="00AB15C7">
        <w:rPr>
          <w:rFonts w:ascii="Cambria" w:hAnsi="Cambria" w:cs="Arial"/>
          <w:noProof/>
          <w:lang w:val="sr-Latn-ME"/>
        </w:rPr>
        <w:t>osnovnog</w:t>
      </w:r>
      <w:r w:rsidR="007707E8" w:rsidRPr="00AB15C7">
        <w:rPr>
          <w:rFonts w:ascii="Cambria" w:hAnsi="Cambria" w:cs="Arial"/>
          <w:noProof/>
          <w:lang w:val="sr-Latn-ME"/>
        </w:rPr>
        <w:t xml:space="preserve"> propisa u </w:t>
      </w:r>
      <w:r w:rsidR="003752C9" w:rsidRPr="00AB15C7">
        <w:rPr>
          <w:rFonts w:ascii="Cambria" w:hAnsi="Cambria" w:cs="Arial"/>
          <w:noProof/>
          <w:lang w:val="sr-Latn-ME"/>
        </w:rPr>
        <w:t>kojim se ure</w:t>
      </w:r>
      <w:r w:rsidR="00646B08" w:rsidRPr="00AB15C7">
        <w:rPr>
          <w:rFonts w:ascii="Cambria" w:hAnsi="Cambria" w:cs="Arial"/>
          <w:noProof/>
          <w:lang w:val="sr-Latn-ME"/>
        </w:rPr>
        <w:t>đ</w:t>
      </w:r>
      <w:r w:rsidR="003752C9" w:rsidRPr="00AB15C7">
        <w:rPr>
          <w:rFonts w:ascii="Cambria" w:hAnsi="Cambria" w:cs="Arial"/>
          <w:noProof/>
          <w:lang w:val="sr-Latn-ME"/>
        </w:rPr>
        <w:t xml:space="preserve">uju </w:t>
      </w:r>
      <w:r w:rsidR="00646B08" w:rsidRPr="00AB15C7">
        <w:rPr>
          <w:rFonts w:ascii="Cambria" w:hAnsi="Cambria" w:cs="Arial"/>
          <w:noProof/>
          <w:lang w:val="sr-Latn-ME"/>
        </w:rPr>
        <w:t xml:space="preserve">aspekti vezani za </w:t>
      </w:r>
      <w:r w:rsidR="008B2373" w:rsidRPr="00AB15C7">
        <w:rPr>
          <w:rFonts w:ascii="Cambria" w:hAnsi="Cambria" w:cs="Arial"/>
          <w:noProof/>
          <w:lang w:val="sr-Latn-RS"/>
        </w:rPr>
        <w:t>stavljanje na tržište</w:t>
      </w:r>
      <w:r w:rsidR="003752C9" w:rsidRPr="00AB15C7">
        <w:rPr>
          <w:rFonts w:ascii="Cambria" w:hAnsi="Cambria" w:cs="Arial"/>
          <w:noProof/>
          <w:lang w:val="sr-Latn-ME"/>
        </w:rPr>
        <w:t xml:space="preserve"> i korišćenje hemikalija kao ključn</w:t>
      </w:r>
      <w:r w:rsidR="008B2373" w:rsidRPr="00AB15C7">
        <w:rPr>
          <w:rFonts w:ascii="Cambria" w:hAnsi="Cambria" w:cs="Arial"/>
          <w:noProof/>
          <w:lang w:val="sr-Latn-ME"/>
        </w:rPr>
        <w:t>ih</w:t>
      </w:r>
      <w:r w:rsidR="003752C9" w:rsidRPr="00AB15C7">
        <w:rPr>
          <w:rFonts w:ascii="Cambria" w:hAnsi="Cambria" w:cs="Arial"/>
          <w:noProof/>
          <w:lang w:val="sr-Latn-ME"/>
        </w:rPr>
        <w:t xml:space="preserve"> faz</w:t>
      </w:r>
      <w:r w:rsidR="008B2373" w:rsidRPr="00AB15C7">
        <w:rPr>
          <w:rFonts w:ascii="Cambria" w:hAnsi="Cambria" w:cs="Arial"/>
          <w:noProof/>
          <w:lang w:val="sr-Latn-ME"/>
        </w:rPr>
        <w:t>a</w:t>
      </w:r>
      <w:r w:rsidR="003752C9" w:rsidRPr="00AB15C7">
        <w:rPr>
          <w:rFonts w:ascii="Cambria" w:hAnsi="Cambria" w:cs="Arial"/>
          <w:noProof/>
          <w:lang w:val="sr-Latn-ME"/>
        </w:rPr>
        <w:t xml:space="preserve"> u životnom ciklusu hemikalija</w:t>
      </w:r>
      <w:r w:rsidR="007707E8" w:rsidRPr="00AB15C7">
        <w:rPr>
          <w:rFonts w:ascii="Cambria" w:hAnsi="Cambria" w:cs="Arial"/>
          <w:noProof/>
          <w:lang w:val="sr-Latn-ME"/>
        </w:rPr>
        <w:t xml:space="preserve">, </w:t>
      </w:r>
      <w:r w:rsidRPr="00AB15C7">
        <w:rPr>
          <w:rFonts w:ascii="Cambria" w:hAnsi="Cambria" w:cs="Arial"/>
          <w:noProof/>
          <w:lang w:val="sr-Latn-ME"/>
        </w:rPr>
        <w:t xml:space="preserve">postoji </w:t>
      </w:r>
      <w:r w:rsidR="007707E8" w:rsidRPr="00AB15C7">
        <w:rPr>
          <w:rFonts w:ascii="Cambria" w:hAnsi="Cambria" w:cs="Arial"/>
          <w:noProof/>
          <w:lang w:val="sr-Latn-ME"/>
        </w:rPr>
        <w:t xml:space="preserve">i </w:t>
      </w:r>
      <w:r w:rsidRPr="00AB15C7">
        <w:rPr>
          <w:rFonts w:ascii="Cambria" w:hAnsi="Cambria" w:cs="Arial"/>
          <w:noProof/>
          <w:lang w:val="sr-Latn-ME"/>
        </w:rPr>
        <w:t>v</w:t>
      </w:r>
      <w:r w:rsidR="008918CD" w:rsidRPr="00AB15C7">
        <w:rPr>
          <w:rFonts w:ascii="Cambria" w:hAnsi="Cambria" w:cs="Arial"/>
          <w:noProof/>
          <w:lang w:val="sr-Latn-ME"/>
        </w:rPr>
        <w:t xml:space="preserve">eći broj </w:t>
      </w:r>
      <w:r w:rsidR="00CE0224">
        <w:rPr>
          <w:rFonts w:ascii="Cambria" w:hAnsi="Cambria" w:cs="Arial"/>
          <w:noProof/>
          <w:lang w:val="sr-Latn-ME"/>
        </w:rPr>
        <w:t>z</w:t>
      </w:r>
      <w:r w:rsidR="00CE0224" w:rsidRPr="00AB15C7">
        <w:rPr>
          <w:rFonts w:ascii="Cambria" w:hAnsi="Cambria" w:cs="Arial"/>
          <w:noProof/>
          <w:lang w:val="sr-Latn-ME"/>
        </w:rPr>
        <w:t xml:space="preserve">akona </w:t>
      </w:r>
      <w:r w:rsidRPr="00AB15C7">
        <w:rPr>
          <w:rFonts w:ascii="Cambria" w:hAnsi="Cambria" w:cs="Arial"/>
          <w:noProof/>
          <w:lang w:val="sr-Latn-ME"/>
        </w:rPr>
        <w:t xml:space="preserve">i na osnovu njih donijetih podzakonskih akata koji </w:t>
      </w:r>
      <w:r w:rsidR="000E440C" w:rsidRPr="00AB15C7">
        <w:rPr>
          <w:rFonts w:ascii="Cambria" w:hAnsi="Cambria" w:cs="Arial"/>
          <w:noProof/>
          <w:lang w:val="sr-Latn-ME"/>
        </w:rPr>
        <w:t>su u vezi sa bezbjednim upravljanjem</w:t>
      </w:r>
      <w:r w:rsidR="007A2421" w:rsidRPr="00AB15C7">
        <w:rPr>
          <w:rFonts w:ascii="Cambria" w:hAnsi="Cambria" w:cs="Arial"/>
          <w:noProof/>
          <w:lang w:val="sr-Latn-ME"/>
        </w:rPr>
        <w:t xml:space="preserve"> hemikalijama</w:t>
      </w:r>
      <w:r w:rsidR="008918CD" w:rsidRPr="00AB15C7">
        <w:rPr>
          <w:rFonts w:ascii="Cambria" w:hAnsi="Cambria" w:cs="Arial"/>
          <w:noProof/>
          <w:lang w:val="sr-Latn-ME"/>
        </w:rPr>
        <w:t xml:space="preserve"> s</w:t>
      </w:r>
      <w:r w:rsidRPr="00AB15C7">
        <w:rPr>
          <w:rFonts w:ascii="Cambria" w:hAnsi="Cambria" w:cs="Arial"/>
          <w:noProof/>
          <w:lang w:val="sr-Latn-ME"/>
        </w:rPr>
        <w:t xml:space="preserve"> različitih aspekata</w:t>
      </w:r>
      <w:r w:rsidR="008B2373" w:rsidRPr="00AB15C7">
        <w:rPr>
          <w:rFonts w:ascii="Cambria" w:hAnsi="Cambria" w:cs="Arial"/>
          <w:noProof/>
          <w:lang w:val="sr-Latn-ME"/>
        </w:rPr>
        <w:t xml:space="preserve"> </w:t>
      </w:r>
      <w:r w:rsidR="00646B08" w:rsidRPr="00AB15C7">
        <w:rPr>
          <w:rFonts w:ascii="Cambria" w:hAnsi="Cambria" w:cs="Arial"/>
          <w:noProof/>
          <w:lang w:val="sr-Latn-ME"/>
        </w:rPr>
        <w:t>i obezb</w:t>
      </w:r>
      <w:r w:rsidR="00B4116A">
        <w:rPr>
          <w:rFonts w:ascii="Cambria" w:hAnsi="Cambria" w:cs="Arial"/>
          <w:noProof/>
          <w:lang w:val="sr-Latn-ME"/>
        </w:rPr>
        <w:t>j</w:t>
      </w:r>
      <w:r w:rsidR="00646B08" w:rsidRPr="00AB15C7">
        <w:rPr>
          <w:rFonts w:ascii="Cambria" w:hAnsi="Cambria" w:cs="Arial"/>
          <w:noProof/>
          <w:lang w:val="sr-Latn-ME"/>
        </w:rPr>
        <w:t>eđuju  da se u ostalim fazama</w:t>
      </w:r>
      <w:r w:rsidR="003752C9" w:rsidRPr="00AB15C7">
        <w:rPr>
          <w:rFonts w:ascii="Cambria" w:hAnsi="Cambria" w:cs="Arial"/>
          <w:noProof/>
          <w:lang w:val="sr-Latn-ME"/>
        </w:rPr>
        <w:t xml:space="preserve"> životnog ciklusa hemikalija</w:t>
      </w:r>
      <w:r w:rsidR="00646B08" w:rsidRPr="00AB15C7">
        <w:rPr>
          <w:rFonts w:ascii="Cambria" w:hAnsi="Cambria" w:cs="Arial"/>
          <w:noProof/>
          <w:lang w:val="sr-Latn-ME"/>
        </w:rPr>
        <w:t xml:space="preserve"> prim</w:t>
      </w:r>
      <w:r w:rsidR="00CE0224">
        <w:rPr>
          <w:rFonts w:ascii="Cambria" w:hAnsi="Cambria" w:cs="Arial"/>
          <w:noProof/>
          <w:lang w:val="sr-Latn-ME"/>
        </w:rPr>
        <w:t>j</w:t>
      </w:r>
      <w:r w:rsidR="00646B08" w:rsidRPr="00AB15C7">
        <w:rPr>
          <w:rFonts w:ascii="Cambria" w:hAnsi="Cambria" w:cs="Arial"/>
          <w:noProof/>
          <w:lang w:val="sr-Latn-ME"/>
        </w:rPr>
        <w:t>ene neophodne m</w:t>
      </w:r>
      <w:r w:rsidR="006B3CE0">
        <w:rPr>
          <w:rFonts w:ascii="Cambria" w:hAnsi="Cambria" w:cs="Arial"/>
          <w:noProof/>
          <w:lang w:val="sr-Latn-ME"/>
        </w:rPr>
        <w:t>j</w:t>
      </w:r>
      <w:r w:rsidR="00646B08" w:rsidRPr="00AB15C7">
        <w:rPr>
          <w:rFonts w:ascii="Cambria" w:hAnsi="Cambria" w:cs="Arial"/>
          <w:noProof/>
          <w:lang w:val="sr-Latn-ME"/>
        </w:rPr>
        <w:t xml:space="preserve">ere i </w:t>
      </w:r>
      <w:r w:rsidR="008B2373" w:rsidRPr="00AB15C7">
        <w:rPr>
          <w:rFonts w:ascii="Cambria" w:hAnsi="Cambria" w:cs="Arial"/>
          <w:noProof/>
          <w:lang w:val="sr-Latn-ME"/>
        </w:rPr>
        <w:t>postupci</w:t>
      </w:r>
      <w:r w:rsidR="00646B08" w:rsidRPr="00AB15C7">
        <w:rPr>
          <w:rFonts w:ascii="Cambria" w:hAnsi="Cambria" w:cs="Arial"/>
          <w:noProof/>
          <w:lang w:val="sr-Latn-ME"/>
        </w:rPr>
        <w:t xml:space="preserve"> kako bi se obezb</w:t>
      </w:r>
      <w:r w:rsidR="00C64A7E" w:rsidRPr="00AB15C7">
        <w:rPr>
          <w:rFonts w:ascii="Cambria" w:hAnsi="Cambria" w:cs="Arial"/>
          <w:noProof/>
          <w:lang w:val="sr-Latn-ME"/>
        </w:rPr>
        <w:t>ij</w:t>
      </w:r>
      <w:r w:rsidR="00646B08" w:rsidRPr="00AB15C7">
        <w:rPr>
          <w:rFonts w:ascii="Cambria" w:hAnsi="Cambria" w:cs="Arial"/>
          <w:noProof/>
          <w:lang w:val="sr-Latn-ME"/>
        </w:rPr>
        <w:t xml:space="preserve">edila zaštita </w:t>
      </w:r>
      <w:r w:rsidR="008B2373" w:rsidRPr="00AB15C7">
        <w:rPr>
          <w:rFonts w:ascii="Cambria" w:hAnsi="Cambria" w:cs="Arial"/>
          <w:noProof/>
          <w:lang w:val="sr-Latn-ME"/>
        </w:rPr>
        <w:t>z</w:t>
      </w:r>
      <w:r w:rsidR="00646B08" w:rsidRPr="00AB15C7">
        <w:rPr>
          <w:rFonts w:ascii="Cambria" w:hAnsi="Cambria" w:cs="Arial"/>
          <w:noProof/>
          <w:lang w:val="sr-Latn-ME"/>
        </w:rPr>
        <w:t>dravlja judi i životne sredine</w:t>
      </w:r>
      <w:r w:rsidRPr="00AB15C7">
        <w:rPr>
          <w:rFonts w:ascii="Cambria" w:hAnsi="Cambria" w:cs="Arial"/>
          <w:noProof/>
          <w:lang w:val="sr-Latn-ME"/>
        </w:rPr>
        <w:t xml:space="preserve">. Cilj </w:t>
      </w:r>
      <w:r w:rsidR="008918CD" w:rsidRPr="00AB15C7">
        <w:rPr>
          <w:rFonts w:ascii="Cambria" w:hAnsi="Cambria" w:cs="Arial"/>
          <w:noProof/>
          <w:lang w:val="sr-Latn-ME"/>
        </w:rPr>
        <w:t>S</w:t>
      </w:r>
      <w:r w:rsidRPr="00AB15C7">
        <w:rPr>
          <w:rFonts w:ascii="Cambria" w:hAnsi="Cambria" w:cs="Arial"/>
          <w:noProof/>
          <w:lang w:val="sr-Latn-ME"/>
        </w:rPr>
        <w:t>trategije je da procijeni da li su svi važni aspekti upravljanja hemikalijama pokriveni i da li su propisi međusobno usklađeni.</w:t>
      </w:r>
      <w:r w:rsidR="00E414AD" w:rsidRPr="00AB15C7">
        <w:rPr>
          <w:rFonts w:ascii="Cambria" w:hAnsi="Cambria" w:cs="Arial"/>
          <w:noProof/>
          <w:lang w:val="sr-Latn-ME"/>
        </w:rPr>
        <w:t xml:space="preserve"> S tim u vezi, u ovom poglavlju je data </w:t>
      </w:r>
      <w:r w:rsidR="00DE6B82" w:rsidRPr="00AB15C7">
        <w:rPr>
          <w:rFonts w:ascii="Cambria" w:hAnsi="Cambria" w:cs="Arial"/>
          <w:noProof/>
          <w:lang w:val="sr-Latn-ME"/>
        </w:rPr>
        <w:t>detalj</w:t>
      </w:r>
      <w:r w:rsidR="00DE6B82">
        <w:rPr>
          <w:rFonts w:ascii="Cambria" w:hAnsi="Cambria" w:cs="Arial"/>
          <w:noProof/>
          <w:lang w:val="sr-Latn-ME"/>
        </w:rPr>
        <w:t>an pregled</w:t>
      </w:r>
      <w:r w:rsidR="00DE6B82" w:rsidRPr="00AB15C7">
        <w:rPr>
          <w:rFonts w:ascii="Cambria" w:hAnsi="Cambria" w:cs="Arial"/>
          <w:noProof/>
          <w:lang w:val="sr-Latn-ME"/>
        </w:rPr>
        <w:t xml:space="preserve"> </w:t>
      </w:r>
      <w:r w:rsidRPr="00AB15C7">
        <w:rPr>
          <w:rFonts w:ascii="Cambria" w:hAnsi="Cambria" w:cs="Arial"/>
          <w:noProof/>
          <w:lang w:val="sr-Latn-ME"/>
        </w:rPr>
        <w:t xml:space="preserve">propisa u </w:t>
      </w:r>
      <w:r w:rsidR="00DE6B82">
        <w:rPr>
          <w:rFonts w:ascii="Cambria" w:hAnsi="Cambria" w:cs="Arial"/>
          <w:noProof/>
          <w:lang w:val="sr-Latn-ME"/>
        </w:rPr>
        <w:t xml:space="preserve">vezi sa </w:t>
      </w:r>
      <w:r w:rsidRPr="00AB15C7">
        <w:rPr>
          <w:rFonts w:ascii="Cambria" w:hAnsi="Cambria" w:cs="Arial"/>
          <w:noProof/>
          <w:lang w:val="sr-Latn-ME"/>
        </w:rPr>
        <w:t>upravljanj</w:t>
      </w:r>
      <w:r w:rsidR="00DE6B82">
        <w:rPr>
          <w:rFonts w:ascii="Cambria" w:hAnsi="Cambria" w:cs="Arial"/>
          <w:noProof/>
          <w:lang w:val="sr-Latn-ME"/>
        </w:rPr>
        <w:t>em</w:t>
      </w:r>
      <w:r w:rsidRPr="00AB15C7">
        <w:rPr>
          <w:rFonts w:ascii="Cambria" w:hAnsi="Cambria" w:cs="Arial"/>
          <w:noProof/>
          <w:lang w:val="sr-Latn-ME"/>
        </w:rPr>
        <w:t xml:space="preserve"> hemikalijama, kao i </w:t>
      </w:r>
      <w:r w:rsidR="00DE6B82">
        <w:rPr>
          <w:rFonts w:ascii="Cambria" w:hAnsi="Cambria" w:cs="Arial"/>
          <w:noProof/>
          <w:lang w:val="sr-Latn-ME"/>
        </w:rPr>
        <w:t>klju</w:t>
      </w:r>
      <w:r w:rsidR="00DE6B82">
        <w:rPr>
          <w:rFonts w:ascii="Cambria" w:hAnsi="Cambria" w:cs="Arial"/>
          <w:noProof/>
          <w:lang w:val="sr-Latn-RS"/>
        </w:rPr>
        <w:t>čni aspekti</w:t>
      </w:r>
      <w:r w:rsidR="00DE6B82" w:rsidRPr="00AB15C7">
        <w:rPr>
          <w:rFonts w:ascii="Cambria" w:hAnsi="Cambria" w:cs="Arial"/>
          <w:noProof/>
          <w:lang w:val="sr-Latn-ME"/>
        </w:rPr>
        <w:t xml:space="preserve"> </w:t>
      </w:r>
      <w:r w:rsidR="00E414AD" w:rsidRPr="00AB15C7">
        <w:rPr>
          <w:rFonts w:ascii="Cambria" w:hAnsi="Cambria" w:cs="Arial"/>
          <w:noProof/>
          <w:lang w:val="sr-Latn-ME"/>
        </w:rPr>
        <w:t xml:space="preserve">njihovog </w:t>
      </w:r>
      <w:r w:rsidRPr="00AB15C7">
        <w:rPr>
          <w:rFonts w:ascii="Cambria" w:hAnsi="Cambria" w:cs="Arial"/>
          <w:noProof/>
          <w:lang w:val="sr-Latn-ME"/>
        </w:rPr>
        <w:t>sprovođenja.</w:t>
      </w:r>
    </w:p>
    <w:p w14:paraId="0CD7A1B1" w14:textId="77777777" w:rsidR="00DA4DFC" w:rsidRPr="00AB15C7" w:rsidRDefault="00DA4DFC" w:rsidP="005921EF">
      <w:pPr>
        <w:spacing w:after="0"/>
        <w:jc w:val="both"/>
        <w:rPr>
          <w:rFonts w:ascii="Cambria" w:hAnsi="Cambria" w:cs="Arial"/>
          <w:noProof/>
          <w:lang w:val="sr-Latn-ME"/>
        </w:rPr>
      </w:pPr>
      <w:r w:rsidRPr="00AB15C7">
        <w:rPr>
          <w:rFonts w:ascii="Cambria" w:hAnsi="Cambria" w:cs="Arial"/>
          <w:noProof/>
        </w:rPr>
        <w:t xml:space="preserve">Integracija u EU jedan je od ključnih strateških ciljeva Crne Gore; stoga, već duže od decenije </w:t>
      </w:r>
      <w:r w:rsidR="002C6914" w:rsidRPr="00AB15C7">
        <w:rPr>
          <w:rFonts w:ascii="Cambria" w:hAnsi="Cambria" w:cs="Arial"/>
          <w:noProof/>
        </w:rPr>
        <w:t>proces</w:t>
      </w:r>
      <w:r w:rsidRPr="00AB15C7">
        <w:rPr>
          <w:rFonts w:ascii="Cambria" w:hAnsi="Cambria" w:cs="Arial"/>
          <w:noProof/>
        </w:rPr>
        <w:t xml:space="preserve"> približavanja EU oblikuje razvoj okvira, politika i institucija u svim oblastima, </w:t>
      </w:r>
      <w:r w:rsidR="002C6914" w:rsidRPr="00AB15C7">
        <w:rPr>
          <w:rFonts w:ascii="Cambria" w:hAnsi="Cambria" w:cs="Arial"/>
          <w:noProof/>
        </w:rPr>
        <w:t>pa i u oblasti za</w:t>
      </w:r>
      <w:r w:rsidR="002C6914" w:rsidRPr="00AB15C7">
        <w:rPr>
          <w:rFonts w:ascii="Cambria" w:hAnsi="Cambria" w:cs="Arial"/>
          <w:noProof/>
          <w:lang w:val="sr-Latn-RS"/>
        </w:rPr>
        <w:t xml:space="preserve">štite </w:t>
      </w:r>
      <w:r w:rsidRPr="00AB15C7">
        <w:rPr>
          <w:rFonts w:ascii="Cambria" w:hAnsi="Cambria" w:cs="Arial"/>
          <w:noProof/>
        </w:rPr>
        <w:t xml:space="preserve">životne sredine </w:t>
      </w:r>
      <w:r w:rsidR="002C6914" w:rsidRPr="00AB15C7">
        <w:rPr>
          <w:rFonts w:ascii="Cambria" w:hAnsi="Cambria" w:cs="Arial"/>
          <w:noProof/>
        </w:rPr>
        <w:t xml:space="preserve">uključujući podoblast </w:t>
      </w:r>
      <w:r w:rsidRPr="00AB15C7">
        <w:rPr>
          <w:rFonts w:ascii="Cambria" w:hAnsi="Cambria" w:cs="Arial"/>
          <w:noProof/>
        </w:rPr>
        <w:t>upravljanj</w:t>
      </w:r>
      <w:r w:rsidR="002C6914" w:rsidRPr="00AB15C7">
        <w:rPr>
          <w:rFonts w:ascii="Cambria" w:hAnsi="Cambria" w:cs="Arial"/>
          <w:noProof/>
        </w:rPr>
        <w:t>a</w:t>
      </w:r>
      <w:r w:rsidRPr="00AB15C7">
        <w:rPr>
          <w:rFonts w:ascii="Cambria" w:hAnsi="Cambria" w:cs="Arial"/>
          <w:noProof/>
        </w:rPr>
        <w:t xml:space="preserve"> hemikalijama.</w:t>
      </w:r>
      <w:r w:rsidR="002C6914" w:rsidRPr="00AB15C7">
        <w:rPr>
          <w:rFonts w:ascii="Cambria" w:hAnsi="Cambria" w:cs="Arial"/>
          <w:noProof/>
        </w:rPr>
        <w:t xml:space="preserve"> </w:t>
      </w:r>
      <w:r w:rsidR="008B2373" w:rsidRPr="00AB15C7">
        <w:rPr>
          <w:rFonts w:ascii="Cambria" w:hAnsi="Cambria" w:cs="Arial"/>
          <w:noProof/>
        </w:rPr>
        <w:t>Stoga je u</w:t>
      </w:r>
      <w:r w:rsidRPr="00AB15C7">
        <w:rPr>
          <w:rFonts w:ascii="Cambria" w:hAnsi="Cambria" w:cs="Arial"/>
          <w:noProof/>
          <w:lang w:val="sr-Latn-ME"/>
        </w:rPr>
        <w:t xml:space="preserve"> analizi </w:t>
      </w:r>
      <w:r w:rsidR="002C6914" w:rsidRPr="00AB15C7">
        <w:rPr>
          <w:rFonts w:ascii="Cambria" w:hAnsi="Cambria" w:cs="Arial"/>
          <w:noProof/>
          <w:lang w:val="sr-Latn-ME"/>
        </w:rPr>
        <w:t>z</w:t>
      </w:r>
      <w:r w:rsidRPr="00AB15C7">
        <w:rPr>
          <w:rFonts w:ascii="Cambria" w:hAnsi="Cambria" w:cs="Arial"/>
          <w:noProof/>
          <w:lang w:val="sr-Latn-ME"/>
        </w:rPr>
        <w:t>akonodavnog okvira</w:t>
      </w:r>
      <w:r w:rsidR="008B2373" w:rsidRPr="00AB15C7">
        <w:rPr>
          <w:rFonts w:ascii="Cambria" w:hAnsi="Cambria" w:cs="Arial"/>
          <w:noProof/>
          <w:lang w:val="sr-Latn-ME"/>
        </w:rPr>
        <w:t xml:space="preserve"> dat i osvrt na usaglašenost sa propisma EU.</w:t>
      </w:r>
      <w:r w:rsidR="002C6914" w:rsidRPr="00AB15C7">
        <w:rPr>
          <w:rFonts w:ascii="Cambria" w:hAnsi="Cambria" w:cs="Arial"/>
          <w:noProof/>
          <w:lang w:val="sr-Latn-ME"/>
        </w:rPr>
        <w:t xml:space="preserve"> </w:t>
      </w:r>
    </w:p>
    <w:p w14:paraId="73449E39" w14:textId="77777777" w:rsidR="00053F9C" w:rsidRPr="00AB15C7" w:rsidRDefault="00DE50A7" w:rsidP="005921EF">
      <w:pPr>
        <w:pStyle w:val="Heading2"/>
        <w:rPr>
          <w:noProof/>
          <w:sz w:val="22"/>
          <w:szCs w:val="22"/>
        </w:rPr>
      </w:pPr>
      <w:bookmarkStart w:id="46" w:name="_Toc527353187"/>
      <w:r w:rsidRPr="00AB15C7">
        <w:rPr>
          <w:noProof/>
          <w:sz w:val="22"/>
          <w:szCs w:val="22"/>
          <w:lang w:val="en-US"/>
        </w:rPr>
        <w:t>2.</w:t>
      </w:r>
      <w:r w:rsidR="008705D2" w:rsidRPr="00AB15C7">
        <w:rPr>
          <w:noProof/>
          <w:sz w:val="22"/>
          <w:szCs w:val="22"/>
          <w:lang w:val="en-US"/>
        </w:rPr>
        <w:t>3</w:t>
      </w:r>
      <w:r w:rsidR="00E6278E" w:rsidRPr="00AB15C7">
        <w:rPr>
          <w:noProof/>
          <w:sz w:val="22"/>
          <w:szCs w:val="22"/>
          <w:lang w:val="en-US"/>
        </w:rPr>
        <w:t xml:space="preserve">.1. </w:t>
      </w:r>
      <w:r w:rsidR="00486EB8" w:rsidRPr="00AB15C7">
        <w:rPr>
          <w:noProof/>
          <w:sz w:val="22"/>
          <w:szCs w:val="22"/>
          <w:lang w:val="sr-Latn-CS"/>
        </w:rPr>
        <w:t xml:space="preserve">Pregled </w:t>
      </w:r>
      <w:r w:rsidR="001247F3" w:rsidRPr="00AB15C7">
        <w:rPr>
          <w:noProof/>
          <w:sz w:val="22"/>
          <w:szCs w:val="22"/>
          <w:lang w:val="sr-Latn-CS"/>
        </w:rPr>
        <w:t xml:space="preserve">relevantnog </w:t>
      </w:r>
      <w:r w:rsidR="00486EB8" w:rsidRPr="00AB15C7">
        <w:rPr>
          <w:noProof/>
          <w:sz w:val="22"/>
          <w:szCs w:val="22"/>
          <w:lang w:val="sr-Latn-CS"/>
        </w:rPr>
        <w:t>nacionalnog zakonodavstva</w:t>
      </w:r>
      <w:bookmarkEnd w:id="46"/>
      <w:r w:rsidR="00486EB8" w:rsidRPr="00AB15C7">
        <w:rPr>
          <w:noProof/>
          <w:sz w:val="22"/>
          <w:szCs w:val="22"/>
          <w:lang w:val="sr-Latn-CS"/>
        </w:rPr>
        <w:t xml:space="preserve"> </w:t>
      </w:r>
    </w:p>
    <w:p w14:paraId="2A76DB55" w14:textId="5FB6BA40" w:rsidR="0066079C" w:rsidRPr="00AB15C7" w:rsidRDefault="00BB3FEF" w:rsidP="005921EF">
      <w:pPr>
        <w:spacing w:after="0"/>
        <w:jc w:val="both"/>
        <w:rPr>
          <w:rFonts w:ascii="Cambria" w:hAnsi="Cambria" w:cs="Arial"/>
          <w:noProof/>
          <w:lang w:val="sr-Latn-ME"/>
        </w:rPr>
      </w:pPr>
      <w:r w:rsidRPr="00AB15C7">
        <w:rPr>
          <w:rFonts w:ascii="Cambria" w:hAnsi="Cambria"/>
          <w:b/>
          <w:noProof/>
          <w:lang w:val="sr-Latn-ME"/>
        </w:rPr>
        <w:t xml:space="preserve"> </w:t>
      </w:r>
    </w:p>
    <w:p w14:paraId="2CC911A3" w14:textId="77777777" w:rsidR="0093769A" w:rsidRPr="00AB15C7" w:rsidRDefault="00DE50A7" w:rsidP="005921EF">
      <w:pPr>
        <w:pStyle w:val="Heading2"/>
        <w:rPr>
          <w:noProof/>
          <w:sz w:val="22"/>
          <w:szCs w:val="22"/>
          <w:lang w:val="en-US"/>
        </w:rPr>
      </w:pPr>
      <w:bookmarkStart w:id="47" w:name="_Toc527353188"/>
      <w:bookmarkStart w:id="48" w:name="_Hlk518340110"/>
      <w:r w:rsidRPr="00AB15C7">
        <w:rPr>
          <w:noProof/>
          <w:sz w:val="22"/>
          <w:szCs w:val="22"/>
          <w:lang w:val="en-US"/>
        </w:rPr>
        <w:t>2.</w:t>
      </w:r>
      <w:r w:rsidR="00486EB8" w:rsidRPr="00AB15C7">
        <w:rPr>
          <w:noProof/>
          <w:sz w:val="22"/>
          <w:szCs w:val="22"/>
          <w:lang w:val="en-US"/>
        </w:rPr>
        <w:t>3.1.1. Krovni propisi u oblasti upravljanja hemikalijama</w:t>
      </w:r>
      <w:bookmarkEnd w:id="47"/>
      <w:r w:rsidR="00486EB8" w:rsidRPr="00AB15C7">
        <w:rPr>
          <w:noProof/>
          <w:sz w:val="22"/>
          <w:szCs w:val="22"/>
          <w:lang w:val="en-US"/>
        </w:rPr>
        <w:t xml:space="preserve"> </w:t>
      </w:r>
    </w:p>
    <w:p w14:paraId="38B6782D" w14:textId="241E18D8" w:rsidR="0093769A" w:rsidRPr="00AB15C7" w:rsidRDefault="008B3355" w:rsidP="005921EF">
      <w:pPr>
        <w:spacing w:before="120" w:after="0"/>
        <w:jc w:val="both"/>
        <w:rPr>
          <w:rFonts w:ascii="Cambria" w:hAnsi="Cambria" w:cs="Arial"/>
          <w:noProof/>
          <w:lang w:val="sr-Latn-ME"/>
        </w:rPr>
      </w:pPr>
      <w:r w:rsidRPr="00AB15C7">
        <w:rPr>
          <w:rFonts w:ascii="Cambria" w:hAnsi="Cambria"/>
          <w:noProof/>
          <w:color w:val="000000"/>
          <w:lang w:val="sr-Latn-ME"/>
        </w:rPr>
        <w:t>Krovni</w:t>
      </w:r>
      <w:r w:rsidR="0093769A" w:rsidRPr="00AB15C7">
        <w:rPr>
          <w:rFonts w:ascii="Cambria" w:hAnsi="Cambria"/>
          <w:noProof/>
          <w:color w:val="000000"/>
          <w:lang w:val="sr-Latn-ME"/>
        </w:rPr>
        <w:t xml:space="preserve"> važeći </w:t>
      </w:r>
      <w:r w:rsidR="006B3CE0">
        <w:rPr>
          <w:rFonts w:ascii="Cambria" w:hAnsi="Cambria"/>
          <w:noProof/>
          <w:color w:val="000000"/>
          <w:lang w:val="sr-Latn-ME"/>
        </w:rPr>
        <w:t>z</w:t>
      </w:r>
      <w:r w:rsidR="006B3CE0" w:rsidRPr="00AB15C7">
        <w:rPr>
          <w:rFonts w:ascii="Cambria" w:hAnsi="Cambria"/>
          <w:noProof/>
          <w:color w:val="000000"/>
          <w:lang w:val="sr-Latn-ME"/>
        </w:rPr>
        <w:t xml:space="preserve">akon </w:t>
      </w:r>
      <w:r w:rsidR="0093769A" w:rsidRPr="00AB15C7">
        <w:rPr>
          <w:rFonts w:ascii="Cambria" w:hAnsi="Cambria"/>
          <w:noProof/>
          <w:color w:val="000000"/>
          <w:lang w:val="sr-Latn-ME"/>
        </w:rPr>
        <w:t xml:space="preserve">kojim se regulišu hemikalije je </w:t>
      </w:r>
      <w:r w:rsidR="0093769A" w:rsidRPr="00AB15C7">
        <w:rPr>
          <w:rFonts w:ascii="Cambria" w:hAnsi="Cambria" w:cs="Arial"/>
          <w:b/>
          <w:noProof/>
          <w:lang w:val="sr-Latn-ME"/>
        </w:rPr>
        <w:t>Zakon o hemikalijama</w:t>
      </w:r>
      <w:r w:rsidR="0093769A" w:rsidRPr="00AB15C7">
        <w:rPr>
          <w:rFonts w:ascii="Cambria" w:hAnsi="Cambria" w:cs="Arial"/>
          <w:noProof/>
          <w:lang w:val="sr-Latn-ME"/>
        </w:rPr>
        <w:t xml:space="preserve"> (“Sl. list Crne Gore” br. 51/17) koji je stupio je na snagu u avgustu 2017. godine i predstavlja ključni instrument usklađivanja s pravnom tekovinom EU u oblasti hemikalija. Ovaj zakon i podzakonski propisi doneseni na osnovu njega</w:t>
      </w:r>
      <w:r w:rsidR="00C64A7E" w:rsidRPr="00AB15C7">
        <w:rPr>
          <w:rFonts w:ascii="Cambria" w:hAnsi="Cambria" w:cs="Arial"/>
          <w:noProof/>
          <w:lang w:val="sr-Latn-ME"/>
        </w:rPr>
        <w:t xml:space="preserve"> (vid</w:t>
      </w:r>
      <w:r w:rsidR="00BD699A" w:rsidRPr="00AB15C7">
        <w:rPr>
          <w:rFonts w:ascii="Cambria" w:hAnsi="Cambria" w:cs="Arial"/>
          <w:noProof/>
          <w:lang w:val="sr-Latn-ME"/>
        </w:rPr>
        <w:t>j</w:t>
      </w:r>
      <w:r w:rsidR="00C64A7E" w:rsidRPr="00AB15C7">
        <w:rPr>
          <w:rFonts w:ascii="Cambria" w:hAnsi="Cambria" w:cs="Arial"/>
          <w:noProof/>
          <w:lang w:val="sr-Latn-ME"/>
        </w:rPr>
        <w:t>eti tabelu</w:t>
      </w:r>
      <w:r w:rsidR="00B510DB" w:rsidRPr="00AB15C7">
        <w:rPr>
          <w:rFonts w:ascii="Cambria" w:hAnsi="Cambria" w:cs="Arial"/>
          <w:noProof/>
          <w:lang w:val="sr-Latn-ME"/>
        </w:rPr>
        <w:t xml:space="preserve"> A1.</w:t>
      </w:r>
      <w:r w:rsidR="00C64A7E" w:rsidRPr="00AB15C7">
        <w:rPr>
          <w:rFonts w:ascii="Cambria" w:hAnsi="Cambria" w:cs="Arial"/>
          <w:noProof/>
          <w:lang w:val="sr-Latn-ME"/>
        </w:rPr>
        <w:t xml:space="preserve"> </w:t>
      </w:r>
      <w:r w:rsidR="00991910">
        <w:rPr>
          <w:rFonts w:ascii="Cambria" w:hAnsi="Cambria" w:cs="Arial"/>
          <w:noProof/>
          <w:lang w:val="sr-Latn-ME"/>
        </w:rPr>
        <w:t>u Prilogu</w:t>
      </w:r>
      <w:r w:rsidR="00C64A7E" w:rsidRPr="00AB15C7">
        <w:rPr>
          <w:rFonts w:ascii="Cambria" w:hAnsi="Cambria" w:cs="Arial"/>
          <w:noProof/>
          <w:lang w:val="sr-Latn-ME"/>
        </w:rPr>
        <w:t xml:space="preserve">) </w:t>
      </w:r>
      <w:r w:rsidR="0093769A" w:rsidRPr="00AB15C7">
        <w:rPr>
          <w:rFonts w:ascii="Cambria" w:hAnsi="Cambria" w:cs="Arial"/>
          <w:noProof/>
          <w:lang w:val="sr-Latn-ME"/>
        </w:rPr>
        <w:t xml:space="preserve"> se odnos</w:t>
      </w:r>
      <w:r w:rsidR="00C64A7E" w:rsidRPr="00AB15C7">
        <w:rPr>
          <w:rFonts w:ascii="Cambria" w:hAnsi="Cambria" w:cs="Arial"/>
          <w:noProof/>
          <w:lang w:val="sr-Latn-ME"/>
        </w:rPr>
        <w:t>e</w:t>
      </w:r>
      <w:r w:rsidR="0093769A" w:rsidRPr="00AB15C7">
        <w:rPr>
          <w:rFonts w:ascii="Cambria" w:hAnsi="Cambria" w:cs="Arial"/>
          <w:noProof/>
          <w:lang w:val="sr-Latn-ME"/>
        </w:rPr>
        <w:t xml:space="preserve"> na uslove za stavljanje u promet, snabdjevanje, upotrebu kao centralne faze u životnom ciklusu hemikalija.</w:t>
      </w:r>
    </w:p>
    <w:p w14:paraId="4B2D27A5" w14:textId="77777777" w:rsidR="0093769A" w:rsidRPr="00AB15C7" w:rsidRDefault="0093769A" w:rsidP="005921EF">
      <w:pPr>
        <w:spacing w:after="0"/>
        <w:jc w:val="both"/>
        <w:rPr>
          <w:rFonts w:ascii="Cambria" w:hAnsi="Cambria" w:cs="Arial"/>
          <w:i/>
          <w:noProof/>
          <w:u w:val="single"/>
          <w:lang w:val="sr-Latn-ME"/>
        </w:rPr>
      </w:pPr>
    </w:p>
    <w:p w14:paraId="6E739FC8" w14:textId="298C294F" w:rsidR="00325D9E" w:rsidRPr="00AB15C7" w:rsidRDefault="005C3E18" w:rsidP="005921EF">
      <w:pPr>
        <w:spacing w:before="120" w:after="0"/>
        <w:jc w:val="both"/>
        <w:rPr>
          <w:rFonts w:ascii="Cambria" w:hAnsi="Cambria" w:cs="Arial"/>
          <w:noProof/>
          <w:lang w:val="sr-Latn-ME"/>
        </w:rPr>
      </w:pPr>
      <w:r w:rsidRPr="00AB15C7">
        <w:rPr>
          <w:rFonts w:ascii="Cambria" w:hAnsi="Cambria" w:cs="Arial"/>
          <w:noProof/>
          <w:lang w:val="sr-Latn-ME"/>
        </w:rPr>
        <w:t>Zakon o hemikalijama iz 2017. godine predstavlja propis koji je zam</w:t>
      </w:r>
      <w:r w:rsidR="00EB50DD" w:rsidRPr="00AB15C7">
        <w:rPr>
          <w:rFonts w:ascii="Cambria" w:hAnsi="Cambria" w:cs="Arial"/>
          <w:noProof/>
          <w:lang w:val="sr-Latn-ME"/>
        </w:rPr>
        <w:t>ij</w:t>
      </w:r>
      <w:r w:rsidRPr="00AB15C7">
        <w:rPr>
          <w:rFonts w:ascii="Cambria" w:hAnsi="Cambria" w:cs="Arial"/>
          <w:noProof/>
          <w:lang w:val="sr-Latn-ME"/>
        </w:rPr>
        <w:t>enio istoimeni zakon iz 2012</w:t>
      </w:r>
      <w:r w:rsidR="004E303A" w:rsidRPr="00AB15C7">
        <w:rPr>
          <w:rFonts w:ascii="Cambria" w:hAnsi="Cambria" w:cs="Arial"/>
          <w:noProof/>
          <w:lang w:val="sr-Latn-ME"/>
        </w:rPr>
        <w:t xml:space="preserve">, </w:t>
      </w:r>
      <w:r w:rsidRPr="00AB15C7">
        <w:rPr>
          <w:rFonts w:ascii="Cambria" w:hAnsi="Cambria" w:cs="Arial"/>
          <w:noProof/>
          <w:lang w:val="sr-Latn-ME"/>
        </w:rPr>
        <w:t>na</w:t>
      </w:r>
      <w:r w:rsidR="004E303A" w:rsidRPr="00AB15C7">
        <w:rPr>
          <w:rFonts w:ascii="Cambria" w:hAnsi="Cambria" w:cs="Arial"/>
          <w:noProof/>
          <w:lang w:val="sr-Latn-ME"/>
        </w:rPr>
        <w:t>dogra</w:t>
      </w:r>
      <w:r w:rsidR="007C7DC7" w:rsidRPr="00AB15C7">
        <w:rPr>
          <w:rFonts w:ascii="Cambria" w:hAnsi="Cambria" w:cs="Arial"/>
          <w:noProof/>
          <w:lang w:val="sr-Latn-ME"/>
        </w:rPr>
        <w:t>đ</w:t>
      </w:r>
      <w:r w:rsidR="004E303A" w:rsidRPr="00AB15C7">
        <w:rPr>
          <w:rFonts w:ascii="Cambria" w:hAnsi="Cambria" w:cs="Arial"/>
          <w:noProof/>
          <w:lang w:val="sr-Latn-ME"/>
        </w:rPr>
        <w:t>uje</w:t>
      </w:r>
      <w:r w:rsidRPr="00AB15C7">
        <w:rPr>
          <w:rFonts w:ascii="Cambria" w:hAnsi="Cambria" w:cs="Arial"/>
          <w:noProof/>
          <w:lang w:val="sr-Latn-ME"/>
        </w:rPr>
        <w:t xml:space="preserve"> i unapr</w:t>
      </w:r>
      <w:r w:rsidR="006B3CE0">
        <w:rPr>
          <w:rFonts w:ascii="Cambria" w:hAnsi="Cambria" w:cs="Arial"/>
          <w:noProof/>
          <w:lang w:val="sr-Latn-ME"/>
        </w:rPr>
        <w:t>j</w:t>
      </w:r>
      <w:r w:rsidRPr="00AB15C7">
        <w:rPr>
          <w:rFonts w:ascii="Cambria" w:hAnsi="Cambria" w:cs="Arial"/>
          <w:noProof/>
          <w:lang w:val="sr-Latn-ME"/>
        </w:rPr>
        <w:t>eđuje politiku u oblasti upravljanja hemijalijama uskladjenu sa REACH</w:t>
      </w:r>
      <w:r w:rsidR="00C758F1" w:rsidRPr="00AB15C7">
        <w:rPr>
          <w:rFonts w:ascii="Cambria" w:hAnsi="Cambria" w:cs="Arial"/>
          <w:noProof/>
          <w:lang w:val="sr-Latn-ME"/>
        </w:rPr>
        <w:t xml:space="preserve"> (</w:t>
      </w:r>
      <w:r w:rsidR="00C64A7E" w:rsidRPr="00AB15C7">
        <w:rPr>
          <w:rFonts w:ascii="Cambria" w:hAnsi="Cambria" w:cs="Arial"/>
          <w:noProof/>
          <w:lang w:val="sr-Latn-ME"/>
        </w:rPr>
        <w:t>Regulativa</w:t>
      </w:r>
      <w:r w:rsidR="00C758F1" w:rsidRPr="00AB15C7">
        <w:rPr>
          <w:rFonts w:ascii="Cambria" w:hAnsi="Cambria" w:cs="Arial"/>
          <w:noProof/>
          <w:lang w:val="sr-Latn-ME"/>
        </w:rPr>
        <w:t xml:space="preserve"> EU 1907/2006</w:t>
      </w:r>
      <w:r w:rsidR="0052500F" w:rsidRPr="00AB15C7">
        <w:rPr>
          <w:rFonts w:ascii="Cambria" w:hAnsi="Cambria" w:cs="Arial"/>
          <w:noProof/>
          <w:lang w:val="sr-Latn-ME"/>
        </w:rPr>
        <w:t>)</w:t>
      </w:r>
      <w:r w:rsidR="004E303A" w:rsidRPr="00AB15C7">
        <w:rPr>
          <w:rFonts w:ascii="Cambria" w:hAnsi="Cambria" w:cs="Arial"/>
          <w:noProof/>
          <w:lang w:val="sr-Latn-ME"/>
        </w:rPr>
        <w:t xml:space="preserve"> i drugim propisima EU u oblasti hemikalija</w:t>
      </w:r>
      <w:r w:rsidRPr="00AB15C7">
        <w:rPr>
          <w:rFonts w:ascii="Cambria" w:hAnsi="Cambria" w:cs="Arial"/>
          <w:noProof/>
          <w:lang w:val="sr-Latn-ME"/>
        </w:rPr>
        <w:t>.</w:t>
      </w:r>
      <w:r w:rsidRPr="00AB15C7">
        <w:rPr>
          <w:rFonts w:ascii="Cambria" w:hAnsi="Cambria"/>
          <w:noProof/>
        </w:rPr>
        <w:t xml:space="preserve"> </w:t>
      </w:r>
      <w:r w:rsidRPr="00AB15C7">
        <w:rPr>
          <w:rFonts w:ascii="Cambria" w:hAnsi="Cambria" w:cs="Arial"/>
          <w:noProof/>
          <w:lang w:val="sr-Latn-ME"/>
        </w:rPr>
        <w:t>Osnovne novine koje donosi Zakon o hemikalijama iz 2017.</w:t>
      </w:r>
      <w:r w:rsidR="000F254E" w:rsidRPr="00AB15C7">
        <w:rPr>
          <w:rFonts w:ascii="Cambria" w:hAnsi="Cambria" w:cs="Arial"/>
          <w:noProof/>
          <w:lang w:val="sr-Latn-ME"/>
        </w:rPr>
        <w:t xml:space="preserve"> su korigovani uslovi u pogledu upisa hemikalija u Registar, detaljnije razradjivanje obaveza zastupnika i daljih korisnika, obaveza i zaduženja u pogledu Help deska, kao i izvjesne izmjene u </w:t>
      </w:r>
      <w:r w:rsidR="000F254E" w:rsidRPr="00AB15C7">
        <w:rPr>
          <w:rFonts w:ascii="Cambria" w:hAnsi="Cambria" w:cs="Arial"/>
          <w:noProof/>
        </w:rPr>
        <w:t> dijelu koji se odnosi na inspekcijski nadzor,  gdje je</w:t>
      </w:r>
      <w:r w:rsidR="000F254E" w:rsidRPr="00AB15C7">
        <w:rPr>
          <w:rFonts w:ascii="Cambria" w:hAnsi="Cambria" w:cs="Arial"/>
          <w:noProof/>
          <w:lang w:val="sr-Latn-ME"/>
        </w:rPr>
        <w:t xml:space="preserve"> nadležnost </w:t>
      </w:r>
      <w:r w:rsidR="000F254E" w:rsidRPr="00AB15C7">
        <w:rPr>
          <w:rFonts w:ascii="Cambria" w:hAnsi="Cambria" w:cs="Arial"/>
          <w:noProof/>
        </w:rPr>
        <w:t xml:space="preserve">raspodjeljena </w:t>
      </w:r>
      <w:r w:rsidR="00715488" w:rsidRPr="00AB15C7">
        <w:rPr>
          <w:rFonts w:ascii="Cambria" w:hAnsi="Cambria" w:cs="Arial"/>
          <w:noProof/>
        </w:rPr>
        <w:t>izme</w:t>
      </w:r>
      <w:r w:rsidR="00715488">
        <w:rPr>
          <w:rFonts w:ascii="Cambria" w:hAnsi="Cambria" w:cs="Arial"/>
          <w:noProof/>
        </w:rPr>
        <w:t>đ</w:t>
      </w:r>
      <w:r w:rsidR="00715488" w:rsidRPr="00AB15C7">
        <w:rPr>
          <w:rFonts w:ascii="Cambria" w:hAnsi="Cambria" w:cs="Arial"/>
          <w:noProof/>
        </w:rPr>
        <w:t xml:space="preserve">u </w:t>
      </w:r>
      <w:r w:rsidR="000F254E" w:rsidRPr="00AB15C7">
        <w:rPr>
          <w:rFonts w:ascii="Cambria" w:hAnsi="Cambria" w:cs="Arial"/>
          <w:noProof/>
          <w:lang w:val="sr-Latn-ME"/>
        </w:rPr>
        <w:t>ekoloških i sanitarnih inspektora.</w:t>
      </w:r>
    </w:p>
    <w:p w14:paraId="64C5AE98" w14:textId="77777777" w:rsidR="00DB6E45" w:rsidRPr="00AB15C7" w:rsidRDefault="00DB6E45" w:rsidP="005921EF">
      <w:pPr>
        <w:spacing w:after="0"/>
        <w:jc w:val="both"/>
        <w:rPr>
          <w:rFonts w:ascii="Cambria" w:hAnsi="Cambria" w:cs="Arial"/>
          <w:noProof/>
          <w:lang w:val="sr-Latn-ME"/>
        </w:rPr>
      </w:pPr>
    </w:p>
    <w:p w14:paraId="0EC7EFA3" w14:textId="06559BB9" w:rsidR="00DB6E45" w:rsidRPr="00AB15C7" w:rsidRDefault="00DB6E45" w:rsidP="005921EF">
      <w:pPr>
        <w:spacing w:after="0"/>
        <w:jc w:val="both"/>
        <w:rPr>
          <w:rFonts w:ascii="Cambria" w:hAnsi="Cambria" w:cs="Arial"/>
          <w:noProof/>
          <w:lang w:val="sr-Latn-ME"/>
        </w:rPr>
      </w:pPr>
      <w:r w:rsidRPr="00AB15C7">
        <w:rPr>
          <w:rFonts w:ascii="Cambria" w:hAnsi="Cambria" w:cs="Arial"/>
          <w:noProof/>
          <w:lang w:val="sr-Latn-ME"/>
        </w:rPr>
        <w:t>Najveći d</w:t>
      </w:r>
      <w:r w:rsidR="0010404A" w:rsidRPr="00AB15C7">
        <w:rPr>
          <w:rFonts w:ascii="Cambria" w:hAnsi="Cambria" w:cs="Arial"/>
          <w:noProof/>
          <w:lang w:val="sr-Latn-ME"/>
        </w:rPr>
        <w:t>i</w:t>
      </w:r>
      <w:r w:rsidRPr="00AB15C7">
        <w:rPr>
          <w:rFonts w:ascii="Cambria" w:hAnsi="Cambria" w:cs="Arial"/>
          <w:noProof/>
          <w:lang w:val="sr-Latn-ME"/>
        </w:rPr>
        <w:t>o podzakonskih akata za koje je ovim zakonom dat osnov done</w:t>
      </w:r>
      <w:r w:rsidR="0010404A" w:rsidRPr="00AB15C7">
        <w:rPr>
          <w:rFonts w:ascii="Cambria" w:hAnsi="Cambria" w:cs="Arial"/>
          <w:noProof/>
          <w:lang w:val="sr-Latn-ME"/>
        </w:rPr>
        <w:t>š</w:t>
      </w:r>
      <w:r w:rsidRPr="00AB15C7">
        <w:rPr>
          <w:rFonts w:ascii="Cambria" w:hAnsi="Cambria" w:cs="Arial"/>
          <w:noProof/>
          <w:lang w:val="sr-Latn-ME"/>
        </w:rPr>
        <w:t>en je tokom 2017. i 2018, s obzirom da ovi pravilnici uglavnom predstavljaju ažuriranje i dalje usaglašavanje nacionalne legislative koja je već bila utvrđena zakonom iz 2012, sa izm</w:t>
      </w:r>
      <w:r w:rsidR="000748B2">
        <w:rPr>
          <w:rFonts w:ascii="Cambria" w:hAnsi="Cambria" w:cs="Arial"/>
          <w:noProof/>
          <w:lang w:val="sr-Latn-ME"/>
        </w:rPr>
        <w:t>j</w:t>
      </w:r>
      <w:r w:rsidRPr="00AB15C7">
        <w:rPr>
          <w:rFonts w:ascii="Cambria" w:hAnsi="Cambria" w:cs="Arial"/>
          <w:noProof/>
          <w:lang w:val="sr-Latn-ME"/>
        </w:rPr>
        <w:t xml:space="preserve">enama i dopunama odgovarajućih  propisa EU koje su nastupile u medjuvremenu. </w:t>
      </w:r>
      <w:r w:rsidR="00711505">
        <w:rPr>
          <w:rFonts w:ascii="Cambria" w:hAnsi="Cambria" w:cs="Arial"/>
          <w:noProof/>
          <w:lang w:val="sr-Latn-ME"/>
        </w:rPr>
        <w:t xml:space="preserve"> Dodatno, </w:t>
      </w:r>
      <w:r w:rsidRPr="00AB15C7">
        <w:rPr>
          <w:rFonts w:ascii="Cambria" w:hAnsi="Cambria" w:cs="Arial"/>
          <w:noProof/>
          <w:lang w:val="sr-Latn-ME"/>
        </w:rPr>
        <w:t xml:space="preserve"> donošenje </w:t>
      </w:r>
      <w:r w:rsidR="00711505">
        <w:rPr>
          <w:rFonts w:ascii="Cambria" w:hAnsi="Cambria" w:cs="Arial"/>
          <w:noProof/>
          <w:lang w:val="sr-Latn-ME"/>
        </w:rPr>
        <w:t xml:space="preserve">nove </w:t>
      </w:r>
      <w:r w:rsidR="00F56805" w:rsidRPr="00AB15C7">
        <w:rPr>
          <w:rFonts w:ascii="Cambria" w:hAnsi="Cambria" w:cs="Arial"/>
          <w:noProof/>
          <w:lang w:val="sr-Latn-ME"/>
        </w:rPr>
        <w:t>U</w:t>
      </w:r>
      <w:r w:rsidRPr="00AB15C7">
        <w:rPr>
          <w:rFonts w:ascii="Cambria" w:hAnsi="Cambria" w:cs="Arial"/>
          <w:noProof/>
          <w:lang w:val="sr-Latn-ME"/>
        </w:rPr>
        <w:t>redbe</w:t>
      </w:r>
      <w:r w:rsidR="00F56805" w:rsidRPr="00AB15C7">
        <w:rPr>
          <w:rFonts w:ascii="Cambria" w:hAnsi="Cambria" w:cs="Arial"/>
          <w:noProof/>
          <w:lang w:val="sr-Latn-ME"/>
        </w:rPr>
        <w:t xml:space="preserve"> o zabrani i ograničenju korišćenja, stavljanja u promet i proizvodnji hemikalija koje predstavljaju neprihvatljiv rizik po zdravlje ljudi i životnu sredinu je u finalnoj fazi.</w:t>
      </w:r>
    </w:p>
    <w:p w14:paraId="274101B4" w14:textId="77777777" w:rsidR="006D5EC8" w:rsidRDefault="006D5EC8" w:rsidP="007A7F97">
      <w:pPr>
        <w:spacing w:before="120" w:after="0"/>
        <w:jc w:val="both"/>
        <w:rPr>
          <w:rFonts w:ascii="Cambria" w:hAnsi="Cambria" w:cs="Arial"/>
          <w:noProof/>
          <w:lang w:val="sr-Latn-ME"/>
        </w:rPr>
      </w:pPr>
      <w:r>
        <w:rPr>
          <w:rFonts w:ascii="Cambria" w:hAnsi="Cambria" w:cs="Arial"/>
          <w:noProof/>
          <w:lang w:val="sr-Latn-ME"/>
        </w:rPr>
        <w:t>Ključni postulati utvrđeni ovim zakonom i podzakonskim aktima su:</w:t>
      </w:r>
    </w:p>
    <w:p w14:paraId="03EB26CB" w14:textId="77777777" w:rsidR="006D5EC8" w:rsidRPr="005C4DBB" w:rsidRDefault="005C4DBB" w:rsidP="00E45235">
      <w:pPr>
        <w:numPr>
          <w:ilvl w:val="0"/>
          <w:numId w:val="4"/>
        </w:numPr>
        <w:spacing w:before="120" w:after="0"/>
        <w:jc w:val="both"/>
        <w:rPr>
          <w:rFonts w:ascii="Cambria" w:hAnsi="Cambria" w:cs="Arial"/>
          <w:noProof/>
        </w:rPr>
      </w:pPr>
      <w:bookmarkStart w:id="49" w:name="_Hlk522832430"/>
      <w:r w:rsidRPr="005C4DBB">
        <w:rPr>
          <w:rFonts w:ascii="Cambria" w:hAnsi="Cambria" w:cs="Arial"/>
          <w:noProof/>
          <w:lang w:val="sr-Latn-ME"/>
        </w:rPr>
        <w:lastRenderedPageBreak/>
        <w:t xml:space="preserve">Pravna lica i preduzetnici koji proizvode, uvoze, distribuiraju i dalje koriste i stavljaju u promet hemikalije i određene proizvode, dužna su da propisno klasifikuju, označavaju i pakuju hemikalije. </w:t>
      </w:r>
      <w:r w:rsidR="00922792" w:rsidRPr="005C4DBB">
        <w:rPr>
          <w:rFonts w:ascii="Cambria" w:hAnsi="Cambria" w:cs="Arial"/>
          <w:noProof/>
          <w:lang w:val="sr-Latn-ME"/>
        </w:rPr>
        <w:t xml:space="preserve">Procedura klasifikacije, označavanja i pakovanja hemikalije i određenog proizvoda propisana je u skladu sa Globalno harmonizovanim sistemom (GHS). </w:t>
      </w:r>
      <w:r w:rsidR="00922792">
        <w:rPr>
          <w:rFonts w:ascii="Cambria" w:hAnsi="Cambria" w:cs="Arial"/>
          <w:noProof/>
          <w:lang w:val="sr-Latn-ME"/>
        </w:rPr>
        <w:t xml:space="preserve"> </w:t>
      </w:r>
      <w:r w:rsidRPr="005C4DBB">
        <w:rPr>
          <w:rFonts w:ascii="Cambria" w:hAnsi="Cambria" w:cs="Arial"/>
          <w:noProof/>
        </w:rPr>
        <w:t>Supstanca se klasifikuje u skladu sa klasifikacijom supstance istog hemijskog sastava iz Liste klasifikovanih supstanci, a ako se supstanca ne nalazi na Listi klasifikovanih supstanci ili nije klasifikovana za sve klase opasnosti, klasifikacija se vrši na osnovu</w:t>
      </w:r>
      <w:r w:rsidRPr="005C4DBB">
        <w:rPr>
          <w:rFonts w:ascii="Cambria" w:hAnsi="Cambria" w:cs="Arial"/>
          <w:noProof/>
          <w:lang w:val="sr-Latn-ME"/>
        </w:rPr>
        <w:t xml:space="preserve"> procjene opasnosti poređenjem podataka o njihovim fizičkim i hemijskim svojstavima, svojstavima koja utiču na život i zdravlje ljudi i svojstavima koja utiču na životnu sredinu  sa kriterijuma za klasifikaciju u određene klase opasnosti.</w:t>
      </w:r>
      <w:r w:rsidRPr="005C4DBB">
        <w:rPr>
          <w:rFonts w:ascii="Cambria" w:hAnsi="Cambria" w:cs="Arial"/>
          <w:noProof/>
        </w:rPr>
        <w:t xml:space="preserve"> Sličan pristup klasifikaciji propisan je i za smješe, s tim da su za smješe na raspolaganju i računske metode procjene opasnosti na osnovu podataka o supstancama koje smješa sadrži. </w:t>
      </w:r>
      <w:r w:rsidR="007A7F97" w:rsidRPr="005C4DBB">
        <w:rPr>
          <w:rFonts w:ascii="Cambria" w:hAnsi="Cambria" w:cs="Arial"/>
          <w:noProof/>
          <w:lang w:val="sr-Latn-ME"/>
        </w:rPr>
        <w:t>Ukoliko nema raspoloživih podataka o svojstvima</w:t>
      </w:r>
      <w:r w:rsidR="00922792" w:rsidRPr="00922792">
        <w:rPr>
          <w:rFonts w:ascii="Cambria" w:hAnsi="Cambria" w:cs="Arial"/>
          <w:noProof/>
        </w:rPr>
        <w:t xml:space="preserve"> </w:t>
      </w:r>
      <w:r w:rsidR="00922792" w:rsidRPr="005C4DBB">
        <w:rPr>
          <w:rFonts w:ascii="Cambria" w:hAnsi="Cambria" w:cs="Arial"/>
          <w:noProof/>
        </w:rPr>
        <w:t>hemikalija</w:t>
      </w:r>
      <w:r w:rsidR="007A7F97" w:rsidRPr="005C4DBB">
        <w:rPr>
          <w:rFonts w:ascii="Cambria" w:hAnsi="Cambria" w:cs="Arial"/>
          <w:noProof/>
          <w:lang w:val="sr-Latn-ME"/>
        </w:rPr>
        <w:t xml:space="preserve">, mogu se izvršiti </w:t>
      </w:r>
      <w:r w:rsidR="007A7F97" w:rsidRPr="005C4DBB">
        <w:rPr>
          <w:rFonts w:ascii="Cambria" w:hAnsi="Cambria" w:cs="Arial"/>
          <w:noProof/>
        </w:rPr>
        <w:t xml:space="preserve">nova ispitivanja po propisanim metodama, s tim da se radi izbjegavanja ispitivanja na kičmenjacima za svaki pojedinačni slučaj procjenjuje se potreba novog ispitivanja hemikalija. </w:t>
      </w:r>
    </w:p>
    <w:p w14:paraId="6F3BE966" w14:textId="77777777" w:rsidR="006D5EC8" w:rsidRDefault="007A7F97" w:rsidP="00711505">
      <w:pPr>
        <w:numPr>
          <w:ilvl w:val="0"/>
          <w:numId w:val="4"/>
        </w:numPr>
        <w:spacing w:before="120" w:after="0"/>
        <w:jc w:val="both"/>
        <w:rPr>
          <w:rFonts w:ascii="Cambria" w:hAnsi="Cambria" w:cs="Arial"/>
          <w:noProof/>
        </w:rPr>
      </w:pPr>
      <w:r w:rsidRPr="007A7F97">
        <w:rPr>
          <w:rFonts w:ascii="Cambria" w:hAnsi="Cambria" w:cs="Arial"/>
          <w:noProof/>
        </w:rPr>
        <w:t>Toksikološka i ekotoksikološka ispitivanja može da vrši laboratorija čiji je rad usklađen</w:t>
      </w:r>
      <w:r>
        <w:rPr>
          <w:rFonts w:ascii="Cambria" w:hAnsi="Cambria" w:cs="Arial"/>
          <w:noProof/>
        </w:rPr>
        <w:t xml:space="preserve"> </w:t>
      </w:r>
      <w:r w:rsidRPr="007A7F97">
        <w:rPr>
          <w:rFonts w:ascii="Cambria" w:hAnsi="Cambria" w:cs="Arial"/>
          <w:noProof/>
        </w:rPr>
        <w:t xml:space="preserve">sa smjernicama </w:t>
      </w:r>
      <w:r>
        <w:rPr>
          <w:rFonts w:ascii="Cambria" w:hAnsi="Cambria" w:cs="Arial"/>
          <w:noProof/>
        </w:rPr>
        <w:t xml:space="preserve">dobre laboratorijske prakse (DLP). </w:t>
      </w:r>
      <w:r w:rsidRPr="007A7F97">
        <w:rPr>
          <w:rFonts w:ascii="Cambria" w:hAnsi="Cambria" w:cs="Arial"/>
          <w:noProof/>
        </w:rPr>
        <w:t>Smjernice i uslove za DLP propisuje Ministarstvo</w:t>
      </w:r>
      <w:r>
        <w:rPr>
          <w:rFonts w:ascii="Cambria" w:hAnsi="Cambria" w:cs="Arial"/>
          <w:noProof/>
        </w:rPr>
        <w:t xml:space="preserve">, a </w:t>
      </w:r>
      <w:r w:rsidRPr="007A7F97">
        <w:rPr>
          <w:rFonts w:ascii="Cambria" w:hAnsi="Cambria" w:cs="Arial"/>
          <w:noProof/>
        </w:rPr>
        <w:t>Ispunjenost uslova DLP utvrđuje Agencija i izdaje DLP sertifikat.</w:t>
      </w:r>
      <w:r>
        <w:rPr>
          <w:rFonts w:ascii="Cambria" w:hAnsi="Cambria" w:cs="Arial"/>
          <w:noProof/>
        </w:rPr>
        <w:t xml:space="preserve"> </w:t>
      </w:r>
      <w:r w:rsidRPr="00AB15C7">
        <w:rPr>
          <w:rFonts w:ascii="Cambria" w:hAnsi="Cambria" w:cs="Arial"/>
          <w:noProof/>
          <w:lang w:val="sr-Latn-ME"/>
        </w:rPr>
        <w:t xml:space="preserve">DLP sertifikat izdat od strane nadležnog organa države članice Radne grupe za DLP Organizacije za ekonomsku saradnju i razvoj (OECD) priznaje se u Crnoj Gori. </w:t>
      </w:r>
    </w:p>
    <w:p w14:paraId="6875DBF9" w14:textId="77777777" w:rsidR="00711505" w:rsidRPr="006D5EC8" w:rsidRDefault="00711505" w:rsidP="00711505">
      <w:pPr>
        <w:numPr>
          <w:ilvl w:val="0"/>
          <w:numId w:val="4"/>
        </w:numPr>
        <w:spacing w:before="120" w:after="0"/>
        <w:jc w:val="both"/>
        <w:rPr>
          <w:rFonts w:ascii="Cambria" w:hAnsi="Cambria" w:cs="Arial"/>
          <w:noProof/>
        </w:rPr>
      </w:pPr>
      <w:r w:rsidRPr="006D5EC8">
        <w:rPr>
          <w:rFonts w:ascii="Cambria" w:hAnsi="Cambria" w:cs="Arial"/>
          <w:noProof/>
          <w:lang w:val="sr-Latn-ME"/>
        </w:rPr>
        <w:t xml:space="preserve">Opasnu hemikaliju, </w:t>
      </w:r>
      <w:r w:rsidR="00A70FB1" w:rsidRPr="006D5EC8">
        <w:rPr>
          <w:rFonts w:ascii="Cambria" w:hAnsi="Cambria" w:cs="Arial"/>
          <w:noProof/>
          <w:lang w:val="sr-Latn-ME"/>
        </w:rPr>
        <w:t xml:space="preserve">kao i </w:t>
      </w:r>
      <w:r w:rsidRPr="006D5EC8">
        <w:rPr>
          <w:rFonts w:ascii="Cambria" w:hAnsi="Cambria" w:cs="Arial"/>
          <w:noProof/>
          <w:lang w:val="sr-Latn-ME"/>
        </w:rPr>
        <w:t xml:space="preserve">hemikaliju </w:t>
      </w:r>
      <w:r w:rsidR="00A70FB1" w:rsidRPr="006D5EC8">
        <w:rPr>
          <w:rFonts w:ascii="Cambria" w:hAnsi="Cambria" w:cs="Arial"/>
          <w:noProof/>
          <w:lang w:val="sr-Latn-ME"/>
        </w:rPr>
        <w:t xml:space="preserve">koja nije klasifikovana ali sadrži </w:t>
      </w:r>
      <w:r w:rsidRPr="006D5EC8">
        <w:rPr>
          <w:rFonts w:ascii="Cambria" w:hAnsi="Cambria" w:cs="Arial"/>
          <w:noProof/>
          <w:lang w:val="sr-Latn-ME"/>
        </w:rPr>
        <w:t xml:space="preserve">opasne </w:t>
      </w:r>
      <w:r w:rsidR="00A70FB1" w:rsidRPr="006D5EC8">
        <w:rPr>
          <w:rFonts w:ascii="Cambria" w:hAnsi="Cambria" w:cs="Arial"/>
          <w:noProof/>
          <w:lang w:val="sr-Latn-ME"/>
        </w:rPr>
        <w:t xml:space="preserve">supstance </w:t>
      </w:r>
      <w:r w:rsidRPr="006D5EC8">
        <w:rPr>
          <w:rFonts w:ascii="Cambria" w:hAnsi="Cambria" w:cs="Arial"/>
          <w:noProof/>
          <w:lang w:val="sr-Latn-ME"/>
        </w:rPr>
        <w:t>mora da prati Bezbjedonosni list (safety data sheet), koji naročito sadrži identifikaciju hemikalije, podatke načinu korišćenja, svojstvima hemikalije, mjere zaštite, kao i podatke o snabdjevaču hemikalije</w:t>
      </w:r>
      <w:r w:rsidR="00A70FB1" w:rsidRPr="006D5EC8">
        <w:rPr>
          <w:rFonts w:ascii="Cambria" w:hAnsi="Cambria" w:cs="Arial"/>
          <w:noProof/>
          <w:lang w:val="sr-Latn-ME"/>
        </w:rPr>
        <w:t xml:space="preserve"> i dr</w:t>
      </w:r>
      <w:r w:rsidRPr="006D5EC8">
        <w:rPr>
          <w:rFonts w:ascii="Cambria" w:hAnsi="Cambria" w:cs="Arial"/>
          <w:noProof/>
          <w:lang w:val="sr-Latn-ME"/>
        </w:rPr>
        <w:t xml:space="preserve">. Dobavljač je dužan da dostavi bezbjednosni list svakom distributeru ili daljem korisniku u lancu snabdijevanja, na crnogorskom jeziku u štampanoj ili elektronskoj formi. </w:t>
      </w:r>
    </w:p>
    <w:p w14:paraId="0C84CB48" w14:textId="77777777" w:rsidR="006D5EC8" w:rsidRPr="006D5EC8" w:rsidRDefault="006D5EC8" w:rsidP="00711505">
      <w:pPr>
        <w:numPr>
          <w:ilvl w:val="0"/>
          <w:numId w:val="4"/>
        </w:numPr>
        <w:spacing w:before="120" w:after="0"/>
        <w:jc w:val="both"/>
        <w:rPr>
          <w:rFonts w:ascii="Cambria" w:hAnsi="Cambria" w:cs="Arial"/>
          <w:noProof/>
        </w:rPr>
      </w:pPr>
      <w:r>
        <w:rPr>
          <w:rFonts w:ascii="Cambria" w:hAnsi="Cambria" w:cs="Arial"/>
          <w:noProof/>
          <w:lang w:val="sr-Latn-ME"/>
        </w:rPr>
        <w:t>D</w:t>
      </w:r>
      <w:r w:rsidRPr="00AB15C7">
        <w:rPr>
          <w:rFonts w:ascii="Cambria" w:hAnsi="Cambria" w:cs="Arial"/>
          <w:noProof/>
          <w:lang w:val="sr-Latn-ME"/>
        </w:rPr>
        <w:t xml:space="preserve">jelatnost prometa opasnih hemikalija može da obavlja dobavljač samo na osnovu dozvole </w:t>
      </w:r>
      <w:r>
        <w:rPr>
          <w:rFonts w:ascii="Cambria" w:hAnsi="Cambria" w:cs="Arial"/>
          <w:noProof/>
          <w:lang w:val="sr-Latn-ME"/>
        </w:rPr>
        <w:t>koja</w:t>
      </w:r>
      <w:r w:rsidRPr="00AB15C7">
        <w:rPr>
          <w:rFonts w:ascii="Cambria" w:hAnsi="Cambria" w:cs="Arial"/>
          <w:noProof/>
          <w:lang w:val="sr-Latn-ME"/>
        </w:rPr>
        <w:t xml:space="preserve"> može se izdati dobavljaču koji ima odgovarajući prostor za skladištenje i čuvanje opasnih hemikalija na način kojim se onemogućava dostupnost licima za korišćenje u nedozvoljene svrhe. </w:t>
      </w:r>
    </w:p>
    <w:p w14:paraId="5D774B3E" w14:textId="01198090" w:rsidR="006D5EC8" w:rsidRDefault="006D5EC8" w:rsidP="00A70FB1">
      <w:pPr>
        <w:numPr>
          <w:ilvl w:val="0"/>
          <w:numId w:val="4"/>
        </w:numPr>
        <w:spacing w:before="120" w:after="0"/>
        <w:jc w:val="both"/>
        <w:rPr>
          <w:rFonts w:ascii="Cambria" w:hAnsi="Cambria" w:cs="Arial"/>
          <w:noProof/>
        </w:rPr>
      </w:pPr>
      <w:r w:rsidRPr="00AB15C7">
        <w:rPr>
          <w:rFonts w:ascii="Cambria" w:hAnsi="Cambria" w:cs="Arial"/>
          <w:noProof/>
          <w:lang w:val="sr-Latn-ME"/>
        </w:rPr>
        <w:t>Dobavljač je dužan da vodi evidenciju o hemikalijama</w:t>
      </w:r>
      <w:r w:rsidR="00930A7A">
        <w:rPr>
          <w:rFonts w:ascii="Cambria" w:hAnsi="Cambria" w:cs="Arial"/>
          <w:noProof/>
          <w:lang w:val="sr-Latn-ME"/>
        </w:rPr>
        <w:t>,</w:t>
      </w:r>
      <w:r>
        <w:rPr>
          <w:rFonts w:ascii="Cambria" w:hAnsi="Cambria" w:cs="Arial"/>
          <w:noProof/>
          <w:lang w:val="sr-Latn-ME"/>
        </w:rPr>
        <w:t xml:space="preserve"> </w:t>
      </w:r>
      <w:r w:rsidR="00930A7A">
        <w:rPr>
          <w:rFonts w:ascii="Cambria" w:hAnsi="Cambria" w:cs="Arial"/>
          <w:noProof/>
          <w:lang w:val="sr-Latn-ME"/>
        </w:rPr>
        <w:t>a proizvo</w:t>
      </w:r>
      <w:r w:rsidR="00930A7A">
        <w:rPr>
          <w:rFonts w:ascii="Cambria" w:hAnsi="Cambria" w:cs="Arial"/>
          <w:noProof/>
          <w:lang w:val="sr-Latn-RS"/>
        </w:rPr>
        <w:t xml:space="preserve">đač i uvožnik da </w:t>
      </w:r>
      <w:r>
        <w:rPr>
          <w:rFonts w:ascii="Cambria" w:hAnsi="Cambria" w:cs="Arial"/>
          <w:noProof/>
          <w:lang w:val="sr-Latn-ME"/>
        </w:rPr>
        <w:t>u skladu sa propisanim uslovima upiše hemikaliju u registar hemikalija.</w:t>
      </w:r>
    </w:p>
    <w:p w14:paraId="448E6B4E" w14:textId="77777777" w:rsidR="00711505" w:rsidRDefault="00711505" w:rsidP="00E45235">
      <w:pPr>
        <w:numPr>
          <w:ilvl w:val="0"/>
          <w:numId w:val="4"/>
        </w:numPr>
        <w:spacing w:before="120" w:after="0"/>
        <w:jc w:val="both"/>
        <w:rPr>
          <w:rFonts w:ascii="Cambria" w:hAnsi="Cambria" w:cs="Arial"/>
          <w:noProof/>
          <w:lang w:val="sr-Latn-ME"/>
        </w:rPr>
      </w:pPr>
      <w:r w:rsidRPr="00E85567">
        <w:rPr>
          <w:rFonts w:ascii="Cambria" w:hAnsi="Cambria" w:cs="Arial"/>
          <w:noProof/>
          <w:lang w:val="sr-Latn-ME"/>
        </w:rPr>
        <w:t xml:space="preserve">Izvoz hemikalija sa Liste hemikalija koje podliježu postupku prethodnog obavještavanja vrši se na osnovu obavještenja koje priprema izvoznik i dostavlja Agenciji, a Agencija zemlji u koju se izvozi hemikalija. </w:t>
      </w:r>
      <w:r w:rsidR="00E85567" w:rsidRPr="00E85567">
        <w:rPr>
          <w:rFonts w:ascii="Cambria" w:hAnsi="Cambria" w:cs="Arial"/>
          <w:noProof/>
          <w:lang w:val="sr-Latn-ME"/>
        </w:rPr>
        <w:t xml:space="preserve"> Postupak davanja saglasnosti po prethodnom obavještavanju  (PIC postupak)  sprovodi se za izvoz hemikalije koja se nalazi na Listi hemikalija za PIC postupak, odnosno za hemikalije sa Liste Roterdamske konvencije  i ove hemikalije se mogu </w:t>
      </w:r>
      <w:r w:rsidRPr="00E85567">
        <w:rPr>
          <w:rFonts w:ascii="Cambria" w:hAnsi="Cambria" w:cs="Arial"/>
          <w:noProof/>
          <w:lang w:val="sr-Latn-ME"/>
        </w:rPr>
        <w:t xml:space="preserve">izvoziti </w:t>
      </w:r>
      <w:r w:rsidR="00E85567" w:rsidRPr="00E85567">
        <w:rPr>
          <w:rFonts w:ascii="Cambria" w:hAnsi="Cambria" w:cs="Arial"/>
          <w:noProof/>
          <w:lang w:val="sr-Latn-ME"/>
        </w:rPr>
        <w:t xml:space="preserve">samo </w:t>
      </w:r>
      <w:r w:rsidRPr="00E85567">
        <w:rPr>
          <w:rFonts w:ascii="Cambria" w:hAnsi="Cambria" w:cs="Arial"/>
          <w:noProof/>
          <w:lang w:val="sr-Latn-ME"/>
        </w:rPr>
        <w:t xml:space="preserve">pod uslovom da se o izvozu saglasi država uvoznica. </w:t>
      </w:r>
    </w:p>
    <w:p w14:paraId="26B76AC0" w14:textId="77777777" w:rsidR="00E85567" w:rsidRDefault="00E85567" w:rsidP="00E45235">
      <w:pPr>
        <w:numPr>
          <w:ilvl w:val="0"/>
          <w:numId w:val="4"/>
        </w:numPr>
        <w:spacing w:before="120" w:after="0"/>
        <w:jc w:val="both"/>
        <w:rPr>
          <w:rFonts w:ascii="Cambria" w:hAnsi="Cambria" w:cs="Arial"/>
          <w:noProof/>
          <w:lang w:val="sr-Latn-ME"/>
        </w:rPr>
      </w:pPr>
      <w:r>
        <w:rPr>
          <w:rFonts w:ascii="Cambria" w:hAnsi="Cambria" w:cs="Arial"/>
          <w:noProof/>
          <w:lang w:val="sr-Latn-ME"/>
        </w:rPr>
        <w:t>U</w:t>
      </w:r>
      <w:r w:rsidRPr="00E85567">
        <w:rPr>
          <w:rFonts w:ascii="Cambria" w:hAnsi="Cambria" w:cs="Arial"/>
          <w:noProof/>
          <w:lang w:val="sr-Latn-ME"/>
        </w:rPr>
        <w:t>voz hemikalija sa Liste hemikalija za PIC postupak, odnosno hemikalij</w:t>
      </w:r>
      <w:r>
        <w:rPr>
          <w:rFonts w:ascii="Cambria" w:hAnsi="Cambria" w:cs="Arial"/>
          <w:noProof/>
          <w:lang w:val="sr-Latn-ME"/>
        </w:rPr>
        <w:t>a</w:t>
      </w:r>
      <w:r w:rsidRPr="00E85567">
        <w:rPr>
          <w:rFonts w:ascii="Cambria" w:hAnsi="Cambria" w:cs="Arial"/>
          <w:noProof/>
          <w:lang w:val="sr-Latn-ME"/>
        </w:rPr>
        <w:t xml:space="preserve"> sa Liste Roterdamske konvencije </w:t>
      </w:r>
      <w:r>
        <w:rPr>
          <w:rFonts w:ascii="Cambria" w:hAnsi="Cambria" w:cs="Arial"/>
          <w:noProof/>
          <w:lang w:val="sr-Latn-ME"/>
        </w:rPr>
        <w:t xml:space="preserve">može se izvršiti ukoliko </w:t>
      </w:r>
      <w:r w:rsidRPr="00E85567">
        <w:rPr>
          <w:rFonts w:ascii="Cambria" w:hAnsi="Cambria" w:cs="Arial"/>
          <w:noProof/>
          <w:lang w:val="sr-Latn-ME"/>
        </w:rPr>
        <w:t xml:space="preserve">Agencija </w:t>
      </w:r>
      <w:r>
        <w:rPr>
          <w:rFonts w:ascii="Cambria" w:hAnsi="Cambria" w:cs="Arial"/>
          <w:noProof/>
          <w:lang w:val="sr-Latn-ME"/>
        </w:rPr>
        <w:t>iz</w:t>
      </w:r>
      <w:r w:rsidRPr="00E85567">
        <w:rPr>
          <w:rFonts w:ascii="Cambria" w:hAnsi="Cambria" w:cs="Arial"/>
          <w:noProof/>
          <w:lang w:val="sr-Latn-ME"/>
        </w:rPr>
        <w:t>da saglasnost na osnovu prethodnog obavještenja nadležnog organa zemlje izvoznice.</w:t>
      </w:r>
    </w:p>
    <w:p w14:paraId="6587124D" w14:textId="77777777" w:rsidR="00A45CCE" w:rsidRDefault="00592D14" w:rsidP="00592D14">
      <w:pPr>
        <w:numPr>
          <w:ilvl w:val="0"/>
          <w:numId w:val="4"/>
        </w:numPr>
        <w:spacing w:before="120" w:after="0"/>
        <w:jc w:val="both"/>
        <w:rPr>
          <w:rFonts w:ascii="Cambria" w:hAnsi="Cambria" w:cs="Arial"/>
          <w:noProof/>
          <w:lang w:val="sr-Latn-ME"/>
        </w:rPr>
      </w:pPr>
      <w:r>
        <w:rPr>
          <w:rFonts w:ascii="Cambria" w:hAnsi="Cambria" w:cs="Arial"/>
          <w:noProof/>
          <w:lang w:val="sr-Latn-ME"/>
        </w:rPr>
        <w:t>Lista z</w:t>
      </w:r>
      <w:r w:rsidRPr="00592D14">
        <w:rPr>
          <w:rFonts w:ascii="Cambria" w:hAnsi="Cambria" w:cs="Arial"/>
          <w:noProof/>
          <w:lang w:val="sr-Latn-ME"/>
        </w:rPr>
        <w:t>abran</w:t>
      </w:r>
      <w:r>
        <w:rPr>
          <w:rFonts w:ascii="Cambria" w:hAnsi="Cambria" w:cs="Arial"/>
          <w:noProof/>
          <w:lang w:val="sr-Latn-ME"/>
        </w:rPr>
        <w:t>a</w:t>
      </w:r>
      <w:r w:rsidRPr="00592D14">
        <w:rPr>
          <w:rFonts w:ascii="Cambria" w:hAnsi="Cambria" w:cs="Arial"/>
          <w:noProof/>
          <w:lang w:val="sr-Latn-ME"/>
        </w:rPr>
        <w:t xml:space="preserve"> i ograničenj</w:t>
      </w:r>
      <w:r>
        <w:rPr>
          <w:rFonts w:ascii="Cambria" w:hAnsi="Cambria" w:cs="Arial"/>
          <w:noProof/>
          <w:lang w:val="sr-Latn-ME"/>
        </w:rPr>
        <w:t>a za h</w:t>
      </w:r>
      <w:r w:rsidR="00A45CCE">
        <w:rPr>
          <w:rFonts w:ascii="Cambria" w:hAnsi="Cambria" w:cs="Arial"/>
          <w:noProof/>
          <w:lang w:val="sr-Latn-ME"/>
        </w:rPr>
        <w:t>emikalije za koje je u EU utvrđeno da predstavljaju neprihvatljiv rizik</w:t>
      </w:r>
      <w:r w:rsidRPr="00592D14">
        <w:rPr>
          <w:rFonts w:ascii="Cambria" w:hAnsi="Cambria" w:cs="Arial"/>
          <w:noProof/>
          <w:lang w:val="sr-Latn-ME"/>
        </w:rPr>
        <w:t xml:space="preserve"> po zdravlje ljudi i životnu sredinu</w:t>
      </w:r>
      <w:r>
        <w:rPr>
          <w:rFonts w:ascii="Cambria" w:hAnsi="Cambria" w:cs="Arial"/>
          <w:noProof/>
          <w:lang w:val="sr-Latn-ME"/>
        </w:rPr>
        <w:t xml:space="preserve"> preuzima se u nacionalno zakonodavstvo </w:t>
      </w:r>
      <w:r w:rsidR="00A45CCE" w:rsidRPr="00A45CCE">
        <w:rPr>
          <w:rFonts w:ascii="Cambria" w:hAnsi="Cambria" w:cs="Arial"/>
          <w:noProof/>
          <w:lang w:val="sr-Latn-ME"/>
        </w:rPr>
        <w:t xml:space="preserve"> </w:t>
      </w:r>
      <w:r>
        <w:rPr>
          <w:rFonts w:ascii="Cambria" w:hAnsi="Cambria" w:cs="Arial"/>
          <w:noProof/>
          <w:lang w:val="sr-Latn-ME"/>
        </w:rPr>
        <w:t xml:space="preserve">podzakonskim propisom </w:t>
      </w:r>
      <w:r w:rsidR="00A45CCE" w:rsidRPr="00A45CCE">
        <w:rPr>
          <w:rFonts w:ascii="Cambria" w:hAnsi="Cambria" w:cs="Arial"/>
          <w:noProof/>
          <w:lang w:val="sr-Latn-ME"/>
        </w:rPr>
        <w:t>o zabrani i ograničenju korišćenja, stavljanja u promet i proizvodnji hemikalija koje predstavljaju neprihvatljiv rizik po zdravlje ljudi i životnu sredinu</w:t>
      </w:r>
      <w:r>
        <w:rPr>
          <w:rFonts w:ascii="Cambria" w:hAnsi="Cambria" w:cs="Arial"/>
          <w:noProof/>
          <w:lang w:val="sr-Latn-ME"/>
        </w:rPr>
        <w:t>. Istim propisom utvrđena je i lista zabranjenih POPs hemikalija, kao i ograničenja u pogledu maksimalno dozvoljenog sadržaja VOC u premazima (boje i lakovi).</w:t>
      </w:r>
    </w:p>
    <w:p w14:paraId="09D609EA" w14:textId="77777777" w:rsidR="00C81717" w:rsidRPr="00C81717" w:rsidRDefault="00C81717" w:rsidP="00E45235">
      <w:pPr>
        <w:numPr>
          <w:ilvl w:val="0"/>
          <w:numId w:val="4"/>
        </w:numPr>
        <w:spacing w:before="120" w:after="0"/>
        <w:jc w:val="both"/>
        <w:rPr>
          <w:rFonts w:ascii="Cambria" w:hAnsi="Cambria" w:cs="Arial"/>
          <w:noProof/>
          <w:lang w:val="sr-Latn-ME"/>
        </w:rPr>
      </w:pPr>
      <w:r w:rsidRPr="00C81717">
        <w:rPr>
          <w:rFonts w:ascii="Cambria" w:hAnsi="Cambria" w:cs="Arial"/>
          <w:noProof/>
        </w:rPr>
        <w:lastRenderedPageBreak/>
        <w:t xml:space="preserve">Detergenti se mogu stavljati na tržište samo ako površinski aktivne supstance ispunjavaju </w:t>
      </w:r>
      <w:r>
        <w:rPr>
          <w:rFonts w:ascii="Cambria" w:hAnsi="Cambria" w:cs="Arial"/>
          <w:noProof/>
        </w:rPr>
        <w:t xml:space="preserve">propisane </w:t>
      </w:r>
      <w:r w:rsidRPr="00C81717">
        <w:rPr>
          <w:rFonts w:ascii="Cambria" w:hAnsi="Cambria" w:cs="Arial"/>
          <w:noProof/>
        </w:rPr>
        <w:t xml:space="preserve">uslove </w:t>
      </w:r>
      <w:r>
        <w:rPr>
          <w:rFonts w:ascii="Cambria" w:hAnsi="Cambria" w:cs="Arial"/>
          <w:noProof/>
        </w:rPr>
        <w:t xml:space="preserve">u pogledu </w:t>
      </w:r>
      <w:r w:rsidRPr="00C81717">
        <w:rPr>
          <w:rFonts w:ascii="Cambria" w:hAnsi="Cambria" w:cs="Arial"/>
          <w:noProof/>
        </w:rPr>
        <w:t>biorazgradljivosti</w:t>
      </w:r>
      <w:r>
        <w:rPr>
          <w:rFonts w:ascii="Cambria" w:hAnsi="Cambria" w:cs="Arial"/>
          <w:noProof/>
        </w:rPr>
        <w:t xml:space="preserve">, kao i </w:t>
      </w:r>
      <w:r w:rsidR="00D97D16">
        <w:rPr>
          <w:rFonts w:ascii="Cambria" w:hAnsi="Cambria" w:cs="Arial"/>
          <w:noProof/>
        </w:rPr>
        <w:t xml:space="preserve">druge propisane </w:t>
      </w:r>
      <w:r>
        <w:rPr>
          <w:rFonts w:ascii="Cambria" w:hAnsi="Cambria" w:cs="Arial"/>
          <w:noProof/>
        </w:rPr>
        <w:t>uslove</w:t>
      </w:r>
      <w:r w:rsidR="00D97D16">
        <w:rPr>
          <w:rFonts w:ascii="Cambria" w:hAnsi="Cambria" w:cs="Arial"/>
          <w:noProof/>
        </w:rPr>
        <w:t xml:space="preserve">, a naročito one </w:t>
      </w:r>
      <w:r>
        <w:rPr>
          <w:rFonts w:ascii="Cambria" w:hAnsi="Cambria" w:cs="Arial"/>
          <w:noProof/>
        </w:rPr>
        <w:t xml:space="preserve">u pogledu specifičnog </w:t>
      </w:r>
      <w:r w:rsidR="00D97D16">
        <w:rPr>
          <w:rFonts w:ascii="Cambria" w:hAnsi="Cambria" w:cs="Arial"/>
          <w:noProof/>
        </w:rPr>
        <w:t>označavanja za detergente za opštu upotrebu</w:t>
      </w:r>
      <w:r>
        <w:rPr>
          <w:rFonts w:ascii="Cambria" w:hAnsi="Cambria" w:cs="Arial"/>
          <w:noProof/>
        </w:rPr>
        <w:t xml:space="preserve"> </w:t>
      </w:r>
      <w:r w:rsidR="00D97D16">
        <w:rPr>
          <w:rFonts w:ascii="Cambria" w:hAnsi="Cambria" w:cs="Arial"/>
          <w:noProof/>
        </w:rPr>
        <w:t>uključujući i naznačavanje sastava</w:t>
      </w:r>
      <w:r>
        <w:rPr>
          <w:rFonts w:ascii="Cambria" w:hAnsi="Cambria" w:cs="Arial"/>
          <w:noProof/>
        </w:rPr>
        <w:t>.</w:t>
      </w:r>
    </w:p>
    <w:bookmarkEnd w:id="49"/>
    <w:p w14:paraId="734705BC" w14:textId="77777777" w:rsidR="00325D9E" w:rsidRPr="00AB15C7" w:rsidRDefault="00325D9E" w:rsidP="005921EF">
      <w:pPr>
        <w:spacing w:after="0"/>
        <w:jc w:val="both"/>
        <w:rPr>
          <w:rFonts w:ascii="Cambria" w:hAnsi="Cambria" w:cs="Arial"/>
          <w:i/>
          <w:noProof/>
          <w:u w:val="single"/>
          <w:lang w:val="sr-Latn-ME"/>
        </w:rPr>
      </w:pPr>
    </w:p>
    <w:p w14:paraId="06B3F230" w14:textId="7D470F02" w:rsidR="0039429C" w:rsidRPr="00AB15C7" w:rsidRDefault="0039429C" w:rsidP="005921EF">
      <w:pPr>
        <w:spacing w:after="0"/>
        <w:jc w:val="both"/>
        <w:rPr>
          <w:rFonts w:ascii="Cambria" w:hAnsi="Cambria" w:cs="Arial"/>
          <w:i/>
          <w:noProof/>
          <w:u w:val="single"/>
          <w:lang w:val="sr-Latn-ME"/>
        </w:rPr>
      </w:pPr>
      <w:r w:rsidRPr="00AB15C7">
        <w:rPr>
          <w:rFonts w:ascii="Cambria" w:hAnsi="Cambria" w:cs="Arial"/>
          <w:i/>
          <w:noProof/>
          <w:u w:val="single"/>
          <w:lang w:val="sr-Latn-ME"/>
        </w:rPr>
        <w:t>Na</w:t>
      </w:r>
      <w:r w:rsidR="00053F9C" w:rsidRPr="00AB15C7">
        <w:rPr>
          <w:rFonts w:ascii="Cambria" w:hAnsi="Cambria" w:cs="Arial"/>
          <w:i/>
          <w:noProof/>
          <w:u w:val="single"/>
          <w:lang w:val="sr-Latn-ME"/>
        </w:rPr>
        <w:t>dležnosti državnih institucija:</w:t>
      </w:r>
    </w:p>
    <w:p w14:paraId="405EDCB3" w14:textId="77777777" w:rsidR="0039429C" w:rsidRPr="00AB15C7" w:rsidRDefault="005C3E18" w:rsidP="005921EF">
      <w:pPr>
        <w:spacing w:after="0"/>
        <w:jc w:val="both"/>
        <w:rPr>
          <w:rFonts w:ascii="Cambria" w:hAnsi="Cambria" w:cs="Arial"/>
          <w:noProof/>
          <w:lang w:val="sr-Latn-ME"/>
        </w:rPr>
      </w:pPr>
      <w:r w:rsidRPr="00AB15C7">
        <w:rPr>
          <w:rFonts w:ascii="Cambria" w:hAnsi="Cambria" w:cs="Arial"/>
          <w:noProof/>
          <w:lang w:val="sr-Latn-ME"/>
        </w:rPr>
        <w:t xml:space="preserve">Nadležnost za uredjivanje oblasti upravljanja hemikalijama ima </w:t>
      </w:r>
      <w:r w:rsidRPr="00AB15C7">
        <w:rPr>
          <w:rFonts w:ascii="Cambria" w:hAnsi="Cambria" w:cs="Arial"/>
          <w:noProof/>
        </w:rPr>
        <w:t>Ministarstvo održivog razvoja i turizma</w:t>
      </w:r>
      <w:r w:rsidR="00325D9E" w:rsidRPr="00AB15C7">
        <w:rPr>
          <w:rFonts w:ascii="Cambria" w:hAnsi="Cambria" w:cs="Arial"/>
          <w:noProof/>
        </w:rPr>
        <w:t xml:space="preserve"> (MORT)</w:t>
      </w:r>
      <w:r w:rsidRPr="00AB15C7">
        <w:rPr>
          <w:rFonts w:ascii="Cambria" w:hAnsi="Cambria" w:cs="Arial"/>
          <w:noProof/>
        </w:rPr>
        <w:t xml:space="preserve"> u okviru koga je za ova pitanja zadužen Direktorat za životnu sredine-Direkcija za kontrolu industrijskog zagađenja i upravljanja hemikalijama.  </w:t>
      </w:r>
      <w:r w:rsidR="00CE3ACE" w:rsidRPr="00AB15C7">
        <w:rPr>
          <w:rFonts w:ascii="Cambria" w:hAnsi="Cambria" w:cs="Arial"/>
          <w:noProof/>
          <w:lang w:val="sr-Latn-ME"/>
        </w:rPr>
        <w:t xml:space="preserve">Stručni i sa njima povezani upravni poslovi </w:t>
      </w:r>
      <w:r w:rsidRPr="00AB15C7">
        <w:rPr>
          <w:rFonts w:ascii="Cambria" w:hAnsi="Cambria" w:cs="Arial"/>
          <w:noProof/>
        </w:rPr>
        <w:t xml:space="preserve">u vezi sa  </w:t>
      </w:r>
      <w:r w:rsidR="00325D9E" w:rsidRPr="00AB15C7">
        <w:rPr>
          <w:rFonts w:ascii="Cambria" w:hAnsi="Cambria" w:cs="Arial"/>
          <w:noProof/>
        </w:rPr>
        <w:t xml:space="preserve">Zakonom o hemikalijama </w:t>
      </w:r>
      <w:r w:rsidRPr="00AB15C7">
        <w:rPr>
          <w:rFonts w:ascii="Cambria" w:hAnsi="Cambria" w:cs="Arial"/>
          <w:noProof/>
        </w:rPr>
        <w:t>pov</w:t>
      </w:r>
      <w:r w:rsidR="006B3CE0">
        <w:rPr>
          <w:rFonts w:ascii="Cambria" w:hAnsi="Cambria" w:cs="Arial"/>
          <w:noProof/>
        </w:rPr>
        <w:t>j</w:t>
      </w:r>
      <w:r w:rsidRPr="00AB15C7">
        <w:rPr>
          <w:rFonts w:ascii="Cambria" w:hAnsi="Cambria" w:cs="Arial"/>
          <w:noProof/>
        </w:rPr>
        <w:t>ereni su Agenciji za za</w:t>
      </w:r>
      <w:r w:rsidRPr="00AB15C7">
        <w:rPr>
          <w:rFonts w:ascii="Cambria" w:hAnsi="Cambria" w:cs="Arial"/>
          <w:noProof/>
          <w:lang w:val="sr-Latn-RS"/>
        </w:rPr>
        <w:t>štitu prirode i životne sredine</w:t>
      </w:r>
      <w:r w:rsidR="00325D9E" w:rsidRPr="00AB15C7">
        <w:rPr>
          <w:rFonts w:ascii="Cambria" w:hAnsi="Cambria" w:cs="Arial"/>
          <w:noProof/>
          <w:lang w:val="sr-Latn-RS"/>
        </w:rPr>
        <w:t xml:space="preserve"> </w:t>
      </w:r>
      <w:r w:rsidR="00325D9E" w:rsidRPr="00AB15C7">
        <w:rPr>
          <w:rFonts w:ascii="Cambria" w:hAnsi="Cambria" w:cs="Arial"/>
          <w:noProof/>
          <w:lang w:val="sr-Latn-ME"/>
        </w:rPr>
        <w:t>(AZPŽS)</w:t>
      </w:r>
      <w:r w:rsidR="0039429C" w:rsidRPr="00AB15C7">
        <w:rPr>
          <w:rFonts w:ascii="Cambria" w:hAnsi="Cambria" w:cs="Arial"/>
          <w:noProof/>
          <w:lang w:val="sr-Latn-ME"/>
        </w:rPr>
        <w:t>.</w:t>
      </w:r>
    </w:p>
    <w:p w14:paraId="1245A0E3" w14:textId="77777777" w:rsidR="0039429C" w:rsidRPr="00AB15C7" w:rsidRDefault="0039429C" w:rsidP="005921EF">
      <w:pPr>
        <w:spacing w:before="120" w:after="0"/>
        <w:jc w:val="both"/>
        <w:rPr>
          <w:rFonts w:ascii="Cambria" w:hAnsi="Cambria" w:cs="Arial"/>
          <w:noProof/>
          <w:lang w:val="sr-Latn-ME"/>
        </w:rPr>
      </w:pPr>
    </w:p>
    <w:p w14:paraId="6BAF7984" w14:textId="12AF7ED8" w:rsidR="00FB4E05" w:rsidRDefault="0039429C" w:rsidP="00592373">
      <w:pPr>
        <w:spacing w:after="0"/>
        <w:jc w:val="both"/>
        <w:rPr>
          <w:rFonts w:ascii="Cambria" w:hAnsi="Cambria" w:cs="Arial"/>
          <w:noProof/>
          <w:lang w:val="sr-Latn-ME"/>
        </w:rPr>
      </w:pPr>
      <w:r w:rsidRPr="00AB15C7">
        <w:rPr>
          <w:rFonts w:ascii="Cambria" w:hAnsi="Cambria" w:cs="Arial"/>
          <w:noProof/>
          <w:lang w:val="sr-Latn-ME"/>
        </w:rPr>
        <w:t xml:space="preserve">Inspekcijski nadzor nad sprovođenjem ovog zakona i propisa donijetih na osnovu ovog zakona vrši Uprava za inspekcijske poslove, preko </w:t>
      </w:r>
      <w:r w:rsidR="00325D9E" w:rsidRPr="00AB15C7">
        <w:rPr>
          <w:rFonts w:ascii="Cambria" w:hAnsi="Cambria" w:cs="Arial"/>
          <w:noProof/>
          <w:lang w:val="sr-Latn-ME"/>
        </w:rPr>
        <w:t>ekoloških i sanitarnih inspektora</w:t>
      </w:r>
      <w:r w:rsidRPr="00AB15C7">
        <w:rPr>
          <w:rFonts w:ascii="Cambria" w:hAnsi="Cambria" w:cs="Arial"/>
          <w:noProof/>
          <w:lang w:val="sr-Latn-ME"/>
        </w:rPr>
        <w:t>, u skladu sa ovim zakonom i zakonom kojim se uređuje inspekcijski nadzor.</w:t>
      </w:r>
      <w:r w:rsidR="00325D9E" w:rsidRPr="00AB15C7">
        <w:rPr>
          <w:rFonts w:ascii="Cambria" w:hAnsi="Cambria"/>
          <w:noProof/>
        </w:rPr>
        <w:t xml:space="preserve"> </w:t>
      </w:r>
    </w:p>
    <w:p w14:paraId="0212528C" w14:textId="77777777" w:rsidR="00592373" w:rsidRPr="00AB15C7" w:rsidRDefault="00592373" w:rsidP="00592373">
      <w:pPr>
        <w:spacing w:after="0"/>
        <w:jc w:val="both"/>
        <w:rPr>
          <w:rFonts w:ascii="Cambria" w:hAnsi="Cambria" w:cs="Arial"/>
          <w:noProof/>
          <w:lang w:val="sr-Latn-ME"/>
        </w:rPr>
      </w:pPr>
    </w:p>
    <w:p w14:paraId="45D5A674" w14:textId="77777777" w:rsidR="0039429C" w:rsidRPr="00AB15C7" w:rsidRDefault="0039429C" w:rsidP="005F1B1A">
      <w:pPr>
        <w:spacing w:after="120"/>
        <w:jc w:val="both"/>
        <w:rPr>
          <w:rFonts w:ascii="Cambria" w:hAnsi="Cambria" w:cs="Arial"/>
          <w:i/>
          <w:noProof/>
          <w:u w:val="single"/>
          <w:lang w:val="sr-Latn-ME"/>
        </w:rPr>
      </w:pPr>
      <w:r w:rsidRPr="00AB15C7">
        <w:rPr>
          <w:rFonts w:ascii="Cambria" w:hAnsi="Cambria" w:cs="Arial"/>
          <w:i/>
          <w:noProof/>
          <w:u w:val="single"/>
          <w:lang w:val="sr-Latn-ME"/>
        </w:rPr>
        <w:t>Postojanje baze podataka koje su sačinjene kao rezultat ovog propisa:</w:t>
      </w:r>
    </w:p>
    <w:p w14:paraId="305F8064" w14:textId="77777777" w:rsidR="00D6714B" w:rsidRPr="00AB15C7" w:rsidRDefault="00790D12" w:rsidP="005921EF">
      <w:pPr>
        <w:spacing w:after="0"/>
        <w:jc w:val="both"/>
        <w:rPr>
          <w:rFonts w:ascii="Cambria" w:hAnsi="Cambria" w:cs="Arial"/>
          <w:noProof/>
        </w:rPr>
      </w:pPr>
      <w:bookmarkStart w:id="50" w:name="_Hlk522824774"/>
      <w:bookmarkEnd w:id="48"/>
      <w:r w:rsidRPr="00AB15C7">
        <w:rPr>
          <w:rFonts w:ascii="Cambria" w:hAnsi="Cambria" w:cs="Arial"/>
          <w:noProof/>
        </w:rPr>
        <w:t xml:space="preserve">Prema Zakonu o hemikalijama iz 2017, supstance pojedinačno, u smješama ili u proizvodu koje se proizvode ili stavljaju na tržište u ukupnim količinama preko 1t godišnje (u kalendarskoj godini), upisuju se u javno dostupan registar. </w:t>
      </w:r>
      <w:r w:rsidR="0039429C" w:rsidRPr="00AB15C7">
        <w:rPr>
          <w:rFonts w:ascii="Cambria" w:hAnsi="Cambria" w:cs="Arial"/>
          <w:noProof/>
          <w:lang w:val="sr-Latn-ME"/>
        </w:rPr>
        <w:t xml:space="preserve">Registar hemikalija vodi Agencija za zaštitu </w:t>
      </w:r>
      <w:r w:rsidRPr="00AB15C7">
        <w:rPr>
          <w:rFonts w:ascii="Cambria" w:hAnsi="Cambria" w:cs="Arial"/>
          <w:noProof/>
          <w:lang w:val="sr-Latn-ME"/>
        </w:rPr>
        <w:t xml:space="preserve">prirode i </w:t>
      </w:r>
      <w:r w:rsidR="0039429C" w:rsidRPr="00AB15C7">
        <w:rPr>
          <w:rFonts w:ascii="Cambria" w:hAnsi="Cambria" w:cs="Arial"/>
          <w:noProof/>
          <w:lang w:val="sr-Latn-ME"/>
        </w:rPr>
        <w:t xml:space="preserve">životne sredine u elektronskoj formi. </w:t>
      </w:r>
      <w:r w:rsidR="00D6714B" w:rsidRPr="00360F0F">
        <w:rPr>
          <w:rFonts w:ascii="Cambria" w:hAnsi="Cambria" w:cs="Arial"/>
          <w:b/>
          <w:noProof/>
        </w:rPr>
        <w:t>Registar hemikalija</w:t>
      </w:r>
      <w:r w:rsidR="00D6714B" w:rsidRPr="00AB15C7">
        <w:rPr>
          <w:rFonts w:ascii="Cambria" w:hAnsi="Cambria" w:cs="Arial"/>
          <w:noProof/>
        </w:rPr>
        <w:t xml:space="preserve"> treba da sadrži:</w:t>
      </w:r>
    </w:p>
    <w:p w14:paraId="5ACD4468" w14:textId="77777777" w:rsidR="00D6714B" w:rsidRPr="00AB15C7" w:rsidRDefault="00D6714B" w:rsidP="005921EF">
      <w:pPr>
        <w:spacing w:after="0"/>
        <w:jc w:val="both"/>
        <w:rPr>
          <w:rFonts w:ascii="Cambria" w:hAnsi="Cambria" w:cs="Arial"/>
          <w:noProof/>
        </w:rPr>
      </w:pPr>
      <w:r w:rsidRPr="00AB15C7">
        <w:rPr>
          <w:rFonts w:ascii="Cambria" w:hAnsi="Cambria" w:cs="Arial"/>
          <w:noProof/>
        </w:rPr>
        <w:t xml:space="preserve">- </w:t>
      </w:r>
      <w:r w:rsidR="0055224A" w:rsidRPr="00AB15C7">
        <w:rPr>
          <w:rFonts w:ascii="Cambria" w:hAnsi="Cambria" w:cs="Arial"/>
          <w:noProof/>
        </w:rPr>
        <w:t xml:space="preserve">  </w:t>
      </w:r>
      <w:r w:rsidRPr="00AB15C7">
        <w:rPr>
          <w:rFonts w:ascii="Cambria" w:hAnsi="Cambria" w:cs="Arial"/>
          <w:noProof/>
        </w:rPr>
        <w:t xml:space="preserve">podatke o proizvođaču, odnosno uvozniku; </w:t>
      </w:r>
    </w:p>
    <w:p w14:paraId="0FC63FF2" w14:textId="77777777" w:rsidR="00D6714B" w:rsidRPr="00AB15C7" w:rsidRDefault="00D6714B" w:rsidP="005921EF">
      <w:pPr>
        <w:spacing w:after="0"/>
        <w:jc w:val="both"/>
        <w:rPr>
          <w:rFonts w:ascii="Cambria" w:hAnsi="Cambria" w:cs="Arial"/>
          <w:noProof/>
        </w:rPr>
      </w:pPr>
      <w:r w:rsidRPr="00AB15C7">
        <w:rPr>
          <w:rFonts w:ascii="Cambria" w:hAnsi="Cambria" w:cs="Arial"/>
          <w:noProof/>
        </w:rPr>
        <w:t xml:space="preserve">- </w:t>
      </w:r>
      <w:r w:rsidR="0055224A" w:rsidRPr="00AB15C7">
        <w:rPr>
          <w:rFonts w:ascii="Cambria" w:hAnsi="Cambria" w:cs="Arial"/>
          <w:noProof/>
        </w:rPr>
        <w:t xml:space="preserve">  </w:t>
      </w:r>
      <w:r w:rsidRPr="00AB15C7">
        <w:rPr>
          <w:rFonts w:ascii="Cambria" w:hAnsi="Cambria" w:cs="Arial"/>
          <w:noProof/>
        </w:rPr>
        <w:t xml:space="preserve">registarski broj hemikalije; </w:t>
      </w:r>
    </w:p>
    <w:p w14:paraId="438FEB8C" w14:textId="77777777" w:rsidR="0055224A" w:rsidRPr="00AB15C7" w:rsidRDefault="00D6714B" w:rsidP="005921EF">
      <w:pPr>
        <w:spacing w:after="0"/>
        <w:jc w:val="both"/>
        <w:rPr>
          <w:rFonts w:ascii="Cambria" w:hAnsi="Cambria" w:cs="Arial"/>
          <w:noProof/>
        </w:rPr>
      </w:pPr>
      <w:r w:rsidRPr="00AB15C7">
        <w:rPr>
          <w:rFonts w:ascii="Cambria" w:hAnsi="Cambria" w:cs="Arial"/>
          <w:noProof/>
        </w:rPr>
        <w:t xml:space="preserve">- podatke </w:t>
      </w:r>
      <w:r w:rsidR="0055224A" w:rsidRPr="00AB15C7">
        <w:rPr>
          <w:rFonts w:ascii="Cambria" w:hAnsi="Cambria" w:cs="Arial"/>
          <w:noProof/>
        </w:rPr>
        <w:t>iz dosijea o</w:t>
      </w:r>
      <w:r w:rsidRPr="00AB15C7">
        <w:rPr>
          <w:rFonts w:ascii="Cambria" w:hAnsi="Cambria" w:cs="Arial"/>
          <w:noProof/>
        </w:rPr>
        <w:t xml:space="preserve"> </w:t>
      </w:r>
      <w:r w:rsidR="0055224A" w:rsidRPr="00AB15C7">
        <w:rPr>
          <w:rFonts w:ascii="Cambria" w:hAnsi="Cambria" w:cs="Arial"/>
          <w:noProof/>
        </w:rPr>
        <w:t>hemikaliji (koji naročito sadrži: trgovačko ime, kao i drugu indentifikaciju hemikalije; količinu hemikalije stavljene na tržište; način upotrebe hemikalije; hemijski sastav)</w:t>
      </w:r>
    </w:p>
    <w:p w14:paraId="034C4263" w14:textId="77777777" w:rsidR="00D6714B" w:rsidRPr="00AB15C7" w:rsidRDefault="00D6714B" w:rsidP="005921EF">
      <w:pPr>
        <w:spacing w:after="0"/>
        <w:jc w:val="both"/>
        <w:rPr>
          <w:rFonts w:ascii="Cambria" w:hAnsi="Cambria" w:cs="Arial"/>
          <w:noProof/>
        </w:rPr>
      </w:pPr>
      <w:r w:rsidRPr="00AB15C7">
        <w:rPr>
          <w:rFonts w:ascii="Cambria" w:hAnsi="Cambria" w:cs="Arial"/>
          <w:noProof/>
        </w:rPr>
        <w:t xml:space="preserve">- </w:t>
      </w:r>
      <w:r w:rsidR="0055224A" w:rsidRPr="00AB15C7">
        <w:rPr>
          <w:rFonts w:ascii="Cambria" w:hAnsi="Cambria" w:cs="Arial"/>
          <w:noProof/>
        </w:rPr>
        <w:t xml:space="preserve">  </w:t>
      </w:r>
      <w:r w:rsidRPr="00AB15C7">
        <w:rPr>
          <w:rFonts w:ascii="Cambria" w:hAnsi="Cambria" w:cs="Arial"/>
          <w:noProof/>
        </w:rPr>
        <w:t>carinski tarifni broj u skladu sa propisom kojim se uređuje carinska tarifa.</w:t>
      </w:r>
    </w:p>
    <w:p w14:paraId="1F9B925B" w14:textId="77777777" w:rsidR="002158E6" w:rsidRDefault="0039429C" w:rsidP="005921EF">
      <w:pPr>
        <w:spacing w:after="0"/>
        <w:jc w:val="both"/>
        <w:rPr>
          <w:rFonts w:ascii="Cambria" w:hAnsi="Cambria" w:cs="Arial"/>
          <w:noProof/>
        </w:rPr>
      </w:pPr>
      <w:r w:rsidRPr="00AB15C7">
        <w:rPr>
          <w:rFonts w:ascii="Cambria" w:hAnsi="Cambria" w:cs="Arial"/>
          <w:noProof/>
          <w:lang w:val="sr-Latn-ME"/>
        </w:rPr>
        <w:t>Upis hemikalija u registar hemikalija vrši se na osnovu prijave proizvođača</w:t>
      </w:r>
      <w:r w:rsidR="00790D12" w:rsidRPr="00AB15C7">
        <w:rPr>
          <w:rFonts w:ascii="Cambria" w:hAnsi="Cambria" w:cs="Arial"/>
          <w:noProof/>
          <w:lang w:val="sr-Latn-ME"/>
        </w:rPr>
        <w:t xml:space="preserve"> odnosno</w:t>
      </w:r>
      <w:r w:rsidRPr="00AB15C7">
        <w:rPr>
          <w:rFonts w:ascii="Cambria" w:hAnsi="Cambria" w:cs="Arial"/>
          <w:noProof/>
          <w:lang w:val="sr-Latn-ME"/>
        </w:rPr>
        <w:t xml:space="preserve"> uvoznika, koja se podnosi Agenciji</w:t>
      </w:r>
      <w:r w:rsidR="00790D12" w:rsidRPr="00AB15C7">
        <w:rPr>
          <w:rFonts w:ascii="Cambria" w:hAnsi="Cambria" w:cs="Arial"/>
          <w:noProof/>
          <w:lang w:val="sr-Latn-ME"/>
        </w:rPr>
        <w:t xml:space="preserve"> i to </w:t>
      </w:r>
      <w:r w:rsidR="00790D12" w:rsidRPr="00AB15C7">
        <w:rPr>
          <w:rFonts w:ascii="Cambria" w:hAnsi="Cambria" w:cs="Arial"/>
          <w:noProof/>
        </w:rPr>
        <w:t>najkasnije do 31. marta tekuće godine za hemikalije koje je su proizvedene, odnosno uvezene u prethodnoj godini.</w:t>
      </w:r>
      <w:r w:rsidR="00790D12" w:rsidRPr="00AB15C7">
        <w:rPr>
          <w:rFonts w:ascii="Cambria" w:eastAsia="SimSun" w:hAnsi="Cambria"/>
          <w:noProof/>
        </w:rPr>
        <w:t xml:space="preserve"> </w:t>
      </w:r>
      <w:r w:rsidR="00790D12" w:rsidRPr="00AB15C7">
        <w:rPr>
          <w:rFonts w:ascii="Cambria" w:hAnsi="Cambria" w:cs="Arial"/>
          <w:noProof/>
        </w:rPr>
        <w:t xml:space="preserve">Zahtjev za upis u registar za stranog proizvođača ili uvoznika može podnijeti </w:t>
      </w:r>
      <w:r w:rsidR="00D07D62" w:rsidRPr="00AB15C7">
        <w:rPr>
          <w:rFonts w:ascii="Cambria" w:hAnsi="Cambria" w:cs="Arial"/>
          <w:noProof/>
        </w:rPr>
        <w:t xml:space="preserve">zastupnik </w:t>
      </w:r>
      <w:r w:rsidR="00790D12" w:rsidRPr="00AB15C7">
        <w:rPr>
          <w:rFonts w:ascii="Cambria" w:hAnsi="Cambria" w:cs="Arial"/>
          <w:noProof/>
        </w:rPr>
        <w:t xml:space="preserve">sa sjedištem u Crnoj Gori. </w:t>
      </w:r>
    </w:p>
    <w:p w14:paraId="2E4A5DFE" w14:textId="77777777" w:rsidR="002158E6" w:rsidRDefault="002158E6" w:rsidP="005921EF">
      <w:pPr>
        <w:spacing w:after="0"/>
        <w:jc w:val="both"/>
        <w:rPr>
          <w:rFonts w:ascii="Cambria" w:hAnsi="Cambria" w:cs="Arial"/>
          <w:noProof/>
        </w:rPr>
      </w:pPr>
    </w:p>
    <w:p w14:paraId="760494D7" w14:textId="7B2FC4AF" w:rsidR="002158E6" w:rsidRDefault="00790D12" w:rsidP="005921EF">
      <w:pPr>
        <w:spacing w:after="0"/>
        <w:jc w:val="both"/>
        <w:rPr>
          <w:rFonts w:ascii="Cambria" w:hAnsi="Cambria" w:cs="Arial"/>
          <w:noProof/>
        </w:rPr>
      </w:pPr>
      <w:r w:rsidRPr="00AB15C7">
        <w:rPr>
          <w:rFonts w:ascii="Cambria" w:hAnsi="Cambria" w:cs="Arial"/>
          <w:noProof/>
        </w:rPr>
        <w:t>Formiranjem Registra hemikalija prema ovakvim zaht</w:t>
      </w:r>
      <w:r w:rsidR="00D07D62" w:rsidRPr="00AB15C7">
        <w:rPr>
          <w:rFonts w:ascii="Cambria" w:hAnsi="Cambria" w:cs="Arial"/>
          <w:noProof/>
        </w:rPr>
        <w:t>j</w:t>
      </w:r>
      <w:r w:rsidRPr="00AB15C7">
        <w:rPr>
          <w:rFonts w:ascii="Cambria" w:hAnsi="Cambria" w:cs="Arial"/>
          <w:noProof/>
        </w:rPr>
        <w:t xml:space="preserve">evima stvoriće </w:t>
      </w:r>
      <w:r w:rsidR="00592373">
        <w:rPr>
          <w:rFonts w:ascii="Cambria" w:hAnsi="Cambria" w:cs="Arial"/>
          <w:noProof/>
        </w:rPr>
        <w:t xml:space="preserve">se </w:t>
      </w:r>
      <w:r w:rsidRPr="00AB15C7">
        <w:rPr>
          <w:rFonts w:ascii="Cambria" w:hAnsi="Cambria" w:cs="Arial"/>
          <w:noProof/>
        </w:rPr>
        <w:t>baz</w:t>
      </w:r>
      <w:r w:rsidR="00592373">
        <w:rPr>
          <w:rFonts w:ascii="Cambria" w:hAnsi="Cambria" w:cs="Arial"/>
          <w:noProof/>
        </w:rPr>
        <w:t>a</w:t>
      </w:r>
      <w:r w:rsidRPr="00AB15C7">
        <w:rPr>
          <w:rFonts w:ascii="Cambria" w:hAnsi="Cambria" w:cs="Arial"/>
          <w:noProof/>
        </w:rPr>
        <w:t xml:space="preserve"> podataka o hemikalijama koje su u Crnoj </w:t>
      </w:r>
      <w:r w:rsidR="00085406" w:rsidRPr="00AB15C7">
        <w:rPr>
          <w:rFonts w:ascii="Cambria" w:hAnsi="Cambria" w:cs="Arial"/>
          <w:noProof/>
        </w:rPr>
        <w:t>G</w:t>
      </w:r>
      <w:r w:rsidRPr="00AB15C7">
        <w:rPr>
          <w:rFonts w:ascii="Cambria" w:hAnsi="Cambria" w:cs="Arial"/>
          <w:noProof/>
        </w:rPr>
        <w:t>ori prisutne u značajnim količinama</w:t>
      </w:r>
      <w:r w:rsidR="00D07D62" w:rsidRPr="00AB15C7">
        <w:rPr>
          <w:rFonts w:ascii="Cambria" w:hAnsi="Cambria" w:cs="Arial"/>
          <w:noProof/>
        </w:rPr>
        <w:t>, a</w:t>
      </w:r>
      <w:r w:rsidRPr="00AB15C7">
        <w:rPr>
          <w:rFonts w:ascii="Cambria" w:hAnsi="Cambria" w:cs="Arial"/>
          <w:noProof/>
        </w:rPr>
        <w:t xml:space="preserve"> na koje treba obratiti pa</w:t>
      </w:r>
      <w:r w:rsidR="00085406" w:rsidRPr="00AB15C7">
        <w:rPr>
          <w:rFonts w:ascii="Cambria" w:hAnsi="Cambria" w:cs="Arial"/>
          <w:noProof/>
        </w:rPr>
        <w:t xml:space="preserve">žnju kako u pogledu primjene zaštitnih mjera,  tako i u pogledu obaveza koje će nastupiti prema REACH nakon ulaska u EU. </w:t>
      </w:r>
      <w:r w:rsidR="00BE03D0" w:rsidRPr="00AB15C7">
        <w:rPr>
          <w:rFonts w:ascii="Cambria" w:hAnsi="Cambria" w:cs="Arial"/>
          <w:noProof/>
        </w:rPr>
        <w:t>Naime, zaht</w:t>
      </w:r>
      <w:r w:rsidR="00A95211">
        <w:rPr>
          <w:rFonts w:ascii="Cambria" w:hAnsi="Cambria" w:cs="Arial"/>
          <w:noProof/>
        </w:rPr>
        <w:t>j</w:t>
      </w:r>
      <w:r w:rsidR="00BE03D0" w:rsidRPr="00AB15C7">
        <w:rPr>
          <w:rFonts w:ascii="Cambria" w:hAnsi="Cambria" w:cs="Arial"/>
          <w:noProof/>
        </w:rPr>
        <w:t>evi u pogledu hemikalija koje podl</w:t>
      </w:r>
      <w:r w:rsidR="000748B2">
        <w:rPr>
          <w:rFonts w:ascii="Cambria" w:hAnsi="Cambria" w:cs="Arial"/>
          <w:noProof/>
        </w:rPr>
        <w:t>ij</w:t>
      </w:r>
      <w:r w:rsidR="00BE03D0" w:rsidRPr="00AB15C7">
        <w:rPr>
          <w:rFonts w:ascii="Cambria" w:hAnsi="Cambria" w:cs="Arial"/>
          <w:noProof/>
        </w:rPr>
        <w:t>ežu upisu u Registar i donjeg limita godišnje količine su preuzeti iz EU propisa u pogledu reg</w:t>
      </w:r>
      <w:r w:rsidR="000748B2">
        <w:rPr>
          <w:rFonts w:ascii="Cambria" w:hAnsi="Cambria" w:cs="Arial"/>
          <w:noProof/>
        </w:rPr>
        <w:t>i</w:t>
      </w:r>
      <w:r w:rsidR="00BE03D0" w:rsidRPr="00AB15C7">
        <w:rPr>
          <w:rFonts w:ascii="Cambria" w:hAnsi="Cambria" w:cs="Arial"/>
          <w:noProof/>
        </w:rPr>
        <w:t>stracije po REACH</w:t>
      </w:r>
      <w:r w:rsidR="00FD06C7" w:rsidRPr="00AB15C7">
        <w:rPr>
          <w:rFonts w:ascii="Cambria" w:hAnsi="Cambria" w:cs="Arial"/>
          <w:noProof/>
        </w:rPr>
        <w:t>.</w:t>
      </w:r>
      <w:r w:rsidR="00BE03D0" w:rsidRPr="00AB15C7">
        <w:rPr>
          <w:rFonts w:ascii="Cambria" w:hAnsi="Cambria" w:cs="Arial"/>
          <w:noProof/>
        </w:rPr>
        <w:t xml:space="preserve"> Ipak, t</w:t>
      </w:r>
      <w:r w:rsidR="00030F7F" w:rsidRPr="00AB15C7">
        <w:rPr>
          <w:rFonts w:ascii="Cambria" w:hAnsi="Cambria" w:cs="Arial"/>
          <w:noProof/>
        </w:rPr>
        <w:t xml:space="preserve">reba napomenuti da Registar hemikalija koji vodi AZPŽS nije u formi koja se zahtijeva EU propisima s obzirom da podaci koji se unose u bazu podataka nisu podržani softverskim rješenjem IUCLID 6 koji je razvijen u cilju prikupljanja i čuvanja podataka o supstancama u EU. Stoga, ne treba praviti paralelu između ovog registra i registra supstanci koje podležu postupku registracije po REACH. Naime, postupak registracije po REACH je centralizovani postupak koji se sprovodi na nivou EU, a ne na nivou zemalja članica, te njegovo uvodjenje u zakonodavstvo zemlje kandidata u predpristupnom periodu nije realno niti svrsishodno.  Ipak, </w:t>
      </w:r>
      <w:r w:rsidR="00BE03D0" w:rsidRPr="00AB15C7">
        <w:rPr>
          <w:rFonts w:ascii="Cambria" w:hAnsi="Cambria" w:cs="Arial"/>
          <w:noProof/>
        </w:rPr>
        <w:t xml:space="preserve">u predpristupnom periodu </w:t>
      </w:r>
      <w:r w:rsidR="00030F7F" w:rsidRPr="00AB15C7">
        <w:rPr>
          <w:rFonts w:ascii="Cambria" w:hAnsi="Cambria" w:cs="Arial"/>
          <w:noProof/>
        </w:rPr>
        <w:t xml:space="preserve">važno </w:t>
      </w:r>
      <w:r w:rsidR="00BE03D0" w:rsidRPr="00AB15C7">
        <w:rPr>
          <w:rFonts w:ascii="Cambria" w:hAnsi="Cambria" w:cs="Arial"/>
          <w:noProof/>
        </w:rPr>
        <w:t xml:space="preserve">je </w:t>
      </w:r>
      <w:r w:rsidR="00030F7F" w:rsidRPr="00AB15C7">
        <w:rPr>
          <w:rFonts w:ascii="Cambria" w:hAnsi="Cambria" w:cs="Arial"/>
          <w:noProof/>
        </w:rPr>
        <w:t xml:space="preserve">uspostaviti </w:t>
      </w:r>
      <w:r w:rsidR="00BE03D0" w:rsidRPr="00AB15C7">
        <w:rPr>
          <w:rFonts w:ascii="Cambria" w:hAnsi="Cambria" w:cs="Arial"/>
          <w:noProof/>
        </w:rPr>
        <w:t>nacionalni</w:t>
      </w:r>
      <w:r w:rsidR="00030F7F" w:rsidRPr="00AB15C7">
        <w:rPr>
          <w:rFonts w:ascii="Cambria" w:hAnsi="Cambria" w:cs="Arial"/>
          <w:noProof/>
        </w:rPr>
        <w:t xml:space="preserve"> registar koji će dati potrebne podatke o hemikalijama prisutnim na tržištu Crne Gore, a naročito o njihovom identitetu i količinama, kako bi se moglo adekvatno pristupiti pregovorima u okviru poglavlja 27 u pogledu hemikalija,  a u cilju pripreme za pristupanje EU kada ce se REACH u potpunosti prim</w:t>
      </w:r>
      <w:r w:rsidR="002158E6">
        <w:rPr>
          <w:rFonts w:ascii="Cambria" w:hAnsi="Cambria" w:cs="Arial"/>
          <w:noProof/>
        </w:rPr>
        <w:t>j</w:t>
      </w:r>
      <w:r w:rsidR="00030F7F" w:rsidRPr="00AB15C7">
        <w:rPr>
          <w:rFonts w:ascii="Cambria" w:hAnsi="Cambria" w:cs="Arial"/>
          <w:noProof/>
        </w:rPr>
        <w:t>enjivati i u Crnoj Gori, uključujući i odredbe o registraciji po REACH.</w:t>
      </w:r>
      <w:r w:rsidR="0010404A" w:rsidRPr="00AB15C7">
        <w:rPr>
          <w:rFonts w:ascii="Cambria" w:hAnsi="Cambria" w:cs="Arial"/>
          <w:noProof/>
        </w:rPr>
        <w:t xml:space="preserve"> </w:t>
      </w:r>
    </w:p>
    <w:p w14:paraId="28CEE575" w14:textId="77777777" w:rsidR="002158E6" w:rsidRDefault="002158E6" w:rsidP="005921EF">
      <w:pPr>
        <w:spacing w:after="0"/>
        <w:jc w:val="both"/>
        <w:rPr>
          <w:rFonts w:ascii="Cambria" w:hAnsi="Cambria" w:cs="Arial"/>
          <w:noProof/>
        </w:rPr>
      </w:pPr>
    </w:p>
    <w:p w14:paraId="24457BF8" w14:textId="28756D03" w:rsidR="0039429C" w:rsidRPr="00AB15C7" w:rsidRDefault="0010404A" w:rsidP="005921EF">
      <w:pPr>
        <w:spacing w:after="0"/>
        <w:jc w:val="both"/>
        <w:rPr>
          <w:rFonts w:ascii="Cambria" w:hAnsi="Cambria" w:cs="Arial"/>
          <w:noProof/>
        </w:rPr>
      </w:pPr>
      <w:r w:rsidRPr="00AB15C7">
        <w:rPr>
          <w:rFonts w:ascii="Cambria" w:hAnsi="Cambria" w:cs="Arial"/>
          <w:noProof/>
        </w:rPr>
        <w:lastRenderedPageBreak/>
        <w:t xml:space="preserve">S tim u vezi, </w:t>
      </w:r>
      <w:r w:rsidR="003D5C5B" w:rsidRPr="00AB15C7">
        <w:rPr>
          <w:rFonts w:ascii="Cambria" w:hAnsi="Cambria" w:cs="Arial"/>
          <w:noProof/>
        </w:rPr>
        <w:t>takođe</w:t>
      </w:r>
      <w:r w:rsidRPr="00AB15C7">
        <w:rPr>
          <w:rFonts w:ascii="Cambria" w:hAnsi="Cambria" w:cs="Arial"/>
          <w:noProof/>
        </w:rPr>
        <w:t xml:space="preserve"> je važno da </w:t>
      </w:r>
      <w:r w:rsidR="002158E6">
        <w:rPr>
          <w:rFonts w:ascii="Cambria" w:hAnsi="Cambria" w:cs="Arial"/>
          <w:noProof/>
        </w:rPr>
        <w:t xml:space="preserve">se </w:t>
      </w:r>
      <w:r w:rsidRPr="00AB15C7">
        <w:rPr>
          <w:rFonts w:ascii="Cambria" w:hAnsi="Cambria" w:cs="Arial"/>
          <w:noProof/>
        </w:rPr>
        <w:t>privredni subjekti koji u proizvode ili stavljaju na tržište supstance pojedinačno, u smješama ili u proizvodu koje se u ukupnim količinama preko 1t godišnje, pr</w:t>
      </w:r>
      <w:r w:rsidR="002158E6">
        <w:rPr>
          <w:rFonts w:ascii="Cambria" w:hAnsi="Cambria" w:cs="Arial"/>
          <w:noProof/>
        </w:rPr>
        <w:t>ij</w:t>
      </w:r>
      <w:r w:rsidRPr="00AB15C7">
        <w:rPr>
          <w:rFonts w:ascii="Cambria" w:hAnsi="Cambria" w:cs="Arial"/>
          <w:noProof/>
        </w:rPr>
        <w:t>e pristupanja EU dobro upoznaju sa zaht</w:t>
      </w:r>
      <w:r w:rsidR="00A95211">
        <w:rPr>
          <w:rFonts w:ascii="Cambria" w:hAnsi="Cambria" w:cs="Arial"/>
          <w:noProof/>
        </w:rPr>
        <w:t>j</w:t>
      </w:r>
      <w:r w:rsidRPr="00AB15C7">
        <w:rPr>
          <w:rFonts w:ascii="Cambria" w:hAnsi="Cambria" w:cs="Arial"/>
          <w:noProof/>
        </w:rPr>
        <w:t>evima u pogledu podataka u dosijeu za takve supstance i pripreme se za izvršavanje relevantnih obaveza u pogledu reg</w:t>
      </w:r>
      <w:r w:rsidR="002158E6">
        <w:rPr>
          <w:rFonts w:ascii="Cambria" w:hAnsi="Cambria" w:cs="Arial"/>
          <w:noProof/>
        </w:rPr>
        <w:t>i</w:t>
      </w:r>
      <w:r w:rsidRPr="00AB15C7">
        <w:rPr>
          <w:rFonts w:ascii="Cambria" w:hAnsi="Cambria" w:cs="Arial"/>
          <w:noProof/>
        </w:rPr>
        <w:t>stracije po REACH kada Crna Gora postane članica EU. Takođe,</w:t>
      </w:r>
      <w:r w:rsidR="003D5C5B" w:rsidRPr="00AB15C7">
        <w:rPr>
          <w:rFonts w:ascii="Cambria" w:hAnsi="Cambria" w:cs="Arial"/>
          <w:noProof/>
        </w:rPr>
        <w:t xml:space="preserve"> </w:t>
      </w:r>
      <w:r w:rsidRPr="00AB15C7">
        <w:rPr>
          <w:rFonts w:ascii="Cambria" w:hAnsi="Cambria" w:cs="Arial"/>
          <w:noProof/>
        </w:rPr>
        <w:t xml:space="preserve">nadležni organi treba da </w:t>
      </w:r>
      <w:r w:rsidR="00C860D0" w:rsidRPr="00AB15C7">
        <w:rPr>
          <w:rFonts w:ascii="Cambria" w:hAnsi="Cambria" w:cs="Arial"/>
          <w:noProof/>
        </w:rPr>
        <w:t>izgrade</w:t>
      </w:r>
      <w:r w:rsidRPr="00AB15C7">
        <w:rPr>
          <w:rFonts w:ascii="Cambria" w:hAnsi="Cambria" w:cs="Arial"/>
          <w:noProof/>
        </w:rPr>
        <w:t xml:space="preserve"> kapacitete za </w:t>
      </w:r>
      <w:r w:rsidR="00C860D0" w:rsidRPr="00AB15C7">
        <w:rPr>
          <w:rFonts w:ascii="Cambria" w:hAnsi="Cambria" w:cs="Arial"/>
          <w:noProof/>
        </w:rPr>
        <w:t xml:space="preserve">procesuiranje </w:t>
      </w:r>
      <w:r w:rsidRPr="00AB15C7">
        <w:rPr>
          <w:rFonts w:ascii="Cambria" w:hAnsi="Cambria" w:cs="Arial"/>
          <w:noProof/>
        </w:rPr>
        <w:t>takvih zaht</w:t>
      </w:r>
      <w:r w:rsidR="002158E6">
        <w:rPr>
          <w:rFonts w:ascii="Cambria" w:hAnsi="Cambria" w:cs="Arial"/>
          <w:noProof/>
        </w:rPr>
        <w:t>j</w:t>
      </w:r>
      <w:r w:rsidRPr="00AB15C7">
        <w:rPr>
          <w:rFonts w:ascii="Cambria" w:hAnsi="Cambria" w:cs="Arial"/>
          <w:noProof/>
        </w:rPr>
        <w:t xml:space="preserve">eva i </w:t>
      </w:r>
      <w:r w:rsidR="00C860D0" w:rsidRPr="00AB15C7">
        <w:rPr>
          <w:rFonts w:ascii="Cambria" w:hAnsi="Cambria" w:cs="Arial"/>
          <w:noProof/>
        </w:rPr>
        <w:t xml:space="preserve">pružanje relevantnih informacija u okviru Nacionalnog Help Deska. </w:t>
      </w:r>
    </w:p>
    <w:p w14:paraId="18B190FE" w14:textId="77777777" w:rsidR="00790D12" w:rsidRPr="00AB15C7" w:rsidRDefault="00790D12" w:rsidP="005921EF">
      <w:pPr>
        <w:spacing w:after="0"/>
        <w:jc w:val="both"/>
        <w:rPr>
          <w:rFonts w:ascii="Cambria" w:hAnsi="Cambria" w:cs="Arial"/>
          <w:noProof/>
          <w:lang w:val="sr-Latn-ME"/>
        </w:rPr>
      </w:pPr>
      <w:r w:rsidRPr="00AB15C7">
        <w:rPr>
          <w:rFonts w:ascii="Cambria" w:hAnsi="Cambria" w:cs="Arial"/>
          <w:noProof/>
          <w:lang w:val="sr-Latn-ME"/>
        </w:rPr>
        <w:t xml:space="preserve"> </w:t>
      </w:r>
    </w:p>
    <w:p w14:paraId="6F142714" w14:textId="4E2F127A" w:rsidR="00790D12" w:rsidRPr="00AB15C7" w:rsidRDefault="00085406" w:rsidP="005921EF">
      <w:pPr>
        <w:spacing w:after="0"/>
        <w:jc w:val="both"/>
        <w:rPr>
          <w:rFonts w:ascii="Cambria" w:hAnsi="Cambria" w:cs="Arial"/>
          <w:noProof/>
          <w:lang w:val="sr-Latn-ME"/>
        </w:rPr>
      </w:pPr>
      <w:r w:rsidRPr="00AB15C7">
        <w:rPr>
          <w:rFonts w:ascii="Cambria" w:hAnsi="Cambria" w:cs="Arial"/>
          <w:noProof/>
          <w:lang w:val="sr-Latn-ME"/>
        </w:rPr>
        <w:t>Treba napomenuti da je o</w:t>
      </w:r>
      <w:r w:rsidR="00790D12" w:rsidRPr="00AB15C7">
        <w:rPr>
          <w:rFonts w:ascii="Cambria" w:hAnsi="Cambria" w:cs="Arial"/>
          <w:noProof/>
          <w:lang w:val="sr-Latn-ME"/>
        </w:rPr>
        <w:t>baveza upisa u Registar hemikalija postojala i prema zakonu iz 2012., ali sa nešto druga</w:t>
      </w:r>
      <w:r w:rsidR="000F1012" w:rsidRPr="00AB15C7">
        <w:rPr>
          <w:rFonts w:ascii="Cambria" w:hAnsi="Cambria" w:cs="Arial"/>
          <w:noProof/>
          <w:lang w:val="sr-Latn-ME"/>
        </w:rPr>
        <w:t>č</w:t>
      </w:r>
      <w:r w:rsidR="00790D12" w:rsidRPr="00AB15C7">
        <w:rPr>
          <w:rFonts w:ascii="Cambria" w:hAnsi="Cambria" w:cs="Arial"/>
          <w:noProof/>
          <w:lang w:val="sr-Latn-ME"/>
        </w:rPr>
        <w:t>ijim uslovima u pogledu hemikalija koje podl</w:t>
      </w:r>
      <w:r w:rsidR="002158E6">
        <w:rPr>
          <w:rFonts w:ascii="Cambria" w:hAnsi="Cambria" w:cs="Arial"/>
          <w:noProof/>
          <w:lang w:val="sr-Latn-ME"/>
        </w:rPr>
        <w:t>ij</w:t>
      </w:r>
      <w:r w:rsidR="00790D12" w:rsidRPr="00AB15C7">
        <w:rPr>
          <w:rFonts w:ascii="Cambria" w:hAnsi="Cambria" w:cs="Arial"/>
          <w:noProof/>
          <w:lang w:val="sr-Latn-ME"/>
        </w:rPr>
        <w:t>ežu upisu</w:t>
      </w:r>
      <w:r w:rsidRPr="00AB15C7">
        <w:rPr>
          <w:rFonts w:ascii="Cambria" w:hAnsi="Cambria" w:cs="Arial"/>
          <w:noProof/>
          <w:lang w:val="sr-Latn-ME"/>
        </w:rPr>
        <w:t xml:space="preserve">, te da će nova pravila </w:t>
      </w:r>
      <w:r w:rsidR="000F1012" w:rsidRPr="00AB15C7">
        <w:rPr>
          <w:rFonts w:ascii="Cambria" w:hAnsi="Cambria" w:cs="Arial"/>
          <w:noProof/>
          <w:lang w:val="sr-Latn-ME"/>
        </w:rPr>
        <w:t>don</w:t>
      </w:r>
      <w:r w:rsidR="002158E6">
        <w:rPr>
          <w:rFonts w:ascii="Cambria" w:hAnsi="Cambria" w:cs="Arial"/>
          <w:noProof/>
          <w:lang w:val="sr-Latn-ME"/>
        </w:rPr>
        <w:t>ij</w:t>
      </w:r>
      <w:r w:rsidR="000F1012" w:rsidRPr="00AB15C7">
        <w:rPr>
          <w:rFonts w:ascii="Cambria" w:hAnsi="Cambria" w:cs="Arial"/>
          <w:noProof/>
          <w:lang w:val="sr-Latn-ME"/>
        </w:rPr>
        <w:t>eti nešto drugačiju sadržinu hemikalija u</w:t>
      </w:r>
      <w:r w:rsidR="00D6714B" w:rsidRPr="00AB15C7">
        <w:rPr>
          <w:rFonts w:ascii="Cambria" w:hAnsi="Cambria" w:cs="Arial"/>
          <w:noProof/>
          <w:lang w:val="sr-Latn-ME"/>
        </w:rPr>
        <w:t>p</w:t>
      </w:r>
      <w:r w:rsidR="000F1012" w:rsidRPr="00AB15C7">
        <w:rPr>
          <w:rFonts w:ascii="Cambria" w:hAnsi="Cambria" w:cs="Arial"/>
          <w:noProof/>
          <w:lang w:val="sr-Latn-ME"/>
        </w:rPr>
        <w:t>isanih u regista</w:t>
      </w:r>
      <w:r w:rsidR="00D6714B" w:rsidRPr="00AB15C7">
        <w:rPr>
          <w:rFonts w:ascii="Cambria" w:hAnsi="Cambria" w:cs="Arial"/>
          <w:noProof/>
          <w:lang w:val="sr-Latn-ME"/>
        </w:rPr>
        <w:t>r</w:t>
      </w:r>
      <w:r w:rsidR="000F1012" w:rsidRPr="00AB15C7">
        <w:rPr>
          <w:rFonts w:ascii="Cambria" w:hAnsi="Cambria" w:cs="Arial"/>
          <w:noProof/>
          <w:lang w:val="sr-Latn-ME"/>
        </w:rPr>
        <w:t xml:space="preserve"> nakon 2017</w:t>
      </w:r>
      <w:r w:rsidR="00C860D0" w:rsidRPr="00AB15C7">
        <w:rPr>
          <w:rFonts w:ascii="Cambria" w:hAnsi="Cambria" w:cs="Arial"/>
          <w:noProof/>
          <w:lang w:val="sr-Latn-ME"/>
        </w:rPr>
        <w:t>, odnosno da se o</w:t>
      </w:r>
      <w:r w:rsidR="003D5C5B" w:rsidRPr="00AB15C7">
        <w:rPr>
          <w:rFonts w:ascii="Cambria" w:hAnsi="Cambria" w:cs="Arial"/>
          <w:noProof/>
          <w:lang w:val="sr-Latn-ME"/>
        </w:rPr>
        <w:t>č</w:t>
      </w:r>
      <w:r w:rsidR="00C860D0" w:rsidRPr="00AB15C7">
        <w:rPr>
          <w:rFonts w:ascii="Cambria" w:hAnsi="Cambria" w:cs="Arial"/>
          <w:noProof/>
          <w:lang w:val="sr-Latn-ME"/>
        </w:rPr>
        <w:t xml:space="preserve">ekuje da relativno mali broj privrednih subjekata ima ovu obavezu s obzirom na </w:t>
      </w:r>
      <w:r w:rsidR="002158E6" w:rsidRPr="00AB15C7">
        <w:rPr>
          <w:rFonts w:ascii="Cambria" w:hAnsi="Cambria" w:cs="Arial"/>
          <w:noProof/>
          <w:lang w:val="sr-Latn-ME"/>
        </w:rPr>
        <w:t>pove</w:t>
      </w:r>
      <w:r w:rsidR="002158E6">
        <w:rPr>
          <w:rFonts w:ascii="Cambria" w:hAnsi="Cambria" w:cs="Arial"/>
          <w:noProof/>
          <w:lang w:val="sr-Latn-ME"/>
        </w:rPr>
        <w:t>ć</w:t>
      </w:r>
      <w:r w:rsidR="002158E6" w:rsidRPr="00AB15C7">
        <w:rPr>
          <w:rFonts w:ascii="Cambria" w:hAnsi="Cambria" w:cs="Arial"/>
          <w:noProof/>
          <w:lang w:val="sr-Latn-ME"/>
        </w:rPr>
        <w:t xml:space="preserve">anje </w:t>
      </w:r>
      <w:r w:rsidR="00C860D0" w:rsidRPr="00AB15C7">
        <w:rPr>
          <w:rFonts w:ascii="Cambria" w:hAnsi="Cambria" w:cs="Arial"/>
          <w:noProof/>
          <w:lang w:val="sr-Latn-ME"/>
        </w:rPr>
        <w:t>limita u pogledu količina sa 100kg na 1t</w:t>
      </w:r>
      <w:r w:rsidR="000F1012" w:rsidRPr="00AB15C7">
        <w:rPr>
          <w:rFonts w:ascii="Cambria" w:hAnsi="Cambria" w:cs="Arial"/>
          <w:noProof/>
          <w:lang w:val="sr-Latn-ME"/>
        </w:rPr>
        <w:t xml:space="preserve">. </w:t>
      </w:r>
      <w:r w:rsidR="00C860D0" w:rsidRPr="00AB15C7">
        <w:rPr>
          <w:rFonts w:ascii="Cambria" w:hAnsi="Cambria" w:cs="Arial"/>
          <w:noProof/>
          <w:lang w:val="sr-Latn-ME"/>
        </w:rPr>
        <w:t>Međutim</w:t>
      </w:r>
      <w:r w:rsidR="0010404A" w:rsidRPr="00AB15C7">
        <w:rPr>
          <w:rFonts w:ascii="Cambria" w:hAnsi="Cambria" w:cs="Arial"/>
          <w:noProof/>
          <w:lang w:val="sr-Latn-ME"/>
        </w:rPr>
        <w:t xml:space="preserve">, bitno je naglasiti da je u skladu sa </w:t>
      </w:r>
      <w:r w:rsidR="00C860D0" w:rsidRPr="00AB15C7">
        <w:rPr>
          <w:rFonts w:ascii="Cambria" w:hAnsi="Cambria" w:cs="Arial"/>
          <w:noProof/>
          <w:lang w:val="sr-Latn-ME"/>
        </w:rPr>
        <w:t xml:space="preserve">članom 36 </w:t>
      </w:r>
      <w:r w:rsidR="0010404A" w:rsidRPr="00AB15C7">
        <w:rPr>
          <w:rFonts w:ascii="Cambria" w:hAnsi="Cambria" w:cs="Arial"/>
          <w:noProof/>
          <w:lang w:val="sr-Latn-ME"/>
        </w:rPr>
        <w:t>Zakon</w:t>
      </w:r>
      <w:r w:rsidR="00C860D0" w:rsidRPr="00AB15C7">
        <w:rPr>
          <w:rFonts w:ascii="Cambria" w:hAnsi="Cambria" w:cs="Arial"/>
          <w:noProof/>
          <w:lang w:val="sr-Latn-ME"/>
        </w:rPr>
        <w:t>a</w:t>
      </w:r>
      <w:r w:rsidR="0010404A" w:rsidRPr="00AB15C7">
        <w:rPr>
          <w:rFonts w:ascii="Cambria" w:hAnsi="Cambria" w:cs="Arial"/>
          <w:noProof/>
          <w:lang w:val="sr-Latn-ME"/>
        </w:rPr>
        <w:t xml:space="preserve"> o hemikalijama </w:t>
      </w:r>
      <w:r w:rsidR="003D5C5B" w:rsidRPr="00AB15C7">
        <w:rPr>
          <w:rFonts w:ascii="Cambria" w:hAnsi="Cambria" w:cs="Arial"/>
          <w:noProof/>
          <w:lang w:val="sr-Latn-ME"/>
        </w:rPr>
        <w:t>propisana i obaveza vo</w:t>
      </w:r>
      <w:r w:rsidR="002158E6">
        <w:rPr>
          <w:rFonts w:ascii="Cambria" w:hAnsi="Cambria" w:cs="Arial"/>
          <w:noProof/>
          <w:lang w:val="sr-Latn-ME"/>
        </w:rPr>
        <w:t>đ</w:t>
      </w:r>
      <w:r w:rsidR="003D5C5B" w:rsidRPr="00AB15C7">
        <w:rPr>
          <w:rFonts w:ascii="Cambria" w:hAnsi="Cambria" w:cs="Arial"/>
          <w:noProof/>
          <w:lang w:val="sr-Latn-ME"/>
        </w:rPr>
        <w:t xml:space="preserve">enja evidencije za sve hemikalije te da je svaki dobavljač hemikalija </w:t>
      </w:r>
      <w:r w:rsidR="003D5C5B" w:rsidRPr="00AB15C7">
        <w:rPr>
          <w:rFonts w:ascii="Cambria" w:hAnsi="Cambria" w:cs="Arial"/>
          <w:noProof/>
        </w:rPr>
        <w:t>dužan da vodi evidenciju o hemikalijama, koja sadrži podatke o: identitetu hemikalije; distributerima, odnosno daljim korisnicima i količinama hemikalija koje su im isporučene; zbirnim količinama hemikalija koje su prodate potrošačima u kalendarskoj godini.</w:t>
      </w:r>
    </w:p>
    <w:p w14:paraId="7E638669" w14:textId="7EE4BD17" w:rsidR="003C34CD" w:rsidRPr="00AB15C7" w:rsidRDefault="00DE50A7" w:rsidP="005921EF">
      <w:pPr>
        <w:pStyle w:val="Heading2"/>
        <w:ind w:left="720" w:hanging="720"/>
        <w:rPr>
          <w:b w:val="0"/>
          <w:bCs w:val="0"/>
          <w:noProof/>
          <w:sz w:val="22"/>
          <w:szCs w:val="22"/>
        </w:rPr>
      </w:pPr>
      <w:bookmarkStart w:id="51" w:name="_Toc527353189"/>
      <w:bookmarkEnd w:id="50"/>
      <w:r w:rsidRPr="00AB15C7">
        <w:rPr>
          <w:noProof/>
          <w:sz w:val="22"/>
          <w:szCs w:val="22"/>
          <w:lang w:val="en-US"/>
        </w:rPr>
        <w:t>2.</w:t>
      </w:r>
      <w:r w:rsidR="003C34CD" w:rsidRPr="00AB15C7">
        <w:rPr>
          <w:noProof/>
          <w:sz w:val="22"/>
          <w:szCs w:val="22"/>
          <w:lang w:val="en-US"/>
        </w:rPr>
        <w:t>3.1.</w:t>
      </w:r>
      <w:r w:rsidR="00C758F1" w:rsidRPr="00AB15C7">
        <w:rPr>
          <w:noProof/>
          <w:sz w:val="22"/>
          <w:szCs w:val="22"/>
          <w:lang w:val="en-US"/>
        </w:rPr>
        <w:t>2</w:t>
      </w:r>
      <w:r w:rsidR="003C34CD" w:rsidRPr="00AB15C7">
        <w:rPr>
          <w:noProof/>
          <w:sz w:val="22"/>
          <w:szCs w:val="22"/>
          <w:lang w:val="en-US"/>
        </w:rPr>
        <w:t xml:space="preserve">. </w:t>
      </w:r>
      <w:r w:rsidR="003C69D5" w:rsidRPr="00AB15C7">
        <w:rPr>
          <w:noProof/>
          <w:sz w:val="22"/>
          <w:szCs w:val="22"/>
          <w:lang w:val="en-US"/>
        </w:rPr>
        <w:t xml:space="preserve"> </w:t>
      </w:r>
      <w:r w:rsidR="00486EB8" w:rsidRPr="00AB15C7">
        <w:rPr>
          <w:noProof/>
          <w:sz w:val="22"/>
          <w:szCs w:val="22"/>
          <w:lang w:val="en-US"/>
        </w:rPr>
        <w:t>Propisi koji se odnose na hemikalij</w:t>
      </w:r>
      <w:r w:rsidR="00381EB2" w:rsidRPr="00AB15C7">
        <w:rPr>
          <w:noProof/>
          <w:sz w:val="22"/>
          <w:szCs w:val="22"/>
          <w:lang w:val="en-US"/>
        </w:rPr>
        <w:t>e</w:t>
      </w:r>
      <w:r w:rsidR="00C758F1" w:rsidRPr="00AB15C7">
        <w:rPr>
          <w:b w:val="0"/>
          <w:bCs w:val="0"/>
          <w:noProof/>
          <w:sz w:val="22"/>
          <w:szCs w:val="22"/>
        </w:rPr>
        <w:t xml:space="preserve"> </w:t>
      </w:r>
      <w:r w:rsidR="00486EB8" w:rsidRPr="00AB15C7">
        <w:rPr>
          <w:bCs w:val="0"/>
          <w:noProof/>
          <w:sz w:val="22"/>
          <w:szCs w:val="22"/>
        </w:rPr>
        <w:t xml:space="preserve">sa </w:t>
      </w:r>
      <w:r w:rsidR="00DE6B82" w:rsidRPr="00AB15C7">
        <w:rPr>
          <w:bCs w:val="0"/>
          <w:noProof/>
          <w:sz w:val="22"/>
          <w:szCs w:val="22"/>
        </w:rPr>
        <w:t>specifičn</w:t>
      </w:r>
      <w:r w:rsidR="00DE6B82">
        <w:rPr>
          <w:bCs w:val="0"/>
          <w:noProof/>
          <w:sz w:val="22"/>
          <w:szCs w:val="22"/>
          <w:lang w:val="sr-Latn-RS"/>
        </w:rPr>
        <w:t xml:space="preserve">im djelovanjem i </w:t>
      </w:r>
      <w:r w:rsidR="00486EB8" w:rsidRPr="00AB15C7">
        <w:rPr>
          <w:bCs w:val="0"/>
          <w:noProof/>
          <w:sz w:val="22"/>
          <w:szCs w:val="22"/>
        </w:rPr>
        <w:t>nam</w:t>
      </w:r>
      <w:r w:rsidR="003D5C5B" w:rsidRPr="00AB15C7">
        <w:rPr>
          <w:bCs w:val="0"/>
          <w:noProof/>
          <w:sz w:val="22"/>
          <w:szCs w:val="22"/>
          <w:lang w:val="sr-Latn-RS"/>
        </w:rPr>
        <w:t>j</w:t>
      </w:r>
      <w:r w:rsidR="00486EB8" w:rsidRPr="00AB15C7">
        <w:rPr>
          <w:bCs w:val="0"/>
          <w:noProof/>
          <w:sz w:val="22"/>
          <w:szCs w:val="22"/>
        </w:rPr>
        <w:t>enom</w:t>
      </w:r>
      <w:bookmarkEnd w:id="51"/>
      <w:r w:rsidR="00C758F1" w:rsidRPr="00AB15C7">
        <w:rPr>
          <w:b w:val="0"/>
          <w:bCs w:val="0"/>
          <w:noProof/>
          <w:sz w:val="22"/>
          <w:szCs w:val="22"/>
        </w:rPr>
        <w:t xml:space="preserve"> </w:t>
      </w:r>
    </w:p>
    <w:p w14:paraId="4B2872BD" w14:textId="77777777" w:rsidR="003C34CD" w:rsidRPr="004C59C2" w:rsidRDefault="003C34CD" w:rsidP="005921EF">
      <w:pPr>
        <w:autoSpaceDE w:val="0"/>
        <w:autoSpaceDN w:val="0"/>
        <w:adjustRightInd w:val="0"/>
        <w:spacing w:after="0"/>
        <w:jc w:val="both"/>
        <w:rPr>
          <w:rFonts w:ascii="Cambria" w:hAnsi="Cambria"/>
          <w:noProof/>
          <w:color w:val="000000"/>
        </w:rPr>
      </w:pPr>
    </w:p>
    <w:p w14:paraId="69C69B98" w14:textId="1BDB57F4" w:rsidR="003C69D5" w:rsidRPr="004C59C2" w:rsidRDefault="00380A52" w:rsidP="005921EF">
      <w:pPr>
        <w:autoSpaceDE w:val="0"/>
        <w:autoSpaceDN w:val="0"/>
        <w:adjustRightInd w:val="0"/>
        <w:spacing w:after="0"/>
        <w:jc w:val="both"/>
        <w:rPr>
          <w:rFonts w:ascii="Cambria" w:hAnsi="Cambria"/>
          <w:noProof/>
          <w:color w:val="000000"/>
        </w:rPr>
      </w:pPr>
      <w:r>
        <w:rPr>
          <w:rFonts w:ascii="Cambria" w:hAnsi="Cambria"/>
          <w:noProof/>
          <w:color w:val="000000"/>
        </w:rPr>
        <w:t>Biocidni proizvodi, sredstva za zaštitu bilja, kao i sredstva za ishranu bilja, obuhvataju</w:t>
      </w:r>
      <w:r w:rsidR="002E3156" w:rsidRPr="004C59C2">
        <w:rPr>
          <w:rFonts w:ascii="Cambria" w:hAnsi="Cambria"/>
          <w:noProof/>
          <w:color w:val="000000"/>
        </w:rPr>
        <w:t xml:space="preserve"> </w:t>
      </w:r>
      <w:r w:rsidRPr="004C59C2">
        <w:rPr>
          <w:rFonts w:ascii="Cambria" w:hAnsi="Cambria"/>
          <w:noProof/>
          <w:color w:val="000000"/>
        </w:rPr>
        <w:t>hemikalij</w:t>
      </w:r>
      <w:r>
        <w:rPr>
          <w:rFonts w:ascii="Cambria" w:hAnsi="Cambria"/>
          <w:noProof/>
          <w:color w:val="000000"/>
        </w:rPr>
        <w:t>e</w:t>
      </w:r>
      <w:r w:rsidRPr="004C59C2">
        <w:rPr>
          <w:rFonts w:ascii="Cambria" w:hAnsi="Cambria"/>
          <w:noProof/>
          <w:color w:val="000000"/>
        </w:rPr>
        <w:t xml:space="preserve"> </w:t>
      </w:r>
      <w:r w:rsidR="002E3156" w:rsidRPr="004C59C2">
        <w:rPr>
          <w:rFonts w:ascii="Cambria" w:hAnsi="Cambria"/>
          <w:noProof/>
          <w:color w:val="000000"/>
        </w:rPr>
        <w:t>koje zbog svoje specifične aktivnosti imaju dejstvo na živi sv</w:t>
      </w:r>
      <w:r w:rsidR="003D5C5B" w:rsidRPr="004C59C2">
        <w:rPr>
          <w:rFonts w:ascii="Cambria" w:hAnsi="Cambria"/>
          <w:noProof/>
          <w:color w:val="000000"/>
        </w:rPr>
        <w:t>ij</w:t>
      </w:r>
      <w:r w:rsidR="002E3156" w:rsidRPr="004C59C2">
        <w:rPr>
          <w:rFonts w:ascii="Cambria" w:hAnsi="Cambria"/>
          <w:noProof/>
          <w:color w:val="000000"/>
        </w:rPr>
        <w:t>et i kao takve mo</w:t>
      </w:r>
      <w:r w:rsidR="00393D93" w:rsidRPr="004C59C2">
        <w:rPr>
          <w:rFonts w:ascii="Cambria" w:hAnsi="Cambria"/>
          <w:noProof/>
          <w:color w:val="000000"/>
        </w:rPr>
        <w:t>r</w:t>
      </w:r>
      <w:r w:rsidR="002E3156" w:rsidRPr="004C59C2">
        <w:rPr>
          <w:rFonts w:ascii="Cambria" w:hAnsi="Cambria"/>
          <w:noProof/>
          <w:color w:val="000000"/>
        </w:rPr>
        <w:t>aju biti posebno kontrolisane i u</w:t>
      </w:r>
      <w:r w:rsidR="00393D93" w:rsidRPr="004C59C2">
        <w:rPr>
          <w:rFonts w:ascii="Cambria" w:hAnsi="Cambria"/>
          <w:noProof/>
          <w:color w:val="000000"/>
        </w:rPr>
        <w:t>r</w:t>
      </w:r>
      <w:r w:rsidR="002E3156" w:rsidRPr="004C59C2">
        <w:rPr>
          <w:rFonts w:ascii="Cambria" w:hAnsi="Cambria"/>
          <w:noProof/>
          <w:color w:val="000000"/>
        </w:rPr>
        <w:t>e</w:t>
      </w:r>
      <w:r w:rsidR="004C59C2">
        <w:rPr>
          <w:rFonts w:ascii="Cambria" w:hAnsi="Cambria"/>
          <w:noProof/>
          <w:color w:val="000000"/>
        </w:rPr>
        <w:t>đ</w:t>
      </w:r>
      <w:r w:rsidR="002E3156" w:rsidRPr="004C59C2">
        <w:rPr>
          <w:rFonts w:ascii="Cambria" w:hAnsi="Cambria"/>
          <w:noProof/>
          <w:color w:val="000000"/>
        </w:rPr>
        <w:t xml:space="preserve">ene su posebnim zakonima kako bi se </w:t>
      </w:r>
      <w:r w:rsidR="00393D93" w:rsidRPr="004C59C2">
        <w:rPr>
          <w:rFonts w:ascii="Cambria" w:hAnsi="Cambria"/>
          <w:noProof/>
          <w:color w:val="000000"/>
        </w:rPr>
        <w:t>dužna</w:t>
      </w:r>
      <w:r w:rsidR="002E3156" w:rsidRPr="004C59C2">
        <w:rPr>
          <w:rFonts w:ascii="Cambria" w:hAnsi="Cambria"/>
          <w:noProof/>
          <w:color w:val="000000"/>
        </w:rPr>
        <w:t xml:space="preserve"> pažnja posvetila rizicima koje one mogu predst</w:t>
      </w:r>
      <w:r w:rsidR="00393D93" w:rsidRPr="004C59C2">
        <w:rPr>
          <w:rFonts w:ascii="Cambria" w:hAnsi="Cambria"/>
          <w:noProof/>
          <w:color w:val="000000"/>
        </w:rPr>
        <w:t>a</w:t>
      </w:r>
      <w:r w:rsidR="002E3156" w:rsidRPr="004C59C2">
        <w:rPr>
          <w:rFonts w:ascii="Cambria" w:hAnsi="Cambria"/>
          <w:noProof/>
          <w:color w:val="000000"/>
        </w:rPr>
        <w:t>vljati po zdravlje ljudi i životnu sredinu. To se prvenstveno odnosi na biocidne proizvode</w:t>
      </w:r>
      <w:r>
        <w:rPr>
          <w:rFonts w:ascii="Cambria" w:hAnsi="Cambria"/>
          <w:noProof/>
          <w:color w:val="000000"/>
        </w:rPr>
        <w:t xml:space="preserve"> i </w:t>
      </w:r>
      <w:r w:rsidR="00393D93" w:rsidRPr="004C59C2">
        <w:rPr>
          <w:rFonts w:ascii="Cambria" w:hAnsi="Cambria"/>
          <w:noProof/>
          <w:color w:val="000000"/>
        </w:rPr>
        <w:t xml:space="preserve"> sredstva za zaštitu bilja koja sadrže aktivne supstance </w:t>
      </w:r>
      <w:r>
        <w:rPr>
          <w:rFonts w:ascii="Cambria" w:hAnsi="Cambria"/>
          <w:noProof/>
          <w:color w:val="000000"/>
        </w:rPr>
        <w:t xml:space="preserve">čije se </w:t>
      </w:r>
      <w:r w:rsidR="005F3CD1" w:rsidRPr="004C59C2">
        <w:rPr>
          <w:rFonts w:ascii="Cambria" w:hAnsi="Cambria"/>
          <w:noProof/>
          <w:color w:val="000000"/>
        </w:rPr>
        <w:t xml:space="preserve">dejstvo </w:t>
      </w:r>
      <w:r w:rsidR="00393D93" w:rsidRPr="004C59C2">
        <w:rPr>
          <w:rFonts w:ascii="Cambria" w:hAnsi="Cambria"/>
          <w:noProof/>
          <w:color w:val="000000"/>
        </w:rPr>
        <w:t>koristi za kontrolu nepo</w:t>
      </w:r>
      <w:r w:rsidR="005F3CD1" w:rsidRPr="004C59C2">
        <w:rPr>
          <w:rFonts w:ascii="Cambria" w:hAnsi="Cambria"/>
          <w:noProof/>
          <w:color w:val="000000"/>
        </w:rPr>
        <w:t>ž</w:t>
      </w:r>
      <w:r w:rsidR="00393D93" w:rsidRPr="004C59C2">
        <w:rPr>
          <w:rFonts w:ascii="Cambria" w:hAnsi="Cambria"/>
          <w:noProof/>
          <w:color w:val="000000"/>
        </w:rPr>
        <w:t>eljnih organizama</w:t>
      </w:r>
      <w:r>
        <w:rPr>
          <w:rFonts w:ascii="Cambria" w:hAnsi="Cambria"/>
          <w:noProof/>
          <w:color w:val="000000"/>
        </w:rPr>
        <w:t xml:space="preserve">. </w:t>
      </w:r>
      <w:r w:rsidR="005F3CD1" w:rsidRPr="004C59C2">
        <w:rPr>
          <w:rFonts w:ascii="Cambria" w:hAnsi="Cambria"/>
          <w:noProof/>
          <w:color w:val="000000"/>
        </w:rPr>
        <w:t xml:space="preserve">Ipak, treba uzeti u obzir da </w:t>
      </w:r>
      <w:r w:rsidR="00165B60">
        <w:rPr>
          <w:rFonts w:ascii="Cambria" w:hAnsi="Cambria"/>
          <w:noProof/>
          <w:color w:val="000000"/>
        </w:rPr>
        <w:t>proizvodi</w:t>
      </w:r>
      <w:r w:rsidR="005F3CD1" w:rsidRPr="004C59C2">
        <w:rPr>
          <w:rFonts w:ascii="Cambria" w:hAnsi="Cambria"/>
          <w:noProof/>
          <w:color w:val="000000"/>
        </w:rPr>
        <w:t xml:space="preserve"> sa ovakvom aktivnošću mogu da utiču i na druge, neciljne organizme (pa i ljude) i životnu sredinu</w:t>
      </w:r>
      <w:r w:rsidR="00741166" w:rsidRPr="004C59C2">
        <w:rPr>
          <w:rFonts w:ascii="Cambria" w:hAnsi="Cambria"/>
          <w:noProof/>
          <w:color w:val="000000"/>
        </w:rPr>
        <w:t>,</w:t>
      </w:r>
      <w:r w:rsidR="005F3CD1" w:rsidRPr="004C59C2">
        <w:rPr>
          <w:rFonts w:ascii="Cambria" w:hAnsi="Cambria"/>
          <w:noProof/>
          <w:color w:val="000000"/>
        </w:rPr>
        <w:t xml:space="preserve"> te stoga </w:t>
      </w:r>
      <w:r w:rsidR="00741166" w:rsidRPr="004C59C2">
        <w:rPr>
          <w:rFonts w:ascii="Cambria" w:hAnsi="Cambria"/>
          <w:noProof/>
          <w:color w:val="000000"/>
        </w:rPr>
        <w:t>ovakvi hemijski proizvodi</w:t>
      </w:r>
      <w:r w:rsidR="005F3CD1" w:rsidRPr="004C59C2">
        <w:rPr>
          <w:rFonts w:ascii="Cambria" w:hAnsi="Cambria"/>
          <w:noProof/>
          <w:color w:val="000000"/>
        </w:rPr>
        <w:t xml:space="preserve"> moraju biti pod posebnim regulatornim režimom koji podrazum</w:t>
      </w:r>
      <w:r w:rsidR="003D5C5B" w:rsidRPr="004C59C2">
        <w:rPr>
          <w:rFonts w:ascii="Cambria" w:hAnsi="Cambria"/>
          <w:noProof/>
          <w:color w:val="000000"/>
        </w:rPr>
        <w:t>ij</w:t>
      </w:r>
      <w:r w:rsidR="005F3CD1" w:rsidRPr="004C59C2">
        <w:rPr>
          <w:rFonts w:ascii="Cambria" w:hAnsi="Cambria"/>
          <w:noProof/>
          <w:color w:val="000000"/>
        </w:rPr>
        <w:t xml:space="preserve">eva posebne procedure registracije kojima se odobrava njihovo stavljanje u promet </w:t>
      </w:r>
      <w:r w:rsidR="00741166" w:rsidRPr="004C59C2">
        <w:rPr>
          <w:rFonts w:ascii="Cambria" w:hAnsi="Cambria"/>
          <w:noProof/>
          <w:color w:val="000000"/>
        </w:rPr>
        <w:t xml:space="preserve">samo </w:t>
      </w:r>
      <w:r w:rsidR="005F3CD1" w:rsidRPr="004C59C2">
        <w:rPr>
          <w:rFonts w:ascii="Cambria" w:hAnsi="Cambria"/>
          <w:noProof/>
          <w:color w:val="000000"/>
        </w:rPr>
        <w:t xml:space="preserve">ukoliko se utvrdi </w:t>
      </w:r>
      <w:r w:rsidR="00127CB8">
        <w:rPr>
          <w:rFonts w:ascii="Cambria" w:hAnsi="Cambria"/>
          <w:noProof/>
          <w:color w:val="000000"/>
        </w:rPr>
        <w:t>da</w:t>
      </w:r>
      <w:r w:rsidR="00127CB8" w:rsidRPr="004C59C2">
        <w:rPr>
          <w:rFonts w:ascii="Cambria" w:hAnsi="Cambria"/>
          <w:noProof/>
          <w:color w:val="000000"/>
        </w:rPr>
        <w:t xml:space="preserve"> </w:t>
      </w:r>
      <w:r w:rsidR="005F3CD1" w:rsidRPr="004C59C2">
        <w:rPr>
          <w:rFonts w:ascii="Cambria" w:hAnsi="Cambria"/>
          <w:noProof/>
          <w:color w:val="000000"/>
        </w:rPr>
        <w:t>ne predstavljaju neprihvatljiv rizik za zdravlje ljudi i životnu sredinu</w:t>
      </w:r>
      <w:r w:rsidR="00741166" w:rsidRPr="004C59C2">
        <w:rPr>
          <w:rFonts w:ascii="Cambria" w:hAnsi="Cambria"/>
          <w:noProof/>
          <w:color w:val="000000"/>
        </w:rPr>
        <w:t xml:space="preserve">, </w:t>
      </w:r>
      <w:r w:rsidR="005F3CD1" w:rsidRPr="004C59C2">
        <w:rPr>
          <w:rFonts w:ascii="Cambria" w:hAnsi="Cambria"/>
          <w:noProof/>
          <w:color w:val="000000"/>
        </w:rPr>
        <w:t xml:space="preserve"> kao</w:t>
      </w:r>
      <w:r w:rsidR="00741166" w:rsidRPr="004C59C2">
        <w:rPr>
          <w:rFonts w:ascii="Cambria" w:hAnsi="Cambria"/>
          <w:noProof/>
          <w:color w:val="000000"/>
        </w:rPr>
        <w:t xml:space="preserve"> i</w:t>
      </w:r>
      <w:r w:rsidR="005F3CD1" w:rsidRPr="004C59C2">
        <w:rPr>
          <w:rFonts w:ascii="Cambria" w:hAnsi="Cambria"/>
          <w:noProof/>
          <w:color w:val="000000"/>
        </w:rPr>
        <w:t xml:space="preserve"> posebnu kontrolu ovakvih proizvoda na tržištu.</w:t>
      </w:r>
      <w:r w:rsidR="003C69D5" w:rsidRPr="004C59C2">
        <w:rPr>
          <w:rFonts w:ascii="Cambria" w:hAnsi="Cambria"/>
          <w:noProof/>
          <w:color w:val="000000"/>
        </w:rPr>
        <w:t xml:space="preserve"> </w:t>
      </w:r>
      <w:r w:rsidR="00165B60">
        <w:rPr>
          <w:rFonts w:ascii="Cambria" w:hAnsi="Cambria"/>
          <w:noProof/>
          <w:color w:val="000000"/>
        </w:rPr>
        <w:t>U pogledu odredbi Zakona o hemikalijama na ove proizvode se u potpunosti prim</w:t>
      </w:r>
      <w:r w:rsidR="009E6F26">
        <w:rPr>
          <w:rFonts w:ascii="Cambria" w:hAnsi="Cambria"/>
          <w:noProof/>
          <w:color w:val="000000"/>
        </w:rPr>
        <w:t>j</w:t>
      </w:r>
      <w:r w:rsidR="00165B60">
        <w:rPr>
          <w:rFonts w:ascii="Cambria" w:hAnsi="Cambria"/>
          <w:noProof/>
          <w:color w:val="000000"/>
        </w:rPr>
        <w:t xml:space="preserve">enjuju odredbe o </w:t>
      </w:r>
      <w:r w:rsidR="00165B60" w:rsidRPr="00165B60">
        <w:rPr>
          <w:rFonts w:ascii="Cambria" w:hAnsi="Cambria"/>
          <w:noProof/>
          <w:color w:val="000000"/>
        </w:rPr>
        <w:t>klasifikacij</w:t>
      </w:r>
      <w:r w:rsidR="00165B60">
        <w:rPr>
          <w:rFonts w:ascii="Cambria" w:hAnsi="Cambria"/>
          <w:noProof/>
          <w:color w:val="000000"/>
        </w:rPr>
        <w:t>i</w:t>
      </w:r>
      <w:r w:rsidR="00165B60" w:rsidRPr="00165B60">
        <w:rPr>
          <w:rFonts w:ascii="Cambria" w:hAnsi="Cambria"/>
          <w:noProof/>
          <w:color w:val="000000"/>
        </w:rPr>
        <w:t>, pakovanj</w:t>
      </w:r>
      <w:r w:rsidR="00165B60">
        <w:rPr>
          <w:rFonts w:ascii="Cambria" w:hAnsi="Cambria"/>
          <w:noProof/>
          <w:color w:val="000000"/>
        </w:rPr>
        <w:t>u</w:t>
      </w:r>
      <w:r w:rsidR="00165B60" w:rsidRPr="00165B60">
        <w:rPr>
          <w:rFonts w:ascii="Cambria" w:hAnsi="Cambria"/>
          <w:noProof/>
          <w:color w:val="000000"/>
        </w:rPr>
        <w:t xml:space="preserve"> i označavanj</w:t>
      </w:r>
      <w:r w:rsidR="00165B60">
        <w:rPr>
          <w:rFonts w:ascii="Cambria" w:hAnsi="Cambria"/>
          <w:noProof/>
          <w:color w:val="000000"/>
        </w:rPr>
        <w:t xml:space="preserve">u, uključujuči i odredbe o bezbjednosnom listu, kao i odredbe o </w:t>
      </w:r>
      <w:r w:rsidR="00165B60" w:rsidRPr="00165B60">
        <w:rPr>
          <w:rFonts w:ascii="Cambria" w:hAnsi="Cambria"/>
          <w:noProof/>
          <w:color w:val="000000"/>
        </w:rPr>
        <w:t>dobr</w:t>
      </w:r>
      <w:r w:rsidR="00165B60">
        <w:rPr>
          <w:rFonts w:ascii="Cambria" w:hAnsi="Cambria"/>
          <w:noProof/>
          <w:color w:val="000000"/>
        </w:rPr>
        <w:t>oj</w:t>
      </w:r>
      <w:r w:rsidR="00165B60" w:rsidRPr="00165B60">
        <w:rPr>
          <w:rFonts w:ascii="Cambria" w:hAnsi="Cambria"/>
          <w:noProof/>
          <w:color w:val="000000"/>
        </w:rPr>
        <w:t xml:space="preserve"> laboratorijsk</w:t>
      </w:r>
      <w:r w:rsidR="00165B60">
        <w:rPr>
          <w:rFonts w:ascii="Cambria" w:hAnsi="Cambria"/>
          <w:noProof/>
          <w:color w:val="000000"/>
        </w:rPr>
        <w:t>oj</w:t>
      </w:r>
      <w:r w:rsidR="00165B60" w:rsidRPr="00165B60">
        <w:rPr>
          <w:rFonts w:ascii="Cambria" w:hAnsi="Cambria"/>
          <w:noProof/>
          <w:color w:val="000000"/>
        </w:rPr>
        <w:t xml:space="preserve"> praks</w:t>
      </w:r>
      <w:r w:rsidR="00165B60">
        <w:rPr>
          <w:rFonts w:ascii="Cambria" w:hAnsi="Cambria"/>
          <w:noProof/>
          <w:color w:val="000000"/>
        </w:rPr>
        <w:t xml:space="preserve">i, </w:t>
      </w:r>
      <w:r w:rsidR="00165B60" w:rsidRPr="00165B60">
        <w:rPr>
          <w:rFonts w:ascii="Cambria" w:hAnsi="Cambria"/>
          <w:noProof/>
          <w:color w:val="000000"/>
        </w:rPr>
        <w:t>razmjena podataka dobijenih iz ispitivanja hemikalija</w:t>
      </w:r>
      <w:r w:rsidR="00165B60">
        <w:rPr>
          <w:rFonts w:ascii="Cambria" w:hAnsi="Cambria"/>
          <w:noProof/>
          <w:color w:val="000000"/>
        </w:rPr>
        <w:t xml:space="preserve"> i zabrane i </w:t>
      </w:r>
      <w:r w:rsidR="00165B60" w:rsidRPr="00165B60">
        <w:rPr>
          <w:rFonts w:ascii="Cambria" w:hAnsi="Cambria"/>
          <w:noProof/>
          <w:color w:val="000000"/>
        </w:rPr>
        <w:t>ograničenja za određene hemikalije.</w:t>
      </w:r>
    </w:p>
    <w:p w14:paraId="141157F1" w14:textId="77777777" w:rsidR="00C758F1" w:rsidRPr="00AB15C7" w:rsidRDefault="00DE50A7" w:rsidP="005921EF">
      <w:pPr>
        <w:pStyle w:val="Heading2"/>
        <w:ind w:firstLine="720"/>
        <w:rPr>
          <w:noProof/>
          <w:sz w:val="22"/>
          <w:szCs w:val="22"/>
          <w:lang w:val="en-US"/>
        </w:rPr>
      </w:pPr>
      <w:bookmarkStart w:id="52" w:name="_Toc527353190"/>
      <w:r w:rsidRPr="00AB15C7">
        <w:rPr>
          <w:noProof/>
          <w:sz w:val="22"/>
          <w:szCs w:val="22"/>
          <w:lang w:val="en-US"/>
        </w:rPr>
        <w:t>2.</w:t>
      </w:r>
      <w:r w:rsidR="00C758F1" w:rsidRPr="00AB15C7">
        <w:rPr>
          <w:noProof/>
          <w:sz w:val="22"/>
          <w:szCs w:val="22"/>
          <w:lang w:val="en-US"/>
        </w:rPr>
        <w:t xml:space="preserve">3.1.2.1. </w:t>
      </w:r>
      <w:r w:rsidR="00B85F47" w:rsidRPr="00AB15C7">
        <w:rPr>
          <w:noProof/>
          <w:sz w:val="22"/>
          <w:szCs w:val="22"/>
          <w:lang w:val="en-US"/>
        </w:rPr>
        <w:t>Propisi</w:t>
      </w:r>
      <w:r w:rsidR="00C758F1" w:rsidRPr="00AB15C7">
        <w:rPr>
          <w:noProof/>
          <w:sz w:val="22"/>
          <w:szCs w:val="22"/>
          <w:lang w:val="en-US"/>
        </w:rPr>
        <w:t xml:space="preserve"> o biocidnim proizvodima</w:t>
      </w:r>
      <w:bookmarkEnd w:id="52"/>
    </w:p>
    <w:p w14:paraId="786779E3" w14:textId="77777777" w:rsidR="004E28F0" w:rsidRPr="00AB15C7" w:rsidRDefault="004E28F0" w:rsidP="005921EF">
      <w:pPr>
        <w:autoSpaceDE w:val="0"/>
        <w:autoSpaceDN w:val="0"/>
        <w:adjustRightInd w:val="0"/>
        <w:spacing w:after="0"/>
        <w:jc w:val="both"/>
        <w:rPr>
          <w:rFonts w:ascii="Cambria" w:hAnsi="Cambria"/>
          <w:b/>
          <w:noProof/>
          <w:color w:val="000000"/>
          <w:lang w:val="sr-Latn-ME"/>
        </w:rPr>
      </w:pPr>
    </w:p>
    <w:p w14:paraId="7DB32760" w14:textId="5EF3A7AA" w:rsidR="00592373" w:rsidRDefault="00C4482D" w:rsidP="005921EF">
      <w:pPr>
        <w:spacing w:before="120" w:after="0"/>
        <w:jc w:val="both"/>
        <w:rPr>
          <w:rFonts w:ascii="Cambria" w:hAnsi="Cambria"/>
          <w:noProof/>
          <w:color w:val="000000"/>
          <w:lang w:val="sr-Latn-ME"/>
        </w:rPr>
      </w:pPr>
      <w:r w:rsidRPr="00AB15C7">
        <w:rPr>
          <w:rFonts w:ascii="Cambria" w:hAnsi="Cambria"/>
          <w:noProof/>
          <w:color w:val="000000"/>
        </w:rPr>
        <w:t>Značaj biocidnih proizvoda svakodnevno raste zbog njihove široke primjene za dezinfekciju za suzbijanje insekata i glodara, za zaštitu gotovih proizvoda dok su u originalnoj ambalaži, za zaštitu drveta, kože, gume, papira, tekstila, tečnosti u rashladnim i procesnim sistemima i dr.</w:t>
      </w:r>
      <w:r w:rsidRPr="00AB15C7">
        <w:rPr>
          <w:rFonts w:ascii="Cambria" w:hAnsi="Cambria"/>
          <w:noProof/>
          <w:color w:val="000000"/>
          <w:lang w:val="sr-Latn-ME"/>
        </w:rPr>
        <w:t xml:space="preserve"> </w:t>
      </w:r>
      <w:r w:rsidR="00B24086" w:rsidRPr="00AB15C7">
        <w:rPr>
          <w:rFonts w:ascii="Cambria" w:hAnsi="Cambria"/>
          <w:noProof/>
          <w:color w:val="000000"/>
          <w:lang w:val="sr-Latn-ME"/>
        </w:rPr>
        <w:t>B</w:t>
      </w:r>
      <w:r w:rsidR="00C24331" w:rsidRPr="00AB15C7">
        <w:rPr>
          <w:rFonts w:ascii="Cambria" w:hAnsi="Cambria"/>
          <w:noProof/>
          <w:color w:val="000000"/>
          <w:lang w:val="sr-Latn-ME"/>
        </w:rPr>
        <w:t xml:space="preserve">iocidni proizvodi predstavljaju posebnu vrstu hemikalija </w:t>
      </w:r>
      <w:r w:rsidR="00B24086" w:rsidRPr="00AB15C7">
        <w:rPr>
          <w:rFonts w:ascii="Cambria" w:hAnsi="Cambria"/>
          <w:noProof/>
          <w:color w:val="000000"/>
          <w:lang w:val="sr-Latn-ME"/>
        </w:rPr>
        <w:t>jer obuhvataju</w:t>
      </w:r>
      <w:r w:rsidR="00C24331" w:rsidRPr="00AB15C7">
        <w:rPr>
          <w:rFonts w:ascii="Cambria" w:hAnsi="Cambria"/>
          <w:noProof/>
          <w:color w:val="000000"/>
          <w:lang w:val="sr-Latn-ME"/>
        </w:rPr>
        <w:t xml:space="preserve"> </w:t>
      </w:r>
      <w:r w:rsidR="00B24086" w:rsidRPr="00AB15C7">
        <w:rPr>
          <w:rFonts w:ascii="Cambria" w:hAnsi="Cambria"/>
          <w:noProof/>
          <w:color w:val="000000"/>
          <w:lang w:val="sr-Latn-ME"/>
        </w:rPr>
        <w:t xml:space="preserve">supstance ili smješe koje sadrži jednu ili više aktivnih supstanci, pripremljene u obliku u kojem se snabdijevaju korisnici, a čija je namjena da uništi, spriječi djelovanje, učini bezopasnim ili kontroliše nepoželjne organizme na bilo koji način, osim fizičkim ili mehaničkim djelovanjem. </w:t>
      </w:r>
    </w:p>
    <w:p w14:paraId="34BBF94B" w14:textId="77445064" w:rsidR="00DA2B09" w:rsidRPr="00AB15C7" w:rsidRDefault="00B24086" w:rsidP="005921EF">
      <w:pPr>
        <w:spacing w:before="120" w:after="0"/>
        <w:jc w:val="both"/>
        <w:rPr>
          <w:rFonts w:ascii="Cambria" w:hAnsi="Cambria"/>
          <w:noProof/>
          <w:color w:val="000000"/>
        </w:rPr>
      </w:pPr>
      <w:r w:rsidRPr="00AB15C7">
        <w:rPr>
          <w:rFonts w:ascii="Cambria" w:hAnsi="Cambria"/>
          <w:noProof/>
          <w:color w:val="000000"/>
          <w:lang w:val="sr-Latn-ME"/>
        </w:rPr>
        <w:t xml:space="preserve">Ovakvi proizvodi su u Crnoj </w:t>
      </w:r>
      <w:r w:rsidR="003D5C5B" w:rsidRPr="00AB15C7">
        <w:rPr>
          <w:rFonts w:ascii="Cambria" w:hAnsi="Cambria"/>
          <w:noProof/>
          <w:color w:val="000000"/>
          <w:lang w:val="sr-Latn-ME"/>
        </w:rPr>
        <w:t xml:space="preserve">Gori </w:t>
      </w:r>
      <w:r w:rsidRPr="00AB15C7">
        <w:rPr>
          <w:rFonts w:ascii="Cambria" w:hAnsi="Cambria"/>
          <w:noProof/>
          <w:color w:val="000000"/>
          <w:lang w:val="sr-Latn-ME"/>
        </w:rPr>
        <w:t>ure</w:t>
      </w:r>
      <w:r w:rsidR="00592373">
        <w:rPr>
          <w:rFonts w:ascii="Cambria" w:hAnsi="Cambria"/>
          <w:noProof/>
          <w:color w:val="000000"/>
          <w:lang w:val="sr-Latn-ME"/>
        </w:rPr>
        <w:t>đ</w:t>
      </w:r>
      <w:r w:rsidRPr="00AB15C7">
        <w:rPr>
          <w:rFonts w:ascii="Cambria" w:hAnsi="Cambria"/>
          <w:noProof/>
          <w:color w:val="000000"/>
          <w:lang w:val="sr-Latn-ME"/>
        </w:rPr>
        <w:t xml:space="preserve">eni </w:t>
      </w:r>
      <w:r w:rsidR="00C24331" w:rsidRPr="00AB15C7">
        <w:rPr>
          <w:rFonts w:ascii="Cambria" w:hAnsi="Cambria" w:cs="Arial"/>
          <w:b/>
          <w:noProof/>
          <w:lang w:val="sr-Latn-ME"/>
        </w:rPr>
        <w:t>Zakon</w:t>
      </w:r>
      <w:r w:rsidRPr="00AB15C7">
        <w:rPr>
          <w:rFonts w:ascii="Cambria" w:hAnsi="Cambria" w:cs="Arial"/>
          <w:b/>
          <w:noProof/>
          <w:lang w:val="sr-Latn-ME"/>
        </w:rPr>
        <w:t>om</w:t>
      </w:r>
      <w:r w:rsidR="00C24331" w:rsidRPr="00AB15C7">
        <w:rPr>
          <w:rFonts w:ascii="Cambria" w:hAnsi="Cambria" w:cs="Arial"/>
          <w:b/>
          <w:noProof/>
          <w:lang w:val="sr-Latn-ME"/>
        </w:rPr>
        <w:t xml:space="preserve"> o biocidnim proizvodima </w:t>
      </w:r>
      <w:r w:rsidR="00C24331" w:rsidRPr="00AB15C7">
        <w:rPr>
          <w:rFonts w:ascii="Cambria" w:hAnsi="Cambria" w:cs="Arial"/>
          <w:noProof/>
          <w:lang w:val="sr-Latn-ME"/>
        </w:rPr>
        <w:t xml:space="preserve">(“Sl. list Crne Gore” br. </w:t>
      </w:r>
      <w:r w:rsidR="00C24331" w:rsidRPr="00AB15C7">
        <w:rPr>
          <w:rFonts w:ascii="Cambria" w:hAnsi="Cambria" w:cs="Arial"/>
          <w:bCs/>
          <w:noProof/>
        </w:rPr>
        <w:t>54/</w:t>
      </w:r>
      <w:r w:rsidR="00B2702C" w:rsidRPr="00AB15C7">
        <w:rPr>
          <w:rFonts w:ascii="Cambria" w:hAnsi="Cambria" w:cs="Arial"/>
          <w:bCs/>
          <w:noProof/>
        </w:rPr>
        <w:t>1</w:t>
      </w:r>
      <w:r w:rsidR="00C24331" w:rsidRPr="00AB15C7">
        <w:rPr>
          <w:rFonts w:ascii="Cambria" w:hAnsi="Cambria" w:cs="Arial"/>
          <w:bCs/>
          <w:noProof/>
        </w:rPr>
        <w:t>6</w:t>
      </w:r>
      <w:r w:rsidR="00C24331" w:rsidRPr="00AB15C7">
        <w:rPr>
          <w:rFonts w:ascii="Cambria" w:hAnsi="Cambria" w:cs="Arial"/>
          <w:noProof/>
          <w:lang w:val="sr-Latn-ME"/>
        </w:rPr>
        <w:t xml:space="preserve">) koji je stupio je na snagu u avgustu 2016. godine, a </w:t>
      </w:r>
      <w:r w:rsidR="00C24331" w:rsidRPr="00AB15C7">
        <w:rPr>
          <w:rFonts w:ascii="Cambria" w:hAnsi="Cambria" w:cs="Arial"/>
          <w:noProof/>
        </w:rPr>
        <w:t xml:space="preserve">primjenjuje se od 1. januara 2017. godine. </w:t>
      </w:r>
      <w:r w:rsidR="00C24331" w:rsidRPr="00AB15C7">
        <w:rPr>
          <w:rFonts w:ascii="Cambria" w:hAnsi="Cambria"/>
          <w:noProof/>
          <w:color w:val="000000"/>
          <w:lang w:val="sr-Latn-ME"/>
        </w:rPr>
        <w:t>S obzirom na njihovo dejstvo protiv nepoželjnih organizama i mogu</w:t>
      </w:r>
      <w:r w:rsidR="00B07329" w:rsidRPr="00AB15C7">
        <w:rPr>
          <w:rFonts w:ascii="Cambria" w:hAnsi="Cambria"/>
          <w:noProof/>
          <w:color w:val="000000"/>
          <w:lang w:val="sr-Latn-RS"/>
        </w:rPr>
        <w:t>ć</w:t>
      </w:r>
      <w:r w:rsidR="00C24331" w:rsidRPr="00AB15C7">
        <w:rPr>
          <w:rFonts w:ascii="Cambria" w:hAnsi="Cambria"/>
          <w:noProof/>
          <w:color w:val="000000"/>
          <w:lang w:val="sr-Latn-ME"/>
        </w:rPr>
        <w:t>nosti da  usl</w:t>
      </w:r>
      <w:r w:rsidR="00193961">
        <w:rPr>
          <w:rFonts w:ascii="Cambria" w:hAnsi="Cambria"/>
          <w:noProof/>
          <w:color w:val="000000"/>
          <w:lang w:val="sr-Latn-ME"/>
        </w:rPr>
        <w:t>j</w:t>
      </w:r>
      <w:r w:rsidR="00C24331" w:rsidRPr="00AB15C7">
        <w:rPr>
          <w:rFonts w:ascii="Cambria" w:hAnsi="Cambria"/>
          <w:noProof/>
          <w:color w:val="000000"/>
          <w:lang w:val="sr-Latn-ME"/>
        </w:rPr>
        <w:t xml:space="preserve">ed neadekvatne upotrebe biocidnih proizvoda dođe i do ugrožavanja </w:t>
      </w:r>
      <w:r w:rsidR="00C4482D" w:rsidRPr="00AB15C7">
        <w:rPr>
          <w:rFonts w:ascii="Cambria" w:hAnsi="Cambria"/>
          <w:noProof/>
          <w:color w:val="000000"/>
          <w:lang w:val="sr-Latn-ME"/>
        </w:rPr>
        <w:t>zdravlj</w:t>
      </w:r>
      <w:r w:rsidR="00C24331" w:rsidRPr="00AB15C7">
        <w:rPr>
          <w:rFonts w:ascii="Cambria" w:hAnsi="Cambria"/>
          <w:noProof/>
          <w:color w:val="000000"/>
          <w:lang w:val="sr-Latn-ME"/>
        </w:rPr>
        <w:t>a</w:t>
      </w:r>
      <w:r w:rsidR="00C4482D" w:rsidRPr="00AB15C7">
        <w:rPr>
          <w:rFonts w:ascii="Cambria" w:hAnsi="Cambria"/>
          <w:noProof/>
          <w:color w:val="000000"/>
          <w:lang w:val="sr-Latn-ME"/>
        </w:rPr>
        <w:t xml:space="preserve"> ljudi i životnu sredinu</w:t>
      </w:r>
      <w:r w:rsidR="00C24331" w:rsidRPr="00AB15C7">
        <w:rPr>
          <w:rFonts w:ascii="Cambria" w:hAnsi="Cambria"/>
          <w:noProof/>
          <w:color w:val="000000"/>
          <w:lang w:val="sr-Latn-ME"/>
        </w:rPr>
        <w:t xml:space="preserve">, neophodno je da se </w:t>
      </w:r>
      <w:r w:rsidR="00592373" w:rsidRPr="00AB15C7">
        <w:rPr>
          <w:rFonts w:ascii="Cambria" w:hAnsi="Cambria"/>
          <w:noProof/>
          <w:color w:val="000000"/>
        </w:rPr>
        <w:t>njihovo stavljanje u promet i upotreba</w:t>
      </w:r>
      <w:r w:rsidR="00592373" w:rsidRPr="00AB15C7">
        <w:rPr>
          <w:rFonts w:ascii="Cambria" w:hAnsi="Cambria"/>
          <w:noProof/>
          <w:color w:val="000000"/>
          <w:lang w:val="sr-Latn-ME"/>
        </w:rPr>
        <w:t xml:space="preserve"> </w:t>
      </w:r>
      <w:r w:rsidR="00592373" w:rsidRPr="00AB15C7">
        <w:rPr>
          <w:rFonts w:ascii="Cambria" w:hAnsi="Cambria"/>
          <w:noProof/>
          <w:color w:val="000000"/>
        </w:rPr>
        <w:t>kontroliše</w:t>
      </w:r>
      <w:r w:rsidR="00592373" w:rsidRPr="00AB15C7">
        <w:rPr>
          <w:rFonts w:ascii="Cambria" w:hAnsi="Cambria"/>
          <w:noProof/>
          <w:color w:val="000000"/>
          <w:lang w:val="sr-Latn-ME"/>
        </w:rPr>
        <w:t xml:space="preserve"> </w:t>
      </w:r>
      <w:r w:rsidR="00A02A9E" w:rsidRPr="00AB15C7">
        <w:rPr>
          <w:rFonts w:ascii="Cambria" w:hAnsi="Cambria"/>
          <w:noProof/>
          <w:color w:val="000000"/>
          <w:lang w:val="sr-Latn-ME"/>
        </w:rPr>
        <w:t>posebnim</w:t>
      </w:r>
      <w:r w:rsidR="00C24331" w:rsidRPr="00AB15C7">
        <w:rPr>
          <w:rFonts w:ascii="Cambria" w:hAnsi="Cambria"/>
          <w:noProof/>
          <w:color w:val="000000"/>
          <w:lang w:val="sr-Latn-ME"/>
        </w:rPr>
        <w:t xml:space="preserve"> regulatornim mehanizmima</w:t>
      </w:r>
      <w:r w:rsidR="00C24331" w:rsidRPr="00AB15C7">
        <w:rPr>
          <w:rFonts w:ascii="Cambria" w:hAnsi="Cambria"/>
          <w:noProof/>
          <w:color w:val="000000"/>
        </w:rPr>
        <w:t xml:space="preserve">. </w:t>
      </w:r>
      <w:r w:rsidR="00A02A9E" w:rsidRPr="00AB15C7">
        <w:rPr>
          <w:rFonts w:ascii="Cambria" w:hAnsi="Cambria"/>
          <w:noProof/>
          <w:color w:val="000000"/>
        </w:rPr>
        <w:t xml:space="preserve">Cilj ovog zakona je </w:t>
      </w:r>
      <w:r w:rsidR="003D5C5B" w:rsidRPr="00AB15C7">
        <w:rPr>
          <w:rFonts w:ascii="Cambria" w:hAnsi="Cambria"/>
          <w:noProof/>
          <w:color w:val="000000"/>
        </w:rPr>
        <w:t xml:space="preserve">da </w:t>
      </w:r>
      <w:r w:rsidR="00DA2B09" w:rsidRPr="00AB15C7">
        <w:rPr>
          <w:rFonts w:ascii="Cambria" w:hAnsi="Cambria"/>
          <w:noProof/>
          <w:color w:val="000000"/>
          <w:lang w:val="sr-Latn-ME"/>
        </w:rPr>
        <w:t>se uspostavi, održava i unapr</w:t>
      </w:r>
      <w:r w:rsidR="00193961">
        <w:rPr>
          <w:rFonts w:ascii="Cambria" w:hAnsi="Cambria"/>
          <w:noProof/>
          <w:color w:val="000000"/>
          <w:lang w:val="sr-Latn-ME"/>
        </w:rPr>
        <w:t>j</w:t>
      </w:r>
      <w:r w:rsidR="00DA2B09" w:rsidRPr="00AB15C7">
        <w:rPr>
          <w:rFonts w:ascii="Cambria" w:hAnsi="Cambria"/>
          <w:noProof/>
          <w:color w:val="000000"/>
          <w:lang w:val="sr-Latn-ME"/>
        </w:rPr>
        <w:t xml:space="preserve">eduje jedinstveni sistem upravljanja biocidnim proizvodima </w:t>
      </w:r>
      <w:r w:rsidR="00DA2B09" w:rsidRPr="00AB15C7">
        <w:rPr>
          <w:rFonts w:ascii="Cambria" w:hAnsi="Cambria"/>
          <w:noProof/>
          <w:color w:val="000000"/>
          <w:lang w:val="sr-Latn-ME"/>
        </w:rPr>
        <w:lastRenderedPageBreak/>
        <w:t>na teritoriji Crne Gore, koji će osigurati visok nivo zaštite zdravlja ljudi i životne sredine</w:t>
      </w:r>
      <w:r w:rsidR="00A02A9E" w:rsidRPr="00AB15C7">
        <w:rPr>
          <w:rFonts w:ascii="Cambria" w:hAnsi="Cambria"/>
          <w:noProof/>
          <w:color w:val="000000"/>
          <w:lang w:val="sr-Latn-ME"/>
        </w:rPr>
        <w:t>,</w:t>
      </w:r>
      <w:r w:rsidR="00DA2B09" w:rsidRPr="00AB15C7">
        <w:rPr>
          <w:rFonts w:ascii="Cambria" w:hAnsi="Cambria"/>
          <w:noProof/>
          <w:color w:val="000000"/>
          <w:lang w:val="sr-Latn-ME"/>
        </w:rPr>
        <w:t xml:space="preserve"> kao i poboljšanje slobodnog prometa biocidnih proizvoda sa zemljama EU i drugim zemljama. </w:t>
      </w:r>
    </w:p>
    <w:p w14:paraId="2A578797" w14:textId="2ED21857" w:rsidR="004E28F0" w:rsidRPr="00AB15C7" w:rsidRDefault="004E28F0" w:rsidP="005921EF">
      <w:pPr>
        <w:spacing w:before="120" w:after="0"/>
        <w:jc w:val="both"/>
        <w:rPr>
          <w:rFonts w:ascii="Cambria" w:hAnsi="Cambria" w:cs="Arial"/>
          <w:noProof/>
          <w:lang w:val="sr-Latn-ME"/>
        </w:rPr>
      </w:pPr>
      <w:r w:rsidRPr="00AB15C7">
        <w:rPr>
          <w:rFonts w:ascii="Cambria" w:hAnsi="Cambria" w:cs="Arial"/>
          <w:noProof/>
          <w:lang w:val="sr-Latn-ME"/>
        </w:rPr>
        <w:t>Ovaj zakon i podzakonski propisi done</w:t>
      </w:r>
      <w:r w:rsidR="003D5C5B" w:rsidRPr="00AB15C7">
        <w:rPr>
          <w:rFonts w:ascii="Cambria" w:hAnsi="Cambria" w:cs="Arial"/>
          <w:noProof/>
          <w:lang w:val="sr-Latn-ME"/>
        </w:rPr>
        <w:t>š</w:t>
      </w:r>
      <w:r w:rsidRPr="00AB15C7">
        <w:rPr>
          <w:rFonts w:ascii="Cambria" w:hAnsi="Cambria" w:cs="Arial"/>
          <w:noProof/>
          <w:lang w:val="sr-Latn-ME"/>
        </w:rPr>
        <w:t xml:space="preserve">eni na osnovu njega </w:t>
      </w:r>
      <w:r w:rsidR="00BD699A" w:rsidRPr="00AB15C7">
        <w:rPr>
          <w:rFonts w:ascii="Cambria" w:hAnsi="Cambria" w:cs="Arial"/>
          <w:noProof/>
          <w:lang w:val="sr-Latn-ME"/>
        </w:rPr>
        <w:t xml:space="preserve">(vidjeti tabelu A2. </w:t>
      </w:r>
      <w:r w:rsidR="00991910">
        <w:rPr>
          <w:rFonts w:ascii="Cambria" w:hAnsi="Cambria" w:cs="Arial"/>
          <w:noProof/>
          <w:lang w:val="sr-Latn-ME"/>
        </w:rPr>
        <w:t>u Prilogu</w:t>
      </w:r>
      <w:r w:rsidR="00BD699A" w:rsidRPr="00AB15C7">
        <w:rPr>
          <w:rFonts w:ascii="Cambria" w:hAnsi="Cambria" w:cs="Arial"/>
          <w:noProof/>
          <w:lang w:val="sr-Latn-ME"/>
        </w:rPr>
        <w:t xml:space="preserve">) </w:t>
      </w:r>
      <w:r w:rsidRPr="00AB15C7">
        <w:rPr>
          <w:rFonts w:ascii="Cambria" w:hAnsi="Cambria" w:cs="Arial"/>
          <w:noProof/>
          <w:lang w:val="sr-Latn-ME"/>
        </w:rPr>
        <w:t>se odnos</w:t>
      </w:r>
      <w:r w:rsidR="00BD699A" w:rsidRPr="00AB15C7">
        <w:rPr>
          <w:rFonts w:ascii="Cambria" w:hAnsi="Cambria" w:cs="Arial"/>
          <w:noProof/>
          <w:lang w:val="sr-Latn-ME"/>
        </w:rPr>
        <w:t>e</w:t>
      </w:r>
      <w:r w:rsidRPr="00AB15C7">
        <w:rPr>
          <w:rFonts w:ascii="Cambria" w:hAnsi="Cambria" w:cs="Arial"/>
          <w:noProof/>
          <w:lang w:val="sr-Latn-ME"/>
        </w:rPr>
        <w:t xml:space="preserve"> na uslove za stavljanje u promet, snabdjevanje, upotrebu i skladištenje kao centralne faze u životnom ciklusu </w:t>
      </w:r>
      <w:r w:rsidR="0047314D" w:rsidRPr="00AB15C7">
        <w:rPr>
          <w:rFonts w:ascii="Cambria" w:hAnsi="Cambria" w:cs="Arial"/>
          <w:noProof/>
          <w:lang w:val="sr-Latn-ME"/>
        </w:rPr>
        <w:t>biocidnih proizvoda</w:t>
      </w:r>
      <w:r w:rsidR="00BD699A" w:rsidRPr="00AB15C7">
        <w:rPr>
          <w:rFonts w:ascii="Cambria" w:hAnsi="Cambria" w:cs="Arial"/>
          <w:noProof/>
          <w:lang w:val="sr-Latn-ME"/>
        </w:rPr>
        <w:t>.</w:t>
      </w:r>
      <w:r w:rsidR="000223F5" w:rsidRPr="000223F5">
        <w:rPr>
          <w:rFonts w:ascii="Cambria" w:hAnsi="Cambria" w:cs="Arial"/>
          <w:noProof/>
          <w:lang w:val="sr-Latn-ME"/>
        </w:rPr>
        <w:t xml:space="preserve"> </w:t>
      </w:r>
      <w:r w:rsidR="000223F5" w:rsidRPr="00AB15C7">
        <w:rPr>
          <w:rFonts w:ascii="Cambria" w:hAnsi="Cambria" w:cs="Arial"/>
          <w:noProof/>
          <w:lang w:val="sr-Latn-ME"/>
        </w:rPr>
        <w:t xml:space="preserve">Najveći </w:t>
      </w:r>
      <w:r w:rsidR="00193961" w:rsidRPr="00AB15C7">
        <w:rPr>
          <w:rFonts w:ascii="Cambria" w:hAnsi="Cambria" w:cs="Arial"/>
          <w:noProof/>
          <w:lang w:val="sr-Latn-ME"/>
        </w:rPr>
        <w:t>d</w:t>
      </w:r>
      <w:r w:rsidR="00193961">
        <w:rPr>
          <w:rFonts w:ascii="Cambria" w:hAnsi="Cambria" w:cs="Arial"/>
          <w:noProof/>
          <w:lang w:val="sr-Latn-ME"/>
        </w:rPr>
        <w:t>i</w:t>
      </w:r>
      <w:r w:rsidR="00193961" w:rsidRPr="00AB15C7">
        <w:rPr>
          <w:rFonts w:ascii="Cambria" w:hAnsi="Cambria" w:cs="Arial"/>
          <w:noProof/>
          <w:lang w:val="sr-Latn-ME"/>
        </w:rPr>
        <w:t xml:space="preserve">o </w:t>
      </w:r>
      <w:r w:rsidR="000223F5" w:rsidRPr="00AB15C7">
        <w:rPr>
          <w:rFonts w:ascii="Cambria" w:hAnsi="Cambria" w:cs="Arial"/>
          <w:noProof/>
          <w:lang w:val="sr-Latn-ME"/>
        </w:rPr>
        <w:t xml:space="preserve">podzakonskih akata za koje je ovim zakonom dat osnov donešen je tokom 2016. i 2017. čime je postignuta </w:t>
      </w:r>
      <w:r w:rsidR="00193961">
        <w:rPr>
          <w:rFonts w:ascii="Cambria" w:hAnsi="Cambria" w:cs="Arial"/>
          <w:noProof/>
          <w:lang w:val="sr-Latn-ME"/>
        </w:rPr>
        <w:t>velika</w:t>
      </w:r>
      <w:r w:rsidR="000223F5" w:rsidRPr="00AB15C7">
        <w:rPr>
          <w:rFonts w:ascii="Cambria" w:hAnsi="Cambria" w:cs="Arial"/>
          <w:noProof/>
          <w:lang w:val="sr-Latn-ME"/>
        </w:rPr>
        <w:t xml:space="preserve"> usaglašenost sa EU Uredbom o biocidnim proizvodima (EU Uredba 528/2012 – BPR) za zemlju koja je kandidat za članstvo u EU</w:t>
      </w:r>
      <w:r w:rsidR="000223F5">
        <w:rPr>
          <w:rFonts w:ascii="Cambria" w:hAnsi="Cambria" w:cs="Arial"/>
          <w:noProof/>
          <w:lang w:val="sr-Latn-ME"/>
        </w:rPr>
        <w:t xml:space="preserve">. </w:t>
      </w:r>
      <w:r w:rsidR="00193961" w:rsidRPr="00416F0E">
        <w:rPr>
          <w:rFonts w:ascii="Cambria" w:hAnsi="Cambria" w:cs="Arial"/>
          <w:noProof/>
          <w:lang w:val="sr-Latn-ME"/>
        </w:rPr>
        <w:t>Od strane EK dobijena su mišljenja na cijeli set pravilnika, tako da je za 2019. godinu planirana izmjena i dopuna većeg broja pravilnika, čime se postići veći stepen usaglašenosti, ali i strožiji zahtjevi za privrednike.</w:t>
      </w:r>
      <w:r w:rsidR="00193961">
        <w:rPr>
          <w:rFonts w:ascii="Cambria" w:hAnsi="Cambria" w:cs="Arial"/>
          <w:noProof/>
          <w:lang w:val="sr-Latn-ME"/>
        </w:rPr>
        <w:t xml:space="preserve"> </w:t>
      </w:r>
      <w:r w:rsidR="000223F5">
        <w:rPr>
          <w:rFonts w:ascii="Cambria" w:hAnsi="Cambria" w:cs="Arial"/>
          <w:noProof/>
          <w:lang w:val="sr-Latn-ME"/>
        </w:rPr>
        <w:t>I</w:t>
      </w:r>
      <w:r w:rsidR="000223F5" w:rsidRPr="00FD3138">
        <w:rPr>
          <w:rFonts w:ascii="Cambria" w:hAnsi="Cambria" w:cs="Arial"/>
          <w:noProof/>
        </w:rPr>
        <w:t>mplementacij</w:t>
      </w:r>
      <w:r w:rsidR="000223F5">
        <w:rPr>
          <w:rFonts w:ascii="Cambria" w:hAnsi="Cambria" w:cs="Arial"/>
          <w:noProof/>
        </w:rPr>
        <w:t>a je u</w:t>
      </w:r>
      <w:r w:rsidR="000223F5" w:rsidRPr="00FD3138">
        <w:rPr>
          <w:rFonts w:ascii="Cambria" w:hAnsi="Cambria" w:cs="Arial"/>
          <w:noProof/>
        </w:rPr>
        <w:t xml:space="preserve"> ranoj fazi s obzirom da </w:t>
      </w:r>
      <w:r w:rsidR="000223F5">
        <w:rPr>
          <w:rFonts w:ascii="Cambria" w:hAnsi="Cambria" w:cs="Arial"/>
          <w:noProof/>
        </w:rPr>
        <w:t>se zakon</w:t>
      </w:r>
      <w:r w:rsidR="000223F5" w:rsidRPr="00FD3138">
        <w:rPr>
          <w:rFonts w:ascii="Cambria" w:hAnsi="Cambria" w:cs="Arial"/>
          <w:noProof/>
        </w:rPr>
        <w:t xml:space="preserve"> </w:t>
      </w:r>
      <w:r w:rsidR="000223F5">
        <w:rPr>
          <w:rFonts w:ascii="Cambria" w:hAnsi="Cambria" w:cs="Arial"/>
          <w:noProof/>
        </w:rPr>
        <w:t>primjenjuje</w:t>
      </w:r>
      <w:r w:rsidR="000223F5" w:rsidRPr="00FD3138">
        <w:rPr>
          <w:rFonts w:ascii="Cambria" w:hAnsi="Cambria" w:cs="Arial"/>
          <w:noProof/>
        </w:rPr>
        <w:t xml:space="preserve"> od početka 2017. </w:t>
      </w:r>
      <w:r w:rsidR="000748B2">
        <w:rPr>
          <w:rFonts w:ascii="Cambria" w:hAnsi="Cambria" w:cs="Arial"/>
          <w:noProof/>
        </w:rPr>
        <w:t>i</w:t>
      </w:r>
      <w:r w:rsidR="000223F5" w:rsidRPr="00FD3138">
        <w:rPr>
          <w:rFonts w:ascii="Cambria" w:hAnsi="Cambria" w:cs="Arial"/>
          <w:noProof/>
        </w:rPr>
        <w:t xml:space="preserve"> privredi ostavljeno godinu dana tranzicionog perioda da prilagodi svoje poslovanje.</w:t>
      </w:r>
    </w:p>
    <w:p w14:paraId="7AF9816C" w14:textId="77777777" w:rsidR="004E28F0" w:rsidRPr="00AB15C7" w:rsidRDefault="004E28F0" w:rsidP="005921EF">
      <w:pPr>
        <w:spacing w:after="0"/>
        <w:jc w:val="both"/>
        <w:rPr>
          <w:rFonts w:ascii="Cambria" w:hAnsi="Cambria" w:cs="Arial"/>
          <w:i/>
          <w:noProof/>
          <w:u w:val="single"/>
          <w:lang w:val="sr-Latn-ME"/>
        </w:rPr>
      </w:pPr>
    </w:p>
    <w:p w14:paraId="070E94C9" w14:textId="77777777" w:rsidR="00592373" w:rsidRPr="00592373" w:rsidRDefault="00592373" w:rsidP="00592373">
      <w:pPr>
        <w:spacing w:after="0"/>
        <w:jc w:val="both"/>
        <w:rPr>
          <w:rFonts w:ascii="Cambria" w:hAnsi="Cambria" w:cs="Arial"/>
          <w:i/>
          <w:noProof/>
          <w:u w:val="single"/>
          <w:lang w:val="sr-Latn-ME"/>
        </w:rPr>
      </w:pPr>
      <w:r w:rsidRPr="00592373">
        <w:rPr>
          <w:rFonts w:ascii="Cambria" w:hAnsi="Cambria" w:cs="Arial"/>
          <w:i/>
          <w:noProof/>
          <w:u w:val="single"/>
          <w:lang w:val="sr-Latn-ME"/>
        </w:rPr>
        <w:t>Ključni postulati utvrđeni ovim zakonom i podzakonskim aktima su:</w:t>
      </w:r>
    </w:p>
    <w:p w14:paraId="1E8B88E1" w14:textId="77777777" w:rsidR="00FD3138" w:rsidRDefault="00704FDC" w:rsidP="005921EF">
      <w:pPr>
        <w:spacing w:before="120" w:after="0"/>
        <w:jc w:val="both"/>
        <w:rPr>
          <w:rFonts w:ascii="Cambria" w:hAnsi="Cambria" w:cs="Arial"/>
          <w:noProof/>
          <w:lang w:val="sr-Latn-ME"/>
        </w:rPr>
      </w:pPr>
      <w:bookmarkStart w:id="53" w:name="_Hlk522712254"/>
      <w:r w:rsidRPr="00AB15C7">
        <w:rPr>
          <w:rFonts w:ascii="Cambria" w:hAnsi="Cambria" w:cs="Arial"/>
          <w:noProof/>
          <w:lang w:val="sr-Latn-ME"/>
        </w:rPr>
        <w:t>B</w:t>
      </w:r>
      <w:r w:rsidR="00C4482D" w:rsidRPr="00AB15C7">
        <w:rPr>
          <w:rFonts w:ascii="Cambria" w:hAnsi="Cambria" w:cs="Arial"/>
          <w:noProof/>
          <w:lang w:val="sr-Latn-ME"/>
        </w:rPr>
        <w:t xml:space="preserve">iocidni proizvod </w:t>
      </w:r>
      <w:r w:rsidRPr="00AB15C7">
        <w:rPr>
          <w:rFonts w:ascii="Cambria" w:hAnsi="Cambria" w:cs="Arial"/>
          <w:noProof/>
          <w:lang w:val="sr-Latn-ME"/>
        </w:rPr>
        <w:t xml:space="preserve">se </w:t>
      </w:r>
      <w:r w:rsidR="00C4482D" w:rsidRPr="00AB15C7">
        <w:rPr>
          <w:rFonts w:ascii="Cambria" w:hAnsi="Cambria" w:cs="Arial"/>
          <w:noProof/>
          <w:lang w:val="sr-Latn-ME"/>
        </w:rPr>
        <w:t>mo</w:t>
      </w:r>
      <w:r w:rsidRPr="00AB15C7">
        <w:rPr>
          <w:rFonts w:ascii="Cambria" w:hAnsi="Cambria" w:cs="Arial"/>
          <w:noProof/>
          <w:lang w:val="sr-Latn-ME"/>
        </w:rPr>
        <w:t>ž</w:t>
      </w:r>
      <w:r w:rsidR="00C4482D" w:rsidRPr="00AB15C7">
        <w:rPr>
          <w:rFonts w:ascii="Cambria" w:hAnsi="Cambria" w:cs="Arial"/>
          <w:noProof/>
          <w:lang w:val="sr-Latn-ME"/>
        </w:rPr>
        <w:t>e staviti u promet i upotrebu samo na osnovu prethodno pribavljene dozvole, i ako je klasifikovan, pakovan i ozna</w:t>
      </w:r>
      <w:r w:rsidR="003D5C5B" w:rsidRPr="00AB15C7">
        <w:rPr>
          <w:rFonts w:ascii="Cambria" w:hAnsi="Cambria" w:cs="Arial"/>
          <w:noProof/>
          <w:lang w:val="sr-Latn-ME"/>
        </w:rPr>
        <w:t>č</w:t>
      </w:r>
      <w:r w:rsidR="00C4482D" w:rsidRPr="00AB15C7">
        <w:rPr>
          <w:rFonts w:ascii="Cambria" w:hAnsi="Cambria" w:cs="Arial"/>
          <w:noProof/>
          <w:lang w:val="sr-Latn-ME"/>
        </w:rPr>
        <w:t xml:space="preserve">en u skladu sa važećim propisima. </w:t>
      </w:r>
      <w:r w:rsidR="00C016CC">
        <w:rPr>
          <w:rFonts w:ascii="Cambria" w:hAnsi="Cambria" w:cs="Arial"/>
          <w:noProof/>
          <w:lang w:val="sr-Latn-ME"/>
        </w:rPr>
        <w:t>Jedan od ključnih uslova da se odobri stavljanje u promet biocida je da sadrži aktivnu supstancu koja ima adekvatan status u pogledu korisćenja u konkretnoj vrsti biocidnog proizvoda odnosno za konkretnu namjenu. Liste dozvoljenih aktivnih supstanci se preuzimaju iz EU, a  p</w:t>
      </w:r>
      <w:r w:rsidR="00C4482D" w:rsidRPr="00AB15C7">
        <w:rPr>
          <w:rFonts w:ascii="Cambria" w:hAnsi="Cambria" w:cs="Arial"/>
          <w:noProof/>
          <w:lang w:val="sr-Latn-ME"/>
        </w:rPr>
        <w:t xml:space="preserve">ostupak </w:t>
      </w:r>
      <w:r w:rsidR="00C016CC">
        <w:rPr>
          <w:rFonts w:ascii="Cambria" w:hAnsi="Cambria" w:cs="Arial"/>
          <w:noProof/>
          <w:lang w:val="sr-Latn-ME"/>
        </w:rPr>
        <w:t>odobrava</w:t>
      </w:r>
      <w:r w:rsidR="00411C07">
        <w:rPr>
          <w:rFonts w:ascii="Cambria" w:hAnsi="Cambria" w:cs="Arial"/>
          <w:noProof/>
          <w:lang w:val="sr-Latn-ME"/>
        </w:rPr>
        <w:t>n</w:t>
      </w:r>
      <w:r w:rsidR="00C016CC">
        <w:rPr>
          <w:rFonts w:ascii="Cambria" w:hAnsi="Cambria" w:cs="Arial"/>
          <w:noProof/>
          <w:lang w:val="sr-Latn-ME"/>
        </w:rPr>
        <w:t xml:space="preserve">ja stavljanja biocida u promet na nacionalnom nivou </w:t>
      </w:r>
      <w:r w:rsidR="00C4482D" w:rsidRPr="00AB15C7">
        <w:rPr>
          <w:rFonts w:ascii="Cambria" w:hAnsi="Cambria" w:cs="Arial"/>
          <w:noProof/>
          <w:lang w:val="sr-Latn-ME"/>
        </w:rPr>
        <w:t xml:space="preserve">odvija </w:t>
      </w:r>
      <w:r w:rsidR="00C016CC">
        <w:rPr>
          <w:rFonts w:ascii="Cambria" w:hAnsi="Cambria" w:cs="Arial"/>
          <w:noProof/>
          <w:lang w:val="sr-Latn-ME"/>
        </w:rPr>
        <w:t xml:space="preserve">se </w:t>
      </w:r>
      <w:r w:rsidR="00C4482D" w:rsidRPr="00AB15C7">
        <w:rPr>
          <w:rFonts w:ascii="Cambria" w:hAnsi="Cambria" w:cs="Arial"/>
          <w:noProof/>
          <w:lang w:val="sr-Latn-ME"/>
        </w:rPr>
        <w:t xml:space="preserve">u dvije faze. U prvoj fazi pravno lice Agenciji za zaštitu prirode i životne sredine podnosi osnovne podatke o biocidnom proizvodu </w:t>
      </w:r>
      <w:r w:rsidRPr="00AB15C7">
        <w:rPr>
          <w:rFonts w:ascii="Cambria" w:hAnsi="Cambria" w:cs="Arial"/>
          <w:noProof/>
          <w:lang w:val="sr-Latn-ME"/>
        </w:rPr>
        <w:t>n</w:t>
      </w:r>
      <w:r w:rsidR="00C4482D" w:rsidRPr="00AB15C7">
        <w:rPr>
          <w:rFonts w:ascii="Cambria" w:hAnsi="Cambria" w:cs="Arial"/>
          <w:noProof/>
          <w:lang w:val="sr-Latn-ME"/>
        </w:rPr>
        <w:t>a osnovu kojih se biocid upisuje u Privremenu listu za dostavljanje tehničkog dosijea i može se stavljati u promet</w:t>
      </w:r>
      <w:r w:rsidRPr="00AB15C7">
        <w:rPr>
          <w:rFonts w:ascii="Cambria" w:hAnsi="Cambria" w:cs="Arial"/>
          <w:noProof/>
          <w:lang w:val="sr-Latn-ME"/>
        </w:rPr>
        <w:t xml:space="preserve"> u ostavljenom roku. U</w:t>
      </w:r>
      <w:r w:rsidR="00C4482D" w:rsidRPr="00AB15C7">
        <w:rPr>
          <w:rFonts w:ascii="Cambria" w:hAnsi="Cambria" w:cs="Arial"/>
          <w:noProof/>
          <w:lang w:val="sr-Latn-ME"/>
        </w:rPr>
        <w:t xml:space="preserve"> drugoj fazi dostavlja se tehnički dosije za aktivnu supstancu i dosije za biocid</w:t>
      </w:r>
      <w:r w:rsidRPr="00AB15C7">
        <w:rPr>
          <w:rFonts w:ascii="Cambria" w:hAnsi="Cambria" w:cs="Arial"/>
          <w:noProof/>
          <w:lang w:val="sr-Latn-ME"/>
        </w:rPr>
        <w:t xml:space="preserve"> na osnovu kojih se vrši detaljna proc</w:t>
      </w:r>
      <w:r w:rsidR="003D5C5B" w:rsidRPr="00AB15C7">
        <w:rPr>
          <w:rFonts w:ascii="Cambria" w:hAnsi="Cambria" w:cs="Arial"/>
          <w:noProof/>
          <w:lang w:val="sr-Latn-ME"/>
        </w:rPr>
        <w:t>j</w:t>
      </w:r>
      <w:r w:rsidRPr="00AB15C7">
        <w:rPr>
          <w:rFonts w:ascii="Cambria" w:hAnsi="Cambria" w:cs="Arial"/>
          <w:noProof/>
          <w:lang w:val="sr-Latn-ME"/>
        </w:rPr>
        <w:t xml:space="preserve">ena biocidnog proizvoda i </w:t>
      </w:r>
      <w:r w:rsidR="00C4482D" w:rsidRPr="00AB15C7">
        <w:rPr>
          <w:rFonts w:ascii="Cambria" w:hAnsi="Cambria" w:cs="Arial"/>
          <w:noProof/>
          <w:lang w:val="sr-Latn-ME"/>
        </w:rPr>
        <w:t>izdaje dozvol</w:t>
      </w:r>
      <w:r w:rsidRPr="00AB15C7">
        <w:rPr>
          <w:rFonts w:ascii="Cambria" w:hAnsi="Cambria" w:cs="Arial"/>
          <w:noProof/>
          <w:lang w:val="sr-Latn-ME"/>
        </w:rPr>
        <w:t>a</w:t>
      </w:r>
      <w:r w:rsidR="00C4482D" w:rsidRPr="00AB15C7">
        <w:rPr>
          <w:rFonts w:ascii="Cambria" w:hAnsi="Cambria" w:cs="Arial"/>
          <w:noProof/>
          <w:lang w:val="sr-Latn-ME"/>
        </w:rPr>
        <w:t xml:space="preserve"> za stavljanje biocida u promet </w:t>
      </w:r>
      <w:r w:rsidRPr="00AB15C7">
        <w:rPr>
          <w:rFonts w:ascii="Cambria" w:hAnsi="Cambria" w:cs="Arial"/>
          <w:noProof/>
          <w:lang w:val="sr-Latn-ME"/>
        </w:rPr>
        <w:t>i</w:t>
      </w:r>
      <w:r w:rsidR="00C4482D" w:rsidRPr="00AB15C7">
        <w:rPr>
          <w:rFonts w:ascii="Cambria" w:hAnsi="Cambria" w:cs="Arial"/>
          <w:noProof/>
          <w:lang w:val="sr-Latn-ME"/>
        </w:rPr>
        <w:t xml:space="preserve"> upotrebu. </w:t>
      </w:r>
      <w:bookmarkEnd w:id="53"/>
      <w:r w:rsidR="00941FCE">
        <w:rPr>
          <w:rFonts w:ascii="Cambria" w:hAnsi="Cambria" w:cs="Arial"/>
          <w:noProof/>
        </w:rPr>
        <w:t>Pored toga</w:t>
      </w:r>
      <w:r w:rsidR="00941FCE" w:rsidRPr="00FD3138">
        <w:rPr>
          <w:rFonts w:ascii="Cambria" w:hAnsi="Cambria" w:cs="Arial"/>
          <w:noProof/>
        </w:rPr>
        <w:t xml:space="preserve">, zakon </w:t>
      </w:r>
      <w:r w:rsidR="00941FCE">
        <w:rPr>
          <w:rFonts w:ascii="Cambria" w:hAnsi="Cambria" w:cs="Arial"/>
          <w:noProof/>
        </w:rPr>
        <w:t>daje</w:t>
      </w:r>
      <w:r w:rsidR="00941FCE" w:rsidRPr="00FD3138">
        <w:rPr>
          <w:rFonts w:ascii="Cambria" w:hAnsi="Cambria" w:cs="Arial"/>
          <w:noProof/>
        </w:rPr>
        <w:t xml:space="preserve"> mogućnost izdavanja dozvole na osnovu priznavanja akta o autorizaciji biocidnog proizvoda izdatog u skladu sa propisima EU</w:t>
      </w:r>
      <w:r w:rsidR="00941FCE">
        <w:rPr>
          <w:rFonts w:ascii="Cambria" w:hAnsi="Cambria" w:cs="Arial"/>
          <w:noProof/>
        </w:rPr>
        <w:t xml:space="preserve"> (BPR).</w:t>
      </w:r>
    </w:p>
    <w:p w14:paraId="5750A510" w14:textId="77777777" w:rsidR="004E28F0" w:rsidRPr="00AB15C7" w:rsidRDefault="004E28F0" w:rsidP="005921EF">
      <w:pPr>
        <w:spacing w:after="0"/>
        <w:jc w:val="both"/>
        <w:rPr>
          <w:rFonts w:ascii="Cambria" w:hAnsi="Cambria" w:cs="Arial"/>
          <w:i/>
          <w:noProof/>
          <w:u w:val="single"/>
          <w:lang w:val="sr-Latn-ME"/>
        </w:rPr>
      </w:pPr>
    </w:p>
    <w:p w14:paraId="4BD93F30" w14:textId="77777777" w:rsidR="004E28F0" w:rsidRPr="00AB15C7" w:rsidRDefault="004E28F0" w:rsidP="005F1B1A">
      <w:pPr>
        <w:spacing w:after="120"/>
        <w:jc w:val="both"/>
        <w:rPr>
          <w:rFonts w:ascii="Cambria" w:hAnsi="Cambria" w:cs="Arial"/>
          <w:i/>
          <w:noProof/>
          <w:u w:val="single"/>
          <w:lang w:val="sr-Latn-ME"/>
        </w:rPr>
      </w:pPr>
      <w:r w:rsidRPr="00AB15C7">
        <w:rPr>
          <w:rFonts w:ascii="Cambria" w:hAnsi="Cambria" w:cs="Arial"/>
          <w:i/>
          <w:noProof/>
          <w:u w:val="single"/>
          <w:lang w:val="sr-Latn-ME"/>
        </w:rPr>
        <w:t>Nadležnosti državnih institucija:</w:t>
      </w:r>
    </w:p>
    <w:p w14:paraId="6859EF40" w14:textId="1C6CFA68" w:rsidR="004E28F0" w:rsidRPr="00AB15C7" w:rsidRDefault="004E28F0" w:rsidP="005921EF">
      <w:pPr>
        <w:spacing w:after="0"/>
        <w:jc w:val="both"/>
        <w:rPr>
          <w:rFonts w:ascii="Cambria" w:hAnsi="Cambria" w:cs="Arial"/>
          <w:noProof/>
          <w:lang w:val="sr-Latn-ME"/>
        </w:rPr>
      </w:pPr>
      <w:r w:rsidRPr="00AB15C7">
        <w:rPr>
          <w:rFonts w:ascii="Cambria" w:hAnsi="Cambria" w:cs="Arial"/>
          <w:noProof/>
          <w:lang w:val="sr-Latn-ME"/>
        </w:rPr>
        <w:t xml:space="preserve">Nadležnost </w:t>
      </w:r>
      <w:r w:rsidRPr="00F324B6">
        <w:rPr>
          <w:rFonts w:ascii="Cambria" w:hAnsi="Cambria" w:cs="Arial"/>
          <w:noProof/>
          <w:lang w:val="sr-Latn-ME"/>
        </w:rPr>
        <w:t xml:space="preserve">za </w:t>
      </w:r>
      <w:r w:rsidR="00F324B6" w:rsidRPr="00360F0F">
        <w:rPr>
          <w:rFonts w:ascii="Cambria" w:hAnsi="Cambria" w:cs="Arial"/>
          <w:noProof/>
          <w:lang w:val="sr-Latn-ME"/>
        </w:rPr>
        <w:t xml:space="preserve">prenošenje propisa iz </w:t>
      </w:r>
      <w:r w:rsidRPr="00AB15C7">
        <w:rPr>
          <w:rFonts w:ascii="Cambria" w:hAnsi="Cambria" w:cs="Arial"/>
          <w:noProof/>
          <w:lang w:val="sr-Latn-ME"/>
        </w:rPr>
        <w:t xml:space="preserve"> oblasti </w:t>
      </w:r>
      <w:r w:rsidR="00704FDC" w:rsidRPr="00AB15C7">
        <w:rPr>
          <w:rFonts w:ascii="Cambria" w:hAnsi="Cambria" w:cs="Arial"/>
          <w:noProof/>
          <w:lang w:val="sr-Latn-ME"/>
        </w:rPr>
        <w:t>biocidnih proizvoda</w:t>
      </w:r>
      <w:r w:rsidRPr="00AB15C7">
        <w:rPr>
          <w:rFonts w:ascii="Cambria" w:hAnsi="Cambria" w:cs="Arial"/>
          <w:noProof/>
          <w:lang w:val="sr-Latn-ME"/>
        </w:rPr>
        <w:t xml:space="preserve"> ima </w:t>
      </w:r>
      <w:r w:rsidRPr="00AB15C7">
        <w:rPr>
          <w:rFonts w:ascii="Cambria" w:hAnsi="Cambria" w:cs="Arial"/>
          <w:noProof/>
        </w:rPr>
        <w:t xml:space="preserve">Ministarstvo održivog razvoja i turizma (MORT) u okviru koga je za ova pitanja zadužen Direktorat za životnu sredine-Direkcija za kontrolu industrijskog zagađenja i upravljanja hemikalijama.  </w:t>
      </w:r>
      <w:r w:rsidR="00CE3ACE" w:rsidRPr="00AB15C7">
        <w:rPr>
          <w:rFonts w:ascii="Cambria" w:hAnsi="Cambria" w:cs="Arial"/>
          <w:noProof/>
          <w:lang w:val="sr-Latn-ME"/>
        </w:rPr>
        <w:t xml:space="preserve">Stručni i sa njima povezani upravni poslovi </w:t>
      </w:r>
      <w:r w:rsidR="00CE3ACE" w:rsidRPr="00AB15C7">
        <w:rPr>
          <w:rFonts w:ascii="Cambria" w:hAnsi="Cambria" w:cs="Arial"/>
          <w:noProof/>
        </w:rPr>
        <w:t>u vezi sa</w:t>
      </w:r>
      <w:r w:rsidRPr="00AB15C7">
        <w:rPr>
          <w:rFonts w:ascii="Cambria" w:hAnsi="Cambria" w:cs="Arial"/>
          <w:noProof/>
        </w:rPr>
        <w:t xml:space="preserve"> Zakonom o biocidnim proizvodima pov</w:t>
      </w:r>
      <w:r w:rsidR="00477FE7">
        <w:rPr>
          <w:rFonts w:ascii="Cambria" w:hAnsi="Cambria" w:cs="Arial"/>
          <w:noProof/>
        </w:rPr>
        <w:t>j</w:t>
      </w:r>
      <w:r w:rsidRPr="00AB15C7">
        <w:rPr>
          <w:rFonts w:ascii="Cambria" w:hAnsi="Cambria" w:cs="Arial"/>
          <w:noProof/>
        </w:rPr>
        <w:t>ereni su Agenciji za za</w:t>
      </w:r>
      <w:r w:rsidRPr="00AB15C7">
        <w:rPr>
          <w:rFonts w:ascii="Cambria" w:hAnsi="Cambria" w:cs="Arial"/>
          <w:noProof/>
          <w:lang w:val="sr-Latn-RS"/>
        </w:rPr>
        <w:t xml:space="preserve">štitu prirode i životne sredine </w:t>
      </w:r>
      <w:r w:rsidRPr="00AB15C7">
        <w:rPr>
          <w:rFonts w:ascii="Cambria" w:hAnsi="Cambria" w:cs="Arial"/>
          <w:noProof/>
          <w:lang w:val="sr-Latn-ME"/>
        </w:rPr>
        <w:t>(AZPŽS).</w:t>
      </w:r>
    </w:p>
    <w:p w14:paraId="5D3C49C8" w14:textId="77777777" w:rsidR="004E28F0" w:rsidRPr="00AB15C7" w:rsidRDefault="004E28F0" w:rsidP="005921EF">
      <w:pPr>
        <w:spacing w:before="120" w:after="0"/>
        <w:jc w:val="both"/>
        <w:rPr>
          <w:rFonts w:ascii="Cambria" w:hAnsi="Cambria" w:cs="Arial"/>
          <w:noProof/>
          <w:lang w:val="sr-Latn-ME"/>
        </w:rPr>
      </w:pPr>
    </w:p>
    <w:p w14:paraId="057B6DA0" w14:textId="77777777" w:rsidR="00CC37C5" w:rsidRPr="00AB15C7" w:rsidRDefault="004E28F0" w:rsidP="005921EF">
      <w:pPr>
        <w:spacing w:after="0"/>
        <w:jc w:val="both"/>
        <w:rPr>
          <w:rFonts w:ascii="Cambria" w:hAnsi="Cambria" w:cs="Arial"/>
          <w:noProof/>
          <w:lang w:val="sr-Latn-ME"/>
        </w:rPr>
      </w:pPr>
      <w:r w:rsidRPr="00AB15C7">
        <w:rPr>
          <w:rFonts w:ascii="Cambria" w:hAnsi="Cambria" w:cs="Arial"/>
          <w:noProof/>
          <w:lang w:val="sr-Latn-ME"/>
        </w:rPr>
        <w:t>Inspekcijski nadzor nad sprovođenjem ovog zakona i propisa donijetih na osnovu ovog zakona vrši Uprava za inspekcijske poslove</w:t>
      </w:r>
      <w:r w:rsidR="00005763" w:rsidRPr="00AB15C7">
        <w:rPr>
          <w:rFonts w:ascii="Cambria" w:hAnsi="Cambria" w:cs="Arial"/>
          <w:noProof/>
          <w:lang w:val="sr-Latn-ME"/>
        </w:rPr>
        <w:t xml:space="preserve"> </w:t>
      </w:r>
      <w:r w:rsidR="00005763" w:rsidRPr="00AB15C7">
        <w:rPr>
          <w:rFonts w:ascii="Cambria" w:hAnsi="Cambria" w:cs="Arial"/>
          <w:noProof/>
          <w:lang w:val="sr-Latn-RS"/>
        </w:rPr>
        <w:t>(sanitarna i ekološka inspekcija) i Uprava za bezbjednost hrane, veterinu i fitosanitarne poslove (veterinarska i fitosanitarna inspekcija)</w:t>
      </w:r>
      <w:r w:rsidRPr="00AB15C7">
        <w:rPr>
          <w:rFonts w:ascii="Cambria" w:hAnsi="Cambria" w:cs="Arial"/>
          <w:noProof/>
          <w:lang w:val="sr-Latn-ME"/>
        </w:rPr>
        <w:t xml:space="preserve">. </w:t>
      </w:r>
    </w:p>
    <w:p w14:paraId="6B295788" w14:textId="77777777" w:rsidR="00CC37C5" w:rsidRPr="00AB15C7" w:rsidRDefault="00CC37C5" w:rsidP="005921EF">
      <w:pPr>
        <w:spacing w:after="0"/>
        <w:jc w:val="both"/>
        <w:rPr>
          <w:rFonts w:ascii="Cambria" w:hAnsi="Cambria" w:cs="Arial"/>
          <w:noProof/>
          <w:lang w:val="sr-Latn-ME"/>
        </w:rPr>
      </w:pPr>
    </w:p>
    <w:p w14:paraId="7B6C2913" w14:textId="77777777" w:rsidR="004E28F0" w:rsidRPr="00AB15C7" w:rsidRDefault="004E28F0" w:rsidP="005F1B1A">
      <w:pPr>
        <w:spacing w:after="120"/>
        <w:jc w:val="both"/>
        <w:rPr>
          <w:rFonts w:ascii="Cambria" w:hAnsi="Cambria" w:cs="Arial"/>
          <w:i/>
          <w:noProof/>
          <w:u w:val="single"/>
          <w:lang w:val="sr-Latn-ME"/>
        </w:rPr>
      </w:pPr>
      <w:r w:rsidRPr="00AB15C7">
        <w:rPr>
          <w:rFonts w:ascii="Cambria" w:hAnsi="Cambria" w:cs="Arial"/>
          <w:i/>
          <w:noProof/>
          <w:u w:val="single"/>
          <w:lang w:val="sr-Latn-ME"/>
        </w:rPr>
        <w:t>Postojanje baze podataka koje su sačinjene kao rezultat ovog propisa:</w:t>
      </w:r>
    </w:p>
    <w:p w14:paraId="7F70BA6E" w14:textId="1BCF2CDE" w:rsidR="001A5163" w:rsidRPr="00AB15C7" w:rsidRDefault="001A5163"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lang w:val="sr-Latn-ME"/>
        </w:rPr>
        <w:t xml:space="preserve">Biocid za koji je izdata dozvola upisuje se u </w:t>
      </w:r>
      <w:r w:rsidR="003C055C" w:rsidRPr="00360F0F">
        <w:rPr>
          <w:rFonts w:ascii="Cambria" w:hAnsi="Cambria"/>
          <w:b/>
          <w:noProof/>
          <w:color w:val="000000"/>
          <w:lang w:val="sr-Latn-ME"/>
        </w:rPr>
        <w:t xml:space="preserve">Registar </w:t>
      </w:r>
      <w:r w:rsidRPr="00360F0F">
        <w:rPr>
          <w:rFonts w:ascii="Cambria" w:hAnsi="Cambria"/>
          <w:b/>
          <w:noProof/>
          <w:color w:val="000000"/>
          <w:lang w:val="sr-Latn-ME"/>
        </w:rPr>
        <w:t>biocida</w:t>
      </w:r>
      <w:r w:rsidR="00290F28" w:rsidRPr="00AB15C7">
        <w:rPr>
          <w:rFonts w:ascii="Cambria" w:hAnsi="Cambria"/>
          <w:noProof/>
          <w:color w:val="000000"/>
          <w:lang w:val="sr-Latn-ME"/>
        </w:rPr>
        <w:t xml:space="preserve"> na osnovu podataka iz dozvole</w:t>
      </w:r>
      <w:r w:rsidRPr="00AB15C7">
        <w:rPr>
          <w:rFonts w:ascii="Cambria" w:hAnsi="Cambria"/>
          <w:noProof/>
          <w:color w:val="000000"/>
          <w:lang w:val="sr-Latn-ME"/>
        </w:rPr>
        <w:t>. Registar je sastavni dio registra hemikalija koji vodi Agencija</w:t>
      </w:r>
      <w:r w:rsidR="00290F28" w:rsidRPr="00AB15C7">
        <w:rPr>
          <w:rFonts w:ascii="Cambria" w:hAnsi="Cambria"/>
          <w:noProof/>
          <w:color w:val="000000"/>
          <w:lang w:val="sr-Latn-ME"/>
        </w:rPr>
        <w:t xml:space="preserve"> za zaštutu prirode i životne sredine</w:t>
      </w:r>
      <w:r w:rsidRPr="00AB15C7">
        <w:rPr>
          <w:rFonts w:ascii="Cambria" w:hAnsi="Cambria"/>
          <w:noProof/>
          <w:color w:val="000000"/>
          <w:lang w:val="sr-Latn-ME"/>
        </w:rPr>
        <w:t>.</w:t>
      </w:r>
      <w:r w:rsidR="00290F28" w:rsidRPr="00AB15C7">
        <w:rPr>
          <w:rFonts w:ascii="Cambria" w:hAnsi="Cambria"/>
          <w:noProof/>
          <w:color w:val="000000"/>
          <w:lang w:val="sr-Latn-ME"/>
        </w:rPr>
        <w:t xml:space="preserve"> Sastavni dio registra biocida je i bezbjednosni list; uslovi za davanje dozvole; izvještaj o procjeni rizika biocida. Registar se vodi </w:t>
      </w:r>
      <w:r w:rsidR="00290F28" w:rsidRPr="00AB15C7">
        <w:rPr>
          <w:rFonts w:ascii="Cambria" w:hAnsi="Cambria"/>
          <w:noProof/>
          <w:color w:val="000000"/>
        </w:rPr>
        <w:t>u elektronskoj formi</w:t>
      </w:r>
      <w:r w:rsidR="00290F28" w:rsidRPr="00AB15C7">
        <w:rPr>
          <w:rFonts w:ascii="Cambria" w:hAnsi="Cambria"/>
          <w:noProof/>
          <w:color w:val="000000"/>
          <w:lang w:val="sr-Latn-ME"/>
        </w:rPr>
        <w:t>.</w:t>
      </w:r>
    </w:p>
    <w:p w14:paraId="770EAF81" w14:textId="77777777" w:rsidR="000748B2" w:rsidRDefault="000748B2" w:rsidP="005921EF">
      <w:pPr>
        <w:pStyle w:val="Heading2"/>
        <w:ind w:firstLine="720"/>
        <w:rPr>
          <w:noProof/>
          <w:sz w:val="22"/>
          <w:szCs w:val="22"/>
          <w:lang w:val="en-US"/>
        </w:rPr>
      </w:pPr>
      <w:bookmarkStart w:id="54" w:name="_Toc527353191"/>
    </w:p>
    <w:p w14:paraId="3CAE5521" w14:textId="77777777" w:rsidR="000748B2" w:rsidRDefault="000748B2" w:rsidP="005921EF">
      <w:pPr>
        <w:pStyle w:val="Heading2"/>
        <w:ind w:firstLine="720"/>
        <w:rPr>
          <w:noProof/>
          <w:sz w:val="22"/>
          <w:szCs w:val="22"/>
          <w:lang w:val="en-US"/>
        </w:rPr>
      </w:pPr>
    </w:p>
    <w:p w14:paraId="63643A3F" w14:textId="2658EDFA" w:rsidR="00946AFC" w:rsidRPr="00AB15C7" w:rsidRDefault="00DE50A7" w:rsidP="005921EF">
      <w:pPr>
        <w:pStyle w:val="Heading2"/>
        <w:ind w:firstLine="720"/>
        <w:rPr>
          <w:noProof/>
          <w:sz w:val="22"/>
          <w:szCs w:val="22"/>
          <w:lang w:val="en-US"/>
        </w:rPr>
      </w:pPr>
      <w:r w:rsidRPr="00AB15C7">
        <w:rPr>
          <w:noProof/>
          <w:sz w:val="22"/>
          <w:szCs w:val="22"/>
          <w:lang w:val="en-US"/>
        </w:rPr>
        <w:t>2.</w:t>
      </w:r>
      <w:r w:rsidR="00F20EEB" w:rsidRPr="00AB15C7">
        <w:rPr>
          <w:noProof/>
          <w:sz w:val="22"/>
          <w:szCs w:val="22"/>
          <w:lang w:val="en-US"/>
        </w:rPr>
        <w:t>3.1.2.</w:t>
      </w:r>
      <w:r w:rsidR="004533AF" w:rsidRPr="00AB15C7">
        <w:rPr>
          <w:noProof/>
          <w:sz w:val="22"/>
          <w:szCs w:val="22"/>
          <w:lang w:val="en-US"/>
        </w:rPr>
        <w:t>2</w:t>
      </w:r>
      <w:r w:rsidR="00F20EEB" w:rsidRPr="00AB15C7">
        <w:rPr>
          <w:noProof/>
          <w:sz w:val="22"/>
          <w:szCs w:val="22"/>
          <w:lang w:val="en-US"/>
        </w:rPr>
        <w:t xml:space="preserve">. </w:t>
      </w:r>
      <w:r w:rsidR="00B85F47" w:rsidRPr="00AB15C7">
        <w:rPr>
          <w:noProof/>
          <w:sz w:val="22"/>
          <w:szCs w:val="22"/>
          <w:lang w:val="en-US"/>
        </w:rPr>
        <w:t>Propisi</w:t>
      </w:r>
      <w:r w:rsidR="00F20EEB" w:rsidRPr="00AB15C7">
        <w:rPr>
          <w:noProof/>
          <w:sz w:val="22"/>
          <w:szCs w:val="22"/>
          <w:lang w:val="en-US"/>
        </w:rPr>
        <w:t xml:space="preserve"> o sredstvima za </w:t>
      </w:r>
      <w:r w:rsidR="00CC60F3" w:rsidRPr="00AB15C7">
        <w:rPr>
          <w:noProof/>
          <w:sz w:val="22"/>
          <w:szCs w:val="22"/>
          <w:lang w:val="en-US"/>
        </w:rPr>
        <w:t>z</w:t>
      </w:r>
      <w:r w:rsidR="00F20EEB" w:rsidRPr="00AB15C7">
        <w:rPr>
          <w:noProof/>
          <w:sz w:val="22"/>
          <w:szCs w:val="22"/>
          <w:lang w:val="en-US"/>
        </w:rPr>
        <w:t>aštitu bilja</w:t>
      </w:r>
      <w:bookmarkEnd w:id="54"/>
    </w:p>
    <w:p w14:paraId="73204EFE" w14:textId="77777777" w:rsidR="00360F0F" w:rsidRDefault="00360F0F" w:rsidP="003C055C">
      <w:pPr>
        <w:autoSpaceDE w:val="0"/>
        <w:autoSpaceDN w:val="0"/>
        <w:adjustRightInd w:val="0"/>
        <w:spacing w:after="0"/>
        <w:jc w:val="both"/>
        <w:rPr>
          <w:rFonts w:ascii="Cambria" w:hAnsi="Cambria"/>
          <w:noProof/>
          <w:color w:val="000000"/>
        </w:rPr>
      </w:pPr>
    </w:p>
    <w:p w14:paraId="171B63D9" w14:textId="3DF8213F" w:rsidR="00F20EEB" w:rsidRPr="00AB15C7" w:rsidRDefault="00E20148" w:rsidP="00360F0F">
      <w:pPr>
        <w:autoSpaceDE w:val="0"/>
        <w:autoSpaceDN w:val="0"/>
        <w:adjustRightInd w:val="0"/>
        <w:spacing w:after="0"/>
        <w:jc w:val="both"/>
        <w:rPr>
          <w:rFonts w:ascii="Cambria" w:hAnsi="Cambria"/>
          <w:noProof/>
          <w:color w:val="000000"/>
        </w:rPr>
      </w:pPr>
      <w:r w:rsidRPr="00AB15C7">
        <w:rPr>
          <w:rFonts w:ascii="Cambria" w:hAnsi="Cambria"/>
          <w:noProof/>
          <w:color w:val="000000"/>
        </w:rPr>
        <w:t>S</w:t>
      </w:r>
      <w:r w:rsidR="00F20EEB" w:rsidRPr="00AB15C7">
        <w:rPr>
          <w:rFonts w:ascii="Cambria" w:hAnsi="Cambria"/>
          <w:noProof/>
          <w:color w:val="000000"/>
        </w:rPr>
        <w:t>redstva za zaštitu bilja predstavljaju posebnu vrstu hemikalija</w:t>
      </w:r>
      <w:r w:rsidRPr="00AB15C7">
        <w:rPr>
          <w:rFonts w:ascii="Cambria" w:hAnsi="Cambria"/>
          <w:noProof/>
          <w:color w:val="000000"/>
        </w:rPr>
        <w:t xml:space="preserve">, </w:t>
      </w:r>
      <w:r w:rsidR="00F20EEB" w:rsidRPr="00AB15C7">
        <w:rPr>
          <w:rFonts w:ascii="Cambria" w:hAnsi="Cambria"/>
          <w:noProof/>
          <w:color w:val="000000"/>
        </w:rPr>
        <w:t xml:space="preserve"> </w:t>
      </w:r>
      <w:r w:rsidRPr="00AB15C7">
        <w:rPr>
          <w:rFonts w:ascii="Cambria" w:hAnsi="Cambria"/>
          <w:noProof/>
          <w:color w:val="000000"/>
        </w:rPr>
        <w:t>odnosno</w:t>
      </w:r>
      <w:r w:rsidR="00F20EEB" w:rsidRPr="00AB15C7">
        <w:rPr>
          <w:rFonts w:ascii="Cambria" w:hAnsi="Cambria"/>
          <w:noProof/>
          <w:color w:val="000000"/>
        </w:rPr>
        <w:t xml:space="preserve"> aktivne supstance i preparat</w:t>
      </w:r>
      <w:r w:rsidRPr="00AB15C7">
        <w:rPr>
          <w:rFonts w:ascii="Cambria" w:hAnsi="Cambria"/>
          <w:noProof/>
          <w:color w:val="000000"/>
        </w:rPr>
        <w:t>e</w:t>
      </w:r>
      <w:r w:rsidR="00F20EEB" w:rsidRPr="00AB15C7">
        <w:rPr>
          <w:rFonts w:ascii="Cambria" w:hAnsi="Cambria"/>
          <w:noProof/>
          <w:color w:val="000000"/>
        </w:rPr>
        <w:t xml:space="preserve"> koji sadrže jednu ili više aktivnih</w:t>
      </w:r>
      <w:r w:rsidRPr="00AB15C7">
        <w:rPr>
          <w:rFonts w:ascii="Cambria" w:hAnsi="Cambria"/>
          <w:noProof/>
          <w:color w:val="000000"/>
        </w:rPr>
        <w:t xml:space="preserve"> </w:t>
      </w:r>
      <w:r w:rsidR="00F20EEB" w:rsidRPr="00AB15C7">
        <w:rPr>
          <w:rFonts w:ascii="Cambria" w:hAnsi="Cambria"/>
          <w:noProof/>
          <w:color w:val="000000"/>
        </w:rPr>
        <w:t>supstanci u obliku u kojem se isporučuju krajnjem korisniku, a koje su namijenjene za:</w:t>
      </w:r>
    </w:p>
    <w:p w14:paraId="10D230F6" w14:textId="77777777" w:rsidR="00F20EEB" w:rsidRPr="00AB15C7" w:rsidRDefault="00F20EEB" w:rsidP="00360F0F">
      <w:pPr>
        <w:autoSpaceDE w:val="0"/>
        <w:autoSpaceDN w:val="0"/>
        <w:adjustRightInd w:val="0"/>
        <w:spacing w:after="0"/>
        <w:jc w:val="both"/>
        <w:rPr>
          <w:rFonts w:ascii="Cambria" w:hAnsi="Cambria"/>
          <w:noProof/>
          <w:color w:val="000000"/>
        </w:rPr>
      </w:pPr>
      <w:r w:rsidRPr="00AB15C7">
        <w:rPr>
          <w:rFonts w:ascii="Cambria" w:hAnsi="Cambria"/>
          <w:noProof/>
          <w:color w:val="000000"/>
        </w:rPr>
        <w:t>- zaštitu bilja ili biljnih proizvoda od štetnih organizama ili za sprječavanje djelovanja tih</w:t>
      </w:r>
      <w:r w:rsidR="00E20148" w:rsidRPr="00AB15C7">
        <w:rPr>
          <w:rFonts w:ascii="Cambria" w:hAnsi="Cambria"/>
          <w:noProof/>
          <w:color w:val="000000"/>
        </w:rPr>
        <w:t xml:space="preserve"> </w:t>
      </w:r>
      <w:r w:rsidRPr="00AB15C7">
        <w:rPr>
          <w:rFonts w:ascii="Cambria" w:hAnsi="Cambria"/>
          <w:noProof/>
          <w:color w:val="000000"/>
        </w:rPr>
        <w:t>organizama, osim ukoliko te supstance ili preparati nijesu namjenjeni u druge svrhe, u skladu</w:t>
      </w:r>
      <w:r w:rsidR="00E20148" w:rsidRPr="00AB15C7">
        <w:rPr>
          <w:rFonts w:ascii="Cambria" w:hAnsi="Cambria"/>
          <w:noProof/>
          <w:color w:val="000000"/>
        </w:rPr>
        <w:t xml:space="preserve"> </w:t>
      </w:r>
      <w:r w:rsidRPr="00AB15C7">
        <w:rPr>
          <w:rFonts w:ascii="Cambria" w:hAnsi="Cambria"/>
          <w:noProof/>
          <w:color w:val="000000"/>
        </w:rPr>
        <w:t>sa ovim zakonom;</w:t>
      </w:r>
    </w:p>
    <w:p w14:paraId="6AACF886" w14:textId="77777777" w:rsidR="00F20EEB" w:rsidRPr="00AB15C7" w:rsidRDefault="00F20EEB" w:rsidP="00360F0F">
      <w:pPr>
        <w:autoSpaceDE w:val="0"/>
        <w:autoSpaceDN w:val="0"/>
        <w:adjustRightInd w:val="0"/>
        <w:spacing w:after="0"/>
        <w:jc w:val="both"/>
        <w:rPr>
          <w:rFonts w:ascii="Cambria" w:hAnsi="Cambria"/>
          <w:noProof/>
          <w:color w:val="000000"/>
        </w:rPr>
      </w:pPr>
      <w:r w:rsidRPr="00AB15C7">
        <w:rPr>
          <w:rFonts w:ascii="Cambria" w:hAnsi="Cambria"/>
          <w:noProof/>
          <w:color w:val="000000"/>
        </w:rPr>
        <w:t>- uticaj na životne procese bilja, osim ishrane (regulisanje rasta i sl.);</w:t>
      </w:r>
    </w:p>
    <w:p w14:paraId="08C71E80" w14:textId="75F90641" w:rsidR="00F20EEB" w:rsidRPr="00AB15C7" w:rsidRDefault="00F20EEB" w:rsidP="00360F0F">
      <w:pPr>
        <w:autoSpaceDE w:val="0"/>
        <w:autoSpaceDN w:val="0"/>
        <w:adjustRightInd w:val="0"/>
        <w:spacing w:after="0"/>
        <w:jc w:val="both"/>
        <w:rPr>
          <w:rFonts w:ascii="Cambria" w:hAnsi="Cambria"/>
          <w:noProof/>
          <w:color w:val="000000"/>
        </w:rPr>
      </w:pPr>
      <w:r w:rsidRPr="00AB15C7">
        <w:rPr>
          <w:rFonts w:ascii="Cambria" w:hAnsi="Cambria"/>
          <w:noProof/>
          <w:color w:val="000000"/>
        </w:rPr>
        <w:t>- čuvanje biljnih proizvoda, ukoliko dru</w:t>
      </w:r>
      <w:r w:rsidR="00477FE7">
        <w:rPr>
          <w:rFonts w:ascii="Cambria" w:hAnsi="Cambria"/>
          <w:noProof/>
          <w:color w:val="000000"/>
        </w:rPr>
        <w:t>ga</w:t>
      </w:r>
      <w:r w:rsidRPr="00AB15C7">
        <w:rPr>
          <w:rFonts w:ascii="Cambria" w:hAnsi="Cambria"/>
          <w:noProof/>
          <w:color w:val="000000"/>
        </w:rPr>
        <w:t>čije nije ure</w:t>
      </w:r>
      <w:r w:rsidR="00E20148" w:rsidRPr="00AB15C7">
        <w:rPr>
          <w:rFonts w:ascii="Cambria" w:hAnsi="Cambria"/>
          <w:noProof/>
          <w:color w:val="000000"/>
        </w:rPr>
        <w:t>đ</w:t>
      </w:r>
      <w:r w:rsidRPr="00AB15C7">
        <w:rPr>
          <w:rFonts w:ascii="Cambria" w:hAnsi="Cambria"/>
          <w:noProof/>
          <w:color w:val="000000"/>
        </w:rPr>
        <w:t>eno posebnim propisima;</w:t>
      </w:r>
    </w:p>
    <w:p w14:paraId="59E9C49A" w14:textId="77777777" w:rsidR="00F20EEB" w:rsidRPr="00AB15C7" w:rsidRDefault="00F20EEB" w:rsidP="00360F0F">
      <w:pPr>
        <w:autoSpaceDE w:val="0"/>
        <w:autoSpaceDN w:val="0"/>
        <w:adjustRightInd w:val="0"/>
        <w:spacing w:after="0"/>
        <w:jc w:val="both"/>
        <w:rPr>
          <w:rFonts w:ascii="Cambria" w:hAnsi="Cambria"/>
          <w:noProof/>
          <w:color w:val="000000"/>
        </w:rPr>
      </w:pPr>
      <w:r w:rsidRPr="00AB15C7">
        <w:rPr>
          <w:rFonts w:ascii="Cambria" w:hAnsi="Cambria"/>
          <w:noProof/>
          <w:color w:val="000000"/>
        </w:rPr>
        <w:t>- uništavanje nepoželjnog bilja</w:t>
      </w:r>
      <w:r w:rsidR="008B2575" w:rsidRPr="00AB15C7">
        <w:rPr>
          <w:rFonts w:ascii="Cambria" w:hAnsi="Cambria"/>
          <w:noProof/>
          <w:color w:val="000000"/>
        </w:rPr>
        <w:t>;</w:t>
      </w:r>
    </w:p>
    <w:p w14:paraId="7828394F" w14:textId="77777777" w:rsidR="008B2575" w:rsidRPr="00AB15C7" w:rsidRDefault="008B2575" w:rsidP="00360F0F">
      <w:pPr>
        <w:autoSpaceDE w:val="0"/>
        <w:autoSpaceDN w:val="0"/>
        <w:adjustRightInd w:val="0"/>
        <w:spacing w:after="0"/>
        <w:jc w:val="both"/>
        <w:rPr>
          <w:rFonts w:ascii="Cambria" w:hAnsi="Cambria"/>
          <w:noProof/>
          <w:color w:val="000000"/>
        </w:rPr>
      </w:pPr>
      <w:r w:rsidRPr="00AB15C7">
        <w:rPr>
          <w:rFonts w:ascii="Cambria" w:hAnsi="Cambria"/>
          <w:noProof/>
          <w:color w:val="000000"/>
        </w:rPr>
        <w:t>- uništavanje djelova bilja ili sprječavanje nepoželjnog rasta bilja.</w:t>
      </w:r>
    </w:p>
    <w:p w14:paraId="3A2B8515" w14:textId="443DF3E5" w:rsidR="00F20EEB" w:rsidRPr="00AB15C7" w:rsidRDefault="00A86227" w:rsidP="005921EF">
      <w:pPr>
        <w:autoSpaceDE w:val="0"/>
        <w:autoSpaceDN w:val="0"/>
        <w:adjustRightInd w:val="0"/>
        <w:spacing w:before="120" w:after="0"/>
        <w:jc w:val="both"/>
        <w:rPr>
          <w:rFonts w:ascii="Cambria" w:hAnsi="Cambria"/>
          <w:bCs/>
          <w:noProof/>
          <w:lang w:val="sr-Latn-ME"/>
        </w:rPr>
      </w:pPr>
      <w:r w:rsidRPr="00AB15C7">
        <w:rPr>
          <w:rFonts w:ascii="Cambria" w:hAnsi="Cambria"/>
          <w:noProof/>
          <w:color w:val="000000"/>
        </w:rPr>
        <w:t>Ova sredstva u</w:t>
      </w:r>
      <w:r w:rsidR="00AC741F" w:rsidRPr="00AB15C7">
        <w:rPr>
          <w:rFonts w:ascii="Cambria" w:hAnsi="Cambria"/>
          <w:noProof/>
          <w:color w:val="000000"/>
        </w:rPr>
        <w:t xml:space="preserve"> Crnoj Gori uređena su </w:t>
      </w:r>
      <w:r w:rsidR="00AC741F" w:rsidRPr="00AB15C7">
        <w:rPr>
          <w:rFonts w:ascii="Cambria" w:hAnsi="Cambria"/>
          <w:b/>
          <w:bCs/>
          <w:noProof/>
          <w:lang w:val="sr-Latn-ME"/>
        </w:rPr>
        <w:t xml:space="preserve">Zakonom o sredstvima za zaštitu bilja </w:t>
      </w:r>
      <w:r w:rsidR="00AC741F" w:rsidRPr="00AB15C7">
        <w:rPr>
          <w:rFonts w:ascii="Cambria" w:hAnsi="Cambria"/>
          <w:bCs/>
          <w:noProof/>
          <w:lang w:val="sr-Latn-ME"/>
        </w:rPr>
        <w:t>("Sl. list CG", br. 51/08, 40/11</w:t>
      </w:r>
      <w:r w:rsidR="008B2575" w:rsidRPr="00AB15C7">
        <w:rPr>
          <w:rFonts w:ascii="Cambria" w:hAnsi="Cambria"/>
          <w:bCs/>
          <w:noProof/>
          <w:lang w:val="sr-Latn-ME"/>
        </w:rPr>
        <w:t xml:space="preserve"> i</w:t>
      </w:r>
      <w:r w:rsidR="00AC741F" w:rsidRPr="00AB15C7">
        <w:rPr>
          <w:rFonts w:ascii="Cambria" w:hAnsi="Cambria"/>
          <w:bCs/>
          <w:noProof/>
          <w:lang w:val="sr-Latn-ME"/>
        </w:rPr>
        <w:t xml:space="preserve"> 18/14) koji je u usklađen sa EU Uredbom 1107/2009</w:t>
      </w:r>
      <w:r w:rsidR="008B2575" w:rsidRPr="00AB15C7">
        <w:rPr>
          <w:rFonts w:ascii="Cambria" w:hAnsi="Cambria"/>
          <w:bCs/>
          <w:noProof/>
          <w:lang w:val="sr-Latn-ME"/>
        </w:rPr>
        <w:t>,</w:t>
      </w:r>
      <w:r w:rsidR="001A6A86" w:rsidRPr="00AB15C7">
        <w:rPr>
          <w:rFonts w:ascii="Cambria" w:hAnsi="Cambria"/>
          <w:bCs/>
          <w:noProof/>
          <w:lang w:val="sr-Latn-ME"/>
        </w:rPr>
        <w:t xml:space="preserve"> kao i sa Direktivom 2009/128/EZ,  </w:t>
      </w:r>
      <w:r w:rsidR="008B2575" w:rsidRPr="00AB15C7">
        <w:rPr>
          <w:rFonts w:ascii="Cambria" w:hAnsi="Cambria"/>
          <w:bCs/>
          <w:noProof/>
          <w:lang w:val="sr-Latn-ME"/>
        </w:rPr>
        <w:t>u m</w:t>
      </w:r>
      <w:r w:rsidR="00477FE7">
        <w:rPr>
          <w:rFonts w:ascii="Cambria" w:hAnsi="Cambria"/>
          <w:bCs/>
          <w:noProof/>
          <w:lang w:val="sr-Latn-ME"/>
        </w:rPr>
        <w:t>j</w:t>
      </w:r>
      <w:r w:rsidR="008B2575" w:rsidRPr="00AB15C7">
        <w:rPr>
          <w:rFonts w:ascii="Cambria" w:hAnsi="Cambria"/>
          <w:bCs/>
          <w:noProof/>
          <w:lang w:val="sr-Latn-ME"/>
        </w:rPr>
        <w:t xml:space="preserve">eri u kojoj je to moguće za </w:t>
      </w:r>
      <w:r w:rsidR="001A6A86" w:rsidRPr="00AB15C7">
        <w:rPr>
          <w:rFonts w:ascii="Cambria" w:hAnsi="Cambria"/>
          <w:bCs/>
          <w:noProof/>
          <w:lang w:val="sr-Latn-ME"/>
        </w:rPr>
        <w:t>z</w:t>
      </w:r>
      <w:r w:rsidR="008B2575" w:rsidRPr="00AB15C7">
        <w:rPr>
          <w:rFonts w:ascii="Cambria" w:hAnsi="Cambria"/>
          <w:bCs/>
          <w:noProof/>
          <w:lang w:val="sr-Latn-ME"/>
        </w:rPr>
        <w:t>emlju kandidata za članstvo u EU</w:t>
      </w:r>
      <w:r w:rsidR="00AC741F" w:rsidRPr="00AB15C7">
        <w:rPr>
          <w:rFonts w:ascii="Cambria" w:hAnsi="Cambria"/>
          <w:bCs/>
          <w:noProof/>
          <w:lang w:val="sr-Latn-ME"/>
        </w:rPr>
        <w:t>.</w:t>
      </w:r>
    </w:p>
    <w:p w14:paraId="59A04C31" w14:textId="44F7F38A" w:rsidR="00AC741F" w:rsidRPr="00AB15C7" w:rsidRDefault="004533AF" w:rsidP="005921EF">
      <w:pPr>
        <w:autoSpaceDE w:val="0"/>
        <w:autoSpaceDN w:val="0"/>
        <w:adjustRightInd w:val="0"/>
        <w:spacing w:before="120" w:after="0"/>
        <w:jc w:val="both"/>
        <w:rPr>
          <w:rFonts w:ascii="Cambria" w:hAnsi="Cambria"/>
          <w:noProof/>
          <w:color w:val="000000"/>
        </w:rPr>
      </w:pPr>
      <w:r w:rsidRPr="00AB15C7">
        <w:rPr>
          <w:rFonts w:ascii="Cambria" w:hAnsi="Cambria"/>
          <w:noProof/>
          <w:color w:val="000000"/>
        </w:rPr>
        <w:t>Ovaj zakon i podzakonski propisi doneseni na osnovu njega</w:t>
      </w:r>
      <w:r w:rsidR="00477FE7">
        <w:rPr>
          <w:rFonts w:ascii="Cambria" w:hAnsi="Cambria"/>
          <w:noProof/>
          <w:color w:val="000000"/>
        </w:rPr>
        <w:t xml:space="preserve"> </w:t>
      </w:r>
      <w:r w:rsidR="001247F3" w:rsidRPr="00AB15C7">
        <w:rPr>
          <w:rFonts w:ascii="Cambria" w:hAnsi="Cambria"/>
          <w:noProof/>
          <w:color w:val="000000"/>
          <w:lang w:val="sr-Latn-ME"/>
        </w:rPr>
        <w:t xml:space="preserve">(vidjeti tabelu A3. </w:t>
      </w:r>
      <w:r w:rsidR="00991910">
        <w:rPr>
          <w:rFonts w:ascii="Cambria" w:hAnsi="Cambria"/>
          <w:noProof/>
          <w:color w:val="000000"/>
          <w:lang w:val="sr-Latn-ME"/>
        </w:rPr>
        <w:t>u Prilogu</w:t>
      </w:r>
      <w:r w:rsidR="001247F3" w:rsidRPr="00AB15C7">
        <w:rPr>
          <w:rFonts w:ascii="Cambria" w:hAnsi="Cambria"/>
          <w:noProof/>
          <w:color w:val="000000"/>
          <w:lang w:val="sr-Latn-ME"/>
        </w:rPr>
        <w:t xml:space="preserve">)  </w:t>
      </w:r>
      <w:r w:rsidRPr="00AB15C7">
        <w:rPr>
          <w:rFonts w:ascii="Cambria" w:hAnsi="Cambria"/>
          <w:noProof/>
          <w:color w:val="000000"/>
        </w:rPr>
        <w:t xml:space="preserve"> se odnos</w:t>
      </w:r>
      <w:r w:rsidR="001247F3" w:rsidRPr="00AB15C7">
        <w:rPr>
          <w:rFonts w:ascii="Cambria" w:hAnsi="Cambria"/>
          <w:noProof/>
          <w:color w:val="000000"/>
        </w:rPr>
        <w:t>e</w:t>
      </w:r>
      <w:r w:rsidRPr="00AB15C7">
        <w:rPr>
          <w:rFonts w:ascii="Cambria" w:hAnsi="Cambria"/>
          <w:noProof/>
          <w:color w:val="000000"/>
        </w:rPr>
        <w:t xml:space="preserve"> na uslove za stavljanje u promet, snabdjevanje, upotrebu i skladištenje sredstava za zaštitu bilja</w:t>
      </w:r>
      <w:r w:rsidR="00F77DB4">
        <w:rPr>
          <w:rFonts w:ascii="Cambria" w:hAnsi="Cambria"/>
          <w:noProof/>
          <w:color w:val="000000"/>
        </w:rPr>
        <w:t>, uključujući i</w:t>
      </w:r>
      <w:r w:rsidR="00F77DB4" w:rsidRPr="00F77DB4">
        <w:rPr>
          <w:rFonts w:ascii="Cambria" w:hAnsi="Cambria"/>
          <w:bCs/>
          <w:noProof/>
          <w:lang w:val="sr-Latn-ME"/>
        </w:rPr>
        <w:t xml:space="preserve"> </w:t>
      </w:r>
      <w:r w:rsidR="00F77DB4" w:rsidRPr="00AB15C7">
        <w:rPr>
          <w:rFonts w:ascii="Cambria" w:hAnsi="Cambria"/>
          <w:bCs/>
          <w:noProof/>
          <w:lang w:val="sr-Latn-ME"/>
        </w:rPr>
        <w:t>način klasifikacije, registraciju</w:t>
      </w:r>
      <w:r w:rsidR="003C055C">
        <w:rPr>
          <w:rFonts w:ascii="Cambria" w:hAnsi="Cambria"/>
          <w:bCs/>
          <w:noProof/>
          <w:lang w:val="sr-Latn-ME"/>
        </w:rPr>
        <w:t xml:space="preserve">, liste dozvoljenih aktivnih supstanci, </w:t>
      </w:r>
      <w:r w:rsidR="00F77DB4" w:rsidRPr="00AB15C7">
        <w:rPr>
          <w:rFonts w:ascii="Cambria" w:hAnsi="Cambria"/>
          <w:bCs/>
          <w:noProof/>
          <w:lang w:val="sr-Latn-ME"/>
        </w:rPr>
        <w:t>maksimalno dozvoljeni nivo rezidua sredstava za zaštitu bilja, način vođenja registara i evidencija, razmjenu podataka i druga pitanja.</w:t>
      </w:r>
      <w:r w:rsidR="003C055C">
        <w:rPr>
          <w:rFonts w:ascii="Cambria" w:hAnsi="Cambria"/>
          <w:noProof/>
          <w:color w:val="000000"/>
        </w:rPr>
        <w:t xml:space="preserve">, </w:t>
      </w:r>
    </w:p>
    <w:p w14:paraId="3E6213C0" w14:textId="77777777" w:rsidR="00946AFC" w:rsidRPr="00AB15C7" w:rsidRDefault="00946AFC" w:rsidP="005F1B1A">
      <w:pPr>
        <w:spacing w:after="120"/>
        <w:jc w:val="both"/>
        <w:rPr>
          <w:rFonts w:ascii="Cambria" w:hAnsi="Cambria" w:cs="Arial"/>
          <w:i/>
          <w:noProof/>
          <w:u w:val="single"/>
          <w:lang w:val="sr-Latn-ME"/>
        </w:rPr>
      </w:pPr>
      <w:r w:rsidRPr="00AB15C7">
        <w:rPr>
          <w:rFonts w:ascii="Cambria" w:hAnsi="Cambria" w:cs="Arial"/>
          <w:i/>
          <w:noProof/>
          <w:u w:val="single"/>
          <w:lang w:val="sr-Latn-ME"/>
        </w:rPr>
        <w:t>Nadležnosti državnih institucija:</w:t>
      </w:r>
    </w:p>
    <w:p w14:paraId="539C785A" w14:textId="77777777" w:rsidR="00946AFC" w:rsidRPr="00AB15C7" w:rsidRDefault="00A02932" w:rsidP="005921EF">
      <w:pPr>
        <w:autoSpaceDE w:val="0"/>
        <w:autoSpaceDN w:val="0"/>
        <w:adjustRightInd w:val="0"/>
        <w:spacing w:after="0"/>
        <w:jc w:val="both"/>
        <w:rPr>
          <w:rFonts w:ascii="Cambria" w:hAnsi="Cambria" w:cs="Arial"/>
          <w:noProof/>
          <w:lang w:val="sr-Latn-ME"/>
        </w:rPr>
      </w:pPr>
      <w:r w:rsidRPr="00AB15C7">
        <w:rPr>
          <w:rFonts w:ascii="Cambria" w:hAnsi="Cambria" w:cs="Arial"/>
          <w:noProof/>
          <w:lang w:val="sr-Latn-ME"/>
        </w:rPr>
        <w:t xml:space="preserve">Nadležnost za uredjivanje oblasti </w:t>
      </w:r>
      <w:r w:rsidR="004314EF" w:rsidRPr="00AB15C7">
        <w:rPr>
          <w:rFonts w:ascii="Cambria" w:hAnsi="Cambria" w:cs="Arial"/>
          <w:noProof/>
          <w:lang w:val="sr-Latn-ME"/>
        </w:rPr>
        <w:t>sredstava za zaštitu bilja</w:t>
      </w:r>
      <w:r w:rsidRPr="00AB15C7">
        <w:rPr>
          <w:rFonts w:ascii="Cambria" w:hAnsi="Cambria" w:cs="Arial"/>
          <w:noProof/>
          <w:lang w:val="sr-Latn-ME"/>
        </w:rPr>
        <w:t xml:space="preserve"> ima Ministarstvo za poljoprivredu i ruralni razvoj (MPRR) u </w:t>
      </w:r>
      <w:r w:rsidR="004314EF" w:rsidRPr="00AB15C7">
        <w:rPr>
          <w:rFonts w:ascii="Cambria" w:hAnsi="Cambria" w:cs="Arial"/>
          <w:noProof/>
          <w:lang w:val="sr-Latn-ME"/>
        </w:rPr>
        <w:t>sastavu</w:t>
      </w:r>
      <w:r w:rsidRPr="00AB15C7">
        <w:rPr>
          <w:rFonts w:ascii="Cambria" w:hAnsi="Cambria" w:cs="Arial"/>
          <w:noProof/>
          <w:lang w:val="sr-Latn-ME"/>
        </w:rPr>
        <w:t xml:space="preserve"> koga je za ova pitanja zadužena </w:t>
      </w:r>
      <w:r w:rsidRPr="00AB15C7">
        <w:rPr>
          <w:rFonts w:ascii="Cambria" w:hAnsi="Cambria" w:cs="Arial"/>
          <w:noProof/>
        </w:rPr>
        <w:t>Uprava za bezbjednost hrane, veterinu i fitosanitarne poslove</w:t>
      </w:r>
      <w:r w:rsidR="004314EF" w:rsidRPr="00AB15C7">
        <w:rPr>
          <w:rFonts w:ascii="Cambria" w:hAnsi="Cambria" w:cs="Arial"/>
          <w:noProof/>
        </w:rPr>
        <w:t xml:space="preserve"> </w:t>
      </w:r>
      <w:r w:rsidRPr="00AB15C7">
        <w:rPr>
          <w:rFonts w:ascii="Cambria" w:hAnsi="Cambria" w:cs="Arial"/>
          <w:noProof/>
          <w:lang w:val="sr-Latn-ME"/>
        </w:rPr>
        <w:t>-</w:t>
      </w:r>
      <w:r w:rsidR="004314EF" w:rsidRPr="00AB15C7">
        <w:rPr>
          <w:rFonts w:ascii="Cambria" w:hAnsi="Cambria"/>
          <w:noProof/>
        </w:rPr>
        <w:t xml:space="preserve"> </w:t>
      </w:r>
      <w:r w:rsidR="004314EF" w:rsidRPr="00AB15C7">
        <w:rPr>
          <w:rFonts w:ascii="Cambria" w:hAnsi="Cambria" w:cs="Arial"/>
          <w:noProof/>
          <w:lang w:val="sr-Latn-ME"/>
        </w:rPr>
        <w:t xml:space="preserve">Sektor za fitosanitarne poslove, </w:t>
      </w:r>
      <w:r w:rsidR="004314EF" w:rsidRPr="00AB15C7">
        <w:rPr>
          <w:rFonts w:ascii="Cambria" w:hAnsi="Cambria" w:cs="Arial"/>
          <w:noProof/>
        </w:rPr>
        <w:t>Odsjek za sredstva za zaštitu i ishranu bilja i fitosanitarni informacioni sistem</w:t>
      </w:r>
      <w:r w:rsidRPr="00AB15C7">
        <w:rPr>
          <w:rFonts w:ascii="Cambria" w:hAnsi="Cambria" w:cs="Arial"/>
          <w:noProof/>
          <w:lang w:val="sr-Latn-ME"/>
        </w:rPr>
        <w:t xml:space="preserve">.  </w:t>
      </w:r>
    </w:p>
    <w:p w14:paraId="34C1F91A" w14:textId="77777777" w:rsidR="00946AFC" w:rsidRPr="00AB15C7" w:rsidRDefault="00946AFC" w:rsidP="005921EF">
      <w:pPr>
        <w:autoSpaceDE w:val="0"/>
        <w:autoSpaceDN w:val="0"/>
        <w:adjustRightInd w:val="0"/>
        <w:spacing w:before="120" w:after="0"/>
        <w:jc w:val="both"/>
        <w:rPr>
          <w:rFonts w:ascii="Cambria" w:hAnsi="Cambria"/>
          <w:noProof/>
          <w:color w:val="000000"/>
          <w:lang w:val="sr-Latn-ME"/>
        </w:rPr>
      </w:pPr>
    </w:p>
    <w:p w14:paraId="51334E06" w14:textId="0535380D" w:rsidR="00946AFC" w:rsidRPr="00AB15C7" w:rsidRDefault="004314EF" w:rsidP="001F19E1">
      <w:pPr>
        <w:spacing w:after="0"/>
        <w:jc w:val="both"/>
        <w:rPr>
          <w:rFonts w:ascii="Cambria" w:hAnsi="Cambria"/>
          <w:noProof/>
          <w:color w:val="000000"/>
          <w:lang w:val="sr-Latn-ME"/>
        </w:rPr>
      </w:pPr>
      <w:r w:rsidRPr="00AB15C7">
        <w:rPr>
          <w:rFonts w:ascii="Cambria" w:hAnsi="Cambria"/>
          <w:bCs/>
          <w:noProof/>
          <w:lang w:val="sr-Latn-ME"/>
        </w:rPr>
        <w:t xml:space="preserve">Inspekcijski nadzor nad sprovođenjem ovog zakona vrše, u okviru svoje nadležnosti, </w:t>
      </w:r>
      <w:r w:rsidR="001F19E1" w:rsidRPr="001F19E1">
        <w:rPr>
          <w:rFonts w:ascii="Cambria" w:hAnsi="Cambria"/>
          <w:bCs/>
          <w:noProof/>
          <w:lang w:val="sr-Latn-ME"/>
        </w:rPr>
        <w:t>Uprava za bezbjednost hrane, veterinu i fitosanitarne poslove (</w:t>
      </w:r>
      <w:r w:rsidR="00C3760D" w:rsidRPr="001F19E1">
        <w:rPr>
          <w:rFonts w:ascii="Cambria" w:hAnsi="Cambria"/>
          <w:bCs/>
          <w:noProof/>
          <w:lang w:val="sr-Latn-ME"/>
        </w:rPr>
        <w:t xml:space="preserve">fitosanitarna i </w:t>
      </w:r>
      <w:r w:rsidR="001F19E1" w:rsidRPr="001F19E1">
        <w:rPr>
          <w:rFonts w:ascii="Cambria" w:hAnsi="Cambria"/>
          <w:bCs/>
          <w:noProof/>
          <w:lang w:val="sr-Latn-ME"/>
        </w:rPr>
        <w:t>veterinarska inspekcija)</w:t>
      </w:r>
      <w:r w:rsidR="00C3760D">
        <w:rPr>
          <w:rFonts w:ascii="Cambria" w:hAnsi="Cambria"/>
          <w:bCs/>
          <w:noProof/>
          <w:lang w:val="sr-Latn-ME"/>
        </w:rPr>
        <w:t xml:space="preserve"> i </w:t>
      </w:r>
      <w:r w:rsidR="00C3760D" w:rsidRPr="001F19E1">
        <w:rPr>
          <w:rFonts w:ascii="Cambria" w:hAnsi="Cambria"/>
          <w:bCs/>
          <w:noProof/>
          <w:lang w:val="sr-Latn-ME"/>
        </w:rPr>
        <w:t xml:space="preserve">Uprava za inspekcijske poslove </w:t>
      </w:r>
      <w:r w:rsidR="00C3760D">
        <w:rPr>
          <w:rFonts w:ascii="Cambria" w:hAnsi="Cambria"/>
          <w:bCs/>
          <w:noProof/>
          <w:lang w:val="sr-Latn-ME"/>
        </w:rPr>
        <w:t>(</w:t>
      </w:r>
      <w:r w:rsidR="00C3760D" w:rsidRPr="001F19E1">
        <w:rPr>
          <w:rFonts w:ascii="Cambria" w:hAnsi="Cambria"/>
          <w:bCs/>
          <w:noProof/>
          <w:lang w:val="sr-Latn-ME"/>
        </w:rPr>
        <w:t>sanitarna inspekcija)</w:t>
      </w:r>
      <w:r w:rsidR="00C3760D">
        <w:rPr>
          <w:rFonts w:ascii="Cambria" w:hAnsi="Cambria"/>
          <w:bCs/>
          <w:noProof/>
          <w:lang w:val="sr-Latn-ME"/>
        </w:rPr>
        <w:t>.</w:t>
      </w:r>
    </w:p>
    <w:p w14:paraId="384518DE" w14:textId="77777777" w:rsidR="00321800" w:rsidRDefault="00321800" w:rsidP="005F1B1A">
      <w:pPr>
        <w:spacing w:after="120"/>
        <w:jc w:val="both"/>
        <w:rPr>
          <w:rFonts w:ascii="Cambria" w:hAnsi="Cambria" w:cs="Arial"/>
          <w:i/>
          <w:noProof/>
          <w:u w:val="single"/>
          <w:lang w:val="sr-Latn-ME"/>
        </w:rPr>
      </w:pPr>
    </w:p>
    <w:p w14:paraId="4DD7CA93" w14:textId="77777777" w:rsidR="00946AFC" w:rsidRPr="00AB15C7" w:rsidRDefault="00946AFC" w:rsidP="005F1B1A">
      <w:pPr>
        <w:spacing w:after="120"/>
        <w:jc w:val="both"/>
        <w:rPr>
          <w:rFonts w:ascii="Cambria" w:hAnsi="Cambria" w:cs="Arial"/>
          <w:i/>
          <w:noProof/>
          <w:u w:val="single"/>
          <w:lang w:val="sr-Latn-ME"/>
        </w:rPr>
      </w:pPr>
      <w:r w:rsidRPr="00AB15C7">
        <w:rPr>
          <w:rFonts w:ascii="Cambria" w:hAnsi="Cambria" w:cs="Arial"/>
          <w:i/>
          <w:noProof/>
          <w:u w:val="single"/>
          <w:lang w:val="sr-Latn-ME"/>
        </w:rPr>
        <w:t>Postojanje baze podataka koje su sačinjene kao rezultat ovog propisa:</w:t>
      </w:r>
    </w:p>
    <w:p w14:paraId="6A833FA4" w14:textId="77777777" w:rsidR="00810210" w:rsidRPr="00AB15C7" w:rsidRDefault="00810210" w:rsidP="005921EF">
      <w:pPr>
        <w:spacing w:after="0"/>
        <w:jc w:val="both"/>
        <w:rPr>
          <w:rFonts w:ascii="Cambria" w:hAnsi="Cambria" w:cs="Arial"/>
          <w:noProof/>
        </w:rPr>
      </w:pPr>
      <w:r w:rsidRPr="00AB15C7">
        <w:rPr>
          <w:rFonts w:ascii="Cambria" w:hAnsi="Cambria" w:cs="Arial"/>
          <w:noProof/>
        </w:rPr>
        <w:t xml:space="preserve">Organ uprave vodi </w:t>
      </w:r>
      <w:r w:rsidRPr="00AB15C7">
        <w:rPr>
          <w:rFonts w:ascii="Cambria" w:hAnsi="Cambria" w:cs="Arial"/>
          <w:b/>
          <w:noProof/>
        </w:rPr>
        <w:t>Registar sredstava za zaštitu bilja u prometu na teritoriji Crne Gore</w:t>
      </w:r>
      <w:r w:rsidRPr="00AB15C7">
        <w:rPr>
          <w:rFonts w:ascii="Cambria" w:hAnsi="Cambria" w:cs="Arial"/>
          <w:noProof/>
        </w:rPr>
        <w:t>. Upis u Registar sredstava za zaštitu bilja vrši se na osnovu izdatog rješenja o registraciji.</w:t>
      </w:r>
    </w:p>
    <w:p w14:paraId="482D7967" w14:textId="77777777" w:rsidR="008B2575" w:rsidRPr="00AB15C7" w:rsidRDefault="008B2575" w:rsidP="005921EF">
      <w:pPr>
        <w:spacing w:after="0"/>
        <w:jc w:val="both"/>
        <w:rPr>
          <w:rFonts w:ascii="Cambria" w:hAnsi="Cambria" w:cs="Arial"/>
          <w:noProof/>
          <w:lang w:val="sr-Latn-ME"/>
        </w:rPr>
      </w:pPr>
    </w:p>
    <w:p w14:paraId="139743CE" w14:textId="77777777" w:rsidR="00946AFC" w:rsidRPr="00AB15C7" w:rsidRDefault="008B2575" w:rsidP="005921EF">
      <w:pPr>
        <w:spacing w:after="0"/>
        <w:jc w:val="both"/>
        <w:rPr>
          <w:rFonts w:ascii="Cambria" w:hAnsi="Cambria"/>
          <w:noProof/>
          <w:color w:val="000000"/>
          <w:lang w:val="sr-Latn-ME"/>
        </w:rPr>
      </w:pPr>
      <w:r w:rsidRPr="00AB15C7">
        <w:rPr>
          <w:rFonts w:ascii="Cambria" w:hAnsi="Cambria" w:cs="Arial"/>
          <w:noProof/>
          <w:lang w:val="sr-Latn-ME"/>
        </w:rPr>
        <w:t>Pored toga</w:t>
      </w:r>
      <w:r w:rsidR="000D5187" w:rsidRPr="00AB15C7">
        <w:rPr>
          <w:rFonts w:ascii="Cambria" w:hAnsi="Cambria" w:cs="Arial"/>
          <w:noProof/>
          <w:lang w:val="sr-Latn-ME"/>
        </w:rPr>
        <w:t xml:space="preserve">, </w:t>
      </w:r>
      <w:r w:rsidRPr="00AB15C7">
        <w:rPr>
          <w:rFonts w:ascii="Cambria" w:hAnsi="Cambria" w:cs="Arial"/>
          <w:noProof/>
          <w:lang w:val="sr-Latn-ME"/>
        </w:rPr>
        <w:t xml:space="preserve"> u pogledu privrednih subjekata koji posluju u oblasti zaštite bilja uspostavljen je </w:t>
      </w:r>
      <w:r w:rsidR="00946AFC" w:rsidRPr="00AB15C7">
        <w:rPr>
          <w:rFonts w:ascii="Cambria" w:hAnsi="Cambria" w:cs="Arial"/>
          <w:noProof/>
          <w:lang w:val="sr-Latn-ME"/>
        </w:rPr>
        <w:t>Registar uvoznika</w:t>
      </w:r>
      <w:r w:rsidR="00810210" w:rsidRPr="00AB15C7">
        <w:rPr>
          <w:rFonts w:ascii="Cambria" w:hAnsi="Cambria" w:cs="Arial"/>
          <w:noProof/>
          <w:lang w:val="sr-Latn-ME"/>
        </w:rPr>
        <w:t>,</w:t>
      </w:r>
      <w:r w:rsidR="00946AFC" w:rsidRPr="00AB15C7">
        <w:rPr>
          <w:rFonts w:ascii="Cambria" w:hAnsi="Cambria" w:cs="Arial"/>
          <w:noProof/>
          <w:lang w:val="sr-Latn-ME"/>
        </w:rPr>
        <w:t xml:space="preserve"> Registar za promet sredstava za zaštitu bilja na veliko</w:t>
      </w:r>
      <w:r w:rsidR="00810210" w:rsidRPr="00AB15C7">
        <w:rPr>
          <w:rFonts w:ascii="Cambria" w:hAnsi="Cambria" w:cs="Arial"/>
          <w:noProof/>
          <w:lang w:val="sr-Latn-ME"/>
        </w:rPr>
        <w:t>,</w:t>
      </w:r>
      <w:r w:rsidR="00946AFC" w:rsidRPr="00AB15C7">
        <w:rPr>
          <w:rFonts w:ascii="Cambria" w:hAnsi="Cambria" w:cs="Arial"/>
          <w:noProof/>
          <w:lang w:val="sr-Latn-ME"/>
        </w:rPr>
        <w:t xml:space="preserve"> Registar za promet sredstava za zaštitu bilja na malo, Registar profesionalnih korisnika,  Registar davaoca usluga vodi </w:t>
      </w:r>
      <w:r w:rsidR="005107D9" w:rsidRPr="00AB15C7">
        <w:rPr>
          <w:rFonts w:ascii="Cambria" w:hAnsi="Cambria" w:cs="Arial"/>
          <w:noProof/>
          <w:lang w:val="sr-Latn-ME"/>
        </w:rPr>
        <w:t xml:space="preserve">Uprava za bezbjednost hrane, veterinu i fitosanitarne poslove - Sektor za fitosanitarne poslove, Odsjek za sredstva za zaštitu i ishranu bilja i fitosanitarni informacioni sistem </w:t>
      </w:r>
      <w:r w:rsidR="00946AFC" w:rsidRPr="00AB15C7">
        <w:rPr>
          <w:rFonts w:ascii="Cambria" w:hAnsi="Cambria" w:cs="Arial"/>
          <w:noProof/>
          <w:lang w:val="sr-Latn-ME"/>
        </w:rPr>
        <w:t>kao nadležni organ za poslove sredstava za zaštitu bilja.</w:t>
      </w:r>
    </w:p>
    <w:p w14:paraId="7E23C49A" w14:textId="77777777" w:rsidR="00946AFC" w:rsidRPr="00AB15C7" w:rsidRDefault="00DE50A7" w:rsidP="005921EF">
      <w:pPr>
        <w:pStyle w:val="Heading2"/>
        <w:ind w:firstLine="720"/>
        <w:rPr>
          <w:noProof/>
          <w:sz w:val="22"/>
          <w:szCs w:val="22"/>
          <w:lang w:val="en-US"/>
        </w:rPr>
      </w:pPr>
      <w:bookmarkStart w:id="55" w:name="_Toc527353192"/>
      <w:r w:rsidRPr="00AB15C7">
        <w:rPr>
          <w:noProof/>
          <w:sz w:val="22"/>
          <w:szCs w:val="22"/>
          <w:lang w:val="en-US"/>
        </w:rPr>
        <w:t>2.</w:t>
      </w:r>
      <w:r w:rsidR="004533AF" w:rsidRPr="00AB15C7">
        <w:rPr>
          <w:noProof/>
          <w:sz w:val="22"/>
          <w:szCs w:val="22"/>
          <w:lang w:val="en-US"/>
        </w:rPr>
        <w:t xml:space="preserve">3.1.2.3. </w:t>
      </w:r>
      <w:r w:rsidR="00B85F47" w:rsidRPr="00AB15C7">
        <w:rPr>
          <w:noProof/>
          <w:sz w:val="22"/>
          <w:szCs w:val="22"/>
          <w:lang w:val="en-US"/>
        </w:rPr>
        <w:t>Propisi</w:t>
      </w:r>
      <w:r w:rsidR="004533AF" w:rsidRPr="00AB15C7">
        <w:rPr>
          <w:noProof/>
          <w:sz w:val="22"/>
          <w:szCs w:val="22"/>
          <w:lang w:val="en-US"/>
        </w:rPr>
        <w:t xml:space="preserve"> o sredstvima za ishranu bilja</w:t>
      </w:r>
      <w:bookmarkEnd w:id="55"/>
    </w:p>
    <w:p w14:paraId="7C98F208" w14:textId="6DBFA05F" w:rsidR="00EF173E" w:rsidRPr="00AB15C7" w:rsidRDefault="000D5187" w:rsidP="005921EF">
      <w:pPr>
        <w:spacing w:after="0"/>
        <w:jc w:val="both"/>
        <w:rPr>
          <w:rFonts w:ascii="Cambria" w:hAnsi="Cambria" w:cs="Arial"/>
          <w:bCs/>
          <w:noProof/>
          <w:lang w:val="sr-Latn-ME"/>
        </w:rPr>
      </w:pPr>
      <w:r w:rsidRPr="00AB15C7">
        <w:rPr>
          <w:rFonts w:ascii="Cambria" w:hAnsi="Cambria" w:cs="Arial"/>
          <w:noProof/>
          <w:lang w:val="sr-Latn-ME"/>
        </w:rPr>
        <w:t xml:space="preserve">Sredstva za ishranu bilja su đubriva, biostimulatori, oplemenjivači zemljišta i supstrati. </w:t>
      </w:r>
      <w:r w:rsidR="00EF173E" w:rsidRPr="00AB15C7">
        <w:rPr>
          <w:rFonts w:ascii="Cambria" w:hAnsi="Cambria" w:cs="Arial"/>
          <w:noProof/>
        </w:rPr>
        <w:t xml:space="preserve">Ova sredstva u Crnoj Gori uređena su </w:t>
      </w:r>
      <w:r w:rsidR="00EF173E" w:rsidRPr="00AB15C7">
        <w:rPr>
          <w:rFonts w:ascii="Cambria" w:hAnsi="Cambria" w:cs="Arial"/>
          <w:b/>
          <w:bCs/>
          <w:noProof/>
          <w:lang w:val="sr-Latn-ME"/>
        </w:rPr>
        <w:t xml:space="preserve">Zakonom o sredstvima za ishranu bilja </w:t>
      </w:r>
      <w:r w:rsidR="00EF173E" w:rsidRPr="00AB15C7">
        <w:rPr>
          <w:rFonts w:ascii="Cambria" w:hAnsi="Cambria" w:cs="Arial"/>
          <w:bCs/>
          <w:noProof/>
          <w:lang w:val="sr-Latn-ME"/>
        </w:rPr>
        <w:t xml:space="preserve">("Sl. list RCG", br. 48/07 i "Sl. list CG", </w:t>
      </w:r>
      <w:r w:rsidR="00EF173E" w:rsidRPr="00AB15C7">
        <w:rPr>
          <w:rFonts w:ascii="Cambria" w:hAnsi="Cambria" w:cs="Arial"/>
          <w:bCs/>
          <w:noProof/>
          <w:lang w:val="sr-Latn-ME"/>
        </w:rPr>
        <w:lastRenderedPageBreak/>
        <w:t>br. 76/08, 73/10, 40/11 i 30/17) koji je u d</w:t>
      </w:r>
      <w:r w:rsidR="00127CF9">
        <w:rPr>
          <w:rFonts w:ascii="Cambria" w:hAnsi="Cambria" w:cs="Arial"/>
          <w:bCs/>
          <w:noProof/>
          <w:lang w:val="sr-Latn-ME"/>
        </w:rPr>
        <w:t>j</w:t>
      </w:r>
      <w:r w:rsidR="00EF173E" w:rsidRPr="00AB15C7">
        <w:rPr>
          <w:rFonts w:ascii="Cambria" w:hAnsi="Cambria" w:cs="Arial"/>
          <w:bCs/>
          <w:noProof/>
          <w:lang w:val="sr-Latn-ME"/>
        </w:rPr>
        <w:t xml:space="preserve">elimično usklađen sa EU Uredbom </w:t>
      </w:r>
      <w:r w:rsidR="00EF173E" w:rsidRPr="00AB15C7">
        <w:rPr>
          <w:rFonts w:ascii="Cambria" w:hAnsi="Cambria" w:cs="Arial"/>
          <w:noProof/>
        </w:rPr>
        <w:t>2003/2003</w:t>
      </w:r>
      <w:r w:rsidR="00EF173E" w:rsidRPr="00AB15C7">
        <w:rPr>
          <w:rFonts w:ascii="Cambria" w:hAnsi="Cambria" w:cs="Arial"/>
          <w:bCs/>
          <w:noProof/>
          <w:lang w:val="sr-Latn-ME"/>
        </w:rPr>
        <w:t>,  u m</w:t>
      </w:r>
      <w:r w:rsidR="00127CF9">
        <w:rPr>
          <w:rFonts w:ascii="Cambria" w:hAnsi="Cambria" w:cs="Arial"/>
          <w:bCs/>
          <w:noProof/>
          <w:lang w:val="sr-Latn-ME"/>
        </w:rPr>
        <w:t>j</w:t>
      </w:r>
      <w:r w:rsidR="00EF173E" w:rsidRPr="00AB15C7">
        <w:rPr>
          <w:rFonts w:ascii="Cambria" w:hAnsi="Cambria" w:cs="Arial"/>
          <w:bCs/>
          <w:noProof/>
          <w:lang w:val="sr-Latn-ME"/>
        </w:rPr>
        <w:t>eri u kojoj je to moguće za zemlju kandidata za članstvo u EU.</w:t>
      </w:r>
    </w:p>
    <w:p w14:paraId="128A26ED" w14:textId="77777777" w:rsidR="004533AF" w:rsidRPr="00AB15C7" w:rsidRDefault="004533AF" w:rsidP="005921EF">
      <w:pPr>
        <w:spacing w:after="0"/>
        <w:jc w:val="both"/>
        <w:rPr>
          <w:rFonts w:ascii="Cambria" w:hAnsi="Cambria" w:cs="Arial"/>
          <w:noProof/>
        </w:rPr>
      </w:pPr>
    </w:p>
    <w:p w14:paraId="59041C0D" w14:textId="2F5C7077" w:rsidR="004533AF" w:rsidRPr="00AB15C7" w:rsidRDefault="004533AF" w:rsidP="005921EF">
      <w:pPr>
        <w:spacing w:after="0"/>
        <w:jc w:val="both"/>
        <w:rPr>
          <w:rFonts w:ascii="Cambria" w:hAnsi="Cambria" w:cs="Arial"/>
          <w:noProof/>
        </w:rPr>
      </w:pPr>
      <w:r w:rsidRPr="00AB15C7">
        <w:rPr>
          <w:rFonts w:ascii="Cambria" w:hAnsi="Cambria" w:cs="Arial"/>
          <w:noProof/>
        </w:rPr>
        <w:t>Ovaj zakon i podzakonski propisi doneseni na osnovu njega</w:t>
      </w:r>
      <w:r w:rsidR="001247F3" w:rsidRPr="00AB15C7">
        <w:rPr>
          <w:rFonts w:ascii="Cambria" w:hAnsi="Cambria" w:cs="Arial"/>
          <w:noProof/>
        </w:rPr>
        <w:t xml:space="preserve"> </w:t>
      </w:r>
      <w:r w:rsidR="001247F3" w:rsidRPr="00AB15C7">
        <w:rPr>
          <w:rFonts w:ascii="Cambria" w:hAnsi="Cambria" w:cs="Arial"/>
          <w:noProof/>
          <w:lang w:val="sr-Latn-ME"/>
        </w:rPr>
        <w:t xml:space="preserve">(vidjeti tabelu A4. </w:t>
      </w:r>
      <w:r w:rsidR="00991910">
        <w:rPr>
          <w:rFonts w:ascii="Cambria" w:hAnsi="Cambria" w:cs="Arial"/>
          <w:noProof/>
          <w:lang w:val="sr-Latn-ME"/>
        </w:rPr>
        <w:t>u Prilogu</w:t>
      </w:r>
      <w:r w:rsidR="001247F3" w:rsidRPr="00AB15C7">
        <w:rPr>
          <w:rFonts w:ascii="Cambria" w:hAnsi="Cambria" w:cs="Arial"/>
          <w:noProof/>
          <w:lang w:val="sr-Latn-ME"/>
        </w:rPr>
        <w:t xml:space="preserve">)  </w:t>
      </w:r>
      <w:r w:rsidRPr="00AB15C7">
        <w:rPr>
          <w:rFonts w:ascii="Cambria" w:hAnsi="Cambria" w:cs="Arial"/>
          <w:noProof/>
        </w:rPr>
        <w:t xml:space="preserve"> se odnosi na uslove za stavljanje u promet, snabdjevanje, upotrebu i skladištenje sredstava za ishranu bilja.</w:t>
      </w:r>
      <w:r w:rsidR="003C055C" w:rsidRPr="003C055C">
        <w:rPr>
          <w:rFonts w:ascii="Cambria" w:hAnsi="Cambria" w:cs="Arial"/>
          <w:noProof/>
          <w:lang w:val="sr-Latn-ME"/>
        </w:rPr>
        <w:t xml:space="preserve"> </w:t>
      </w:r>
      <w:r w:rsidR="003C055C" w:rsidRPr="00AB15C7">
        <w:rPr>
          <w:rFonts w:ascii="Cambria" w:hAnsi="Cambria" w:cs="Arial"/>
          <w:noProof/>
          <w:lang w:val="sr-Latn-ME"/>
        </w:rPr>
        <w:t>Ako sredstva za ishranu bilja sadrže i opasne materije</w:t>
      </w:r>
      <w:r w:rsidR="003C055C">
        <w:rPr>
          <w:rFonts w:ascii="Cambria" w:hAnsi="Cambria" w:cs="Arial"/>
          <w:noProof/>
          <w:lang w:val="sr-Latn-ME"/>
        </w:rPr>
        <w:t xml:space="preserve"> (hemikalije)</w:t>
      </w:r>
      <w:r w:rsidR="003C055C" w:rsidRPr="00AB15C7">
        <w:rPr>
          <w:rFonts w:ascii="Cambria" w:hAnsi="Cambria" w:cs="Arial"/>
          <w:noProof/>
          <w:lang w:val="sr-Latn-ME"/>
        </w:rPr>
        <w:t xml:space="preserve">, na promet i primjenu sredstava za ishranu bilja primjenjuju se i propisi kojima se uređuju </w:t>
      </w:r>
      <w:r w:rsidR="003C055C" w:rsidRPr="005921EF">
        <w:rPr>
          <w:rFonts w:ascii="Cambria" w:hAnsi="Cambria" w:cs="Arial"/>
          <w:noProof/>
          <w:lang w:val="sr-Latn-ME"/>
        </w:rPr>
        <w:t>opasne materije (hemikalije)</w:t>
      </w:r>
      <w:r w:rsidR="003C055C" w:rsidRPr="00AB15C7">
        <w:rPr>
          <w:rFonts w:ascii="Cambria" w:hAnsi="Cambria" w:cs="Arial"/>
          <w:noProof/>
          <w:lang w:val="sr-Latn-ME"/>
        </w:rPr>
        <w:t>.</w:t>
      </w:r>
    </w:p>
    <w:p w14:paraId="0DB50348" w14:textId="77777777" w:rsidR="00EF173E" w:rsidRPr="00AB15C7" w:rsidRDefault="00EF173E" w:rsidP="005921EF">
      <w:pPr>
        <w:spacing w:after="0"/>
        <w:jc w:val="both"/>
        <w:rPr>
          <w:rFonts w:ascii="Cambria" w:hAnsi="Cambria" w:cs="Arial"/>
          <w:noProof/>
          <w:lang w:val="sr-Latn-ME"/>
        </w:rPr>
      </w:pPr>
    </w:p>
    <w:p w14:paraId="2EED7A07" w14:textId="77777777" w:rsidR="00946AFC" w:rsidRPr="00AB15C7" w:rsidRDefault="00946AFC" w:rsidP="005F1B1A">
      <w:pPr>
        <w:spacing w:after="120"/>
        <w:jc w:val="both"/>
        <w:rPr>
          <w:rFonts w:ascii="Cambria" w:hAnsi="Cambria" w:cs="Arial"/>
          <w:i/>
          <w:noProof/>
          <w:u w:val="single"/>
          <w:lang w:val="sr-Latn-ME"/>
        </w:rPr>
      </w:pPr>
      <w:r w:rsidRPr="00AB15C7">
        <w:rPr>
          <w:rFonts w:ascii="Cambria" w:hAnsi="Cambria" w:cs="Arial"/>
          <w:i/>
          <w:noProof/>
          <w:u w:val="single"/>
          <w:lang w:val="sr-Latn-ME"/>
        </w:rPr>
        <w:t>Nadležnosti državnih institucija:</w:t>
      </w:r>
    </w:p>
    <w:p w14:paraId="676F3216" w14:textId="77777777" w:rsidR="00946AFC" w:rsidRPr="00AB15C7" w:rsidRDefault="000D5187" w:rsidP="005921EF">
      <w:pPr>
        <w:spacing w:after="0"/>
        <w:jc w:val="both"/>
        <w:rPr>
          <w:rFonts w:ascii="Cambria" w:hAnsi="Cambria" w:cs="Arial"/>
          <w:noProof/>
          <w:lang w:val="sr-Latn-ME"/>
        </w:rPr>
      </w:pPr>
      <w:r w:rsidRPr="00AB15C7">
        <w:rPr>
          <w:rFonts w:ascii="Cambria" w:hAnsi="Cambria" w:cs="Arial"/>
          <w:noProof/>
          <w:lang w:val="sr-Latn-ME"/>
        </w:rPr>
        <w:t xml:space="preserve">Nadležnost za oblast sredstava za ishranu bilja ima Ministarstvo za poljoprivredu i ruralni razvoj (MPRR) u sastavu koga je za ova pitanja zadužena Uprava za bezbjednost hrane, veterinu i fitosanitarne poslove - Sektor za fitosanitarne poslove, Odsjek za sredstva za zaštitu i ishranu bilja i fitosanitarni informacioni sistem.  </w:t>
      </w:r>
    </w:p>
    <w:p w14:paraId="2FE16423" w14:textId="77777777" w:rsidR="000D5187" w:rsidRPr="00AB15C7" w:rsidRDefault="000D5187" w:rsidP="005921EF">
      <w:pPr>
        <w:spacing w:after="0"/>
        <w:jc w:val="both"/>
        <w:rPr>
          <w:rFonts w:ascii="Cambria" w:hAnsi="Cambria" w:cs="Arial"/>
          <w:noProof/>
          <w:lang w:val="sr-Latn-ME"/>
        </w:rPr>
      </w:pPr>
    </w:p>
    <w:p w14:paraId="3B21947C" w14:textId="77777777" w:rsidR="00946AFC" w:rsidRPr="00AB15C7" w:rsidRDefault="000D5187" w:rsidP="005921EF">
      <w:pPr>
        <w:spacing w:after="0"/>
        <w:jc w:val="both"/>
        <w:rPr>
          <w:rFonts w:ascii="Cambria" w:hAnsi="Cambria" w:cs="Arial"/>
          <w:noProof/>
          <w:lang w:val="sr-Latn-ME"/>
        </w:rPr>
      </w:pPr>
      <w:r w:rsidRPr="00AB15C7">
        <w:rPr>
          <w:rFonts w:ascii="Cambria" w:hAnsi="Cambria" w:cs="Arial"/>
          <w:noProof/>
          <w:lang w:val="sr-Latn-ME"/>
        </w:rPr>
        <w:t>Inspekcijski nadzor nad sprovođenjem ovog zakona vrši organ uprave preko fitosanitarnih inspektora, u skladu sa zakonom.</w:t>
      </w:r>
    </w:p>
    <w:p w14:paraId="124A19B7" w14:textId="77777777" w:rsidR="00946AFC" w:rsidRPr="00AB15C7" w:rsidRDefault="00946AFC" w:rsidP="005921EF">
      <w:pPr>
        <w:spacing w:after="0"/>
        <w:jc w:val="both"/>
        <w:rPr>
          <w:rFonts w:ascii="Cambria" w:hAnsi="Cambria" w:cs="Arial"/>
          <w:b/>
          <w:noProof/>
          <w:lang w:val="sr-Latn-ME"/>
        </w:rPr>
      </w:pPr>
    </w:p>
    <w:p w14:paraId="3FC92B97" w14:textId="77777777" w:rsidR="00946AFC" w:rsidRPr="005F1B1A" w:rsidRDefault="00946AFC" w:rsidP="005F1B1A">
      <w:pPr>
        <w:spacing w:after="120"/>
        <w:jc w:val="both"/>
        <w:rPr>
          <w:rFonts w:ascii="Cambria" w:hAnsi="Cambria" w:cs="Arial"/>
          <w:i/>
          <w:noProof/>
          <w:u w:val="single"/>
          <w:lang w:val="sr-Latn-ME"/>
        </w:rPr>
      </w:pPr>
      <w:r w:rsidRPr="00AB15C7">
        <w:rPr>
          <w:rFonts w:ascii="Cambria" w:hAnsi="Cambria" w:cs="Arial"/>
          <w:i/>
          <w:noProof/>
          <w:u w:val="single"/>
          <w:lang w:val="sr-Latn-ME"/>
        </w:rPr>
        <w:t>Postojanje baze podataka koje su sačinjene kao rezultat ovog propisa:</w:t>
      </w:r>
    </w:p>
    <w:p w14:paraId="6A514DE7" w14:textId="50C06183" w:rsidR="00946AFC" w:rsidRPr="00AB15C7" w:rsidRDefault="00540307" w:rsidP="005921EF">
      <w:pPr>
        <w:spacing w:after="0"/>
        <w:jc w:val="both"/>
        <w:rPr>
          <w:rFonts w:ascii="Cambria" w:hAnsi="Cambria" w:cs="Arial"/>
          <w:noProof/>
          <w:lang w:val="sr-Latn-ME"/>
        </w:rPr>
      </w:pPr>
      <w:r w:rsidRPr="00AB15C7">
        <w:rPr>
          <w:rFonts w:ascii="Cambria" w:hAnsi="Cambria" w:cs="Arial"/>
          <w:noProof/>
          <w:lang w:val="sr-Latn-ME"/>
        </w:rPr>
        <w:t xml:space="preserve">Sredstva za ishranu bilja mogu se proizvoditi, stavljati u promet i primjenjivati u Crnoj Gori, ako su klasifikovana u određene tipove sredstva za ishranu bilja i upisana u </w:t>
      </w:r>
      <w:r w:rsidRPr="00AB15C7">
        <w:rPr>
          <w:rFonts w:ascii="Cambria" w:hAnsi="Cambria" w:cs="Arial"/>
          <w:b/>
          <w:noProof/>
          <w:lang w:val="sr-Latn-ME"/>
        </w:rPr>
        <w:t>Registar sredstava za ishranu bilja</w:t>
      </w:r>
      <w:r w:rsidR="000D5187" w:rsidRPr="00AB15C7">
        <w:rPr>
          <w:rFonts w:ascii="Cambria" w:hAnsi="Cambria" w:cs="Arial"/>
          <w:noProof/>
          <w:lang w:val="sr-Latn-ME"/>
        </w:rPr>
        <w:t>.</w:t>
      </w:r>
      <w:r w:rsidRPr="00AB15C7">
        <w:rPr>
          <w:rFonts w:ascii="Cambria" w:hAnsi="Cambria" w:cs="Arial"/>
          <w:noProof/>
          <w:lang w:val="sr-Latn-ME"/>
        </w:rPr>
        <w:t xml:space="preserve"> </w:t>
      </w:r>
      <w:r w:rsidR="00686BFC">
        <w:rPr>
          <w:rFonts w:ascii="Cambria" w:hAnsi="Cambria" w:cs="Arial"/>
          <w:noProof/>
          <w:lang w:val="sr-Latn-ME"/>
        </w:rPr>
        <w:t xml:space="preserve"> </w:t>
      </w:r>
      <w:r w:rsidR="000D5187" w:rsidRPr="00AB15C7">
        <w:rPr>
          <w:rFonts w:ascii="Cambria" w:hAnsi="Cambria" w:cs="Arial"/>
          <w:noProof/>
          <w:lang w:val="sr-Latn-ME"/>
        </w:rPr>
        <w:t xml:space="preserve">Pored toga,  u pogledu privrednih subjekata koji posluju u oblasti sredstava za ishranu bilja uspostavljen je </w:t>
      </w:r>
      <w:r w:rsidR="00946AFC" w:rsidRPr="00AB15C7">
        <w:rPr>
          <w:rFonts w:ascii="Cambria" w:hAnsi="Cambria" w:cs="Arial"/>
          <w:noProof/>
          <w:lang w:val="sr-Latn-ME"/>
        </w:rPr>
        <w:t>Registar proizvođača/uvoznika sredstava za ishranu bilja i Registar distributera sredstava za ishranu bilja</w:t>
      </w:r>
      <w:r w:rsidR="000D5187" w:rsidRPr="00AB15C7">
        <w:rPr>
          <w:rFonts w:ascii="Cambria" w:hAnsi="Cambria" w:cs="Arial"/>
          <w:noProof/>
          <w:lang w:val="sr-Latn-ME"/>
        </w:rPr>
        <w:t>.</w:t>
      </w:r>
      <w:r w:rsidR="00946AFC" w:rsidRPr="00AB15C7">
        <w:rPr>
          <w:rFonts w:ascii="Cambria" w:hAnsi="Cambria" w:cs="Arial"/>
          <w:noProof/>
          <w:lang w:val="sr-Latn-ME"/>
        </w:rPr>
        <w:t xml:space="preserve"> </w:t>
      </w:r>
    </w:p>
    <w:p w14:paraId="4C26830A" w14:textId="77777777" w:rsidR="00946AFC" w:rsidRPr="00AB15C7" w:rsidRDefault="00946AFC" w:rsidP="005921EF">
      <w:pPr>
        <w:spacing w:after="0"/>
        <w:jc w:val="both"/>
        <w:rPr>
          <w:rFonts w:ascii="Cambria" w:hAnsi="Cambria" w:cs="Arial"/>
          <w:b/>
          <w:noProof/>
          <w:lang w:val="sr-Latn-ME"/>
        </w:rPr>
      </w:pPr>
    </w:p>
    <w:p w14:paraId="7C7DF497" w14:textId="77777777" w:rsidR="00946AFC" w:rsidRPr="00AB15C7" w:rsidRDefault="00DE50A7" w:rsidP="005921EF">
      <w:pPr>
        <w:pStyle w:val="Heading2"/>
        <w:rPr>
          <w:noProof/>
          <w:sz w:val="22"/>
          <w:szCs w:val="22"/>
          <w:lang w:val="en-US"/>
        </w:rPr>
      </w:pPr>
      <w:bookmarkStart w:id="56" w:name="_Toc527353193"/>
      <w:r w:rsidRPr="00AB15C7">
        <w:rPr>
          <w:noProof/>
          <w:sz w:val="22"/>
          <w:szCs w:val="22"/>
          <w:lang w:val="en-US"/>
        </w:rPr>
        <w:t>2.</w:t>
      </w:r>
      <w:r w:rsidR="007431DE" w:rsidRPr="00AB15C7">
        <w:rPr>
          <w:noProof/>
          <w:sz w:val="22"/>
          <w:szCs w:val="22"/>
          <w:lang w:val="en-US"/>
        </w:rPr>
        <w:t xml:space="preserve">3.1.3. </w:t>
      </w:r>
      <w:r w:rsidR="00486EB8" w:rsidRPr="00AB15C7">
        <w:rPr>
          <w:noProof/>
          <w:sz w:val="22"/>
          <w:szCs w:val="22"/>
          <w:lang w:val="en-US"/>
        </w:rPr>
        <w:t>Drugi propisi od značaja za bezbedno upravljanje hemikalijama</w:t>
      </w:r>
      <w:bookmarkEnd w:id="56"/>
      <w:r w:rsidR="007431DE" w:rsidRPr="00AB15C7">
        <w:rPr>
          <w:noProof/>
          <w:sz w:val="22"/>
          <w:szCs w:val="22"/>
          <w:lang w:val="en-US"/>
        </w:rPr>
        <w:t xml:space="preserve"> </w:t>
      </w:r>
    </w:p>
    <w:p w14:paraId="07A770F1" w14:textId="53460ED3" w:rsidR="007431DE" w:rsidRPr="00AB15C7" w:rsidRDefault="00DE50A7" w:rsidP="005921EF">
      <w:pPr>
        <w:pStyle w:val="Heading2"/>
        <w:ind w:firstLine="720"/>
        <w:rPr>
          <w:noProof/>
          <w:sz w:val="22"/>
          <w:szCs w:val="22"/>
          <w:lang w:val="en-US"/>
        </w:rPr>
      </w:pPr>
      <w:bookmarkStart w:id="57" w:name="_Toc527353194"/>
      <w:r w:rsidRPr="00AB15C7">
        <w:rPr>
          <w:noProof/>
          <w:sz w:val="22"/>
          <w:szCs w:val="22"/>
          <w:lang w:val="en-US"/>
        </w:rPr>
        <w:t>2.</w:t>
      </w:r>
      <w:r w:rsidR="007431DE" w:rsidRPr="00AB15C7">
        <w:rPr>
          <w:noProof/>
          <w:sz w:val="22"/>
          <w:szCs w:val="22"/>
          <w:lang w:val="en-US"/>
        </w:rPr>
        <w:t>3.1.3.</w:t>
      </w:r>
      <w:r w:rsidR="00B85F47" w:rsidRPr="00AB15C7">
        <w:rPr>
          <w:noProof/>
          <w:sz w:val="22"/>
          <w:szCs w:val="22"/>
          <w:lang w:val="en-US"/>
        </w:rPr>
        <w:t>1</w:t>
      </w:r>
      <w:r w:rsidR="007431DE" w:rsidRPr="00AB15C7">
        <w:rPr>
          <w:noProof/>
          <w:sz w:val="22"/>
          <w:szCs w:val="22"/>
          <w:lang w:val="en-US"/>
        </w:rPr>
        <w:t xml:space="preserve">. </w:t>
      </w:r>
      <w:r w:rsidR="00EE3066" w:rsidRPr="00AB15C7">
        <w:rPr>
          <w:noProof/>
          <w:sz w:val="22"/>
          <w:szCs w:val="22"/>
          <w:lang w:val="en-US"/>
        </w:rPr>
        <w:t>P</w:t>
      </w:r>
      <w:r w:rsidR="007431DE" w:rsidRPr="00AB15C7">
        <w:rPr>
          <w:noProof/>
          <w:sz w:val="22"/>
          <w:szCs w:val="22"/>
          <w:lang w:val="en-US"/>
        </w:rPr>
        <w:t xml:space="preserve">ropisi u oblasti </w:t>
      </w:r>
      <w:r w:rsidR="00C63A60" w:rsidRPr="00C63A60">
        <w:rPr>
          <w:noProof/>
          <w:sz w:val="22"/>
          <w:szCs w:val="22"/>
          <w:lang w:val="sr-Latn-ME"/>
        </w:rPr>
        <w:t xml:space="preserve">zaštite </w:t>
      </w:r>
      <w:r w:rsidR="007431DE" w:rsidRPr="00AB15C7">
        <w:rPr>
          <w:noProof/>
          <w:sz w:val="22"/>
          <w:szCs w:val="22"/>
          <w:lang w:val="en-US"/>
        </w:rPr>
        <w:t>životne sredine</w:t>
      </w:r>
      <w:bookmarkEnd w:id="57"/>
    </w:p>
    <w:p w14:paraId="3DA490FD" w14:textId="77777777" w:rsidR="003F1AEC" w:rsidRPr="00AB15C7" w:rsidRDefault="003C69D5" w:rsidP="00360F0F">
      <w:pPr>
        <w:spacing w:before="120" w:after="0"/>
        <w:jc w:val="both"/>
        <w:rPr>
          <w:rFonts w:ascii="Cambria" w:hAnsi="Cambria"/>
          <w:noProof/>
          <w:lang w:eastAsia="x-none"/>
        </w:rPr>
      </w:pPr>
      <w:r w:rsidRPr="00AB15C7">
        <w:rPr>
          <w:rFonts w:ascii="Cambria" w:hAnsi="Cambria"/>
          <w:noProof/>
          <w:lang w:val="sr-Latn-ME" w:eastAsia="x-none"/>
        </w:rPr>
        <w:t xml:space="preserve">Oblast </w:t>
      </w:r>
      <w:r w:rsidR="00DE6B87" w:rsidRPr="00AB15C7">
        <w:rPr>
          <w:rFonts w:ascii="Cambria" w:hAnsi="Cambria"/>
          <w:noProof/>
          <w:lang w:val="sr-Latn-ME" w:eastAsia="x-none"/>
        </w:rPr>
        <w:t>z</w:t>
      </w:r>
      <w:r w:rsidRPr="00AB15C7">
        <w:rPr>
          <w:rFonts w:ascii="Cambria" w:hAnsi="Cambria"/>
          <w:noProof/>
          <w:lang w:val="sr-Latn-ME" w:eastAsia="x-none"/>
        </w:rPr>
        <w:t>aštite životne sredine ure</w:t>
      </w:r>
      <w:r w:rsidR="003F1AEC" w:rsidRPr="00AB15C7">
        <w:rPr>
          <w:rFonts w:ascii="Cambria" w:hAnsi="Cambria"/>
          <w:noProof/>
          <w:lang w:val="sr-Latn-ME" w:eastAsia="x-none"/>
        </w:rPr>
        <w:t>đ</w:t>
      </w:r>
      <w:r w:rsidRPr="00AB15C7">
        <w:rPr>
          <w:rFonts w:ascii="Cambria" w:hAnsi="Cambria"/>
          <w:noProof/>
          <w:lang w:val="sr-Latn-ME" w:eastAsia="x-none"/>
        </w:rPr>
        <w:t>ena je kompleksnim zakonodavstvom s obzirom na sve aspekte koje u ovoj oblasti treba obuhvatiti</w:t>
      </w:r>
      <w:r w:rsidR="00DE6B87" w:rsidRPr="00AB15C7">
        <w:rPr>
          <w:rFonts w:ascii="Cambria" w:hAnsi="Cambria"/>
          <w:noProof/>
          <w:lang w:val="sr-Latn-ME" w:eastAsia="x-none"/>
        </w:rPr>
        <w:t xml:space="preserve">. </w:t>
      </w:r>
      <w:r w:rsidR="00CF0414" w:rsidRPr="00AB15C7">
        <w:rPr>
          <w:rFonts w:ascii="Cambria" w:hAnsi="Cambria"/>
          <w:noProof/>
          <w:lang w:eastAsia="x-none"/>
        </w:rPr>
        <w:t>Zakon o životnoj sredini je krovni zakon u ovoj oblasti i njime se uređuju principi zaštite životne sredine i održivog razvoja, subjekti, instrumenti i mjere zaštite životne sredine, pristup informacijama, učešće javnosti, pristup pravosuđu u pitanjima životne sredine, finansiranje u životnoj sredini i druga pitanja od značaja za životnu sredinu. Pored</w:t>
      </w:r>
      <w:r w:rsidR="003F1AEC" w:rsidRPr="00AB15C7">
        <w:rPr>
          <w:rFonts w:ascii="Cambria" w:hAnsi="Cambria"/>
          <w:noProof/>
          <w:lang w:eastAsia="x-none"/>
        </w:rPr>
        <w:t xml:space="preserve"> Zakon</w:t>
      </w:r>
      <w:r w:rsidR="00CF0414" w:rsidRPr="00AB15C7">
        <w:rPr>
          <w:rFonts w:ascii="Cambria" w:hAnsi="Cambria"/>
          <w:noProof/>
          <w:lang w:eastAsia="x-none"/>
        </w:rPr>
        <w:t>a</w:t>
      </w:r>
      <w:r w:rsidR="003F1AEC" w:rsidRPr="00AB15C7">
        <w:rPr>
          <w:rFonts w:ascii="Cambria" w:hAnsi="Cambria"/>
          <w:noProof/>
          <w:lang w:eastAsia="x-none"/>
        </w:rPr>
        <w:t xml:space="preserve"> o životnoj sredin</w:t>
      </w:r>
      <w:r w:rsidR="00486AD7" w:rsidRPr="00AB15C7">
        <w:rPr>
          <w:rFonts w:ascii="Cambria" w:hAnsi="Cambria"/>
          <w:noProof/>
          <w:lang w:eastAsia="x-none"/>
        </w:rPr>
        <w:t>i</w:t>
      </w:r>
      <w:r w:rsidR="003F1AEC" w:rsidRPr="00AB15C7">
        <w:rPr>
          <w:rFonts w:ascii="Cambria" w:hAnsi="Cambria"/>
          <w:noProof/>
          <w:lang w:eastAsia="x-none"/>
        </w:rPr>
        <w:t xml:space="preserve"> </w:t>
      </w:r>
      <w:r w:rsidR="00CF0414" w:rsidRPr="00AB15C7">
        <w:rPr>
          <w:rFonts w:ascii="Cambria" w:hAnsi="Cambria"/>
          <w:noProof/>
          <w:lang w:eastAsia="x-none"/>
        </w:rPr>
        <w:t xml:space="preserve">kao krovnog propisa u ovoj oblasti </w:t>
      </w:r>
      <w:r w:rsidR="003F1AEC" w:rsidRPr="00AB15C7">
        <w:rPr>
          <w:rFonts w:ascii="Cambria" w:hAnsi="Cambria"/>
          <w:noProof/>
          <w:lang w:eastAsia="x-none"/>
        </w:rPr>
        <w:t>i posebnim zakonima se uređuju pojedini segmenti životne sredine, i to:</w:t>
      </w:r>
    </w:p>
    <w:p w14:paraId="6D5AFFAA" w14:textId="77777777" w:rsidR="003F1AEC" w:rsidRPr="00AB15C7" w:rsidRDefault="003F1AEC" w:rsidP="005921EF">
      <w:pPr>
        <w:spacing w:after="0"/>
        <w:rPr>
          <w:rFonts w:ascii="Cambria" w:hAnsi="Cambria"/>
          <w:noProof/>
          <w:lang w:eastAsia="x-none"/>
        </w:rPr>
      </w:pPr>
      <w:r w:rsidRPr="00AB15C7">
        <w:rPr>
          <w:rFonts w:ascii="Cambria" w:hAnsi="Cambria"/>
          <w:noProof/>
          <w:lang w:eastAsia="x-none"/>
        </w:rPr>
        <w:t>1) procjena uticaja planova, programa i projekata na životnu sredinu;</w:t>
      </w:r>
    </w:p>
    <w:p w14:paraId="570F2115" w14:textId="77777777" w:rsidR="003F1AEC" w:rsidRPr="00AB15C7" w:rsidRDefault="003F1AEC" w:rsidP="005921EF">
      <w:pPr>
        <w:spacing w:after="0"/>
        <w:rPr>
          <w:rFonts w:ascii="Cambria" w:hAnsi="Cambria"/>
          <w:noProof/>
          <w:lang w:eastAsia="x-none"/>
        </w:rPr>
      </w:pPr>
      <w:r w:rsidRPr="00AB15C7">
        <w:rPr>
          <w:rFonts w:ascii="Cambria" w:hAnsi="Cambria"/>
          <w:noProof/>
          <w:lang w:eastAsia="x-none"/>
        </w:rPr>
        <w:t>2) odgovornost za štetu u životnoj sredini;</w:t>
      </w:r>
    </w:p>
    <w:p w14:paraId="7A74F413" w14:textId="7F69C084" w:rsidR="003F1AEC" w:rsidRPr="00AB15C7" w:rsidRDefault="003F1AEC" w:rsidP="005921EF">
      <w:pPr>
        <w:spacing w:after="0"/>
        <w:rPr>
          <w:rFonts w:ascii="Cambria" w:hAnsi="Cambria"/>
          <w:noProof/>
          <w:lang w:eastAsia="x-none"/>
        </w:rPr>
      </w:pPr>
      <w:r w:rsidRPr="00E60B92">
        <w:rPr>
          <w:rFonts w:ascii="Cambria" w:hAnsi="Cambria"/>
          <w:noProof/>
          <w:lang w:eastAsia="x-none"/>
        </w:rPr>
        <w:t>3) integrisano sprječavanje i kontrola zagađivanja</w:t>
      </w:r>
      <w:r w:rsidR="00E60B92" w:rsidRPr="00360F0F">
        <w:rPr>
          <w:rFonts w:ascii="Cambria" w:hAnsi="Cambria"/>
          <w:noProof/>
          <w:lang w:eastAsia="x-none"/>
        </w:rPr>
        <w:t xml:space="preserve"> (i</w:t>
      </w:r>
      <w:r w:rsidR="00127CF9" w:rsidRPr="00E60B92">
        <w:rPr>
          <w:rFonts w:ascii="Cambria" w:hAnsi="Cambria"/>
          <w:noProof/>
          <w:lang w:eastAsia="x-none"/>
        </w:rPr>
        <w:t>ndustrijske emisije</w:t>
      </w:r>
      <w:r w:rsidR="00E60B92" w:rsidRPr="00360F0F">
        <w:rPr>
          <w:rFonts w:ascii="Cambria" w:hAnsi="Cambria"/>
          <w:noProof/>
          <w:lang w:eastAsia="x-none"/>
        </w:rPr>
        <w:t>)</w:t>
      </w:r>
      <w:r w:rsidRPr="00E60B92">
        <w:rPr>
          <w:rFonts w:ascii="Cambria" w:hAnsi="Cambria"/>
          <w:noProof/>
          <w:lang w:eastAsia="x-none"/>
        </w:rPr>
        <w:t>;</w:t>
      </w:r>
    </w:p>
    <w:p w14:paraId="73C467BF" w14:textId="77777777" w:rsidR="003F1AEC" w:rsidRPr="00AB15C7" w:rsidRDefault="003F1AEC" w:rsidP="005921EF">
      <w:pPr>
        <w:spacing w:after="0"/>
        <w:rPr>
          <w:rFonts w:ascii="Cambria" w:hAnsi="Cambria"/>
          <w:noProof/>
          <w:lang w:eastAsia="x-none"/>
        </w:rPr>
      </w:pPr>
      <w:r w:rsidRPr="00AB15C7">
        <w:rPr>
          <w:rFonts w:ascii="Cambria" w:hAnsi="Cambria"/>
          <w:noProof/>
          <w:lang w:eastAsia="x-none"/>
        </w:rPr>
        <w:t>4) zaštita prirode;</w:t>
      </w:r>
    </w:p>
    <w:p w14:paraId="50CD0B7D" w14:textId="77777777" w:rsidR="003F1AEC" w:rsidRPr="00AB15C7" w:rsidRDefault="003F1AEC" w:rsidP="005921EF">
      <w:pPr>
        <w:spacing w:after="0"/>
        <w:rPr>
          <w:rFonts w:ascii="Cambria" w:hAnsi="Cambria"/>
          <w:noProof/>
          <w:lang w:eastAsia="x-none"/>
        </w:rPr>
      </w:pPr>
      <w:r w:rsidRPr="00AB15C7">
        <w:rPr>
          <w:rFonts w:ascii="Cambria" w:hAnsi="Cambria"/>
          <w:noProof/>
          <w:lang w:eastAsia="x-none"/>
        </w:rPr>
        <w:t>5) zaštita vazduha, voda, mora, zemljišta, šuma i geoloških resursa;</w:t>
      </w:r>
    </w:p>
    <w:p w14:paraId="653E930C" w14:textId="77777777" w:rsidR="003F1AEC" w:rsidRPr="00AB15C7" w:rsidRDefault="003F1AEC" w:rsidP="005921EF">
      <w:pPr>
        <w:spacing w:after="0"/>
        <w:rPr>
          <w:rFonts w:ascii="Cambria" w:hAnsi="Cambria"/>
          <w:noProof/>
          <w:lang w:eastAsia="x-none"/>
        </w:rPr>
      </w:pPr>
      <w:r w:rsidRPr="00AB15C7">
        <w:rPr>
          <w:rFonts w:ascii="Cambria" w:hAnsi="Cambria"/>
          <w:noProof/>
          <w:lang w:eastAsia="x-none"/>
        </w:rPr>
        <w:t>6) hemikalije;</w:t>
      </w:r>
    </w:p>
    <w:p w14:paraId="2C9C2EFE" w14:textId="77777777" w:rsidR="003F1AEC" w:rsidRPr="00AB15C7" w:rsidRDefault="003F1AEC" w:rsidP="005921EF">
      <w:pPr>
        <w:spacing w:after="0"/>
        <w:rPr>
          <w:rFonts w:ascii="Cambria" w:hAnsi="Cambria"/>
          <w:noProof/>
          <w:lang w:eastAsia="x-none"/>
        </w:rPr>
      </w:pPr>
      <w:r w:rsidRPr="00AB15C7">
        <w:rPr>
          <w:rFonts w:ascii="Cambria" w:hAnsi="Cambria"/>
          <w:noProof/>
          <w:lang w:eastAsia="x-none"/>
        </w:rPr>
        <w:t>7) upravljanje otpadom;</w:t>
      </w:r>
    </w:p>
    <w:p w14:paraId="7EC394DF" w14:textId="77777777" w:rsidR="003F1AEC" w:rsidRPr="00AB15C7" w:rsidRDefault="003F1AEC" w:rsidP="005921EF">
      <w:pPr>
        <w:spacing w:after="0"/>
        <w:rPr>
          <w:rFonts w:ascii="Cambria" w:hAnsi="Cambria"/>
          <w:noProof/>
          <w:lang w:eastAsia="x-none"/>
        </w:rPr>
      </w:pPr>
      <w:r w:rsidRPr="00AB15C7">
        <w:rPr>
          <w:rFonts w:ascii="Cambria" w:hAnsi="Cambria"/>
          <w:noProof/>
          <w:lang w:eastAsia="x-none"/>
        </w:rPr>
        <w:t>8) zaštita od negativnog uticaja klimatskih promjena;</w:t>
      </w:r>
    </w:p>
    <w:p w14:paraId="30331D9B" w14:textId="77777777" w:rsidR="003F1AEC" w:rsidRPr="00AB15C7" w:rsidRDefault="003F1AEC" w:rsidP="005921EF">
      <w:pPr>
        <w:spacing w:after="0"/>
        <w:rPr>
          <w:rFonts w:ascii="Cambria" w:hAnsi="Cambria"/>
          <w:noProof/>
          <w:lang w:eastAsia="x-none"/>
        </w:rPr>
      </w:pPr>
      <w:r w:rsidRPr="00AB15C7">
        <w:rPr>
          <w:rFonts w:ascii="Cambria" w:hAnsi="Cambria"/>
          <w:noProof/>
          <w:lang w:eastAsia="x-none"/>
        </w:rPr>
        <w:t>9) jonizujuća i nejonizujuća zračenja;</w:t>
      </w:r>
    </w:p>
    <w:p w14:paraId="3403A10C" w14:textId="77777777" w:rsidR="003F1AEC" w:rsidRPr="00AB15C7" w:rsidRDefault="003F1AEC" w:rsidP="005921EF">
      <w:pPr>
        <w:rPr>
          <w:rFonts w:ascii="Cambria" w:hAnsi="Cambria"/>
          <w:noProof/>
          <w:lang w:eastAsia="x-none"/>
        </w:rPr>
      </w:pPr>
      <w:r w:rsidRPr="00AB15C7">
        <w:rPr>
          <w:rFonts w:ascii="Cambria" w:hAnsi="Cambria"/>
          <w:noProof/>
          <w:lang w:eastAsia="x-none"/>
        </w:rPr>
        <w:t>10) zaštita od buke.</w:t>
      </w:r>
    </w:p>
    <w:p w14:paraId="061D8C4E" w14:textId="77777777" w:rsidR="00C63A60" w:rsidRPr="005F1B1A" w:rsidRDefault="00C63A60" w:rsidP="00C63A60">
      <w:pPr>
        <w:spacing w:after="120"/>
        <w:jc w:val="both"/>
        <w:rPr>
          <w:rFonts w:ascii="Cambria" w:hAnsi="Cambria" w:cs="Arial"/>
          <w:i/>
          <w:noProof/>
          <w:u w:val="single"/>
          <w:lang w:val="sr-Latn-ME"/>
        </w:rPr>
      </w:pPr>
      <w:r w:rsidRPr="005F1B1A">
        <w:rPr>
          <w:rFonts w:ascii="Cambria" w:hAnsi="Cambria" w:cs="Arial"/>
          <w:i/>
          <w:noProof/>
          <w:u w:val="single"/>
          <w:lang w:val="sr-Latn-ME"/>
        </w:rPr>
        <w:t>Nadležnosti državnih institucija:</w:t>
      </w:r>
    </w:p>
    <w:p w14:paraId="369C4E0D" w14:textId="77777777" w:rsidR="00C63A60" w:rsidRPr="00AB15C7" w:rsidRDefault="00C63A60" w:rsidP="00C63A60">
      <w:pPr>
        <w:jc w:val="both"/>
        <w:rPr>
          <w:rFonts w:ascii="Cambria" w:hAnsi="Cambria"/>
          <w:noProof/>
          <w:lang w:val="sr-Latn-ME" w:eastAsia="x-none"/>
        </w:rPr>
      </w:pPr>
      <w:r w:rsidRPr="00AB15C7">
        <w:rPr>
          <w:rFonts w:ascii="Cambria" w:hAnsi="Cambria"/>
          <w:noProof/>
          <w:lang w:val="sr-Latn-ME" w:eastAsia="x-none"/>
        </w:rPr>
        <w:t xml:space="preserve">Nadležnost za uredjivanje oblasti životne sredine ima </w:t>
      </w:r>
      <w:r w:rsidRPr="00AB15C7">
        <w:rPr>
          <w:rFonts w:ascii="Cambria" w:hAnsi="Cambria"/>
          <w:noProof/>
          <w:lang w:eastAsia="x-none"/>
        </w:rPr>
        <w:t xml:space="preserve">Ministarstvo održivog razvoja i turizma (MORT) u okviru koga je za ova pitanja zadužen Direktorat za životnu sredinu.  </w:t>
      </w:r>
      <w:r w:rsidRPr="00AB15C7">
        <w:rPr>
          <w:rFonts w:ascii="Cambria" w:hAnsi="Cambria"/>
          <w:noProof/>
          <w:lang w:val="sr-Latn-ME" w:eastAsia="x-none"/>
        </w:rPr>
        <w:t xml:space="preserve">Stručne i sa njima povezane </w:t>
      </w:r>
      <w:r w:rsidRPr="00AB15C7">
        <w:rPr>
          <w:rFonts w:ascii="Cambria" w:hAnsi="Cambria"/>
          <w:noProof/>
          <w:lang w:val="sr-Latn-ME" w:eastAsia="x-none"/>
        </w:rPr>
        <w:lastRenderedPageBreak/>
        <w:t xml:space="preserve">upravne poslove iz oblasti zaštite životne sredine vrši organ uprave nadležan za poslove zaštite životne sredine (Agencija za zaštitu prirode i životne sredine). U obavljanju ovih poslova Agencija: izdaje dozvole, vrši monitoring, izrađuje analize i izvještaje, vrši inspekcijske poslove i ostvaruje komunikaciju sa relevantnim domaćim i međunarodnim organima i organizacijama, kao i sa javnošću, vrši i druge poslove utvrđene ovim zakonom i posebnim propisima. Agencija sarađuje sa međunarodnim organima i organizacijama drugih država koje se bave zaštitom životne sredine, a posebno sa Evropskom agencijom za životnu sredinu, Međunarodnom agencijom za atomsku energiju, učestvuje u radu profesionalnih mreža u okviru Evropske unije, kao i sa sličnim agencijama u drugim državama. </w:t>
      </w:r>
    </w:p>
    <w:p w14:paraId="0088D8CE" w14:textId="7A355B63" w:rsidR="00C63A60" w:rsidRDefault="00C63A60" w:rsidP="00C63A60">
      <w:pPr>
        <w:jc w:val="both"/>
        <w:rPr>
          <w:rFonts w:ascii="Cambria" w:hAnsi="Cambria"/>
          <w:noProof/>
          <w:lang w:val="sr-Latn-ME" w:eastAsia="x-none"/>
        </w:rPr>
      </w:pPr>
      <w:r w:rsidRPr="00AB15C7">
        <w:rPr>
          <w:rFonts w:ascii="Cambria" w:hAnsi="Cambria"/>
          <w:noProof/>
          <w:lang w:val="sr-Latn-ME" w:eastAsia="x-none"/>
        </w:rPr>
        <w:t xml:space="preserve">Inspekcijski nadzor nad sprovođenjem </w:t>
      </w:r>
      <w:r>
        <w:rPr>
          <w:rFonts w:ascii="Cambria" w:hAnsi="Cambria"/>
          <w:noProof/>
          <w:lang w:val="sr-Latn-ME" w:eastAsia="x-none"/>
        </w:rPr>
        <w:t xml:space="preserve">propisa u oblasti zaštite životne sredine vrši </w:t>
      </w:r>
      <w:r w:rsidRPr="00AB15C7">
        <w:rPr>
          <w:rFonts w:ascii="Cambria" w:hAnsi="Cambria"/>
          <w:noProof/>
          <w:lang w:val="sr-Latn-ME" w:eastAsia="x-none"/>
        </w:rPr>
        <w:t>Uprava za inspekcijske poslove preko nadležnih inspekcija</w:t>
      </w:r>
      <w:r>
        <w:rPr>
          <w:rFonts w:ascii="Cambria" w:hAnsi="Cambria"/>
          <w:noProof/>
          <w:lang w:val="sr-Latn-ME" w:eastAsia="x-none"/>
        </w:rPr>
        <w:t xml:space="preserve">. </w:t>
      </w:r>
    </w:p>
    <w:p w14:paraId="66F90A6A" w14:textId="762B0A5A" w:rsidR="00C63A60" w:rsidRPr="009207F6" w:rsidRDefault="00486AD7" w:rsidP="00C63A60">
      <w:pPr>
        <w:jc w:val="both"/>
        <w:rPr>
          <w:rFonts w:ascii="Cambria" w:hAnsi="Cambria"/>
          <w:bCs/>
          <w:noProof/>
          <w:lang w:val="sr-Latn-ME" w:eastAsia="x-none"/>
        </w:rPr>
      </w:pPr>
      <w:r w:rsidRPr="00AB15C7">
        <w:rPr>
          <w:rFonts w:ascii="Cambria" w:hAnsi="Cambria"/>
          <w:noProof/>
          <w:lang w:val="sr-Latn-ME" w:eastAsia="x-none"/>
        </w:rPr>
        <w:t xml:space="preserve">Osim propisa koji se direktno odnose na upravljanje hemikalijama, zbog </w:t>
      </w:r>
      <w:r w:rsidR="00DE6B87" w:rsidRPr="00AB15C7">
        <w:rPr>
          <w:rFonts w:ascii="Cambria" w:hAnsi="Cambria"/>
          <w:noProof/>
          <w:lang w:val="sr-Latn-ME" w:eastAsia="x-none"/>
        </w:rPr>
        <w:t>mogućeg uticaja hemikalija na životnu sredinu</w:t>
      </w:r>
      <w:r w:rsidR="003C69D5" w:rsidRPr="00AB15C7">
        <w:rPr>
          <w:rFonts w:ascii="Cambria" w:hAnsi="Cambria"/>
          <w:noProof/>
          <w:lang w:val="sr-Latn-ME" w:eastAsia="x-none"/>
        </w:rPr>
        <w:t xml:space="preserve"> </w:t>
      </w:r>
      <w:r w:rsidR="00DE6B87" w:rsidRPr="00AB15C7">
        <w:rPr>
          <w:rFonts w:ascii="Cambria" w:hAnsi="Cambria"/>
          <w:noProof/>
          <w:lang w:val="sr-Latn-ME" w:eastAsia="x-none"/>
        </w:rPr>
        <w:t>neophodno je pažnju obratiti</w:t>
      </w:r>
      <w:r w:rsidRPr="00AB15C7">
        <w:rPr>
          <w:rFonts w:ascii="Cambria" w:hAnsi="Cambria"/>
          <w:noProof/>
          <w:lang w:val="sr-Latn-ME" w:eastAsia="x-none"/>
        </w:rPr>
        <w:t xml:space="preserve"> i</w:t>
      </w:r>
      <w:r w:rsidR="00DE6B87" w:rsidRPr="00AB15C7">
        <w:rPr>
          <w:rFonts w:ascii="Cambria" w:hAnsi="Cambria"/>
          <w:noProof/>
          <w:lang w:val="sr-Latn-ME" w:eastAsia="x-none"/>
        </w:rPr>
        <w:t xml:space="preserve"> na </w:t>
      </w:r>
      <w:r w:rsidRPr="00AB15C7">
        <w:rPr>
          <w:rFonts w:ascii="Cambria" w:hAnsi="Cambria"/>
          <w:noProof/>
          <w:lang w:val="sr-Latn-ME" w:eastAsia="x-none"/>
        </w:rPr>
        <w:t>druge propise iz oblasti zaštite životne sredine</w:t>
      </w:r>
      <w:r w:rsidR="00127CF9">
        <w:rPr>
          <w:rFonts w:ascii="Cambria" w:hAnsi="Cambria"/>
          <w:noProof/>
          <w:lang w:val="sr-Latn-ME" w:eastAsia="x-none"/>
        </w:rPr>
        <w:t>,</w:t>
      </w:r>
      <w:r w:rsidRPr="00AB15C7">
        <w:rPr>
          <w:rFonts w:ascii="Cambria" w:hAnsi="Cambria"/>
          <w:noProof/>
          <w:lang w:val="sr-Latn-ME" w:eastAsia="x-none"/>
        </w:rPr>
        <w:t xml:space="preserve"> a koji se odnose na </w:t>
      </w:r>
      <w:r w:rsidR="00DE6B87" w:rsidRPr="00AB15C7">
        <w:rPr>
          <w:rFonts w:ascii="Cambria" w:hAnsi="Cambria"/>
          <w:noProof/>
          <w:lang w:val="sr-Latn-ME" w:eastAsia="x-none"/>
        </w:rPr>
        <w:t>sprečavanje</w:t>
      </w:r>
      <w:r w:rsidR="003C69D5" w:rsidRPr="00AB15C7">
        <w:rPr>
          <w:rFonts w:ascii="Cambria" w:hAnsi="Cambria"/>
          <w:noProof/>
          <w:lang w:val="sr-Latn-ME" w:eastAsia="x-none"/>
        </w:rPr>
        <w:t xml:space="preserve"> zagađivanja </w:t>
      </w:r>
      <w:r w:rsidR="00DE6B87" w:rsidRPr="00AB15C7">
        <w:rPr>
          <w:rFonts w:ascii="Cambria" w:hAnsi="Cambria"/>
          <w:noProof/>
          <w:lang w:val="sr-Latn-ME" w:eastAsia="x-none"/>
        </w:rPr>
        <w:t>prilikom proizvodnje, distribucije, skladištenja, korišćenja i odlaganja</w:t>
      </w:r>
      <w:r w:rsidRPr="00AB15C7">
        <w:rPr>
          <w:rFonts w:ascii="Cambria" w:hAnsi="Cambria"/>
          <w:noProof/>
          <w:lang w:val="sr-Latn-ME" w:eastAsia="x-none"/>
        </w:rPr>
        <w:t xml:space="preserve"> hemikalij</w:t>
      </w:r>
      <w:r w:rsidR="00C63A60">
        <w:rPr>
          <w:rFonts w:ascii="Cambria" w:hAnsi="Cambria"/>
          <w:noProof/>
          <w:lang w:val="sr-Latn-ME" w:eastAsia="x-none"/>
        </w:rPr>
        <w:t>a</w:t>
      </w:r>
      <w:r w:rsidR="009207F6">
        <w:rPr>
          <w:rFonts w:ascii="Cambria" w:hAnsi="Cambria"/>
          <w:noProof/>
          <w:lang w:val="sr-Latn-ME" w:eastAsia="x-none"/>
        </w:rPr>
        <w:t xml:space="preserve">. </w:t>
      </w:r>
      <w:r w:rsidR="00C63A60">
        <w:rPr>
          <w:rFonts w:ascii="Cambria" w:hAnsi="Cambria"/>
          <w:noProof/>
          <w:lang w:val="sr-Latn-ME" w:eastAsia="x-none"/>
        </w:rPr>
        <w:t xml:space="preserve"> </w:t>
      </w:r>
      <w:r w:rsidR="009207F6">
        <w:rPr>
          <w:rFonts w:ascii="Cambria" w:hAnsi="Cambria"/>
          <w:noProof/>
          <w:lang w:val="sr-Latn-ME" w:eastAsia="x-none"/>
        </w:rPr>
        <w:t>Z</w:t>
      </w:r>
      <w:r w:rsidR="009207F6" w:rsidRPr="00AB15C7">
        <w:rPr>
          <w:rFonts w:ascii="Cambria" w:hAnsi="Cambria"/>
          <w:noProof/>
          <w:lang w:val="sr-Latn-ME" w:eastAsia="x-none"/>
        </w:rPr>
        <w:t>a potrebe ove strategije</w:t>
      </w:r>
      <w:r w:rsidR="009207F6">
        <w:rPr>
          <w:rFonts w:ascii="Cambria" w:hAnsi="Cambria"/>
          <w:noProof/>
          <w:lang w:val="sr-Latn-ME" w:eastAsia="x-none"/>
        </w:rPr>
        <w:t>, t</w:t>
      </w:r>
      <w:r w:rsidR="009207F6" w:rsidRPr="00AB15C7">
        <w:rPr>
          <w:rFonts w:ascii="Cambria" w:hAnsi="Cambria"/>
          <w:noProof/>
          <w:lang w:val="sr-Latn-ME" w:eastAsia="x-none"/>
        </w:rPr>
        <w:t xml:space="preserve">abelarni pregled relevantnih zakona i podzakonskih propisa  </w:t>
      </w:r>
      <w:r w:rsidR="0034207A">
        <w:rPr>
          <w:rFonts w:ascii="Cambria" w:hAnsi="Cambria"/>
          <w:noProof/>
          <w:lang w:val="sr-Latn-ME" w:eastAsia="x-none"/>
        </w:rPr>
        <w:t xml:space="preserve">u oblasti zaštite životne sredine </w:t>
      </w:r>
      <w:r w:rsidR="009207F6" w:rsidRPr="00AB15C7">
        <w:rPr>
          <w:rFonts w:ascii="Cambria" w:hAnsi="Cambria"/>
          <w:noProof/>
          <w:lang w:val="sr-Latn-ME" w:eastAsia="x-none"/>
        </w:rPr>
        <w:t>dat je i A5-A1</w:t>
      </w:r>
      <w:r w:rsidR="006400F3">
        <w:rPr>
          <w:rFonts w:ascii="Cambria" w:hAnsi="Cambria"/>
          <w:noProof/>
          <w:lang w:val="sr-Latn-ME" w:eastAsia="x-none"/>
        </w:rPr>
        <w:t>0</w:t>
      </w:r>
      <w:r w:rsidR="009207F6" w:rsidRPr="00AB15C7">
        <w:rPr>
          <w:rFonts w:ascii="Cambria" w:hAnsi="Cambria"/>
          <w:noProof/>
          <w:lang w:val="sr-Latn-ME" w:eastAsia="x-none"/>
        </w:rPr>
        <w:t xml:space="preserve">. </w:t>
      </w:r>
      <w:r w:rsidR="009207F6">
        <w:rPr>
          <w:rFonts w:ascii="Cambria" w:hAnsi="Cambria"/>
          <w:noProof/>
          <w:lang w:val="sr-Latn-ME" w:eastAsia="x-none"/>
        </w:rPr>
        <w:t>u Prilogu</w:t>
      </w:r>
      <w:r w:rsidR="009207F6" w:rsidRPr="00AB15C7">
        <w:rPr>
          <w:rFonts w:ascii="Cambria" w:hAnsi="Cambria"/>
          <w:noProof/>
          <w:lang w:val="sr-Latn-ME" w:eastAsia="x-none"/>
        </w:rPr>
        <w:t xml:space="preserve">, a u nastavku je dat </w:t>
      </w:r>
      <w:r w:rsidR="009207F6" w:rsidRPr="00053499">
        <w:rPr>
          <w:rFonts w:ascii="Cambria" w:hAnsi="Cambria"/>
          <w:noProof/>
          <w:lang w:val="sr-Latn-ME" w:eastAsia="x-none"/>
        </w:rPr>
        <w:t xml:space="preserve">kratak opis </w:t>
      </w:r>
      <w:r w:rsidR="009207F6">
        <w:rPr>
          <w:rFonts w:ascii="Cambria" w:hAnsi="Cambria"/>
          <w:noProof/>
          <w:lang w:val="sr-Latn-ME" w:eastAsia="x-none"/>
        </w:rPr>
        <w:t>ključnih odre</w:t>
      </w:r>
      <w:r w:rsidR="0034207A">
        <w:rPr>
          <w:rFonts w:ascii="Cambria" w:hAnsi="Cambria"/>
          <w:noProof/>
          <w:lang w:val="sr-Latn-ME" w:eastAsia="x-none"/>
        </w:rPr>
        <w:t xml:space="preserve">dbi </w:t>
      </w:r>
      <w:r w:rsidR="009207F6" w:rsidRPr="00053499">
        <w:rPr>
          <w:rFonts w:ascii="Cambria" w:hAnsi="Cambria"/>
          <w:noProof/>
          <w:lang w:val="sr-Latn-ME" w:eastAsia="x-none"/>
        </w:rPr>
        <w:t>relevantnih zakonskih propisa</w:t>
      </w:r>
      <w:r w:rsidR="0034207A">
        <w:rPr>
          <w:rFonts w:ascii="Cambria" w:hAnsi="Cambria"/>
          <w:noProof/>
          <w:lang w:val="sr-Latn-ME" w:eastAsia="x-none"/>
        </w:rPr>
        <w:t xml:space="preserve"> koje su u vezi sa hemikalijama: </w:t>
      </w:r>
    </w:p>
    <w:p w14:paraId="255B5EE9" w14:textId="6C3903B2" w:rsidR="009C673D" w:rsidRPr="00AB15C7" w:rsidRDefault="00C63A60" w:rsidP="00557C13">
      <w:pPr>
        <w:numPr>
          <w:ilvl w:val="2"/>
          <w:numId w:val="28"/>
        </w:numPr>
        <w:autoSpaceDE w:val="0"/>
        <w:autoSpaceDN w:val="0"/>
        <w:adjustRightInd w:val="0"/>
        <w:spacing w:before="120" w:after="0"/>
        <w:ind w:left="0"/>
        <w:jc w:val="both"/>
        <w:rPr>
          <w:rFonts w:ascii="Cambria" w:hAnsi="Cambria"/>
          <w:b/>
          <w:i/>
          <w:noProof/>
          <w:lang w:val="sr-Latn-ME"/>
        </w:rPr>
      </w:pPr>
      <w:r w:rsidRPr="00360F0F">
        <w:rPr>
          <w:rFonts w:ascii="Cambria" w:hAnsi="Cambria"/>
          <w:b/>
          <w:i/>
          <w:noProof/>
          <w:lang w:val="sr-Latn-ME"/>
        </w:rPr>
        <w:t>Zakon o životnoj sredini</w:t>
      </w:r>
      <w:r w:rsidR="009207F6" w:rsidRPr="00360F0F">
        <w:rPr>
          <w:rFonts w:ascii="Cambria" w:hAnsi="Cambria"/>
          <w:b/>
          <w:i/>
          <w:noProof/>
          <w:lang w:val="sr-Latn-ME"/>
        </w:rPr>
        <w:t xml:space="preserve"> </w:t>
      </w:r>
      <w:r w:rsidR="009207F6" w:rsidRPr="00360F0F">
        <w:rPr>
          <w:rFonts w:ascii="Cambria" w:hAnsi="Cambria"/>
          <w:noProof/>
          <w:lang w:val="sr-Latn-ME" w:eastAsia="x-none"/>
        </w:rPr>
        <w:t xml:space="preserve">("Sl. list CG", br. 52/16)- krovni zakon kojim se </w:t>
      </w:r>
      <w:r w:rsidR="009207F6" w:rsidRPr="00360F0F">
        <w:rPr>
          <w:rFonts w:ascii="Cambria" w:hAnsi="Cambria"/>
          <w:noProof/>
          <w:lang w:eastAsia="x-none"/>
        </w:rPr>
        <w:t xml:space="preserve">uređuju se principi zaštite životne sredine i održivog razvoja, instrumenti i mjere zaštite životne sredine i druga pitanja od značaja. </w:t>
      </w:r>
      <w:r w:rsidR="009207F6" w:rsidRPr="00360F0F">
        <w:rPr>
          <w:rFonts w:ascii="Cambria" w:hAnsi="Cambria"/>
          <w:bCs/>
          <w:noProof/>
          <w:lang w:val="sr-Latn-ME" w:eastAsia="x-none"/>
        </w:rPr>
        <w:t>Između ostalog, ovaj zakon</w:t>
      </w:r>
      <w:r w:rsidR="009207F6" w:rsidRPr="00360F0F">
        <w:rPr>
          <w:rFonts w:ascii="Cambria" w:hAnsi="Cambria"/>
          <w:noProof/>
          <w:lang w:val="sr-Latn-ME" w:eastAsia="x-none"/>
        </w:rPr>
        <w:t xml:space="preserve"> propisuje i </w:t>
      </w:r>
      <w:r w:rsidR="009207F6" w:rsidRPr="00360F0F">
        <w:rPr>
          <w:rFonts w:ascii="Cambria" w:hAnsi="Cambria"/>
          <w:noProof/>
          <w:lang w:eastAsia="x-none"/>
        </w:rPr>
        <w:t>posebne mjere zaštite životne sredine koje se sprovode radi sprečavanja, smanjivanja ili ublažavanja negativnih uticaja dugotrajnih organskih zagađujućih supstanci, azbesta, žive i emisija ugljendioksida na životnu sredinu, monitoring kojim se obezbjeđuje kontinuirana kontrola i praćenje stanja životne sredine, kao i izvještavanje o stanju životne sredine. Izvještaj o stanju životne sredine izrađuje se na osnovu Nacionalne liste indikatora zaštite životne sredine za period od četiri godine. Takođe, Informacije o životnoj sredine objavljuju se na internet strani AZPŽS, kao i putem drugih  elektronskih baza podataka ili medija.</w:t>
      </w:r>
      <w:r w:rsidR="009207F6" w:rsidRPr="00360F0F">
        <w:rPr>
          <w:rFonts w:ascii="Cambria" w:hAnsi="Cambria"/>
          <w:bCs/>
          <w:noProof/>
          <w:lang w:val="sr-Latn-ME" w:eastAsia="x-none"/>
        </w:rPr>
        <w:t xml:space="preserve"> Informacioni sistem životne sredine uspostavlja </w:t>
      </w:r>
      <w:r w:rsidR="009207F6" w:rsidRPr="00360F0F">
        <w:rPr>
          <w:rFonts w:ascii="Cambria" w:hAnsi="Cambria"/>
          <w:noProof/>
        </w:rPr>
        <w:t>i vodi AZPŽS</w:t>
      </w:r>
      <w:r w:rsidR="009207F6" w:rsidRPr="00360F0F">
        <w:rPr>
          <w:rFonts w:ascii="Cambria" w:hAnsi="Cambria"/>
          <w:bCs/>
          <w:noProof/>
          <w:lang w:val="sr-Latn-ME" w:eastAsia="x-none"/>
        </w:rPr>
        <w:t>.</w:t>
      </w:r>
      <w:r w:rsidR="009207F6" w:rsidRPr="00360F0F">
        <w:rPr>
          <w:rFonts w:ascii="Cambria" w:hAnsi="Cambria"/>
          <w:noProof/>
          <w:lang w:eastAsia="x-none"/>
        </w:rPr>
        <w:t xml:space="preserve"> Poseban dio informacionog Sistema je Katastar zagađivača životne sredine koji predstavlja registar svih vrsta zagađivača životne sredine sa podacima o njihovoj lokaciji, proizvodnim procesima, zagađujućim materijama koje se koriste kao sirovina ili nastaju kao poluproizvod, proizvod ili nusproizvod, dinamici ispuštanja zagađujućih materija, mjestima ispusta, načinu i postupku njihovog uklanjanja. Zagađivači su dužni da AZPŽS dostavljaju podatke u svrhe vođenja Katastra zagađivača.</w:t>
      </w:r>
      <w:r w:rsidR="009C673D">
        <w:rPr>
          <w:rFonts w:ascii="Cambria" w:hAnsi="Cambria"/>
          <w:noProof/>
          <w:lang w:eastAsia="x-none"/>
        </w:rPr>
        <w:t xml:space="preserve"> </w:t>
      </w:r>
    </w:p>
    <w:p w14:paraId="25891BC3" w14:textId="14B0A620" w:rsidR="00F324B6" w:rsidRPr="00360F0F" w:rsidRDefault="009D037B" w:rsidP="00557C13">
      <w:pPr>
        <w:numPr>
          <w:ilvl w:val="2"/>
          <w:numId w:val="28"/>
        </w:numPr>
        <w:autoSpaceDE w:val="0"/>
        <w:autoSpaceDN w:val="0"/>
        <w:adjustRightInd w:val="0"/>
        <w:spacing w:before="120" w:after="0"/>
        <w:ind w:left="0"/>
        <w:jc w:val="both"/>
        <w:rPr>
          <w:rFonts w:ascii="Cambria" w:hAnsi="Cambria"/>
          <w:noProof/>
          <w:lang w:eastAsia="x-none"/>
        </w:rPr>
      </w:pPr>
      <w:r w:rsidRPr="00360F0F">
        <w:rPr>
          <w:rFonts w:ascii="Cambria" w:hAnsi="Cambria"/>
          <w:b/>
          <w:i/>
          <w:noProof/>
          <w:lang w:eastAsia="x-none"/>
        </w:rPr>
        <w:t>Zakon o integrisanom sprječavanju i kontroli zagađivanja životne sredine</w:t>
      </w:r>
      <w:r w:rsidR="0034207A" w:rsidRPr="00360F0F">
        <w:rPr>
          <w:rFonts w:ascii="Cambria" w:hAnsi="Cambria"/>
          <w:noProof/>
          <w:lang w:eastAsia="x-none"/>
        </w:rPr>
        <w:t xml:space="preserve">  </w:t>
      </w:r>
      <w:r w:rsidR="0071686B" w:rsidRPr="00360F0F">
        <w:rPr>
          <w:rFonts w:ascii="Cambria" w:hAnsi="Cambria"/>
          <w:noProof/>
          <w:lang w:eastAsia="x-none"/>
        </w:rPr>
        <w:t>(„Sl. list RCG", br. 80/05 i „Sl. list CG", br. 54/09, 42/15</w:t>
      </w:r>
      <w:r w:rsidR="00B90B40" w:rsidRPr="00360F0F">
        <w:rPr>
          <w:rFonts w:ascii="Cambria" w:hAnsi="Cambria"/>
          <w:noProof/>
          <w:lang w:eastAsia="x-none"/>
        </w:rPr>
        <w:t>,</w:t>
      </w:r>
      <w:r w:rsidR="0071686B" w:rsidRPr="00360F0F">
        <w:rPr>
          <w:rFonts w:ascii="Cambria" w:hAnsi="Cambria"/>
          <w:noProof/>
          <w:lang w:eastAsia="x-none"/>
        </w:rPr>
        <w:t>54/16</w:t>
      </w:r>
      <w:r w:rsidR="00B90B40" w:rsidRPr="00360F0F">
        <w:rPr>
          <w:rFonts w:ascii="Cambria" w:hAnsi="Cambria"/>
          <w:noProof/>
          <w:lang w:eastAsia="x-none"/>
        </w:rPr>
        <w:t xml:space="preserve"> i 55/18</w:t>
      </w:r>
      <w:r w:rsidR="0071686B" w:rsidRPr="00360F0F">
        <w:rPr>
          <w:rFonts w:ascii="Cambria" w:hAnsi="Cambria"/>
          <w:noProof/>
          <w:lang w:eastAsia="x-none"/>
        </w:rPr>
        <w:t xml:space="preserve">) </w:t>
      </w:r>
      <w:r w:rsidR="0034207A" w:rsidRPr="00360F0F">
        <w:rPr>
          <w:rFonts w:ascii="Cambria" w:hAnsi="Cambria"/>
          <w:noProof/>
          <w:lang w:eastAsia="x-none"/>
        </w:rPr>
        <w:t>propisuje</w:t>
      </w:r>
      <w:r w:rsidR="0071686B" w:rsidRPr="00360F0F">
        <w:rPr>
          <w:rFonts w:ascii="Cambria" w:hAnsi="Cambria"/>
          <w:noProof/>
          <w:lang w:eastAsia="x-none"/>
        </w:rPr>
        <w:t xml:space="preserve"> uslov</w:t>
      </w:r>
      <w:r w:rsidR="0034207A" w:rsidRPr="00360F0F">
        <w:rPr>
          <w:rFonts w:ascii="Cambria" w:hAnsi="Cambria"/>
          <w:noProof/>
          <w:lang w:eastAsia="x-none"/>
        </w:rPr>
        <w:t>e</w:t>
      </w:r>
      <w:r w:rsidR="0071686B" w:rsidRPr="00360F0F">
        <w:rPr>
          <w:rFonts w:ascii="Cambria" w:hAnsi="Cambria"/>
          <w:noProof/>
          <w:lang w:eastAsia="x-none"/>
        </w:rPr>
        <w:t xml:space="preserve"> i postupak izdavanja integrisane dozvole za postrojenja i aktivnosti koje mogu imati negativne uticaje na zdravlje ljudi, životnu sredinu ili materijalna dobra, vrste aktivnosti i postrojenja, nadzor i druga pitanja od značaja za sprječavanje i kontrolu zagađivanja životne sredine.</w:t>
      </w:r>
      <w:r w:rsidR="00DA6A86" w:rsidRPr="00360F0F">
        <w:rPr>
          <w:rFonts w:ascii="Cambria" w:hAnsi="Cambria"/>
          <w:noProof/>
          <w:lang w:eastAsia="x-none"/>
        </w:rPr>
        <w:t xml:space="preserve"> </w:t>
      </w:r>
      <w:r w:rsidR="006B4807" w:rsidRPr="00360F0F">
        <w:rPr>
          <w:rFonts w:ascii="Cambria" w:hAnsi="Cambria"/>
          <w:noProof/>
          <w:lang w:eastAsia="x-none"/>
        </w:rPr>
        <w:t xml:space="preserve">Vrste postrojenja i aktivnosti (oblasti) za koja se izdaju integrisane dozvole (IPPC) su:  proizvodnja energije; proizvodnja i prerada metala; industrija minerala; hemijska industrija; upravljanje otpadom i ostale aktivnosti. Da bi dobili IPPC dozvolu operateri moraju da ispune propisane uslove kao što su: da preduzmu sve potrebne mjere za sprečavanje zagađenja, a naročito da primijene najbolje dostupne tehnike (koje proizvode najmanje otpada, kojima se koriste najmanje opasne supstance, koje omogućavaju reciklažu i ponovnu upotrebu supstanci koje se proizvode, itd); da spriječe sva veća zagađenja; da spriječe nastanak otpada, obezbijede recikliranje ili odlaganje otpada na način kojim se najmanje zagađuje životna sredina; da efikasno koriste energiju; da obezbijede sprečavanje nastanka </w:t>
      </w:r>
      <w:r w:rsidR="00D025A9">
        <w:rPr>
          <w:rFonts w:ascii="Cambria" w:hAnsi="Cambria"/>
          <w:noProof/>
          <w:lang w:eastAsia="x-none"/>
        </w:rPr>
        <w:t>udesa</w:t>
      </w:r>
      <w:r w:rsidR="006B4807" w:rsidRPr="00360F0F">
        <w:rPr>
          <w:rFonts w:ascii="Cambria" w:hAnsi="Cambria"/>
          <w:noProof/>
          <w:lang w:eastAsia="x-none"/>
        </w:rPr>
        <w:t xml:space="preserve"> i šteta i da se lokacije vrate u prvobitno stanje nakon zatvaranja postrojenja.</w:t>
      </w:r>
      <w:r w:rsidR="0034207A" w:rsidRPr="00360F0F">
        <w:rPr>
          <w:rFonts w:ascii="Cambria" w:hAnsi="Cambria"/>
          <w:noProof/>
          <w:lang w:eastAsia="x-none"/>
        </w:rPr>
        <w:t xml:space="preserve"> </w:t>
      </w:r>
      <w:r w:rsidR="00F324B6" w:rsidRPr="00360F0F">
        <w:rPr>
          <w:rFonts w:ascii="Cambria" w:hAnsi="Cambria"/>
          <w:noProof/>
          <w:lang w:eastAsia="x-none"/>
        </w:rPr>
        <w:t xml:space="preserve">Prvi Program usklađivanja pojedinih privrednih grana sa Zakonom o integrisanom sprječavanju i kontroli zagađivanja životne sredine donijela je Vlada 9. II 2012. Programom su propisani rokovi usklađivanja za 10 postojećih postrojenja za koje se izdaje integrisana dozvola (IPPC dozvola). </w:t>
      </w:r>
      <w:r w:rsidR="00F324B6" w:rsidRPr="00360F0F">
        <w:rPr>
          <w:rFonts w:ascii="Cambria" w:hAnsi="Cambria"/>
          <w:noProof/>
          <w:lang w:eastAsia="x-none"/>
        </w:rPr>
        <w:lastRenderedPageBreak/>
        <w:t>Postojeća postrojenja su bila u obavezi da pribave integrisanu dozvolu do 1. I 2015. U skladu sa Programom, do tog roka izdate su 4 IPPC dozvole (2 od strane AZPŽS i 2 od strane lokalne samouprave). AZ</w:t>
      </w:r>
      <w:r w:rsidR="00E60B92">
        <w:rPr>
          <w:rFonts w:ascii="Cambria" w:hAnsi="Cambria"/>
          <w:noProof/>
          <w:lang w:eastAsia="x-none"/>
        </w:rPr>
        <w:t>P</w:t>
      </w:r>
      <w:r w:rsidR="00F324B6" w:rsidRPr="00360F0F">
        <w:rPr>
          <w:rFonts w:ascii="Cambria" w:hAnsi="Cambria"/>
          <w:noProof/>
          <w:lang w:eastAsia="x-none"/>
        </w:rPr>
        <w:t>ŽS izdala je i 1 IPPC dozvolu za novo postrojenje (deponija Možura). Za 5 postrojenja produžen je rok do kojeg treba da pribave IPPC dozvolu, i to do 1. I 2018. (Željezara "Toščelik", Nikšić, DOO “Kovačnica”, Podgorica-u stečaju, KAP, fabrika aluminijuma AD-u stečaju, Termoelektrana "Pljevlja", "Pantomarket svinjogojska farma Spuž"-u stečaju). Za Termoelektranu "Pljevlja", Pljevlja, AZPŽS je izdala integrisanu do</w:t>
      </w:r>
      <w:r w:rsidR="002C0FA6" w:rsidRPr="00360F0F">
        <w:rPr>
          <w:rFonts w:ascii="Cambria" w:hAnsi="Cambria"/>
          <w:noProof/>
          <w:lang w:eastAsia="x-none"/>
        </w:rPr>
        <w:t>z</w:t>
      </w:r>
      <w:r w:rsidR="00F324B6" w:rsidRPr="00360F0F">
        <w:rPr>
          <w:rFonts w:ascii="Cambria" w:hAnsi="Cambria"/>
          <w:noProof/>
          <w:lang w:eastAsia="x-none"/>
        </w:rPr>
        <w:t>volu u martu 2018.</w:t>
      </w:r>
    </w:p>
    <w:p w14:paraId="212DB417" w14:textId="320135E0" w:rsidR="0073461B" w:rsidRPr="00AB15C7" w:rsidRDefault="00EE3066" w:rsidP="00557C13">
      <w:pPr>
        <w:numPr>
          <w:ilvl w:val="2"/>
          <w:numId w:val="28"/>
        </w:numPr>
        <w:autoSpaceDE w:val="0"/>
        <w:autoSpaceDN w:val="0"/>
        <w:adjustRightInd w:val="0"/>
        <w:spacing w:before="120" w:after="0"/>
        <w:ind w:left="0"/>
        <w:jc w:val="both"/>
        <w:rPr>
          <w:rFonts w:ascii="Cambria" w:hAnsi="Cambria"/>
          <w:noProof/>
          <w:lang w:val="sr-Latn-ME" w:eastAsia="x-none"/>
        </w:rPr>
      </w:pPr>
      <w:r w:rsidRPr="0034207A">
        <w:rPr>
          <w:rFonts w:ascii="Cambria" w:hAnsi="Cambria"/>
          <w:b/>
          <w:i/>
          <w:noProof/>
          <w:lang w:val="sr-Latn-ME"/>
        </w:rPr>
        <w:t xml:space="preserve">Zakon o procjeni uticaja na životnu sredinu </w:t>
      </w:r>
      <w:bookmarkStart w:id="58" w:name="_Hlk518769733"/>
      <w:r w:rsidR="00521254" w:rsidRPr="00AB15C7">
        <w:rPr>
          <w:rFonts w:ascii="Cambria" w:hAnsi="Cambria"/>
          <w:noProof/>
          <w:lang w:val="sr-Latn-ME" w:eastAsia="x-none"/>
        </w:rPr>
        <w:t xml:space="preserve">(„Sl. list RCG", br. </w:t>
      </w:r>
      <w:r w:rsidR="007431DE" w:rsidRPr="00AB15C7">
        <w:rPr>
          <w:rFonts w:ascii="Cambria" w:hAnsi="Cambria"/>
          <w:noProof/>
          <w:lang w:val="sr-Latn-ME" w:eastAsia="x-none"/>
        </w:rPr>
        <w:t xml:space="preserve">80/05) </w:t>
      </w:r>
      <w:r w:rsidR="0034207A" w:rsidRPr="0034207A">
        <w:rPr>
          <w:rFonts w:ascii="Cambria" w:hAnsi="Cambria"/>
          <w:noProof/>
          <w:lang w:val="sr-Latn-ME" w:eastAsia="x-none"/>
        </w:rPr>
        <w:t xml:space="preserve">propisuje </w:t>
      </w:r>
      <w:r w:rsidR="007431DE" w:rsidRPr="00AB15C7">
        <w:rPr>
          <w:rFonts w:ascii="Cambria" w:hAnsi="Cambria"/>
          <w:noProof/>
          <w:lang w:val="sr-Latn-ME" w:eastAsia="x-none"/>
        </w:rPr>
        <w:t xml:space="preserve">postupak procjene uticaja za projekte koji mogu imati značajan uticaj na životnu sredinu, sadržaj elaborata o procjeni uticaja, učešće zainteresovanih organa i organizacija i javnosti, postupak ocjene i izdavanja saglasnosti, obavještavanje o projektima koji mogu imati značajan uticaj na životnu sredinu druge države, nadzor i druga pitanja od značaja za procjenu uticaja na životnu sredinu. </w:t>
      </w:r>
      <w:r w:rsidR="0073461B" w:rsidRPr="00AB15C7">
        <w:rPr>
          <w:rFonts w:ascii="Cambria" w:hAnsi="Cambria"/>
          <w:noProof/>
          <w:lang w:eastAsia="x-none"/>
        </w:rPr>
        <w:t xml:space="preserve">Zakon se primjenjuje još od 2008. godine na državnom i lokalnom nivou. </w:t>
      </w:r>
      <w:r w:rsidR="000F682E">
        <w:rPr>
          <w:rFonts w:ascii="Cambria" w:hAnsi="Cambria"/>
          <w:noProof/>
          <w:lang w:eastAsia="x-none"/>
        </w:rPr>
        <w:t>U pogledu procjene uticaja na životnu sredinu</w:t>
      </w:r>
      <w:r w:rsidR="000F682E" w:rsidRPr="000F682E">
        <w:rPr>
          <w:rFonts w:ascii="Cambria" w:hAnsi="Cambria"/>
          <w:noProof/>
          <w:lang w:eastAsia="x-none"/>
        </w:rPr>
        <w:t xml:space="preserve"> </w:t>
      </w:r>
      <w:r w:rsidR="000F682E">
        <w:rPr>
          <w:rFonts w:ascii="Cambria" w:hAnsi="Cambria"/>
          <w:noProof/>
          <w:lang w:eastAsia="x-none"/>
        </w:rPr>
        <w:t>(</w:t>
      </w:r>
      <w:r w:rsidR="000F682E" w:rsidRPr="000F682E">
        <w:rPr>
          <w:rFonts w:ascii="Cambria" w:hAnsi="Cambria"/>
          <w:noProof/>
          <w:lang w:eastAsia="x-none"/>
        </w:rPr>
        <w:t>EIA</w:t>
      </w:r>
      <w:r w:rsidR="000F682E">
        <w:rPr>
          <w:rFonts w:ascii="Cambria" w:hAnsi="Cambria"/>
          <w:noProof/>
          <w:lang w:eastAsia="x-none"/>
        </w:rPr>
        <w:t>) u</w:t>
      </w:r>
      <w:r w:rsidR="0073461B" w:rsidRPr="00AB15C7">
        <w:rPr>
          <w:rFonts w:ascii="Cambria" w:hAnsi="Cambria"/>
          <w:noProof/>
          <w:lang w:eastAsia="x-none"/>
        </w:rPr>
        <w:t>tvrđene su dvije liste projekata</w:t>
      </w:r>
      <w:r w:rsidR="000F682E">
        <w:rPr>
          <w:rFonts w:ascii="Cambria" w:hAnsi="Cambria"/>
          <w:noProof/>
          <w:lang w:eastAsia="x-none"/>
        </w:rPr>
        <w:t xml:space="preserve"> </w:t>
      </w:r>
      <w:r w:rsidR="0073461B" w:rsidRPr="00AB15C7">
        <w:rPr>
          <w:rFonts w:ascii="Cambria" w:hAnsi="Cambria"/>
          <w:noProof/>
          <w:lang w:eastAsia="x-none"/>
        </w:rPr>
        <w:t>- Lista I za koje je obavezna</w:t>
      </w:r>
      <w:r w:rsidR="000F682E" w:rsidRPr="000F682E">
        <w:rPr>
          <w:rFonts w:ascii="Cambria" w:hAnsi="Cambria"/>
          <w:noProof/>
          <w:lang w:eastAsia="x-none"/>
        </w:rPr>
        <w:t xml:space="preserve"> EIA</w:t>
      </w:r>
      <w:r w:rsidR="0073461B" w:rsidRPr="00AB15C7">
        <w:rPr>
          <w:rFonts w:ascii="Cambria" w:hAnsi="Cambria"/>
          <w:noProof/>
          <w:lang w:eastAsia="x-none"/>
        </w:rPr>
        <w:t xml:space="preserve"> i Lista II za koje se može zahtjevati EIA.</w:t>
      </w:r>
      <w:r w:rsidR="00C332C4" w:rsidRPr="00AB15C7">
        <w:rPr>
          <w:rFonts w:ascii="Cambria" w:hAnsi="Cambria"/>
          <w:noProof/>
        </w:rPr>
        <w:t xml:space="preserve"> </w:t>
      </w:r>
      <w:r w:rsidR="00C332C4" w:rsidRPr="00AB15C7">
        <w:rPr>
          <w:rFonts w:ascii="Cambria" w:hAnsi="Cambria"/>
          <w:noProof/>
          <w:lang w:eastAsia="x-none"/>
        </w:rPr>
        <w:t>Takođe, sprovodi se i prekogranična procedura, u cilju obavještavanja druge države ukoliko realizacija projekta može značajnije uticati na životnu sredinu druge države.</w:t>
      </w:r>
    </w:p>
    <w:bookmarkEnd w:id="58"/>
    <w:p w14:paraId="350A7558" w14:textId="78CFAE98" w:rsidR="00A20A6C" w:rsidRPr="00AB15C7" w:rsidRDefault="00521254" w:rsidP="00557C13">
      <w:pPr>
        <w:numPr>
          <w:ilvl w:val="2"/>
          <w:numId w:val="28"/>
        </w:numPr>
        <w:autoSpaceDE w:val="0"/>
        <w:autoSpaceDN w:val="0"/>
        <w:adjustRightInd w:val="0"/>
        <w:spacing w:before="120" w:after="0"/>
        <w:ind w:left="0"/>
        <w:jc w:val="both"/>
        <w:rPr>
          <w:rFonts w:ascii="Cambria" w:hAnsi="Cambria"/>
          <w:noProof/>
          <w:lang w:val="sr-Latn-ME" w:eastAsia="x-none"/>
        </w:rPr>
      </w:pPr>
      <w:r w:rsidRPr="009915F5">
        <w:rPr>
          <w:rFonts w:ascii="Cambria" w:hAnsi="Cambria"/>
          <w:b/>
          <w:i/>
          <w:noProof/>
          <w:lang w:val="sr-Latn-ME"/>
        </w:rPr>
        <w:t xml:space="preserve">Zakon o strateškoj </w:t>
      </w:r>
      <w:r w:rsidR="00AF42DB" w:rsidRPr="009915F5">
        <w:rPr>
          <w:rFonts w:ascii="Cambria" w:hAnsi="Cambria"/>
          <w:b/>
          <w:i/>
          <w:noProof/>
          <w:lang w:val="sr-Latn-ME"/>
        </w:rPr>
        <w:t>procjen</w:t>
      </w:r>
      <w:r w:rsidRPr="009915F5">
        <w:rPr>
          <w:rFonts w:ascii="Cambria" w:hAnsi="Cambria"/>
          <w:b/>
          <w:i/>
          <w:noProof/>
          <w:lang w:val="sr-Latn-ME"/>
        </w:rPr>
        <w:t>i uticaja na životnu sredinu</w:t>
      </w:r>
      <w:r w:rsidR="009915F5">
        <w:rPr>
          <w:rFonts w:ascii="Cambria" w:hAnsi="Cambria"/>
          <w:b/>
          <w:i/>
          <w:noProof/>
          <w:lang w:val="sr-Latn-ME"/>
        </w:rPr>
        <w:t xml:space="preserve"> </w:t>
      </w:r>
      <w:r w:rsidRPr="00AB15C7">
        <w:rPr>
          <w:rFonts w:ascii="Cambria" w:hAnsi="Cambria"/>
          <w:noProof/>
          <w:lang w:val="sr-Latn-ME" w:eastAsia="x-none"/>
        </w:rPr>
        <w:t>(„Sl. list RCG", br. 80/05 i</w:t>
      </w:r>
      <w:r w:rsidRPr="00AB15C7">
        <w:rPr>
          <w:rFonts w:ascii="Cambria" w:hAnsi="Cambria"/>
          <w:noProof/>
          <w:lang w:eastAsia="x-none"/>
        </w:rPr>
        <w:t xml:space="preserve"> </w:t>
      </w:r>
      <w:r w:rsidRPr="00AB15C7">
        <w:rPr>
          <w:rFonts w:ascii="Cambria" w:hAnsi="Cambria"/>
          <w:noProof/>
          <w:lang w:val="sr-Latn-ME" w:eastAsia="x-none"/>
        </w:rPr>
        <w:t>„Sl. list CG", br. 59/2011</w:t>
      </w:r>
      <w:r w:rsidRPr="00AB15C7">
        <w:rPr>
          <w:rFonts w:ascii="Cambria" w:hAnsi="Cambria"/>
          <w:noProof/>
          <w:lang w:eastAsia="x-none"/>
        </w:rPr>
        <w:t xml:space="preserve"> i 52/2016</w:t>
      </w:r>
      <w:r w:rsidRPr="00AB15C7">
        <w:rPr>
          <w:rFonts w:ascii="Cambria" w:hAnsi="Cambria"/>
          <w:noProof/>
          <w:lang w:val="sr-Latn-ME" w:eastAsia="x-none"/>
        </w:rPr>
        <w:t xml:space="preserve">) </w:t>
      </w:r>
      <w:r w:rsidRPr="00AB15C7">
        <w:rPr>
          <w:rFonts w:ascii="Cambria" w:hAnsi="Cambria"/>
          <w:noProof/>
          <w:lang w:eastAsia="x-none"/>
        </w:rPr>
        <w:t>utvrđuju se uslovi, način i postupak vršenja procjene uticaja određenih planova i programa na životnu sredinu kroz integrisanje principa zaštite životne sredine u postupak pripreme, usvajanja i realizacije planova ili programa koji imaju značajan uticaj na životnu sredinu. Procjena uticaja sprovodi se za sve nove planove i programe</w:t>
      </w:r>
      <w:r w:rsidRPr="00AB15C7">
        <w:rPr>
          <w:rFonts w:ascii="Cambria" w:hAnsi="Cambria"/>
          <w:noProof/>
          <w:lang w:val="sr-Latn-CS" w:eastAsia="x-none"/>
        </w:rPr>
        <w:t xml:space="preserve"> koje priprema i/ili usvaja organ državne ili lokalne uprave ili koje usvaja Skupština ili Vlada Crne Gore, odnosno skupština jedinice lokalne samouprave</w:t>
      </w:r>
      <w:r w:rsidRPr="00AB15C7">
        <w:rPr>
          <w:rFonts w:ascii="Cambria" w:hAnsi="Cambria"/>
          <w:noProof/>
          <w:lang w:eastAsia="x-none"/>
        </w:rPr>
        <w:t>, kao i za njihove izmjene. Zakon se primjenjuje još od 2008. godine na državnom i lokalnom nivou. Takođe, ukoliko realizacija plana/programa može značajnije uticati na životnu sredinu druge države ta država se obav</w:t>
      </w:r>
      <w:r w:rsidR="0079167F" w:rsidRPr="00AB15C7">
        <w:rPr>
          <w:rFonts w:ascii="Cambria" w:hAnsi="Cambria"/>
          <w:noProof/>
          <w:lang w:eastAsia="x-none"/>
        </w:rPr>
        <w:t>j</w:t>
      </w:r>
      <w:r w:rsidRPr="00AB15C7">
        <w:rPr>
          <w:rFonts w:ascii="Cambria" w:hAnsi="Cambria"/>
          <w:noProof/>
          <w:lang w:eastAsia="x-none"/>
        </w:rPr>
        <w:t>eštava u skladu sa obavezama iz Protokola o strateškoj procjeni uticaja na životnu sredine (SEA protokola) pri Konvenciji o procjeni uticaja na životnu sredinu u prekograničnom kontekstu (ESPOO).</w:t>
      </w:r>
    </w:p>
    <w:p w14:paraId="7A31D17F" w14:textId="532126A2" w:rsidR="00926C48" w:rsidRPr="0013139B" w:rsidRDefault="00E8702F" w:rsidP="00557C13">
      <w:pPr>
        <w:numPr>
          <w:ilvl w:val="2"/>
          <w:numId w:val="28"/>
        </w:numPr>
        <w:autoSpaceDE w:val="0"/>
        <w:autoSpaceDN w:val="0"/>
        <w:adjustRightInd w:val="0"/>
        <w:spacing w:before="120" w:after="0"/>
        <w:ind w:left="0"/>
        <w:jc w:val="both"/>
        <w:rPr>
          <w:rFonts w:ascii="Cambria" w:hAnsi="Cambria"/>
          <w:noProof/>
          <w:color w:val="000000"/>
          <w:lang w:val="sr-Latn-ME"/>
        </w:rPr>
      </w:pPr>
      <w:r w:rsidRPr="009915F5">
        <w:rPr>
          <w:rFonts w:ascii="Cambria" w:hAnsi="Cambria"/>
          <w:b/>
          <w:i/>
          <w:noProof/>
          <w:lang w:val="sr-Latn-ME"/>
        </w:rPr>
        <w:t>Zakon o upravljanju otpadom</w:t>
      </w:r>
      <w:r w:rsidR="000748B2">
        <w:rPr>
          <w:rFonts w:ascii="Cambria" w:hAnsi="Cambria"/>
          <w:b/>
          <w:i/>
          <w:noProof/>
          <w:lang w:val="sr-Latn-ME"/>
        </w:rPr>
        <w:t xml:space="preserve"> </w:t>
      </w:r>
      <w:r w:rsidR="009915F5" w:rsidRPr="009915F5">
        <w:rPr>
          <w:rFonts w:ascii="Cambria" w:hAnsi="Cambria"/>
          <w:noProof/>
          <w:color w:val="000000"/>
          <w:lang w:val="sr-Latn-ME"/>
        </w:rPr>
        <w:t>(„Sl. list CG“, br. 64/11 i 39/16</w:t>
      </w:r>
      <w:r w:rsidR="009915F5" w:rsidRPr="0013139B">
        <w:rPr>
          <w:rFonts w:ascii="Cambria" w:hAnsi="Cambria"/>
          <w:noProof/>
          <w:color w:val="000000"/>
          <w:lang w:val="sr-Latn-ME"/>
        </w:rPr>
        <w:t>), uređuje vrste i klasifikaciu otpada, kao i planiranje, način upravljanja otpadom uključujući i  registar izdatih dozvola za preradu i/ili odstranjivanje otpada, registar sakupljača, odnosno prevoznika otpada, registar trgovaca i posrednika, registar izvoznika neopasnog otpada, kao i evidenciju o proizvodnji i upravljanju o</w:t>
      </w:r>
      <w:r w:rsidR="009915F5" w:rsidRPr="00E60B92">
        <w:rPr>
          <w:rFonts w:ascii="Cambria" w:hAnsi="Cambria"/>
          <w:noProof/>
          <w:color w:val="000000"/>
          <w:lang w:val="sr-Latn-ME"/>
        </w:rPr>
        <w:t xml:space="preserve">tpadom i druga pitanja od značaja za upravljanje otpadom. </w:t>
      </w:r>
      <w:r w:rsidR="009915F5" w:rsidRPr="00AB15C7">
        <w:rPr>
          <w:rStyle w:val="FootnoteReference"/>
          <w:rFonts w:ascii="Cambria" w:hAnsi="Cambria"/>
          <w:noProof/>
          <w:color w:val="000000"/>
          <w:lang w:val="sr-Latn-ME"/>
        </w:rPr>
        <w:footnoteReference w:id="20"/>
      </w:r>
      <w:r w:rsidR="009915F5" w:rsidRPr="009915F5">
        <w:rPr>
          <w:rFonts w:ascii="Cambria" w:hAnsi="Cambria"/>
          <w:noProof/>
          <w:color w:val="000000"/>
          <w:lang w:val="sr-Latn-ME"/>
        </w:rPr>
        <w:t xml:space="preserve"> </w:t>
      </w:r>
      <w:r w:rsidR="00CF380F" w:rsidRPr="009915F5">
        <w:rPr>
          <w:rFonts w:ascii="Cambria" w:hAnsi="Cambria"/>
          <w:noProof/>
          <w:color w:val="000000"/>
          <w:lang w:val="sr-Latn-ME"/>
        </w:rPr>
        <w:t xml:space="preserve">Upravljanje otpadom koji sadrži hemikalije predstavlja veoma važnu, završnu fazu u životnom ciklusu hemikalija. </w:t>
      </w:r>
      <w:r w:rsidR="00926C48" w:rsidRPr="0013139B">
        <w:rPr>
          <w:rFonts w:ascii="Cambria" w:hAnsi="Cambria"/>
          <w:noProof/>
          <w:color w:val="000000"/>
          <w:lang w:val="sr-Latn-ME"/>
        </w:rPr>
        <w:t>Rješavanje tog problema i orijentacija prema savremenom upravljanju otpadom jedan su od preduslova za ulazak u EU</w:t>
      </w:r>
      <w:r w:rsidR="009915F5" w:rsidRPr="0013139B">
        <w:rPr>
          <w:rFonts w:ascii="Cambria" w:hAnsi="Cambria"/>
          <w:noProof/>
          <w:color w:val="000000"/>
          <w:lang w:val="sr-Latn-ME"/>
        </w:rPr>
        <w:t xml:space="preserve">. </w:t>
      </w:r>
      <w:r w:rsidR="00926C48" w:rsidRPr="00AB15C7">
        <w:rPr>
          <w:rStyle w:val="FootnoteReference"/>
          <w:rFonts w:ascii="Cambria" w:hAnsi="Cambria"/>
          <w:noProof/>
          <w:color w:val="000000"/>
          <w:lang w:val="sr-Latn-ME"/>
        </w:rPr>
        <w:footnoteReference w:id="21"/>
      </w:r>
      <w:r w:rsidR="00926C48" w:rsidRPr="009915F5">
        <w:rPr>
          <w:rFonts w:ascii="Cambria" w:hAnsi="Cambria"/>
          <w:noProof/>
          <w:color w:val="000000"/>
          <w:lang w:val="sr-Latn-ME"/>
        </w:rPr>
        <w:t xml:space="preserve"> </w:t>
      </w:r>
    </w:p>
    <w:p w14:paraId="3832D2D6" w14:textId="743F2DF7" w:rsidR="00E60B92" w:rsidRPr="00416F0E" w:rsidRDefault="00C51402" w:rsidP="00557C13">
      <w:pPr>
        <w:numPr>
          <w:ilvl w:val="2"/>
          <w:numId w:val="28"/>
        </w:numPr>
        <w:autoSpaceDE w:val="0"/>
        <w:autoSpaceDN w:val="0"/>
        <w:adjustRightInd w:val="0"/>
        <w:spacing w:before="120" w:after="0"/>
        <w:ind w:left="0"/>
        <w:jc w:val="both"/>
        <w:rPr>
          <w:rFonts w:ascii="Cambria" w:hAnsi="Cambria"/>
          <w:noProof/>
          <w:lang w:val="sr-Latn-ME"/>
        </w:rPr>
      </w:pPr>
      <w:r w:rsidRPr="0013139B">
        <w:rPr>
          <w:rFonts w:ascii="Cambria" w:hAnsi="Cambria"/>
          <w:b/>
          <w:i/>
          <w:noProof/>
          <w:lang w:val="sr-Latn-ME"/>
        </w:rPr>
        <w:t>Z</w:t>
      </w:r>
      <w:r w:rsidR="0079777C" w:rsidRPr="0013139B">
        <w:rPr>
          <w:rFonts w:ascii="Cambria" w:hAnsi="Cambria"/>
          <w:b/>
          <w:i/>
          <w:noProof/>
          <w:lang w:val="sr-Latn-ME"/>
        </w:rPr>
        <w:t>akon o z</w:t>
      </w:r>
      <w:r w:rsidRPr="0013139B">
        <w:rPr>
          <w:rFonts w:ascii="Cambria" w:hAnsi="Cambria"/>
          <w:b/>
          <w:i/>
          <w:noProof/>
          <w:lang w:val="sr-Latn-ME"/>
        </w:rPr>
        <w:t>a</w:t>
      </w:r>
      <w:r w:rsidR="00C05E44" w:rsidRPr="0013139B">
        <w:rPr>
          <w:rFonts w:ascii="Cambria" w:hAnsi="Cambria"/>
          <w:b/>
          <w:i/>
          <w:noProof/>
          <w:lang w:val="sr-Latn-ME"/>
        </w:rPr>
        <w:t>št</w:t>
      </w:r>
      <w:r w:rsidRPr="0013139B">
        <w:rPr>
          <w:rFonts w:ascii="Cambria" w:hAnsi="Cambria"/>
          <w:b/>
          <w:i/>
          <w:noProof/>
          <w:lang w:val="sr-Latn-ME"/>
        </w:rPr>
        <w:t>it</w:t>
      </w:r>
      <w:r w:rsidR="0079777C" w:rsidRPr="0013139B">
        <w:rPr>
          <w:rFonts w:ascii="Cambria" w:hAnsi="Cambria"/>
          <w:b/>
          <w:i/>
          <w:noProof/>
          <w:lang w:val="sr-Latn-ME"/>
        </w:rPr>
        <w:t>i</w:t>
      </w:r>
      <w:r w:rsidRPr="0013139B">
        <w:rPr>
          <w:rFonts w:ascii="Cambria" w:hAnsi="Cambria"/>
          <w:b/>
          <w:i/>
          <w:noProof/>
          <w:lang w:val="sr-Latn-ME"/>
        </w:rPr>
        <w:t xml:space="preserve"> vazduha </w:t>
      </w:r>
      <w:r w:rsidR="0013139B" w:rsidRPr="0013139B">
        <w:rPr>
          <w:rFonts w:ascii="Cambria" w:hAnsi="Cambria"/>
          <w:b/>
          <w:i/>
          <w:noProof/>
          <w:lang w:val="sr-Latn-ME"/>
        </w:rPr>
        <w:t>(“Sl. list CG”, br. 25/10, 40/11</w:t>
      </w:r>
      <w:r w:rsidR="000748B2">
        <w:rPr>
          <w:rFonts w:ascii="Cambria" w:hAnsi="Cambria"/>
          <w:b/>
          <w:i/>
          <w:noProof/>
          <w:lang w:val="sr-Latn-ME"/>
        </w:rPr>
        <w:t>, 43/15</w:t>
      </w:r>
      <w:r w:rsidR="0013139B" w:rsidRPr="0013139B">
        <w:rPr>
          <w:rFonts w:ascii="Cambria" w:hAnsi="Cambria"/>
          <w:b/>
          <w:i/>
          <w:noProof/>
          <w:lang w:val="sr-Latn-ME"/>
        </w:rPr>
        <w:t xml:space="preserve">) </w:t>
      </w:r>
      <w:r w:rsidR="0013139B" w:rsidRPr="00360F0F">
        <w:rPr>
          <w:rFonts w:ascii="Cambria" w:hAnsi="Cambria"/>
          <w:noProof/>
          <w:lang w:val="sr-Latn-ME"/>
        </w:rPr>
        <w:t xml:space="preserve">uređuje način praćenja kvaliteta vazduha, mjere zaštite, ocjenjivanje i poboljšanje kvaliteta vazduha, kao i planiranje i upravljanje kvalitetom vazduha. </w:t>
      </w:r>
      <w:r w:rsidR="0045023D" w:rsidRPr="00E60B92">
        <w:rPr>
          <w:rFonts w:ascii="Cambria" w:hAnsi="Cambria"/>
          <w:noProof/>
          <w:lang w:val="sr-Latn-ME"/>
        </w:rPr>
        <w:t>Vazduh je, pored vode, zemljišta, flore i faune, važan element životne sredine. Održivost životne sredine podrazumijeva da stepen zagađujućih materija</w:t>
      </w:r>
      <w:r w:rsidR="0013139B" w:rsidRPr="00E60B92">
        <w:rPr>
          <w:rFonts w:ascii="Cambria" w:hAnsi="Cambria"/>
          <w:noProof/>
          <w:lang w:val="sr-Latn-ME"/>
        </w:rPr>
        <w:t>, uključujući hemikalije</w:t>
      </w:r>
      <w:r w:rsidR="0045023D" w:rsidRPr="00E60B92">
        <w:rPr>
          <w:rFonts w:ascii="Cambria" w:hAnsi="Cambria"/>
          <w:noProof/>
          <w:lang w:val="sr-Latn-ME"/>
        </w:rPr>
        <w:t xml:space="preserve"> koje se emituju ne prevazilazi mogućnosti vazduha, vode i zemljišta da ih apsorbuje i preradi. Nacionalna strategija upravljanja kvalitetom vazduha s Akcionim planom predstavlja </w:t>
      </w:r>
      <w:r w:rsidR="0013139B" w:rsidRPr="00E60B92">
        <w:rPr>
          <w:rFonts w:ascii="Cambria" w:hAnsi="Cambria"/>
          <w:noProof/>
          <w:lang w:val="sr-Latn-ME"/>
        </w:rPr>
        <w:t>strategijski dokument</w:t>
      </w:r>
      <w:r w:rsidR="0013139B" w:rsidRPr="006400F3">
        <w:rPr>
          <w:rFonts w:ascii="Cambria" w:hAnsi="Cambria"/>
          <w:noProof/>
          <w:lang w:val="sr-Latn-ME"/>
        </w:rPr>
        <w:t xml:space="preserve"> </w:t>
      </w:r>
      <w:r w:rsidR="0045023D" w:rsidRPr="006400F3">
        <w:rPr>
          <w:rFonts w:ascii="Cambria" w:hAnsi="Cambria"/>
          <w:noProof/>
          <w:lang w:val="sr-Latn-ME"/>
        </w:rPr>
        <w:t xml:space="preserve">kojim se u Crnoj Gori utvrđuje politika i planira napredak u upravljanju kvalitetom vazduha. </w:t>
      </w:r>
      <w:r w:rsidR="00E60B92" w:rsidRPr="00360F0F">
        <w:rPr>
          <w:rFonts w:ascii="Cambria" w:hAnsi="Cambria"/>
          <w:noProof/>
          <w:lang w:val="sr-Latn-ME"/>
        </w:rPr>
        <w:t xml:space="preserve">Inventar emisija </w:t>
      </w:r>
      <w:r w:rsidR="00E60B92" w:rsidRPr="00360F0F">
        <w:rPr>
          <w:rFonts w:ascii="Cambria" w:hAnsi="Cambria"/>
          <w:noProof/>
          <w:lang w:val="sr-Latn-ME"/>
        </w:rPr>
        <w:lastRenderedPageBreak/>
        <w:t>zagađujućih materija u vazduh i inventar emisija gasova sa efektom</w:t>
      </w:r>
      <w:r w:rsidR="00E60B92" w:rsidRPr="00360F0F">
        <w:rPr>
          <w:rFonts w:ascii="Cambria" w:hAnsi="Cambria"/>
          <w:b/>
          <w:i/>
          <w:noProof/>
          <w:lang w:val="sr-Latn-ME"/>
        </w:rPr>
        <w:t xml:space="preserve"> </w:t>
      </w:r>
      <w:r w:rsidR="00E60B92" w:rsidRPr="00416F0E">
        <w:rPr>
          <w:rFonts w:ascii="Cambria" w:hAnsi="Cambria"/>
          <w:noProof/>
          <w:lang w:val="sr-Latn-ME"/>
        </w:rPr>
        <w:t>staklene bašte vodi AZPŽS. Imaoci podataka (institucije, zagađivači) dužni su da podatke za izradu inventara emisija dostave AZPŽS.</w:t>
      </w:r>
    </w:p>
    <w:p w14:paraId="6D1979C3" w14:textId="77777777" w:rsidR="00946AFC" w:rsidRPr="00AB15C7" w:rsidRDefault="00DE50A7" w:rsidP="005921EF">
      <w:pPr>
        <w:pStyle w:val="Heading2"/>
        <w:ind w:firstLine="720"/>
        <w:rPr>
          <w:noProof/>
          <w:sz w:val="22"/>
          <w:szCs w:val="22"/>
          <w:lang w:val="en-US"/>
        </w:rPr>
      </w:pPr>
      <w:bookmarkStart w:id="59" w:name="_Toc527353195"/>
      <w:r w:rsidRPr="00AB15C7">
        <w:rPr>
          <w:noProof/>
          <w:sz w:val="22"/>
          <w:szCs w:val="22"/>
          <w:lang w:val="en-US"/>
        </w:rPr>
        <w:t>2.</w:t>
      </w:r>
      <w:r w:rsidR="007431DE" w:rsidRPr="00AB15C7">
        <w:rPr>
          <w:noProof/>
          <w:sz w:val="22"/>
          <w:szCs w:val="22"/>
          <w:lang w:val="en-US"/>
        </w:rPr>
        <w:t>3.1.3.</w:t>
      </w:r>
      <w:r w:rsidR="006D4C72" w:rsidRPr="00AB15C7">
        <w:rPr>
          <w:noProof/>
          <w:sz w:val="22"/>
          <w:szCs w:val="22"/>
          <w:lang w:val="en-US"/>
        </w:rPr>
        <w:t>2</w:t>
      </w:r>
      <w:r w:rsidR="007431DE" w:rsidRPr="00AB15C7">
        <w:rPr>
          <w:noProof/>
          <w:sz w:val="22"/>
          <w:szCs w:val="22"/>
          <w:lang w:val="en-US"/>
        </w:rPr>
        <w:t>.</w:t>
      </w:r>
      <w:r w:rsidR="006D61F2" w:rsidRPr="00AB15C7">
        <w:rPr>
          <w:noProof/>
          <w:sz w:val="22"/>
          <w:szCs w:val="22"/>
          <w:lang w:val="en-US"/>
        </w:rPr>
        <w:t xml:space="preserve">Propisi u  oblasti </w:t>
      </w:r>
      <w:r w:rsidR="00EF61FD" w:rsidRPr="00AB15C7">
        <w:rPr>
          <w:noProof/>
          <w:sz w:val="22"/>
          <w:szCs w:val="22"/>
          <w:lang w:val="en-US"/>
        </w:rPr>
        <w:t xml:space="preserve"> za</w:t>
      </w:r>
      <w:r w:rsidR="00926C48" w:rsidRPr="00AB15C7">
        <w:rPr>
          <w:noProof/>
          <w:sz w:val="22"/>
          <w:szCs w:val="22"/>
          <w:lang w:val="en-US"/>
        </w:rPr>
        <w:t>š</w:t>
      </w:r>
      <w:r w:rsidR="00EF61FD" w:rsidRPr="00AB15C7">
        <w:rPr>
          <w:noProof/>
          <w:sz w:val="22"/>
          <w:szCs w:val="22"/>
          <w:lang w:val="en-US"/>
        </w:rPr>
        <w:t>tite</w:t>
      </w:r>
      <w:r w:rsidR="006D61F2" w:rsidRPr="00AB15C7">
        <w:rPr>
          <w:noProof/>
          <w:sz w:val="22"/>
          <w:szCs w:val="22"/>
          <w:lang w:val="en-US"/>
        </w:rPr>
        <w:t xml:space="preserve"> i zdravlja na radu</w:t>
      </w:r>
      <w:bookmarkEnd w:id="59"/>
    </w:p>
    <w:p w14:paraId="0B431A7A" w14:textId="19681839" w:rsidR="00946AFC" w:rsidRPr="00AB15C7" w:rsidRDefault="00946AFC" w:rsidP="005921EF">
      <w:pPr>
        <w:autoSpaceDE w:val="0"/>
        <w:autoSpaceDN w:val="0"/>
        <w:adjustRightInd w:val="0"/>
        <w:spacing w:before="120" w:after="0"/>
        <w:jc w:val="both"/>
        <w:rPr>
          <w:rFonts w:ascii="Cambria" w:hAnsi="Cambria"/>
          <w:noProof/>
          <w:color w:val="000000"/>
          <w:lang w:val="sr-Latn-ME"/>
        </w:rPr>
      </w:pPr>
      <w:r w:rsidRPr="00AB15C7">
        <w:rPr>
          <w:rFonts w:ascii="Cambria" w:hAnsi="Cambria"/>
          <w:noProof/>
          <w:color w:val="000000"/>
          <w:lang w:val="sr-Latn-ME"/>
        </w:rPr>
        <w:t xml:space="preserve">Uprkos znatnom napretku koji je ostvaren na polju kontrole i upravljanja hemikalijama na međunarodnom nivou, kao i na nivou država, i dalje je to oblast koja izaziva zabrinutost kada je zdravlje zaposlenih u pitanju. Izvor sve veće zabrinutosti predstavlja upotreba alergenih, karcinogenih i mutagenih supstanci, kao i supstanci koje su toksične za reproduktivni sistem. U posljednjih 20 godina došlo je do porasta broja hemikalija koje se koriste u industrijskoj sredini, od kojih mnoge </w:t>
      </w:r>
      <w:r w:rsidR="00EF61FD" w:rsidRPr="00AB15C7">
        <w:rPr>
          <w:rFonts w:ascii="Cambria" w:hAnsi="Cambria"/>
          <w:noProof/>
          <w:color w:val="000000"/>
          <w:lang w:val="sr-Latn-ME"/>
        </w:rPr>
        <w:t>mogu pre</w:t>
      </w:r>
      <w:r w:rsidR="0079167F" w:rsidRPr="00AB15C7">
        <w:rPr>
          <w:rFonts w:ascii="Cambria" w:hAnsi="Cambria"/>
          <w:noProof/>
          <w:color w:val="000000"/>
          <w:lang w:val="sr-Latn-ME"/>
        </w:rPr>
        <w:t>d</w:t>
      </w:r>
      <w:r w:rsidR="00EF61FD" w:rsidRPr="00AB15C7">
        <w:rPr>
          <w:rFonts w:ascii="Cambria" w:hAnsi="Cambria"/>
          <w:noProof/>
          <w:color w:val="000000"/>
          <w:lang w:val="sr-Latn-ME"/>
        </w:rPr>
        <w:t>stavljati opasnost za radnike ukoliko se ne prim</w:t>
      </w:r>
      <w:r w:rsidR="0079167F" w:rsidRPr="00AB15C7">
        <w:rPr>
          <w:rFonts w:ascii="Cambria" w:hAnsi="Cambria"/>
          <w:noProof/>
          <w:color w:val="000000"/>
          <w:lang w:val="sr-Latn-ME"/>
        </w:rPr>
        <w:t>j</w:t>
      </w:r>
      <w:r w:rsidR="00EF61FD" w:rsidRPr="00AB15C7">
        <w:rPr>
          <w:rFonts w:ascii="Cambria" w:hAnsi="Cambria"/>
          <w:noProof/>
          <w:color w:val="000000"/>
          <w:lang w:val="sr-Latn-ME"/>
        </w:rPr>
        <w:t>ene adekvatne zaštitne m</w:t>
      </w:r>
      <w:r w:rsidR="00C65B0A">
        <w:rPr>
          <w:rFonts w:ascii="Cambria" w:hAnsi="Cambria"/>
          <w:noProof/>
          <w:color w:val="000000"/>
          <w:lang w:val="sr-Latn-ME"/>
        </w:rPr>
        <w:t>j</w:t>
      </w:r>
      <w:r w:rsidR="00EF61FD" w:rsidRPr="00AB15C7">
        <w:rPr>
          <w:rFonts w:ascii="Cambria" w:hAnsi="Cambria"/>
          <w:noProof/>
          <w:color w:val="000000"/>
          <w:lang w:val="sr-Latn-ME"/>
        </w:rPr>
        <w:t>ere</w:t>
      </w:r>
      <w:r w:rsidRPr="00AB15C7">
        <w:rPr>
          <w:rFonts w:ascii="Cambria" w:hAnsi="Cambria"/>
          <w:noProof/>
          <w:color w:val="000000"/>
          <w:lang w:val="sr-Latn-ME"/>
        </w:rPr>
        <w:t xml:space="preserve">. </w:t>
      </w:r>
    </w:p>
    <w:p w14:paraId="4005559E" w14:textId="77777777" w:rsidR="006400F3" w:rsidRPr="00AB15C7" w:rsidRDefault="006400F3" w:rsidP="005F1B1A">
      <w:pPr>
        <w:spacing w:after="120"/>
        <w:jc w:val="both"/>
        <w:rPr>
          <w:rFonts w:ascii="Cambria" w:hAnsi="Cambria" w:cs="Arial"/>
          <w:i/>
          <w:noProof/>
          <w:u w:val="single"/>
          <w:lang w:val="sr-Latn-ME"/>
        </w:rPr>
      </w:pPr>
      <w:bookmarkStart w:id="60" w:name="_Hlk519493931"/>
    </w:p>
    <w:p w14:paraId="032BEA5C" w14:textId="140AAACD" w:rsidR="00946AFC" w:rsidRDefault="00946AFC" w:rsidP="005921EF">
      <w:pPr>
        <w:spacing w:after="0"/>
        <w:jc w:val="both"/>
        <w:rPr>
          <w:rFonts w:ascii="Cambria" w:hAnsi="Cambria" w:cs="Arial"/>
          <w:noProof/>
          <w:lang w:val="sr-Latn-ME"/>
        </w:rPr>
      </w:pPr>
      <w:r w:rsidRPr="00AB15C7">
        <w:rPr>
          <w:rFonts w:ascii="Cambria" w:hAnsi="Cambria" w:cs="Arial"/>
          <w:noProof/>
          <w:lang w:val="sr-Latn-ME"/>
        </w:rPr>
        <w:t xml:space="preserve">Zaštita i zdravlje na radu obezbjeđuje se i sprovodi primjenom savremenih tehničko-tehnoloških, organizacionih, zdravstvenih, socijalnih i drugih mjera i sredstava zaštite u skladu sa </w:t>
      </w:r>
      <w:r w:rsidRPr="00AB15C7">
        <w:rPr>
          <w:rFonts w:ascii="Cambria" w:hAnsi="Cambria" w:cs="Arial"/>
          <w:b/>
          <w:noProof/>
          <w:lang w:val="sr-Latn-ME"/>
        </w:rPr>
        <w:t>Zakonom o zaštiti i zdravlju na radu</w:t>
      </w:r>
      <w:r w:rsidRPr="00AB15C7">
        <w:rPr>
          <w:rFonts w:ascii="Cambria" w:hAnsi="Cambria" w:cs="Arial"/>
          <w:noProof/>
          <w:lang w:val="sr-Latn-ME"/>
        </w:rPr>
        <w:t xml:space="preserve"> ("Sl. list CG", br. 34/14</w:t>
      </w:r>
      <w:r w:rsidR="000748B2">
        <w:rPr>
          <w:rFonts w:ascii="Cambria" w:hAnsi="Cambria" w:cs="Arial"/>
          <w:noProof/>
          <w:lang w:val="sr-Latn-ME"/>
        </w:rPr>
        <w:t>, 44/18</w:t>
      </w:r>
      <w:r w:rsidRPr="00AB15C7">
        <w:rPr>
          <w:rFonts w:ascii="Cambria" w:hAnsi="Cambria" w:cs="Arial"/>
          <w:noProof/>
          <w:lang w:val="sr-Latn-ME"/>
        </w:rPr>
        <w:t>)</w:t>
      </w:r>
      <w:r w:rsidR="003F6D59">
        <w:rPr>
          <w:rFonts w:ascii="Cambria" w:hAnsi="Cambria" w:cs="Arial"/>
          <w:noProof/>
          <w:lang w:val="sr-Latn-ME"/>
        </w:rPr>
        <w:t xml:space="preserve"> i podzakonskim</w:t>
      </w:r>
      <w:r w:rsidRPr="00AB15C7">
        <w:rPr>
          <w:rFonts w:ascii="Cambria" w:hAnsi="Cambria" w:cs="Arial"/>
          <w:noProof/>
          <w:lang w:val="sr-Latn-ME"/>
        </w:rPr>
        <w:t xml:space="preserve"> propisima, </w:t>
      </w:r>
      <w:r w:rsidR="003F6D59">
        <w:rPr>
          <w:rFonts w:ascii="Cambria" w:hAnsi="Cambria" w:cs="Arial"/>
          <w:noProof/>
          <w:lang w:val="sr-Latn-ME"/>
        </w:rPr>
        <w:t xml:space="preserve">kao i </w:t>
      </w:r>
      <w:r w:rsidRPr="00AB15C7">
        <w:rPr>
          <w:rFonts w:ascii="Cambria" w:hAnsi="Cambria" w:cs="Arial"/>
          <w:noProof/>
          <w:lang w:val="sr-Latn-ME"/>
        </w:rPr>
        <w:t>ratifikovanim i objavljenim međunarodnim ugovorima.</w:t>
      </w:r>
      <w:r w:rsidR="006400F3">
        <w:rPr>
          <w:rFonts w:ascii="Cambria" w:hAnsi="Cambria" w:cs="Arial"/>
          <w:noProof/>
          <w:lang w:val="sr-Latn-ME"/>
        </w:rPr>
        <w:t xml:space="preserve"> </w:t>
      </w:r>
      <w:r w:rsidR="00A23AA7" w:rsidRPr="00AB15C7">
        <w:rPr>
          <w:rFonts w:ascii="Cambria" w:hAnsi="Cambria" w:cs="Arial"/>
          <w:noProof/>
          <w:lang w:val="sr-Latn-ME"/>
        </w:rPr>
        <w:t>Ovaj zakon i podzakonski propisi done</w:t>
      </w:r>
      <w:r w:rsidR="0079167F" w:rsidRPr="00AB15C7">
        <w:rPr>
          <w:rFonts w:ascii="Cambria" w:hAnsi="Cambria" w:cs="Arial"/>
          <w:noProof/>
          <w:lang w:val="sr-Latn-ME"/>
        </w:rPr>
        <w:t>š</w:t>
      </w:r>
      <w:r w:rsidR="00A23AA7" w:rsidRPr="00AB15C7">
        <w:rPr>
          <w:rFonts w:ascii="Cambria" w:hAnsi="Cambria" w:cs="Arial"/>
          <w:noProof/>
          <w:lang w:val="sr-Latn-ME"/>
        </w:rPr>
        <w:t xml:space="preserve">eni na osnovu njega se </w:t>
      </w:r>
      <w:r w:rsidR="006400F3" w:rsidRPr="00AB15C7">
        <w:rPr>
          <w:rFonts w:ascii="Cambria" w:hAnsi="Cambria" w:cs="Arial"/>
          <w:noProof/>
          <w:lang w:val="sr-Latn-ME"/>
        </w:rPr>
        <w:t>odnos</w:t>
      </w:r>
      <w:r w:rsidR="006400F3">
        <w:rPr>
          <w:rFonts w:ascii="Cambria" w:hAnsi="Cambria" w:cs="Arial"/>
          <w:noProof/>
          <w:lang w:val="sr-Latn-ME"/>
        </w:rPr>
        <w:t>e</w:t>
      </w:r>
      <w:r w:rsidR="006400F3" w:rsidRPr="00AB15C7">
        <w:rPr>
          <w:rFonts w:ascii="Cambria" w:hAnsi="Cambria" w:cs="Arial"/>
          <w:noProof/>
          <w:lang w:val="sr-Latn-ME"/>
        </w:rPr>
        <w:t xml:space="preserve"> </w:t>
      </w:r>
      <w:r w:rsidR="00A23AA7" w:rsidRPr="00AB15C7">
        <w:rPr>
          <w:rFonts w:ascii="Cambria" w:hAnsi="Cambria" w:cs="Arial"/>
          <w:noProof/>
          <w:lang w:val="sr-Latn-ME"/>
        </w:rPr>
        <w:t xml:space="preserve">na korišćenje </w:t>
      </w:r>
      <w:r w:rsidR="007431DE" w:rsidRPr="00AB15C7">
        <w:rPr>
          <w:rFonts w:ascii="Cambria" w:hAnsi="Cambria" w:cs="Arial"/>
          <w:noProof/>
          <w:lang w:val="sr-Latn-ME"/>
        </w:rPr>
        <w:t>hemikalija u radnoj sredini</w:t>
      </w:r>
      <w:r w:rsidR="00A23AA7" w:rsidRPr="00AB15C7">
        <w:rPr>
          <w:rFonts w:ascii="Cambria" w:hAnsi="Cambria" w:cs="Arial"/>
          <w:noProof/>
          <w:lang w:val="sr-Latn-ME"/>
        </w:rPr>
        <w:t xml:space="preserve"> </w:t>
      </w:r>
      <w:r w:rsidR="003F6D59" w:rsidRPr="003F6D59">
        <w:rPr>
          <w:rFonts w:ascii="Cambria" w:hAnsi="Cambria" w:cs="Arial"/>
          <w:noProof/>
          <w:lang w:val="sr-Latn-ME"/>
        </w:rPr>
        <w:t xml:space="preserve">(vidjeti tabelu </w:t>
      </w:r>
      <w:r w:rsidR="00686BFC" w:rsidRPr="003F6D59">
        <w:rPr>
          <w:rFonts w:ascii="Cambria" w:hAnsi="Cambria" w:cs="Arial"/>
          <w:noProof/>
          <w:lang w:val="sr-Latn-ME"/>
        </w:rPr>
        <w:t>A</w:t>
      </w:r>
      <w:r w:rsidR="00686BFC">
        <w:rPr>
          <w:rFonts w:ascii="Cambria" w:hAnsi="Cambria" w:cs="Arial"/>
          <w:noProof/>
          <w:lang w:val="sr-Latn-ME"/>
        </w:rPr>
        <w:t>11</w:t>
      </w:r>
      <w:r w:rsidR="003F6D59" w:rsidRPr="003F6D59">
        <w:rPr>
          <w:rFonts w:ascii="Cambria" w:hAnsi="Cambria" w:cs="Arial"/>
          <w:noProof/>
          <w:lang w:val="sr-Latn-ME"/>
        </w:rPr>
        <w:t>. u Prilogu)</w:t>
      </w:r>
      <w:r w:rsidR="00A23AA7" w:rsidRPr="00AB15C7">
        <w:rPr>
          <w:rFonts w:ascii="Cambria" w:hAnsi="Cambria" w:cs="Arial"/>
          <w:noProof/>
          <w:lang w:val="sr-Latn-ME"/>
        </w:rPr>
        <w:t>.</w:t>
      </w:r>
      <w:r w:rsidR="00477FED" w:rsidRPr="00AB15C7">
        <w:rPr>
          <w:rFonts w:ascii="Cambria" w:hAnsi="Cambria" w:cs="Arial"/>
          <w:noProof/>
          <w:lang w:val="sr-Latn-ME"/>
        </w:rPr>
        <w:t xml:space="preserve"> </w:t>
      </w:r>
      <w:r w:rsidRPr="00AB15C7">
        <w:rPr>
          <w:rFonts w:ascii="Cambria" w:hAnsi="Cambria" w:cs="Arial"/>
          <w:noProof/>
          <w:lang w:val="sr-Latn-ME"/>
        </w:rPr>
        <w:t>Sprovođenje odredbi ovog zakona je u nadležnosti Ministarstva rada i socijalnog staranja.</w:t>
      </w:r>
    </w:p>
    <w:p w14:paraId="42C2627E" w14:textId="77777777" w:rsidR="00416F0E" w:rsidRPr="00AB15C7" w:rsidRDefault="00416F0E" w:rsidP="005921EF">
      <w:pPr>
        <w:spacing w:after="0"/>
        <w:jc w:val="both"/>
        <w:rPr>
          <w:rFonts w:ascii="Cambria" w:hAnsi="Cambria" w:cs="Arial"/>
          <w:noProof/>
          <w:lang w:val="sr-Latn-ME"/>
        </w:rPr>
      </w:pPr>
    </w:p>
    <w:p w14:paraId="61B5F352" w14:textId="77777777" w:rsidR="0002435A" w:rsidRPr="00AB15C7" w:rsidRDefault="00DE50A7" w:rsidP="005921EF">
      <w:pPr>
        <w:pStyle w:val="Heading2"/>
        <w:ind w:firstLine="720"/>
        <w:rPr>
          <w:noProof/>
          <w:sz w:val="22"/>
          <w:szCs w:val="22"/>
          <w:lang w:val="en-US"/>
        </w:rPr>
      </w:pPr>
      <w:bookmarkStart w:id="61" w:name="_Toc527353196"/>
      <w:bookmarkEnd w:id="60"/>
      <w:r w:rsidRPr="00AB15C7">
        <w:rPr>
          <w:noProof/>
          <w:sz w:val="22"/>
          <w:szCs w:val="22"/>
          <w:lang w:val="en-US"/>
        </w:rPr>
        <w:t>2.</w:t>
      </w:r>
      <w:r w:rsidR="0079777C" w:rsidRPr="00AB15C7">
        <w:rPr>
          <w:noProof/>
          <w:sz w:val="22"/>
          <w:szCs w:val="22"/>
          <w:lang w:val="en-US"/>
        </w:rPr>
        <w:t>3.1.3.</w:t>
      </w:r>
      <w:r w:rsidR="00B85F47" w:rsidRPr="00AB15C7">
        <w:rPr>
          <w:noProof/>
          <w:sz w:val="22"/>
          <w:szCs w:val="22"/>
          <w:lang w:val="en-US"/>
        </w:rPr>
        <w:t xml:space="preserve">3. </w:t>
      </w:r>
      <w:r w:rsidR="006D4C72" w:rsidRPr="00AB15C7">
        <w:rPr>
          <w:noProof/>
          <w:sz w:val="22"/>
          <w:szCs w:val="22"/>
          <w:lang w:val="en-US"/>
        </w:rPr>
        <w:t>Propisi u  oblasti  prevoza opasnih materija</w:t>
      </w:r>
      <w:bookmarkEnd w:id="61"/>
    </w:p>
    <w:p w14:paraId="1491A878" w14:textId="159C3344" w:rsidR="00C81D56" w:rsidRPr="00AB15C7" w:rsidRDefault="00E03009" w:rsidP="00360F0F">
      <w:pPr>
        <w:spacing w:before="120"/>
        <w:jc w:val="both"/>
        <w:rPr>
          <w:rFonts w:ascii="Cambria" w:hAnsi="Cambria"/>
          <w:noProof/>
          <w:lang w:val="sr-Latn-ME"/>
        </w:rPr>
      </w:pPr>
      <w:r w:rsidRPr="00AB15C7">
        <w:rPr>
          <w:rFonts w:ascii="Cambria" w:hAnsi="Cambria"/>
          <w:b/>
          <w:noProof/>
          <w:lang w:val="sr-Latn-ME"/>
        </w:rPr>
        <w:t xml:space="preserve">Zakon o prevozu opasnih materija </w:t>
      </w:r>
      <w:r w:rsidRPr="00AB15C7">
        <w:rPr>
          <w:rFonts w:ascii="Cambria" w:hAnsi="Cambria"/>
          <w:noProof/>
          <w:lang w:val="sr-Latn-ME"/>
        </w:rPr>
        <w:t>("Sl. list CG", br. 33/14</w:t>
      </w:r>
      <w:r w:rsidR="00583857" w:rsidRPr="00AB15C7">
        <w:rPr>
          <w:rFonts w:ascii="Cambria" w:hAnsi="Cambria"/>
          <w:noProof/>
          <w:lang w:val="sr-Latn-ME"/>
        </w:rPr>
        <w:t xml:space="preserve"> i 13/18</w:t>
      </w:r>
      <w:r w:rsidRPr="00AB15C7">
        <w:rPr>
          <w:rFonts w:ascii="Cambria" w:hAnsi="Cambria"/>
          <w:noProof/>
          <w:lang w:val="sr-Latn-ME"/>
        </w:rPr>
        <w:t>) uređuje uslov</w:t>
      </w:r>
      <w:r w:rsidR="00583857" w:rsidRPr="00AB15C7">
        <w:rPr>
          <w:rFonts w:ascii="Cambria" w:hAnsi="Cambria"/>
          <w:noProof/>
          <w:lang w:val="sr-Latn-ME"/>
        </w:rPr>
        <w:t>e</w:t>
      </w:r>
      <w:r w:rsidRPr="00AB15C7">
        <w:rPr>
          <w:rFonts w:ascii="Cambria" w:hAnsi="Cambria"/>
          <w:noProof/>
          <w:lang w:val="sr-Latn-ME"/>
        </w:rPr>
        <w:t xml:space="preserve"> pod kojima se vrši prevoz opasnih materija i radnje koje su u vezi s tim prevozom, kao i nadzor nad sprovođenjem ovog zakona. </w:t>
      </w:r>
      <w:r w:rsidR="00313BC5" w:rsidRPr="00AB15C7">
        <w:rPr>
          <w:rFonts w:ascii="Cambria" w:hAnsi="Cambria"/>
          <w:noProof/>
          <w:lang w:val="sr-Latn-ME"/>
        </w:rPr>
        <w:t xml:space="preserve">Prevoz opasnih materija, u smislu ovog zakona, podrazumijeva i utovar i istovar opasnih materija, promjenu vrste prevoznog sredstva, kao i zaustavljanje koje je prouzokovano nezgodom ili saobraćajnim udesom. </w:t>
      </w:r>
      <w:r w:rsidRPr="00AB15C7">
        <w:rPr>
          <w:rFonts w:ascii="Cambria" w:hAnsi="Cambria"/>
          <w:noProof/>
          <w:lang w:val="sr-Latn-ME"/>
        </w:rPr>
        <w:t>Prevoz opasnih materija u drumskom, željezničkom, pomorskom i vazdušnom saobraćaju vrši se u skladu sa ovim zakonom</w:t>
      </w:r>
      <w:r w:rsidR="003F6D59">
        <w:rPr>
          <w:rFonts w:ascii="Cambria" w:hAnsi="Cambria"/>
          <w:noProof/>
          <w:lang w:val="sr-Latn-ME"/>
        </w:rPr>
        <w:t xml:space="preserve">, podzakonskim propisima </w:t>
      </w:r>
      <w:r w:rsidR="003F6D59" w:rsidRPr="003F6D59">
        <w:rPr>
          <w:rFonts w:ascii="Cambria" w:hAnsi="Cambria"/>
          <w:noProof/>
          <w:lang w:val="sr-Latn-ME"/>
        </w:rPr>
        <w:t xml:space="preserve">(vidjeti tabelu </w:t>
      </w:r>
      <w:r w:rsidR="00686BFC" w:rsidRPr="003F6D59">
        <w:rPr>
          <w:rFonts w:ascii="Cambria" w:hAnsi="Cambria"/>
          <w:noProof/>
          <w:lang w:val="sr-Latn-ME"/>
        </w:rPr>
        <w:t>A</w:t>
      </w:r>
      <w:r w:rsidR="00686BFC">
        <w:rPr>
          <w:rFonts w:ascii="Cambria" w:hAnsi="Cambria"/>
          <w:noProof/>
          <w:lang w:val="sr-Latn-ME"/>
        </w:rPr>
        <w:t>12</w:t>
      </w:r>
      <w:r w:rsidR="003F6D59" w:rsidRPr="003F6D59">
        <w:rPr>
          <w:rFonts w:ascii="Cambria" w:hAnsi="Cambria"/>
          <w:noProof/>
          <w:lang w:val="sr-Latn-ME"/>
        </w:rPr>
        <w:t>. u Prilogu)</w:t>
      </w:r>
      <w:r w:rsidR="003F6D59">
        <w:rPr>
          <w:rFonts w:ascii="Cambria" w:hAnsi="Cambria"/>
          <w:noProof/>
          <w:lang w:val="sr-Latn-ME"/>
        </w:rPr>
        <w:t xml:space="preserve"> </w:t>
      </w:r>
      <w:r w:rsidRPr="00AB15C7">
        <w:rPr>
          <w:rFonts w:ascii="Cambria" w:hAnsi="Cambria"/>
          <w:noProof/>
          <w:lang w:val="sr-Latn-ME"/>
        </w:rPr>
        <w:t xml:space="preserve"> i potvrđenim međunarodnim ugovorima kojima se uređuje prevoz opasnih materija</w:t>
      </w:r>
      <w:r w:rsidR="003F6D59">
        <w:rPr>
          <w:rFonts w:ascii="Cambria" w:hAnsi="Cambria"/>
          <w:noProof/>
          <w:lang w:val="sr-Latn-ME"/>
        </w:rPr>
        <w:t>.</w:t>
      </w:r>
    </w:p>
    <w:p w14:paraId="4C41DA5A" w14:textId="5C81CB35" w:rsidR="00BA6CB6" w:rsidRDefault="00BA6CB6" w:rsidP="005921EF">
      <w:pPr>
        <w:spacing w:after="0"/>
        <w:jc w:val="both"/>
        <w:rPr>
          <w:rFonts w:ascii="Cambria" w:hAnsi="Cambria"/>
          <w:noProof/>
          <w:lang w:val="sr-Latn-ME"/>
        </w:rPr>
      </w:pPr>
      <w:r w:rsidRPr="00AB15C7">
        <w:rPr>
          <w:rFonts w:ascii="Cambria" w:hAnsi="Cambria"/>
          <w:noProof/>
          <w:lang w:val="sr-Latn-ME"/>
        </w:rPr>
        <w:t>Primarna nadležnost u pogledu uređivanja oblasti prevoza opasnih materija je data o</w:t>
      </w:r>
      <w:r w:rsidR="00E03009" w:rsidRPr="00AB15C7">
        <w:rPr>
          <w:rFonts w:ascii="Cambria" w:hAnsi="Cambria"/>
          <w:noProof/>
          <w:lang w:val="sr-Latn-ME"/>
        </w:rPr>
        <w:t>rgan</w:t>
      </w:r>
      <w:r w:rsidRPr="00AB15C7">
        <w:rPr>
          <w:rFonts w:ascii="Cambria" w:hAnsi="Cambria"/>
          <w:noProof/>
          <w:lang w:val="sr-Latn-ME"/>
        </w:rPr>
        <w:t>u</w:t>
      </w:r>
      <w:r w:rsidR="0079167F" w:rsidRPr="00AB15C7">
        <w:rPr>
          <w:rFonts w:ascii="Cambria" w:hAnsi="Cambria"/>
          <w:noProof/>
          <w:lang w:val="sr-Latn-ME"/>
        </w:rPr>
        <w:t xml:space="preserve"> </w:t>
      </w:r>
      <w:r w:rsidR="00E03009" w:rsidRPr="00AB15C7">
        <w:rPr>
          <w:rFonts w:ascii="Cambria" w:hAnsi="Cambria"/>
          <w:noProof/>
          <w:lang w:val="sr-Latn-ME"/>
        </w:rPr>
        <w:t>državne uprave nadlež</w:t>
      </w:r>
      <w:r w:rsidR="0079167F" w:rsidRPr="00AB15C7">
        <w:rPr>
          <w:rFonts w:ascii="Cambria" w:hAnsi="Cambria"/>
          <w:noProof/>
          <w:lang w:val="sr-Latn-ME"/>
        </w:rPr>
        <w:t>nom</w:t>
      </w:r>
      <w:r w:rsidR="00E03009" w:rsidRPr="00AB15C7">
        <w:rPr>
          <w:rFonts w:ascii="Cambria" w:hAnsi="Cambria"/>
          <w:noProof/>
          <w:lang w:val="sr-Latn-ME"/>
        </w:rPr>
        <w:t xml:space="preserve"> za poslove zaštite i spašavanja</w:t>
      </w:r>
      <w:r w:rsidR="00583857" w:rsidRPr="00AB15C7">
        <w:rPr>
          <w:rFonts w:ascii="Cambria" w:hAnsi="Cambria"/>
          <w:noProof/>
          <w:lang w:val="sr-Latn-ME"/>
        </w:rPr>
        <w:t xml:space="preserve"> (</w:t>
      </w:r>
      <w:r w:rsidR="00583857" w:rsidRPr="00AB15C7">
        <w:rPr>
          <w:rFonts w:ascii="Cambria" w:hAnsi="Cambria"/>
          <w:noProof/>
          <w:lang w:val="sr-Latn-CS"/>
        </w:rPr>
        <w:t>Ministarstva unutrašnjih poslova-</w:t>
      </w:r>
      <w:r w:rsidR="00583857" w:rsidRPr="00AB15C7">
        <w:rPr>
          <w:rFonts w:ascii="Cambria" w:hAnsi="Cambria"/>
          <w:noProof/>
        </w:rPr>
        <w:t xml:space="preserve"> </w:t>
      </w:r>
      <w:r w:rsidR="00583857" w:rsidRPr="00AB15C7">
        <w:rPr>
          <w:rFonts w:ascii="Cambria" w:hAnsi="Cambria"/>
          <w:noProof/>
          <w:lang w:val="sr-Latn-CS"/>
        </w:rPr>
        <w:t>Direktorat za vanredne situacije)</w:t>
      </w:r>
      <w:r w:rsidRPr="00AB15C7">
        <w:rPr>
          <w:rFonts w:ascii="Cambria" w:hAnsi="Cambria"/>
          <w:noProof/>
          <w:lang w:val="sr-Latn-ME"/>
        </w:rPr>
        <w:t xml:space="preserve">. Nadzor nad sprovođenjem ovog zakona i propisa donijetih na osnovu ovog zakona, </w:t>
      </w:r>
      <w:r w:rsidR="008241E7" w:rsidRPr="00AB15C7">
        <w:rPr>
          <w:rFonts w:ascii="Cambria" w:hAnsi="Cambria"/>
          <w:noProof/>
          <w:lang w:val="sr-Latn-ME"/>
        </w:rPr>
        <w:t xml:space="preserve">pored primarno nadležnog ministarstva, </w:t>
      </w:r>
      <w:r w:rsidRPr="00AB15C7">
        <w:rPr>
          <w:rFonts w:ascii="Cambria" w:hAnsi="Cambria"/>
          <w:noProof/>
          <w:lang w:val="sr-Latn-ME"/>
        </w:rPr>
        <w:t xml:space="preserve"> </w:t>
      </w:r>
      <w:r w:rsidR="008241E7" w:rsidRPr="00AB15C7">
        <w:rPr>
          <w:rFonts w:ascii="Cambria" w:hAnsi="Cambria"/>
          <w:noProof/>
          <w:lang w:val="sr-Latn-ME"/>
        </w:rPr>
        <w:t xml:space="preserve">u okviru utvrđenih nadležnosti, vrše i </w:t>
      </w:r>
      <w:r w:rsidRPr="00AB15C7">
        <w:rPr>
          <w:rFonts w:ascii="Cambria" w:hAnsi="Cambria"/>
          <w:noProof/>
          <w:lang w:val="sr-Latn-ME"/>
        </w:rPr>
        <w:t>organ državne uprave nadležan za poslove saobraćaja i pomorstva, organ državne uprave nadležan za poslove obrazovanja, organ uprave nadležan za poslove zaštite životne sredine, organ uprave nadležan za inspekcijske poslove i Agencija za civilno vazduhoplovstvo.</w:t>
      </w:r>
    </w:p>
    <w:p w14:paraId="0447041F" w14:textId="77777777" w:rsidR="00863D5B" w:rsidRPr="00AB15C7" w:rsidRDefault="00DE50A7" w:rsidP="005921EF">
      <w:pPr>
        <w:pStyle w:val="Heading2"/>
        <w:ind w:firstLine="720"/>
        <w:rPr>
          <w:noProof/>
          <w:sz w:val="22"/>
          <w:szCs w:val="22"/>
          <w:lang w:val="en-US"/>
        </w:rPr>
      </w:pPr>
      <w:bookmarkStart w:id="62" w:name="_Toc527353197"/>
      <w:r w:rsidRPr="00AB15C7">
        <w:rPr>
          <w:noProof/>
          <w:sz w:val="22"/>
          <w:szCs w:val="22"/>
          <w:lang w:val="en-US"/>
        </w:rPr>
        <w:t>2.</w:t>
      </w:r>
      <w:r w:rsidR="00985DEC" w:rsidRPr="00AB15C7">
        <w:rPr>
          <w:noProof/>
          <w:sz w:val="22"/>
          <w:szCs w:val="22"/>
          <w:lang w:val="en-US"/>
        </w:rPr>
        <w:t>3</w:t>
      </w:r>
      <w:r w:rsidR="00E6278E" w:rsidRPr="00AB15C7">
        <w:rPr>
          <w:noProof/>
          <w:sz w:val="22"/>
          <w:szCs w:val="22"/>
          <w:lang w:val="en-US"/>
        </w:rPr>
        <w:t>.1</w:t>
      </w:r>
      <w:r w:rsidR="00985DEC" w:rsidRPr="00AB15C7">
        <w:rPr>
          <w:noProof/>
          <w:sz w:val="22"/>
          <w:szCs w:val="22"/>
          <w:lang w:val="en-US"/>
        </w:rPr>
        <w:t>.3.</w:t>
      </w:r>
      <w:r w:rsidR="00B85F47" w:rsidRPr="00AB15C7">
        <w:rPr>
          <w:noProof/>
          <w:sz w:val="22"/>
          <w:szCs w:val="22"/>
          <w:lang w:val="en-US"/>
        </w:rPr>
        <w:t>4</w:t>
      </w:r>
      <w:r w:rsidR="00E6278E" w:rsidRPr="00AB15C7">
        <w:rPr>
          <w:noProof/>
          <w:sz w:val="22"/>
          <w:szCs w:val="22"/>
          <w:lang w:val="en-US"/>
        </w:rPr>
        <w:t xml:space="preserve">. </w:t>
      </w:r>
      <w:r w:rsidR="00985DEC" w:rsidRPr="00AB15C7">
        <w:rPr>
          <w:noProof/>
          <w:sz w:val="22"/>
          <w:szCs w:val="22"/>
          <w:lang w:val="en-US"/>
        </w:rPr>
        <w:t>Ostali propisi</w:t>
      </w:r>
      <w:bookmarkEnd w:id="62"/>
      <w:r w:rsidR="00985DEC" w:rsidRPr="00AB15C7">
        <w:rPr>
          <w:noProof/>
          <w:sz w:val="22"/>
          <w:szCs w:val="22"/>
          <w:lang w:val="en-US"/>
        </w:rPr>
        <w:t xml:space="preserve"> </w:t>
      </w:r>
    </w:p>
    <w:p w14:paraId="3375C8D8" w14:textId="45AB5B23" w:rsidR="00863D5B" w:rsidRPr="00AB15C7" w:rsidRDefault="0042058B" w:rsidP="005921EF">
      <w:pPr>
        <w:autoSpaceDE w:val="0"/>
        <w:autoSpaceDN w:val="0"/>
        <w:adjustRightInd w:val="0"/>
        <w:spacing w:before="120" w:after="0"/>
        <w:jc w:val="both"/>
        <w:rPr>
          <w:rFonts w:ascii="Cambria" w:hAnsi="Cambria"/>
          <w:noProof/>
          <w:lang w:val="sr-Latn-ME"/>
        </w:rPr>
      </w:pPr>
      <w:r w:rsidRPr="00AB15C7">
        <w:rPr>
          <w:rFonts w:ascii="Cambria" w:hAnsi="Cambria"/>
          <w:noProof/>
          <w:lang w:val="sr-Latn-ME"/>
        </w:rPr>
        <w:t>Ostali p</w:t>
      </w:r>
      <w:r w:rsidR="00B602C5" w:rsidRPr="00AB15C7">
        <w:rPr>
          <w:rFonts w:ascii="Cambria" w:hAnsi="Cambria"/>
          <w:noProof/>
          <w:lang w:val="sr-Latn-ME"/>
        </w:rPr>
        <w:t xml:space="preserve">ropisi </w:t>
      </w:r>
      <w:r w:rsidRPr="00AB15C7">
        <w:rPr>
          <w:rFonts w:ascii="Cambria" w:hAnsi="Cambria"/>
          <w:noProof/>
          <w:lang w:val="sr-Latn-ME"/>
        </w:rPr>
        <w:t xml:space="preserve">iz povezanih oblasti, a koji su od takodje od izvesnog </w:t>
      </w:r>
      <w:r w:rsidR="00B602C5" w:rsidRPr="00AB15C7">
        <w:rPr>
          <w:rFonts w:ascii="Cambria" w:hAnsi="Cambria"/>
          <w:noProof/>
          <w:lang w:val="sr-Latn-ME"/>
        </w:rPr>
        <w:t>od značaja za upravljanje hemikalijama</w:t>
      </w:r>
      <w:r w:rsidRPr="00AB15C7">
        <w:rPr>
          <w:rFonts w:ascii="Cambria" w:hAnsi="Cambria"/>
          <w:noProof/>
          <w:lang w:val="sr-Latn-ME"/>
        </w:rPr>
        <w:t>,</w:t>
      </w:r>
      <w:r w:rsidR="00F308F8" w:rsidRPr="00AB15C7">
        <w:rPr>
          <w:rFonts w:ascii="Cambria" w:hAnsi="Cambria"/>
          <w:noProof/>
          <w:lang w:val="sr-Latn-ME"/>
        </w:rPr>
        <w:t xml:space="preserve"> </w:t>
      </w:r>
      <w:r w:rsidR="00B602C5" w:rsidRPr="00AB15C7">
        <w:rPr>
          <w:rFonts w:ascii="Cambria" w:hAnsi="Cambria"/>
          <w:noProof/>
          <w:lang w:val="sr-Latn-ME"/>
        </w:rPr>
        <w:t xml:space="preserve"> kao i organi nad</w:t>
      </w:r>
      <w:r w:rsidR="005D54D8" w:rsidRPr="00AB15C7">
        <w:rPr>
          <w:rFonts w:ascii="Cambria" w:hAnsi="Cambria"/>
          <w:noProof/>
          <w:lang w:val="sr-Latn-ME"/>
        </w:rPr>
        <w:t>l</w:t>
      </w:r>
      <w:r w:rsidR="00B602C5" w:rsidRPr="00AB15C7">
        <w:rPr>
          <w:rFonts w:ascii="Cambria" w:hAnsi="Cambria"/>
          <w:noProof/>
          <w:lang w:val="sr-Latn-ME"/>
        </w:rPr>
        <w:t>ežni za njihovo sprovo</w:t>
      </w:r>
      <w:r w:rsidR="005D54D8" w:rsidRPr="00AB15C7">
        <w:rPr>
          <w:rFonts w:ascii="Cambria" w:hAnsi="Cambria"/>
          <w:noProof/>
          <w:lang w:val="sr-Latn-ME"/>
        </w:rPr>
        <w:t>đ</w:t>
      </w:r>
      <w:r w:rsidR="00B602C5" w:rsidRPr="00AB15C7">
        <w:rPr>
          <w:rFonts w:ascii="Cambria" w:hAnsi="Cambria"/>
          <w:noProof/>
          <w:lang w:val="sr-Latn-ME"/>
        </w:rPr>
        <w:t xml:space="preserve">enje specificirani su u tabeli </w:t>
      </w:r>
      <w:r w:rsidR="00686BFC" w:rsidRPr="00AB15C7">
        <w:rPr>
          <w:rFonts w:ascii="Cambria" w:hAnsi="Cambria"/>
          <w:noProof/>
          <w:lang w:val="sr-Latn-ME"/>
        </w:rPr>
        <w:t>A1</w:t>
      </w:r>
      <w:r w:rsidR="00686BFC">
        <w:rPr>
          <w:rFonts w:ascii="Cambria" w:hAnsi="Cambria"/>
          <w:noProof/>
          <w:lang w:val="sr-Latn-ME"/>
        </w:rPr>
        <w:t>3</w:t>
      </w:r>
      <w:r w:rsidR="00686BFC" w:rsidRPr="00AB15C7">
        <w:rPr>
          <w:rFonts w:ascii="Cambria" w:hAnsi="Cambria"/>
          <w:noProof/>
          <w:lang w:val="sr-Latn-ME"/>
        </w:rPr>
        <w:t xml:space="preserve"> </w:t>
      </w:r>
      <w:r w:rsidR="00991910">
        <w:rPr>
          <w:rFonts w:ascii="Cambria" w:hAnsi="Cambria"/>
          <w:noProof/>
          <w:lang w:val="sr-Latn-ME"/>
        </w:rPr>
        <w:t>u Prilogu</w:t>
      </w:r>
      <w:r w:rsidR="005D54D8" w:rsidRPr="00AB15C7">
        <w:rPr>
          <w:rFonts w:ascii="Cambria" w:hAnsi="Cambria"/>
          <w:noProof/>
          <w:lang w:val="sr-Latn-ME"/>
        </w:rPr>
        <w:t>.</w:t>
      </w:r>
    </w:p>
    <w:p w14:paraId="412F53F4" w14:textId="77777777" w:rsidR="00357548" w:rsidRPr="00AB15C7" w:rsidRDefault="00DE50A7" w:rsidP="005921EF">
      <w:pPr>
        <w:pStyle w:val="Heading2"/>
        <w:rPr>
          <w:noProof/>
          <w:sz w:val="22"/>
          <w:szCs w:val="22"/>
          <w:lang w:val="en-US"/>
        </w:rPr>
      </w:pPr>
      <w:bookmarkStart w:id="63" w:name="_Toc527353198"/>
      <w:r w:rsidRPr="00AB15C7">
        <w:rPr>
          <w:noProof/>
          <w:sz w:val="22"/>
          <w:szCs w:val="22"/>
          <w:lang w:val="en-US"/>
        </w:rPr>
        <w:t>2.</w:t>
      </w:r>
      <w:r w:rsidR="00486EB8" w:rsidRPr="00AB15C7">
        <w:rPr>
          <w:noProof/>
          <w:sz w:val="22"/>
          <w:szCs w:val="22"/>
          <w:lang w:val="en-US"/>
        </w:rPr>
        <w:t>3.2. Pregled  nacionalnih strategija, programa ili planova od značaja za upravljanje hemikalijama</w:t>
      </w:r>
      <w:bookmarkEnd w:id="63"/>
      <w:r w:rsidR="00486EB8" w:rsidRPr="00AB15C7">
        <w:rPr>
          <w:noProof/>
          <w:sz w:val="22"/>
          <w:szCs w:val="22"/>
          <w:lang w:val="en-US"/>
        </w:rPr>
        <w:t xml:space="preserve"> </w:t>
      </w:r>
    </w:p>
    <w:p w14:paraId="4FB498BF" w14:textId="77777777" w:rsidR="00B85F47" w:rsidRPr="00AB15C7" w:rsidRDefault="00A30B4A" w:rsidP="005921EF">
      <w:pPr>
        <w:autoSpaceDE w:val="0"/>
        <w:autoSpaceDN w:val="0"/>
        <w:adjustRightInd w:val="0"/>
        <w:spacing w:before="120" w:after="0"/>
        <w:jc w:val="both"/>
        <w:rPr>
          <w:rFonts w:ascii="Cambria" w:hAnsi="Cambria" w:cs="Arial"/>
          <w:b/>
          <w:noProof/>
          <w:lang w:val="sr-Latn-ME"/>
        </w:rPr>
      </w:pPr>
      <w:r w:rsidRPr="00AB15C7">
        <w:rPr>
          <w:rFonts w:ascii="Cambria" w:hAnsi="Cambria" w:cs="Arial"/>
          <w:noProof/>
          <w:lang w:val="pl-PL"/>
        </w:rPr>
        <w:t>Pored zakonskih propisa, osnov sistema upravljanja hemikalijama predstavljaju i strategije, kako one koje daju opšte stratečke pravce, tako i sektorske strategije koje se odnose na ovu oblast.</w:t>
      </w:r>
    </w:p>
    <w:p w14:paraId="5E54C0CF" w14:textId="77777777" w:rsidR="00E52D65" w:rsidRPr="00AB15C7" w:rsidRDefault="00147FDC" w:rsidP="005921EF">
      <w:pPr>
        <w:autoSpaceDE w:val="0"/>
        <w:autoSpaceDN w:val="0"/>
        <w:adjustRightInd w:val="0"/>
        <w:spacing w:before="120" w:after="0"/>
        <w:jc w:val="both"/>
        <w:rPr>
          <w:rFonts w:ascii="Cambria" w:hAnsi="Cambria" w:cs="Arial"/>
          <w:noProof/>
          <w:lang w:val="sr-Latn-ME"/>
        </w:rPr>
      </w:pPr>
      <w:r w:rsidRPr="00AB15C7">
        <w:rPr>
          <w:rFonts w:ascii="Cambria" w:hAnsi="Cambria" w:cs="Arial"/>
          <w:b/>
          <w:noProof/>
          <w:lang w:val="sr-Latn-ME"/>
        </w:rPr>
        <w:t>Opšti strateški pravci Crne Gore</w:t>
      </w:r>
      <w:r w:rsidRPr="00AB15C7">
        <w:rPr>
          <w:rFonts w:ascii="Cambria" w:hAnsi="Cambria" w:cs="Arial"/>
          <w:noProof/>
          <w:lang w:val="sr-Latn-ME"/>
        </w:rPr>
        <w:t xml:space="preserve"> </w:t>
      </w:r>
      <w:r w:rsidR="00E52D65" w:rsidRPr="00AB15C7">
        <w:rPr>
          <w:rFonts w:ascii="Cambria" w:hAnsi="Cambria" w:cs="Arial"/>
          <w:noProof/>
          <w:lang w:val="sr-Latn-ME"/>
        </w:rPr>
        <w:t>defini</w:t>
      </w:r>
      <w:r w:rsidRPr="00AB15C7">
        <w:rPr>
          <w:rFonts w:ascii="Cambria" w:hAnsi="Cambria" w:cs="Arial"/>
          <w:noProof/>
          <w:lang w:val="sr-Latn-ME"/>
        </w:rPr>
        <w:t>sani su sledećim strateškim dokumentima</w:t>
      </w:r>
      <w:r w:rsidR="00357548" w:rsidRPr="00AB15C7">
        <w:rPr>
          <w:rFonts w:ascii="Cambria" w:hAnsi="Cambria" w:cs="Arial"/>
          <w:noProof/>
          <w:lang w:val="sr-Latn-ME"/>
        </w:rPr>
        <w:t>:</w:t>
      </w:r>
    </w:p>
    <w:p w14:paraId="7475B4D7" w14:textId="59D429E0" w:rsidR="00F05C6B" w:rsidRPr="00AB15C7" w:rsidRDefault="00F05C6B" w:rsidP="00557C13">
      <w:pPr>
        <w:numPr>
          <w:ilvl w:val="0"/>
          <w:numId w:val="8"/>
        </w:numPr>
        <w:autoSpaceDE w:val="0"/>
        <w:autoSpaceDN w:val="0"/>
        <w:adjustRightInd w:val="0"/>
        <w:spacing w:before="120" w:after="0"/>
        <w:jc w:val="both"/>
        <w:rPr>
          <w:rFonts w:ascii="Cambria" w:hAnsi="Cambria" w:cs="Arial"/>
          <w:noProof/>
          <w:lang w:val="sr-Latn-ME"/>
        </w:rPr>
      </w:pPr>
      <w:r w:rsidRPr="00AB15C7">
        <w:rPr>
          <w:rFonts w:ascii="Cambria" w:hAnsi="Cambria" w:cs="Arial"/>
          <w:b/>
          <w:noProof/>
          <w:lang w:val="sr-Latn-ME"/>
        </w:rPr>
        <w:t>Program pristupanja Crne Gore Evropskoj Uniji</w:t>
      </w:r>
      <w:r w:rsidRPr="00AB15C7">
        <w:rPr>
          <w:rFonts w:ascii="Cambria" w:hAnsi="Cambria" w:cs="Arial"/>
          <w:noProof/>
          <w:lang w:val="sr-Latn-ME"/>
        </w:rPr>
        <w:t xml:space="preserve"> se donosi na višegodišnji period u skladu s dinamikom pristupanja EU i u njemu se navode ključne obaveze koje Crna Gora treba ispuniti na putu pristupanja EU. Program </w:t>
      </w:r>
      <w:r w:rsidR="00C81D56">
        <w:rPr>
          <w:rFonts w:ascii="Cambria" w:hAnsi="Cambria" w:cs="Arial"/>
          <w:noProof/>
          <w:lang w:val="sr-Latn-ME"/>
        </w:rPr>
        <w:t xml:space="preserve">je </w:t>
      </w:r>
      <w:r w:rsidRPr="00AB15C7">
        <w:rPr>
          <w:rFonts w:ascii="Cambria" w:hAnsi="Cambria" w:cs="Arial"/>
          <w:noProof/>
          <w:lang w:val="sr-Latn-ME"/>
        </w:rPr>
        <w:t>priprem</w:t>
      </w:r>
      <w:r w:rsidR="00C81D56">
        <w:rPr>
          <w:rFonts w:ascii="Cambria" w:hAnsi="Cambria" w:cs="Arial"/>
          <w:noProof/>
          <w:lang w:val="sr-Latn-ME"/>
        </w:rPr>
        <w:t>ilo tađašnje</w:t>
      </w:r>
      <w:r w:rsidRPr="00AB15C7">
        <w:rPr>
          <w:rFonts w:ascii="Cambria" w:hAnsi="Cambria" w:cs="Arial"/>
          <w:noProof/>
          <w:lang w:val="sr-Latn-ME"/>
        </w:rPr>
        <w:t xml:space="preserve"> Ministarstvo evropskih poslova. Aktuelni </w:t>
      </w:r>
      <w:r w:rsidRPr="00AB15C7">
        <w:rPr>
          <w:rFonts w:ascii="Cambria" w:hAnsi="Cambria" w:cs="Arial"/>
          <w:noProof/>
          <w:lang w:val="sr-Latn-ME"/>
        </w:rPr>
        <w:lastRenderedPageBreak/>
        <w:t>Program donijet je za period 2018-2021, a u pogledu upravljanja hemikalijama sadrži dinamiku daljeg usaglašavanja nacionalnih propisa sa odgovarajućim propisima EU;</w:t>
      </w:r>
    </w:p>
    <w:p w14:paraId="62A78EAB" w14:textId="77777777" w:rsidR="003B51A6" w:rsidRPr="00AB15C7" w:rsidRDefault="00E52D65" w:rsidP="00557C13">
      <w:pPr>
        <w:numPr>
          <w:ilvl w:val="0"/>
          <w:numId w:val="8"/>
        </w:numPr>
        <w:autoSpaceDE w:val="0"/>
        <w:autoSpaceDN w:val="0"/>
        <w:adjustRightInd w:val="0"/>
        <w:spacing w:before="120" w:after="0"/>
        <w:jc w:val="both"/>
        <w:rPr>
          <w:rFonts w:ascii="Cambria" w:hAnsi="Cambria" w:cs="Arial"/>
          <w:noProof/>
        </w:rPr>
      </w:pPr>
      <w:r w:rsidRPr="00AB15C7">
        <w:rPr>
          <w:rFonts w:ascii="Cambria" w:hAnsi="Cambria" w:cs="Arial"/>
          <w:b/>
          <w:noProof/>
          <w:lang w:val="sr-Latn-ME"/>
        </w:rPr>
        <w:t>Pravci razvoja Crne Gore,</w:t>
      </w:r>
      <w:r w:rsidRPr="00AB15C7">
        <w:rPr>
          <w:rFonts w:ascii="Cambria" w:hAnsi="Cambria" w:cs="Arial"/>
          <w:noProof/>
          <w:lang w:val="sr-Latn-ME"/>
        </w:rPr>
        <w:t xml:space="preserve"> kojima se određuju sektorski i međusektorski prioriteti politika u odnosu na odgovarajući finansijski okvir</w:t>
      </w:r>
      <w:r w:rsidR="003B51A6" w:rsidRPr="00AB15C7">
        <w:rPr>
          <w:rFonts w:ascii="Cambria" w:hAnsi="Cambria" w:cs="Arial"/>
          <w:noProof/>
          <w:lang w:val="sr-Latn-ME"/>
        </w:rPr>
        <w:t>.</w:t>
      </w:r>
      <w:r w:rsidRPr="00AB15C7">
        <w:rPr>
          <w:rFonts w:ascii="Cambria" w:hAnsi="Cambria" w:cs="Arial"/>
          <w:noProof/>
          <w:lang w:val="sr-Latn-ME"/>
        </w:rPr>
        <w:t xml:space="preserve"> Za pripremu Pravaca razvoja zaduženo je Ministarstvo finansija</w:t>
      </w:r>
      <w:r w:rsidR="00357548" w:rsidRPr="00AB15C7">
        <w:rPr>
          <w:rFonts w:ascii="Cambria" w:hAnsi="Cambria" w:cs="Arial"/>
          <w:noProof/>
          <w:lang w:val="sr-Latn-ME"/>
        </w:rPr>
        <w:t>.</w:t>
      </w:r>
      <w:r w:rsidRPr="00AB15C7">
        <w:rPr>
          <w:rFonts w:ascii="Cambria" w:hAnsi="Cambria" w:cs="Arial"/>
          <w:noProof/>
          <w:lang w:val="sr-Latn-ME"/>
        </w:rPr>
        <w:t xml:space="preserve"> </w:t>
      </w:r>
      <w:r w:rsidR="00357548" w:rsidRPr="00AB15C7">
        <w:rPr>
          <w:rFonts w:ascii="Cambria" w:hAnsi="Cambria" w:cs="Arial"/>
          <w:noProof/>
          <w:lang w:val="sr-Latn-ME"/>
        </w:rPr>
        <w:t>Aktuelni Pravci razvoja donijeti su za period 2018-202</w:t>
      </w:r>
      <w:r w:rsidR="003B51A6" w:rsidRPr="00AB15C7">
        <w:rPr>
          <w:rFonts w:ascii="Cambria" w:hAnsi="Cambria" w:cs="Arial"/>
          <w:noProof/>
          <w:lang w:val="sr-Latn-ME"/>
        </w:rPr>
        <w:t>1</w:t>
      </w:r>
      <w:r w:rsidR="00147FDC" w:rsidRPr="00AB15C7">
        <w:rPr>
          <w:rFonts w:ascii="Cambria" w:hAnsi="Cambria" w:cs="Arial"/>
          <w:noProof/>
          <w:lang w:val="sr-Latn-ME"/>
        </w:rPr>
        <w:t>.</w:t>
      </w:r>
      <w:r w:rsidR="003B51A6" w:rsidRPr="00AB15C7">
        <w:rPr>
          <w:rFonts w:ascii="Cambria" w:hAnsi="Cambria" w:cs="Arial"/>
          <w:noProof/>
          <w:lang w:val="sr-Latn-ME"/>
        </w:rPr>
        <w:t xml:space="preserve"> Sa aspekta upravljanja hemikalija u pravcima se apostrofira potreba za </w:t>
      </w:r>
      <w:r w:rsidR="003B51A6" w:rsidRPr="00AB15C7">
        <w:rPr>
          <w:rFonts w:ascii="Cambria" w:hAnsi="Cambria" w:cs="Arial"/>
          <w:noProof/>
        </w:rPr>
        <w:t>uspostavljanjem Nacionalnog Help deska, nacionalnog Centra za kontrolu trovanja i Registra hemikalija u odgovarajućoj formi</w:t>
      </w:r>
      <w:r w:rsidR="00147FDC" w:rsidRPr="00AB15C7">
        <w:rPr>
          <w:rFonts w:ascii="Cambria" w:hAnsi="Cambria" w:cs="Arial"/>
          <w:noProof/>
        </w:rPr>
        <w:t>;</w:t>
      </w:r>
    </w:p>
    <w:p w14:paraId="51192BFC" w14:textId="7E80A7A8" w:rsidR="00E52D65" w:rsidRPr="00AB15C7" w:rsidRDefault="00E52D65" w:rsidP="00557C13">
      <w:pPr>
        <w:numPr>
          <w:ilvl w:val="0"/>
          <w:numId w:val="8"/>
        </w:numPr>
        <w:autoSpaceDE w:val="0"/>
        <w:autoSpaceDN w:val="0"/>
        <w:adjustRightInd w:val="0"/>
        <w:spacing w:before="120" w:after="0"/>
        <w:jc w:val="both"/>
        <w:rPr>
          <w:rFonts w:ascii="Cambria" w:hAnsi="Cambria" w:cs="Arial"/>
          <w:noProof/>
          <w:lang w:val="sr-Latn-ME"/>
        </w:rPr>
      </w:pPr>
      <w:r w:rsidRPr="00AB15C7">
        <w:rPr>
          <w:rFonts w:ascii="Cambria" w:hAnsi="Cambria" w:cs="Arial"/>
          <w:b/>
          <w:noProof/>
          <w:lang w:val="sr-Latn-ME"/>
        </w:rPr>
        <w:t>Nacionalna strategija održivog razvoja 2030</w:t>
      </w:r>
      <w:r w:rsidRPr="00AB15C7">
        <w:rPr>
          <w:rFonts w:ascii="Cambria" w:hAnsi="Cambria" w:cs="Arial"/>
          <w:noProof/>
          <w:lang w:val="sr-Latn-ME"/>
        </w:rPr>
        <w:t xml:space="preserve">, </w:t>
      </w:r>
      <w:r w:rsidR="00147FDC" w:rsidRPr="00AB15C7">
        <w:rPr>
          <w:rFonts w:ascii="Cambria" w:hAnsi="Cambria" w:cs="Arial"/>
          <w:noProof/>
          <w:lang w:val="sr-Latn-ME"/>
        </w:rPr>
        <w:t>utvrđ</w:t>
      </w:r>
      <w:r w:rsidR="00E61BE1">
        <w:rPr>
          <w:rFonts w:ascii="Cambria" w:hAnsi="Cambria" w:cs="Arial"/>
          <w:noProof/>
          <w:lang w:val="sr-Latn-ME"/>
        </w:rPr>
        <w:t>uj</w:t>
      </w:r>
      <w:r w:rsidR="00147FDC" w:rsidRPr="00AB15C7">
        <w:rPr>
          <w:rFonts w:ascii="Cambria" w:hAnsi="Cambria" w:cs="Arial"/>
          <w:noProof/>
          <w:lang w:val="sr-Latn-ME"/>
        </w:rPr>
        <w:t xml:space="preserve">e principe, strateške ciljeve i smjernice za dostizanje dugoročnog održivog razvoja društva, uzimajući u obzir postojeće stanje i preuzete međunarodne obaveze </w:t>
      </w:r>
      <w:r w:rsidRPr="00AB15C7">
        <w:rPr>
          <w:rFonts w:ascii="Cambria" w:hAnsi="Cambria" w:cs="Arial"/>
          <w:noProof/>
          <w:lang w:val="sr-Latn-ME"/>
        </w:rPr>
        <w:t>u skladu sa ciljevima održivog razvoja Ujedinjenih nacija i obavezama iz procesa pristupanja EU. Period trajanja je do 2016-2030, a za pripremu i sprovođenje je zaduženo Ministarstvo održivog razvoja i turizma</w:t>
      </w:r>
      <w:r w:rsidR="00147FDC" w:rsidRPr="00AB15C7">
        <w:rPr>
          <w:rFonts w:ascii="Cambria" w:hAnsi="Cambria" w:cs="Arial"/>
          <w:noProof/>
          <w:lang w:val="sr-Latn-ME"/>
        </w:rPr>
        <w:t>.</w:t>
      </w:r>
      <w:r w:rsidRPr="00AB15C7">
        <w:rPr>
          <w:rFonts w:ascii="Cambria" w:hAnsi="Cambria" w:cs="Arial"/>
          <w:noProof/>
          <w:lang w:val="sr-Latn-ME"/>
        </w:rPr>
        <w:t xml:space="preserve"> </w:t>
      </w:r>
      <w:r w:rsidR="00147FDC" w:rsidRPr="00AB15C7">
        <w:rPr>
          <w:rFonts w:ascii="Cambria" w:hAnsi="Cambria" w:cs="Arial"/>
          <w:noProof/>
          <w:lang w:val="sr-Latn-ME"/>
        </w:rPr>
        <w:t>Strategija postavlja ključne prioritete u oblasti održivog razvoja i sadrži akcioni plan, kojim se definišu mjere za ostvarivanje strateških ciljeva, nadležni organi i druga lica za sprovođenje mjera iz akcionog plana sa rokovima za sprovođenje mjera. I</w:t>
      </w:r>
      <w:r w:rsidR="003E04DD" w:rsidRPr="00AB15C7">
        <w:rPr>
          <w:rFonts w:ascii="Cambria" w:hAnsi="Cambria" w:cs="Arial"/>
          <w:noProof/>
          <w:lang w:val="sr-Latn-ME"/>
        </w:rPr>
        <w:t>zmeđu ostalog, određene m</w:t>
      </w:r>
      <w:r w:rsidR="00E61BE1">
        <w:rPr>
          <w:rFonts w:ascii="Cambria" w:hAnsi="Cambria" w:cs="Arial"/>
          <w:noProof/>
          <w:lang w:val="sr-Latn-ME"/>
        </w:rPr>
        <w:t>j</w:t>
      </w:r>
      <w:r w:rsidR="003E04DD" w:rsidRPr="00AB15C7">
        <w:rPr>
          <w:rFonts w:ascii="Cambria" w:hAnsi="Cambria" w:cs="Arial"/>
          <w:noProof/>
          <w:lang w:val="sr-Latn-ME"/>
        </w:rPr>
        <w:t xml:space="preserve">ere </w:t>
      </w:r>
      <w:r w:rsidR="00783388" w:rsidRPr="00AB15C7">
        <w:rPr>
          <w:rFonts w:ascii="Cambria" w:hAnsi="Cambria" w:cs="Arial"/>
          <w:noProof/>
          <w:lang w:val="sr-Latn-ME"/>
        </w:rPr>
        <w:t xml:space="preserve">se odnose na Cilj 12. </w:t>
      </w:r>
      <w:r w:rsidR="00783388" w:rsidRPr="00AB15C7">
        <w:rPr>
          <w:rFonts w:ascii="Cambria" w:hAnsi="Cambria" w:cs="Arial"/>
          <w:noProof/>
        </w:rPr>
        <w:t>Obezbijediti održive obrasce potrošnje i proizvodnje</w:t>
      </w:r>
      <w:r w:rsidR="00601676">
        <w:rPr>
          <w:rFonts w:ascii="Cambria" w:hAnsi="Cambria" w:cs="Arial"/>
          <w:noProof/>
        </w:rPr>
        <w:t>,</w:t>
      </w:r>
      <w:r w:rsidR="00783388" w:rsidRPr="00AB15C7">
        <w:rPr>
          <w:rFonts w:ascii="Cambria" w:hAnsi="Cambria" w:cs="Arial"/>
          <w:noProof/>
          <w:lang w:val="sr-Latn-ME"/>
        </w:rPr>
        <w:t xml:space="preserve"> </w:t>
      </w:r>
      <w:r w:rsidR="00147FDC" w:rsidRPr="00AB15C7">
        <w:rPr>
          <w:rFonts w:ascii="Cambria" w:hAnsi="Cambria" w:cs="Arial"/>
          <w:noProof/>
          <w:lang w:val="sr-Latn-ME"/>
        </w:rPr>
        <w:t xml:space="preserve">uključuju i </w:t>
      </w:r>
      <w:r w:rsidR="00E61BE1" w:rsidRPr="00AB15C7">
        <w:rPr>
          <w:rFonts w:ascii="Cambria" w:hAnsi="Cambria" w:cs="Arial"/>
          <w:noProof/>
          <w:lang w:val="sr-Latn-ME"/>
        </w:rPr>
        <w:t>unapre</w:t>
      </w:r>
      <w:r w:rsidR="00E61BE1">
        <w:rPr>
          <w:rFonts w:ascii="Cambria" w:hAnsi="Cambria" w:cs="Arial"/>
          <w:noProof/>
          <w:lang w:val="sr-Latn-ME"/>
        </w:rPr>
        <w:t>đ</w:t>
      </w:r>
      <w:r w:rsidR="00E61BE1" w:rsidRPr="00AB15C7">
        <w:rPr>
          <w:rFonts w:ascii="Cambria" w:hAnsi="Cambria" w:cs="Arial"/>
          <w:noProof/>
          <w:lang w:val="sr-Latn-ME"/>
        </w:rPr>
        <w:t xml:space="preserve">enje </w:t>
      </w:r>
      <w:r w:rsidR="00783388" w:rsidRPr="00AB15C7">
        <w:rPr>
          <w:rFonts w:ascii="Cambria" w:hAnsi="Cambria" w:cs="Arial"/>
          <w:noProof/>
          <w:lang w:val="sr-Latn-ME"/>
        </w:rPr>
        <w:t>u oblasti upravljanja hemikalijama</w:t>
      </w:r>
      <w:r w:rsidR="00147FDC" w:rsidRPr="00AB15C7">
        <w:rPr>
          <w:rFonts w:ascii="Cambria" w:hAnsi="Cambria" w:cs="Arial"/>
          <w:noProof/>
          <w:lang w:val="sr-Latn-ME"/>
        </w:rPr>
        <w:t>;</w:t>
      </w:r>
    </w:p>
    <w:p w14:paraId="4DB931AC" w14:textId="77777777" w:rsidR="00F330E0" w:rsidRPr="00AB15C7" w:rsidRDefault="00E52D65" w:rsidP="00557C13">
      <w:pPr>
        <w:numPr>
          <w:ilvl w:val="0"/>
          <w:numId w:val="8"/>
        </w:numPr>
        <w:autoSpaceDE w:val="0"/>
        <w:autoSpaceDN w:val="0"/>
        <w:adjustRightInd w:val="0"/>
        <w:spacing w:before="120" w:after="0"/>
        <w:jc w:val="both"/>
        <w:rPr>
          <w:rFonts w:ascii="Cambria" w:hAnsi="Cambria" w:cs="Arial"/>
          <w:noProof/>
          <w:lang w:val="sq-AL"/>
        </w:rPr>
      </w:pPr>
      <w:r w:rsidRPr="00AB15C7">
        <w:rPr>
          <w:rFonts w:ascii="Cambria" w:hAnsi="Cambria" w:cs="Arial"/>
          <w:b/>
          <w:noProof/>
          <w:lang w:val="sr-Latn-ME"/>
        </w:rPr>
        <w:t>Strategija regionalnog razvoja</w:t>
      </w:r>
      <w:r w:rsidRPr="00AB15C7">
        <w:rPr>
          <w:rFonts w:ascii="Cambria" w:hAnsi="Cambria" w:cs="Arial"/>
          <w:noProof/>
          <w:lang w:val="sr-Latn-ME"/>
        </w:rPr>
        <w:t xml:space="preserve">, koja definiše ključne prioritete razvoja na nacionalnom nivou, postizanje pametnog, održivog i inkluzivnog rasta, priprema se od strane Ministarstva ekonomije. Aktuelna strategija donijeta je za period 2014-2020; </w:t>
      </w:r>
      <w:r w:rsidR="00F330E0" w:rsidRPr="00AB15C7">
        <w:rPr>
          <w:rFonts w:ascii="Cambria" w:hAnsi="Cambria" w:cs="Arial"/>
          <w:noProof/>
          <w:lang w:val="pl-PL"/>
        </w:rPr>
        <w:t>Pored konkurentnosti i inovacija, industrije, turizma i kulture, obrazovanja, zapošljavanja i socijalne politike, saobraćajne infrastrukture, energetike i poljoprivrede i ruralnog razvoja, jedna od prioritetnih oblasti  odnosi se na zaštitu životne sredine. U fokusu je “</w:t>
      </w:r>
      <w:r w:rsidR="00F330E0" w:rsidRPr="00AB15C7">
        <w:rPr>
          <w:rFonts w:ascii="Cambria" w:hAnsi="Cambria" w:cs="Arial"/>
          <w:noProof/>
          <w:lang w:val="sq-AL"/>
        </w:rPr>
        <w:t>promocija održivog razvoja zasnovanog na zaštiti prirode, minimalnog zagađenja vazduha, zaštite kvaliteta voda i efikasno upravljanje čvrstim otpadom i otpadnim vodama, zaštita od buke u životnoj sredini, bezbjedno upravljanje hemikalijama i kontrola industrijskog zagađenja”</w:t>
      </w:r>
      <w:r w:rsidR="00F330E0" w:rsidRPr="00AB15C7">
        <w:rPr>
          <w:rFonts w:ascii="Cambria" w:hAnsi="Cambria" w:cs="Arial"/>
          <w:noProof/>
          <w:vertAlign w:val="superscript"/>
          <w:lang w:val="sq-AL"/>
        </w:rPr>
        <w:footnoteReference w:id="22"/>
      </w:r>
      <w:r w:rsidR="00F330E0" w:rsidRPr="00AB15C7">
        <w:rPr>
          <w:rFonts w:ascii="Cambria" w:hAnsi="Cambria" w:cs="Arial"/>
          <w:noProof/>
          <w:lang w:val="sq-AL"/>
        </w:rPr>
        <w:t>.</w:t>
      </w:r>
    </w:p>
    <w:p w14:paraId="54B36621" w14:textId="77777777" w:rsidR="00A17FD9" w:rsidRPr="00AB15C7" w:rsidRDefault="00B85F47" w:rsidP="005921EF">
      <w:pPr>
        <w:autoSpaceDE w:val="0"/>
        <w:autoSpaceDN w:val="0"/>
        <w:adjustRightInd w:val="0"/>
        <w:spacing w:before="120" w:after="0"/>
        <w:jc w:val="both"/>
        <w:rPr>
          <w:rFonts w:ascii="Cambria" w:hAnsi="Cambria" w:cs="Arial"/>
          <w:noProof/>
          <w:lang w:val="pl-PL"/>
        </w:rPr>
      </w:pPr>
      <w:r w:rsidRPr="00AB15C7">
        <w:rPr>
          <w:rFonts w:ascii="Cambria" w:hAnsi="Cambria" w:cs="Arial"/>
          <w:b/>
          <w:noProof/>
          <w:lang w:val="pl-PL"/>
        </w:rPr>
        <w:t xml:space="preserve">Sektorski strateški dokumenti od značaja za upravljanje hemikalijama </w:t>
      </w:r>
      <w:r w:rsidRPr="00AB15C7">
        <w:rPr>
          <w:rFonts w:ascii="Cambria" w:hAnsi="Cambria" w:cs="Arial"/>
          <w:noProof/>
          <w:lang w:val="pl-PL"/>
        </w:rPr>
        <w:t>obuhvataju slede</w:t>
      </w:r>
      <w:r w:rsidRPr="00AB15C7">
        <w:rPr>
          <w:rFonts w:ascii="Cambria" w:hAnsi="Cambria" w:cs="Arial"/>
          <w:noProof/>
          <w:lang w:val="sr-Latn-RS"/>
        </w:rPr>
        <w:t>će</w:t>
      </w:r>
      <w:r w:rsidRPr="00AB15C7">
        <w:rPr>
          <w:rFonts w:ascii="Cambria" w:hAnsi="Cambria" w:cs="Arial"/>
          <w:noProof/>
          <w:lang w:val="pl-PL"/>
        </w:rPr>
        <w:t>:</w:t>
      </w:r>
    </w:p>
    <w:p w14:paraId="0161E73E" w14:textId="28ACD011" w:rsidR="005D54D8" w:rsidRPr="00AB15C7" w:rsidRDefault="005D54D8" w:rsidP="00557C13">
      <w:pPr>
        <w:numPr>
          <w:ilvl w:val="0"/>
          <w:numId w:val="7"/>
        </w:numPr>
        <w:autoSpaceDE w:val="0"/>
        <w:autoSpaceDN w:val="0"/>
        <w:adjustRightInd w:val="0"/>
        <w:spacing w:before="120" w:after="0"/>
        <w:jc w:val="both"/>
        <w:rPr>
          <w:rFonts w:ascii="Cambria" w:hAnsi="Cambria" w:cs="Arial"/>
          <w:noProof/>
          <w:lang w:val="pl-PL"/>
        </w:rPr>
      </w:pPr>
      <w:r w:rsidRPr="00AB15C7">
        <w:rPr>
          <w:rFonts w:ascii="Cambria" w:hAnsi="Cambria" w:cs="Arial"/>
          <w:b/>
          <w:noProof/>
          <w:lang w:val="pl-PL"/>
        </w:rPr>
        <w:t xml:space="preserve">Nacionalna strategija za transpoziciju, implementaciju i primjenu pravne tekovine </w:t>
      </w:r>
      <w:r w:rsidR="00601676" w:rsidRPr="00AB15C7">
        <w:rPr>
          <w:rFonts w:ascii="Cambria" w:hAnsi="Cambria" w:cs="Arial"/>
          <w:b/>
          <w:noProof/>
          <w:lang w:val="pl-PL"/>
        </w:rPr>
        <w:t xml:space="preserve">EU </w:t>
      </w:r>
      <w:r w:rsidRPr="00AB15C7">
        <w:rPr>
          <w:rFonts w:ascii="Cambria" w:hAnsi="Cambria" w:cs="Arial"/>
          <w:b/>
          <w:noProof/>
          <w:lang w:val="pl-PL"/>
        </w:rPr>
        <w:t xml:space="preserve">u oblasti životne sredine i klimatskih promjena s akcionim planom za period 2016-2020 </w:t>
      </w:r>
      <w:r w:rsidR="000F1895" w:rsidRPr="00AB15C7">
        <w:rPr>
          <w:rFonts w:ascii="Cambria" w:hAnsi="Cambria" w:cs="Arial"/>
          <w:noProof/>
          <w:lang w:val="pl-PL"/>
        </w:rPr>
        <w:t xml:space="preserve">predstavlja dokument koji će poslužiti kao osnov za transpoziciju, implementaciju i primjenu pravne tekovine EU u oblasti životne sredine i klimatskih promjena, uključujući i planove za razvoj relevantih administrativnih kapaciteta i procjenu potrebnih finansijskih resursa. Posebnu pažnju treba posvetiti: usklađivanju sa pravnom tekovinom EU u sektoru voda i sektoru otpada, integrisanju mjera za minimalizaciju otpada i upravljanje otpadom, </w:t>
      </w:r>
      <w:r w:rsidR="0083287C">
        <w:rPr>
          <w:rFonts w:ascii="Cambria" w:hAnsi="Cambria" w:cs="Arial"/>
          <w:noProof/>
          <w:lang w:val="pl-PL"/>
        </w:rPr>
        <w:t>kao i</w:t>
      </w:r>
      <w:r w:rsidR="0083287C" w:rsidRPr="00AB15C7">
        <w:rPr>
          <w:rFonts w:ascii="Cambria" w:hAnsi="Cambria" w:cs="Arial"/>
          <w:noProof/>
          <w:lang w:val="pl-PL"/>
        </w:rPr>
        <w:t xml:space="preserve"> </w:t>
      </w:r>
      <w:r w:rsidR="000F1895" w:rsidRPr="00AB15C7">
        <w:rPr>
          <w:rFonts w:ascii="Cambria" w:hAnsi="Cambria" w:cs="Arial"/>
          <w:noProof/>
          <w:lang w:val="pl-PL"/>
        </w:rPr>
        <w:t>planiranju politike i pitanjima administrativnih kapaciteta za klimatsku akciju. Kada je riječ o pod-sektorima posebna pažnja će se posvetiti horizontalnom zakonodavstvu, kvalitetu voda, upravljanju otpadom, zaštiti prirode, klimatskim promjenama, industrijskom zagađenju i hemikalijama.</w:t>
      </w:r>
    </w:p>
    <w:p w14:paraId="23F0F48A" w14:textId="77777777" w:rsidR="00285AE7" w:rsidRPr="00AB15C7" w:rsidRDefault="00C93E15" w:rsidP="00557C13">
      <w:pPr>
        <w:numPr>
          <w:ilvl w:val="0"/>
          <w:numId w:val="7"/>
        </w:numPr>
        <w:autoSpaceDE w:val="0"/>
        <w:autoSpaceDN w:val="0"/>
        <w:adjustRightInd w:val="0"/>
        <w:spacing w:before="120" w:after="0"/>
        <w:jc w:val="both"/>
        <w:rPr>
          <w:rFonts w:ascii="Cambria" w:hAnsi="Cambria" w:cs="Arial"/>
          <w:noProof/>
          <w:lang w:val="pl-PL"/>
        </w:rPr>
      </w:pPr>
      <w:r w:rsidRPr="00AB15C7">
        <w:rPr>
          <w:rFonts w:ascii="Cambria" w:hAnsi="Cambria" w:cs="Arial"/>
          <w:b/>
          <w:noProof/>
          <w:lang w:val="pl-PL"/>
        </w:rPr>
        <w:t>Nacionalna strategija upravljanja hemikalijama sa Akcionim planom za period 2015-2018.</w:t>
      </w:r>
      <w:r w:rsidR="000F1895" w:rsidRPr="00AB15C7">
        <w:rPr>
          <w:rFonts w:ascii="Cambria" w:hAnsi="Cambria" w:cs="Arial"/>
          <w:noProof/>
          <w:lang w:val="pl-PL"/>
        </w:rPr>
        <w:t xml:space="preserve"> </w:t>
      </w:r>
      <w:r w:rsidR="005F027E" w:rsidRPr="00AB15C7">
        <w:rPr>
          <w:rFonts w:ascii="Cambria" w:hAnsi="Cambria" w:cs="Arial"/>
          <w:noProof/>
          <w:lang w:val="pl-PL"/>
        </w:rPr>
        <w:t>d</w:t>
      </w:r>
      <w:r w:rsidR="000F1895" w:rsidRPr="00AB15C7">
        <w:rPr>
          <w:rFonts w:ascii="Cambria" w:hAnsi="Cambria" w:cs="Arial"/>
          <w:noProof/>
          <w:lang w:val="pl-PL"/>
        </w:rPr>
        <w:t>one</w:t>
      </w:r>
      <w:r w:rsidR="008241E7" w:rsidRPr="00AB15C7">
        <w:rPr>
          <w:rFonts w:ascii="Cambria" w:hAnsi="Cambria" w:cs="Arial"/>
          <w:noProof/>
          <w:lang w:val="pl-PL"/>
        </w:rPr>
        <w:t>š</w:t>
      </w:r>
      <w:r w:rsidR="000F1895" w:rsidRPr="00AB15C7">
        <w:rPr>
          <w:rFonts w:ascii="Cambria" w:hAnsi="Cambria" w:cs="Arial"/>
          <w:noProof/>
          <w:lang w:val="pl-PL"/>
        </w:rPr>
        <w:t>ena je sa ciljem da se na bazi opsežne analize i ocjene stanja hemijske bezbjednosti utvrdi glavne strateške pravce i mjere za uspostavljanje racionalnog, djelotvornog, dinamičnog i integrisanog sistema hemijske bezbjednosti, koji će biti u potpunosti usaglašen sa zakonodavstvom i praksom Evropske unije.</w:t>
      </w:r>
      <w:r w:rsidR="005F027E" w:rsidRPr="00AB15C7">
        <w:rPr>
          <w:rFonts w:ascii="Cambria" w:hAnsi="Cambria" w:cs="Arial"/>
          <w:noProof/>
          <w:lang w:val="pl-PL"/>
        </w:rPr>
        <w:t xml:space="preserve"> Strategijom su predložene mjere za implementaciju u periodu od 2015. do 2018. godine, od kojih je značajan broj sproveden, ali djelimično usled činjenice da skoro sve mjere navedene u Akcionom planu Strategije imaju kontinuirani period implementacije, što je jedan od razloga za djelimičnu implementaciju.</w:t>
      </w:r>
      <w:r w:rsidR="008241E7" w:rsidRPr="00AB15C7">
        <w:rPr>
          <w:rFonts w:ascii="Cambria" w:hAnsi="Cambria" w:cs="Arial"/>
          <w:noProof/>
          <w:lang w:val="pl-PL"/>
        </w:rPr>
        <w:t xml:space="preserve"> </w:t>
      </w:r>
      <w:r w:rsidR="005F027E" w:rsidRPr="00AB15C7">
        <w:rPr>
          <w:rFonts w:ascii="Cambria" w:hAnsi="Cambria" w:cs="Arial"/>
          <w:noProof/>
          <w:lang w:val="pl-PL"/>
        </w:rPr>
        <w:t>U c</w:t>
      </w:r>
      <w:r w:rsidR="008241E7" w:rsidRPr="00AB15C7">
        <w:rPr>
          <w:rFonts w:ascii="Cambria" w:hAnsi="Cambria" w:cs="Arial"/>
          <w:noProof/>
          <w:lang w:val="pl-PL"/>
        </w:rPr>
        <w:t>i</w:t>
      </w:r>
      <w:r w:rsidR="005F027E" w:rsidRPr="00AB15C7">
        <w:rPr>
          <w:rFonts w:ascii="Cambria" w:hAnsi="Cambria" w:cs="Arial"/>
          <w:noProof/>
          <w:lang w:val="pl-PL"/>
        </w:rPr>
        <w:t>lju daljeg ra</w:t>
      </w:r>
      <w:r w:rsidR="008241E7" w:rsidRPr="00AB15C7">
        <w:rPr>
          <w:rFonts w:ascii="Cambria" w:hAnsi="Cambria" w:cs="Arial"/>
          <w:noProof/>
          <w:lang w:val="pl-PL"/>
        </w:rPr>
        <w:t>z</w:t>
      </w:r>
      <w:r w:rsidR="005F027E" w:rsidRPr="00AB15C7">
        <w:rPr>
          <w:rFonts w:ascii="Cambria" w:hAnsi="Cambria" w:cs="Arial"/>
          <w:noProof/>
          <w:lang w:val="pl-PL"/>
        </w:rPr>
        <w:t xml:space="preserve">voja </w:t>
      </w:r>
      <w:r w:rsidR="005F027E" w:rsidRPr="00AB15C7">
        <w:rPr>
          <w:rFonts w:ascii="Cambria" w:hAnsi="Cambria" w:cs="Arial"/>
          <w:noProof/>
          <w:lang w:val="pl-PL"/>
        </w:rPr>
        <w:lastRenderedPageBreak/>
        <w:t xml:space="preserve">sistema upravljanja hemikalijama potrebno je </w:t>
      </w:r>
      <w:r w:rsidR="00601676">
        <w:rPr>
          <w:rFonts w:ascii="Cambria" w:hAnsi="Cambria" w:cs="Arial"/>
          <w:noProof/>
          <w:lang w:val="pl-PL"/>
        </w:rPr>
        <w:t>utvrditi</w:t>
      </w:r>
      <w:r w:rsidR="005F027E" w:rsidRPr="00AB15C7">
        <w:rPr>
          <w:rFonts w:ascii="Cambria" w:hAnsi="Cambria" w:cs="Arial"/>
          <w:noProof/>
          <w:lang w:val="pl-PL"/>
        </w:rPr>
        <w:t xml:space="preserve"> strate</w:t>
      </w:r>
      <w:r w:rsidR="008241E7" w:rsidRPr="00AB15C7">
        <w:rPr>
          <w:rFonts w:ascii="Cambria" w:hAnsi="Cambria" w:cs="Arial"/>
          <w:noProof/>
          <w:lang w:val="pl-PL"/>
        </w:rPr>
        <w:t>šk</w:t>
      </w:r>
      <w:r w:rsidR="005F027E" w:rsidRPr="00AB15C7">
        <w:rPr>
          <w:rFonts w:ascii="Cambria" w:hAnsi="Cambria" w:cs="Arial"/>
          <w:noProof/>
          <w:lang w:val="pl-PL"/>
        </w:rPr>
        <w:t>e prav</w:t>
      </w:r>
      <w:r w:rsidR="008241E7" w:rsidRPr="00AB15C7">
        <w:rPr>
          <w:rFonts w:ascii="Cambria" w:hAnsi="Cambria" w:cs="Arial"/>
          <w:noProof/>
          <w:lang w:val="pl-PL"/>
        </w:rPr>
        <w:t>c</w:t>
      </w:r>
      <w:r w:rsidR="005F027E" w:rsidRPr="00AB15C7">
        <w:rPr>
          <w:rFonts w:ascii="Cambria" w:hAnsi="Cambria" w:cs="Arial"/>
          <w:noProof/>
          <w:lang w:val="pl-PL"/>
        </w:rPr>
        <w:t>e</w:t>
      </w:r>
      <w:r w:rsidR="00601676">
        <w:rPr>
          <w:rFonts w:ascii="Cambria" w:hAnsi="Cambria" w:cs="Arial"/>
          <w:noProof/>
          <w:lang w:val="pl-PL"/>
        </w:rPr>
        <w:t xml:space="preserve"> i aktivnosti koj</w:t>
      </w:r>
      <w:r w:rsidR="0076526E">
        <w:rPr>
          <w:rFonts w:ascii="Cambria" w:hAnsi="Cambria" w:cs="Arial"/>
          <w:noProof/>
          <w:lang w:val="pl-PL"/>
        </w:rPr>
        <w:t>i</w:t>
      </w:r>
      <w:r w:rsidR="00601676">
        <w:rPr>
          <w:rFonts w:ascii="Cambria" w:hAnsi="Cambria" w:cs="Arial"/>
          <w:noProof/>
          <w:lang w:val="pl-PL"/>
        </w:rPr>
        <w:t xml:space="preserve"> doprinose ostvarenju ciljeva</w:t>
      </w:r>
      <w:r w:rsidR="005F027E" w:rsidRPr="00AB15C7">
        <w:rPr>
          <w:rFonts w:ascii="Cambria" w:hAnsi="Cambria" w:cs="Arial"/>
          <w:noProof/>
          <w:lang w:val="pl-PL"/>
        </w:rPr>
        <w:t xml:space="preserve"> u ovoj oblasti za naredni četvorogodišnji period</w:t>
      </w:r>
      <w:r w:rsidR="00562D8E" w:rsidRPr="00AB15C7">
        <w:rPr>
          <w:rFonts w:ascii="Cambria" w:hAnsi="Cambria" w:cs="Arial"/>
          <w:noProof/>
          <w:lang w:val="pl-PL"/>
        </w:rPr>
        <w:t>.</w:t>
      </w:r>
      <w:r w:rsidR="005F027E" w:rsidRPr="00AB15C7">
        <w:rPr>
          <w:rFonts w:ascii="Cambria" w:hAnsi="Cambria" w:cs="Arial"/>
          <w:noProof/>
          <w:lang w:val="pl-PL"/>
        </w:rPr>
        <w:t xml:space="preserve"> </w:t>
      </w:r>
    </w:p>
    <w:p w14:paraId="6DE222C1" w14:textId="77777777" w:rsidR="0076526E" w:rsidRPr="00AB15C7" w:rsidRDefault="00285AE7" w:rsidP="00557C13">
      <w:pPr>
        <w:numPr>
          <w:ilvl w:val="0"/>
          <w:numId w:val="7"/>
        </w:numPr>
        <w:autoSpaceDE w:val="0"/>
        <w:autoSpaceDN w:val="0"/>
        <w:adjustRightInd w:val="0"/>
        <w:spacing w:before="120" w:after="0"/>
        <w:jc w:val="both"/>
        <w:rPr>
          <w:rFonts w:ascii="Cambria" w:hAnsi="Cambria" w:cs="Arial"/>
          <w:noProof/>
          <w:lang w:val="pl-PL"/>
        </w:rPr>
      </w:pPr>
      <w:r w:rsidRPr="00AB15C7">
        <w:rPr>
          <w:rFonts w:ascii="Cambria" w:hAnsi="Cambria" w:cs="Arial"/>
          <w:b/>
          <w:noProof/>
          <w:lang w:val="pl-PL"/>
        </w:rPr>
        <w:t>Nacionalni plan za implementaciju Stokholmske konvencije sa Akcionim planom za period 2014-2021.</w:t>
      </w:r>
      <w:r w:rsidR="0076526E">
        <w:rPr>
          <w:rFonts w:ascii="Cambria" w:hAnsi="Cambria" w:cs="Arial"/>
          <w:b/>
          <w:noProof/>
          <w:lang w:val="pl-PL"/>
        </w:rPr>
        <w:t xml:space="preserve"> (NIP)</w:t>
      </w:r>
      <w:r w:rsidR="00562D8E" w:rsidRPr="00AB15C7">
        <w:rPr>
          <w:rFonts w:ascii="Cambria" w:hAnsi="Cambria" w:cs="Arial"/>
          <w:noProof/>
          <w:lang w:val="pl-PL"/>
        </w:rPr>
        <w:t xml:space="preserve"> done</w:t>
      </w:r>
      <w:r w:rsidR="008241E7" w:rsidRPr="00AB15C7">
        <w:rPr>
          <w:rFonts w:ascii="Cambria" w:hAnsi="Cambria" w:cs="Arial"/>
          <w:noProof/>
          <w:lang w:val="pl-PL"/>
        </w:rPr>
        <w:t>š</w:t>
      </w:r>
      <w:r w:rsidR="00562D8E" w:rsidRPr="00AB15C7">
        <w:rPr>
          <w:rFonts w:ascii="Cambria" w:hAnsi="Cambria" w:cs="Arial"/>
          <w:noProof/>
          <w:lang w:val="pl-PL"/>
        </w:rPr>
        <w:t xml:space="preserve">en je da pomogne u ispunjavanju obaveza koje proističu iz </w:t>
      </w:r>
      <w:r w:rsidR="0076526E">
        <w:rPr>
          <w:rFonts w:ascii="Cambria" w:hAnsi="Cambria" w:cs="Arial"/>
          <w:noProof/>
          <w:lang w:val="pl-PL"/>
        </w:rPr>
        <w:t>Stokholmske k</w:t>
      </w:r>
      <w:r w:rsidR="00562D8E" w:rsidRPr="00AB15C7">
        <w:rPr>
          <w:rFonts w:ascii="Cambria" w:hAnsi="Cambria" w:cs="Arial"/>
          <w:noProof/>
          <w:lang w:val="pl-PL"/>
        </w:rPr>
        <w:t xml:space="preserve">onvencije, da poveća svijest o POPs supstancama i mjerama za njihovu kontrolu, da predstavi mjere koje su preduzete i uspostavi strategiju i akcione planove za dalje korake u vezi sa dugotrajnim organskim zagađivačima. Po usvajanju od strane Vlade Crne Gore NPI </w:t>
      </w:r>
      <w:r w:rsidR="00F61A9B" w:rsidRPr="00AB15C7">
        <w:rPr>
          <w:rFonts w:ascii="Cambria" w:hAnsi="Cambria" w:cs="Arial"/>
          <w:noProof/>
          <w:lang w:val="pl-PL"/>
        </w:rPr>
        <w:t>j</w:t>
      </w:r>
      <w:r w:rsidR="00562D8E" w:rsidRPr="00AB15C7">
        <w:rPr>
          <w:rFonts w:ascii="Cambria" w:hAnsi="Cambria" w:cs="Arial"/>
          <w:noProof/>
          <w:lang w:val="pl-PL"/>
        </w:rPr>
        <w:t xml:space="preserve">e dostavljen Sekretarijatu Stokholmske konvencije. </w:t>
      </w:r>
      <w:r w:rsidR="0076526E">
        <w:rPr>
          <w:rFonts w:ascii="Cambria" w:hAnsi="Cambria" w:cs="Arial"/>
          <w:noProof/>
          <w:lang w:val="pl-PL"/>
        </w:rPr>
        <w:t xml:space="preserve"> </w:t>
      </w:r>
      <w:r w:rsidR="0076526E" w:rsidRPr="00AB15C7">
        <w:rPr>
          <w:rFonts w:ascii="Cambria" w:hAnsi="Cambria" w:cs="Arial"/>
          <w:noProof/>
          <w:lang w:val="pl-PL"/>
        </w:rPr>
        <w:t xml:space="preserve">S obzirom, da je Stokholmska konvencija je obuhvatala  12 POPs hemikalija, ali da je </w:t>
      </w:r>
      <w:r w:rsidR="0076526E">
        <w:rPr>
          <w:rFonts w:ascii="Cambria" w:hAnsi="Cambria" w:cs="Arial"/>
          <w:noProof/>
          <w:lang w:val="pl-PL"/>
        </w:rPr>
        <w:t>nakon 2009. godine</w:t>
      </w:r>
      <w:r w:rsidR="0076526E" w:rsidRPr="00AB15C7">
        <w:rPr>
          <w:rFonts w:ascii="Cambria" w:hAnsi="Cambria" w:cs="Arial"/>
          <w:noProof/>
          <w:lang w:val="pl-PL"/>
        </w:rPr>
        <w:t xml:space="preserve"> amandmanima na anekse Stokholmske konvencije ovaj broj proširen novi</w:t>
      </w:r>
      <w:r w:rsidR="0076526E">
        <w:rPr>
          <w:rFonts w:ascii="Cambria" w:hAnsi="Cambria" w:cs="Arial"/>
          <w:noProof/>
          <w:lang w:val="pl-PL"/>
        </w:rPr>
        <w:t>m</w:t>
      </w:r>
      <w:r w:rsidR="0076526E" w:rsidRPr="00AB15C7">
        <w:rPr>
          <w:rFonts w:ascii="Cambria" w:hAnsi="Cambria" w:cs="Arial"/>
          <w:noProof/>
          <w:lang w:val="pl-PL"/>
        </w:rPr>
        <w:t xml:space="preserve"> POPs hemikalija, u toku je projek</w:t>
      </w:r>
      <w:r w:rsidR="0076526E">
        <w:rPr>
          <w:rFonts w:ascii="Cambria" w:hAnsi="Cambria" w:cs="Arial"/>
          <w:noProof/>
          <w:lang w:val="pl-PL"/>
        </w:rPr>
        <w:t>a</w:t>
      </w:r>
      <w:r w:rsidR="0076526E" w:rsidRPr="00AB15C7">
        <w:rPr>
          <w:rFonts w:ascii="Cambria" w:hAnsi="Cambria" w:cs="Arial"/>
          <w:noProof/>
          <w:lang w:val="pl-PL"/>
        </w:rPr>
        <w:t xml:space="preserve">t </w:t>
      </w:r>
      <w:r w:rsidR="0076526E" w:rsidRPr="0076526E">
        <w:rPr>
          <w:rFonts w:ascii="Cambria" w:hAnsi="Cambria" w:cs="Arial"/>
          <w:b/>
          <w:noProof/>
          <w:lang w:val="pl-PL"/>
        </w:rPr>
        <w:t>Revizije Nacionalnog plana implementacije Stokholmske konvencije o dugotrajnim organskim zagađivačima (POPs)</w:t>
      </w:r>
      <w:r w:rsidR="0076526E" w:rsidRPr="00AB15C7">
        <w:rPr>
          <w:rFonts w:ascii="Cambria" w:hAnsi="Cambria" w:cs="Arial"/>
          <w:noProof/>
          <w:lang w:val="pl-PL"/>
        </w:rPr>
        <w:t xml:space="preserve"> koju sprovodi Centar za  ekotoksikološka ispitivanja</w:t>
      </w:r>
      <w:r w:rsidR="0076526E">
        <w:rPr>
          <w:rFonts w:ascii="Cambria" w:hAnsi="Cambria" w:cs="Arial"/>
          <w:noProof/>
          <w:lang w:val="pl-PL"/>
        </w:rPr>
        <w:t xml:space="preserve"> (CETI)</w:t>
      </w:r>
      <w:r w:rsidR="0076526E" w:rsidRPr="00AB15C7">
        <w:rPr>
          <w:rFonts w:ascii="Cambria" w:hAnsi="Cambria" w:cs="Arial"/>
          <w:noProof/>
          <w:lang w:val="pl-PL"/>
        </w:rPr>
        <w:t xml:space="preserve"> u saradnji sa Ministarstvom održivog razvoja i turizma (MORT) i Programom Ujedinjenih nacija za životnu sredinu (UNEP), sa ciljem da se  ažuriraju inventari starih POPs hemikalija i izrade inventari novih POPs hemikalija i predlože mjere za eliminaciju odnosno smanjenje rizika i izloženosti POPs u skladu sa revidiranim nalazima.</w:t>
      </w:r>
    </w:p>
    <w:p w14:paraId="175C3C8A" w14:textId="77777777" w:rsidR="00A550EE" w:rsidRPr="00AB15C7" w:rsidRDefault="00A30B4A" w:rsidP="005921EF">
      <w:pPr>
        <w:autoSpaceDE w:val="0"/>
        <w:autoSpaceDN w:val="0"/>
        <w:adjustRightInd w:val="0"/>
        <w:spacing w:before="120" w:after="0"/>
        <w:jc w:val="both"/>
        <w:rPr>
          <w:rFonts w:ascii="Cambria" w:hAnsi="Cambria" w:cs="Arial"/>
          <w:noProof/>
          <w:lang w:val="pl-PL"/>
        </w:rPr>
      </w:pPr>
      <w:r w:rsidRPr="00AB15C7">
        <w:rPr>
          <w:rFonts w:ascii="Cambria" w:hAnsi="Cambria" w:cs="Arial"/>
          <w:noProof/>
          <w:lang w:val="pl-PL"/>
        </w:rPr>
        <w:t>Treba napomenuti da postoje i sektor</w:t>
      </w:r>
      <w:r w:rsidR="008241E7" w:rsidRPr="00AB15C7">
        <w:rPr>
          <w:rFonts w:ascii="Cambria" w:hAnsi="Cambria" w:cs="Arial"/>
          <w:noProof/>
          <w:lang w:val="pl-PL"/>
        </w:rPr>
        <w:t>s</w:t>
      </w:r>
      <w:r w:rsidRPr="00AB15C7">
        <w:rPr>
          <w:rFonts w:ascii="Cambria" w:hAnsi="Cambria" w:cs="Arial"/>
          <w:noProof/>
          <w:lang w:val="pl-PL"/>
        </w:rPr>
        <w:t>ki s</w:t>
      </w:r>
      <w:r w:rsidR="00A550EE" w:rsidRPr="00AB15C7">
        <w:rPr>
          <w:rFonts w:ascii="Cambria" w:hAnsi="Cambria" w:cs="Arial"/>
          <w:noProof/>
          <w:lang w:val="pl-PL"/>
        </w:rPr>
        <w:t>tra</w:t>
      </w:r>
      <w:r w:rsidR="00F61A9B" w:rsidRPr="00AB15C7">
        <w:rPr>
          <w:rFonts w:ascii="Cambria" w:hAnsi="Cambria" w:cs="Arial"/>
          <w:noProof/>
          <w:lang w:val="pl-PL"/>
        </w:rPr>
        <w:t>t</w:t>
      </w:r>
      <w:r w:rsidR="00A550EE" w:rsidRPr="00AB15C7">
        <w:rPr>
          <w:rFonts w:ascii="Cambria" w:hAnsi="Cambria" w:cs="Arial"/>
          <w:noProof/>
          <w:lang w:val="pl-PL"/>
        </w:rPr>
        <w:t>eški dokumenti</w:t>
      </w:r>
      <w:r w:rsidRPr="00AB15C7">
        <w:rPr>
          <w:rFonts w:ascii="Cambria" w:hAnsi="Cambria" w:cs="Arial"/>
          <w:noProof/>
          <w:lang w:val="pl-PL"/>
        </w:rPr>
        <w:t xml:space="preserve"> </w:t>
      </w:r>
      <w:r w:rsidR="0076526E">
        <w:rPr>
          <w:rFonts w:ascii="Cambria" w:hAnsi="Cambria" w:cs="Arial"/>
          <w:noProof/>
          <w:lang w:val="pl-PL"/>
        </w:rPr>
        <w:t xml:space="preserve">koji se tiču Minamata konvencije </w:t>
      </w:r>
      <w:r w:rsidRPr="00AB15C7">
        <w:rPr>
          <w:rFonts w:ascii="Cambria" w:hAnsi="Cambria" w:cs="Arial"/>
          <w:noProof/>
          <w:lang w:val="pl-PL"/>
        </w:rPr>
        <w:t>koji su u i</w:t>
      </w:r>
      <w:r w:rsidR="00A550EE" w:rsidRPr="00AB15C7">
        <w:rPr>
          <w:rFonts w:ascii="Cambria" w:hAnsi="Cambria" w:cs="Arial"/>
          <w:noProof/>
          <w:lang w:val="pl-PL"/>
        </w:rPr>
        <w:t>zradi</w:t>
      </w:r>
      <w:r w:rsidRPr="00AB15C7">
        <w:rPr>
          <w:rFonts w:ascii="Cambria" w:hAnsi="Cambria" w:cs="Arial"/>
          <w:noProof/>
          <w:lang w:val="pl-PL"/>
        </w:rPr>
        <w:t>, i to:</w:t>
      </w:r>
    </w:p>
    <w:p w14:paraId="488B4416" w14:textId="77777777" w:rsidR="00A550EE" w:rsidRPr="00AB15C7" w:rsidRDefault="008241E7" w:rsidP="00557C13">
      <w:pPr>
        <w:numPr>
          <w:ilvl w:val="0"/>
          <w:numId w:val="9"/>
        </w:numPr>
        <w:autoSpaceDE w:val="0"/>
        <w:autoSpaceDN w:val="0"/>
        <w:adjustRightInd w:val="0"/>
        <w:spacing w:before="120" w:after="0"/>
        <w:jc w:val="both"/>
        <w:rPr>
          <w:rFonts w:ascii="Cambria" w:hAnsi="Cambria" w:cs="Arial"/>
          <w:b/>
          <w:noProof/>
          <w:lang w:val="pl-PL"/>
        </w:rPr>
      </w:pPr>
      <w:r w:rsidRPr="00AB15C7">
        <w:rPr>
          <w:rFonts w:ascii="Cambria" w:hAnsi="Cambria" w:cs="Arial"/>
          <w:b/>
          <w:noProof/>
          <w:lang w:val="pl-PL"/>
        </w:rPr>
        <w:t xml:space="preserve">Izvještaj o inicijalnoj procjeni  </w:t>
      </w:r>
      <w:r w:rsidR="00A550EE" w:rsidRPr="00AB15C7">
        <w:rPr>
          <w:rFonts w:ascii="Cambria" w:hAnsi="Cambria" w:cs="Arial"/>
          <w:b/>
          <w:noProof/>
          <w:lang w:val="pl-PL"/>
        </w:rPr>
        <w:t>za živu</w:t>
      </w:r>
    </w:p>
    <w:p w14:paraId="21BFE48C" w14:textId="77777777" w:rsidR="00A550EE" w:rsidRPr="00AB15C7" w:rsidRDefault="00A550EE" w:rsidP="005921EF">
      <w:pPr>
        <w:autoSpaceDE w:val="0"/>
        <w:autoSpaceDN w:val="0"/>
        <w:adjustRightInd w:val="0"/>
        <w:spacing w:before="120" w:after="0"/>
        <w:jc w:val="both"/>
        <w:rPr>
          <w:rFonts w:ascii="Cambria" w:hAnsi="Cambria" w:cs="Arial"/>
          <w:noProof/>
          <w:lang w:val="pl-PL"/>
        </w:rPr>
      </w:pPr>
      <w:r w:rsidRPr="00AB15C7">
        <w:rPr>
          <w:rFonts w:ascii="Cambria" w:hAnsi="Cambria" w:cs="Arial"/>
          <w:noProof/>
          <w:lang w:val="pl-PL"/>
        </w:rPr>
        <w:t>Crna Gora potpisala je Minamata konvenciju o živi 24. septembra 2014. godine. Prvi korak u pripremi za izvršavanje budućih obaveza u skladu s Minamata konvencijom i radi preduzimanja rane akcije u cilju smanjenja ispuštanja žive i očuvanja stanovništva i životne sredine, Crna Gora je pristupila izradi Izvještaj</w:t>
      </w:r>
      <w:r w:rsidR="008241E7" w:rsidRPr="00AB15C7">
        <w:rPr>
          <w:rFonts w:ascii="Cambria" w:hAnsi="Cambria" w:cs="Arial"/>
          <w:noProof/>
          <w:lang w:val="pl-PL"/>
        </w:rPr>
        <w:t>a</w:t>
      </w:r>
      <w:r w:rsidRPr="00AB15C7">
        <w:rPr>
          <w:rFonts w:ascii="Cambria" w:hAnsi="Cambria" w:cs="Arial"/>
          <w:noProof/>
          <w:lang w:val="pl-PL"/>
        </w:rPr>
        <w:t xml:space="preserve"> o inicijalnoj procjeni </w:t>
      </w:r>
      <w:r w:rsidR="008241E7" w:rsidRPr="00AB15C7">
        <w:rPr>
          <w:rFonts w:ascii="Cambria" w:hAnsi="Cambria" w:cs="Arial"/>
          <w:noProof/>
          <w:lang w:val="pl-PL"/>
        </w:rPr>
        <w:t xml:space="preserve">za živu </w:t>
      </w:r>
      <w:r w:rsidRPr="00AB15C7">
        <w:rPr>
          <w:rFonts w:ascii="Cambria" w:hAnsi="Cambria" w:cs="Arial"/>
          <w:noProof/>
          <w:lang w:val="pl-PL"/>
        </w:rPr>
        <w:t xml:space="preserve">koji uključuje i inventar ispuštanja žive u zemlji. Centar za ekotoksikološka ispitivanja Crne Gore (CETI), u saradnji s eksternim konsultantima, izradio je nacionalni inventar emisija žive iz različitih sektora. Cilj inventara bio je da se identifikuju osnovni izvori ispuštanja žive u Crnoj Gori. Rezultati inventara </w:t>
      </w:r>
      <w:r w:rsidR="003B727E" w:rsidRPr="00AB15C7">
        <w:rPr>
          <w:rFonts w:ascii="Cambria" w:hAnsi="Cambria" w:cs="Arial"/>
          <w:noProof/>
          <w:lang w:val="pl-PL"/>
        </w:rPr>
        <w:t>sastavni su dio I</w:t>
      </w:r>
      <w:r w:rsidRPr="00AB15C7">
        <w:rPr>
          <w:rFonts w:ascii="Cambria" w:hAnsi="Cambria" w:cs="Arial"/>
          <w:noProof/>
          <w:lang w:val="pl-PL"/>
        </w:rPr>
        <w:t xml:space="preserve">zvještaja </w:t>
      </w:r>
      <w:r w:rsidR="003B727E" w:rsidRPr="00AB15C7">
        <w:rPr>
          <w:rFonts w:ascii="Cambria" w:hAnsi="Cambria" w:cs="Arial"/>
          <w:noProof/>
          <w:lang w:val="pl-PL"/>
        </w:rPr>
        <w:t>o inicijalnoj procjeni  za živu</w:t>
      </w:r>
      <w:r w:rsidRPr="00AB15C7">
        <w:rPr>
          <w:rFonts w:ascii="Cambria" w:hAnsi="Cambria" w:cs="Arial"/>
          <w:noProof/>
          <w:lang w:val="pl-PL"/>
        </w:rPr>
        <w:t>.</w:t>
      </w:r>
    </w:p>
    <w:p w14:paraId="4188FC7A" w14:textId="20075741" w:rsidR="007A3777" w:rsidRPr="00AB15C7" w:rsidRDefault="007A3777" w:rsidP="005921EF">
      <w:pPr>
        <w:autoSpaceDE w:val="0"/>
        <w:autoSpaceDN w:val="0"/>
        <w:adjustRightInd w:val="0"/>
        <w:spacing w:before="120" w:after="0"/>
        <w:jc w:val="both"/>
        <w:rPr>
          <w:rFonts w:ascii="Cambria" w:hAnsi="Cambria" w:cs="Arial"/>
          <w:noProof/>
          <w:lang w:val="pl-PL"/>
        </w:rPr>
      </w:pPr>
      <w:r w:rsidRPr="00AB15C7">
        <w:rPr>
          <w:rFonts w:ascii="Cambria" w:hAnsi="Cambria" w:cs="Arial"/>
          <w:noProof/>
          <w:lang w:val="pl-PL"/>
        </w:rPr>
        <w:t xml:space="preserve">Pored gore navedenih strategija treba </w:t>
      </w:r>
      <w:r w:rsidR="00A30B4A" w:rsidRPr="00AB15C7">
        <w:rPr>
          <w:rFonts w:ascii="Cambria" w:hAnsi="Cambria" w:cs="Arial"/>
          <w:noProof/>
          <w:lang w:val="pl-PL"/>
        </w:rPr>
        <w:t>dodati</w:t>
      </w:r>
      <w:r w:rsidRPr="00AB15C7">
        <w:rPr>
          <w:rFonts w:ascii="Cambria" w:hAnsi="Cambria" w:cs="Arial"/>
          <w:noProof/>
          <w:lang w:val="pl-PL"/>
        </w:rPr>
        <w:t xml:space="preserve"> da su </w:t>
      </w:r>
      <w:r w:rsidR="00E14620" w:rsidRPr="00AB15C7">
        <w:rPr>
          <w:rFonts w:ascii="Cambria" w:hAnsi="Cambria" w:cs="Arial"/>
          <w:noProof/>
          <w:lang w:val="pl-PL"/>
        </w:rPr>
        <w:t>z</w:t>
      </w:r>
      <w:r w:rsidRPr="00AB15C7">
        <w:rPr>
          <w:rFonts w:ascii="Cambria" w:hAnsi="Cambria" w:cs="Arial"/>
          <w:noProof/>
          <w:lang w:val="pl-PL"/>
        </w:rPr>
        <w:t xml:space="preserve">a adekvatno upravljanje hemikalijama kroz čitav </w:t>
      </w:r>
      <w:r w:rsidR="003B727E" w:rsidRPr="00AB15C7">
        <w:rPr>
          <w:rFonts w:ascii="Cambria" w:hAnsi="Cambria" w:cs="Arial"/>
          <w:noProof/>
          <w:lang w:val="pl-PL"/>
        </w:rPr>
        <w:t>ž</w:t>
      </w:r>
      <w:r w:rsidRPr="00AB15C7">
        <w:rPr>
          <w:rFonts w:ascii="Cambria" w:hAnsi="Cambria" w:cs="Arial"/>
          <w:noProof/>
          <w:lang w:val="pl-PL"/>
        </w:rPr>
        <w:t>ivotni ciklu</w:t>
      </w:r>
      <w:r w:rsidR="00E14620" w:rsidRPr="00AB15C7">
        <w:rPr>
          <w:rFonts w:ascii="Cambria" w:hAnsi="Cambria" w:cs="Arial"/>
          <w:noProof/>
          <w:lang w:val="pl-PL"/>
        </w:rPr>
        <w:t>s</w:t>
      </w:r>
      <w:r w:rsidRPr="00AB15C7">
        <w:rPr>
          <w:rFonts w:ascii="Cambria" w:hAnsi="Cambria" w:cs="Arial"/>
          <w:noProof/>
          <w:lang w:val="pl-PL"/>
        </w:rPr>
        <w:t xml:space="preserve"> bitn</w:t>
      </w:r>
      <w:r w:rsidR="00E14620" w:rsidRPr="00AB15C7">
        <w:rPr>
          <w:rFonts w:ascii="Cambria" w:hAnsi="Cambria" w:cs="Arial"/>
          <w:noProof/>
          <w:lang w:val="pl-PL"/>
        </w:rPr>
        <w:t xml:space="preserve">i i aspekti u pogledu upravljanja otpadom kao završne faze, </w:t>
      </w:r>
      <w:r w:rsidR="006A4DE2" w:rsidRPr="00AB15C7">
        <w:rPr>
          <w:rFonts w:ascii="Cambria" w:hAnsi="Cambria" w:cs="Arial"/>
          <w:noProof/>
          <w:lang w:val="pl-PL"/>
        </w:rPr>
        <w:t xml:space="preserve">koji su definisani </w:t>
      </w:r>
      <w:r w:rsidRPr="00AB15C7">
        <w:rPr>
          <w:rFonts w:ascii="Cambria" w:hAnsi="Cambria" w:cs="Arial"/>
          <w:noProof/>
          <w:lang w:val="pl-PL"/>
        </w:rPr>
        <w:t>Nacionaln</w:t>
      </w:r>
      <w:r w:rsidR="00E14620" w:rsidRPr="00AB15C7">
        <w:rPr>
          <w:rFonts w:ascii="Cambria" w:hAnsi="Cambria" w:cs="Arial"/>
          <w:noProof/>
          <w:lang w:val="pl-PL"/>
        </w:rPr>
        <w:t>om</w:t>
      </w:r>
      <w:r w:rsidRPr="00AB15C7">
        <w:rPr>
          <w:rFonts w:ascii="Cambria" w:hAnsi="Cambria" w:cs="Arial"/>
          <w:noProof/>
          <w:lang w:val="pl-PL"/>
        </w:rPr>
        <w:t xml:space="preserve"> strategij</w:t>
      </w:r>
      <w:r w:rsidR="00E14620" w:rsidRPr="00AB15C7">
        <w:rPr>
          <w:rFonts w:ascii="Cambria" w:hAnsi="Cambria" w:cs="Arial"/>
          <w:noProof/>
          <w:lang w:val="pl-PL"/>
        </w:rPr>
        <w:t xml:space="preserve">om </w:t>
      </w:r>
      <w:r w:rsidRPr="00AB15C7">
        <w:rPr>
          <w:rFonts w:ascii="Cambria" w:hAnsi="Cambria" w:cs="Arial"/>
          <w:noProof/>
          <w:lang w:val="pl-PL"/>
        </w:rPr>
        <w:t>upravljanja otpadom</w:t>
      </w:r>
      <w:r w:rsidR="006A4DE2" w:rsidRPr="00AB15C7">
        <w:rPr>
          <w:rFonts w:ascii="Cambria" w:hAnsi="Cambria"/>
          <w:noProof/>
        </w:rPr>
        <w:t xml:space="preserve"> </w:t>
      </w:r>
      <w:r w:rsidR="006A4DE2" w:rsidRPr="00AB15C7">
        <w:rPr>
          <w:rFonts w:ascii="Cambria" w:hAnsi="Cambria" w:cs="Arial"/>
          <w:noProof/>
        </w:rPr>
        <w:t xml:space="preserve">Crne Gore do 2030. </w:t>
      </w:r>
      <w:r w:rsidR="001112C6">
        <w:rPr>
          <w:rFonts w:ascii="Cambria" w:hAnsi="Cambria" w:cs="Arial"/>
          <w:noProof/>
        </w:rPr>
        <w:t>g</w:t>
      </w:r>
      <w:r w:rsidR="006A4DE2" w:rsidRPr="00AB15C7">
        <w:rPr>
          <w:rFonts w:ascii="Cambria" w:hAnsi="Cambria" w:cs="Arial"/>
          <w:noProof/>
        </w:rPr>
        <w:t xml:space="preserve">odine, </w:t>
      </w:r>
      <w:r w:rsidR="00A30B4A" w:rsidRPr="00AB15C7">
        <w:rPr>
          <w:rFonts w:ascii="Cambria" w:hAnsi="Cambria" w:cs="Arial"/>
          <w:noProof/>
        </w:rPr>
        <w:t>k</w:t>
      </w:r>
      <w:r w:rsidR="006A4DE2" w:rsidRPr="00AB15C7">
        <w:rPr>
          <w:rFonts w:ascii="Cambria" w:hAnsi="Cambria" w:cs="Arial"/>
          <w:noProof/>
        </w:rPr>
        <w:t xml:space="preserve">ao </w:t>
      </w:r>
      <w:r w:rsidR="00A30B4A" w:rsidRPr="00AB15C7">
        <w:rPr>
          <w:rFonts w:ascii="Cambria" w:hAnsi="Cambria" w:cs="Arial"/>
          <w:noProof/>
        </w:rPr>
        <w:t>i</w:t>
      </w:r>
      <w:r w:rsidR="006A4DE2" w:rsidRPr="00AB15C7">
        <w:rPr>
          <w:rFonts w:ascii="Cambria" w:hAnsi="Cambria" w:cs="Arial"/>
          <w:noProof/>
        </w:rPr>
        <w:t xml:space="preserve"> Državnim planom upravljanja otpadom za period 2015-2020.</w:t>
      </w:r>
    </w:p>
    <w:p w14:paraId="2F92265C" w14:textId="10076A9F" w:rsidR="00800999" w:rsidRDefault="00800999" w:rsidP="005921EF">
      <w:pPr>
        <w:autoSpaceDE w:val="0"/>
        <w:autoSpaceDN w:val="0"/>
        <w:adjustRightInd w:val="0"/>
        <w:spacing w:before="120" w:after="0"/>
        <w:jc w:val="both"/>
        <w:rPr>
          <w:rFonts w:ascii="Cambria" w:hAnsi="Cambria" w:cs="Arial"/>
          <w:noProof/>
          <w:lang w:val="pl-PL"/>
        </w:rPr>
      </w:pPr>
      <w:r w:rsidRPr="00AB15C7">
        <w:rPr>
          <w:rFonts w:ascii="Cambria" w:hAnsi="Cambria" w:cs="Arial"/>
          <w:noProof/>
          <w:lang w:val="pl-PL"/>
        </w:rPr>
        <w:t>U pogledu sredstava za zaštitu bilja (tzv. pesticidi) kao posebne vrste hemikalija sa specifičnom nam</w:t>
      </w:r>
      <w:r w:rsidR="001112C6">
        <w:rPr>
          <w:rFonts w:ascii="Cambria" w:hAnsi="Cambria" w:cs="Arial"/>
          <w:noProof/>
          <w:lang w:val="pl-PL"/>
        </w:rPr>
        <w:t>j</w:t>
      </w:r>
      <w:r w:rsidRPr="00AB15C7">
        <w:rPr>
          <w:rFonts w:ascii="Cambria" w:hAnsi="Cambria" w:cs="Arial"/>
          <w:noProof/>
          <w:lang w:val="pl-PL"/>
        </w:rPr>
        <w:t>enom koje su pod posebnim regulatornim režimom, treba takođe naglasiti da su Nacionalnim planom za održivu upotrebu sredstava za zaštitu bilja utvrđeni se ciljevi, mjere, indikatori, rokovi i aktivnosti za smanjenje rizika i negativnih efekata sredstava za zaštitu bilja na zdravlje ljudi i na životnu sredinu odnosno za postizanje održive upotrebe sredstava za zaštitu bilja. Nacionalnim planom utvrđene su aktivnosti i nosioci tih aktivnosti koje se odnose na zdravstvene, socijalne, ekonomske i ekološke efekte u skladu sa nacionalnim, regionalnim i lokalnim uslovima, kao i aktivnosti utvrđene propisima koji uređuju vode, zaštitu prirode i otpad i aktivnosti utvrđene drugim propisima kod kojih pesticidi imaju indirektan uticaj, a odnose se na vode, očuvanje divljih ptica, prirodnih staništa i divlje faune i flore.</w:t>
      </w:r>
    </w:p>
    <w:p w14:paraId="00CCB423" w14:textId="77777777" w:rsidR="00453571" w:rsidRPr="00360F0F" w:rsidRDefault="00453571" w:rsidP="00360F0F">
      <w:pPr>
        <w:pStyle w:val="Heading2"/>
        <w:rPr>
          <w:b w:val="0"/>
          <w:bCs w:val="0"/>
          <w:noProof/>
        </w:rPr>
      </w:pPr>
      <w:bookmarkStart w:id="64" w:name="_Toc527353199"/>
      <w:r w:rsidRPr="00360F0F">
        <w:rPr>
          <w:noProof/>
          <w:sz w:val="22"/>
          <w:szCs w:val="22"/>
          <w:lang w:val="en-US"/>
        </w:rPr>
        <w:t>2.3.3. Evropske integracije</w:t>
      </w:r>
      <w:bookmarkEnd w:id="64"/>
    </w:p>
    <w:p w14:paraId="296FD879" w14:textId="38CCDD5B" w:rsidR="00453571" w:rsidRPr="00AB15C7" w:rsidRDefault="00453571" w:rsidP="00360F0F">
      <w:pPr>
        <w:widowControl w:val="0"/>
        <w:autoSpaceDE w:val="0"/>
        <w:autoSpaceDN w:val="0"/>
        <w:adjustRightInd w:val="0"/>
        <w:spacing w:before="120"/>
        <w:jc w:val="both"/>
        <w:rPr>
          <w:rFonts w:ascii="Cambria" w:hAnsi="Cambria" w:cs="Times-Roman"/>
          <w:noProof/>
          <w:lang w:val="sr-Latn-ME"/>
        </w:rPr>
      </w:pPr>
      <w:r w:rsidRPr="00AB15C7">
        <w:rPr>
          <w:rFonts w:ascii="Cambria" w:hAnsi="Cambria" w:cs="TimesNewRomanPSMT"/>
          <w:noProof/>
          <w:lang w:val="sr-Latn-ME"/>
        </w:rPr>
        <w:t>Osnovni cilj politike</w:t>
      </w:r>
      <w:r w:rsidRPr="00AB15C7">
        <w:rPr>
          <w:rFonts w:ascii="Cambria" w:hAnsi="Cambria" w:cs="Times-Roman"/>
          <w:noProof/>
          <w:lang w:val="sr-Latn-ME"/>
        </w:rPr>
        <w:t xml:space="preserve"> EU u oblasti upravljanja </w:t>
      </w:r>
      <w:r w:rsidRPr="00AB15C7">
        <w:rPr>
          <w:rFonts w:ascii="Cambria" w:hAnsi="Cambria" w:cs="TimesNewRomanPSMT"/>
          <w:noProof/>
          <w:lang w:val="sr-Latn-ME"/>
        </w:rPr>
        <w:t>hemikalijama je obezbjeđivanj</w:t>
      </w:r>
      <w:r w:rsidR="007C1D28" w:rsidRPr="00AB15C7">
        <w:rPr>
          <w:rFonts w:ascii="Cambria" w:hAnsi="Cambria" w:cs="TimesNewRomanPSMT"/>
          <w:noProof/>
          <w:lang w:val="sr-Latn-ME"/>
        </w:rPr>
        <w:t>e</w:t>
      </w:r>
      <w:r w:rsidRPr="00AB15C7">
        <w:rPr>
          <w:rFonts w:ascii="Cambria" w:hAnsi="Cambria" w:cs="TimesNewRomanPSMT"/>
          <w:noProof/>
          <w:lang w:val="sr-Latn-ME"/>
        </w:rPr>
        <w:t xml:space="preserve"> visokog nivoa zaštite zdravlja ljudi i životne sredine</w:t>
      </w:r>
      <w:r w:rsidR="007C1D28" w:rsidRPr="00AB15C7">
        <w:rPr>
          <w:rFonts w:ascii="Cambria" w:hAnsi="Cambria" w:cs="TimesNewRomanPSMT"/>
          <w:noProof/>
          <w:lang w:val="sr-Latn-ME"/>
        </w:rPr>
        <w:t xml:space="preserve">, odnosno spriječavanje negativnog uticaja hemikalija na ljudsko zdravlje i životnu sredinu. </w:t>
      </w:r>
      <w:r w:rsidRPr="00AB15C7">
        <w:rPr>
          <w:rFonts w:ascii="Cambria" w:hAnsi="Cambria" w:cs="TimesNewRomanPSMT"/>
          <w:noProof/>
          <w:lang w:val="sr-Latn-ME"/>
        </w:rPr>
        <w:t>Politika EU u ovoj oblasti usmjerena je na uspostavljanje jedinstven</w:t>
      </w:r>
      <w:r w:rsidR="00FA2196" w:rsidRPr="00AB15C7">
        <w:rPr>
          <w:rFonts w:ascii="Cambria" w:hAnsi="Cambria" w:cs="TimesNewRomanPSMT"/>
          <w:noProof/>
          <w:lang w:val="sr-Latn-ME"/>
        </w:rPr>
        <w:t>og</w:t>
      </w:r>
      <w:r w:rsidRPr="00AB15C7">
        <w:rPr>
          <w:rFonts w:ascii="Cambria" w:hAnsi="Cambria" w:cs="TimesNewRomanPSMT"/>
          <w:noProof/>
          <w:lang w:val="sr-Latn-ME"/>
        </w:rPr>
        <w:t xml:space="preserve"> sistema </w:t>
      </w:r>
      <w:r w:rsidR="00FA2196" w:rsidRPr="00AB15C7">
        <w:rPr>
          <w:rFonts w:ascii="Cambria" w:hAnsi="Cambria" w:cs="TimesNewRomanPSMT"/>
          <w:noProof/>
          <w:lang w:val="sr-Latn-ME"/>
        </w:rPr>
        <w:t xml:space="preserve">stavljanja na tržište hemikalija kroz postupke </w:t>
      </w:r>
      <w:r w:rsidR="00FA2196" w:rsidRPr="00AB15C7">
        <w:rPr>
          <w:rFonts w:ascii="Cambria" w:hAnsi="Cambria" w:cs="TimesNewRomanPSMT"/>
          <w:noProof/>
        </w:rPr>
        <w:t xml:space="preserve">postupke registracije, procjene, autorizacije </w:t>
      </w:r>
      <w:r w:rsidR="00FA2196" w:rsidRPr="00AB15C7">
        <w:rPr>
          <w:rFonts w:ascii="Cambria" w:hAnsi="Cambria" w:cs="TimesNewRomanPSMT"/>
          <w:noProof/>
        </w:rPr>
        <w:lastRenderedPageBreak/>
        <w:t>(odobravanja) i ograničavanja upotrebe hemikalija</w:t>
      </w:r>
      <w:r w:rsidR="00FA2196" w:rsidRPr="00AB15C7">
        <w:rPr>
          <w:rFonts w:ascii="Cambria" w:hAnsi="Cambria" w:cs="TimesNewRomanPSMT"/>
          <w:noProof/>
          <w:lang w:val="sr-Latn-ME"/>
        </w:rPr>
        <w:t xml:space="preserve">, </w:t>
      </w:r>
      <w:r w:rsidRPr="00AB15C7">
        <w:rPr>
          <w:rFonts w:ascii="Cambria" w:hAnsi="Cambria" w:cs="TimesNewRomanPSMT"/>
          <w:noProof/>
          <w:lang w:val="sr-Latn-ME"/>
        </w:rPr>
        <w:t>klasifik</w:t>
      </w:r>
      <w:r w:rsidR="00FA2196" w:rsidRPr="00AB15C7">
        <w:rPr>
          <w:rFonts w:ascii="Cambria" w:hAnsi="Cambria" w:cs="TimesNewRomanPSMT"/>
          <w:noProof/>
          <w:lang w:val="sr-Latn-ME"/>
        </w:rPr>
        <w:t>acije</w:t>
      </w:r>
      <w:r w:rsidRPr="00AB15C7">
        <w:rPr>
          <w:rFonts w:ascii="Cambria" w:hAnsi="Cambria" w:cs="TimesNewRomanPSMT"/>
          <w:noProof/>
          <w:lang w:val="sr-Latn-ME"/>
        </w:rPr>
        <w:t>, obilježavanja i pakovanja hemikalija</w:t>
      </w:r>
      <w:r w:rsidR="00FA2196" w:rsidRPr="00AB15C7">
        <w:rPr>
          <w:rFonts w:ascii="Cambria" w:hAnsi="Cambria" w:cs="TimesNewRomanPSMT"/>
          <w:noProof/>
          <w:lang w:val="sr-Latn-ME"/>
        </w:rPr>
        <w:t xml:space="preserve"> u skladu sa GHS</w:t>
      </w:r>
      <w:r w:rsidRPr="00AB15C7">
        <w:rPr>
          <w:rFonts w:ascii="Cambria" w:hAnsi="Cambria" w:cs="TimesNewRomanPSMT"/>
          <w:noProof/>
          <w:lang w:val="sr-Latn-ME"/>
        </w:rPr>
        <w:t>, kontrolu uvoza i izvoza odre</w:t>
      </w:r>
      <w:r w:rsidRPr="00AB15C7">
        <w:rPr>
          <w:rFonts w:ascii="Cambria" w:hAnsi="Cambria" w:cs="Times-Roman"/>
          <w:noProof/>
          <w:lang w:val="sr-Latn-ME"/>
        </w:rPr>
        <w:t xml:space="preserve">đenih opasnih  hemikalija, </w:t>
      </w:r>
      <w:r w:rsidR="00FA2196" w:rsidRPr="00AB15C7">
        <w:rPr>
          <w:rFonts w:ascii="Cambria" w:hAnsi="Cambria" w:cs="Times-Roman"/>
          <w:noProof/>
          <w:lang w:val="sr-Latn-ME"/>
        </w:rPr>
        <w:t>pose</w:t>
      </w:r>
      <w:r w:rsidR="00B52F8C" w:rsidRPr="00AB15C7">
        <w:rPr>
          <w:rFonts w:ascii="Cambria" w:hAnsi="Cambria" w:cs="Times-Roman"/>
          <w:noProof/>
          <w:lang w:val="sr-Latn-ME"/>
        </w:rPr>
        <w:t>b</w:t>
      </w:r>
      <w:r w:rsidR="00FA2196" w:rsidRPr="00AB15C7">
        <w:rPr>
          <w:rFonts w:ascii="Cambria" w:hAnsi="Cambria" w:cs="Times-Roman"/>
          <w:noProof/>
          <w:lang w:val="sr-Latn-ME"/>
        </w:rPr>
        <w:t>n</w:t>
      </w:r>
      <w:r w:rsidR="00B52F8C" w:rsidRPr="00AB15C7">
        <w:rPr>
          <w:rFonts w:ascii="Cambria" w:hAnsi="Cambria" w:cs="Times-Roman"/>
          <w:noProof/>
          <w:lang w:val="sr-Latn-ME"/>
        </w:rPr>
        <w:t>i</w:t>
      </w:r>
      <w:r w:rsidR="00246FB3" w:rsidRPr="00AB15C7">
        <w:rPr>
          <w:rFonts w:ascii="Cambria" w:hAnsi="Cambria" w:cs="Times-Roman"/>
          <w:noProof/>
          <w:lang w:val="sr-Latn-ME"/>
        </w:rPr>
        <w:t>h</w:t>
      </w:r>
      <w:r w:rsidR="00B52F8C" w:rsidRPr="00AB15C7">
        <w:rPr>
          <w:rFonts w:ascii="Cambria" w:hAnsi="Cambria" w:cs="Times-Roman"/>
          <w:noProof/>
          <w:lang w:val="sr-Latn-ME"/>
        </w:rPr>
        <w:t xml:space="preserve"> regulatorni</w:t>
      </w:r>
      <w:r w:rsidR="00246FB3" w:rsidRPr="00AB15C7">
        <w:rPr>
          <w:rFonts w:ascii="Cambria" w:hAnsi="Cambria" w:cs="Times-Roman"/>
          <w:noProof/>
          <w:lang w:val="sr-Latn-ME"/>
        </w:rPr>
        <w:t>h</w:t>
      </w:r>
      <w:r w:rsidR="00B52F8C" w:rsidRPr="00AB15C7">
        <w:rPr>
          <w:rFonts w:ascii="Cambria" w:hAnsi="Cambria" w:cs="Times-Roman"/>
          <w:noProof/>
          <w:lang w:val="sr-Latn-ME"/>
        </w:rPr>
        <w:t xml:space="preserve"> </w:t>
      </w:r>
      <w:r w:rsidR="00246FB3" w:rsidRPr="00AB15C7">
        <w:rPr>
          <w:rFonts w:ascii="Cambria" w:hAnsi="Cambria" w:cs="Times-Roman"/>
          <w:noProof/>
          <w:lang w:val="sr-Latn-ME"/>
        </w:rPr>
        <w:t>procedura</w:t>
      </w:r>
      <w:r w:rsidR="00B52F8C" w:rsidRPr="00AB15C7">
        <w:rPr>
          <w:rFonts w:ascii="Cambria" w:hAnsi="Cambria" w:cs="Times-Roman"/>
          <w:noProof/>
          <w:lang w:val="sr-Latn-ME"/>
        </w:rPr>
        <w:t xml:space="preserve"> za </w:t>
      </w:r>
      <w:r w:rsidRPr="00AB15C7">
        <w:rPr>
          <w:rFonts w:ascii="Cambria" w:hAnsi="Cambria" w:cs="Times-Roman"/>
          <w:noProof/>
          <w:lang w:val="sr-Latn-ME"/>
        </w:rPr>
        <w:t>određen</w:t>
      </w:r>
      <w:r w:rsidR="00B52F8C" w:rsidRPr="00AB15C7">
        <w:rPr>
          <w:rFonts w:ascii="Cambria" w:hAnsi="Cambria" w:cs="Times-Roman"/>
          <w:noProof/>
          <w:lang w:val="sr-Latn-ME"/>
        </w:rPr>
        <w:t>e</w:t>
      </w:r>
      <w:r w:rsidRPr="00AB15C7">
        <w:rPr>
          <w:rFonts w:ascii="Cambria" w:hAnsi="Cambria" w:cs="Times-Roman"/>
          <w:noProof/>
          <w:lang w:val="sr-Latn-ME"/>
        </w:rPr>
        <w:t xml:space="preserve"> grup</w:t>
      </w:r>
      <w:r w:rsidR="00B52F8C" w:rsidRPr="00AB15C7">
        <w:rPr>
          <w:rFonts w:ascii="Cambria" w:hAnsi="Cambria" w:cs="Times-Roman"/>
          <w:noProof/>
          <w:lang w:val="sr-Latn-ME"/>
        </w:rPr>
        <w:t>e</w:t>
      </w:r>
      <w:r w:rsidRPr="00AB15C7">
        <w:rPr>
          <w:rFonts w:ascii="Cambria" w:hAnsi="Cambria" w:cs="Times-Roman"/>
          <w:noProof/>
          <w:lang w:val="sr-Latn-ME"/>
        </w:rPr>
        <w:t xml:space="preserve"> hemikalija </w:t>
      </w:r>
      <w:r w:rsidR="00B52F8C" w:rsidRPr="00AB15C7">
        <w:rPr>
          <w:rFonts w:ascii="Cambria" w:hAnsi="Cambria" w:cs="Times-Roman"/>
          <w:noProof/>
          <w:lang w:val="sr-Latn-ME"/>
        </w:rPr>
        <w:t>sa specfičnom nam</w:t>
      </w:r>
      <w:r w:rsidR="001112C6">
        <w:rPr>
          <w:rFonts w:ascii="Cambria" w:hAnsi="Cambria" w:cs="Times-Roman"/>
          <w:noProof/>
          <w:lang w:val="sr-Latn-ME"/>
        </w:rPr>
        <w:t>j</w:t>
      </w:r>
      <w:r w:rsidR="00B52F8C" w:rsidRPr="00AB15C7">
        <w:rPr>
          <w:rFonts w:ascii="Cambria" w:hAnsi="Cambria" w:cs="Times-Roman"/>
          <w:noProof/>
          <w:lang w:val="sr-Latn-ME"/>
        </w:rPr>
        <w:t xml:space="preserve">enom </w:t>
      </w:r>
      <w:r w:rsidRPr="00AB15C7">
        <w:rPr>
          <w:rFonts w:ascii="Cambria" w:hAnsi="Cambria" w:cs="Times-Roman"/>
          <w:noProof/>
          <w:lang w:val="sr-Latn-ME"/>
        </w:rPr>
        <w:t xml:space="preserve">(biocidi, </w:t>
      </w:r>
      <w:r w:rsidR="00960964">
        <w:rPr>
          <w:rFonts w:ascii="Cambria" w:hAnsi="Cambria" w:cs="Times-Roman"/>
          <w:noProof/>
          <w:lang w:val="sr-Latn-ME"/>
        </w:rPr>
        <w:t>sredstva za zaštitu bilja</w:t>
      </w:r>
      <w:r w:rsidRPr="00AB15C7">
        <w:rPr>
          <w:rFonts w:ascii="Cambria" w:hAnsi="Cambria" w:cs="Times-Roman"/>
          <w:noProof/>
          <w:lang w:val="sr-Latn-ME"/>
        </w:rPr>
        <w:t>) i sl. Takođe, propisi iz ove oblasti predmet redovnog prilagođavanja tehničk</w:t>
      </w:r>
      <w:r w:rsidR="00B52F8C" w:rsidRPr="00AB15C7">
        <w:rPr>
          <w:rFonts w:ascii="Cambria" w:hAnsi="Cambria" w:cs="Times-Roman"/>
          <w:noProof/>
          <w:lang w:val="sr-Latn-ME"/>
        </w:rPr>
        <w:t>om</w:t>
      </w:r>
      <w:r w:rsidRPr="00AB15C7">
        <w:rPr>
          <w:rFonts w:ascii="Cambria" w:hAnsi="Cambria" w:cs="Times-Roman"/>
          <w:noProof/>
          <w:lang w:val="sr-Latn-ME"/>
        </w:rPr>
        <w:t xml:space="preserve"> </w:t>
      </w:r>
      <w:r w:rsidR="00B52F8C" w:rsidRPr="00AB15C7">
        <w:rPr>
          <w:rFonts w:ascii="Cambria" w:hAnsi="Cambria" w:cs="Times-Roman"/>
          <w:noProof/>
          <w:lang w:val="sr-Latn-ME"/>
        </w:rPr>
        <w:t>napretku</w:t>
      </w:r>
      <w:r w:rsidRPr="00AB15C7">
        <w:rPr>
          <w:rFonts w:ascii="Cambria" w:hAnsi="Cambria" w:cs="Times-Roman"/>
          <w:noProof/>
          <w:lang w:val="sr-Latn-ME"/>
        </w:rPr>
        <w:t>.</w:t>
      </w:r>
    </w:p>
    <w:p w14:paraId="42D06D21" w14:textId="2AE3EC9B" w:rsidR="00453571" w:rsidRPr="00AB15C7" w:rsidRDefault="00453571" w:rsidP="005921EF">
      <w:pPr>
        <w:widowControl w:val="0"/>
        <w:autoSpaceDE w:val="0"/>
        <w:autoSpaceDN w:val="0"/>
        <w:adjustRightInd w:val="0"/>
        <w:jc w:val="both"/>
        <w:rPr>
          <w:rFonts w:ascii="Cambria" w:hAnsi="Cambria" w:cs="Times-Roman"/>
          <w:noProof/>
          <w:lang w:val="sr-Latn-ME"/>
        </w:rPr>
      </w:pPr>
      <w:r w:rsidRPr="00AB15C7">
        <w:rPr>
          <w:rFonts w:ascii="Cambria" w:hAnsi="Cambria" w:cs="TimesNewRomanPSMT"/>
          <w:noProof/>
          <w:lang w:val="sr-Latn-ME"/>
        </w:rPr>
        <w:t>Sistem upravljanja hemikalijama uspostavljen na nivou EU oba</w:t>
      </w:r>
      <w:r w:rsidRPr="00AB15C7">
        <w:rPr>
          <w:rFonts w:ascii="Cambria" w:hAnsi="Cambria" w:cs="Times-Roman"/>
          <w:noProof/>
          <w:lang w:val="sr-Latn-ME"/>
        </w:rPr>
        <w:t>vezuje proizvođače i uvoznike da obezb</w:t>
      </w:r>
      <w:r w:rsidR="00C65B0A">
        <w:rPr>
          <w:rFonts w:ascii="Cambria" w:hAnsi="Cambria" w:cs="Times-Roman"/>
          <w:noProof/>
          <w:lang w:val="sr-Latn-ME"/>
        </w:rPr>
        <w:t>ij</w:t>
      </w:r>
      <w:r w:rsidRPr="00AB15C7">
        <w:rPr>
          <w:rFonts w:ascii="Cambria" w:hAnsi="Cambria" w:cs="Times-Roman"/>
          <w:noProof/>
          <w:lang w:val="sr-Latn-ME"/>
        </w:rPr>
        <w:t xml:space="preserve">ede </w:t>
      </w:r>
      <w:r w:rsidR="00B52F8C" w:rsidRPr="00AB15C7">
        <w:rPr>
          <w:rFonts w:ascii="Cambria" w:hAnsi="Cambria" w:cs="Times-Roman"/>
          <w:noProof/>
          <w:lang w:val="sr-Latn-ME"/>
        </w:rPr>
        <w:t xml:space="preserve">detaljnje </w:t>
      </w:r>
      <w:r w:rsidR="00C822E8" w:rsidRPr="00AB15C7">
        <w:rPr>
          <w:rFonts w:ascii="Cambria" w:hAnsi="Cambria" w:cs="Times-Roman"/>
          <w:noProof/>
          <w:lang w:val="sr-Latn-ME"/>
        </w:rPr>
        <w:t>podatke</w:t>
      </w:r>
      <w:r w:rsidRPr="00AB15C7">
        <w:rPr>
          <w:rFonts w:ascii="Cambria" w:hAnsi="Cambria" w:cs="Times-Roman"/>
          <w:noProof/>
          <w:lang w:val="sr-Latn-ME"/>
        </w:rPr>
        <w:t xml:space="preserve"> o hemi</w:t>
      </w:r>
      <w:r w:rsidR="00C822E8" w:rsidRPr="00AB15C7">
        <w:rPr>
          <w:rFonts w:ascii="Cambria" w:hAnsi="Cambria" w:cs="Times-Roman"/>
          <w:noProof/>
          <w:lang w:val="sr-Latn-ME"/>
        </w:rPr>
        <w:t>ka</w:t>
      </w:r>
      <w:r w:rsidR="00E527D1" w:rsidRPr="00AB15C7">
        <w:rPr>
          <w:rFonts w:ascii="Cambria" w:hAnsi="Cambria" w:cs="Times-Roman"/>
          <w:noProof/>
          <w:lang w:val="sr-Latn-ME"/>
        </w:rPr>
        <w:t xml:space="preserve">lijama uključujući i </w:t>
      </w:r>
      <w:r w:rsidR="00AF42DB">
        <w:rPr>
          <w:rFonts w:ascii="Cambria" w:hAnsi="Cambria" w:cs="Times-Roman"/>
          <w:noProof/>
          <w:lang w:val="sr-Latn-ME"/>
        </w:rPr>
        <w:t>procjen</w:t>
      </w:r>
      <w:r w:rsidR="00E527D1" w:rsidRPr="00AB15C7">
        <w:rPr>
          <w:rFonts w:ascii="Cambria" w:hAnsi="Cambria" w:cs="Times-Roman"/>
          <w:noProof/>
          <w:lang w:val="sr-Latn-ME"/>
        </w:rPr>
        <w:t>u rizika</w:t>
      </w:r>
      <w:r w:rsidRPr="00AB15C7">
        <w:rPr>
          <w:rFonts w:ascii="Cambria" w:hAnsi="Cambria" w:cs="Times-Roman"/>
          <w:noProof/>
          <w:lang w:val="sr-Latn-ME"/>
        </w:rPr>
        <w:t xml:space="preserve"> i dostave </w:t>
      </w:r>
      <w:r w:rsidR="00C822E8" w:rsidRPr="00AB15C7">
        <w:rPr>
          <w:rFonts w:ascii="Cambria" w:hAnsi="Cambria" w:cs="Times-Roman"/>
          <w:noProof/>
          <w:lang w:val="sr-Latn-ME"/>
        </w:rPr>
        <w:t>propisani dosije</w:t>
      </w:r>
      <w:r w:rsidRPr="00AB15C7">
        <w:rPr>
          <w:rFonts w:ascii="Cambria" w:hAnsi="Cambria" w:cs="Times-Roman"/>
          <w:noProof/>
          <w:lang w:val="sr-Latn-ME"/>
        </w:rPr>
        <w:t xml:space="preserve"> nadležnom organu</w:t>
      </w:r>
      <w:r w:rsidR="00C822E8" w:rsidRPr="00AB15C7">
        <w:rPr>
          <w:rFonts w:ascii="Cambria" w:hAnsi="Cambria" w:cs="Times-Roman"/>
          <w:noProof/>
          <w:lang w:val="sr-Latn-ME"/>
        </w:rPr>
        <w:t xml:space="preserve"> preko centralnog IT sistema</w:t>
      </w:r>
      <w:r w:rsidRPr="00AB15C7">
        <w:rPr>
          <w:rFonts w:ascii="Cambria" w:hAnsi="Cambria" w:cs="Times-Roman"/>
          <w:noProof/>
          <w:lang w:val="sr-Latn-ME"/>
        </w:rPr>
        <w:t xml:space="preserve"> </w:t>
      </w:r>
      <w:r w:rsidR="00C822E8" w:rsidRPr="00AB15C7">
        <w:rPr>
          <w:rFonts w:ascii="Cambria" w:hAnsi="Cambria" w:cs="Times-Roman"/>
          <w:noProof/>
          <w:lang w:val="sr-Latn-ME"/>
        </w:rPr>
        <w:t xml:space="preserve">koji administrira </w:t>
      </w:r>
      <w:r w:rsidRPr="00AB15C7">
        <w:rPr>
          <w:rFonts w:ascii="Cambria" w:hAnsi="Cambria" w:cs="Times-Roman"/>
          <w:noProof/>
          <w:lang w:val="sr-Latn-ME"/>
        </w:rPr>
        <w:t>Evropsk</w:t>
      </w:r>
      <w:r w:rsidR="00C822E8" w:rsidRPr="00AB15C7">
        <w:rPr>
          <w:rFonts w:ascii="Cambria" w:hAnsi="Cambria" w:cs="Times-Roman"/>
          <w:noProof/>
          <w:lang w:val="sr-Latn-ME"/>
        </w:rPr>
        <w:t xml:space="preserve">a </w:t>
      </w:r>
      <w:r w:rsidRPr="00AB15C7">
        <w:rPr>
          <w:rFonts w:ascii="Cambria" w:hAnsi="Cambria" w:cs="Times-Roman"/>
          <w:noProof/>
          <w:lang w:val="sr-Latn-ME"/>
        </w:rPr>
        <w:t>agencij</w:t>
      </w:r>
      <w:r w:rsidR="00C822E8" w:rsidRPr="00AB15C7">
        <w:rPr>
          <w:rFonts w:ascii="Cambria" w:hAnsi="Cambria" w:cs="Times-Roman"/>
          <w:noProof/>
          <w:lang w:val="sr-Latn-ME"/>
        </w:rPr>
        <w:t>a</w:t>
      </w:r>
      <w:r w:rsidRPr="00AB15C7">
        <w:rPr>
          <w:rFonts w:ascii="Cambria" w:hAnsi="Cambria" w:cs="Times-Roman"/>
          <w:noProof/>
          <w:lang w:val="sr-Latn-ME"/>
        </w:rPr>
        <w:t xml:space="preserve"> za hemikalije (</w:t>
      </w:r>
      <w:r w:rsidRPr="00AB15C7">
        <w:rPr>
          <w:rFonts w:ascii="Cambria" w:hAnsi="Cambria" w:cs="Times-Roman"/>
          <w:i/>
          <w:noProof/>
          <w:lang w:val="sr-Latn-ME"/>
        </w:rPr>
        <w:t>European Chemical Agency</w:t>
      </w:r>
      <w:r w:rsidRPr="00AB15C7">
        <w:rPr>
          <w:rFonts w:ascii="Cambria" w:hAnsi="Cambria" w:cs="Times-Roman"/>
          <w:noProof/>
          <w:lang w:val="sr-Latn-ME"/>
        </w:rPr>
        <w:t>-</w:t>
      </w:r>
      <w:r w:rsidRPr="00AB15C7">
        <w:rPr>
          <w:rFonts w:ascii="Cambria" w:hAnsi="Cambria" w:cs="Times-Roman"/>
          <w:i/>
          <w:noProof/>
          <w:lang w:val="sr-Latn-ME"/>
        </w:rPr>
        <w:t>ECHA</w:t>
      </w:r>
      <w:r w:rsidRPr="00AB15C7">
        <w:rPr>
          <w:rFonts w:ascii="Cambria" w:hAnsi="Cambria" w:cs="Times-Roman"/>
          <w:noProof/>
          <w:lang w:val="sr-Latn-ME"/>
        </w:rPr>
        <w:t xml:space="preserve">). ECHA predstavlja centralno </w:t>
      </w:r>
      <w:r w:rsidR="00E527D1" w:rsidRPr="00AB15C7">
        <w:rPr>
          <w:rFonts w:ascii="Cambria" w:hAnsi="Cambria" w:cs="Times-Roman"/>
          <w:noProof/>
          <w:lang w:val="sr-Latn-ME"/>
        </w:rPr>
        <w:t>tijelo zaduženo za</w:t>
      </w:r>
      <w:r w:rsidRPr="00AB15C7">
        <w:rPr>
          <w:rFonts w:ascii="Cambria" w:hAnsi="Cambria" w:cs="Times-Roman"/>
          <w:noProof/>
          <w:lang w:val="sr-Latn-ME"/>
        </w:rPr>
        <w:t xml:space="preserve"> </w:t>
      </w:r>
      <w:r w:rsidR="00E527D1" w:rsidRPr="00AB15C7">
        <w:rPr>
          <w:rFonts w:ascii="Cambria" w:hAnsi="Cambria" w:cs="Times-Roman"/>
          <w:noProof/>
          <w:lang w:val="sr-Latn-ME"/>
        </w:rPr>
        <w:t xml:space="preserve">uspostavljanje i unapređenje sistema </w:t>
      </w:r>
      <w:r w:rsidRPr="00AB15C7">
        <w:rPr>
          <w:rFonts w:ascii="Cambria" w:hAnsi="Cambria" w:cs="Times-Roman"/>
          <w:noProof/>
          <w:lang w:val="sr-Latn-ME"/>
        </w:rPr>
        <w:t>upravljanja hemikalijama</w:t>
      </w:r>
      <w:r w:rsidR="00E527D1" w:rsidRPr="00AB15C7">
        <w:rPr>
          <w:rFonts w:ascii="Cambria" w:hAnsi="Cambria" w:cs="Times-Roman"/>
          <w:noProof/>
          <w:lang w:val="sr-Latn-ME"/>
        </w:rPr>
        <w:t xml:space="preserve"> </w:t>
      </w:r>
      <w:r w:rsidRPr="00AB15C7">
        <w:rPr>
          <w:rFonts w:ascii="Cambria" w:hAnsi="Cambria" w:cs="Times-Roman"/>
          <w:noProof/>
          <w:lang w:val="sr-Latn-ME"/>
        </w:rPr>
        <w:t xml:space="preserve"> i nadležna </w:t>
      </w:r>
      <w:r w:rsidRPr="00AB15C7">
        <w:rPr>
          <w:rFonts w:ascii="Cambria" w:hAnsi="Cambria" w:cs="TimesNewRomanPSMT"/>
          <w:noProof/>
          <w:lang w:val="sr-Latn-ME"/>
        </w:rPr>
        <w:t>je, između ostalog, za vođenje centralnih baza</w:t>
      </w:r>
      <w:r w:rsidR="00E527D1" w:rsidRPr="00AB15C7">
        <w:rPr>
          <w:rFonts w:ascii="Cambria" w:hAnsi="Cambria" w:cs="TimesNewRomanPSMT"/>
          <w:noProof/>
          <w:lang w:val="sr-Latn-ME"/>
        </w:rPr>
        <w:t xml:space="preserve"> podataka</w:t>
      </w:r>
      <w:r w:rsidRPr="00AB15C7">
        <w:rPr>
          <w:rFonts w:ascii="Cambria" w:hAnsi="Cambria" w:cs="TimesNewRomanPSMT"/>
          <w:noProof/>
          <w:lang w:val="sr-Latn-ME"/>
        </w:rPr>
        <w:t xml:space="preserve">, koordinaciju </w:t>
      </w:r>
      <w:r w:rsidR="00E527D1" w:rsidRPr="00AB15C7">
        <w:rPr>
          <w:rFonts w:ascii="Cambria" w:hAnsi="Cambria" w:cs="TimesNewRomanPSMT"/>
          <w:noProof/>
          <w:lang w:val="sr-Latn-ME"/>
        </w:rPr>
        <w:t>svi procedura u oblasti hemikalija i biocidnih proizvoda</w:t>
      </w:r>
      <w:r w:rsidRPr="00AB15C7">
        <w:rPr>
          <w:rFonts w:ascii="Cambria" w:hAnsi="Cambria" w:cs="TimesNewRomanPSMT"/>
          <w:noProof/>
          <w:lang w:val="sr-Latn-ME"/>
        </w:rPr>
        <w:t xml:space="preserve"> i izgradnju javn</w:t>
      </w:r>
      <w:r w:rsidR="00C822E8" w:rsidRPr="00AB15C7">
        <w:rPr>
          <w:rFonts w:ascii="Cambria" w:hAnsi="Cambria" w:cs="TimesNewRomanPSMT"/>
          <w:noProof/>
          <w:lang w:val="sr-Latn-ME"/>
        </w:rPr>
        <w:t>o dostupne</w:t>
      </w:r>
      <w:r w:rsidRPr="00AB15C7">
        <w:rPr>
          <w:rFonts w:ascii="Cambria" w:hAnsi="Cambria" w:cs="TimesNewRomanPSMT"/>
          <w:noProof/>
          <w:lang w:val="sr-Latn-ME"/>
        </w:rPr>
        <w:t xml:space="preserve"> baze podataka namenjen</w:t>
      </w:r>
      <w:r w:rsidR="00E527D1" w:rsidRPr="00AB15C7">
        <w:rPr>
          <w:rFonts w:ascii="Cambria" w:hAnsi="Cambria" w:cs="TimesNewRomanPSMT"/>
          <w:noProof/>
          <w:lang w:val="sr-Latn-ME"/>
        </w:rPr>
        <w:t>e</w:t>
      </w:r>
      <w:r w:rsidRPr="00AB15C7">
        <w:rPr>
          <w:rFonts w:ascii="Cambria" w:hAnsi="Cambria" w:cs="TimesNewRomanPSMT"/>
          <w:noProof/>
          <w:lang w:val="sr-Latn-ME"/>
        </w:rPr>
        <w:t xml:space="preserve"> potrošačima i industriji.</w:t>
      </w:r>
      <w:r w:rsidR="00B46895" w:rsidRPr="00AB15C7">
        <w:rPr>
          <w:rFonts w:ascii="Cambria" w:hAnsi="Cambria" w:cs="TimesNewRomanPSMT"/>
          <w:noProof/>
          <w:lang w:val="sr-Latn-ME"/>
        </w:rPr>
        <w:t xml:space="preserve"> </w:t>
      </w:r>
      <w:r w:rsidR="00C822E8" w:rsidRPr="00AB15C7">
        <w:rPr>
          <w:rFonts w:ascii="Cambria" w:hAnsi="Cambria" w:cs="TimesNewRomanPSMT"/>
          <w:noProof/>
          <w:lang w:val="sr-Latn-ME"/>
        </w:rPr>
        <w:t>Dodatno, potrebno je obezbijediti b</w:t>
      </w:r>
      <w:r w:rsidR="00E66C8A" w:rsidRPr="00AB15C7">
        <w:rPr>
          <w:rFonts w:ascii="Cambria" w:hAnsi="Cambria" w:cs="TimesNewRomanPSMT"/>
          <w:noProof/>
          <w:lang w:val="sr-Latn-ME"/>
        </w:rPr>
        <w:t>e</w:t>
      </w:r>
      <w:r w:rsidRPr="00AB15C7">
        <w:rPr>
          <w:rFonts w:ascii="Cambria" w:hAnsi="Cambria" w:cs="TimesNewRomanPSMT"/>
          <w:noProof/>
          <w:lang w:val="sr-Latn-ME"/>
        </w:rPr>
        <w:t>zbjedno upravljanje hemikalijama</w:t>
      </w:r>
      <w:r w:rsidR="00C822E8" w:rsidRPr="00AB15C7">
        <w:rPr>
          <w:rFonts w:ascii="Cambria" w:hAnsi="Cambria" w:cs="TimesNewRomanPSMT"/>
          <w:noProof/>
          <w:lang w:val="sr-Latn-ME"/>
        </w:rPr>
        <w:t xml:space="preserve"> u svim</w:t>
      </w:r>
      <w:r w:rsidRPr="00AB15C7">
        <w:rPr>
          <w:rFonts w:ascii="Cambria" w:hAnsi="Cambria" w:cs="TimesNewRomanPSMT"/>
          <w:noProof/>
          <w:lang w:val="sr-Latn-ME"/>
        </w:rPr>
        <w:t xml:space="preserve"> fazama životnog ciklusa</w:t>
      </w:r>
      <w:r w:rsidR="00C822E8" w:rsidRPr="00AB15C7">
        <w:rPr>
          <w:rFonts w:ascii="Cambria" w:hAnsi="Cambria" w:cs="TimesNewRomanPSMT"/>
          <w:noProof/>
          <w:lang w:val="sr-Latn-ME"/>
        </w:rPr>
        <w:t xml:space="preserve"> hemikalija, počev od proi</w:t>
      </w:r>
      <w:r w:rsidR="00075446" w:rsidRPr="00AB15C7">
        <w:rPr>
          <w:rFonts w:ascii="Cambria" w:hAnsi="Cambria" w:cs="TimesNewRomanPSMT"/>
          <w:noProof/>
          <w:lang w:val="sr-Latn-ME"/>
        </w:rPr>
        <w:t>z</w:t>
      </w:r>
      <w:r w:rsidR="00C822E8" w:rsidRPr="00AB15C7">
        <w:rPr>
          <w:rFonts w:ascii="Cambria" w:hAnsi="Cambria" w:cs="TimesNewRomanPSMT"/>
          <w:noProof/>
          <w:lang w:val="sr-Latn-ME"/>
        </w:rPr>
        <w:t>vodnje, odnosno uvoza, do odlaganja</w:t>
      </w:r>
      <w:r w:rsidRPr="00AB15C7">
        <w:rPr>
          <w:rFonts w:ascii="Cambria" w:hAnsi="Cambria" w:cs="TimesNewRomanPSMT"/>
          <w:noProof/>
          <w:lang w:val="sr-Latn-ME"/>
        </w:rPr>
        <w:t>. Različite faze životnog ciklusa bezbjednog upravljan</w:t>
      </w:r>
      <w:r w:rsidR="00C822E8" w:rsidRPr="00AB15C7">
        <w:rPr>
          <w:rFonts w:ascii="Cambria" w:hAnsi="Cambria" w:cs="TimesNewRomanPSMT"/>
          <w:noProof/>
          <w:lang w:val="sr-Latn-ME"/>
        </w:rPr>
        <w:t>j</w:t>
      </w:r>
      <w:r w:rsidRPr="00AB15C7">
        <w:rPr>
          <w:rFonts w:ascii="Cambria" w:hAnsi="Cambria" w:cs="TimesNewRomanPSMT"/>
          <w:noProof/>
          <w:lang w:val="sr-Latn-ME"/>
        </w:rPr>
        <w:t xml:space="preserve">a hemikalijama regulišu se propisima koji uređuju transport opasnih hemikalija, kontrolu rizika i zaštitu radnika pri </w:t>
      </w:r>
      <w:r w:rsidR="00C822E8" w:rsidRPr="00AB15C7">
        <w:rPr>
          <w:rFonts w:ascii="Cambria" w:hAnsi="Cambria" w:cs="TimesNewRomanPSMT"/>
          <w:noProof/>
          <w:lang w:val="sr-Latn-ME"/>
        </w:rPr>
        <w:t xml:space="preserve">proizvodnji i </w:t>
      </w:r>
      <w:r w:rsidRPr="00AB15C7">
        <w:rPr>
          <w:rFonts w:ascii="Cambria" w:hAnsi="Cambria" w:cs="TimesNewRomanPSMT"/>
          <w:noProof/>
          <w:lang w:val="sr-Latn-ME"/>
        </w:rPr>
        <w:t>upotrebi hemikalija na radnom mjestu, propisima u oblasti zaštite životne sredine koji uređuju bezbjedno ispuštanje hemikalija u vazduhu, vodi i zemljištu, zaštitu od hemijskog udesa, odlaganje hemikalija i njihovog pakovanja kao otpada i dr.</w:t>
      </w:r>
    </w:p>
    <w:p w14:paraId="50F7564A" w14:textId="77777777" w:rsidR="00A04DA1" w:rsidRPr="00AB15C7" w:rsidRDefault="00453571" w:rsidP="005921EF">
      <w:pPr>
        <w:spacing w:before="100" w:beforeAutospacing="1" w:after="100" w:afterAutospacing="1"/>
        <w:jc w:val="both"/>
        <w:rPr>
          <w:rFonts w:ascii="Cambria" w:hAnsi="Cambria" w:cs="TimesNewRomanPSMT"/>
          <w:noProof/>
          <w:lang w:val="sr-Latn-ME"/>
        </w:rPr>
      </w:pPr>
      <w:r w:rsidRPr="00AB15C7">
        <w:rPr>
          <w:rFonts w:ascii="Cambria" w:hAnsi="Cambria" w:cs="TimesNewRomanPSMT"/>
          <w:noProof/>
          <w:lang w:val="sr-Latn-ME"/>
        </w:rPr>
        <w:t xml:space="preserve">Zbog specifičnog </w:t>
      </w:r>
      <w:r w:rsidR="00075446" w:rsidRPr="00AB15C7">
        <w:rPr>
          <w:rFonts w:ascii="Cambria" w:hAnsi="Cambria" w:cs="TimesNewRomanPSMT"/>
          <w:noProof/>
          <w:lang w:val="sr-Latn-ME"/>
        </w:rPr>
        <w:t xml:space="preserve">prožimanja pitanja hemijske bezbjednosti kroz različite faze životnog ciklusa hemikalija i </w:t>
      </w:r>
      <w:r w:rsidRPr="00AB15C7">
        <w:rPr>
          <w:rFonts w:ascii="Cambria" w:hAnsi="Cambria" w:cs="TimesNewRomanPSMT"/>
          <w:noProof/>
          <w:lang w:val="sr-Latn-ME"/>
        </w:rPr>
        <w:t>istorijskog razvoja zakonodavstva Evropske unije</w:t>
      </w:r>
      <w:r w:rsidR="00075446" w:rsidRPr="00AB15C7">
        <w:rPr>
          <w:rFonts w:ascii="Cambria" w:hAnsi="Cambria" w:cs="TimesNewRomanPSMT"/>
          <w:noProof/>
          <w:lang w:val="sr-Latn-ME"/>
        </w:rPr>
        <w:t xml:space="preserve">, </w:t>
      </w:r>
      <w:r w:rsidRPr="00AB15C7">
        <w:rPr>
          <w:rFonts w:ascii="Cambria" w:hAnsi="Cambria" w:cs="TimesNewRomanPSMT"/>
          <w:noProof/>
          <w:lang w:val="sr-Latn-ME"/>
        </w:rPr>
        <w:t xml:space="preserve">pitanja od važnosti za hemijsku </w:t>
      </w:r>
      <w:r w:rsidR="00AB608A" w:rsidRPr="00AB15C7">
        <w:rPr>
          <w:rFonts w:ascii="Cambria" w:hAnsi="Cambria" w:cs="TimesNewRomanPSMT"/>
          <w:noProof/>
          <w:lang w:val="sr-Latn-ME"/>
        </w:rPr>
        <w:t xml:space="preserve">bezbjednost </w:t>
      </w:r>
      <w:r w:rsidRPr="00AB15C7">
        <w:rPr>
          <w:rFonts w:ascii="Cambria" w:hAnsi="Cambria" w:cs="TimesNewRomanPSMT"/>
          <w:noProof/>
          <w:lang w:val="sr-Latn-ME"/>
        </w:rPr>
        <w:t>se uređuju u nekoliko poglavlja pravne tekovine Evropske unije</w:t>
      </w:r>
      <w:r w:rsidR="00A04DA1" w:rsidRPr="00AB15C7">
        <w:rPr>
          <w:rFonts w:ascii="Cambria" w:hAnsi="Cambria" w:cs="TimesNewRomanPSMT"/>
          <w:noProof/>
          <w:lang w:val="sr-Latn-ME"/>
        </w:rPr>
        <w:t>, i to:</w:t>
      </w:r>
    </w:p>
    <w:p w14:paraId="3BB643C7" w14:textId="6E80AB47" w:rsidR="00A04DA1" w:rsidRPr="00AB15C7" w:rsidRDefault="00A04DA1" w:rsidP="00360F0F">
      <w:pPr>
        <w:spacing w:before="100" w:beforeAutospacing="1" w:after="100" w:afterAutospacing="1"/>
        <w:jc w:val="both"/>
        <w:rPr>
          <w:rFonts w:ascii="Cambria" w:hAnsi="Cambria" w:cs="TimesNewRomanPSMT"/>
          <w:noProof/>
          <w:lang w:val="sr-Latn-ME"/>
        </w:rPr>
      </w:pPr>
      <w:r w:rsidRPr="00AB15C7">
        <w:rPr>
          <w:rFonts w:ascii="Cambria" w:hAnsi="Cambria" w:cs="TimesNewRomanPSMT"/>
          <w:i/>
          <w:noProof/>
          <w:lang w:val="sr-Latn-ME"/>
        </w:rPr>
        <w:t>Poglavlje 27. Životna sredina i klimatske promjene</w:t>
      </w:r>
      <w:r w:rsidRPr="00AB15C7">
        <w:rPr>
          <w:rFonts w:ascii="Cambria" w:hAnsi="Cambria" w:cs="TimesNewRomanPSMT"/>
          <w:noProof/>
          <w:lang w:val="sr-Latn-ME"/>
        </w:rPr>
        <w:t>– zakonski okvir za upravljanje hemikalijama, biocidnim proizvodima, zaštita od zagađenja hemikalijama voda, vazduha, mora i zemljišta, zaštita od pritiska na životnu sredinu kao što je otpad, uspostavljanje sistema prevencije, pripravnosti i odgovora na hemi</w:t>
      </w:r>
      <w:r w:rsidR="00D025A9">
        <w:rPr>
          <w:rFonts w:ascii="Cambria" w:hAnsi="Cambria" w:cs="TimesNewRomanPSMT"/>
          <w:noProof/>
          <w:lang w:val="sr-Latn-ME"/>
        </w:rPr>
        <w:t>jske udese</w:t>
      </w:r>
      <w:r w:rsidRPr="00AB15C7">
        <w:rPr>
          <w:rFonts w:ascii="Cambria" w:hAnsi="Cambria" w:cs="TimesNewRomanPSMT"/>
          <w:noProof/>
          <w:lang w:val="sr-Latn-ME"/>
        </w:rPr>
        <w:t>. Uz ovo poglavlje utvrđuje se i informacioni sistem i izvještavanje.</w:t>
      </w:r>
    </w:p>
    <w:p w14:paraId="5A52FC89" w14:textId="77777777" w:rsidR="00A04DA1" w:rsidRPr="00AB15C7" w:rsidRDefault="00A04DA1" w:rsidP="006A3485">
      <w:pPr>
        <w:spacing w:before="100" w:beforeAutospacing="1" w:after="100" w:afterAutospacing="1"/>
        <w:jc w:val="both"/>
        <w:rPr>
          <w:rFonts w:ascii="Cambria" w:hAnsi="Cambria" w:cs="TimesNewRomanPSMT"/>
          <w:noProof/>
          <w:lang w:val="sr-Latn-ME"/>
        </w:rPr>
      </w:pPr>
      <w:r w:rsidRPr="00AB15C7">
        <w:rPr>
          <w:rFonts w:ascii="Cambria" w:hAnsi="Cambria" w:cs="TimesNewRomanPSMT"/>
          <w:i/>
          <w:noProof/>
          <w:lang w:val="sr-Latn-ME"/>
        </w:rPr>
        <w:t>Poglavlje 1. Slobodn</w:t>
      </w:r>
      <w:r w:rsidR="008942BA">
        <w:rPr>
          <w:rFonts w:ascii="Cambria" w:hAnsi="Cambria" w:cs="TimesNewRomanPSMT"/>
          <w:i/>
          <w:noProof/>
          <w:lang w:val="sr-Latn-ME"/>
        </w:rPr>
        <w:t>o kretanje</w:t>
      </w:r>
      <w:r w:rsidRPr="00AB15C7">
        <w:rPr>
          <w:rFonts w:ascii="Cambria" w:hAnsi="Cambria" w:cs="TimesNewRomanPSMT"/>
          <w:i/>
          <w:noProof/>
          <w:lang w:val="sr-Latn-ME"/>
        </w:rPr>
        <w:t xml:space="preserve"> roba</w:t>
      </w:r>
      <w:r w:rsidRPr="00AB15C7">
        <w:rPr>
          <w:rFonts w:ascii="Cambria" w:hAnsi="Cambria" w:cs="TimesNewRomanPSMT"/>
          <w:noProof/>
          <w:lang w:val="sr-Latn-ME"/>
        </w:rPr>
        <w:t xml:space="preserve">– zakonski okvir za zaštitu od eventualnih štetnih efekata hemikalija u </w:t>
      </w:r>
      <w:r w:rsidR="006A3485">
        <w:rPr>
          <w:rFonts w:ascii="Cambria" w:hAnsi="Cambria" w:cs="TimesNewRomanPSMT"/>
          <w:noProof/>
          <w:lang w:val="sr-Latn-ME"/>
        </w:rPr>
        <w:t xml:space="preserve">proizvodima za </w:t>
      </w:r>
      <w:r w:rsidRPr="00AB15C7">
        <w:rPr>
          <w:rFonts w:ascii="Cambria" w:hAnsi="Cambria" w:cs="TimesNewRomanPSMT"/>
          <w:noProof/>
          <w:lang w:val="sr-Latn-ME"/>
        </w:rPr>
        <w:t>opšt</w:t>
      </w:r>
      <w:r w:rsidR="006A3485">
        <w:rPr>
          <w:rFonts w:ascii="Cambria" w:hAnsi="Cambria" w:cs="TimesNewRomanPSMT"/>
          <w:noProof/>
          <w:lang w:val="sr-Latn-ME"/>
        </w:rPr>
        <w:t>u</w:t>
      </w:r>
      <w:r w:rsidRPr="00AB15C7">
        <w:rPr>
          <w:rFonts w:ascii="Cambria" w:hAnsi="Cambria" w:cs="TimesNewRomanPSMT"/>
          <w:noProof/>
          <w:lang w:val="sr-Latn-ME"/>
        </w:rPr>
        <w:t xml:space="preserve"> upotreb</w:t>
      </w:r>
      <w:r w:rsidR="006A3485">
        <w:rPr>
          <w:rFonts w:ascii="Cambria" w:hAnsi="Cambria" w:cs="TimesNewRomanPSMT"/>
          <w:noProof/>
          <w:lang w:val="sr-Latn-ME"/>
        </w:rPr>
        <w:t>u</w:t>
      </w:r>
      <w:r w:rsidRPr="00AB15C7">
        <w:rPr>
          <w:rFonts w:ascii="Cambria" w:hAnsi="Cambria" w:cs="TimesNewRomanPSMT"/>
          <w:noProof/>
          <w:lang w:val="sr-Latn-ME"/>
        </w:rPr>
        <w:t>, kao što su igračke, detergenti  i drugi.</w:t>
      </w:r>
    </w:p>
    <w:p w14:paraId="3CAF0C68" w14:textId="77777777" w:rsidR="00A04DA1" w:rsidRPr="00AB15C7" w:rsidRDefault="00A04DA1" w:rsidP="005921EF">
      <w:pPr>
        <w:spacing w:before="100" w:beforeAutospacing="1" w:after="100" w:afterAutospacing="1"/>
        <w:jc w:val="both"/>
        <w:rPr>
          <w:rFonts w:ascii="Cambria" w:hAnsi="Cambria" w:cs="TimesNewRomanPSMT"/>
          <w:noProof/>
          <w:lang w:val="sr-Latn-ME"/>
        </w:rPr>
      </w:pPr>
      <w:r w:rsidRPr="00AB15C7">
        <w:rPr>
          <w:rFonts w:ascii="Cambria" w:hAnsi="Cambria" w:cs="TimesNewRomanPSMT"/>
          <w:i/>
          <w:noProof/>
          <w:lang w:val="sr-Latn-ME"/>
        </w:rPr>
        <w:t>Poglavlje 12. Bezbjednost hrane, veterinarska i fitosanitarna politika</w:t>
      </w:r>
      <w:r w:rsidRPr="00AB15C7">
        <w:rPr>
          <w:rFonts w:ascii="Cambria" w:hAnsi="Cambria" w:cs="TimesNewRomanPSMT"/>
          <w:noProof/>
          <w:lang w:val="sr-Latn-ME"/>
        </w:rPr>
        <w:t xml:space="preserve"> – zakonski okvir za važno područje hemijske bezbjednosti u pogledu zaštite od mnogih štetnih efekata hemikalija u hrani i vodi za piće, kao i u pogledu zaštite od mogućeg štetnog uticaja pesticida na zdravlje ljudi ili životinja, bilo direktno ili indirektno.</w:t>
      </w:r>
    </w:p>
    <w:p w14:paraId="227BB631" w14:textId="77777777" w:rsidR="00A04DA1" w:rsidRPr="00AB15C7" w:rsidRDefault="00A04DA1" w:rsidP="005921EF">
      <w:pPr>
        <w:spacing w:before="100" w:beforeAutospacing="1" w:after="100" w:afterAutospacing="1"/>
        <w:jc w:val="both"/>
        <w:rPr>
          <w:rFonts w:ascii="Cambria" w:hAnsi="Cambria" w:cs="TimesNewRomanPSMT"/>
          <w:noProof/>
          <w:lang w:val="sr-Latn-ME"/>
        </w:rPr>
      </w:pPr>
      <w:r w:rsidRPr="00AB15C7">
        <w:rPr>
          <w:rFonts w:ascii="Cambria" w:hAnsi="Cambria" w:cs="TimesNewRomanPSMT"/>
          <w:i/>
          <w:noProof/>
          <w:lang w:val="sr-Latn-ME"/>
        </w:rPr>
        <w:t>Poglavlje 28. Bezbjednost potrošača i zdravlja</w:t>
      </w:r>
      <w:r w:rsidRPr="00AB15C7">
        <w:rPr>
          <w:rFonts w:ascii="Cambria" w:hAnsi="Cambria" w:cs="TimesNewRomanPSMT"/>
          <w:noProof/>
          <w:lang w:val="sr-Latn-ME"/>
        </w:rPr>
        <w:t>– zakonski okvir za zaštitu potrošača i njihovog zdravlja od hemikalija u proizvodima.</w:t>
      </w:r>
    </w:p>
    <w:p w14:paraId="7F09496B" w14:textId="77777777" w:rsidR="00EC2E23" w:rsidRPr="00AB15C7" w:rsidRDefault="00453571" w:rsidP="005921EF">
      <w:pPr>
        <w:spacing w:before="100" w:beforeAutospacing="1" w:after="100" w:afterAutospacing="1"/>
        <w:jc w:val="both"/>
        <w:rPr>
          <w:rFonts w:ascii="Cambria" w:hAnsi="Cambria" w:cs="TimesNewRomanPSMT"/>
          <w:noProof/>
          <w:lang w:val="sr-Latn-ME"/>
        </w:rPr>
      </w:pPr>
      <w:r w:rsidRPr="00AB15C7">
        <w:rPr>
          <w:rFonts w:ascii="Cambria" w:hAnsi="Cambria" w:cs="TimesNewRomanPSMT"/>
          <w:noProof/>
          <w:lang w:val="sr-Latn-ME"/>
        </w:rPr>
        <w:t xml:space="preserve">Uz to, </w:t>
      </w:r>
      <w:r w:rsidR="00075446" w:rsidRPr="00AB15C7">
        <w:rPr>
          <w:rFonts w:ascii="Cambria" w:hAnsi="Cambria" w:cs="TimesNewRomanPSMT"/>
          <w:noProof/>
          <w:lang w:val="sr-Latn-ME"/>
        </w:rPr>
        <w:t>s obzirom na</w:t>
      </w:r>
      <w:r w:rsidRPr="00AB15C7">
        <w:rPr>
          <w:rFonts w:ascii="Cambria" w:hAnsi="Cambria" w:cs="TimesNewRomanPSMT"/>
          <w:noProof/>
          <w:lang w:val="sr-Latn-ME"/>
        </w:rPr>
        <w:t xml:space="preserve"> </w:t>
      </w:r>
      <w:r w:rsidR="00075446" w:rsidRPr="00AB15C7">
        <w:rPr>
          <w:rFonts w:ascii="Cambria" w:hAnsi="Cambria" w:cs="TimesNewRomanPSMT"/>
          <w:noProof/>
          <w:lang w:val="sr-Latn-ME"/>
        </w:rPr>
        <w:t>brojne</w:t>
      </w:r>
      <w:r w:rsidRPr="00AB15C7">
        <w:rPr>
          <w:rFonts w:ascii="Cambria" w:hAnsi="Cambria" w:cs="TimesNewRomanPSMT"/>
          <w:noProof/>
          <w:lang w:val="sr-Latn-ME"/>
        </w:rPr>
        <w:t xml:space="preserve"> aspekte zaštite od štetnih uticaja hemikalija</w:t>
      </w:r>
      <w:r w:rsidR="00075446" w:rsidRPr="00AB15C7">
        <w:rPr>
          <w:rFonts w:ascii="Cambria" w:hAnsi="Cambria" w:cs="TimesNewRomanPSMT"/>
          <w:noProof/>
          <w:lang w:val="sr-Latn-ME"/>
        </w:rPr>
        <w:t xml:space="preserve"> kroz citav životni ciklus, pored krovnog propisa o hemikalijama, pitanja od značaja za upravljanje hemikalijama su obuhvaćena i propisima koji su u nadležnosti drugih </w:t>
      </w:r>
      <w:r w:rsidRPr="00AB15C7">
        <w:rPr>
          <w:rFonts w:ascii="Cambria" w:hAnsi="Cambria" w:cs="TimesNewRomanPSMT"/>
          <w:noProof/>
          <w:lang w:val="sr-Latn-ME"/>
        </w:rPr>
        <w:t xml:space="preserve">resora državne uprave. Zbog svega toga uspostavljanje integrisanog sistema hemijske </w:t>
      </w:r>
      <w:r w:rsidR="00075446" w:rsidRPr="00AB15C7">
        <w:rPr>
          <w:rFonts w:ascii="Cambria" w:hAnsi="Cambria" w:cs="TimesNewRomanPSMT"/>
          <w:noProof/>
          <w:lang w:val="sr-Latn-ME"/>
        </w:rPr>
        <w:t xml:space="preserve">bezbjednosti </w:t>
      </w:r>
      <w:r w:rsidRPr="00AB15C7">
        <w:rPr>
          <w:rFonts w:ascii="Cambria" w:hAnsi="Cambria" w:cs="TimesNewRomanPSMT"/>
          <w:noProof/>
          <w:lang w:val="sr-Latn-ME"/>
        </w:rPr>
        <w:t>podrazumijeva dobru horizontalnu i vertikalnu međuresorsku saradnju na principu supsidijarnosti i sistemskoj implementaciji osnovnih načela, nezavisno od toga ko ima nadležnosti, odnosno odgovornosti u sprovođenju  važećih zakona i podzakonskih akata.</w:t>
      </w:r>
      <w:r w:rsidR="00EC2E23" w:rsidRPr="00AB15C7">
        <w:rPr>
          <w:rFonts w:ascii="Cambria" w:hAnsi="Cambria" w:cs="TimesNewRomanPSMT"/>
          <w:noProof/>
          <w:lang w:val="sr-Latn-ME"/>
        </w:rPr>
        <w:t xml:space="preserve"> </w:t>
      </w:r>
      <w:bookmarkStart w:id="65" w:name="_Toc406482870"/>
    </w:p>
    <w:p w14:paraId="225282FC" w14:textId="77777777" w:rsidR="00EC2E23" w:rsidRPr="00360F0F" w:rsidRDefault="00AB15C7" w:rsidP="00360F0F">
      <w:pPr>
        <w:pStyle w:val="Heading2"/>
        <w:ind w:firstLine="720"/>
        <w:rPr>
          <w:b w:val="0"/>
          <w:bCs w:val="0"/>
          <w:noProof/>
          <w:lang w:val="en-US"/>
        </w:rPr>
      </w:pPr>
      <w:bookmarkStart w:id="66" w:name="_Toc527353200"/>
      <w:r w:rsidRPr="00286BDD">
        <w:rPr>
          <w:noProof/>
          <w:sz w:val="22"/>
          <w:szCs w:val="22"/>
          <w:lang w:val="en-US"/>
        </w:rPr>
        <w:lastRenderedPageBreak/>
        <w:t>2.3.3.</w:t>
      </w:r>
      <w:r w:rsidR="00453571" w:rsidRPr="00286BDD">
        <w:rPr>
          <w:noProof/>
          <w:sz w:val="22"/>
          <w:szCs w:val="22"/>
          <w:lang w:val="en-US"/>
        </w:rPr>
        <w:t xml:space="preserve">1. </w:t>
      </w:r>
      <w:r w:rsidRPr="00360F0F">
        <w:rPr>
          <w:noProof/>
          <w:sz w:val="22"/>
          <w:szCs w:val="22"/>
          <w:lang w:val="en-US"/>
        </w:rPr>
        <w:t>Usklađenost s</w:t>
      </w:r>
      <w:r w:rsidR="009D6E0E" w:rsidRPr="00360F0F">
        <w:rPr>
          <w:noProof/>
          <w:sz w:val="22"/>
          <w:szCs w:val="22"/>
          <w:lang w:val="en-US"/>
        </w:rPr>
        <w:t>a</w:t>
      </w:r>
      <w:r w:rsidRPr="00360F0F">
        <w:rPr>
          <w:noProof/>
          <w:sz w:val="22"/>
          <w:szCs w:val="22"/>
          <w:lang w:val="en-US"/>
        </w:rPr>
        <w:t xml:space="preserve"> EU propisima o hemikalijama</w:t>
      </w:r>
      <w:bookmarkEnd w:id="65"/>
      <w:bookmarkEnd w:id="66"/>
      <w:r w:rsidR="00EC2E23" w:rsidRPr="00360F0F">
        <w:rPr>
          <w:noProof/>
          <w:sz w:val="22"/>
          <w:szCs w:val="22"/>
          <w:lang w:val="en-US"/>
        </w:rPr>
        <w:t xml:space="preserve"> </w:t>
      </w:r>
      <w:bookmarkStart w:id="67" w:name="_Toc406482871"/>
      <w:bookmarkStart w:id="68" w:name="_Toc406411328"/>
    </w:p>
    <w:p w14:paraId="5277D3CA" w14:textId="08B6F5B8" w:rsidR="00EC5AA2" w:rsidRPr="00555019" w:rsidRDefault="003424AB" w:rsidP="00360F0F">
      <w:pPr>
        <w:spacing w:before="120" w:after="120"/>
        <w:jc w:val="both"/>
        <w:rPr>
          <w:rFonts w:ascii="Cambria" w:hAnsi="Cambria"/>
          <w:noProof/>
          <w:lang w:val="sr-Latn-CS"/>
        </w:rPr>
      </w:pPr>
      <w:r w:rsidRPr="00555019">
        <w:rPr>
          <w:rFonts w:ascii="Cambria" w:hAnsi="Cambria"/>
          <w:noProof/>
          <w:lang w:val="sr-Latn-CS"/>
        </w:rPr>
        <w:t xml:space="preserve">Legislativa Crne Gore je usaglašena sa odgovarajućom legislativom EU u pogledu hemikalija onoliko </w:t>
      </w:r>
      <w:r w:rsidR="00EC5AA2" w:rsidRPr="00AB15C7">
        <w:rPr>
          <w:rFonts w:ascii="Cambria" w:hAnsi="Cambria"/>
          <w:noProof/>
          <w:lang w:val="sr-Latn-CS"/>
        </w:rPr>
        <w:t xml:space="preserve">koliko je to moguće za zemlju kandidata, odnosno prenesene su sve relevantne odredbe osim onih koje se odnose na postupke koji se ne sprovode na nivou zemalja </w:t>
      </w:r>
      <w:r w:rsidR="00037A7F" w:rsidRPr="00AB15C7">
        <w:rPr>
          <w:rFonts w:ascii="Cambria" w:hAnsi="Cambria"/>
          <w:noProof/>
          <w:lang w:val="sr-Latn-CS"/>
        </w:rPr>
        <w:t>č</w:t>
      </w:r>
      <w:r w:rsidR="00EC5AA2" w:rsidRPr="00AB15C7">
        <w:rPr>
          <w:rFonts w:ascii="Cambria" w:hAnsi="Cambria"/>
          <w:noProof/>
          <w:lang w:val="sr-Latn-CS"/>
        </w:rPr>
        <w:t xml:space="preserve">lanica već na centralnom nivou od strane ECHA.  Naime odredbe EU propisa koje se odnose na centralizovane postupke koji se sprovode na nivou zajednice nisu prenete u </w:t>
      </w:r>
      <w:r w:rsidR="009E6F26">
        <w:rPr>
          <w:rFonts w:ascii="Cambria" w:hAnsi="Cambria"/>
          <w:noProof/>
          <w:lang w:val="sr-Latn-CS"/>
        </w:rPr>
        <w:t xml:space="preserve">nacionalni </w:t>
      </w:r>
      <w:r w:rsidR="00EC5AA2" w:rsidRPr="00AB15C7">
        <w:rPr>
          <w:rFonts w:ascii="Cambria" w:hAnsi="Cambria"/>
          <w:noProof/>
          <w:lang w:val="sr-Latn-CS"/>
        </w:rPr>
        <w:t>pravni sistem, s obzirom da kao takvi ne bi bili priznati od strane EU, već se njihova puna prim</w:t>
      </w:r>
      <w:r w:rsidR="009E6F26">
        <w:rPr>
          <w:rFonts w:ascii="Cambria" w:hAnsi="Cambria"/>
          <w:noProof/>
          <w:lang w:val="sr-Latn-CS"/>
        </w:rPr>
        <w:t>j</w:t>
      </w:r>
      <w:r w:rsidR="00EC5AA2" w:rsidRPr="00AB15C7">
        <w:rPr>
          <w:rFonts w:ascii="Cambria" w:hAnsi="Cambria"/>
          <w:noProof/>
          <w:lang w:val="sr-Latn-CS"/>
        </w:rPr>
        <w:t xml:space="preserve">ena očekuje nakon prijema Crne Gore u članstvo EU. </w:t>
      </w:r>
    </w:p>
    <w:p w14:paraId="5A04C8D8" w14:textId="6DFD49A4" w:rsidR="00555019" w:rsidRPr="00555019" w:rsidRDefault="005059EA" w:rsidP="00360F0F">
      <w:pPr>
        <w:spacing w:before="120" w:after="120"/>
        <w:jc w:val="both"/>
        <w:rPr>
          <w:rFonts w:ascii="Cambria" w:hAnsi="Cambria"/>
          <w:noProof/>
          <w:lang w:val="sr-Latn-CS"/>
        </w:rPr>
      </w:pPr>
      <w:r w:rsidRPr="00AB15C7">
        <w:rPr>
          <w:rFonts w:ascii="Cambria" w:hAnsi="Cambria"/>
          <w:noProof/>
          <w:lang w:val="sr-Latn-CS"/>
        </w:rPr>
        <w:t xml:space="preserve">Krovni zakon kojima se uredjuju hemikalije </w:t>
      </w:r>
      <w:r w:rsidR="00555019">
        <w:rPr>
          <w:rFonts w:ascii="Cambria" w:hAnsi="Cambria"/>
          <w:noProof/>
          <w:lang w:val="sr-Latn-CS"/>
        </w:rPr>
        <w:t xml:space="preserve">je </w:t>
      </w:r>
      <w:r w:rsidRPr="00AB15C7">
        <w:rPr>
          <w:rFonts w:ascii="Cambria" w:hAnsi="Cambria"/>
          <w:noProof/>
          <w:lang w:val="sr-Latn-CS"/>
        </w:rPr>
        <w:t xml:space="preserve">Zakon  o hemikalijama </w:t>
      </w:r>
      <w:r w:rsidR="00555019">
        <w:rPr>
          <w:rFonts w:ascii="Cambria" w:hAnsi="Cambria"/>
          <w:noProof/>
          <w:lang w:val="sr-Latn-CS"/>
        </w:rPr>
        <w:t xml:space="preserve">koji </w:t>
      </w:r>
      <w:r w:rsidR="0075678C" w:rsidRPr="00AB15C7">
        <w:rPr>
          <w:rFonts w:ascii="Cambria" w:hAnsi="Cambria"/>
          <w:noProof/>
          <w:lang w:val="sr-Latn-CS"/>
        </w:rPr>
        <w:t>uspostavlja jedinstven</w:t>
      </w:r>
      <w:r w:rsidR="00555019">
        <w:rPr>
          <w:rFonts w:ascii="Cambria" w:hAnsi="Cambria"/>
          <w:noProof/>
          <w:lang w:val="sr-Latn-CS"/>
        </w:rPr>
        <w:t xml:space="preserve">i </w:t>
      </w:r>
      <w:r w:rsidRPr="00AB15C7">
        <w:rPr>
          <w:rFonts w:ascii="Cambria" w:hAnsi="Cambria"/>
          <w:noProof/>
          <w:lang w:val="sr-Latn-CS"/>
        </w:rPr>
        <w:t>sistem</w:t>
      </w:r>
      <w:r w:rsidR="0075678C" w:rsidRPr="00AB15C7">
        <w:rPr>
          <w:rFonts w:ascii="Cambria" w:hAnsi="Cambria"/>
          <w:noProof/>
          <w:lang w:val="sr-Latn-CS"/>
        </w:rPr>
        <w:t>e</w:t>
      </w:r>
      <w:r w:rsidRPr="00AB15C7">
        <w:rPr>
          <w:rFonts w:ascii="Cambria" w:hAnsi="Cambria"/>
          <w:noProof/>
          <w:lang w:val="sr-Latn-CS"/>
        </w:rPr>
        <w:t xml:space="preserve"> upravljanja hemikalijama </w:t>
      </w:r>
      <w:r w:rsidR="0075678C" w:rsidRPr="00AB15C7">
        <w:rPr>
          <w:rFonts w:ascii="Cambria" w:hAnsi="Cambria"/>
          <w:noProof/>
          <w:lang w:val="sr-Latn-CS"/>
        </w:rPr>
        <w:t>u Crnoj Cori i daj</w:t>
      </w:r>
      <w:r w:rsidR="00555019">
        <w:rPr>
          <w:rFonts w:ascii="Cambria" w:hAnsi="Cambria"/>
          <w:noProof/>
          <w:lang w:val="sr-Latn-CS"/>
        </w:rPr>
        <w:t>e</w:t>
      </w:r>
      <w:r w:rsidR="0075678C" w:rsidRPr="00AB15C7">
        <w:rPr>
          <w:rFonts w:ascii="Cambria" w:hAnsi="Cambria"/>
          <w:noProof/>
          <w:lang w:val="sr-Latn-CS"/>
        </w:rPr>
        <w:t xml:space="preserve"> osnov za bliže uređivanje ove oblasti kroz podzakonska akta.  </w:t>
      </w:r>
      <w:r w:rsidR="00EC2E23" w:rsidRPr="00AB15C7">
        <w:rPr>
          <w:rFonts w:ascii="Cambria" w:hAnsi="Cambria"/>
          <w:noProof/>
          <w:lang w:val="sr-Latn-CS"/>
        </w:rPr>
        <w:t>Zakonom o hemikalijama, i podzakonskim aktima donetim na osnovu ovih zakona, domaći pravni sistem usaglašen je sa sledećim propisima EU: Uredba 1907/2006/E</w:t>
      </w:r>
      <w:r w:rsidR="00243F13" w:rsidRPr="00AB15C7">
        <w:rPr>
          <w:rFonts w:ascii="Cambria" w:hAnsi="Cambria"/>
          <w:noProof/>
          <w:lang w:val="sr-Latn-CS"/>
        </w:rPr>
        <w:t>C</w:t>
      </w:r>
      <w:r w:rsidR="00EC2E23" w:rsidRPr="00AB15C7">
        <w:rPr>
          <w:rFonts w:ascii="Cambria" w:hAnsi="Cambria"/>
          <w:noProof/>
          <w:lang w:val="sr-Latn-CS"/>
        </w:rPr>
        <w:t xml:space="preserve"> (REACH), Uredba 1272/2008/E</w:t>
      </w:r>
      <w:r w:rsidR="00243F13" w:rsidRPr="00AB15C7">
        <w:rPr>
          <w:rFonts w:ascii="Cambria" w:hAnsi="Cambria"/>
          <w:noProof/>
          <w:lang w:val="sr-Latn-CS"/>
        </w:rPr>
        <w:t>C</w:t>
      </w:r>
      <w:r w:rsidR="00EC2E23" w:rsidRPr="00AB15C7">
        <w:rPr>
          <w:rFonts w:ascii="Cambria" w:hAnsi="Cambria"/>
          <w:noProof/>
          <w:lang w:val="sr-Latn-CS"/>
        </w:rPr>
        <w:t xml:space="preserve"> (CLP), Uredba 440/2008/E</w:t>
      </w:r>
      <w:r w:rsidR="00243F13" w:rsidRPr="00AB15C7">
        <w:rPr>
          <w:rFonts w:ascii="Cambria" w:hAnsi="Cambria"/>
          <w:noProof/>
          <w:lang w:val="sr-Latn-CS"/>
        </w:rPr>
        <w:t>C</w:t>
      </w:r>
      <w:r w:rsidR="00F60D36" w:rsidRPr="00AB15C7">
        <w:rPr>
          <w:rFonts w:ascii="Cambria" w:hAnsi="Cambria"/>
          <w:noProof/>
          <w:lang w:val="sr-Latn-CS"/>
        </w:rPr>
        <w:t xml:space="preserve"> (test metode)</w:t>
      </w:r>
      <w:r w:rsidR="00EC2E23" w:rsidRPr="00AB15C7">
        <w:rPr>
          <w:rFonts w:ascii="Cambria" w:hAnsi="Cambria"/>
          <w:noProof/>
          <w:lang w:val="sr-Latn-CS"/>
        </w:rPr>
        <w:t>;</w:t>
      </w:r>
      <w:r w:rsidR="00F60D36" w:rsidRPr="00AB15C7">
        <w:rPr>
          <w:rFonts w:ascii="Cambria" w:hAnsi="Cambria"/>
          <w:noProof/>
          <w:lang w:val="sr-Latn-CS"/>
        </w:rPr>
        <w:t xml:space="preserve"> Uredba 649/2012/E</w:t>
      </w:r>
      <w:r w:rsidR="00243F13" w:rsidRPr="00AB15C7">
        <w:rPr>
          <w:rFonts w:ascii="Cambria" w:hAnsi="Cambria"/>
          <w:noProof/>
          <w:lang w:val="sr-Latn-CS"/>
        </w:rPr>
        <w:t>C</w:t>
      </w:r>
      <w:r w:rsidR="00F60D36" w:rsidRPr="00AB15C7">
        <w:rPr>
          <w:rFonts w:ascii="Cambria" w:hAnsi="Cambria"/>
          <w:noProof/>
          <w:lang w:val="sr-Latn-CS"/>
        </w:rPr>
        <w:t xml:space="preserve"> (uvoz/izvoz-PIC),</w:t>
      </w:r>
      <w:r w:rsidR="00EC2E23" w:rsidRPr="00AB15C7">
        <w:rPr>
          <w:rFonts w:ascii="Cambria" w:hAnsi="Cambria"/>
          <w:noProof/>
          <w:lang w:val="sr-Latn-CS"/>
        </w:rPr>
        <w:t xml:space="preserve"> </w:t>
      </w:r>
      <w:r w:rsidR="00330670">
        <w:rPr>
          <w:rFonts w:ascii="Cambria" w:hAnsi="Cambria"/>
          <w:noProof/>
          <w:lang w:val="sr-Latn-CS"/>
        </w:rPr>
        <w:t xml:space="preserve">Aneks I </w:t>
      </w:r>
      <w:r w:rsidR="00330670" w:rsidRPr="00330670">
        <w:rPr>
          <w:rFonts w:ascii="Cambria" w:hAnsi="Cambria"/>
          <w:noProof/>
          <w:lang w:val="sr-Latn-CS"/>
        </w:rPr>
        <w:t>Uredb</w:t>
      </w:r>
      <w:r w:rsidR="00330670">
        <w:rPr>
          <w:rFonts w:ascii="Cambria" w:hAnsi="Cambria"/>
          <w:noProof/>
          <w:lang w:val="sr-Latn-CS"/>
        </w:rPr>
        <w:t>e</w:t>
      </w:r>
      <w:r w:rsidR="00330670" w:rsidRPr="00330670">
        <w:rPr>
          <w:rFonts w:ascii="Cambria" w:hAnsi="Cambria"/>
          <w:noProof/>
          <w:lang w:val="sr-Latn-CS"/>
        </w:rPr>
        <w:t xml:space="preserve"> </w:t>
      </w:r>
      <w:r w:rsidR="00EC2E23" w:rsidRPr="00330670">
        <w:rPr>
          <w:rFonts w:ascii="Cambria" w:hAnsi="Cambria"/>
          <w:noProof/>
          <w:lang w:val="sr-Latn-CS"/>
        </w:rPr>
        <w:t>850/2004/E</w:t>
      </w:r>
      <w:r w:rsidR="00243F13" w:rsidRPr="00330670">
        <w:rPr>
          <w:rFonts w:ascii="Cambria" w:hAnsi="Cambria"/>
          <w:noProof/>
          <w:lang w:val="sr-Latn-CS"/>
        </w:rPr>
        <w:t>C</w:t>
      </w:r>
      <w:r w:rsidR="00EC2E23" w:rsidRPr="00330670">
        <w:rPr>
          <w:rFonts w:ascii="Cambria" w:hAnsi="Cambria"/>
          <w:noProof/>
          <w:lang w:val="sr-Latn-CS"/>
        </w:rPr>
        <w:t xml:space="preserve"> (POPѕ</w:t>
      </w:r>
      <w:r w:rsidR="00EC2E23" w:rsidRPr="00AB15C7">
        <w:rPr>
          <w:rFonts w:ascii="Cambria" w:hAnsi="Cambria"/>
          <w:noProof/>
          <w:lang w:val="sr-Latn-CS"/>
        </w:rPr>
        <w:t>), Direktiva 2004/42/E</w:t>
      </w:r>
      <w:r w:rsidR="00243F13" w:rsidRPr="00AB15C7">
        <w:rPr>
          <w:rFonts w:ascii="Cambria" w:hAnsi="Cambria"/>
          <w:noProof/>
          <w:lang w:val="sr-Latn-CS"/>
        </w:rPr>
        <w:t>C</w:t>
      </w:r>
      <w:r w:rsidR="00F60D36" w:rsidRPr="00AB15C7">
        <w:rPr>
          <w:rFonts w:ascii="Cambria" w:hAnsi="Cambria"/>
          <w:noProof/>
          <w:lang w:val="sr-Latn-CS"/>
        </w:rPr>
        <w:t xml:space="preserve"> (VOC u bojama i premazima)</w:t>
      </w:r>
      <w:r w:rsidR="00EC2E23" w:rsidRPr="00AB15C7">
        <w:rPr>
          <w:rFonts w:ascii="Cambria" w:hAnsi="Cambria"/>
          <w:noProof/>
          <w:lang w:val="sr-Latn-CS"/>
        </w:rPr>
        <w:t>; Uredba 648/2004/E</w:t>
      </w:r>
      <w:r w:rsidR="00243F13" w:rsidRPr="00AB15C7">
        <w:rPr>
          <w:rFonts w:ascii="Cambria" w:hAnsi="Cambria"/>
          <w:noProof/>
          <w:lang w:val="sr-Latn-CS"/>
        </w:rPr>
        <w:t>C</w:t>
      </w:r>
      <w:r w:rsidR="00F60D36" w:rsidRPr="00AB15C7">
        <w:rPr>
          <w:rFonts w:ascii="Cambria" w:hAnsi="Cambria"/>
          <w:noProof/>
          <w:lang w:val="sr-Latn-CS"/>
        </w:rPr>
        <w:t xml:space="preserve"> (detergenti)</w:t>
      </w:r>
      <w:r w:rsidR="009E6F26">
        <w:rPr>
          <w:rFonts w:ascii="Cambria" w:hAnsi="Cambria"/>
          <w:noProof/>
          <w:lang w:val="sr-Latn-CS"/>
        </w:rPr>
        <w:t xml:space="preserve"> i  Direktiva 2004/10 (dobra laboratorijska praksa)</w:t>
      </w:r>
      <w:r w:rsidR="00555019">
        <w:rPr>
          <w:rFonts w:ascii="Cambria" w:hAnsi="Cambria"/>
          <w:noProof/>
          <w:lang w:val="sr-Latn-CS"/>
        </w:rPr>
        <w:t xml:space="preserve">. Dodatno, </w:t>
      </w:r>
      <w:r w:rsidR="00555019" w:rsidRPr="00AB15C7">
        <w:rPr>
          <w:rFonts w:ascii="Cambria" w:hAnsi="Cambria"/>
          <w:noProof/>
          <w:lang w:val="sr-Latn-CS"/>
        </w:rPr>
        <w:t>Zakonom o biocidnim proizvodima</w:t>
      </w:r>
      <w:r w:rsidR="00555019">
        <w:rPr>
          <w:rFonts w:ascii="Cambria" w:hAnsi="Cambria"/>
          <w:noProof/>
          <w:lang w:val="sr-Latn-CS"/>
        </w:rPr>
        <w:t xml:space="preserve"> i njegovim podzakonskim aktima u nacionalno zakonodavstvo preuzeta je </w:t>
      </w:r>
      <w:r w:rsidR="00EC2E23" w:rsidRPr="00AB15C7">
        <w:rPr>
          <w:rFonts w:ascii="Cambria" w:hAnsi="Cambria"/>
          <w:noProof/>
          <w:lang w:val="sr-Latn-CS"/>
        </w:rPr>
        <w:t>Uredba 528/2012/E</w:t>
      </w:r>
      <w:r w:rsidR="00243F13" w:rsidRPr="00AB15C7">
        <w:rPr>
          <w:rFonts w:ascii="Cambria" w:hAnsi="Cambria"/>
          <w:noProof/>
          <w:lang w:val="sr-Latn-CS"/>
        </w:rPr>
        <w:t>C</w:t>
      </w:r>
      <w:r w:rsidR="00EC2E23" w:rsidRPr="00AB15C7">
        <w:rPr>
          <w:rFonts w:ascii="Cambria" w:hAnsi="Cambria"/>
          <w:noProof/>
          <w:lang w:val="sr-Latn-CS"/>
        </w:rPr>
        <w:t xml:space="preserve"> o stavljanju biocidnih proizvoda na tržište</w:t>
      </w:r>
      <w:r w:rsidR="00417D72" w:rsidRPr="00555019">
        <w:rPr>
          <w:rFonts w:ascii="Cambria" w:hAnsi="Cambria"/>
          <w:noProof/>
          <w:lang w:val="sr-Latn-CS"/>
        </w:rPr>
        <w:t xml:space="preserve">. </w:t>
      </w:r>
      <w:r w:rsidR="00EC5AA2" w:rsidRPr="00555019">
        <w:rPr>
          <w:rFonts w:ascii="Cambria" w:hAnsi="Cambria"/>
          <w:noProof/>
          <w:lang w:val="sr-Latn-CS"/>
        </w:rPr>
        <w:t xml:space="preserve"> </w:t>
      </w:r>
    </w:p>
    <w:p w14:paraId="0499E5DB" w14:textId="5A0DE8F1" w:rsidR="008B670C" w:rsidRPr="00AB15C7" w:rsidRDefault="00EC2E23" w:rsidP="00360F0F">
      <w:pPr>
        <w:spacing w:before="120" w:after="120"/>
        <w:jc w:val="both"/>
        <w:rPr>
          <w:rFonts w:ascii="Cambria" w:hAnsi="Cambria"/>
          <w:noProof/>
          <w:lang w:val="sr-Latn-CS"/>
        </w:rPr>
      </w:pPr>
      <w:r w:rsidRPr="00AB15C7">
        <w:rPr>
          <w:rFonts w:ascii="Cambria" w:hAnsi="Cambria"/>
          <w:noProof/>
          <w:lang w:val="sr-Latn-CS"/>
        </w:rPr>
        <w:t>Implementacija Zakona o hemikalijama i Zakona o biocidnim proizvodima omogućena je usvajanjem podzakonskih propisa kojima se bliže uređuje klasifikacija, pakovanje</w:t>
      </w:r>
      <w:r w:rsidR="002C0FA6">
        <w:rPr>
          <w:rFonts w:ascii="Cambria" w:hAnsi="Cambria"/>
          <w:noProof/>
          <w:lang w:val="sr-Latn-CS"/>
        </w:rPr>
        <w:t xml:space="preserve"> i</w:t>
      </w:r>
      <w:r w:rsidRPr="00AB15C7">
        <w:rPr>
          <w:rFonts w:ascii="Cambria" w:hAnsi="Cambria"/>
          <w:noProof/>
          <w:lang w:val="sr-Latn-CS"/>
        </w:rPr>
        <w:t xml:space="preserve"> </w:t>
      </w:r>
      <w:r w:rsidR="00D46B26">
        <w:rPr>
          <w:rFonts w:ascii="Cambria" w:hAnsi="Cambria"/>
          <w:noProof/>
          <w:lang w:val="sr-Latn-CS"/>
        </w:rPr>
        <w:t>označavanje</w:t>
      </w:r>
      <w:r w:rsidR="002C0FA6">
        <w:rPr>
          <w:rFonts w:ascii="Cambria" w:hAnsi="Cambria"/>
          <w:noProof/>
          <w:lang w:val="sr-Latn-CS"/>
        </w:rPr>
        <w:t xml:space="preserve"> </w:t>
      </w:r>
      <w:r w:rsidRPr="00AB15C7">
        <w:rPr>
          <w:rFonts w:ascii="Cambria" w:hAnsi="Cambria"/>
          <w:noProof/>
          <w:lang w:val="sr-Latn-CS"/>
        </w:rPr>
        <w:t>hemikalija, ograničenja i zabrane proizvodnje, stavljanja u promet i korišćenja hemikalija koje predstavljaju neprihvatljiv rizik po zdravlje ljudi i životnu sredinu, uvoz i izvoz određenih opasnih hemikalija, stavljanje u promet detergenata, stavljanje u promet biocidnih proizvoda i dr.</w:t>
      </w:r>
    </w:p>
    <w:p w14:paraId="1F13BECE" w14:textId="77777777" w:rsidR="00243F13" w:rsidRPr="00555019" w:rsidRDefault="008B670C" w:rsidP="00530763">
      <w:pPr>
        <w:spacing w:after="0"/>
        <w:jc w:val="both"/>
        <w:rPr>
          <w:rFonts w:ascii="Cambria" w:hAnsi="Cambria"/>
          <w:noProof/>
          <w:lang w:val="sr-Latn-CS"/>
        </w:rPr>
      </w:pPr>
      <w:r w:rsidRPr="00AB15C7">
        <w:rPr>
          <w:rFonts w:ascii="Cambria" w:hAnsi="Cambria"/>
          <w:noProof/>
          <w:lang w:val="sr-Latn-CS"/>
        </w:rPr>
        <w:t xml:space="preserve">Počev od usvajanja prvog Zakona o hemikalijama iz 2012, </w:t>
      </w:r>
      <w:r w:rsidRPr="00555019">
        <w:rPr>
          <w:rFonts w:ascii="Cambria" w:hAnsi="Cambria"/>
          <w:noProof/>
          <w:lang w:val="sr-Latn-CS"/>
        </w:rPr>
        <w:t xml:space="preserve">Crna Gora je značajno napredovala u procesu usklađivanja sa EU-acquis u sektoru hemikalija. Zakonom o hemikalijama iz 2017. preduzeti su dalji koraci u procesu usklađivanja. </w:t>
      </w:r>
      <w:r w:rsidR="00243F13" w:rsidRPr="00555019">
        <w:rPr>
          <w:rFonts w:ascii="Cambria" w:hAnsi="Cambria"/>
          <w:noProof/>
          <w:lang w:val="sr-Latn-CS"/>
        </w:rPr>
        <w:t>Osnovne novine koje donosi Zakon o hemikalijama iz 2017., a tiču se preuzimanja djelova EU pravne tekovine, su sljedeće:</w:t>
      </w:r>
    </w:p>
    <w:p w14:paraId="538B99CF" w14:textId="09245B94" w:rsidR="00243F13" w:rsidRPr="00686BFC" w:rsidRDefault="00243F13" w:rsidP="00557C13">
      <w:pPr>
        <w:pStyle w:val="ListParagraph"/>
        <w:numPr>
          <w:ilvl w:val="0"/>
          <w:numId w:val="58"/>
        </w:numPr>
        <w:spacing w:after="0"/>
        <w:jc w:val="both"/>
        <w:rPr>
          <w:rFonts w:ascii="Cambria" w:hAnsi="Cambria"/>
          <w:noProof/>
          <w:lang w:val="sr-Latn-CS"/>
        </w:rPr>
      </w:pPr>
      <w:r w:rsidRPr="00686BFC">
        <w:rPr>
          <w:rFonts w:ascii="Cambria" w:hAnsi="Cambria"/>
          <w:noProof/>
          <w:lang w:val="sr-Latn-CS"/>
        </w:rPr>
        <w:t>Detaljnije su razrađen</w:t>
      </w:r>
      <w:r w:rsidR="00A23138" w:rsidRPr="00686BFC">
        <w:rPr>
          <w:rFonts w:ascii="Cambria" w:hAnsi="Cambria"/>
          <w:noProof/>
          <w:lang w:val="sr-Latn-CS"/>
        </w:rPr>
        <w:t>i i korigovani</w:t>
      </w:r>
      <w:r w:rsidRPr="00686BFC">
        <w:rPr>
          <w:rFonts w:ascii="Cambria" w:hAnsi="Cambria"/>
          <w:noProof/>
          <w:lang w:val="sr-Latn-CS"/>
        </w:rPr>
        <w:t xml:space="preserve"> </w:t>
      </w:r>
      <w:r w:rsidR="00A23138" w:rsidRPr="00686BFC">
        <w:rPr>
          <w:rFonts w:ascii="Cambria" w:hAnsi="Cambria"/>
          <w:noProof/>
          <w:lang w:val="sr-Latn-CS"/>
        </w:rPr>
        <w:t xml:space="preserve">uslovi u pogledu upisa hemikalija u registar i </w:t>
      </w:r>
      <w:r w:rsidRPr="00686BFC">
        <w:rPr>
          <w:rFonts w:ascii="Cambria" w:hAnsi="Cambria"/>
          <w:noProof/>
          <w:lang w:val="sr-Latn-CS"/>
        </w:rPr>
        <w:t xml:space="preserve">obaveze daljih korisnika u lancu snabdijevanja. Takođe, definisana su izuzeća od upisa u registar za supstance proizvedene ili uvezene za istraživanje i razvoj na period od 5 godina, za količine manje od 1t godišnje. </w:t>
      </w:r>
      <w:r w:rsidR="00A23138" w:rsidRPr="00686BFC">
        <w:rPr>
          <w:rFonts w:ascii="Cambria" w:hAnsi="Cambria"/>
          <w:noProof/>
          <w:lang w:val="sr-Latn-CS"/>
        </w:rPr>
        <w:t>Pored toga, novine se odnose i na upis internih i prevezenih izolovanih intermedijera u registar.</w:t>
      </w:r>
    </w:p>
    <w:p w14:paraId="2D988426" w14:textId="52DA04D9" w:rsidR="00243F13" w:rsidRPr="00686BFC" w:rsidRDefault="00243F13" w:rsidP="00557C13">
      <w:pPr>
        <w:pStyle w:val="ListParagraph"/>
        <w:numPr>
          <w:ilvl w:val="0"/>
          <w:numId w:val="58"/>
        </w:numPr>
        <w:spacing w:after="0"/>
        <w:jc w:val="both"/>
        <w:rPr>
          <w:rFonts w:ascii="Cambria" w:hAnsi="Cambria"/>
          <w:noProof/>
          <w:lang w:val="sr-Latn-CS"/>
        </w:rPr>
      </w:pPr>
      <w:r w:rsidRPr="00686BFC">
        <w:rPr>
          <w:rFonts w:ascii="Cambria" w:hAnsi="Cambria"/>
          <w:noProof/>
          <w:lang w:val="sr-Latn-CS"/>
        </w:rPr>
        <w:t xml:space="preserve">Pojašnjene su obaveze zastupnika proizvođača. Zastupnik je dužan da čuva i ažurira podatke o uvezenim količinama i kupcima kojima su prodate supstance, kao i podatke o dostavljanju revidiranog bezbjednosnog lista. Zahtjev za upis u registar za stranog proizvođača ili uvoznika može podnijeti lice koje ovlasti strani proizvođač tj. zastupnik sa sjedištem u Crnoj Gori. </w:t>
      </w:r>
    </w:p>
    <w:p w14:paraId="4F127980" w14:textId="10F8C8A2" w:rsidR="00243F13" w:rsidRPr="00686BFC" w:rsidRDefault="00243F13" w:rsidP="00557C13">
      <w:pPr>
        <w:pStyle w:val="ListParagraph"/>
        <w:numPr>
          <w:ilvl w:val="0"/>
          <w:numId w:val="58"/>
        </w:numPr>
        <w:spacing w:after="0"/>
        <w:jc w:val="both"/>
        <w:rPr>
          <w:rFonts w:ascii="Cambria" w:hAnsi="Cambria"/>
          <w:noProof/>
          <w:lang w:val="sr-Latn-CS"/>
        </w:rPr>
      </w:pPr>
      <w:r w:rsidRPr="00686BFC">
        <w:rPr>
          <w:rFonts w:ascii="Cambria" w:hAnsi="Cambria"/>
          <w:noProof/>
          <w:lang w:val="sr-Latn-CS"/>
        </w:rPr>
        <w:t>Agencija za zaštitu prirode i životne sredine obavezna je da o rizicima koji proizlaze iz upotrebe hemikalija, radi zaštite zdravlja ljudi i životne sredine obavještava javnost putem medija. Takođe, AZPŽS je dužna da priprema vodiče o rizicima i bezbjednoj upotrebi hemikalija ili proizvoda, kao i da pruža stručne savjete (helpdesk) proizvođačima, uvoznicima, daljim korisnicima i drugim zainteresovanim licima u ovoj oblasti.</w:t>
      </w:r>
    </w:p>
    <w:p w14:paraId="12CBF939" w14:textId="3335B37D" w:rsidR="00243F13" w:rsidRPr="00686BFC" w:rsidRDefault="00243F13" w:rsidP="00557C13">
      <w:pPr>
        <w:pStyle w:val="ListParagraph"/>
        <w:numPr>
          <w:ilvl w:val="0"/>
          <w:numId w:val="58"/>
        </w:numPr>
        <w:spacing w:after="0"/>
        <w:jc w:val="both"/>
        <w:rPr>
          <w:rFonts w:ascii="Cambria" w:hAnsi="Cambria"/>
          <w:noProof/>
          <w:lang w:val="sr-Latn-CS"/>
        </w:rPr>
      </w:pPr>
      <w:r w:rsidRPr="00686BFC">
        <w:rPr>
          <w:rFonts w:ascii="Cambria" w:hAnsi="Cambria"/>
          <w:noProof/>
          <w:lang w:val="sr-Latn-CS"/>
        </w:rPr>
        <w:t>Uvedena je obaveza da zdravstvene ustanove dostavljaju AZPŽS</w:t>
      </w:r>
      <w:r w:rsidR="00FC0F57" w:rsidRPr="00686BFC">
        <w:rPr>
          <w:rFonts w:ascii="Cambria" w:hAnsi="Cambria"/>
          <w:noProof/>
          <w:lang w:val="sr-Latn-CS"/>
        </w:rPr>
        <w:t xml:space="preserve">, </w:t>
      </w:r>
      <w:r w:rsidRPr="00686BFC">
        <w:rPr>
          <w:rFonts w:ascii="Cambria" w:hAnsi="Cambria"/>
          <w:noProof/>
          <w:lang w:val="sr-Latn-CS"/>
        </w:rPr>
        <w:t xml:space="preserve">i </w:t>
      </w:r>
      <w:r w:rsidR="00FC0F57" w:rsidRPr="00686BFC">
        <w:rPr>
          <w:rFonts w:ascii="Cambria" w:hAnsi="Cambria"/>
          <w:noProof/>
        </w:rPr>
        <w:t xml:space="preserve">organu državne uprave nadležnom za poslove zdravlje </w:t>
      </w:r>
      <w:r w:rsidR="002D75FF" w:rsidRPr="00686BFC">
        <w:rPr>
          <w:rFonts w:ascii="Cambria" w:hAnsi="Cambria"/>
          <w:noProof/>
          <w:lang w:val="sr-Latn-CS"/>
        </w:rPr>
        <w:t xml:space="preserve">i </w:t>
      </w:r>
      <w:r w:rsidR="002D75FF" w:rsidRPr="00686BFC">
        <w:rPr>
          <w:rFonts w:ascii="Times New Roman" w:eastAsia="SimSun" w:hAnsi="Times New Roman"/>
          <w:noProof/>
          <w:sz w:val="24"/>
          <w:szCs w:val="24"/>
        </w:rPr>
        <w:t xml:space="preserve"> </w:t>
      </w:r>
      <w:r w:rsidR="002D75FF" w:rsidRPr="00686BFC">
        <w:rPr>
          <w:rFonts w:ascii="Cambria" w:hAnsi="Cambria"/>
          <w:noProof/>
        </w:rPr>
        <w:t>Institutu za javno zdravlje</w:t>
      </w:r>
      <w:r w:rsidRPr="00686BFC">
        <w:rPr>
          <w:rFonts w:ascii="Cambria" w:hAnsi="Cambria"/>
          <w:noProof/>
          <w:lang w:val="sr-Latn-CS"/>
        </w:rPr>
        <w:t xml:space="preserve"> podatke o akutnim trovanjima i drugim uticajima hemikalija na zdravlje ljudi. Takođe, podatke o preventivnim mjerama koje treba preduzeti za sprječavanje trovanja, uvoznici ili dalji korisnici koji stavljaju hemikalije na tržište dostavljaju Agenciji.</w:t>
      </w:r>
    </w:p>
    <w:p w14:paraId="3624AB64" w14:textId="62AE465B" w:rsidR="008B670C" w:rsidRPr="00AB15C7" w:rsidRDefault="008B670C" w:rsidP="00360F0F">
      <w:pPr>
        <w:spacing w:before="120" w:after="120"/>
        <w:jc w:val="both"/>
        <w:rPr>
          <w:rFonts w:ascii="Cambria" w:hAnsi="Cambria"/>
          <w:noProof/>
          <w:lang w:val="sr-Latn-CS"/>
        </w:rPr>
      </w:pPr>
      <w:r w:rsidRPr="00AB15C7">
        <w:rPr>
          <w:rFonts w:ascii="Cambria" w:hAnsi="Cambria"/>
          <w:noProof/>
          <w:lang w:val="sr-Latn-CS"/>
        </w:rPr>
        <w:lastRenderedPageBreak/>
        <w:t xml:space="preserve">Nacionalno zakonodavstvo je delimično usklađeno sa </w:t>
      </w:r>
      <w:r w:rsidR="00425E62" w:rsidRPr="00AB15C7">
        <w:rPr>
          <w:rFonts w:ascii="Cambria" w:hAnsi="Cambria"/>
          <w:b/>
          <w:bCs/>
          <w:iCs/>
          <w:noProof/>
          <w:lang w:val="sr-Latn-CS"/>
        </w:rPr>
        <w:t xml:space="preserve">Uredbom </w:t>
      </w:r>
      <w:r w:rsidR="00243F13" w:rsidRPr="00AB15C7">
        <w:rPr>
          <w:rFonts w:ascii="Cambria" w:hAnsi="Cambria"/>
          <w:b/>
          <w:bCs/>
          <w:iCs/>
          <w:noProof/>
        </w:rPr>
        <w:t xml:space="preserve">(EC) </w:t>
      </w:r>
      <w:r w:rsidR="00425E62" w:rsidRPr="00AB15C7">
        <w:rPr>
          <w:rFonts w:ascii="Cambria" w:hAnsi="Cambria"/>
          <w:b/>
          <w:bCs/>
          <w:iCs/>
          <w:noProof/>
        </w:rPr>
        <w:t>1907/2006 (</w:t>
      </w:r>
      <w:r w:rsidRPr="00AB15C7">
        <w:rPr>
          <w:rFonts w:ascii="Cambria" w:hAnsi="Cambria"/>
          <w:b/>
          <w:noProof/>
          <w:lang w:val="sr-Latn-CS"/>
        </w:rPr>
        <w:t>REACH</w:t>
      </w:r>
      <w:r w:rsidR="00425E62" w:rsidRPr="00AB15C7">
        <w:rPr>
          <w:rFonts w:ascii="Cambria" w:hAnsi="Cambria"/>
          <w:b/>
          <w:noProof/>
          <w:lang w:val="sr-Latn-CS"/>
        </w:rPr>
        <w:t>)</w:t>
      </w:r>
      <w:r w:rsidR="009715CF" w:rsidRPr="00AB15C7">
        <w:rPr>
          <w:rStyle w:val="FootnoteReference"/>
          <w:rFonts w:ascii="Cambria" w:hAnsi="Cambria"/>
          <w:noProof/>
          <w:lang w:val="sr-Latn-CS"/>
        </w:rPr>
        <w:footnoteReference w:id="23"/>
      </w:r>
      <w:r w:rsidRPr="00AB15C7">
        <w:rPr>
          <w:rFonts w:ascii="Cambria" w:hAnsi="Cambria"/>
          <w:noProof/>
          <w:lang w:val="sr-Latn-CS"/>
        </w:rPr>
        <w:t>. Veći stepen usaglašenosti sa odredbama REACH uredbe i aneksima koji su predmet harmonizacije postignut je donošenjem Zakona o hemikalijama iz 2017</w:t>
      </w:r>
      <w:r w:rsidR="00555019">
        <w:rPr>
          <w:rFonts w:ascii="Cambria" w:hAnsi="Cambria"/>
          <w:noProof/>
          <w:lang w:val="sr-Latn-CS"/>
        </w:rPr>
        <w:t>.</w:t>
      </w:r>
      <w:r w:rsidRPr="00AB15C7">
        <w:rPr>
          <w:rFonts w:ascii="Cambria" w:hAnsi="Cambria"/>
          <w:noProof/>
          <w:lang w:val="sr-Latn-CS"/>
        </w:rPr>
        <w:t xml:space="preserve"> i pratećim podzakonskim propisima</w:t>
      </w:r>
      <w:r w:rsidR="00D46B26">
        <w:rPr>
          <w:rFonts w:ascii="Cambria" w:hAnsi="Cambria"/>
          <w:noProof/>
          <w:lang w:val="sr-Latn-CS"/>
        </w:rPr>
        <w:t>.</w:t>
      </w:r>
    </w:p>
    <w:p w14:paraId="37CFF132" w14:textId="77777777" w:rsidR="00121182" w:rsidRPr="00AB15C7" w:rsidRDefault="00121182" w:rsidP="00360F0F">
      <w:pPr>
        <w:spacing w:before="120" w:after="120"/>
        <w:jc w:val="both"/>
        <w:rPr>
          <w:rFonts w:ascii="Cambria" w:hAnsi="Cambria"/>
          <w:noProof/>
          <w:lang w:val="sr-Latn-CS"/>
        </w:rPr>
      </w:pPr>
      <w:bookmarkStart w:id="69" w:name="_Hlk522711124"/>
      <w:r w:rsidRPr="00AB15C7">
        <w:rPr>
          <w:rFonts w:ascii="Cambria" w:hAnsi="Cambria"/>
          <w:noProof/>
          <w:lang w:val="sr-Latn-CS"/>
        </w:rPr>
        <w:t>Odredbe u vezi sa</w:t>
      </w:r>
      <w:r w:rsidRPr="00AB15C7">
        <w:rPr>
          <w:rFonts w:ascii="Cambria" w:hAnsi="Cambria"/>
          <w:noProof/>
          <w:lang w:val="sr-Latn-ME"/>
        </w:rPr>
        <w:t xml:space="preserve"> izradom i sadržajem bezbjednosnog lista </w:t>
      </w:r>
      <w:r w:rsidRPr="00AB15C7">
        <w:rPr>
          <w:rFonts w:ascii="Cambria" w:hAnsi="Cambria"/>
          <w:noProof/>
          <w:lang w:val="sr-Latn-CS"/>
        </w:rPr>
        <w:t xml:space="preserve">(Aneks II, </w:t>
      </w:r>
      <w:r w:rsidRPr="00AB15C7">
        <w:rPr>
          <w:rFonts w:ascii="Cambria" w:hAnsi="Cambria"/>
          <w:noProof/>
          <w:lang w:val="sr-Latn-ME"/>
        </w:rPr>
        <w:t>REACH, sa amandmanima</w:t>
      </w:r>
      <w:r w:rsidRPr="00AB15C7">
        <w:rPr>
          <w:rFonts w:ascii="Cambria" w:hAnsi="Cambria"/>
          <w:noProof/>
          <w:lang w:val="sr-Latn-CS"/>
        </w:rPr>
        <w:t>)</w:t>
      </w:r>
      <w:r w:rsidRPr="00AB15C7">
        <w:rPr>
          <w:rFonts w:ascii="Cambria" w:hAnsi="Cambria"/>
          <w:noProof/>
          <w:lang w:val="sr-Latn-ME"/>
        </w:rPr>
        <w:t xml:space="preserve"> </w:t>
      </w:r>
      <w:r w:rsidRPr="00AB15C7">
        <w:rPr>
          <w:rFonts w:ascii="Cambria" w:hAnsi="Cambria"/>
          <w:noProof/>
          <w:lang w:val="sr-Latn-CS"/>
        </w:rPr>
        <w:t>su preuzete u nacionalno zakonodavstvo Pravilnikom o sadržaju bezbjednosnog lista za hemikalije ("Sl. list CG", br. 81/17)</w:t>
      </w:r>
    </w:p>
    <w:bookmarkEnd w:id="69"/>
    <w:p w14:paraId="3F64EB26" w14:textId="7CCA3DD1" w:rsidR="00FD06C7" w:rsidRPr="00AB15C7" w:rsidRDefault="00121182" w:rsidP="00360F0F">
      <w:pPr>
        <w:spacing w:before="120" w:after="120"/>
        <w:jc w:val="both"/>
        <w:rPr>
          <w:rFonts w:ascii="Cambria" w:hAnsi="Cambria"/>
          <w:noProof/>
          <w:lang w:val="sr-Latn-CS"/>
        </w:rPr>
      </w:pPr>
      <w:r w:rsidRPr="00AB15C7">
        <w:rPr>
          <w:rFonts w:ascii="Cambria" w:hAnsi="Cambria"/>
          <w:noProof/>
          <w:lang w:val="sr-Latn-CS"/>
        </w:rPr>
        <w:t>Odluke EK o supstancama koje podl</w:t>
      </w:r>
      <w:r w:rsidR="00D46B26">
        <w:rPr>
          <w:rFonts w:ascii="Cambria" w:hAnsi="Cambria"/>
          <w:noProof/>
          <w:lang w:val="sr-Latn-CS"/>
        </w:rPr>
        <w:t>ij</w:t>
      </w:r>
      <w:r w:rsidRPr="00AB15C7">
        <w:rPr>
          <w:rFonts w:ascii="Cambria" w:hAnsi="Cambria"/>
          <w:noProof/>
          <w:lang w:val="sr-Latn-CS"/>
        </w:rPr>
        <w:t xml:space="preserve">ežu </w:t>
      </w:r>
      <w:r w:rsidR="00A67D4B" w:rsidRPr="00AB15C7">
        <w:rPr>
          <w:rFonts w:ascii="Cambria" w:hAnsi="Cambria"/>
          <w:noProof/>
          <w:lang w:val="sr-Latn-CS"/>
        </w:rPr>
        <w:t xml:space="preserve">postupku </w:t>
      </w:r>
      <w:r w:rsidRPr="00AB15C7">
        <w:rPr>
          <w:rFonts w:ascii="Cambria" w:hAnsi="Cambria"/>
          <w:noProof/>
          <w:lang w:val="sr-Latn-CS"/>
        </w:rPr>
        <w:t xml:space="preserve">autorizacije (Aneks XIV, </w:t>
      </w:r>
      <w:r w:rsidRPr="00AB15C7">
        <w:rPr>
          <w:rFonts w:ascii="Cambria" w:hAnsi="Cambria"/>
          <w:noProof/>
          <w:lang w:val="sr-Latn-ME"/>
        </w:rPr>
        <w:t>REACH</w:t>
      </w:r>
      <w:r w:rsidRPr="00AB15C7">
        <w:rPr>
          <w:rFonts w:ascii="Cambria" w:hAnsi="Cambria"/>
          <w:noProof/>
          <w:lang w:val="sr-Latn-CS"/>
        </w:rPr>
        <w:t>) preuzete su u obliku Pravilnika o listi supstanci koje izazivaju visoku zabrinutost ("Sl. list CG", br. 65/17)</w:t>
      </w:r>
      <w:r w:rsidR="00A67D4B" w:rsidRPr="00AB15C7">
        <w:rPr>
          <w:rFonts w:ascii="Cambria" w:hAnsi="Cambria"/>
          <w:noProof/>
          <w:lang w:val="sr-Latn-CS"/>
        </w:rPr>
        <w:t>, dok odredbe koje se odnose na veoma zahtjevan i dugotrajan postupak autorizacije koji se u EU sprovodi centralizovano od strane najstručnijih EU tijela, i to samo za najopasnije supstance</w:t>
      </w:r>
      <w:r w:rsidR="00807E8E" w:rsidRPr="00AB15C7">
        <w:rPr>
          <w:rFonts w:ascii="Cambria" w:hAnsi="Cambria"/>
          <w:noProof/>
          <w:lang w:val="sr-Latn-CS"/>
        </w:rPr>
        <w:t>,</w:t>
      </w:r>
      <w:r w:rsidR="00A67D4B" w:rsidRPr="00AB15C7">
        <w:rPr>
          <w:rFonts w:ascii="Cambria" w:hAnsi="Cambria"/>
          <w:noProof/>
          <w:lang w:val="sr-Latn-CS"/>
        </w:rPr>
        <w:t xml:space="preserve"> nije bilo svrsishodno niti realno preuzimati u domaće zakonodavstvo zemlje kandidata</w:t>
      </w:r>
      <w:r w:rsidR="00BE7C8C" w:rsidRPr="00AB15C7">
        <w:rPr>
          <w:rFonts w:ascii="Cambria" w:hAnsi="Cambria"/>
          <w:noProof/>
          <w:lang w:val="sr-Latn-CS"/>
        </w:rPr>
        <w:t xml:space="preserve">, s obzirom da se preuzimaju </w:t>
      </w:r>
      <w:r w:rsidR="00807E8E" w:rsidRPr="00AB15C7">
        <w:rPr>
          <w:rFonts w:ascii="Cambria" w:hAnsi="Cambria"/>
          <w:noProof/>
          <w:lang w:val="sr-Latn-CS"/>
        </w:rPr>
        <w:t xml:space="preserve">gotove </w:t>
      </w:r>
      <w:r w:rsidR="00BE7C8C" w:rsidRPr="00AB15C7">
        <w:rPr>
          <w:rFonts w:ascii="Cambria" w:hAnsi="Cambria"/>
          <w:noProof/>
          <w:lang w:val="sr-Latn-CS"/>
        </w:rPr>
        <w:t>liste supstanci koje izazivaju visoku zabrinutost (SVHC)</w:t>
      </w:r>
      <w:r w:rsidR="00807E8E" w:rsidRPr="00AB15C7">
        <w:rPr>
          <w:rStyle w:val="FootnoteReference"/>
          <w:rFonts w:ascii="Cambria" w:hAnsi="Cambria"/>
          <w:noProof/>
          <w:lang w:val="sr-Latn-CS"/>
        </w:rPr>
        <w:footnoteReference w:id="24"/>
      </w:r>
      <w:r w:rsidR="00BE7C8C" w:rsidRPr="00AB15C7">
        <w:rPr>
          <w:rFonts w:ascii="Cambria" w:hAnsi="Cambria"/>
          <w:noProof/>
          <w:lang w:val="sr-Latn-CS"/>
        </w:rPr>
        <w:t xml:space="preserve"> koje su proizašle iz relevantnih odluka donesenih na nivou EU</w:t>
      </w:r>
      <w:r w:rsidRPr="00AB15C7">
        <w:rPr>
          <w:rFonts w:ascii="Cambria" w:hAnsi="Cambria"/>
          <w:noProof/>
          <w:lang w:val="sr-Latn-CS"/>
        </w:rPr>
        <w:t>.</w:t>
      </w:r>
      <w:r w:rsidR="00FD06C7" w:rsidRPr="00AB15C7">
        <w:rPr>
          <w:rFonts w:ascii="Cambria" w:hAnsi="Cambria"/>
          <w:noProof/>
          <w:lang w:val="sr-Latn-CS"/>
        </w:rPr>
        <w:t xml:space="preserve"> </w:t>
      </w:r>
      <w:r w:rsidR="00BE7C8C" w:rsidRPr="00AB15C7">
        <w:rPr>
          <w:rFonts w:ascii="Cambria" w:hAnsi="Cambria"/>
          <w:noProof/>
          <w:lang w:val="sr-Latn-CS"/>
        </w:rPr>
        <w:t>Naime</w:t>
      </w:r>
      <w:r w:rsidR="00A67D4B" w:rsidRPr="00AB15C7">
        <w:rPr>
          <w:rFonts w:ascii="Cambria" w:hAnsi="Cambria"/>
          <w:noProof/>
          <w:lang w:val="sr-Latn-CS"/>
        </w:rPr>
        <w:t xml:space="preserve">, Lista </w:t>
      </w:r>
      <w:r w:rsidR="00BE7C8C" w:rsidRPr="00AB15C7">
        <w:rPr>
          <w:rFonts w:ascii="Cambria" w:hAnsi="Cambria"/>
          <w:noProof/>
          <w:lang w:val="sr-Latn-CS"/>
        </w:rPr>
        <w:t>SVHC</w:t>
      </w:r>
      <w:r w:rsidR="00A67D4B" w:rsidRPr="00AB15C7">
        <w:rPr>
          <w:rFonts w:ascii="Cambria" w:hAnsi="Cambria"/>
          <w:noProof/>
          <w:lang w:val="sr-Latn-CS"/>
        </w:rPr>
        <w:t xml:space="preserve"> supstanci je preuzeta </w:t>
      </w:r>
      <w:r w:rsidR="00807E8E" w:rsidRPr="00AB15C7">
        <w:rPr>
          <w:rFonts w:ascii="Cambria" w:hAnsi="Cambria"/>
          <w:noProof/>
          <w:lang w:val="sr-Latn-CS"/>
        </w:rPr>
        <w:t xml:space="preserve">u nacionalno zakonodavstvo </w:t>
      </w:r>
      <w:r w:rsidR="00A67D4B" w:rsidRPr="00AB15C7">
        <w:rPr>
          <w:rFonts w:ascii="Cambria" w:hAnsi="Cambria"/>
          <w:noProof/>
          <w:lang w:val="sr-Latn-CS"/>
        </w:rPr>
        <w:t>iz EU kako bi se ukazalo na supstance na koje treba obratiti posebnu pažnju s obzirom da je dokazano da imaju svojstva  CMR, PBT, vPvB i supstance koje predstavljaju ekvivalentan nivo zabrinutosti, poput endokrinih distruptora</w:t>
      </w:r>
      <w:r w:rsidR="000516DC" w:rsidRPr="00AB15C7">
        <w:rPr>
          <w:rFonts w:ascii="Cambria" w:hAnsi="Cambria"/>
          <w:noProof/>
          <w:lang w:val="sr-Latn-CS"/>
        </w:rPr>
        <w:t>. Treba napomenuti značaj ove liste za sprovođenje člana 23 Zakona o hemikalijama</w:t>
      </w:r>
      <w:r w:rsidR="00BE7C8C" w:rsidRPr="00AB15C7">
        <w:rPr>
          <w:rFonts w:ascii="Cambria" w:hAnsi="Cambria"/>
          <w:noProof/>
          <w:lang w:val="sr-Latn-CS"/>
        </w:rPr>
        <w:t xml:space="preserve"> koji je preuzet iz </w:t>
      </w:r>
      <w:r w:rsidR="00807E8E" w:rsidRPr="00AB15C7">
        <w:rPr>
          <w:rFonts w:ascii="Cambria" w:hAnsi="Cambria"/>
          <w:noProof/>
          <w:lang w:val="sr-Latn-CS"/>
        </w:rPr>
        <w:t xml:space="preserve">člana 33 REACH a odnosi se na </w:t>
      </w:r>
      <w:r w:rsidR="000516DC" w:rsidRPr="00AB15C7">
        <w:rPr>
          <w:rFonts w:ascii="Cambria" w:hAnsi="Cambria"/>
          <w:noProof/>
          <w:lang w:val="sr-Latn-CS"/>
        </w:rPr>
        <w:t>obaveze proizvođača, uvoznika ili distributer proizvoda</w:t>
      </w:r>
      <w:r w:rsidR="00BE7C8C" w:rsidRPr="00AB15C7">
        <w:rPr>
          <w:rFonts w:ascii="Cambria" w:hAnsi="Cambria"/>
          <w:noProof/>
          <w:lang w:val="sr-Latn-CS"/>
        </w:rPr>
        <w:t xml:space="preserve"> koji sadrži </w:t>
      </w:r>
      <w:r w:rsidR="00807E8E" w:rsidRPr="00AB15C7">
        <w:rPr>
          <w:rFonts w:ascii="Cambria" w:hAnsi="Cambria"/>
          <w:noProof/>
          <w:lang w:val="sr-Latn-CS"/>
        </w:rPr>
        <w:t>supstancu koja ima svojstva</w:t>
      </w:r>
      <w:r w:rsidR="00807E8E" w:rsidRPr="00AB15C7">
        <w:rPr>
          <w:rFonts w:ascii="Cambria" w:hAnsi="Cambria"/>
          <w:noProof/>
        </w:rPr>
        <w:t xml:space="preserve"> </w:t>
      </w:r>
      <w:r w:rsidR="00807E8E" w:rsidRPr="00AB15C7">
        <w:rPr>
          <w:rFonts w:ascii="Cambria" w:hAnsi="Cambria"/>
          <w:noProof/>
          <w:lang w:val="sr-Latn-CS"/>
        </w:rPr>
        <w:t xml:space="preserve">CMR, PBT, vPvB i supstance koje predstavljaju ekvivalentan nivo zabrinutosti, poput endokrinih distruptora, u koncentraciji većoj od 0,1%, </w:t>
      </w:r>
      <w:r w:rsidR="00BE7C8C" w:rsidRPr="00AB15C7">
        <w:rPr>
          <w:rFonts w:ascii="Cambria" w:hAnsi="Cambria"/>
          <w:noProof/>
          <w:lang w:val="sr-Latn-CS"/>
        </w:rPr>
        <w:t>d</w:t>
      </w:r>
      <w:r w:rsidR="000516DC" w:rsidRPr="00AB15C7">
        <w:rPr>
          <w:rFonts w:ascii="Cambria" w:hAnsi="Cambria"/>
          <w:noProof/>
          <w:lang w:val="sr-Latn-CS"/>
        </w:rPr>
        <w:t>a svakom drugom distributeru ili daljem korisniku u lancu snabdijevanja i svakom potrošaču na njegov zahtjev,</w:t>
      </w:r>
      <w:r w:rsidR="000516DC" w:rsidRPr="00AB15C7">
        <w:rPr>
          <w:rFonts w:ascii="Cambria" w:hAnsi="Cambria"/>
          <w:noProof/>
        </w:rPr>
        <w:t xml:space="preserve"> </w:t>
      </w:r>
      <w:r w:rsidR="000516DC" w:rsidRPr="00AB15C7">
        <w:rPr>
          <w:rFonts w:ascii="Cambria" w:hAnsi="Cambria"/>
          <w:noProof/>
          <w:lang w:val="sr-Latn-CS"/>
        </w:rPr>
        <w:t xml:space="preserve">dostavi podatke dovoljne za bezbjednu upotrebu tog proizvoda, a najmanje naziv </w:t>
      </w:r>
      <w:r w:rsidR="00807E8E" w:rsidRPr="00AB15C7">
        <w:rPr>
          <w:rFonts w:ascii="Cambria" w:hAnsi="Cambria"/>
          <w:noProof/>
          <w:lang w:val="sr-Latn-CS"/>
        </w:rPr>
        <w:t>te supstance.</w:t>
      </w:r>
    </w:p>
    <w:p w14:paraId="1D9DDE6F" w14:textId="77777777" w:rsidR="005E5ECB" w:rsidRPr="00AB15C7" w:rsidRDefault="005E5ECB" w:rsidP="00360F0F">
      <w:pPr>
        <w:spacing w:before="120" w:after="120"/>
        <w:jc w:val="both"/>
        <w:rPr>
          <w:rFonts w:ascii="Cambria" w:hAnsi="Cambria"/>
          <w:noProof/>
          <w:lang w:val="sr-Latn-ME"/>
        </w:rPr>
      </w:pPr>
      <w:r w:rsidRPr="00AB15C7">
        <w:rPr>
          <w:rFonts w:ascii="Cambria" w:hAnsi="Cambria"/>
          <w:noProof/>
          <w:lang w:val="sr-Latn-ME"/>
        </w:rPr>
        <w:t>Kriterijumi u pogledu PBT</w:t>
      </w:r>
      <w:r w:rsidRPr="00AB15C7">
        <w:rPr>
          <w:rStyle w:val="FootnoteReference"/>
          <w:rFonts w:ascii="Cambria" w:hAnsi="Cambria"/>
          <w:noProof/>
          <w:lang w:val="sr-Latn-ME"/>
        </w:rPr>
        <w:footnoteReference w:id="25"/>
      </w:r>
      <w:r w:rsidRPr="00AB15C7">
        <w:rPr>
          <w:rFonts w:ascii="Cambria" w:hAnsi="Cambria"/>
          <w:noProof/>
          <w:lang w:val="sr-Latn-ME"/>
        </w:rPr>
        <w:t xml:space="preserve"> i vPvB</w:t>
      </w:r>
      <w:r w:rsidRPr="00AB15C7">
        <w:rPr>
          <w:rStyle w:val="FootnoteReference"/>
          <w:rFonts w:ascii="Cambria" w:hAnsi="Cambria"/>
          <w:noProof/>
          <w:lang w:val="sr-Latn-ME"/>
        </w:rPr>
        <w:footnoteReference w:id="26"/>
      </w:r>
      <w:r w:rsidRPr="00AB15C7">
        <w:rPr>
          <w:rFonts w:ascii="Cambria" w:hAnsi="Cambria"/>
          <w:noProof/>
          <w:lang w:val="sr-Latn-ME"/>
        </w:rPr>
        <w:t xml:space="preserve"> supstanci su Pravilnikom o kriterijumima za identifikaciju supstance kao perzistentne, bioakumulativne, toksične i veoma perzistentne i bioakumulativne ("Sl. list CG", br.</w:t>
      </w:r>
      <w:r w:rsidRPr="00AB15C7">
        <w:rPr>
          <w:rFonts w:ascii="Cambria" w:hAnsi="Cambria"/>
          <w:noProof/>
        </w:rPr>
        <w:t xml:space="preserve"> </w:t>
      </w:r>
      <w:r w:rsidRPr="00AB15C7">
        <w:rPr>
          <w:rFonts w:ascii="Cambria" w:hAnsi="Cambria"/>
          <w:noProof/>
          <w:lang w:val="sr-Latn-ME"/>
        </w:rPr>
        <w:t>84/17) preuzete iz odredbi Aneksa XIII REACH.</w:t>
      </w:r>
    </w:p>
    <w:p w14:paraId="4C6B02B1" w14:textId="44A19E39" w:rsidR="00FD06C7" w:rsidRPr="00AB15C7" w:rsidRDefault="00FD06C7" w:rsidP="00360F0F">
      <w:pPr>
        <w:spacing w:before="120" w:after="120"/>
        <w:jc w:val="both"/>
        <w:rPr>
          <w:rFonts w:ascii="Cambria" w:hAnsi="Cambria"/>
          <w:noProof/>
          <w:lang w:val="sr-Latn-ME"/>
        </w:rPr>
      </w:pPr>
      <w:r w:rsidRPr="00AB15C7">
        <w:rPr>
          <w:rFonts w:ascii="Cambria" w:hAnsi="Cambria"/>
          <w:noProof/>
          <w:lang w:val="sr-Latn-CS"/>
        </w:rPr>
        <w:t>Odredbe u vezi sa</w:t>
      </w:r>
      <w:r w:rsidRPr="00AB15C7">
        <w:rPr>
          <w:rFonts w:ascii="Cambria" w:hAnsi="Cambria"/>
          <w:noProof/>
          <w:lang w:val="sr-Latn-ME"/>
        </w:rPr>
        <w:t xml:space="preserve"> načinom izrade i sadržajem </w:t>
      </w:r>
      <w:r w:rsidR="00D46B26">
        <w:rPr>
          <w:rFonts w:ascii="Cambria" w:hAnsi="Cambria"/>
          <w:noProof/>
          <w:lang w:val="sr-Latn-ME"/>
        </w:rPr>
        <w:t>I</w:t>
      </w:r>
      <w:r w:rsidR="00D46B26" w:rsidRPr="00AB15C7">
        <w:rPr>
          <w:rFonts w:ascii="Cambria" w:hAnsi="Cambria"/>
          <w:noProof/>
          <w:lang w:val="sr-Latn-ME"/>
        </w:rPr>
        <w:t xml:space="preserve">zvještaja </w:t>
      </w:r>
      <w:r w:rsidRPr="00AB15C7">
        <w:rPr>
          <w:rFonts w:ascii="Cambria" w:hAnsi="Cambria"/>
          <w:noProof/>
          <w:lang w:val="sr-Latn-ME"/>
        </w:rPr>
        <w:t>o bezbjednosti hemikalije</w:t>
      </w:r>
      <w:r w:rsidRPr="00AB15C7">
        <w:rPr>
          <w:rFonts w:ascii="Cambria" w:hAnsi="Cambria"/>
          <w:noProof/>
          <w:lang w:val="sr-Latn-CS"/>
        </w:rPr>
        <w:t xml:space="preserve"> su preuzete u nacionalno zakonodavstvo</w:t>
      </w:r>
      <w:r w:rsidRPr="00AB15C7">
        <w:rPr>
          <w:rFonts w:ascii="Cambria" w:hAnsi="Cambria"/>
          <w:noProof/>
          <w:lang w:val="sr-Latn-ME"/>
        </w:rPr>
        <w:t xml:space="preserve"> Pravilnikom o načinu izrade i sadržaju </w:t>
      </w:r>
      <w:r w:rsidR="0064029C" w:rsidRPr="00AB15C7">
        <w:rPr>
          <w:rFonts w:ascii="Cambria" w:hAnsi="Cambria"/>
          <w:noProof/>
          <w:lang w:val="sr-Latn-ME"/>
        </w:rPr>
        <w:t xml:space="preserve">Izvještaja </w:t>
      </w:r>
      <w:r w:rsidRPr="00AB15C7">
        <w:rPr>
          <w:rFonts w:ascii="Cambria" w:hAnsi="Cambria"/>
          <w:noProof/>
          <w:lang w:val="sr-Latn-ME"/>
        </w:rPr>
        <w:t xml:space="preserve">o bezbjednosti hemikalije ("Sl. list CG", br. </w:t>
      </w:r>
      <w:r w:rsidRPr="00AB15C7">
        <w:rPr>
          <w:rFonts w:ascii="Cambria" w:hAnsi="Cambria"/>
          <w:noProof/>
        </w:rPr>
        <w:t>37/18</w:t>
      </w:r>
      <w:r w:rsidRPr="00AB15C7">
        <w:rPr>
          <w:rFonts w:ascii="Cambria" w:hAnsi="Cambria"/>
          <w:noProof/>
          <w:lang w:val="sr-Latn-ME"/>
        </w:rPr>
        <w:t>)</w:t>
      </w:r>
      <w:r w:rsidR="00807E8E" w:rsidRPr="00AB15C7">
        <w:rPr>
          <w:rFonts w:ascii="Cambria" w:hAnsi="Cambria"/>
          <w:noProof/>
          <w:lang w:val="sr-Latn-ME"/>
        </w:rPr>
        <w:t>. Ove odredbe doživ</w:t>
      </w:r>
      <w:r w:rsidR="00D46B26">
        <w:rPr>
          <w:rFonts w:ascii="Cambria" w:hAnsi="Cambria"/>
          <w:noProof/>
          <w:lang w:val="sr-Latn-ME"/>
        </w:rPr>
        <w:t>j</w:t>
      </w:r>
      <w:r w:rsidR="00807E8E" w:rsidRPr="00AB15C7">
        <w:rPr>
          <w:rFonts w:ascii="Cambria" w:hAnsi="Cambria"/>
          <w:noProof/>
          <w:lang w:val="sr-Latn-ME"/>
        </w:rPr>
        <w:t>eće punu primjenu nakon pristupanja EU</w:t>
      </w:r>
      <w:r w:rsidR="0064029C" w:rsidRPr="00AB15C7">
        <w:rPr>
          <w:rFonts w:ascii="Cambria" w:hAnsi="Cambria"/>
          <w:noProof/>
          <w:lang w:val="sr-Latn-ME"/>
        </w:rPr>
        <w:t>,</w:t>
      </w:r>
      <w:r w:rsidR="00807E8E" w:rsidRPr="00AB15C7">
        <w:rPr>
          <w:rFonts w:ascii="Cambria" w:hAnsi="Cambria"/>
          <w:noProof/>
          <w:lang w:val="sr-Latn-ME"/>
        </w:rPr>
        <w:t xml:space="preserve"> jer </w:t>
      </w:r>
      <w:r w:rsidR="0064029C" w:rsidRPr="00AB15C7">
        <w:rPr>
          <w:rFonts w:ascii="Cambria" w:hAnsi="Cambria"/>
          <w:noProof/>
          <w:lang w:val="sr-Latn-ME"/>
        </w:rPr>
        <w:t xml:space="preserve">Izvještaj </w:t>
      </w:r>
      <w:r w:rsidR="00807E8E" w:rsidRPr="00AB15C7">
        <w:rPr>
          <w:rFonts w:ascii="Cambria" w:hAnsi="Cambria"/>
          <w:noProof/>
          <w:lang w:val="sr-Latn-ME"/>
        </w:rPr>
        <w:t>o bezbjednosti hemikalije</w:t>
      </w:r>
      <w:r w:rsidR="0064029C" w:rsidRPr="00AB15C7">
        <w:rPr>
          <w:rFonts w:ascii="Cambria" w:hAnsi="Cambria"/>
          <w:noProof/>
          <w:lang w:val="sr-Latn-ME"/>
        </w:rPr>
        <w:t xml:space="preserve"> (CSR)</w:t>
      </w:r>
      <w:r w:rsidR="0064029C" w:rsidRPr="00AB15C7">
        <w:rPr>
          <w:rStyle w:val="FootnoteReference"/>
          <w:rFonts w:ascii="Cambria" w:hAnsi="Cambria"/>
          <w:noProof/>
          <w:lang w:val="sr-Latn-ME"/>
        </w:rPr>
        <w:footnoteReference w:id="27"/>
      </w:r>
      <w:r w:rsidR="00807E8E" w:rsidRPr="00AB15C7">
        <w:rPr>
          <w:rFonts w:ascii="Cambria" w:hAnsi="Cambria"/>
          <w:noProof/>
          <w:lang w:val="sr-Latn-ME"/>
        </w:rPr>
        <w:t xml:space="preserve"> </w:t>
      </w:r>
      <w:r w:rsidR="00F17BF9" w:rsidRPr="00AB15C7">
        <w:rPr>
          <w:rFonts w:ascii="Cambria" w:hAnsi="Cambria"/>
          <w:noProof/>
        </w:rPr>
        <w:t xml:space="preserve">dokumentuje procjenu hemijske bezbjednosti koja se vrši kao dio procesa registracije </w:t>
      </w:r>
      <w:r w:rsidR="00425E62" w:rsidRPr="00AB15C7">
        <w:rPr>
          <w:rFonts w:ascii="Cambria" w:hAnsi="Cambria"/>
          <w:noProof/>
        </w:rPr>
        <w:t xml:space="preserve">supstanci </w:t>
      </w:r>
      <w:r w:rsidR="00F17BF9" w:rsidRPr="00AB15C7">
        <w:rPr>
          <w:rFonts w:ascii="Cambria" w:hAnsi="Cambria"/>
          <w:noProof/>
        </w:rPr>
        <w:t xml:space="preserve">po REACH i predstavlja ključni izvor informacija u vezi sa relevantnim scenarijima izloženosti, kao i osnovu za druge REACH procese, uključujući evaluaciju, autorizaciju i </w:t>
      </w:r>
      <w:r w:rsidR="00D46B26">
        <w:rPr>
          <w:rFonts w:ascii="Cambria" w:hAnsi="Cambria"/>
          <w:noProof/>
        </w:rPr>
        <w:t>ograničenja</w:t>
      </w:r>
      <w:r w:rsidR="00F17BF9" w:rsidRPr="00AB15C7">
        <w:rPr>
          <w:rFonts w:ascii="Cambria" w:hAnsi="Cambria"/>
          <w:noProof/>
          <w:lang w:val="sr-Latn-ME"/>
        </w:rPr>
        <w:t>. U</w:t>
      </w:r>
      <w:r w:rsidR="0064029C" w:rsidRPr="00AB15C7">
        <w:rPr>
          <w:rFonts w:ascii="Cambria" w:hAnsi="Cambria"/>
          <w:noProof/>
          <w:lang w:val="sr-Latn-ME"/>
        </w:rPr>
        <w:t xml:space="preserve"> predpristupnom periodu </w:t>
      </w:r>
      <w:r w:rsidR="00F17BF9" w:rsidRPr="00AB15C7">
        <w:rPr>
          <w:rFonts w:ascii="Cambria" w:hAnsi="Cambria"/>
          <w:noProof/>
          <w:lang w:val="sr-Latn-ME"/>
        </w:rPr>
        <w:t xml:space="preserve">ovakav dokument </w:t>
      </w:r>
      <w:r w:rsidR="0064029C" w:rsidRPr="00AB15C7">
        <w:rPr>
          <w:rFonts w:ascii="Cambria" w:hAnsi="Cambria"/>
          <w:noProof/>
          <w:lang w:val="sr-Latn-ME"/>
        </w:rPr>
        <w:t>je</w:t>
      </w:r>
      <w:r w:rsidR="00F17BF9" w:rsidRPr="00AB15C7">
        <w:rPr>
          <w:rFonts w:ascii="Cambria" w:hAnsi="Cambria"/>
          <w:noProof/>
          <w:lang w:val="sr-Latn-ME"/>
        </w:rPr>
        <w:t xml:space="preserve"> u Crnoj Gori</w:t>
      </w:r>
      <w:r w:rsidR="0064029C" w:rsidRPr="00AB15C7">
        <w:rPr>
          <w:rFonts w:ascii="Cambria" w:hAnsi="Cambria"/>
          <w:noProof/>
          <w:lang w:val="sr-Latn-ME"/>
        </w:rPr>
        <w:t xml:space="preserve"> </w:t>
      </w:r>
      <w:r w:rsidR="00F17BF9" w:rsidRPr="00AB15C7">
        <w:rPr>
          <w:rFonts w:ascii="Cambria" w:hAnsi="Cambria"/>
          <w:noProof/>
          <w:lang w:val="sr-Latn-ME"/>
        </w:rPr>
        <w:t xml:space="preserve">dostupan </w:t>
      </w:r>
      <w:r w:rsidR="0064029C" w:rsidRPr="00AB15C7">
        <w:rPr>
          <w:rFonts w:ascii="Cambria" w:hAnsi="Cambria"/>
          <w:noProof/>
          <w:lang w:val="sr-Latn-ME"/>
        </w:rPr>
        <w:t>za hemikalije uz uvoza koje su registrovane po REACH</w:t>
      </w:r>
      <w:r w:rsidR="00F17BF9" w:rsidRPr="00AB15C7">
        <w:rPr>
          <w:rFonts w:ascii="Cambria" w:hAnsi="Cambria"/>
          <w:noProof/>
          <w:lang w:val="sr-Latn-ME"/>
        </w:rPr>
        <w:t xml:space="preserve"> i kao takav dostavlja se u postupku upisa u nacionalni registar hemikalija</w:t>
      </w:r>
      <w:r w:rsidR="00807E8E" w:rsidRPr="00AB15C7">
        <w:rPr>
          <w:rFonts w:ascii="Cambria" w:hAnsi="Cambria"/>
          <w:noProof/>
          <w:lang w:val="sr-Latn-ME"/>
        </w:rPr>
        <w:t>.</w:t>
      </w:r>
      <w:r w:rsidR="00425E62" w:rsidRPr="00AB15C7">
        <w:rPr>
          <w:rFonts w:ascii="Cambria" w:hAnsi="Cambria"/>
          <w:noProof/>
        </w:rPr>
        <w:t xml:space="preserve"> </w:t>
      </w:r>
    </w:p>
    <w:p w14:paraId="40532D3F" w14:textId="073FBB6A" w:rsidR="00807E8E" w:rsidRPr="00AB15C7" w:rsidRDefault="00807E8E" w:rsidP="00360F0F">
      <w:pPr>
        <w:spacing w:before="120" w:after="120"/>
        <w:jc w:val="both"/>
        <w:rPr>
          <w:rFonts w:ascii="Cambria" w:hAnsi="Cambria"/>
          <w:noProof/>
          <w:lang w:val="sr-Latn-CS"/>
        </w:rPr>
      </w:pPr>
      <w:r w:rsidRPr="00AB15C7">
        <w:rPr>
          <w:rFonts w:ascii="Cambria" w:hAnsi="Cambria"/>
          <w:noProof/>
          <w:lang w:val="sr-Latn-CS"/>
        </w:rPr>
        <w:t>Odredbe u vezi sa Registrom hemikalija ure</w:t>
      </w:r>
      <w:r w:rsidR="00425E62" w:rsidRPr="00AB15C7">
        <w:rPr>
          <w:rFonts w:ascii="Cambria" w:hAnsi="Cambria"/>
          <w:noProof/>
          <w:lang w:val="sr-Latn-CS"/>
        </w:rPr>
        <w:t>đ</w:t>
      </w:r>
      <w:r w:rsidRPr="00AB15C7">
        <w:rPr>
          <w:rFonts w:ascii="Cambria" w:hAnsi="Cambria"/>
          <w:noProof/>
          <w:lang w:val="sr-Latn-CS"/>
        </w:rPr>
        <w:t xml:space="preserve">ene su prema modelu koje daju odredbe o registraciji REACH, s tim da zbog ograničenja koje zemlja kandidat ima u pogledu prisupa EU IT alatima i bazama, ali i jedistvenom EU tržištu, ne treba praviti paralelu između ovog registra i registra supstanci koje podležu postupku registracije po REACH. Naime, postupak registracije po REACH je centralizovani postupak koji se sprovodi na nivou EU, a ne na nivou zemalja članica, te njegovo uvodjenje u zakonodavstvo zemlje kandidata u predpristupnom periodu nije realno niti svrsishodno.  Ipak, u predpristupnom periodu važno je uspostaviti nacionalni registar koji će dati potrebne podatke o hemikalijama prisutnim na tržištu Crne Gore, a naročito o njihovom identitetu i količinama, kako bi se moglo adekvatno pristupiti pregovorima u okviru poglavlja 27 u pogledu hemikalija,  a u cilju pripreme </w:t>
      </w:r>
      <w:r w:rsidRPr="00AB15C7">
        <w:rPr>
          <w:rFonts w:ascii="Cambria" w:hAnsi="Cambria"/>
          <w:noProof/>
          <w:lang w:val="sr-Latn-CS"/>
        </w:rPr>
        <w:lastRenderedPageBreak/>
        <w:t>za pristupanje EU kada ce se REACH u potpunosti prim</w:t>
      </w:r>
      <w:r w:rsidR="009E6F26">
        <w:rPr>
          <w:rFonts w:ascii="Cambria" w:hAnsi="Cambria"/>
          <w:noProof/>
          <w:lang w:val="sr-Latn-CS"/>
        </w:rPr>
        <w:t>j</w:t>
      </w:r>
      <w:r w:rsidRPr="00AB15C7">
        <w:rPr>
          <w:rFonts w:ascii="Cambria" w:hAnsi="Cambria"/>
          <w:noProof/>
          <w:lang w:val="sr-Latn-CS"/>
        </w:rPr>
        <w:t>enjivati i u Crnoj Gori, uključujući i odredbe o registraciji po REACH. S tim u vezi</w:t>
      </w:r>
      <w:r w:rsidR="00425E62" w:rsidRPr="00AB15C7">
        <w:rPr>
          <w:rFonts w:ascii="Cambria" w:hAnsi="Cambria"/>
          <w:noProof/>
          <w:lang w:val="sr-Latn-CS"/>
        </w:rPr>
        <w:t>, u Pravilnik o listi supstanci koje se ne upisuju u registar hemikalija i ne podliježu stručnoj procjeni ("Sl. list CG", br. 14/18) preuzete su odredbe Aneksa  IV i V REACH u pogledu supstanci koje se ne podležu postupku registracije po REACH.</w:t>
      </w:r>
      <w:r w:rsidR="005E5C18">
        <w:rPr>
          <w:rFonts w:ascii="Cambria" w:hAnsi="Cambria"/>
          <w:noProof/>
          <w:lang w:val="sr-Latn-CS"/>
        </w:rPr>
        <w:t xml:space="preserve"> Takođe, donešen je i P</w:t>
      </w:r>
      <w:r w:rsidR="005E5C18" w:rsidRPr="005E5C18">
        <w:rPr>
          <w:rFonts w:ascii="Cambria" w:hAnsi="Cambria"/>
          <w:noProof/>
          <w:lang w:val="sr-Latn-CS"/>
        </w:rPr>
        <w:t>ravilnik</w:t>
      </w:r>
      <w:r w:rsidR="005E5C18">
        <w:rPr>
          <w:rFonts w:ascii="Cambria" w:hAnsi="Cambria"/>
          <w:noProof/>
          <w:lang w:val="sr-Latn-CS"/>
        </w:rPr>
        <w:t xml:space="preserve"> </w:t>
      </w:r>
      <w:r w:rsidR="005E5C18" w:rsidRPr="005E5C18">
        <w:rPr>
          <w:rFonts w:ascii="Cambria" w:hAnsi="Cambria"/>
          <w:noProof/>
          <w:lang w:val="sr-Latn-CS"/>
        </w:rPr>
        <w:t>o bližem sadržaju dosijea i registra hemikalija</w:t>
      </w:r>
      <w:r w:rsidR="005E5C18">
        <w:rPr>
          <w:rFonts w:ascii="Cambria" w:hAnsi="Cambria"/>
          <w:noProof/>
          <w:lang w:val="sr-Latn-CS"/>
        </w:rPr>
        <w:t xml:space="preserve"> </w:t>
      </w:r>
      <w:r w:rsidR="005E5C18" w:rsidRPr="005E5C18">
        <w:rPr>
          <w:rFonts w:ascii="Cambria" w:hAnsi="Cambria"/>
          <w:noProof/>
          <w:lang w:val="sr-Latn-CS"/>
        </w:rPr>
        <w:t>("Sl</w:t>
      </w:r>
      <w:r w:rsidR="005E5C18">
        <w:rPr>
          <w:rFonts w:ascii="Cambria" w:hAnsi="Cambria"/>
          <w:noProof/>
          <w:lang w:val="sr-Latn-CS"/>
        </w:rPr>
        <w:t>.</w:t>
      </w:r>
      <w:r w:rsidR="005E5C18" w:rsidRPr="005E5C18">
        <w:rPr>
          <w:rFonts w:ascii="Cambria" w:hAnsi="Cambria"/>
          <w:noProof/>
          <w:lang w:val="sr-Latn-CS"/>
        </w:rPr>
        <w:t xml:space="preserve"> list CG", br. 12/18)</w:t>
      </w:r>
      <w:r w:rsidR="005E5C18">
        <w:rPr>
          <w:rFonts w:ascii="Cambria" w:hAnsi="Cambria"/>
          <w:noProof/>
          <w:lang w:val="sr-Latn-CS"/>
        </w:rPr>
        <w:t xml:space="preserve"> koji sadrži podatke koji se nalaze u d</w:t>
      </w:r>
      <w:r w:rsidR="005E5C18" w:rsidRPr="005E5C18">
        <w:rPr>
          <w:rFonts w:ascii="Cambria" w:hAnsi="Cambria"/>
          <w:noProof/>
          <w:lang w:val="sr-Latn-CS"/>
        </w:rPr>
        <w:t>osije</w:t>
      </w:r>
      <w:r w:rsidR="005E5C18">
        <w:rPr>
          <w:rFonts w:ascii="Cambria" w:hAnsi="Cambria"/>
          <w:noProof/>
          <w:lang w:val="sr-Latn-CS"/>
        </w:rPr>
        <w:t>u</w:t>
      </w:r>
      <w:r w:rsidR="005E5C18" w:rsidRPr="005E5C18">
        <w:rPr>
          <w:rFonts w:ascii="Cambria" w:hAnsi="Cambria"/>
          <w:noProof/>
          <w:lang w:val="sr-Latn-CS"/>
        </w:rPr>
        <w:t xml:space="preserve"> i registr</w:t>
      </w:r>
      <w:r w:rsidR="005E5C18">
        <w:rPr>
          <w:rFonts w:ascii="Cambria" w:hAnsi="Cambria"/>
          <w:noProof/>
          <w:lang w:val="sr-Latn-CS"/>
        </w:rPr>
        <w:t xml:space="preserve">u. Navedenim pravilnikom prenijeti su aneks </w:t>
      </w:r>
      <w:r w:rsidR="005E5C18" w:rsidRPr="005E5C18">
        <w:rPr>
          <w:rFonts w:ascii="Cambria" w:hAnsi="Cambria"/>
          <w:noProof/>
          <w:lang w:val="sr-Latn-CS"/>
        </w:rPr>
        <w:t xml:space="preserve">III i </w:t>
      </w:r>
      <w:r w:rsidR="005E5C18">
        <w:rPr>
          <w:rFonts w:ascii="Cambria" w:hAnsi="Cambria"/>
          <w:noProof/>
          <w:lang w:val="sr-Latn-CS"/>
        </w:rPr>
        <w:t>aneksi</w:t>
      </w:r>
      <w:r w:rsidR="005E5C18" w:rsidRPr="005E5C18">
        <w:rPr>
          <w:rFonts w:ascii="Cambria" w:hAnsi="Cambria"/>
          <w:noProof/>
          <w:lang w:val="sr-Latn-CS"/>
        </w:rPr>
        <w:t xml:space="preserve"> VI do XI REACH </w:t>
      </w:r>
      <w:r w:rsidR="005E5C18">
        <w:rPr>
          <w:rFonts w:ascii="Cambria" w:hAnsi="Cambria"/>
          <w:noProof/>
          <w:lang w:val="sr-Latn-CS"/>
        </w:rPr>
        <w:t>Uredbe.</w:t>
      </w:r>
    </w:p>
    <w:p w14:paraId="51FBA7C5" w14:textId="77777777" w:rsidR="00FD06C7" w:rsidRPr="00AB15C7" w:rsidRDefault="00FD06C7" w:rsidP="00360F0F">
      <w:pPr>
        <w:spacing w:before="120" w:after="120"/>
        <w:jc w:val="both"/>
        <w:rPr>
          <w:rFonts w:ascii="Cambria" w:hAnsi="Cambria"/>
          <w:noProof/>
        </w:rPr>
      </w:pPr>
      <w:r w:rsidRPr="00AB15C7">
        <w:rPr>
          <w:rFonts w:ascii="Cambria" w:hAnsi="Cambria"/>
          <w:noProof/>
          <w:lang w:val="sr-Latn-CS"/>
        </w:rPr>
        <w:t xml:space="preserve">Odredbe u vezi sa zabranama i ograničenjima (Aneks XVII, </w:t>
      </w:r>
      <w:r w:rsidRPr="00AB15C7">
        <w:rPr>
          <w:rFonts w:ascii="Cambria" w:hAnsi="Cambria"/>
          <w:noProof/>
          <w:lang w:val="sr-Latn-ME"/>
        </w:rPr>
        <w:t>REACH</w:t>
      </w:r>
      <w:r w:rsidRPr="00AB15C7">
        <w:rPr>
          <w:rFonts w:ascii="Cambria" w:hAnsi="Cambria"/>
          <w:noProof/>
          <w:lang w:val="sr-Latn-CS"/>
        </w:rPr>
        <w:t>) su preuzete u nacionalno zakonodavstvo kroz Pravilnik o zabrani i ograničenju korišćenja, stavljanja u promet i proizvodnji hemikalija koje predstavljaju neprihvatljiv rizik po zdravlje ljudi i životnu sredinu  ("Sl. list CG", br. 49/13 i 12/16 ) i to njegovim prilogom 1, s tim da je u fazi usvajanja nova Uredba</w:t>
      </w:r>
      <w:r w:rsidRPr="00AB15C7">
        <w:rPr>
          <w:rFonts w:ascii="Cambria" w:eastAsia="SimSun" w:hAnsi="Cambria"/>
          <w:noProof/>
          <w:color w:val="000000"/>
        </w:rPr>
        <w:t xml:space="preserve"> koja uredjuje ova pitanja koja je dalje usaglašena sa amandmanima na Aneks XVII REACH. Treba napomenuti da su ovim pravilnikom, odnosno budućom uredbom preuzete i odredbe koje se odnose l</w:t>
      </w:r>
      <w:r w:rsidRPr="00AB15C7">
        <w:rPr>
          <w:rFonts w:ascii="Cambria" w:eastAsia="SimSun" w:hAnsi="Cambria"/>
          <w:bCs/>
          <w:noProof/>
          <w:color w:val="000000"/>
        </w:rPr>
        <w:t>istu POPѕ supstanci na koje se odnose zabrane (prilog 2) iz</w:t>
      </w:r>
      <w:r w:rsidRPr="00AB15C7">
        <w:rPr>
          <w:rFonts w:ascii="Cambria" w:eastAsia="SimSun" w:hAnsi="Cambria"/>
          <w:b/>
          <w:bCs/>
          <w:noProof/>
          <w:color w:val="000000"/>
        </w:rPr>
        <w:t xml:space="preserve"> </w:t>
      </w:r>
      <w:r w:rsidRPr="00AB15C7">
        <w:rPr>
          <w:rFonts w:ascii="Cambria" w:eastAsia="SimSun" w:hAnsi="Cambria"/>
          <w:b/>
          <w:noProof/>
          <w:color w:val="000000"/>
        </w:rPr>
        <w:t xml:space="preserve">Uredbe </w:t>
      </w:r>
      <w:r w:rsidR="00243F13" w:rsidRPr="00AB15C7">
        <w:rPr>
          <w:rFonts w:ascii="Cambria" w:eastAsia="SimSun" w:hAnsi="Cambria"/>
          <w:b/>
          <w:bCs/>
          <w:noProof/>
          <w:color w:val="000000"/>
        </w:rPr>
        <w:t xml:space="preserve">(EC) </w:t>
      </w:r>
      <w:r w:rsidRPr="00AB15C7">
        <w:rPr>
          <w:rFonts w:ascii="Cambria" w:eastAsia="SimSun" w:hAnsi="Cambria"/>
          <w:b/>
          <w:noProof/>
          <w:color w:val="000000"/>
        </w:rPr>
        <w:t>850/2004</w:t>
      </w:r>
      <w:r w:rsidRPr="00AB15C7">
        <w:rPr>
          <w:rFonts w:ascii="Cambria" w:hAnsi="Cambria"/>
          <w:b/>
          <w:noProof/>
        </w:rPr>
        <w:t xml:space="preserve"> </w:t>
      </w:r>
      <w:r w:rsidRPr="00AB15C7">
        <w:rPr>
          <w:rFonts w:ascii="Cambria" w:eastAsia="SimSun" w:hAnsi="Cambria"/>
          <w:b/>
          <w:noProof/>
          <w:color w:val="000000"/>
        </w:rPr>
        <w:t>o dugotrajnim organskim zagađivačima (POPs)</w:t>
      </w:r>
      <w:r w:rsidRPr="00AB15C7">
        <w:rPr>
          <w:rFonts w:ascii="Cambria" w:eastAsia="SimSun" w:hAnsi="Cambria"/>
          <w:noProof/>
          <w:color w:val="000000"/>
        </w:rPr>
        <w:t xml:space="preserve">, kao i odredbe koje se odnose na </w:t>
      </w:r>
      <w:r w:rsidRPr="00AB15C7">
        <w:rPr>
          <w:rFonts w:ascii="Cambria" w:eastAsia="SimSun" w:hAnsi="Cambria"/>
          <w:bCs/>
          <w:noProof/>
          <w:color w:val="000000"/>
        </w:rPr>
        <w:t>maksimalno dozvoljene vrednosti sadržaja VOC u premazima (prilog 3)  iz</w:t>
      </w:r>
      <w:r w:rsidRPr="00AB15C7">
        <w:rPr>
          <w:rFonts w:ascii="Cambria" w:eastAsia="SimSun" w:hAnsi="Cambria"/>
          <w:b/>
          <w:bCs/>
          <w:noProof/>
          <w:color w:val="000000"/>
        </w:rPr>
        <w:t xml:space="preserve"> </w:t>
      </w:r>
      <w:r w:rsidRPr="00AB15C7">
        <w:rPr>
          <w:rFonts w:ascii="Cambria" w:eastAsia="SimSun" w:hAnsi="Cambria"/>
          <w:b/>
          <w:noProof/>
          <w:color w:val="000000"/>
        </w:rPr>
        <w:t>Direktive 2004/42/EC o isparljivim organskim jedinjenjima u određenim bojama</w:t>
      </w:r>
      <w:r w:rsidRPr="00AB15C7">
        <w:rPr>
          <w:rFonts w:ascii="Cambria" w:hAnsi="Cambria"/>
          <w:b/>
          <w:noProof/>
          <w:lang w:val="sr-Latn-CS"/>
        </w:rPr>
        <w:t>.</w:t>
      </w:r>
      <w:r w:rsidRPr="00AB15C7">
        <w:rPr>
          <w:rFonts w:ascii="Cambria" w:hAnsi="Cambria"/>
          <w:noProof/>
          <w:lang w:val="sr-Latn-CS"/>
        </w:rPr>
        <w:t xml:space="preserve"> </w:t>
      </w:r>
    </w:p>
    <w:p w14:paraId="3E602142" w14:textId="37D64760" w:rsidR="00856924" w:rsidRPr="00AB15C7" w:rsidRDefault="00856924" w:rsidP="00360F0F">
      <w:pPr>
        <w:spacing w:before="120" w:after="120"/>
        <w:jc w:val="both"/>
        <w:rPr>
          <w:rFonts w:ascii="Cambria" w:hAnsi="Cambria"/>
          <w:bCs/>
          <w:noProof/>
        </w:rPr>
      </w:pPr>
      <w:r w:rsidRPr="00AB15C7">
        <w:rPr>
          <w:rFonts w:ascii="Cambria" w:hAnsi="Cambria"/>
          <w:b/>
          <w:bCs/>
          <w:noProof/>
        </w:rPr>
        <w:t>Uredba (EC) 1272/2008 (CLP)</w:t>
      </w:r>
      <w:r w:rsidRPr="00AB15C7">
        <w:rPr>
          <w:rFonts w:ascii="Cambria" w:hAnsi="Cambria"/>
          <w:bCs/>
          <w:noProof/>
        </w:rPr>
        <w:t xml:space="preserve"> sa pratećim amandmanima (ATP)  je u transponovana </w:t>
      </w:r>
      <w:r w:rsidR="005D53B0" w:rsidRPr="00AB15C7">
        <w:rPr>
          <w:rFonts w:ascii="Cambria" w:hAnsi="Cambria"/>
          <w:bCs/>
          <w:noProof/>
        </w:rPr>
        <w:t>kroz</w:t>
      </w:r>
      <w:r w:rsidRPr="00AB15C7">
        <w:rPr>
          <w:rFonts w:ascii="Cambria" w:hAnsi="Cambria"/>
          <w:bCs/>
          <w:noProof/>
        </w:rPr>
        <w:t xml:space="preserve"> Pravilnik o načinu klasifikacije, pakovanja i označavanja hemikalije u skladu sa globalno harmonizovanim sistemom UN ("Sl. list CG", br. 85/17), Pravilnik</w:t>
      </w:r>
      <w:r w:rsidR="005D53B0" w:rsidRPr="00AB15C7">
        <w:rPr>
          <w:rFonts w:ascii="Cambria" w:hAnsi="Cambria"/>
          <w:bCs/>
          <w:noProof/>
        </w:rPr>
        <w:t xml:space="preserve"> </w:t>
      </w:r>
      <w:r w:rsidRPr="00AB15C7">
        <w:rPr>
          <w:rFonts w:ascii="Cambria" w:hAnsi="Cambria"/>
          <w:bCs/>
          <w:noProof/>
        </w:rPr>
        <w:t>o Listi klasifikovanih supstanci ("Sl. list CG", br. 11/18) i Pravilnik o svojstvima supstance za koju može da se upotrijebi alternativni hemijski naziv ("Sl. list CG", br. 23/18). Ovom uredbom se uredjuju način i kriterijumi za klasifikaciju hemikalija (supstanci i smješa) u skladu sa Globalno harmonizovanim sistemom UN (GHS) sa ciljem da se postigne da širom svijeta hemikalije budu klasifikovane i označene na isti način odnosno po jedinstvenim kriterijumima što će olakšati slobodno kretanje roba u pogledu hemikalija</w:t>
      </w:r>
      <w:r w:rsidR="00E94A10">
        <w:rPr>
          <w:rFonts w:ascii="Cambria" w:hAnsi="Cambria"/>
          <w:bCs/>
          <w:noProof/>
        </w:rPr>
        <w:t>,</w:t>
      </w:r>
      <w:r w:rsidRPr="00AB15C7">
        <w:rPr>
          <w:rFonts w:ascii="Cambria" w:hAnsi="Cambria"/>
          <w:bCs/>
          <w:noProof/>
        </w:rPr>
        <w:t xml:space="preserve"> ali i obezbjediti da svi korisnici hemikalija budu na isti način informisani o opasnostima koje hemikalije predstavljaju. </w:t>
      </w:r>
      <w:r w:rsidR="00715488" w:rsidRPr="00AB15C7">
        <w:rPr>
          <w:rFonts w:ascii="Cambria" w:hAnsi="Cambria"/>
          <w:bCs/>
          <w:noProof/>
        </w:rPr>
        <w:t>Izme</w:t>
      </w:r>
      <w:r w:rsidR="00715488">
        <w:rPr>
          <w:rFonts w:ascii="Cambria" w:hAnsi="Cambria"/>
          <w:bCs/>
          <w:noProof/>
        </w:rPr>
        <w:t>đ</w:t>
      </w:r>
      <w:r w:rsidR="00715488" w:rsidRPr="00AB15C7">
        <w:rPr>
          <w:rFonts w:ascii="Cambria" w:hAnsi="Cambria"/>
          <w:bCs/>
          <w:noProof/>
        </w:rPr>
        <w:t xml:space="preserve">u </w:t>
      </w:r>
      <w:r w:rsidRPr="00AB15C7">
        <w:rPr>
          <w:rFonts w:ascii="Cambria" w:hAnsi="Cambria"/>
          <w:bCs/>
          <w:noProof/>
        </w:rPr>
        <w:t>ostalog, u okviru ove uredbe zaht</w:t>
      </w:r>
      <w:r w:rsidR="00E94A10">
        <w:rPr>
          <w:rFonts w:ascii="Cambria" w:hAnsi="Cambria"/>
          <w:bCs/>
          <w:noProof/>
        </w:rPr>
        <w:t>ij</w:t>
      </w:r>
      <w:r w:rsidRPr="00AB15C7">
        <w:rPr>
          <w:rFonts w:ascii="Cambria" w:hAnsi="Cambria"/>
          <w:bCs/>
          <w:noProof/>
        </w:rPr>
        <w:t>eva se od zemalja članica da uspostave „help desk“ za pružanje relevantnih informacija privrednim subjektima i građanstvu. Dalje napore potrebno je uložiti da se osigura puna implementacija kroz izgradnju adekvatnih kapaciteta i obuke za prim</w:t>
      </w:r>
      <w:r w:rsidR="009E6F26">
        <w:rPr>
          <w:rFonts w:ascii="Cambria" w:hAnsi="Cambria"/>
          <w:bCs/>
          <w:noProof/>
        </w:rPr>
        <w:t>j</w:t>
      </w:r>
      <w:r w:rsidRPr="00AB15C7">
        <w:rPr>
          <w:rFonts w:ascii="Cambria" w:hAnsi="Cambria"/>
          <w:bCs/>
          <w:noProof/>
        </w:rPr>
        <w:t>enu ovog u stručnom pogledu zaht</w:t>
      </w:r>
      <w:r w:rsidR="00A95211">
        <w:rPr>
          <w:rFonts w:ascii="Cambria" w:hAnsi="Cambria"/>
          <w:bCs/>
          <w:noProof/>
        </w:rPr>
        <w:t>j</w:t>
      </w:r>
      <w:r w:rsidRPr="00AB15C7">
        <w:rPr>
          <w:rFonts w:ascii="Cambria" w:hAnsi="Cambria"/>
          <w:bCs/>
          <w:noProof/>
        </w:rPr>
        <w:t>evnog propisa, kao i dalja harmonizacija sa ATP.</w:t>
      </w:r>
      <w:r w:rsidR="004C59C2">
        <w:rPr>
          <w:rFonts w:ascii="Cambria" w:hAnsi="Cambria"/>
          <w:bCs/>
          <w:noProof/>
        </w:rPr>
        <w:t xml:space="preserve"> S obzirom da se kontrola </w:t>
      </w:r>
      <w:r w:rsidR="004C59C2" w:rsidRPr="004C59C2">
        <w:rPr>
          <w:rFonts w:ascii="Cambria" w:hAnsi="Cambria"/>
          <w:bCs/>
          <w:noProof/>
        </w:rPr>
        <w:t xml:space="preserve">klasifikacije, pakovanja i označavanja </w:t>
      </w:r>
      <w:r w:rsidR="004C59C2">
        <w:rPr>
          <w:rFonts w:ascii="Cambria" w:hAnsi="Cambria"/>
          <w:bCs/>
          <w:noProof/>
        </w:rPr>
        <w:t xml:space="preserve">hemikalija vrši u inspekcijskom nadzoru na trzižištu, veoma je važno pored administrativnog osoblja u okviru </w:t>
      </w:r>
      <w:r w:rsidR="00E94A10">
        <w:rPr>
          <w:rFonts w:ascii="Cambria" w:hAnsi="Cambria"/>
          <w:bCs/>
          <w:noProof/>
        </w:rPr>
        <w:t xml:space="preserve">nadležnog </w:t>
      </w:r>
      <w:r w:rsidR="004C59C2">
        <w:rPr>
          <w:rFonts w:ascii="Cambria" w:hAnsi="Cambria"/>
          <w:bCs/>
          <w:noProof/>
        </w:rPr>
        <w:t>organa, u obuke za prim</w:t>
      </w:r>
      <w:r w:rsidR="009E6F26">
        <w:rPr>
          <w:rFonts w:ascii="Cambria" w:hAnsi="Cambria"/>
          <w:bCs/>
          <w:noProof/>
        </w:rPr>
        <w:t>j</w:t>
      </w:r>
      <w:r w:rsidR="004C59C2">
        <w:rPr>
          <w:rFonts w:ascii="Cambria" w:hAnsi="Cambria"/>
          <w:bCs/>
          <w:noProof/>
        </w:rPr>
        <w:t>enu ovog propisa uklučiti i nadležne inspekcije.</w:t>
      </w:r>
    </w:p>
    <w:p w14:paraId="08E8C203" w14:textId="77777777" w:rsidR="00856924" w:rsidRPr="00AB15C7" w:rsidRDefault="00856924" w:rsidP="00360F0F">
      <w:pPr>
        <w:spacing w:before="120" w:after="120"/>
        <w:jc w:val="both"/>
        <w:rPr>
          <w:rFonts w:ascii="Cambria" w:hAnsi="Cambria"/>
          <w:noProof/>
        </w:rPr>
      </w:pPr>
      <w:r w:rsidRPr="00AB15C7">
        <w:rPr>
          <w:rFonts w:ascii="Cambria" w:hAnsi="Cambria"/>
          <w:bCs/>
          <w:noProof/>
        </w:rPr>
        <w:t>Pravilnik o metodama ispitivanja opasnih svojstava hemikalije ("Sl. list CG", br.</w:t>
      </w:r>
      <w:r w:rsidRPr="00AB15C7">
        <w:rPr>
          <w:rFonts w:ascii="Cambria" w:hAnsi="Cambria"/>
          <w:noProof/>
        </w:rPr>
        <w:t xml:space="preserve"> </w:t>
      </w:r>
      <w:r w:rsidRPr="00AB15C7">
        <w:rPr>
          <w:rFonts w:ascii="Cambria" w:hAnsi="Cambria"/>
          <w:bCs/>
          <w:noProof/>
        </w:rPr>
        <w:t>68/17)</w:t>
      </w:r>
      <w:r w:rsidRPr="00AB15C7">
        <w:rPr>
          <w:rFonts w:ascii="Cambria" w:hAnsi="Cambria"/>
          <w:noProof/>
        </w:rPr>
        <w:t xml:space="preserve"> </w:t>
      </w:r>
      <w:r w:rsidRPr="00AB15C7">
        <w:rPr>
          <w:rFonts w:ascii="Cambria" w:hAnsi="Cambria"/>
          <w:bCs/>
          <w:noProof/>
        </w:rPr>
        <w:t xml:space="preserve">propisuje metode ispitivanja u pogledu fizičko-hemijskih, toksikoloških i ekotoksikoloških svojstava hemikalija koje se preuzimaju iz </w:t>
      </w:r>
      <w:r w:rsidRPr="00AB15C7">
        <w:rPr>
          <w:rFonts w:ascii="Cambria" w:hAnsi="Cambria"/>
          <w:b/>
          <w:bCs/>
          <w:noProof/>
        </w:rPr>
        <w:t xml:space="preserve">Uredbe </w:t>
      </w:r>
      <w:r w:rsidR="00243F13" w:rsidRPr="00AB15C7">
        <w:rPr>
          <w:rFonts w:ascii="Cambria" w:hAnsi="Cambria"/>
          <w:b/>
          <w:bCs/>
          <w:noProof/>
        </w:rPr>
        <w:t xml:space="preserve">(EC)  </w:t>
      </w:r>
      <w:r w:rsidRPr="00AB15C7">
        <w:rPr>
          <w:rFonts w:ascii="Cambria" w:hAnsi="Cambria"/>
          <w:b/>
          <w:bCs/>
          <w:noProof/>
        </w:rPr>
        <w:t>440/2008</w:t>
      </w:r>
      <w:r w:rsidRPr="00AB15C7">
        <w:rPr>
          <w:rFonts w:ascii="Cambria" w:hAnsi="Cambria"/>
          <w:bCs/>
          <w:noProof/>
        </w:rPr>
        <w:t xml:space="preserve"> i pratećih amandmana.</w:t>
      </w:r>
    </w:p>
    <w:p w14:paraId="6467A92E" w14:textId="77777777" w:rsidR="00121182" w:rsidRPr="00AB15C7" w:rsidRDefault="00243F13" w:rsidP="00360F0F">
      <w:pPr>
        <w:spacing w:before="120" w:after="120"/>
        <w:jc w:val="both"/>
        <w:rPr>
          <w:rFonts w:ascii="Cambria" w:hAnsi="Cambria"/>
          <w:noProof/>
          <w:lang w:val="sr-Latn-ME"/>
        </w:rPr>
      </w:pPr>
      <w:r w:rsidRPr="00AB15C7">
        <w:rPr>
          <w:rFonts w:ascii="Cambria" w:hAnsi="Cambria"/>
          <w:b/>
          <w:noProof/>
          <w:lang w:val="sr-Latn-ME"/>
        </w:rPr>
        <w:t xml:space="preserve">Uredba (EC) </w:t>
      </w:r>
      <w:r w:rsidRPr="00AB15C7">
        <w:rPr>
          <w:rFonts w:ascii="Cambria" w:hAnsi="Cambria"/>
          <w:b/>
          <w:noProof/>
        </w:rPr>
        <w:t>649/2012</w:t>
      </w:r>
      <w:r w:rsidR="005D53B0" w:rsidRPr="00AB15C7">
        <w:rPr>
          <w:rFonts w:ascii="Cambria" w:hAnsi="Cambria"/>
          <w:b/>
          <w:noProof/>
        </w:rPr>
        <w:t xml:space="preserve"> (PIC)</w:t>
      </w:r>
      <w:r w:rsidR="005D53B0" w:rsidRPr="00AB15C7">
        <w:rPr>
          <w:rStyle w:val="FootnoteReference"/>
          <w:rFonts w:ascii="Cambria" w:hAnsi="Cambria"/>
          <w:b/>
          <w:noProof/>
        </w:rPr>
        <w:footnoteReference w:id="28"/>
      </w:r>
      <w:r w:rsidRPr="00AB15C7">
        <w:rPr>
          <w:rFonts w:ascii="Cambria" w:hAnsi="Cambria"/>
          <w:noProof/>
        </w:rPr>
        <w:t xml:space="preserve"> </w:t>
      </w:r>
      <w:r w:rsidR="005D53B0" w:rsidRPr="00AB15C7">
        <w:rPr>
          <w:rFonts w:ascii="Cambria" w:hAnsi="Cambria"/>
          <w:noProof/>
        </w:rPr>
        <w:t xml:space="preserve">koja se odnosi na uvoz i izvoz određenih opasnih hemikalija (tj. </w:t>
      </w:r>
      <w:r w:rsidR="00842685" w:rsidRPr="00842685">
        <w:rPr>
          <w:rFonts w:ascii="Cambria" w:hAnsi="Cambria"/>
          <w:noProof/>
        </w:rPr>
        <w:t xml:space="preserve">određene opasne hemikalije i pesticide </w:t>
      </w:r>
      <w:r w:rsidR="005D53B0" w:rsidRPr="00AB15C7">
        <w:rPr>
          <w:rFonts w:ascii="Cambria" w:hAnsi="Cambria"/>
          <w:noProof/>
        </w:rPr>
        <w:t xml:space="preserve">koje su obuhvaćene Roterdamskom konvencijom, odnosno </w:t>
      </w:r>
      <w:r w:rsidR="00842685">
        <w:rPr>
          <w:rFonts w:ascii="Cambria" w:hAnsi="Cambria"/>
          <w:noProof/>
        </w:rPr>
        <w:t xml:space="preserve">hemikalije </w:t>
      </w:r>
      <w:r w:rsidR="005D53B0" w:rsidRPr="00AB15C7">
        <w:rPr>
          <w:rFonts w:ascii="Cambria" w:hAnsi="Cambria"/>
          <w:noProof/>
        </w:rPr>
        <w:t xml:space="preserve">za koje se sprovodi PIC postupak) </w:t>
      </w:r>
      <w:r w:rsidRPr="00AB15C7">
        <w:rPr>
          <w:rFonts w:ascii="Cambria" w:hAnsi="Cambria"/>
          <w:noProof/>
        </w:rPr>
        <w:t xml:space="preserve">preuzeta je u nacionalno zakonodavstvo kroz </w:t>
      </w:r>
      <w:r w:rsidRPr="00AB15C7">
        <w:rPr>
          <w:rFonts w:ascii="Cambria" w:hAnsi="Cambria"/>
          <w:bCs/>
          <w:noProof/>
        </w:rPr>
        <w:t xml:space="preserve">Pravilnik o bližem sadržaju prethodnog obavještavanja za izvoz hemikalija </w:t>
      </w:r>
      <w:r w:rsidRPr="00AB15C7">
        <w:rPr>
          <w:rFonts w:ascii="Cambria" w:hAnsi="Cambria"/>
          <w:noProof/>
          <w:lang w:val="sr-Latn-ME"/>
        </w:rPr>
        <w:t xml:space="preserve"> ("Sl. list CG", br. 61/17), a njen Aneks </w:t>
      </w:r>
      <w:r w:rsidR="005D53B0" w:rsidRPr="00AB15C7">
        <w:rPr>
          <w:rFonts w:ascii="Cambria" w:hAnsi="Cambria"/>
          <w:noProof/>
          <w:lang w:val="sr-Latn-ME"/>
        </w:rPr>
        <w:t>V</w:t>
      </w:r>
      <w:r w:rsidRPr="00AB15C7">
        <w:rPr>
          <w:rFonts w:ascii="Cambria" w:hAnsi="Cambria"/>
          <w:noProof/>
          <w:lang w:val="sr-Latn-ME"/>
        </w:rPr>
        <w:t xml:space="preserve"> koji se odnosi na zabranu izvoza POPs hemikalija koje su obuhvaćene Stokholmskom konvencijom, metalne žive, određenih jedinjenja žive  i kozmetičkih sapuna koji sadrže živu, preuzet je kroz Pravilnik o listi opasnih hemikalija i proizvoda čiji je izvoz zabranjen ("Sl. list CG", br. 31/14).</w:t>
      </w:r>
    </w:p>
    <w:p w14:paraId="77D23D79" w14:textId="77777777" w:rsidR="005D53B0" w:rsidRPr="00AB15C7" w:rsidRDefault="005D53B0" w:rsidP="00360F0F">
      <w:pPr>
        <w:spacing w:before="120" w:after="120"/>
        <w:jc w:val="both"/>
        <w:rPr>
          <w:rFonts w:ascii="Cambria" w:hAnsi="Cambria"/>
          <w:noProof/>
          <w:lang w:val="sr-Latn-ME"/>
        </w:rPr>
      </w:pPr>
      <w:r w:rsidRPr="00AB15C7">
        <w:rPr>
          <w:rFonts w:ascii="Cambria" w:hAnsi="Cambria"/>
          <w:b/>
          <w:noProof/>
        </w:rPr>
        <w:t xml:space="preserve">Uredbom </w:t>
      </w:r>
      <w:r w:rsidRPr="00AB15C7">
        <w:rPr>
          <w:rFonts w:ascii="Cambria" w:hAnsi="Cambria"/>
          <w:b/>
          <w:noProof/>
          <w:lang w:val="sr-Latn-ME"/>
        </w:rPr>
        <w:t xml:space="preserve">(EC) </w:t>
      </w:r>
      <w:r w:rsidRPr="00AB15C7">
        <w:rPr>
          <w:rFonts w:ascii="Cambria" w:hAnsi="Cambria"/>
          <w:b/>
          <w:noProof/>
        </w:rPr>
        <w:t xml:space="preserve">648/2004 </w:t>
      </w:r>
      <w:r w:rsidRPr="00AB15C7">
        <w:rPr>
          <w:rFonts w:ascii="Cambria" w:hAnsi="Cambria"/>
          <w:noProof/>
        </w:rPr>
        <w:t>o detergentima preuze</w:t>
      </w:r>
      <w:r w:rsidR="005059EA" w:rsidRPr="00AB15C7">
        <w:rPr>
          <w:rFonts w:ascii="Cambria" w:hAnsi="Cambria"/>
          <w:noProof/>
        </w:rPr>
        <w:t>t</w:t>
      </w:r>
      <w:r w:rsidRPr="00AB15C7">
        <w:rPr>
          <w:rFonts w:ascii="Cambria" w:hAnsi="Cambria"/>
          <w:noProof/>
        </w:rPr>
        <w:t>a je u nacionalno</w:t>
      </w:r>
      <w:r w:rsidRPr="00AB15C7">
        <w:rPr>
          <w:rFonts w:ascii="Cambria" w:hAnsi="Cambria"/>
          <w:b/>
          <w:noProof/>
        </w:rPr>
        <w:t xml:space="preserve"> </w:t>
      </w:r>
      <w:r w:rsidR="005059EA" w:rsidRPr="00AB15C7">
        <w:rPr>
          <w:rFonts w:ascii="Cambria" w:hAnsi="Cambria"/>
          <w:noProof/>
        </w:rPr>
        <w:t>zakonodavstvo kroz</w:t>
      </w:r>
      <w:r w:rsidR="005059EA" w:rsidRPr="00AB15C7">
        <w:rPr>
          <w:rFonts w:ascii="Cambria" w:hAnsi="Cambria"/>
          <w:b/>
          <w:noProof/>
        </w:rPr>
        <w:t xml:space="preserve"> </w:t>
      </w:r>
      <w:r w:rsidR="005059EA" w:rsidRPr="00AB15C7">
        <w:rPr>
          <w:rFonts w:ascii="Cambria" w:hAnsi="Cambria"/>
          <w:noProof/>
          <w:lang w:val="sr-Latn-ME"/>
        </w:rPr>
        <w:t>Pravilnik o metodama ispitivanja biorazgradljivosti površinski aktivne supstance, načinu obilježavanja</w:t>
      </w:r>
      <w:bookmarkStart w:id="71" w:name="_Hlk523246451"/>
      <w:r w:rsidR="005059EA" w:rsidRPr="00AB15C7">
        <w:rPr>
          <w:rFonts w:ascii="Cambria" w:hAnsi="Cambria"/>
          <w:noProof/>
          <w:lang w:val="sr-Latn-ME"/>
        </w:rPr>
        <w:t xml:space="preserve"> i sastavu detergenta</w:t>
      </w:r>
      <w:bookmarkEnd w:id="71"/>
      <w:r w:rsidR="005059EA" w:rsidRPr="00AB15C7">
        <w:rPr>
          <w:rFonts w:ascii="Cambria" w:hAnsi="Cambria"/>
          <w:noProof/>
          <w:lang w:val="sr-Latn-ME"/>
        </w:rPr>
        <w:t xml:space="preserve"> ("Sl. list CG", br. 50/13) i Pravilnik o utvrđivanju liste površinski aktivnih supstanci koje se mogu koristiti u detergentu ("Sl. list CG", br. 36/13). </w:t>
      </w:r>
    </w:p>
    <w:p w14:paraId="578D3D26" w14:textId="327D0E9C" w:rsidR="00531124" w:rsidRPr="00AB15C7" w:rsidRDefault="00531124" w:rsidP="00360F0F">
      <w:pPr>
        <w:spacing w:before="120" w:after="120"/>
        <w:jc w:val="both"/>
        <w:rPr>
          <w:rFonts w:ascii="Cambria" w:hAnsi="Cambria" w:cs="Arial"/>
          <w:noProof/>
          <w:lang w:val="sr-Latn-ME"/>
        </w:rPr>
      </w:pPr>
      <w:r w:rsidRPr="00AB15C7">
        <w:rPr>
          <w:rFonts w:ascii="Cambria" w:hAnsi="Cambria" w:cs="Arial"/>
          <w:b/>
          <w:noProof/>
        </w:rPr>
        <w:lastRenderedPageBreak/>
        <w:t>Direktiva 2004/10/EC</w:t>
      </w:r>
      <w:r w:rsidRPr="00AB15C7">
        <w:rPr>
          <w:rFonts w:ascii="Cambria" w:hAnsi="Cambria" w:cs="Arial"/>
          <w:b/>
          <w:noProof/>
          <w:lang w:val="sr-Latn-ME"/>
        </w:rPr>
        <w:t xml:space="preserve"> </w:t>
      </w:r>
      <w:r w:rsidRPr="00AB15C7">
        <w:rPr>
          <w:rFonts w:ascii="Cambria" w:hAnsi="Cambria" w:cs="Arial"/>
          <w:noProof/>
        </w:rPr>
        <w:t>koja se odnosi na princip</w:t>
      </w:r>
      <w:r w:rsidR="00CE4178" w:rsidRPr="00AB15C7">
        <w:rPr>
          <w:rFonts w:ascii="Cambria" w:hAnsi="Cambria" w:cs="Arial"/>
          <w:noProof/>
        </w:rPr>
        <w:t>e</w:t>
      </w:r>
      <w:r w:rsidRPr="00AB15C7">
        <w:rPr>
          <w:rFonts w:ascii="Cambria" w:hAnsi="Cambria" w:cs="Arial"/>
          <w:noProof/>
        </w:rPr>
        <w:t xml:space="preserve"> dobre laboratorijske prakse i </w:t>
      </w:r>
      <w:r w:rsidR="00CE4178" w:rsidRPr="00AB15C7">
        <w:rPr>
          <w:rFonts w:ascii="Cambria" w:hAnsi="Cambria" w:cs="Arial"/>
          <w:noProof/>
        </w:rPr>
        <w:t>njihovu primjenu</w:t>
      </w:r>
      <w:r w:rsidRPr="00AB15C7">
        <w:rPr>
          <w:rFonts w:ascii="Cambria" w:hAnsi="Cambria" w:cs="Arial"/>
          <w:noProof/>
        </w:rPr>
        <w:t xml:space="preserve"> u pogledu ispitivanja hemikalija</w:t>
      </w:r>
      <w:r w:rsidRPr="00AB15C7">
        <w:rPr>
          <w:rFonts w:ascii="Cambria" w:hAnsi="Cambria" w:cs="Arial"/>
          <w:b/>
          <w:noProof/>
        </w:rPr>
        <w:t xml:space="preserve"> </w:t>
      </w:r>
      <w:r w:rsidR="00CE4178" w:rsidRPr="00AB15C7">
        <w:rPr>
          <w:rFonts w:ascii="Cambria" w:hAnsi="Cambria" w:cs="Arial"/>
          <w:noProof/>
        </w:rPr>
        <w:t xml:space="preserve">preuzeta je u nacionalno zakonodavstvo kroz </w:t>
      </w:r>
      <w:r w:rsidR="00CE4178" w:rsidRPr="00AB15C7">
        <w:rPr>
          <w:rFonts w:ascii="Cambria" w:hAnsi="Cambria" w:cs="Arial"/>
          <w:noProof/>
          <w:lang w:val="sr-Latn-ME"/>
        </w:rPr>
        <w:t>Pravilnik o smjernicama i uslovima dobre laboratorijske prakse ("Sl. list CG", br. 24/14).</w:t>
      </w:r>
    </w:p>
    <w:p w14:paraId="37697B83" w14:textId="77777777" w:rsidR="00E85206" w:rsidRPr="00AB15C7" w:rsidRDefault="00E85206" w:rsidP="00360F0F">
      <w:pPr>
        <w:spacing w:before="120" w:after="120"/>
        <w:jc w:val="both"/>
        <w:rPr>
          <w:rFonts w:ascii="Cambria" w:eastAsia="SimSun" w:hAnsi="Cambria"/>
          <w:noProof/>
          <w:lang w:val="sr-Latn-ME" w:eastAsia="nl-NL"/>
        </w:rPr>
      </w:pPr>
      <w:r w:rsidRPr="00AB15C7">
        <w:rPr>
          <w:rFonts w:ascii="Cambria" w:hAnsi="Cambria" w:cs="Arial"/>
          <w:b/>
          <w:noProof/>
          <w:lang w:val="sr-Latn-ME"/>
        </w:rPr>
        <w:t>Direktiva 2010/63/EC</w:t>
      </w:r>
      <w:r w:rsidRPr="00AB15C7">
        <w:rPr>
          <w:rFonts w:ascii="Cambria" w:hAnsi="Cambria" w:cs="Arial"/>
          <w:i/>
          <w:noProof/>
          <w:lang w:val="sr-Latn-ME"/>
        </w:rPr>
        <w:t xml:space="preserve"> </w:t>
      </w:r>
      <w:r w:rsidRPr="00AB15C7">
        <w:rPr>
          <w:rFonts w:ascii="Cambria" w:hAnsi="Cambria" w:cs="Arial"/>
          <w:noProof/>
          <w:lang w:val="sr-Latn-ME"/>
        </w:rPr>
        <w:t>o zaštiti životinja koje se koriste u naučne svrhe</w:t>
      </w:r>
      <w:r w:rsidRPr="00AB15C7">
        <w:rPr>
          <w:rFonts w:ascii="Cambria" w:hAnsi="Cambria" w:cs="Arial"/>
          <w:i/>
          <w:noProof/>
          <w:lang w:val="sr-Latn-ME"/>
        </w:rPr>
        <w:t xml:space="preserve"> </w:t>
      </w:r>
      <w:r w:rsidRPr="00AB15C7">
        <w:rPr>
          <w:rFonts w:ascii="Cambria" w:hAnsi="Cambria" w:cs="Arial"/>
          <w:noProof/>
          <w:lang w:val="sr-Latn-ME"/>
        </w:rPr>
        <w:t xml:space="preserve">je prenijeta kroz Zakon o zaštiti dobrobiti životinja </w:t>
      </w:r>
      <w:r w:rsidRPr="00AB15C7">
        <w:rPr>
          <w:rFonts w:ascii="Cambria" w:eastAsia="SimSun" w:hAnsi="Cambria" w:cs="Arial"/>
          <w:noProof/>
          <w:lang w:val="sr-Latn-ME" w:eastAsia="nl-NL"/>
        </w:rPr>
        <w:t>(“Sl. list CG</w:t>
      </w:r>
      <w:r w:rsidR="00A23138" w:rsidRPr="00AB15C7">
        <w:rPr>
          <w:rFonts w:ascii="Cambria" w:eastAsia="SimSun" w:hAnsi="Cambria" w:cs="Arial"/>
          <w:noProof/>
          <w:lang w:val="sr-Latn-ME" w:eastAsia="nl-NL"/>
        </w:rPr>
        <w:t>”</w:t>
      </w:r>
      <w:r w:rsidRPr="00AB15C7">
        <w:rPr>
          <w:rFonts w:ascii="Cambria" w:eastAsia="SimSun" w:hAnsi="Cambria" w:cs="Arial"/>
          <w:noProof/>
          <w:lang w:val="sr-Latn-ME" w:eastAsia="nl-NL"/>
        </w:rPr>
        <w:t xml:space="preserve">, br. 14/08 i </w:t>
      </w:r>
      <w:r w:rsidR="00A23138" w:rsidRPr="00AB15C7">
        <w:rPr>
          <w:rFonts w:ascii="Cambria" w:eastAsia="SimSun" w:hAnsi="Cambria" w:cs="Arial"/>
          <w:noProof/>
          <w:lang w:eastAsia="nl-NL"/>
        </w:rPr>
        <w:t>47/15</w:t>
      </w:r>
      <w:r w:rsidRPr="00AB15C7">
        <w:rPr>
          <w:rFonts w:ascii="Cambria" w:eastAsia="SimSun" w:hAnsi="Cambria" w:cs="Arial"/>
          <w:noProof/>
          <w:lang w:val="sr-Latn-ME" w:eastAsia="nl-NL"/>
        </w:rPr>
        <w:t>)</w:t>
      </w:r>
      <w:r w:rsidRPr="00AB15C7">
        <w:rPr>
          <w:rFonts w:ascii="Cambria" w:eastAsia="SimSun" w:hAnsi="Cambria"/>
          <w:noProof/>
          <w:lang w:val="sr-Latn-ME" w:eastAsia="nl-NL"/>
        </w:rPr>
        <w:t xml:space="preserve">. </w:t>
      </w:r>
    </w:p>
    <w:p w14:paraId="64B4257B" w14:textId="02AFB90E" w:rsidR="0075678C" w:rsidRPr="004B69E0" w:rsidRDefault="007A5120" w:rsidP="00360F0F">
      <w:pPr>
        <w:spacing w:before="120" w:after="120"/>
        <w:jc w:val="both"/>
        <w:rPr>
          <w:rFonts w:ascii="Cambria" w:hAnsi="Cambria"/>
          <w:noProof/>
          <w:lang w:val="sr-Latn-ME"/>
        </w:rPr>
      </w:pPr>
      <w:r w:rsidRPr="00AB15C7">
        <w:rPr>
          <w:rFonts w:ascii="Cambria" w:hAnsi="Cambria"/>
          <w:b/>
          <w:bCs/>
          <w:noProof/>
        </w:rPr>
        <w:t>Direktiva 87/217/EE</w:t>
      </w:r>
      <w:r w:rsidR="00B61D26" w:rsidRPr="00AB15C7">
        <w:rPr>
          <w:rFonts w:ascii="Cambria" w:hAnsi="Cambria"/>
          <w:b/>
          <w:bCs/>
          <w:noProof/>
        </w:rPr>
        <w:t>C</w:t>
      </w:r>
      <w:r w:rsidRPr="00AB15C7">
        <w:rPr>
          <w:rFonts w:ascii="Cambria" w:hAnsi="Cambria"/>
          <w:b/>
          <w:bCs/>
          <w:noProof/>
        </w:rPr>
        <w:t xml:space="preserve"> </w:t>
      </w:r>
      <w:r w:rsidR="00F34574" w:rsidRPr="00AB15C7">
        <w:rPr>
          <w:rFonts w:ascii="Cambria" w:hAnsi="Cambria"/>
          <w:bCs/>
          <w:noProof/>
        </w:rPr>
        <w:t>o  prevenciji i redukovanju zagađenja životne sredine azbestom</w:t>
      </w:r>
      <w:r w:rsidR="00F34574" w:rsidRPr="00AB15C7">
        <w:rPr>
          <w:rFonts w:ascii="Cambria" w:hAnsi="Cambria"/>
          <w:b/>
          <w:bCs/>
          <w:noProof/>
        </w:rPr>
        <w:t xml:space="preserve"> </w:t>
      </w:r>
      <w:r w:rsidR="00B61D26" w:rsidRPr="00AB15C7">
        <w:rPr>
          <w:rFonts w:ascii="Cambria" w:hAnsi="Cambria"/>
          <w:noProof/>
        </w:rPr>
        <w:t xml:space="preserve">velikim dijelom je </w:t>
      </w:r>
      <w:r w:rsidRPr="00AB15C7">
        <w:rPr>
          <w:rFonts w:ascii="Cambria" w:hAnsi="Cambria"/>
          <w:noProof/>
        </w:rPr>
        <w:t xml:space="preserve">transponovana </w:t>
      </w:r>
      <w:r w:rsidR="00475A7B" w:rsidRPr="00AB15C7">
        <w:rPr>
          <w:rFonts w:ascii="Cambria" w:hAnsi="Cambria"/>
          <w:noProof/>
          <w:lang w:val="sr-Latn-ME"/>
        </w:rPr>
        <w:t>Zakon</w:t>
      </w:r>
      <w:r w:rsidR="00B61D26" w:rsidRPr="00AB15C7">
        <w:rPr>
          <w:rFonts w:ascii="Cambria" w:hAnsi="Cambria"/>
          <w:noProof/>
          <w:lang w:val="sr-Latn-ME"/>
        </w:rPr>
        <w:t>om</w:t>
      </w:r>
      <w:r w:rsidR="00475A7B" w:rsidRPr="00AB15C7">
        <w:rPr>
          <w:rFonts w:ascii="Cambria" w:hAnsi="Cambria"/>
          <w:noProof/>
          <w:lang w:val="sr-Latn-ME"/>
        </w:rPr>
        <w:t xml:space="preserve"> o upravljanju otpadom (</w:t>
      </w:r>
      <w:r w:rsidR="00475A7B" w:rsidRPr="00AB15C7">
        <w:rPr>
          <w:rFonts w:ascii="Cambria" w:hAnsi="Cambria" w:cs="Arial"/>
          <w:noProof/>
          <w:lang w:val="sr-Latn-ME"/>
        </w:rPr>
        <w:t>“Sl. list CG</w:t>
      </w:r>
      <w:r w:rsidR="00475A7B" w:rsidRPr="00AB15C7">
        <w:rPr>
          <w:rFonts w:ascii="Cambria" w:hAnsi="Cambria"/>
          <w:noProof/>
          <w:lang w:val="sr-Latn-ME"/>
        </w:rPr>
        <w:t>“</w:t>
      </w:r>
      <w:r w:rsidR="00475A7B" w:rsidRPr="00AB15C7">
        <w:rPr>
          <w:rFonts w:ascii="Cambria" w:hAnsi="Cambria" w:cs="Arial"/>
          <w:noProof/>
          <w:lang w:val="sr-Latn-ME"/>
        </w:rPr>
        <w:t xml:space="preserve">, br. </w:t>
      </w:r>
      <w:r w:rsidR="00475A7B" w:rsidRPr="00AB15C7">
        <w:rPr>
          <w:rFonts w:ascii="Cambria" w:hAnsi="Cambria"/>
          <w:noProof/>
          <w:lang w:val="sr-Latn-ME"/>
        </w:rPr>
        <w:t>64/11</w:t>
      </w:r>
      <w:r w:rsidR="00475A7B" w:rsidRPr="00AB15C7">
        <w:rPr>
          <w:rFonts w:ascii="Cambria" w:hAnsi="Cambria"/>
          <w:noProof/>
        </w:rPr>
        <w:t xml:space="preserve"> i </w:t>
      </w:r>
      <w:r w:rsidR="00475A7B" w:rsidRPr="00AB15C7">
        <w:rPr>
          <w:rFonts w:ascii="Cambria" w:hAnsi="Cambria"/>
          <w:bCs/>
          <w:noProof/>
        </w:rPr>
        <w:t>39/16</w:t>
      </w:r>
      <w:r w:rsidR="00475A7B" w:rsidRPr="00AB15C7">
        <w:rPr>
          <w:rFonts w:ascii="Cambria" w:hAnsi="Cambria"/>
          <w:noProof/>
          <w:lang w:val="sr-Latn-ME"/>
        </w:rPr>
        <w:t>)</w:t>
      </w:r>
      <w:r w:rsidR="004B69E0">
        <w:rPr>
          <w:rFonts w:ascii="Cambria" w:hAnsi="Cambria"/>
          <w:noProof/>
        </w:rPr>
        <w:t xml:space="preserve">, </w:t>
      </w:r>
      <w:r w:rsidRPr="00AB15C7">
        <w:rPr>
          <w:rFonts w:ascii="Cambria" w:hAnsi="Cambria"/>
          <w:noProof/>
        </w:rPr>
        <w:t xml:space="preserve">Pravilnikom o </w:t>
      </w:r>
      <w:r w:rsidR="00330670" w:rsidRPr="00AB15C7">
        <w:rPr>
          <w:rFonts w:ascii="Cambria" w:hAnsi="Cambria"/>
          <w:noProof/>
        </w:rPr>
        <w:t>način</w:t>
      </w:r>
      <w:r w:rsidR="00330670">
        <w:rPr>
          <w:rFonts w:ascii="Cambria" w:hAnsi="Cambria"/>
          <w:noProof/>
        </w:rPr>
        <w:t>u</w:t>
      </w:r>
      <w:r w:rsidR="00330670" w:rsidRPr="00AB15C7">
        <w:rPr>
          <w:rFonts w:ascii="Cambria" w:hAnsi="Cambria"/>
          <w:noProof/>
        </w:rPr>
        <w:t xml:space="preserve"> </w:t>
      </w:r>
      <w:r w:rsidRPr="00AB15C7">
        <w:rPr>
          <w:rFonts w:ascii="Cambria" w:hAnsi="Cambria"/>
          <w:noProof/>
        </w:rPr>
        <w:t xml:space="preserve">pakovanja i </w:t>
      </w:r>
      <w:r w:rsidR="004B69E0">
        <w:rPr>
          <w:rFonts w:ascii="Cambria" w:hAnsi="Cambria"/>
          <w:noProof/>
        </w:rPr>
        <w:t>od</w:t>
      </w:r>
      <w:r w:rsidR="006E1B7D">
        <w:rPr>
          <w:rFonts w:ascii="Cambria" w:hAnsi="Cambria"/>
          <w:noProof/>
        </w:rPr>
        <w:t>s</w:t>
      </w:r>
      <w:r w:rsidR="004B69E0">
        <w:rPr>
          <w:rFonts w:ascii="Cambria" w:hAnsi="Cambria"/>
          <w:noProof/>
        </w:rPr>
        <w:t>tranjivanja</w:t>
      </w:r>
      <w:r w:rsidR="004B69E0" w:rsidRPr="00AB15C7">
        <w:rPr>
          <w:rFonts w:ascii="Cambria" w:hAnsi="Cambria"/>
          <w:noProof/>
        </w:rPr>
        <w:t xml:space="preserve"> </w:t>
      </w:r>
      <w:r w:rsidRPr="00AB15C7">
        <w:rPr>
          <w:rFonts w:ascii="Cambria" w:hAnsi="Cambria"/>
          <w:noProof/>
        </w:rPr>
        <w:t>otpada koji sadrži azbest (‟Sl. list CG‟ br. 11/13)</w:t>
      </w:r>
      <w:r w:rsidR="004B69E0">
        <w:rPr>
          <w:rFonts w:ascii="Cambria" w:hAnsi="Cambria"/>
          <w:noProof/>
        </w:rPr>
        <w:t xml:space="preserve"> i </w:t>
      </w:r>
      <w:r w:rsidR="004B69E0" w:rsidRPr="004B69E0">
        <w:rPr>
          <w:rFonts w:ascii="Cambria" w:hAnsi="Cambria"/>
          <w:noProof/>
        </w:rPr>
        <w:t>Pravilnik</w:t>
      </w:r>
      <w:r w:rsidR="004B69E0">
        <w:rPr>
          <w:rFonts w:ascii="Cambria" w:hAnsi="Cambria"/>
          <w:noProof/>
        </w:rPr>
        <w:t>om</w:t>
      </w:r>
      <w:r w:rsidR="004B69E0" w:rsidRPr="004B69E0">
        <w:rPr>
          <w:rFonts w:ascii="Cambria" w:hAnsi="Cambria"/>
          <w:noProof/>
        </w:rPr>
        <w:t xml:space="preserve"> o postupanju sa građevinskim otpadom, načinu i postupku prerade građevinskog otpada, uslovima i načinu odlaganja cement azbestnog građevinskog otpada ("Sl. List CG", br. 50/12)</w:t>
      </w:r>
      <w:r w:rsidRPr="004B69E0">
        <w:rPr>
          <w:rFonts w:ascii="Cambria" w:hAnsi="Cambria"/>
          <w:noProof/>
        </w:rPr>
        <w:t>.</w:t>
      </w:r>
      <w:r w:rsidR="00B61D26" w:rsidRPr="00AB15C7">
        <w:rPr>
          <w:rFonts w:ascii="Cambria" w:hAnsi="Cambria"/>
          <w:noProof/>
        </w:rPr>
        <w:t xml:space="preserve"> </w:t>
      </w:r>
      <w:r w:rsidR="00531124" w:rsidRPr="00AB15C7">
        <w:rPr>
          <w:rFonts w:ascii="Cambria" w:hAnsi="Cambria"/>
          <w:noProof/>
        </w:rPr>
        <w:t xml:space="preserve">Zabrana stavljanja u promet i upotreba azbestnih vlakana utvrđena je Zakonom o životnoj sredini </w:t>
      </w:r>
      <w:r w:rsidR="00531124" w:rsidRPr="00AB15C7">
        <w:rPr>
          <w:rFonts w:ascii="Cambria" w:hAnsi="Cambria"/>
          <w:noProof/>
          <w:lang w:val="sr-Latn-ME"/>
        </w:rPr>
        <w:t>(„Sl. list CG”, br. 25/16).</w:t>
      </w:r>
    </w:p>
    <w:p w14:paraId="6E0ED82A" w14:textId="2A5B011D" w:rsidR="008B5046" w:rsidRPr="00AB15C7" w:rsidRDefault="00531124" w:rsidP="00360F0F">
      <w:pPr>
        <w:spacing w:before="120" w:after="120"/>
        <w:jc w:val="both"/>
        <w:rPr>
          <w:rFonts w:ascii="Cambria" w:hAnsi="Cambria"/>
          <w:noProof/>
        </w:rPr>
      </w:pPr>
      <w:r w:rsidRPr="00AB15C7">
        <w:rPr>
          <w:rFonts w:ascii="Cambria" w:hAnsi="Cambria"/>
          <w:noProof/>
        </w:rPr>
        <w:t>Odredbe</w:t>
      </w:r>
      <w:r w:rsidRPr="00AB15C7">
        <w:rPr>
          <w:rFonts w:ascii="Cambria" w:hAnsi="Cambria"/>
          <w:b/>
          <w:noProof/>
        </w:rPr>
        <w:t xml:space="preserve"> </w:t>
      </w:r>
      <w:r w:rsidR="00B61D26" w:rsidRPr="00AB15C7">
        <w:rPr>
          <w:rFonts w:ascii="Cambria" w:hAnsi="Cambria"/>
          <w:b/>
          <w:noProof/>
        </w:rPr>
        <w:t>U</w:t>
      </w:r>
      <w:r w:rsidR="008B5046" w:rsidRPr="00AB15C7">
        <w:rPr>
          <w:rFonts w:ascii="Cambria" w:hAnsi="Cambria"/>
          <w:b/>
          <w:noProof/>
        </w:rPr>
        <w:t>redb</w:t>
      </w:r>
      <w:r w:rsidRPr="00AB15C7">
        <w:rPr>
          <w:rFonts w:ascii="Cambria" w:hAnsi="Cambria"/>
          <w:b/>
          <w:noProof/>
        </w:rPr>
        <w:t>e</w:t>
      </w:r>
      <w:r w:rsidR="008B5046" w:rsidRPr="00AB15C7">
        <w:rPr>
          <w:rFonts w:ascii="Cambria" w:hAnsi="Cambria"/>
          <w:b/>
          <w:noProof/>
        </w:rPr>
        <w:t xml:space="preserve"> (EC) br. 1102/2008</w:t>
      </w:r>
      <w:r w:rsidR="008B5046" w:rsidRPr="00AB15C7">
        <w:rPr>
          <w:rFonts w:ascii="Cambria" w:hAnsi="Cambria"/>
          <w:noProof/>
        </w:rPr>
        <w:t xml:space="preserve"> </w:t>
      </w:r>
      <w:r w:rsidRPr="00AB15C7">
        <w:rPr>
          <w:rFonts w:ascii="Cambria" w:hAnsi="Cambria"/>
          <w:noProof/>
        </w:rPr>
        <w:t xml:space="preserve">kojima se zabranjuje izvoz metalne žive i određenih živinih jedinjenja i smješa </w:t>
      </w:r>
      <w:r w:rsidR="008B5046" w:rsidRPr="00AB15C7">
        <w:rPr>
          <w:rFonts w:ascii="Cambria" w:hAnsi="Cambria"/>
          <w:noProof/>
        </w:rPr>
        <w:t>pre</w:t>
      </w:r>
      <w:r w:rsidR="00C76066" w:rsidRPr="00AB15C7">
        <w:rPr>
          <w:rFonts w:ascii="Cambria" w:hAnsi="Cambria"/>
          <w:noProof/>
        </w:rPr>
        <w:t xml:space="preserve">uzete su </w:t>
      </w:r>
      <w:r w:rsidRPr="00AB15C7">
        <w:rPr>
          <w:rFonts w:ascii="Cambria" w:hAnsi="Cambria"/>
          <w:noProof/>
        </w:rPr>
        <w:t>kroz</w:t>
      </w:r>
      <w:r w:rsidR="008B5046" w:rsidRPr="00AB15C7">
        <w:rPr>
          <w:rFonts w:ascii="Cambria" w:hAnsi="Cambria"/>
          <w:noProof/>
        </w:rPr>
        <w:t xml:space="preserve"> Zakon o životnoj sredini</w:t>
      </w:r>
      <w:r w:rsidR="00C76066" w:rsidRPr="00AB15C7">
        <w:rPr>
          <w:rFonts w:ascii="Cambria" w:hAnsi="Cambria"/>
          <w:noProof/>
        </w:rPr>
        <w:t xml:space="preserve"> </w:t>
      </w:r>
      <w:r w:rsidR="00C76066" w:rsidRPr="00AB15C7">
        <w:rPr>
          <w:rFonts w:ascii="Cambria" w:hAnsi="Cambria"/>
          <w:noProof/>
          <w:lang w:val="sr-Latn-ME"/>
        </w:rPr>
        <w:t>(„Sl. list CG”, br. 25/16)</w:t>
      </w:r>
      <w:r w:rsidR="008B5046" w:rsidRPr="00AB15C7">
        <w:rPr>
          <w:rFonts w:ascii="Cambria" w:hAnsi="Cambria"/>
          <w:noProof/>
        </w:rPr>
        <w:t xml:space="preserve">. Međutim, s obzirom da je na EU nivou donešena je </w:t>
      </w:r>
      <w:r w:rsidR="008B5046" w:rsidRPr="00F05B8D">
        <w:rPr>
          <w:rFonts w:ascii="Cambria" w:hAnsi="Cambria"/>
          <w:b/>
          <w:noProof/>
        </w:rPr>
        <w:t>nova Uredba (EC) 2017/852</w:t>
      </w:r>
      <w:r w:rsidR="008B5046" w:rsidRPr="00AB15C7">
        <w:rPr>
          <w:rFonts w:ascii="Cambria" w:hAnsi="Cambria"/>
          <w:noProof/>
        </w:rPr>
        <w:t xml:space="preserve"> kojom </w:t>
      </w:r>
      <w:r w:rsidRPr="00AB15C7">
        <w:rPr>
          <w:rFonts w:ascii="Cambria" w:hAnsi="Cambria"/>
          <w:noProof/>
        </w:rPr>
        <w:t xml:space="preserve">je Uredba (EC) br. 1102/2008 stavljena </w:t>
      </w:r>
      <w:r w:rsidR="008B5046" w:rsidRPr="00AB15C7">
        <w:rPr>
          <w:rFonts w:ascii="Cambria" w:hAnsi="Cambria"/>
          <w:noProof/>
        </w:rPr>
        <w:t>van snage</w:t>
      </w:r>
      <w:r w:rsidR="002E5D50" w:rsidRPr="00AB15C7">
        <w:rPr>
          <w:rFonts w:ascii="Cambria" w:hAnsi="Cambria"/>
          <w:noProof/>
        </w:rPr>
        <w:t>, neophodno je usaglasiti nacionalno zakonodavstvo sa novom uredbom EU o živi</w:t>
      </w:r>
      <w:r w:rsidRPr="00AB15C7">
        <w:rPr>
          <w:rFonts w:ascii="Cambria" w:hAnsi="Cambria"/>
          <w:noProof/>
        </w:rPr>
        <w:t xml:space="preserve"> a posebno sa odredbama koje se odnose na: uvoz žive; izvoz određenih proizvoda koji sadrže živu; upotrebu žive u određenim proizvodnim procesima; nove upotrebe žive u proizvodima i proizvodnim procesima; upotrebu žive u zanatskom rudarstvu i dobijanju zlata u malom obimu; kao i upotrebu žive u zubnim amalgamima</w:t>
      </w:r>
      <w:r w:rsidR="002E5D50" w:rsidRPr="00AB15C7">
        <w:rPr>
          <w:rFonts w:ascii="Cambria" w:hAnsi="Cambria"/>
          <w:noProof/>
        </w:rPr>
        <w:t>.</w:t>
      </w:r>
      <w:r w:rsidR="004B69E0">
        <w:rPr>
          <w:rFonts w:ascii="Cambria" w:hAnsi="Cambria"/>
          <w:noProof/>
        </w:rPr>
        <w:t xml:space="preserve"> Dobar dio odredbi biće prenijet Zakonom o industrijskim emisijama, kao i Zakonom o upr</w:t>
      </w:r>
      <w:r w:rsidR="006E1B7D">
        <w:rPr>
          <w:rFonts w:ascii="Cambria" w:hAnsi="Cambria"/>
          <w:noProof/>
        </w:rPr>
        <w:t>a</w:t>
      </w:r>
      <w:r w:rsidR="004B69E0">
        <w:rPr>
          <w:rFonts w:ascii="Cambria" w:hAnsi="Cambria"/>
          <w:noProof/>
        </w:rPr>
        <w:t>vljanju otpadom, čije donošenje je planirano za kraj 2018. godine.</w:t>
      </w:r>
    </w:p>
    <w:p w14:paraId="4A87C675" w14:textId="77777777" w:rsidR="00B61D26" w:rsidRDefault="00B61D26" w:rsidP="00360F0F">
      <w:pPr>
        <w:spacing w:before="120" w:after="120"/>
        <w:jc w:val="both"/>
        <w:rPr>
          <w:rFonts w:ascii="Cambria" w:hAnsi="Cambria"/>
          <w:noProof/>
        </w:rPr>
      </w:pPr>
      <w:r w:rsidRPr="00AB15C7">
        <w:rPr>
          <w:rFonts w:ascii="Cambria" w:hAnsi="Cambria"/>
          <w:b/>
          <w:noProof/>
        </w:rPr>
        <w:t>Uredba (EC) br. 528/2012</w:t>
      </w:r>
      <w:r w:rsidRPr="00AB15C7">
        <w:rPr>
          <w:rFonts w:ascii="Cambria" w:hAnsi="Cambria"/>
          <w:noProof/>
        </w:rPr>
        <w:t xml:space="preserve"> </w:t>
      </w:r>
      <w:r w:rsidR="005D40E5" w:rsidRPr="005D40E5">
        <w:rPr>
          <w:rFonts w:ascii="Cambria" w:hAnsi="Cambria"/>
          <w:b/>
          <w:noProof/>
        </w:rPr>
        <w:t>(BPR)</w:t>
      </w:r>
      <w:r w:rsidR="005D40E5">
        <w:rPr>
          <w:rStyle w:val="FootnoteReference"/>
          <w:rFonts w:ascii="Cambria" w:hAnsi="Cambria"/>
          <w:b/>
          <w:noProof/>
        </w:rPr>
        <w:footnoteReference w:id="29"/>
      </w:r>
      <w:r w:rsidR="005D40E5">
        <w:rPr>
          <w:rFonts w:ascii="Cambria" w:hAnsi="Cambria"/>
          <w:noProof/>
        </w:rPr>
        <w:t xml:space="preserve"> </w:t>
      </w:r>
      <w:r w:rsidRPr="00AB15C7">
        <w:rPr>
          <w:rFonts w:ascii="Cambria" w:hAnsi="Cambria"/>
          <w:noProof/>
        </w:rPr>
        <w:t>o biocidnim proizvodima u velikoj mjeri je transponovana u nacionalno zakonodavstvo</w:t>
      </w:r>
      <w:r w:rsidR="005D40E5" w:rsidRPr="005D40E5">
        <w:rPr>
          <w:rFonts w:ascii="Cambria" w:hAnsi="Cambria"/>
          <w:noProof/>
        </w:rPr>
        <w:t xml:space="preserve"> </w:t>
      </w:r>
      <w:r w:rsidR="005D40E5" w:rsidRPr="00AB15C7">
        <w:rPr>
          <w:rFonts w:ascii="Cambria" w:hAnsi="Cambria"/>
          <w:noProof/>
        </w:rPr>
        <w:t>kroz Zakon o biocidnim proizvodima i podzakonske akte</w:t>
      </w:r>
      <w:r w:rsidR="008942BA">
        <w:rPr>
          <w:rFonts w:ascii="Cambria" w:hAnsi="Cambria"/>
          <w:noProof/>
        </w:rPr>
        <w:t>, osim u djelu koji se odnosi na procedure koje se sprovode na centralizovani na nivou EU</w:t>
      </w:r>
      <w:r w:rsidR="005D40E5">
        <w:rPr>
          <w:rFonts w:ascii="Cambria" w:hAnsi="Cambria"/>
          <w:noProof/>
        </w:rPr>
        <w:t xml:space="preserve"> (poput procedure odobravanja aktivnih supstanci)</w:t>
      </w:r>
      <w:r w:rsidRPr="00AB15C7">
        <w:rPr>
          <w:rFonts w:ascii="Cambria" w:hAnsi="Cambria"/>
          <w:noProof/>
        </w:rPr>
        <w:t>.</w:t>
      </w:r>
      <w:r w:rsidR="00F567BD">
        <w:rPr>
          <w:rFonts w:ascii="Cambria" w:hAnsi="Cambria"/>
          <w:noProof/>
        </w:rPr>
        <w:t xml:space="preserve"> </w:t>
      </w:r>
      <w:r w:rsidR="008F71E7">
        <w:rPr>
          <w:rFonts w:ascii="Cambria" w:hAnsi="Cambria"/>
          <w:noProof/>
        </w:rPr>
        <w:t>Aneksi ove uredbe preuzeti su kroz pozakonske propise.</w:t>
      </w:r>
    </w:p>
    <w:p w14:paraId="55D55271" w14:textId="77777777" w:rsidR="005D40E5" w:rsidRDefault="005D40E5" w:rsidP="00360F0F">
      <w:pPr>
        <w:spacing w:before="120" w:after="120"/>
        <w:jc w:val="both"/>
        <w:rPr>
          <w:rFonts w:ascii="Cambria" w:hAnsi="Cambria"/>
          <w:noProof/>
        </w:rPr>
      </w:pPr>
      <w:r w:rsidRPr="005D40E5">
        <w:rPr>
          <w:rFonts w:ascii="Cambria" w:hAnsi="Cambria"/>
          <w:noProof/>
        </w:rPr>
        <w:t>List</w:t>
      </w:r>
      <w:r>
        <w:rPr>
          <w:rFonts w:ascii="Cambria" w:hAnsi="Cambria"/>
          <w:noProof/>
        </w:rPr>
        <w:t>e</w:t>
      </w:r>
      <w:r w:rsidRPr="005D40E5">
        <w:rPr>
          <w:rFonts w:ascii="Cambria" w:hAnsi="Cambria"/>
          <w:noProof/>
        </w:rPr>
        <w:t xml:space="preserve"> aktivnih supstanci koje su odobrene u EU za upotrebu u biocidnim proizvodima sadrži aktivne supstance </w:t>
      </w:r>
      <w:r>
        <w:rPr>
          <w:rFonts w:ascii="Cambria" w:hAnsi="Cambria"/>
          <w:noProof/>
        </w:rPr>
        <w:t>(</w:t>
      </w:r>
      <w:r w:rsidRPr="005D40E5">
        <w:rPr>
          <w:rFonts w:ascii="Cambria" w:hAnsi="Cambria"/>
          <w:noProof/>
        </w:rPr>
        <w:t>u skladu sa procedurom iz člana 4-16 BPR</w:t>
      </w:r>
      <w:r>
        <w:rPr>
          <w:rFonts w:ascii="Cambria" w:hAnsi="Cambria"/>
          <w:noProof/>
        </w:rPr>
        <w:t>)</w:t>
      </w:r>
      <w:r w:rsidRPr="005D40E5">
        <w:rPr>
          <w:rFonts w:ascii="Cambria" w:hAnsi="Cambria"/>
          <w:noProof/>
        </w:rPr>
        <w:t>, kao i List</w:t>
      </w:r>
      <w:r>
        <w:rPr>
          <w:rFonts w:ascii="Cambria" w:hAnsi="Cambria"/>
          <w:noProof/>
        </w:rPr>
        <w:t>a</w:t>
      </w:r>
      <w:r w:rsidRPr="005D40E5">
        <w:rPr>
          <w:rFonts w:ascii="Cambria" w:hAnsi="Cambria"/>
          <w:noProof/>
        </w:rPr>
        <w:t xml:space="preserve"> aktivnih supstanci koje su dozvoljene za upotrebu u biocidima manjeg rizika (Aneks I BPR) preuzete su u nacionalno zakonodavstvo kroz Pravilnik o listama aktivnih supstanci koje su dozvoljene za upotrebu u biocidnim proizvodima i biocidnim proizvodima manjeg rizika (“Sl. list CG”, br. 72/16). </w:t>
      </w:r>
    </w:p>
    <w:p w14:paraId="73C88E04" w14:textId="77777777" w:rsidR="008F71E7" w:rsidRDefault="008F71E7" w:rsidP="00360F0F">
      <w:pPr>
        <w:spacing w:before="120" w:after="120"/>
        <w:jc w:val="both"/>
        <w:rPr>
          <w:rFonts w:ascii="Cambria" w:hAnsi="Cambria"/>
          <w:noProof/>
        </w:rPr>
      </w:pPr>
      <w:r w:rsidRPr="008F71E7">
        <w:rPr>
          <w:rFonts w:ascii="Cambria" w:hAnsi="Cambria"/>
          <w:noProof/>
        </w:rPr>
        <w:t xml:space="preserve">Odredbe o </w:t>
      </w:r>
      <w:r>
        <w:rPr>
          <w:rFonts w:ascii="Cambria" w:hAnsi="Cambria"/>
          <w:noProof/>
        </w:rPr>
        <w:t>s</w:t>
      </w:r>
      <w:r w:rsidRPr="005D40E5">
        <w:rPr>
          <w:rFonts w:ascii="Cambria" w:hAnsi="Cambria"/>
          <w:noProof/>
        </w:rPr>
        <w:t>adržaj</w:t>
      </w:r>
      <w:r>
        <w:rPr>
          <w:rFonts w:ascii="Cambria" w:hAnsi="Cambria"/>
          <w:noProof/>
        </w:rPr>
        <w:t>u</w:t>
      </w:r>
      <w:r w:rsidRPr="005D40E5">
        <w:rPr>
          <w:rFonts w:ascii="Cambria" w:hAnsi="Cambria"/>
          <w:noProof/>
        </w:rPr>
        <w:t xml:space="preserve"> tehničkog dosijea o biocid</w:t>
      </w:r>
      <w:r>
        <w:rPr>
          <w:rFonts w:ascii="Cambria" w:hAnsi="Cambria"/>
          <w:noProof/>
        </w:rPr>
        <w:t>nom proizvodu</w:t>
      </w:r>
      <w:r w:rsidRPr="008F71E7">
        <w:rPr>
          <w:rFonts w:ascii="Cambria" w:hAnsi="Cambria"/>
          <w:noProof/>
        </w:rPr>
        <w:t xml:space="preserve"> </w:t>
      </w:r>
      <w:r>
        <w:rPr>
          <w:rFonts w:ascii="Cambria" w:hAnsi="Cambria"/>
          <w:noProof/>
        </w:rPr>
        <w:t>(</w:t>
      </w:r>
      <w:r w:rsidRPr="005D40E5">
        <w:rPr>
          <w:rFonts w:ascii="Cambria" w:hAnsi="Cambria"/>
          <w:noProof/>
        </w:rPr>
        <w:t>Aneks II</w:t>
      </w:r>
      <w:r>
        <w:rPr>
          <w:rFonts w:ascii="Cambria" w:hAnsi="Cambria"/>
          <w:noProof/>
        </w:rPr>
        <w:t xml:space="preserve">, III i </w:t>
      </w:r>
      <w:r w:rsidRPr="005D40E5">
        <w:rPr>
          <w:rFonts w:ascii="Cambria" w:hAnsi="Cambria"/>
          <w:noProof/>
        </w:rPr>
        <w:t>V BPR</w:t>
      </w:r>
      <w:r>
        <w:rPr>
          <w:rFonts w:ascii="Cambria" w:hAnsi="Cambria"/>
          <w:noProof/>
        </w:rPr>
        <w:t xml:space="preserve">) </w:t>
      </w:r>
      <w:r w:rsidRPr="008F71E7">
        <w:rPr>
          <w:rFonts w:ascii="Cambria" w:hAnsi="Cambria"/>
          <w:noProof/>
        </w:rPr>
        <w:t>preuzete su u nacionalno zakonodavstvo kroz</w:t>
      </w:r>
      <w:r w:rsidRPr="005D40E5">
        <w:rPr>
          <w:rFonts w:ascii="Cambria" w:hAnsi="Cambria"/>
          <w:noProof/>
        </w:rPr>
        <w:t xml:space="preserve"> Pravilnik o sadržaju tehničkog dosijea i osnovnim podacima o biocidu ("Sl. list CG" br. 5/17 i 19/18)</w:t>
      </w:r>
      <w:r>
        <w:rPr>
          <w:rFonts w:ascii="Cambria" w:hAnsi="Cambria"/>
          <w:noProof/>
        </w:rPr>
        <w:t>.</w:t>
      </w:r>
    </w:p>
    <w:p w14:paraId="6FFD2EE7" w14:textId="77777777" w:rsidR="008F71E7" w:rsidRDefault="008F71E7" w:rsidP="00360F0F">
      <w:pPr>
        <w:spacing w:before="120" w:after="120"/>
        <w:jc w:val="both"/>
        <w:rPr>
          <w:rFonts w:ascii="Cambria" w:hAnsi="Cambria"/>
          <w:noProof/>
        </w:rPr>
      </w:pPr>
      <w:r w:rsidRPr="008F71E7">
        <w:rPr>
          <w:rFonts w:ascii="Cambria" w:hAnsi="Cambria"/>
          <w:noProof/>
        </w:rPr>
        <w:t>Odredbe o vrst</w:t>
      </w:r>
      <w:r>
        <w:rPr>
          <w:rFonts w:ascii="Cambria" w:hAnsi="Cambria"/>
          <w:noProof/>
        </w:rPr>
        <w:t>ama</w:t>
      </w:r>
      <w:r w:rsidRPr="008F71E7">
        <w:rPr>
          <w:rFonts w:ascii="Cambria" w:hAnsi="Cambria"/>
          <w:noProof/>
        </w:rPr>
        <w:t xml:space="preserve"> biocidnih proizvod</w:t>
      </w:r>
      <w:r>
        <w:rPr>
          <w:rFonts w:ascii="Cambria" w:hAnsi="Cambria"/>
          <w:noProof/>
        </w:rPr>
        <w:t>a</w:t>
      </w:r>
      <w:r w:rsidRPr="008F71E7">
        <w:rPr>
          <w:rFonts w:ascii="Cambria" w:hAnsi="Cambria"/>
          <w:noProof/>
        </w:rPr>
        <w:t xml:space="preserve"> </w:t>
      </w:r>
      <w:r>
        <w:rPr>
          <w:rFonts w:ascii="Cambria" w:hAnsi="Cambria"/>
          <w:noProof/>
        </w:rPr>
        <w:t>(</w:t>
      </w:r>
      <w:r w:rsidRPr="008F71E7">
        <w:rPr>
          <w:rFonts w:ascii="Cambria" w:hAnsi="Cambria"/>
          <w:noProof/>
        </w:rPr>
        <w:t>Aneks V BPR</w:t>
      </w:r>
      <w:r>
        <w:rPr>
          <w:rFonts w:ascii="Cambria" w:hAnsi="Cambria"/>
          <w:noProof/>
        </w:rPr>
        <w:t xml:space="preserve">) </w:t>
      </w:r>
      <w:r w:rsidRPr="008F71E7">
        <w:rPr>
          <w:rFonts w:ascii="Cambria" w:hAnsi="Cambria"/>
          <w:noProof/>
        </w:rPr>
        <w:t>preuzete su u nacionalno zakonodavstvo kroz</w:t>
      </w:r>
      <w:r w:rsidRPr="008F71E7">
        <w:rPr>
          <w:rFonts w:ascii="Cambria" w:hAnsi="Cambria"/>
          <w:noProof/>
          <w:lang w:val="sr-Latn-ME"/>
        </w:rPr>
        <w:t xml:space="preserve"> </w:t>
      </w:r>
      <w:r w:rsidRPr="005D40E5">
        <w:rPr>
          <w:rFonts w:ascii="Cambria" w:hAnsi="Cambria"/>
          <w:noProof/>
          <w:lang w:val="sr-Latn-ME"/>
        </w:rPr>
        <w:t>Pravilnik o vrstama biocidnih proizvoda (“Sl. list CG”, br. 66/16)</w:t>
      </w:r>
      <w:r>
        <w:rPr>
          <w:rFonts w:ascii="Cambria" w:hAnsi="Cambria"/>
          <w:noProof/>
          <w:lang w:val="sr-Latn-ME"/>
        </w:rPr>
        <w:t>.</w:t>
      </w:r>
    </w:p>
    <w:p w14:paraId="5EFD5312" w14:textId="77777777" w:rsidR="005D40E5" w:rsidRDefault="005D40E5" w:rsidP="00360F0F">
      <w:pPr>
        <w:spacing w:before="120" w:after="120"/>
        <w:jc w:val="both"/>
        <w:rPr>
          <w:rFonts w:ascii="Cambria" w:hAnsi="Cambria"/>
          <w:noProof/>
        </w:rPr>
      </w:pPr>
      <w:r>
        <w:rPr>
          <w:rFonts w:ascii="Cambria" w:hAnsi="Cambria"/>
          <w:noProof/>
        </w:rPr>
        <w:t>Odredbe o n</w:t>
      </w:r>
      <w:r w:rsidRPr="005D40E5">
        <w:rPr>
          <w:rFonts w:ascii="Cambria" w:hAnsi="Cambria"/>
          <w:noProof/>
        </w:rPr>
        <w:t>ačin</w:t>
      </w:r>
      <w:r>
        <w:rPr>
          <w:rFonts w:ascii="Cambria" w:hAnsi="Cambria"/>
          <w:noProof/>
        </w:rPr>
        <w:t>u</w:t>
      </w:r>
      <w:r w:rsidRPr="005D40E5">
        <w:rPr>
          <w:rFonts w:ascii="Cambria" w:hAnsi="Cambria"/>
          <w:noProof/>
        </w:rPr>
        <w:t xml:space="preserve"> procjene rizika biocidnog proizvoda na osnovu </w:t>
      </w:r>
      <w:r>
        <w:rPr>
          <w:rFonts w:ascii="Cambria" w:hAnsi="Cambria"/>
          <w:noProof/>
        </w:rPr>
        <w:t xml:space="preserve">podataka iz </w:t>
      </w:r>
      <w:r w:rsidRPr="005D40E5">
        <w:rPr>
          <w:rFonts w:ascii="Cambria" w:hAnsi="Cambria"/>
          <w:noProof/>
        </w:rPr>
        <w:t>tehničkog dosijea</w:t>
      </w:r>
      <w:r w:rsidRPr="005D40E5">
        <w:rPr>
          <w:rFonts w:ascii="Cambria" w:hAnsi="Cambria"/>
          <w:noProof/>
          <w:lang w:val="sr-Latn-ME"/>
        </w:rPr>
        <w:t xml:space="preserve"> </w:t>
      </w:r>
      <w:r>
        <w:rPr>
          <w:rFonts w:ascii="Cambria" w:hAnsi="Cambria"/>
          <w:noProof/>
          <w:lang w:val="sr-Latn-ME"/>
        </w:rPr>
        <w:t>(</w:t>
      </w:r>
      <w:r w:rsidRPr="005D40E5">
        <w:rPr>
          <w:rFonts w:ascii="Cambria" w:hAnsi="Cambria"/>
          <w:noProof/>
          <w:lang w:val="sr-Latn-ME"/>
        </w:rPr>
        <w:t>Aneks VI BPR</w:t>
      </w:r>
      <w:r w:rsidR="008F71E7">
        <w:rPr>
          <w:rFonts w:ascii="Cambria" w:hAnsi="Cambria"/>
          <w:noProof/>
          <w:lang w:val="sr-Latn-ME"/>
        </w:rPr>
        <w:t>)</w:t>
      </w:r>
      <w:r w:rsidR="008F71E7" w:rsidRPr="008F71E7">
        <w:rPr>
          <w:rFonts w:ascii="Cambria" w:hAnsi="Cambria"/>
          <w:noProof/>
        </w:rPr>
        <w:t xml:space="preserve"> preuzete su u nacionalno zakonodavstvo kroz</w:t>
      </w:r>
      <w:r w:rsidR="008F71E7">
        <w:rPr>
          <w:rFonts w:ascii="Cambria" w:hAnsi="Cambria"/>
          <w:noProof/>
        </w:rPr>
        <w:t xml:space="preserve"> </w:t>
      </w:r>
      <w:r w:rsidR="008F71E7" w:rsidRPr="005D40E5">
        <w:rPr>
          <w:rFonts w:ascii="Cambria" w:hAnsi="Cambria"/>
          <w:noProof/>
          <w:lang w:val="sr-Latn-ME"/>
        </w:rPr>
        <w:t>Pravilnik o načinu procjene rizika biocidnih proizvoda ("Sl. list CG", br. 62/16)</w:t>
      </w:r>
      <w:r w:rsidR="008F71E7">
        <w:rPr>
          <w:rFonts w:ascii="Cambria" w:hAnsi="Cambria"/>
          <w:noProof/>
          <w:lang w:val="sr-Latn-ME"/>
        </w:rPr>
        <w:t>.</w:t>
      </w:r>
    </w:p>
    <w:p w14:paraId="3768BCD2" w14:textId="3C855A7F" w:rsidR="00B62A08" w:rsidRDefault="008F71E7" w:rsidP="00360F0F">
      <w:pPr>
        <w:spacing w:before="120" w:after="120"/>
        <w:jc w:val="both"/>
        <w:rPr>
          <w:rFonts w:ascii="Cambria" w:hAnsi="Cambria"/>
          <w:noProof/>
          <w:lang w:val="sr-Latn-ME"/>
        </w:rPr>
      </w:pPr>
      <w:r>
        <w:rPr>
          <w:rFonts w:ascii="Cambria" w:hAnsi="Cambria"/>
          <w:noProof/>
        </w:rPr>
        <w:t>Implementacija Zakona o b</w:t>
      </w:r>
      <w:r w:rsidRPr="008F71E7">
        <w:rPr>
          <w:rFonts w:ascii="Cambria" w:hAnsi="Cambria"/>
          <w:noProof/>
        </w:rPr>
        <w:t>iocidni</w:t>
      </w:r>
      <w:r>
        <w:rPr>
          <w:rFonts w:ascii="Cambria" w:hAnsi="Cambria"/>
          <w:noProof/>
        </w:rPr>
        <w:t>m</w:t>
      </w:r>
      <w:r w:rsidRPr="008F71E7">
        <w:rPr>
          <w:rFonts w:ascii="Cambria" w:hAnsi="Cambria"/>
          <w:noProof/>
        </w:rPr>
        <w:t xml:space="preserve"> proizvod</w:t>
      </w:r>
      <w:r>
        <w:rPr>
          <w:rFonts w:ascii="Cambria" w:hAnsi="Cambria"/>
          <w:noProof/>
        </w:rPr>
        <w:t>ima je u ranoj fazi s obzirom na početak prim</w:t>
      </w:r>
      <w:r w:rsidR="009E6F26">
        <w:rPr>
          <w:rFonts w:ascii="Cambria" w:hAnsi="Cambria"/>
          <w:noProof/>
        </w:rPr>
        <w:t>j</w:t>
      </w:r>
      <w:r>
        <w:rPr>
          <w:rFonts w:ascii="Cambria" w:hAnsi="Cambria"/>
          <w:noProof/>
        </w:rPr>
        <w:t xml:space="preserve">ene </w:t>
      </w:r>
      <w:r w:rsidR="00BB3E7C">
        <w:rPr>
          <w:rFonts w:ascii="Cambria" w:hAnsi="Cambria"/>
          <w:noProof/>
        </w:rPr>
        <w:t xml:space="preserve">1. </w:t>
      </w:r>
      <w:r w:rsidR="00FE6163">
        <w:rPr>
          <w:rFonts w:ascii="Cambria" w:hAnsi="Cambria"/>
          <w:noProof/>
        </w:rPr>
        <w:t xml:space="preserve">januara </w:t>
      </w:r>
      <w:r w:rsidR="00BB3E7C">
        <w:rPr>
          <w:rFonts w:ascii="Cambria" w:hAnsi="Cambria"/>
          <w:noProof/>
        </w:rPr>
        <w:t>2017, kao i tranzicioni period od godinu dana koji je ostavljen privredi da svoje poslovanje uskladi sa ovim zakonom. Naime, biocidni proizvodi nisu ranije bili uređeni po principima uspostavljeni</w:t>
      </w:r>
      <w:r w:rsidR="004C59C2">
        <w:rPr>
          <w:rFonts w:ascii="Cambria" w:hAnsi="Cambria"/>
          <w:noProof/>
        </w:rPr>
        <w:t xml:space="preserve">m </w:t>
      </w:r>
      <w:r w:rsidR="00BB3E7C">
        <w:rPr>
          <w:rFonts w:ascii="Cambria" w:hAnsi="Cambria"/>
          <w:noProof/>
        </w:rPr>
        <w:t>u EU te je ovaj zakon doneo značajne promjene u pogledu obaveza koje imaju privredni subjekti koji ovakve proi</w:t>
      </w:r>
      <w:r w:rsidR="00D01021">
        <w:rPr>
          <w:rFonts w:ascii="Cambria" w:hAnsi="Cambria"/>
          <w:noProof/>
        </w:rPr>
        <w:t>z</w:t>
      </w:r>
      <w:r w:rsidR="00BB3E7C">
        <w:rPr>
          <w:rFonts w:ascii="Cambria" w:hAnsi="Cambria"/>
          <w:noProof/>
        </w:rPr>
        <w:t xml:space="preserve">vode stavljaju u promet i bilo je neophodna ostaviti </w:t>
      </w:r>
      <w:r w:rsidR="00FE6163">
        <w:rPr>
          <w:rFonts w:ascii="Cambria" w:hAnsi="Cambria"/>
          <w:noProof/>
        </w:rPr>
        <w:t xml:space="preserve">tranzicioni </w:t>
      </w:r>
      <w:r w:rsidR="00BB3E7C">
        <w:rPr>
          <w:rFonts w:ascii="Cambria" w:hAnsi="Cambria"/>
          <w:noProof/>
        </w:rPr>
        <w:t xml:space="preserve">period za prilagođavanje novom zakonodavnom okviru za biocide. Takođe, nije moguće odmah krenuti sa </w:t>
      </w:r>
      <w:r w:rsidR="00BB3E7C">
        <w:rPr>
          <w:rFonts w:ascii="Cambria" w:hAnsi="Cambria"/>
          <w:noProof/>
        </w:rPr>
        <w:lastRenderedPageBreak/>
        <w:t>procedurom autorizacije kako zbog kapaciteta privrede i nadležnih organa (naročito u pogledu procjene rizika</w:t>
      </w:r>
      <w:r w:rsidR="00B62A08">
        <w:rPr>
          <w:rFonts w:ascii="Cambria" w:hAnsi="Cambria"/>
          <w:noProof/>
        </w:rPr>
        <w:t xml:space="preserve"> od hemikalija i biocidnih proizvoda</w:t>
      </w:r>
      <w:r w:rsidR="00BB3E7C">
        <w:rPr>
          <w:rFonts w:ascii="Cambria" w:hAnsi="Cambria"/>
          <w:noProof/>
        </w:rPr>
        <w:t xml:space="preserve">), tako i zbog činjenice da </w:t>
      </w:r>
      <w:r w:rsidR="00FE6163">
        <w:rPr>
          <w:rFonts w:ascii="Cambria" w:hAnsi="Cambria"/>
          <w:noProof/>
        </w:rPr>
        <w:t xml:space="preserve">je </w:t>
      </w:r>
      <w:r w:rsidR="00BB3E7C">
        <w:rPr>
          <w:rFonts w:ascii="Cambria" w:hAnsi="Cambria"/>
          <w:noProof/>
        </w:rPr>
        <w:t>u EU  još uv</w:t>
      </w:r>
      <w:r w:rsidR="000863BA">
        <w:rPr>
          <w:rFonts w:ascii="Cambria" w:hAnsi="Cambria"/>
          <w:noProof/>
        </w:rPr>
        <w:t>j</w:t>
      </w:r>
      <w:r w:rsidR="00BB3E7C">
        <w:rPr>
          <w:rFonts w:ascii="Cambria" w:hAnsi="Cambria"/>
          <w:noProof/>
        </w:rPr>
        <w:t>ek u toku evaluacija velikog broja aktivnih supstanci te treba sačekati da se finalno utvrdi njihov status u pogledu uključivanja u liste odobrenih aktivnih supstanci</w:t>
      </w:r>
      <w:r w:rsidR="00411C07" w:rsidRPr="00411C07">
        <w:rPr>
          <w:rFonts w:ascii="Cambria" w:hAnsi="Cambria"/>
          <w:noProof/>
        </w:rPr>
        <w:t xml:space="preserve"> </w:t>
      </w:r>
      <w:r w:rsidR="00411C07">
        <w:rPr>
          <w:rFonts w:ascii="Cambria" w:hAnsi="Cambria"/>
          <w:noProof/>
        </w:rPr>
        <w:t>koje se u nacionalno zakonodavstvo</w:t>
      </w:r>
      <w:r w:rsidR="00411C07" w:rsidRPr="008F71E7">
        <w:rPr>
          <w:rFonts w:ascii="Cambria" w:hAnsi="Cambria"/>
          <w:noProof/>
        </w:rPr>
        <w:t xml:space="preserve"> preuzimaju iz EU</w:t>
      </w:r>
      <w:r w:rsidR="00BB3E7C">
        <w:rPr>
          <w:rFonts w:ascii="Cambria" w:hAnsi="Cambria"/>
          <w:noProof/>
        </w:rPr>
        <w:t xml:space="preserve">. </w:t>
      </w:r>
      <w:r w:rsidR="00D01021">
        <w:rPr>
          <w:rFonts w:ascii="Cambria" w:hAnsi="Cambria"/>
          <w:noProof/>
        </w:rPr>
        <w:t xml:space="preserve">Pored toga, treba imati u vidu </w:t>
      </w:r>
      <w:r w:rsidR="00D01021" w:rsidRPr="00D01021">
        <w:rPr>
          <w:rFonts w:ascii="Cambria" w:hAnsi="Cambria"/>
          <w:noProof/>
        </w:rPr>
        <w:t>otežavajuć</w:t>
      </w:r>
      <w:r w:rsidR="00D01021">
        <w:rPr>
          <w:rFonts w:ascii="Cambria" w:hAnsi="Cambria"/>
          <w:noProof/>
        </w:rPr>
        <w:t>e</w:t>
      </w:r>
      <w:r w:rsidR="00D01021" w:rsidRPr="00D01021">
        <w:rPr>
          <w:rFonts w:ascii="Cambria" w:hAnsi="Cambria"/>
          <w:noProof/>
        </w:rPr>
        <w:t xml:space="preserve"> okolnosti u vezi sa pristupom podacima iz EU Registra za biocidne proizvode (R4BP)</w:t>
      </w:r>
      <w:r w:rsidR="00D01021">
        <w:rPr>
          <w:rStyle w:val="FootnoteReference"/>
          <w:rFonts w:ascii="Cambria" w:hAnsi="Cambria"/>
          <w:noProof/>
        </w:rPr>
        <w:footnoteReference w:id="30"/>
      </w:r>
      <w:r w:rsidR="00D01021" w:rsidRPr="00D01021">
        <w:rPr>
          <w:rFonts w:ascii="Cambria" w:hAnsi="Cambria"/>
          <w:noProof/>
        </w:rPr>
        <w:t xml:space="preserve"> iz zemlje kandidata</w:t>
      </w:r>
      <w:r w:rsidR="00D01021">
        <w:rPr>
          <w:rFonts w:ascii="Cambria" w:hAnsi="Cambria"/>
          <w:noProof/>
        </w:rPr>
        <w:t>.</w:t>
      </w:r>
      <w:r w:rsidR="00D01021" w:rsidRPr="00D01021">
        <w:rPr>
          <w:rFonts w:ascii="Cambria" w:hAnsi="Cambria"/>
          <w:noProof/>
        </w:rPr>
        <w:t xml:space="preserve"> </w:t>
      </w:r>
      <w:r w:rsidR="00411C07">
        <w:rPr>
          <w:rFonts w:ascii="Cambria" w:hAnsi="Cambria"/>
          <w:noProof/>
        </w:rPr>
        <w:t>Zbog toga je</w:t>
      </w:r>
      <w:r w:rsidR="00411C07" w:rsidRPr="008F71E7">
        <w:rPr>
          <w:rFonts w:ascii="Cambria" w:hAnsi="Cambria"/>
          <w:noProof/>
        </w:rPr>
        <w:t xml:space="preserve"> postupak odobrava</w:t>
      </w:r>
      <w:r w:rsidR="00411C07">
        <w:rPr>
          <w:rFonts w:ascii="Cambria" w:hAnsi="Cambria"/>
          <w:noProof/>
        </w:rPr>
        <w:t>n</w:t>
      </w:r>
      <w:r w:rsidR="00411C07" w:rsidRPr="008F71E7">
        <w:rPr>
          <w:rFonts w:ascii="Cambria" w:hAnsi="Cambria"/>
          <w:noProof/>
        </w:rPr>
        <w:t xml:space="preserve">ja stavljanja biocida u promet na nacionalnom nivou odvija se u dvije faze. </w:t>
      </w:r>
      <w:r w:rsidRPr="008F71E7">
        <w:rPr>
          <w:rFonts w:ascii="Cambria" w:hAnsi="Cambria"/>
          <w:noProof/>
        </w:rPr>
        <w:t>U prvoj fazi pravno lice Agenciji za zaštitu prirode i životne sredine podnosi osnovne podatke o biocidnom proizvodu na osnovu kojih se biocid upisuje u Privremenu listu za dostavljanje tehničkog dosijea i može se stavljati u promet u ostavljenom roku. U drugoj fazi</w:t>
      </w:r>
      <w:r w:rsidR="00E474CD">
        <w:rPr>
          <w:rFonts w:ascii="Cambria" w:hAnsi="Cambria"/>
          <w:noProof/>
          <w:lang w:val="sr-Latn-ME"/>
        </w:rPr>
        <w:t xml:space="preserve">, </w:t>
      </w:r>
      <w:r w:rsidR="00E474CD" w:rsidRPr="000223F5">
        <w:rPr>
          <w:rFonts w:ascii="Cambria" w:hAnsi="Cambria"/>
          <w:noProof/>
          <w:lang w:val="sr-Latn-ME"/>
        </w:rPr>
        <w:t>koja je usaglašena sa postupkom autorizacije po BPR</w:t>
      </w:r>
      <w:r w:rsidR="00E474CD">
        <w:rPr>
          <w:rFonts w:ascii="Cambria" w:hAnsi="Cambria"/>
          <w:noProof/>
          <w:lang w:val="sr-Latn-ME"/>
        </w:rPr>
        <w:t>,</w:t>
      </w:r>
      <w:r w:rsidRPr="008F71E7">
        <w:rPr>
          <w:rFonts w:ascii="Cambria" w:hAnsi="Cambria"/>
          <w:noProof/>
        </w:rPr>
        <w:t xml:space="preserve"> dostavlja se tehnički dosije za aktivnu supstancu i dosije za biocid na osnovu kojih se vrši detaljna procjena biocidnog proizvoda i izdaje </w:t>
      </w:r>
      <w:bookmarkStart w:id="72" w:name="_Hlk523254338"/>
      <w:r w:rsidRPr="008F71E7">
        <w:rPr>
          <w:rFonts w:ascii="Cambria" w:hAnsi="Cambria"/>
          <w:noProof/>
        </w:rPr>
        <w:t>dozvola za stavljanje biocida u promet i upotrebu</w:t>
      </w:r>
      <w:bookmarkEnd w:id="72"/>
      <w:r w:rsidRPr="008F71E7">
        <w:rPr>
          <w:rFonts w:ascii="Cambria" w:hAnsi="Cambria"/>
          <w:noProof/>
        </w:rPr>
        <w:t>.</w:t>
      </w:r>
      <w:r w:rsidR="000223F5">
        <w:rPr>
          <w:rFonts w:ascii="Cambria" w:hAnsi="Cambria"/>
          <w:noProof/>
        </w:rPr>
        <w:t xml:space="preserve"> </w:t>
      </w:r>
      <w:r w:rsidR="00E474CD" w:rsidRPr="00E474CD">
        <w:rPr>
          <w:rFonts w:ascii="Cambria" w:hAnsi="Cambria"/>
          <w:noProof/>
        </w:rPr>
        <w:t>Procjenu biocida na osnovu tehničkog dosijea</w:t>
      </w:r>
      <w:r w:rsidR="00E474CD">
        <w:rPr>
          <w:rFonts w:ascii="Cambria" w:hAnsi="Cambria"/>
          <w:noProof/>
        </w:rPr>
        <w:t xml:space="preserve"> treba da </w:t>
      </w:r>
      <w:r w:rsidR="00E474CD" w:rsidRPr="00E474CD">
        <w:rPr>
          <w:rFonts w:ascii="Cambria" w:hAnsi="Cambria"/>
          <w:noProof/>
        </w:rPr>
        <w:t>vrši stručna komisija</w:t>
      </w:r>
      <w:r w:rsidR="00E474CD" w:rsidRPr="00E474CD">
        <w:rPr>
          <w:rFonts w:ascii="Times New Roman" w:eastAsia="SimSun" w:hAnsi="Times New Roman"/>
          <w:noProof/>
          <w:sz w:val="24"/>
          <w:szCs w:val="24"/>
        </w:rPr>
        <w:t xml:space="preserve"> </w:t>
      </w:r>
      <w:r w:rsidR="00E474CD" w:rsidRPr="00E474CD">
        <w:rPr>
          <w:rFonts w:ascii="Cambria" w:hAnsi="Cambria"/>
          <w:noProof/>
        </w:rPr>
        <w:t>od sedam članova iz reda stručnjaka iz toksikologije, veterinarske</w:t>
      </w:r>
      <w:r w:rsidR="00E474CD">
        <w:rPr>
          <w:rFonts w:ascii="Cambria" w:hAnsi="Cambria"/>
          <w:noProof/>
        </w:rPr>
        <w:t xml:space="preserve"> </w:t>
      </w:r>
      <w:r w:rsidR="00E474CD" w:rsidRPr="00E474CD">
        <w:rPr>
          <w:rFonts w:ascii="Cambria" w:hAnsi="Cambria"/>
          <w:noProof/>
        </w:rPr>
        <w:t>medicine, farmacije, biologije, poljoprivrede, ekologije i humane medicine</w:t>
      </w:r>
      <w:r w:rsidR="00E474CD">
        <w:rPr>
          <w:rFonts w:ascii="Cambria" w:hAnsi="Cambria"/>
          <w:noProof/>
        </w:rPr>
        <w:t xml:space="preserve">, </w:t>
      </w:r>
      <w:r w:rsidR="00E474CD" w:rsidRPr="00E474CD">
        <w:rPr>
          <w:rFonts w:ascii="Cambria" w:hAnsi="Cambria"/>
          <w:noProof/>
          <w:lang w:val="sr-Latn-ME"/>
        </w:rPr>
        <w:t>sa specifičnim stručnim znanjima u pogledu procjene rizika</w:t>
      </w:r>
      <w:r w:rsidR="00B62A08">
        <w:rPr>
          <w:rFonts w:ascii="Cambria" w:hAnsi="Cambria"/>
          <w:noProof/>
          <w:lang w:val="sr-Latn-ME"/>
        </w:rPr>
        <w:t xml:space="preserve"> od biocida</w:t>
      </w:r>
      <w:r w:rsidR="00E474CD" w:rsidRPr="00E474CD">
        <w:rPr>
          <w:rFonts w:ascii="Cambria" w:hAnsi="Cambria"/>
          <w:noProof/>
          <w:lang w:val="sr-Latn-ME"/>
        </w:rPr>
        <w:t>.</w:t>
      </w:r>
    </w:p>
    <w:p w14:paraId="4820919D" w14:textId="77777777" w:rsidR="00581A04" w:rsidRDefault="006A3485" w:rsidP="00360F0F">
      <w:pPr>
        <w:spacing w:before="120" w:after="120"/>
        <w:jc w:val="both"/>
        <w:rPr>
          <w:rFonts w:ascii="Cambria" w:hAnsi="Cambria"/>
          <w:noProof/>
        </w:rPr>
      </w:pPr>
      <w:r w:rsidRPr="006A3485">
        <w:rPr>
          <w:rFonts w:ascii="Cambria" w:hAnsi="Cambria"/>
          <w:b/>
          <w:noProof/>
        </w:rPr>
        <w:t xml:space="preserve">Uredba (EC) br. 1107/2009 </w:t>
      </w:r>
      <w:r w:rsidRPr="006A3485">
        <w:rPr>
          <w:rFonts w:ascii="Cambria" w:hAnsi="Cambria"/>
          <w:noProof/>
        </w:rPr>
        <w:t xml:space="preserve"> </w:t>
      </w:r>
      <w:r w:rsidRPr="006A3485">
        <w:rPr>
          <w:rFonts w:ascii="Cambria" w:hAnsi="Cambria"/>
          <w:b/>
          <w:noProof/>
        </w:rPr>
        <w:t>(PPPR)</w:t>
      </w:r>
      <w:r w:rsidRPr="006A3485">
        <w:rPr>
          <w:rFonts w:ascii="Cambria" w:hAnsi="Cambria"/>
          <w:b/>
          <w:noProof/>
          <w:vertAlign w:val="superscript"/>
        </w:rPr>
        <w:footnoteReference w:id="31"/>
      </w:r>
      <w:r w:rsidRPr="006A3485">
        <w:rPr>
          <w:rFonts w:ascii="Cambria" w:hAnsi="Cambria"/>
          <w:b/>
          <w:noProof/>
        </w:rPr>
        <w:t xml:space="preserve"> </w:t>
      </w:r>
      <w:r>
        <w:rPr>
          <w:rFonts w:ascii="Cambria" w:hAnsi="Cambria"/>
          <w:noProof/>
        </w:rPr>
        <w:t xml:space="preserve">koja se odnosi na stavljanje u promet sredstava za zaštitu bilja, kao i </w:t>
      </w:r>
      <w:r w:rsidR="009B7207" w:rsidRPr="009B7207">
        <w:rPr>
          <w:rFonts w:ascii="Cambria" w:hAnsi="Cambria"/>
          <w:b/>
          <w:noProof/>
        </w:rPr>
        <w:t>Direktiva 2009/128/EC</w:t>
      </w:r>
      <w:r>
        <w:rPr>
          <w:rFonts w:ascii="Cambria" w:hAnsi="Cambria"/>
          <w:noProof/>
        </w:rPr>
        <w:t xml:space="preserve"> </w:t>
      </w:r>
      <w:r w:rsidR="009B7207">
        <w:rPr>
          <w:rFonts w:ascii="Cambria" w:hAnsi="Cambria"/>
          <w:noProof/>
        </w:rPr>
        <w:t xml:space="preserve">o održivoj upotreba pesticida </w:t>
      </w:r>
      <w:r w:rsidRPr="006A3485">
        <w:rPr>
          <w:rFonts w:ascii="Cambria" w:hAnsi="Cambria"/>
          <w:noProof/>
        </w:rPr>
        <w:t xml:space="preserve">u velikoj mjeri </w:t>
      </w:r>
      <w:r w:rsidR="009B7207">
        <w:rPr>
          <w:rFonts w:ascii="Cambria" w:hAnsi="Cambria"/>
          <w:noProof/>
        </w:rPr>
        <w:t>su</w:t>
      </w:r>
      <w:r w:rsidRPr="006A3485">
        <w:rPr>
          <w:rFonts w:ascii="Cambria" w:hAnsi="Cambria"/>
          <w:noProof/>
        </w:rPr>
        <w:t xml:space="preserve"> transponovan</w:t>
      </w:r>
      <w:r w:rsidR="009B7207">
        <w:rPr>
          <w:rFonts w:ascii="Cambria" w:hAnsi="Cambria"/>
          <w:noProof/>
        </w:rPr>
        <w:t>e</w:t>
      </w:r>
      <w:r w:rsidRPr="006A3485">
        <w:rPr>
          <w:rFonts w:ascii="Cambria" w:hAnsi="Cambria"/>
          <w:noProof/>
        </w:rPr>
        <w:t xml:space="preserve"> u nacionalno zakonodavstvo kroz Zakon o sredstvima za zaštitu bilja i podzakonske akte</w:t>
      </w:r>
      <w:r w:rsidR="00E24192" w:rsidRPr="00F05B8D">
        <w:rPr>
          <w:rFonts w:ascii="Cambria" w:hAnsi="Cambria"/>
          <w:noProof/>
        </w:rPr>
        <w:t>, osim u djelu koji se odnosi na procedure koje se sprovode na centralizovan</w:t>
      </w:r>
      <w:r w:rsidR="00E24192">
        <w:rPr>
          <w:rFonts w:ascii="Cambria" w:hAnsi="Cambria"/>
          <w:noProof/>
        </w:rPr>
        <w:t>o</w:t>
      </w:r>
      <w:r w:rsidR="00E24192" w:rsidRPr="00F05B8D">
        <w:rPr>
          <w:rFonts w:ascii="Cambria" w:hAnsi="Cambria"/>
          <w:noProof/>
        </w:rPr>
        <w:t xml:space="preserve"> na nivou EU</w:t>
      </w:r>
      <w:r w:rsidR="00E24192">
        <w:rPr>
          <w:rFonts w:ascii="Cambria" w:hAnsi="Cambria"/>
          <w:noProof/>
        </w:rPr>
        <w:t>. Ipak,  i odluke koje su donesene u ovakvim centralizovanim procedurama sporovedenim u EU se preuzimaju u nacionalno zakonodavstvo, poput liste aktivnih materija</w:t>
      </w:r>
      <w:r w:rsidR="00E24192" w:rsidRPr="00E24192">
        <w:rPr>
          <w:noProof/>
        </w:rPr>
        <w:t xml:space="preserve"> </w:t>
      </w:r>
      <w:r w:rsidR="00E24192" w:rsidRPr="00E24192">
        <w:rPr>
          <w:rFonts w:ascii="Cambria" w:hAnsi="Cambria"/>
          <w:noProof/>
        </w:rPr>
        <w:t>dozvoljenih</w:t>
      </w:r>
      <w:r w:rsidR="00E24192">
        <w:rPr>
          <w:noProof/>
        </w:rPr>
        <w:t xml:space="preserve"> </w:t>
      </w:r>
      <w:r w:rsidR="00E24192" w:rsidRPr="00E24192">
        <w:rPr>
          <w:rFonts w:ascii="Cambria" w:hAnsi="Cambria"/>
          <w:noProof/>
        </w:rPr>
        <w:t>za upotrebu u sredstvima za zaštitu bilja</w:t>
      </w:r>
      <w:r w:rsidRPr="006A3485">
        <w:rPr>
          <w:rFonts w:ascii="Cambria" w:hAnsi="Cambria"/>
          <w:noProof/>
        </w:rPr>
        <w:t>.</w:t>
      </w:r>
      <w:r w:rsidR="0018704B">
        <w:rPr>
          <w:rFonts w:ascii="Cambria" w:hAnsi="Cambria"/>
          <w:noProof/>
        </w:rPr>
        <w:t xml:space="preserve"> Relevantni a</w:t>
      </w:r>
      <w:r w:rsidR="0018704B" w:rsidRPr="006A3485">
        <w:rPr>
          <w:rFonts w:ascii="Cambria" w:hAnsi="Cambria"/>
          <w:noProof/>
        </w:rPr>
        <w:t xml:space="preserve">neksi </w:t>
      </w:r>
      <w:r w:rsidR="0018704B">
        <w:rPr>
          <w:rFonts w:ascii="Cambria" w:hAnsi="Cambria"/>
          <w:noProof/>
        </w:rPr>
        <w:t>EU propisa</w:t>
      </w:r>
      <w:r w:rsidR="0018704B" w:rsidRPr="006A3485">
        <w:rPr>
          <w:rFonts w:ascii="Cambria" w:hAnsi="Cambria"/>
          <w:noProof/>
        </w:rPr>
        <w:t xml:space="preserve"> preuzeti su kroz pozakonske propise</w:t>
      </w:r>
      <w:r w:rsidR="0018704B">
        <w:rPr>
          <w:rFonts w:ascii="Cambria" w:hAnsi="Cambria"/>
          <w:noProof/>
        </w:rPr>
        <w:t xml:space="preserve"> i o</w:t>
      </w:r>
      <w:r w:rsidR="0018704B" w:rsidRPr="0018704B">
        <w:rPr>
          <w:rFonts w:ascii="Cambria" w:hAnsi="Cambria"/>
          <w:noProof/>
        </w:rPr>
        <w:t>tpoče</w:t>
      </w:r>
      <w:r w:rsidR="0018704B">
        <w:rPr>
          <w:rFonts w:ascii="Cambria" w:hAnsi="Cambria"/>
          <w:noProof/>
        </w:rPr>
        <w:t>lo</w:t>
      </w:r>
      <w:r w:rsidR="0018704B" w:rsidRPr="0018704B">
        <w:rPr>
          <w:rFonts w:ascii="Cambria" w:hAnsi="Cambria"/>
          <w:noProof/>
        </w:rPr>
        <w:t xml:space="preserve"> sa procesom registracije po principu priznavanja registracije koja je odrađena u </w:t>
      </w:r>
      <w:r w:rsidR="0018704B">
        <w:rPr>
          <w:rFonts w:ascii="Cambria" w:hAnsi="Cambria"/>
          <w:noProof/>
        </w:rPr>
        <w:t>nekoj od</w:t>
      </w:r>
      <w:r w:rsidR="0018704B" w:rsidRPr="0018704B">
        <w:rPr>
          <w:rFonts w:ascii="Cambria" w:hAnsi="Cambria"/>
          <w:noProof/>
        </w:rPr>
        <w:t xml:space="preserve"> zemlj</w:t>
      </w:r>
      <w:r w:rsidR="0018704B">
        <w:rPr>
          <w:rFonts w:ascii="Cambria" w:hAnsi="Cambria"/>
          <w:noProof/>
        </w:rPr>
        <w:t>alja</w:t>
      </w:r>
      <w:r w:rsidR="0018704B" w:rsidRPr="0018704B">
        <w:rPr>
          <w:rFonts w:ascii="Cambria" w:hAnsi="Cambria"/>
          <w:noProof/>
        </w:rPr>
        <w:t xml:space="preserve"> Evropske unije</w:t>
      </w:r>
      <w:r w:rsidR="0018704B">
        <w:rPr>
          <w:rFonts w:ascii="Cambria" w:hAnsi="Cambria"/>
          <w:noProof/>
        </w:rPr>
        <w:t xml:space="preserve"> u skladu sa jedinstvenim načelima utvrđenim PPPR.</w:t>
      </w:r>
      <w:r w:rsidR="0018704B" w:rsidRPr="0018704B">
        <w:rPr>
          <w:rFonts w:ascii="Cambria" w:hAnsi="Cambria"/>
          <w:noProof/>
        </w:rPr>
        <w:t xml:space="preserve"> </w:t>
      </w:r>
      <w:r w:rsidR="0018704B">
        <w:rPr>
          <w:rFonts w:ascii="Cambria" w:hAnsi="Cambria"/>
          <w:noProof/>
        </w:rPr>
        <w:t xml:space="preserve">Puno je uradjeno i na implementaciji principa održive upotrebe pesticida kako donošenjem relevantnih podzakonskih akata, tako i kroz distribuiranje </w:t>
      </w:r>
      <w:r w:rsidR="007A2C18">
        <w:rPr>
          <w:rFonts w:ascii="Cambria" w:hAnsi="Cambria"/>
          <w:noProof/>
        </w:rPr>
        <w:t>brošura i drugih informacionih  materijala  sa uputstavima o bezbjednoj upotrebi pesticida i mjerama zaštite.</w:t>
      </w:r>
      <w:r w:rsidR="00D8294C" w:rsidRPr="00D8294C">
        <w:rPr>
          <w:noProof/>
        </w:rPr>
        <w:t xml:space="preserve"> </w:t>
      </w:r>
      <w:r w:rsidR="00D8294C" w:rsidRPr="00D8294C">
        <w:rPr>
          <w:rFonts w:ascii="Cambria" w:hAnsi="Cambria"/>
          <w:noProof/>
        </w:rPr>
        <w:t>Takođe</w:t>
      </w:r>
      <w:r w:rsidR="00D8294C">
        <w:rPr>
          <w:noProof/>
        </w:rPr>
        <w:t xml:space="preserve">, </w:t>
      </w:r>
      <w:r w:rsidR="00D8294C" w:rsidRPr="00D8294C">
        <w:rPr>
          <w:rFonts w:ascii="Cambria" w:hAnsi="Cambria"/>
          <w:noProof/>
        </w:rPr>
        <w:t xml:space="preserve">donesen je i Nacionalni plan za održivu upotrebu sredstava za zaštitu bilja </w:t>
      </w:r>
      <w:r w:rsidR="00D8294C">
        <w:rPr>
          <w:rFonts w:ascii="Cambria" w:hAnsi="Cambria"/>
          <w:noProof/>
        </w:rPr>
        <w:t xml:space="preserve">kojim se </w:t>
      </w:r>
      <w:r w:rsidR="00D8294C" w:rsidRPr="00D8294C">
        <w:rPr>
          <w:rFonts w:ascii="Cambria" w:hAnsi="Cambria"/>
          <w:noProof/>
        </w:rPr>
        <w:t>utvrđuju ciljevi, mjere, indikatori, rokovi i aktivnosti za smanjenje rizika i negativnih efekata sredstava za zaštitu bilja na zdravlje ljudi i na životnu sredinu</w:t>
      </w:r>
      <w:r w:rsidR="00D8294C">
        <w:rPr>
          <w:rFonts w:ascii="Cambria" w:hAnsi="Cambria"/>
          <w:noProof/>
        </w:rPr>
        <w:t>.</w:t>
      </w:r>
      <w:r w:rsidR="00696D29">
        <w:rPr>
          <w:rFonts w:ascii="Cambria" w:hAnsi="Cambria"/>
          <w:noProof/>
        </w:rPr>
        <w:t xml:space="preserve"> Pored toga</w:t>
      </w:r>
      <w:r w:rsidR="00581A04">
        <w:rPr>
          <w:rFonts w:ascii="Cambria" w:hAnsi="Cambria"/>
          <w:noProof/>
        </w:rPr>
        <w:t xml:space="preserve">, </w:t>
      </w:r>
      <w:r w:rsidR="00696D29">
        <w:rPr>
          <w:rFonts w:ascii="Cambria" w:hAnsi="Cambria"/>
          <w:noProof/>
        </w:rPr>
        <w:t xml:space="preserve"> i oblast sredstava za ishranu bilja je uređena u skladu sa </w:t>
      </w:r>
      <w:r w:rsidR="00581A04">
        <w:rPr>
          <w:rFonts w:ascii="Cambria" w:hAnsi="Cambria"/>
          <w:noProof/>
        </w:rPr>
        <w:t xml:space="preserve">relevantnim </w:t>
      </w:r>
      <w:r w:rsidR="00696D29">
        <w:rPr>
          <w:rFonts w:ascii="Cambria" w:hAnsi="Cambria"/>
          <w:noProof/>
        </w:rPr>
        <w:t xml:space="preserve">EU propisima </w:t>
      </w:r>
      <w:r w:rsidR="00581A04">
        <w:rPr>
          <w:rFonts w:ascii="Cambria" w:hAnsi="Cambria"/>
          <w:noProof/>
        </w:rPr>
        <w:t>(</w:t>
      </w:r>
      <w:r w:rsidR="00581A04" w:rsidRPr="00581A04">
        <w:rPr>
          <w:rFonts w:ascii="Cambria" w:hAnsi="Cambria"/>
          <w:b/>
          <w:noProof/>
        </w:rPr>
        <w:t>Uredba (EC) br. 2003/2003</w:t>
      </w:r>
      <w:r w:rsidR="00581A04">
        <w:rPr>
          <w:rFonts w:ascii="Cambria" w:hAnsi="Cambria"/>
          <w:noProof/>
        </w:rPr>
        <w:t xml:space="preserve"> o đubrivima, kao i </w:t>
      </w:r>
      <w:r w:rsidR="00581A04" w:rsidRPr="00581A04">
        <w:rPr>
          <w:rFonts w:ascii="Cambria" w:hAnsi="Cambria"/>
          <w:noProof/>
        </w:rPr>
        <w:t xml:space="preserve"> </w:t>
      </w:r>
      <w:r w:rsidR="00581A04" w:rsidRPr="00581A04">
        <w:rPr>
          <w:rFonts w:ascii="Cambria" w:hAnsi="Cambria"/>
          <w:b/>
          <w:noProof/>
        </w:rPr>
        <w:t>Direktiva 91/676/EEC</w:t>
      </w:r>
      <w:r w:rsidR="00581A04" w:rsidRPr="00581A04">
        <w:rPr>
          <w:noProof/>
        </w:rPr>
        <w:t xml:space="preserve"> </w:t>
      </w:r>
      <w:bookmarkEnd w:id="67"/>
      <w:bookmarkEnd w:id="68"/>
      <w:r w:rsidR="00581A04" w:rsidRPr="00581A04">
        <w:rPr>
          <w:rFonts w:ascii="Cambria" w:hAnsi="Cambria"/>
          <w:noProof/>
        </w:rPr>
        <w:t>u vezi sa zaštitom voda od zagađenja uzrokovanih nitratima iz poljoprivrednih izvora</w:t>
      </w:r>
      <w:r w:rsidR="00581A04">
        <w:rPr>
          <w:rFonts w:ascii="Cambria" w:hAnsi="Cambria"/>
          <w:noProof/>
        </w:rPr>
        <w:t>)</w:t>
      </w:r>
      <w:r w:rsidR="008415C4">
        <w:rPr>
          <w:rFonts w:ascii="Cambria" w:hAnsi="Cambria"/>
          <w:noProof/>
        </w:rPr>
        <w:t xml:space="preserve"> donosenjem Zakona o sredstvima za ishranu bilja i podzakonskih propisa</w:t>
      </w:r>
      <w:r w:rsidR="00581A04">
        <w:rPr>
          <w:rFonts w:ascii="Cambria" w:hAnsi="Cambria"/>
          <w:noProof/>
        </w:rPr>
        <w:t>. Ipak treba imati u vidu da se uskoro o</w:t>
      </w:r>
      <w:r w:rsidR="002A2D07">
        <w:rPr>
          <w:rFonts w:ascii="Cambria" w:hAnsi="Cambria"/>
          <w:noProof/>
        </w:rPr>
        <w:t>č</w:t>
      </w:r>
      <w:r w:rsidR="00581A04">
        <w:rPr>
          <w:rFonts w:ascii="Cambria" w:hAnsi="Cambria"/>
          <w:noProof/>
        </w:rPr>
        <w:t xml:space="preserve">ekuje usvajanje  amandmana na EU propise o đubrivima, kojima će se </w:t>
      </w:r>
      <w:r w:rsidR="002A2D07">
        <w:rPr>
          <w:rFonts w:ascii="Cambria" w:hAnsi="Cambria"/>
          <w:noProof/>
        </w:rPr>
        <w:t xml:space="preserve">obuhvatiti i </w:t>
      </w:r>
      <w:r w:rsidR="002A2D07" w:rsidRPr="002A2D07">
        <w:rPr>
          <w:rFonts w:ascii="Cambria" w:hAnsi="Cambria"/>
          <w:noProof/>
        </w:rPr>
        <w:t xml:space="preserve">organska đubriva za koja se smatra da imaju značajan potencijal za ublažavanje emisije gasova staklene </w:t>
      </w:r>
      <w:r w:rsidR="002A2D07">
        <w:rPr>
          <w:rFonts w:ascii="Cambria" w:hAnsi="Cambria"/>
          <w:noProof/>
        </w:rPr>
        <w:t>baste, te da će u narednom biti potrebe za daljim usaglašavanjem u ovoj oblasti.</w:t>
      </w:r>
    </w:p>
    <w:p w14:paraId="74C4C861" w14:textId="08533C3A" w:rsidR="00A17FD9" w:rsidRPr="00AB15C7" w:rsidRDefault="00DE50A7" w:rsidP="005921EF">
      <w:pPr>
        <w:pStyle w:val="Heading2"/>
        <w:rPr>
          <w:noProof/>
          <w:sz w:val="22"/>
          <w:szCs w:val="22"/>
          <w:lang w:val="en-US"/>
        </w:rPr>
      </w:pPr>
      <w:bookmarkStart w:id="73" w:name="_Toc527353201"/>
      <w:r w:rsidRPr="00AB15C7">
        <w:rPr>
          <w:noProof/>
          <w:sz w:val="22"/>
          <w:szCs w:val="22"/>
          <w:lang w:val="en-US"/>
        </w:rPr>
        <w:t>2.</w:t>
      </w:r>
      <w:r w:rsidR="00A30B4A" w:rsidRPr="00AB15C7">
        <w:rPr>
          <w:noProof/>
          <w:sz w:val="22"/>
          <w:szCs w:val="22"/>
          <w:lang w:val="en-US"/>
        </w:rPr>
        <w:t>3.</w:t>
      </w:r>
      <w:r w:rsidR="00AB15C7" w:rsidRPr="00AB15C7">
        <w:rPr>
          <w:noProof/>
          <w:sz w:val="22"/>
          <w:szCs w:val="22"/>
          <w:lang w:val="en-US"/>
        </w:rPr>
        <w:t>4</w:t>
      </w:r>
      <w:r w:rsidR="00A17FD9" w:rsidRPr="00AB15C7">
        <w:rPr>
          <w:noProof/>
          <w:sz w:val="22"/>
          <w:szCs w:val="22"/>
          <w:lang w:val="en-US"/>
        </w:rPr>
        <w:t xml:space="preserve">. </w:t>
      </w:r>
      <w:r w:rsidR="00416F0E">
        <w:rPr>
          <w:noProof/>
          <w:sz w:val="22"/>
          <w:szCs w:val="22"/>
          <w:lang w:val="en-US"/>
        </w:rPr>
        <w:t>M</w:t>
      </w:r>
      <w:r w:rsidR="005A66BE" w:rsidRPr="00AB15C7">
        <w:rPr>
          <w:noProof/>
          <w:sz w:val="22"/>
          <w:szCs w:val="22"/>
          <w:lang w:val="en-US"/>
        </w:rPr>
        <w:t>ehanizmi</w:t>
      </w:r>
      <w:r w:rsidR="00453571" w:rsidRPr="00AB15C7">
        <w:rPr>
          <w:noProof/>
          <w:sz w:val="22"/>
          <w:szCs w:val="22"/>
          <w:lang w:val="en-US"/>
        </w:rPr>
        <w:t xml:space="preserve"> </w:t>
      </w:r>
      <w:r w:rsidR="00276CB4" w:rsidRPr="00276CB4">
        <w:rPr>
          <w:noProof/>
          <w:sz w:val="22"/>
          <w:szCs w:val="22"/>
          <w:lang w:val="en-US"/>
        </w:rPr>
        <w:t>za ostvar</w:t>
      </w:r>
      <w:r w:rsidR="00276CB4">
        <w:rPr>
          <w:noProof/>
          <w:sz w:val="22"/>
          <w:szCs w:val="22"/>
          <w:lang w:val="en-US"/>
        </w:rPr>
        <w:t>iva</w:t>
      </w:r>
      <w:r w:rsidR="00276CB4" w:rsidRPr="00276CB4">
        <w:rPr>
          <w:noProof/>
          <w:sz w:val="22"/>
          <w:szCs w:val="22"/>
          <w:lang w:val="en-US"/>
        </w:rPr>
        <w:t>nje predviđenih ciljeva</w:t>
      </w:r>
      <w:bookmarkEnd w:id="73"/>
      <w:r w:rsidR="00276CB4" w:rsidRPr="00276CB4" w:rsidDel="00530763">
        <w:rPr>
          <w:noProof/>
          <w:sz w:val="22"/>
          <w:szCs w:val="22"/>
          <w:lang w:val="pl-PL"/>
        </w:rPr>
        <w:t xml:space="preserve"> </w:t>
      </w:r>
    </w:p>
    <w:p w14:paraId="3932D7D2" w14:textId="2C035A91" w:rsidR="00530763" w:rsidRPr="00904931" w:rsidRDefault="008275DD" w:rsidP="00530763">
      <w:pPr>
        <w:spacing w:before="120" w:after="120"/>
        <w:jc w:val="both"/>
        <w:rPr>
          <w:noProof/>
        </w:rPr>
      </w:pPr>
      <w:r w:rsidRPr="00AB15C7">
        <w:rPr>
          <w:rFonts w:ascii="Cambria" w:hAnsi="Cambria" w:cs="Arial"/>
          <w:noProof/>
          <w:lang w:val="pl-PL"/>
        </w:rPr>
        <w:t xml:space="preserve">Jačanje </w:t>
      </w:r>
      <w:r w:rsidR="00A30B4A" w:rsidRPr="00AB15C7">
        <w:rPr>
          <w:rFonts w:ascii="Cambria" w:hAnsi="Cambria" w:cs="Arial"/>
          <w:noProof/>
          <w:lang w:val="pl-PL"/>
        </w:rPr>
        <w:t>administrativnih i institucionalnih kapaciteta Crne Gore od sustinškog je značaja za ostvarivanje implementacije relevantnih propisa i ostvarivanje strateških ciljeva.</w:t>
      </w:r>
      <w:r w:rsidR="000B0AA2" w:rsidRPr="00AB15C7">
        <w:rPr>
          <w:rFonts w:ascii="Cambria" w:eastAsia="SimSun" w:hAnsi="Cambria" w:cs="Calibri"/>
          <w:noProof/>
          <w:color w:val="000000"/>
        </w:rPr>
        <w:t xml:space="preserve"> </w:t>
      </w:r>
      <w:r w:rsidR="00530763">
        <w:rPr>
          <w:rFonts w:ascii="Cambria" w:hAnsi="Cambria"/>
          <w:noProof/>
          <w:lang w:val="sr-Latn-ME"/>
        </w:rPr>
        <w:t>Za dalju imlementaciju od ključne važnosti je jačanje kapaciteta, sa posebnim fokusom na regulatornu procjenu rizika od hemikalija i biocidnih proizvoda.</w:t>
      </w:r>
      <w:r w:rsidR="00530763" w:rsidRPr="000223F5">
        <w:rPr>
          <w:noProof/>
        </w:rPr>
        <w:t xml:space="preserve"> </w:t>
      </w:r>
    </w:p>
    <w:p w14:paraId="3C483004" w14:textId="13A38324" w:rsidR="000B0AA2" w:rsidRDefault="000B0AA2" w:rsidP="005921EF">
      <w:pPr>
        <w:autoSpaceDE w:val="0"/>
        <w:autoSpaceDN w:val="0"/>
        <w:adjustRightInd w:val="0"/>
        <w:spacing w:before="120" w:after="0"/>
        <w:jc w:val="both"/>
        <w:rPr>
          <w:rFonts w:ascii="Cambria" w:hAnsi="Cambria" w:cs="Arial"/>
          <w:noProof/>
        </w:rPr>
      </w:pPr>
      <w:r w:rsidRPr="00AB15C7">
        <w:rPr>
          <w:rFonts w:ascii="Cambria" w:hAnsi="Cambria" w:cs="Arial"/>
          <w:noProof/>
        </w:rPr>
        <w:t xml:space="preserve">Imajući u vidu postojeće kapacitete institucija Crne Gore nadležnih za razne aspekte </w:t>
      </w:r>
      <w:r w:rsidR="004870C6" w:rsidRPr="00AB15C7">
        <w:rPr>
          <w:rFonts w:ascii="Cambria" w:hAnsi="Cambria" w:cs="Arial"/>
          <w:noProof/>
        </w:rPr>
        <w:t>upravljanja hemikalijama</w:t>
      </w:r>
      <w:r w:rsidRPr="00AB15C7">
        <w:rPr>
          <w:rFonts w:ascii="Cambria" w:hAnsi="Cambria" w:cs="Arial"/>
          <w:noProof/>
        </w:rPr>
        <w:t>, Crnoj Gori će biti potrebna tehnička pomoći da bi mogla da sprovede sve planirane aktivnosti i u praksi ostvari strate</w:t>
      </w:r>
      <w:r w:rsidRPr="00AB15C7">
        <w:rPr>
          <w:rFonts w:ascii="Cambria" w:hAnsi="Cambria" w:cs="Arial"/>
          <w:noProof/>
          <w:lang w:val="sr-Latn-RS"/>
        </w:rPr>
        <w:t>š</w:t>
      </w:r>
      <w:r w:rsidRPr="00AB15C7">
        <w:rPr>
          <w:rFonts w:ascii="Cambria" w:hAnsi="Cambria" w:cs="Arial"/>
          <w:noProof/>
        </w:rPr>
        <w:t xml:space="preserve">ka opredjeljenja. Crna Gora </w:t>
      </w:r>
      <w:r w:rsidR="004870C6" w:rsidRPr="00AB15C7">
        <w:rPr>
          <w:rFonts w:ascii="Cambria" w:hAnsi="Cambria" w:cs="Arial"/>
          <w:noProof/>
        </w:rPr>
        <w:t>može</w:t>
      </w:r>
      <w:r w:rsidRPr="00AB15C7">
        <w:rPr>
          <w:rFonts w:ascii="Cambria" w:hAnsi="Cambria" w:cs="Arial"/>
          <w:noProof/>
        </w:rPr>
        <w:t xml:space="preserve"> preko instrumenata IPA, TAIEX, </w:t>
      </w:r>
      <w:r w:rsidRPr="00AB15C7">
        <w:rPr>
          <w:rFonts w:ascii="Cambria" w:hAnsi="Cambria" w:cs="Arial"/>
          <w:noProof/>
        </w:rPr>
        <w:lastRenderedPageBreak/>
        <w:t>Twinning instrument zaht</w:t>
      </w:r>
      <w:r w:rsidR="00FE6163">
        <w:rPr>
          <w:rFonts w:ascii="Cambria" w:hAnsi="Cambria" w:cs="Arial"/>
          <w:noProof/>
        </w:rPr>
        <w:t>i</w:t>
      </w:r>
      <w:r w:rsidRPr="00AB15C7">
        <w:rPr>
          <w:rFonts w:ascii="Cambria" w:hAnsi="Cambria" w:cs="Arial"/>
          <w:noProof/>
        </w:rPr>
        <w:t xml:space="preserve">jevati tehničku pomoć za implementaciju propisa kojima su transponovani zahtjevi EU u pravni sistem Crne Gore, i za obezbjeđivanje uslova za punu kontrolu i nadzor nad implementacijom. </w:t>
      </w:r>
    </w:p>
    <w:p w14:paraId="02EAA8AA" w14:textId="6D04AED5" w:rsidR="00530763" w:rsidRPr="00AB15C7" w:rsidRDefault="00530763" w:rsidP="005921EF">
      <w:pPr>
        <w:autoSpaceDE w:val="0"/>
        <w:autoSpaceDN w:val="0"/>
        <w:adjustRightInd w:val="0"/>
        <w:spacing w:before="120" w:after="0"/>
        <w:jc w:val="both"/>
        <w:rPr>
          <w:rFonts w:ascii="Cambria" w:hAnsi="Cambria" w:cs="Arial"/>
          <w:noProof/>
        </w:rPr>
      </w:pPr>
      <w:r>
        <w:rPr>
          <w:rFonts w:ascii="Cambria" w:hAnsi="Cambria" w:cs="Arial"/>
          <w:noProof/>
        </w:rPr>
        <w:t>S tim u vezi</w:t>
      </w:r>
      <w:r w:rsidRPr="00530763">
        <w:rPr>
          <w:rFonts w:ascii="Cambria" w:hAnsi="Cambria" w:cs="Arial"/>
          <w:noProof/>
        </w:rPr>
        <w:t>, započe</w:t>
      </w:r>
      <w:r>
        <w:rPr>
          <w:rFonts w:ascii="Cambria" w:hAnsi="Cambria" w:cs="Arial"/>
          <w:noProof/>
        </w:rPr>
        <w:t>t</w:t>
      </w:r>
      <w:r w:rsidRPr="00530763">
        <w:rPr>
          <w:rFonts w:ascii="Cambria" w:hAnsi="Cambria" w:cs="Arial"/>
          <w:noProof/>
        </w:rPr>
        <w:t xml:space="preserve"> je proces strategijskog planiranja finansijskih sredstava koja će Crnoj Gori biti dostupna kroz Instrument pretpristupne podrške za period </w:t>
      </w:r>
      <w:r>
        <w:rPr>
          <w:rFonts w:ascii="Cambria" w:hAnsi="Cambria" w:cs="Arial"/>
          <w:noProof/>
        </w:rPr>
        <w:t>20</w:t>
      </w:r>
      <w:r w:rsidRPr="00530763">
        <w:rPr>
          <w:rFonts w:ascii="Cambria" w:hAnsi="Cambria" w:cs="Arial"/>
          <w:noProof/>
        </w:rPr>
        <w:t>14-2020 (IPA II). Ključni dokument koji definiše prioritete na nacionalnom nivou za podršku iz sredstava IPA II jeste Indikativni strategijski dokument Crne Gore za IPA 2014-2020 – ISDCG (Indicative Strategy Paper for Montenegro 2014-2020). Ovim dokumentom se definišu konkretni oblici podrške koja je potrebna za ostvarenje predviđenih ciljeva u odabranim sektorima, pri čemu planirana podrška mora biti utemeljena na prioritetima definisanim u nacionalnim strategijskim dokumentima, strategijskim dokumentima EU i odnositi se na oblasti u kojima su potrebna značajnija unapređenja za pripremu zemlje za članstvo u EU. U oblasti zaštite žvotne sredine podrška IPA II će se posebno fokusirati na transpoziciju i implementaciju propisa koji se odnose na upravljanje vodama. Pored toga, akcije IPA II mogu takođe pomoći Crna Gora u pripremi svoje mreže NATURA 2000 i usklađivanja sa standardima EU u oblasti industrijskog zagađenja, kvaliteta vazduha, hemikalija ili buke, kao i nuklearne sigurnosti i zaštite od zračenja. Neophodno je jačati kapacitete za praćenje i prikupljanje podataka, kao i osigurati pravilno sprovođenje procjene uticaja na životnu sredinu i strateško zakonodavstvo o životnoj sredini, uključujući efikasno i transparentno učešće javnosti.</w:t>
      </w:r>
    </w:p>
    <w:p w14:paraId="3866F02E" w14:textId="77777777" w:rsidR="000B0AA2" w:rsidRPr="00AB15C7" w:rsidRDefault="000B0AA2" w:rsidP="005921EF">
      <w:pPr>
        <w:autoSpaceDE w:val="0"/>
        <w:autoSpaceDN w:val="0"/>
        <w:adjustRightInd w:val="0"/>
        <w:spacing w:before="120" w:after="0"/>
        <w:jc w:val="both"/>
        <w:rPr>
          <w:rFonts w:ascii="Cambria" w:hAnsi="Cambria" w:cs="Arial"/>
          <w:noProof/>
        </w:rPr>
      </w:pPr>
      <w:r w:rsidRPr="00AB15C7">
        <w:rPr>
          <w:rFonts w:ascii="Cambria" w:hAnsi="Cambria" w:cs="Arial"/>
          <w:noProof/>
        </w:rPr>
        <w:t>U podsektoru hemikalij</w:t>
      </w:r>
      <w:r w:rsidR="004870C6" w:rsidRPr="00AB15C7">
        <w:rPr>
          <w:rFonts w:ascii="Cambria" w:hAnsi="Cambria" w:cs="Arial"/>
          <w:noProof/>
        </w:rPr>
        <w:t>a</w:t>
      </w:r>
      <w:r w:rsidRPr="00AB15C7">
        <w:rPr>
          <w:rFonts w:ascii="Cambria" w:hAnsi="Cambria" w:cs="Arial"/>
          <w:noProof/>
        </w:rPr>
        <w:t xml:space="preserve"> ta vrsta podrške može biti obezbijeđena u okviru programskih aktivnosti Evropske agencije za hemikalije (ECHA). Takođe, neophodna pomoć za ove aktivnosti može biti obezbijeđena kroz bilateralnu saradnju sa pojedinim zemljama članicama EU (</w:t>
      </w:r>
      <w:r w:rsidRPr="00AB15C7">
        <w:rPr>
          <w:rFonts w:ascii="Cambria" w:hAnsi="Cambria" w:cs="Arial"/>
          <w:i/>
          <w:iCs/>
          <w:noProof/>
        </w:rPr>
        <w:t xml:space="preserve">twinning </w:t>
      </w:r>
      <w:r w:rsidRPr="00AB15C7">
        <w:rPr>
          <w:rFonts w:ascii="Cambria" w:hAnsi="Cambria" w:cs="Arial"/>
          <w:noProof/>
        </w:rPr>
        <w:t xml:space="preserve">projekti, npr). </w:t>
      </w:r>
    </w:p>
    <w:p w14:paraId="03B55C5D" w14:textId="77777777" w:rsidR="00CF380F" w:rsidRPr="00AB15C7" w:rsidRDefault="001053BD" w:rsidP="005921EF">
      <w:pPr>
        <w:autoSpaceDE w:val="0"/>
        <w:autoSpaceDN w:val="0"/>
        <w:adjustRightInd w:val="0"/>
        <w:spacing w:before="120" w:after="0"/>
        <w:jc w:val="both"/>
        <w:rPr>
          <w:rFonts w:ascii="Cambria" w:hAnsi="Cambria"/>
          <w:b/>
          <w:noProof/>
          <w:color w:val="000000"/>
          <w:lang w:val="sr-Latn-ME"/>
        </w:rPr>
      </w:pPr>
      <w:r w:rsidRPr="00AB15C7">
        <w:rPr>
          <w:rFonts w:ascii="Cambria" w:hAnsi="Cambria" w:cs="Arial"/>
          <w:noProof/>
        </w:rPr>
        <w:t>Pored navedene tehničke podrške iz IPA fondova koji se odnose na jačanje kapaciteta, Crna Gora je, uz pomoć  drugih međunarodnih finansijskih institucija pokrenula sledeće projekte za r</w:t>
      </w:r>
      <w:r w:rsidR="003B727E" w:rsidRPr="00AB15C7">
        <w:rPr>
          <w:rFonts w:ascii="Cambria" w:hAnsi="Cambria" w:cs="Arial"/>
          <w:noProof/>
        </w:rPr>
        <w:t>j</w:t>
      </w:r>
      <w:r w:rsidRPr="00AB15C7">
        <w:rPr>
          <w:rFonts w:ascii="Cambria" w:hAnsi="Cambria" w:cs="Arial"/>
          <w:noProof/>
        </w:rPr>
        <w:t xml:space="preserve">ešavanje drugih pitanja od </w:t>
      </w:r>
      <w:r w:rsidR="00514952" w:rsidRPr="00AB15C7">
        <w:rPr>
          <w:rFonts w:ascii="Cambria" w:hAnsi="Cambria" w:cs="Arial"/>
          <w:noProof/>
        </w:rPr>
        <w:t>z</w:t>
      </w:r>
      <w:r w:rsidRPr="00AB15C7">
        <w:rPr>
          <w:rFonts w:ascii="Cambria" w:hAnsi="Cambria" w:cs="Arial"/>
          <w:noProof/>
        </w:rPr>
        <w:t>na</w:t>
      </w:r>
      <w:r w:rsidR="00514952" w:rsidRPr="00AB15C7">
        <w:rPr>
          <w:rFonts w:ascii="Cambria" w:hAnsi="Cambria" w:cs="Arial"/>
          <w:noProof/>
        </w:rPr>
        <w:t>č</w:t>
      </w:r>
      <w:r w:rsidRPr="00AB15C7">
        <w:rPr>
          <w:rFonts w:ascii="Cambria" w:hAnsi="Cambria" w:cs="Arial"/>
          <w:noProof/>
        </w:rPr>
        <w:t>aja za upravljanje hemikalijama:</w:t>
      </w:r>
    </w:p>
    <w:p w14:paraId="5FA51D6C" w14:textId="77777777" w:rsidR="008275DD" w:rsidRPr="00AB15C7" w:rsidRDefault="008275DD" w:rsidP="00557C13">
      <w:pPr>
        <w:numPr>
          <w:ilvl w:val="0"/>
          <w:numId w:val="10"/>
        </w:numPr>
        <w:autoSpaceDE w:val="0"/>
        <w:autoSpaceDN w:val="0"/>
        <w:adjustRightInd w:val="0"/>
        <w:spacing w:after="0"/>
        <w:ind w:left="763"/>
        <w:jc w:val="both"/>
        <w:rPr>
          <w:rFonts w:ascii="Cambria" w:hAnsi="Cambria" w:cs="Arial"/>
          <w:noProof/>
        </w:rPr>
      </w:pPr>
      <w:r w:rsidRPr="00AB15C7">
        <w:rPr>
          <w:rFonts w:ascii="Cambria" w:hAnsi="Cambria" w:cs="Arial"/>
          <w:noProof/>
        </w:rPr>
        <w:t xml:space="preserve">Projekat </w:t>
      </w:r>
      <w:r w:rsidRPr="00AB15C7">
        <w:rPr>
          <w:rFonts w:ascii="Cambria" w:hAnsi="Cambria" w:cs="Arial"/>
          <w:b/>
          <w:noProof/>
        </w:rPr>
        <w:t>„Sveobuhvatno ekološki prihvatljivo upravljanje PCB otpadom u Crnoj Gori“</w:t>
      </w:r>
      <w:r w:rsidR="00514952" w:rsidRPr="00AB15C7">
        <w:rPr>
          <w:rFonts w:ascii="Cambria" w:hAnsi="Cambria" w:cs="Arial"/>
          <w:b/>
          <w:noProof/>
        </w:rPr>
        <w:t xml:space="preserve">  </w:t>
      </w:r>
      <w:r w:rsidR="00514952" w:rsidRPr="00AB15C7">
        <w:rPr>
          <w:rFonts w:ascii="Cambria" w:hAnsi="Cambria" w:cs="Arial"/>
          <w:noProof/>
        </w:rPr>
        <w:t xml:space="preserve">koji </w:t>
      </w:r>
      <w:r w:rsidR="001053BD" w:rsidRPr="00AB15C7">
        <w:rPr>
          <w:rFonts w:ascii="Cambria" w:hAnsi="Cambria" w:cs="Arial"/>
          <w:noProof/>
        </w:rPr>
        <w:t>ima za cilj da riješi problem PCB otpada u Crnoj Gori, u skladu sa rokovima datim u nacionalnom zakonodavstvu, kao i u Stokholmskoj konvenciji.</w:t>
      </w:r>
    </w:p>
    <w:p w14:paraId="5C669691" w14:textId="77777777" w:rsidR="008275DD" w:rsidRPr="00AB15C7" w:rsidRDefault="008275DD" w:rsidP="00557C13">
      <w:pPr>
        <w:numPr>
          <w:ilvl w:val="0"/>
          <w:numId w:val="10"/>
        </w:numPr>
        <w:autoSpaceDE w:val="0"/>
        <w:autoSpaceDN w:val="0"/>
        <w:adjustRightInd w:val="0"/>
        <w:spacing w:after="0"/>
        <w:ind w:left="763"/>
        <w:jc w:val="both"/>
        <w:rPr>
          <w:rFonts w:ascii="Cambria" w:hAnsi="Cambria" w:cs="Arial"/>
          <w:noProof/>
        </w:rPr>
      </w:pPr>
      <w:r w:rsidRPr="00AB15C7">
        <w:rPr>
          <w:rFonts w:ascii="Cambria" w:hAnsi="Cambria" w:cs="Arial"/>
          <w:noProof/>
        </w:rPr>
        <w:t>Projekat „</w:t>
      </w:r>
      <w:r w:rsidRPr="00AB15C7">
        <w:rPr>
          <w:rFonts w:ascii="Cambria" w:hAnsi="Cambria" w:cs="Arial"/>
          <w:b/>
          <w:noProof/>
        </w:rPr>
        <w:t>Pripreme za ratifikovanje i implementaciju Minamata Konvencije o živi-inicijalna procjena za Crnu Goru</w:t>
      </w:r>
      <w:r w:rsidRPr="00AB15C7">
        <w:rPr>
          <w:rFonts w:ascii="Cambria" w:hAnsi="Cambria" w:cs="Arial"/>
          <w:noProof/>
        </w:rPr>
        <w:t>”</w:t>
      </w:r>
      <w:r w:rsidR="001053BD" w:rsidRPr="00AB15C7">
        <w:rPr>
          <w:rFonts w:ascii="Cambria" w:hAnsi="Cambria" w:cs="Arial"/>
          <w:noProof/>
        </w:rPr>
        <w:t xml:space="preserve"> sa ciljem da se izvrši inicijalna procjena o količini žive radi stvaranja preduslova za ratifikaciju Minamata konvencije o živi. Takođe, projektom će se uspostaviti temelji za implementaciju navedene Konvencije</w:t>
      </w:r>
    </w:p>
    <w:p w14:paraId="66AB2CD0" w14:textId="77777777" w:rsidR="008275DD" w:rsidRPr="00AB15C7" w:rsidRDefault="008275DD" w:rsidP="00557C13">
      <w:pPr>
        <w:numPr>
          <w:ilvl w:val="0"/>
          <w:numId w:val="10"/>
        </w:numPr>
        <w:autoSpaceDE w:val="0"/>
        <w:autoSpaceDN w:val="0"/>
        <w:adjustRightInd w:val="0"/>
        <w:spacing w:after="0"/>
        <w:ind w:left="763"/>
        <w:jc w:val="both"/>
        <w:rPr>
          <w:rFonts w:ascii="Cambria" w:hAnsi="Cambria" w:cs="Arial"/>
          <w:noProof/>
        </w:rPr>
      </w:pPr>
      <w:r w:rsidRPr="00AB15C7">
        <w:rPr>
          <w:rFonts w:ascii="Cambria" w:hAnsi="Cambria" w:cs="Arial"/>
          <w:noProof/>
        </w:rPr>
        <w:t xml:space="preserve">Projekat </w:t>
      </w:r>
      <w:r w:rsidRPr="00AB15C7">
        <w:rPr>
          <w:rFonts w:ascii="Cambria" w:hAnsi="Cambria" w:cs="Arial"/>
          <w:b/>
          <w:noProof/>
        </w:rPr>
        <w:t>“Revizija Nacionalnog plana implementacije Stokholmske konvencije o dugotrajnim organskim supstancama”</w:t>
      </w:r>
      <w:r w:rsidR="00514952" w:rsidRPr="00AB15C7">
        <w:rPr>
          <w:rFonts w:ascii="Cambria" w:hAnsi="Cambria" w:cs="Arial"/>
          <w:noProof/>
        </w:rPr>
        <w:t xml:space="preserve"> sa ciljem ažuriranje inventara za stare POPs (inicijalnih 12), izradu inventara novih POPs-ova (9 </w:t>
      </w:r>
      <w:r w:rsidR="003B727E" w:rsidRPr="00AB15C7">
        <w:rPr>
          <w:rFonts w:ascii="Cambria" w:hAnsi="Cambria" w:cs="Arial"/>
          <w:noProof/>
        </w:rPr>
        <w:t xml:space="preserve">novih </w:t>
      </w:r>
      <w:r w:rsidR="00514952" w:rsidRPr="00AB15C7">
        <w:rPr>
          <w:rFonts w:ascii="Cambria" w:hAnsi="Cambria" w:cs="Arial"/>
          <w:noProof/>
        </w:rPr>
        <w:t>POP-sova dodat</w:t>
      </w:r>
      <w:r w:rsidR="003B727E" w:rsidRPr="00AB15C7">
        <w:rPr>
          <w:rFonts w:ascii="Cambria" w:hAnsi="Cambria" w:cs="Arial"/>
          <w:noProof/>
        </w:rPr>
        <w:t>ih</w:t>
      </w:r>
      <w:r w:rsidR="00514952" w:rsidRPr="00AB15C7">
        <w:rPr>
          <w:rFonts w:ascii="Cambria" w:hAnsi="Cambria" w:cs="Arial"/>
          <w:noProof/>
        </w:rPr>
        <w:t xml:space="preserve"> 2009. godine, 1 POPs </w:t>
      </w:r>
      <w:r w:rsidR="003B727E" w:rsidRPr="00AB15C7">
        <w:rPr>
          <w:rFonts w:ascii="Cambria" w:hAnsi="Cambria" w:cs="Arial"/>
          <w:noProof/>
        </w:rPr>
        <w:t xml:space="preserve">dodat </w:t>
      </w:r>
      <w:r w:rsidR="00514952" w:rsidRPr="00AB15C7">
        <w:rPr>
          <w:rFonts w:ascii="Cambria" w:hAnsi="Cambria" w:cs="Arial"/>
          <w:noProof/>
        </w:rPr>
        <w:t xml:space="preserve">2011. godine, 1 POPs </w:t>
      </w:r>
      <w:r w:rsidR="003B727E" w:rsidRPr="00AB15C7">
        <w:rPr>
          <w:rFonts w:ascii="Cambria" w:hAnsi="Cambria" w:cs="Arial"/>
          <w:noProof/>
        </w:rPr>
        <w:t xml:space="preserve">dodat </w:t>
      </w:r>
      <w:r w:rsidR="00514952" w:rsidRPr="00AB15C7">
        <w:rPr>
          <w:rFonts w:ascii="Cambria" w:hAnsi="Cambria" w:cs="Arial"/>
          <w:noProof/>
        </w:rPr>
        <w:t>2013. godine i 3 POP</w:t>
      </w:r>
      <w:r w:rsidR="003B727E" w:rsidRPr="00AB15C7">
        <w:rPr>
          <w:rFonts w:ascii="Cambria" w:hAnsi="Cambria" w:cs="Arial"/>
          <w:noProof/>
        </w:rPr>
        <w:t>-</w:t>
      </w:r>
      <w:r w:rsidR="00514952" w:rsidRPr="00AB15C7">
        <w:rPr>
          <w:rFonts w:ascii="Cambria" w:hAnsi="Cambria" w:cs="Arial"/>
          <w:noProof/>
        </w:rPr>
        <w:t>s</w:t>
      </w:r>
      <w:r w:rsidR="003B727E" w:rsidRPr="00AB15C7">
        <w:rPr>
          <w:rFonts w:ascii="Cambria" w:hAnsi="Cambria" w:cs="Arial"/>
          <w:noProof/>
        </w:rPr>
        <w:t>a dodata</w:t>
      </w:r>
      <w:r w:rsidR="00514952" w:rsidRPr="00AB15C7">
        <w:rPr>
          <w:rFonts w:ascii="Cambria" w:hAnsi="Cambria" w:cs="Arial"/>
          <w:noProof/>
        </w:rPr>
        <w:t xml:space="preserve"> 2015. godine), kao i procjenu nacionalne infrastrukture i kapaciteta i izradu ažuriranog NIP-a.</w:t>
      </w:r>
    </w:p>
    <w:p w14:paraId="55D8BA23" w14:textId="77777777" w:rsidR="008705D2" w:rsidRPr="00AB15C7" w:rsidRDefault="003B727E" w:rsidP="005921EF">
      <w:pPr>
        <w:autoSpaceDE w:val="0"/>
        <w:autoSpaceDN w:val="0"/>
        <w:adjustRightInd w:val="0"/>
        <w:spacing w:before="120" w:after="0"/>
        <w:jc w:val="both"/>
        <w:rPr>
          <w:rFonts w:ascii="Cambria" w:hAnsi="Cambria" w:cs="Arial"/>
          <w:noProof/>
        </w:rPr>
      </w:pPr>
      <w:r w:rsidRPr="00AB15C7">
        <w:rPr>
          <w:rFonts w:ascii="Cambria" w:hAnsi="Cambria" w:cs="Arial"/>
          <w:noProof/>
        </w:rPr>
        <w:t xml:space="preserve">Prva dva projekta se sprovode u saradnji sa UNDP, a  treći u </w:t>
      </w:r>
      <w:r w:rsidR="00514952" w:rsidRPr="00AB15C7">
        <w:rPr>
          <w:rFonts w:ascii="Cambria" w:hAnsi="Cambria" w:cs="Arial"/>
          <w:noProof/>
        </w:rPr>
        <w:t xml:space="preserve"> saradnji sa </w:t>
      </w:r>
      <w:r w:rsidR="008275DD" w:rsidRPr="00AB15C7">
        <w:rPr>
          <w:rFonts w:ascii="Cambria" w:hAnsi="Cambria" w:cs="Arial"/>
          <w:noProof/>
        </w:rPr>
        <w:t xml:space="preserve"> </w:t>
      </w:r>
      <w:r w:rsidR="00514952" w:rsidRPr="00AB15C7">
        <w:rPr>
          <w:rFonts w:ascii="Cambria" w:hAnsi="Cambria" w:cs="Arial"/>
          <w:noProof/>
        </w:rPr>
        <w:t xml:space="preserve">UNEP (Program Ujedinjenih naciija za zaštitu životne sredine) uz finansijku podršku </w:t>
      </w:r>
      <w:r w:rsidR="008275DD" w:rsidRPr="00AB15C7">
        <w:rPr>
          <w:rFonts w:ascii="Cambria" w:hAnsi="Cambria" w:cs="Arial"/>
          <w:noProof/>
        </w:rPr>
        <w:t>GEF</w:t>
      </w:r>
      <w:r w:rsidR="00514952" w:rsidRPr="00AB15C7">
        <w:rPr>
          <w:rFonts w:ascii="Cambria" w:hAnsi="Cambria" w:cs="Arial"/>
          <w:noProof/>
        </w:rPr>
        <w:t xml:space="preserve"> (</w:t>
      </w:r>
      <w:r w:rsidR="008275DD" w:rsidRPr="00AB15C7">
        <w:rPr>
          <w:rFonts w:ascii="Cambria" w:hAnsi="Cambria" w:cs="Arial"/>
          <w:noProof/>
        </w:rPr>
        <w:t>Globalni fond za životnu sredinu</w:t>
      </w:r>
      <w:r w:rsidR="00514952" w:rsidRPr="00AB15C7">
        <w:rPr>
          <w:rFonts w:ascii="Cambria" w:hAnsi="Cambria" w:cs="Arial"/>
          <w:noProof/>
        </w:rPr>
        <w:t>). Završetak projekta koji se odnosi na PCB je planiran za 2022. godinu, dok su preostala dva projekta u završnoj</w:t>
      </w:r>
      <w:r w:rsidRPr="00AB15C7">
        <w:rPr>
          <w:rFonts w:ascii="Cambria" w:hAnsi="Cambria" w:cs="Arial"/>
          <w:noProof/>
        </w:rPr>
        <w:t xml:space="preserve"> </w:t>
      </w:r>
      <w:r w:rsidR="009D6E0E">
        <w:rPr>
          <w:rFonts w:ascii="Cambria" w:hAnsi="Cambria" w:cs="Arial"/>
          <w:noProof/>
        </w:rPr>
        <w:t>fazi</w:t>
      </w:r>
      <w:r w:rsidR="00514952" w:rsidRPr="00AB15C7">
        <w:rPr>
          <w:rFonts w:ascii="Cambria" w:hAnsi="Cambria" w:cs="Arial"/>
          <w:noProof/>
        </w:rPr>
        <w:t xml:space="preserve">. </w:t>
      </w:r>
    </w:p>
    <w:p w14:paraId="6942C584" w14:textId="77777777" w:rsidR="00FC0F57" w:rsidRDefault="00FC0F57" w:rsidP="005921EF">
      <w:pPr>
        <w:jc w:val="both"/>
        <w:rPr>
          <w:rFonts w:ascii="Cambria" w:hAnsi="Cambria"/>
          <w:noProof/>
          <w:lang w:val="sr-Latn-ME"/>
        </w:rPr>
        <w:sectPr w:rsidR="00FC0F57" w:rsidSect="00283534">
          <w:pgSz w:w="11907" w:h="16840" w:code="9"/>
          <w:pgMar w:top="1134" w:right="1134" w:bottom="1134" w:left="1134" w:header="709" w:footer="709" w:gutter="0"/>
          <w:cols w:space="720"/>
          <w:docGrid w:linePitch="360"/>
        </w:sectPr>
      </w:pPr>
    </w:p>
    <w:p w14:paraId="41A04D18" w14:textId="77777777" w:rsidR="006F4F6E" w:rsidRPr="00AB15C7" w:rsidRDefault="00DE50A7" w:rsidP="00557C13">
      <w:pPr>
        <w:pStyle w:val="Heading1"/>
        <w:numPr>
          <w:ilvl w:val="1"/>
          <w:numId w:val="33"/>
        </w:numPr>
        <w:rPr>
          <w:noProof/>
          <w:sz w:val="22"/>
          <w:szCs w:val="22"/>
          <w:lang w:val="en-US"/>
        </w:rPr>
      </w:pPr>
      <w:bookmarkStart w:id="74" w:name="_Toc406482863"/>
      <w:bookmarkStart w:id="75" w:name="_Toc527353202"/>
      <w:r w:rsidRPr="00AB15C7">
        <w:rPr>
          <w:noProof/>
          <w:sz w:val="22"/>
          <w:szCs w:val="22"/>
          <w:lang w:val="en-US"/>
        </w:rPr>
        <w:lastRenderedPageBreak/>
        <w:t>MINISTARSTVA, AGENCIJ</w:t>
      </w:r>
      <w:r w:rsidR="0007154F" w:rsidRPr="00AB15C7">
        <w:rPr>
          <w:noProof/>
          <w:sz w:val="22"/>
          <w:szCs w:val="22"/>
          <w:lang w:val="en-US"/>
        </w:rPr>
        <w:t xml:space="preserve">E </w:t>
      </w:r>
      <w:r w:rsidRPr="00AB15C7">
        <w:rPr>
          <w:noProof/>
          <w:sz w:val="22"/>
          <w:szCs w:val="22"/>
          <w:lang w:val="en-US"/>
        </w:rPr>
        <w:t>I DRUG</w:t>
      </w:r>
      <w:r w:rsidR="0007154F" w:rsidRPr="00AB15C7">
        <w:rPr>
          <w:noProof/>
          <w:sz w:val="22"/>
          <w:szCs w:val="22"/>
          <w:lang w:val="en-US"/>
        </w:rPr>
        <w:t>E</w:t>
      </w:r>
      <w:r w:rsidRPr="00AB15C7">
        <w:rPr>
          <w:noProof/>
          <w:sz w:val="22"/>
          <w:szCs w:val="22"/>
          <w:lang w:val="en-US"/>
        </w:rPr>
        <w:t xml:space="preserve"> DRŽAVNE INSTITUCIJ</w:t>
      </w:r>
      <w:bookmarkEnd w:id="74"/>
      <w:r w:rsidR="00D06806" w:rsidRPr="00AB15C7">
        <w:rPr>
          <w:noProof/>
          <w:sz w:val="22"/>
          <w:szCs w:val="22"/>
          <w:lang w:val="en-US"/>
        </w:rPr>
        <w:t>E</w:t>
      </w:r>
      <w:bookmarkEnd w:id="75"/>
    </w:p>
    <w:p w14:paraId="311C7CE2" w14:textId="77777777" w:rsidR="0007154F" w:rsidRPr="00AB15C7" w:rsidRDefault="0007154F" w:rsidP="005921EF">
      <w:pPr>
        <w:pStyle w:val="Heading2"/>
        <w:rPr>
          <w:noProof/>
          <w:sz w:val="22"/>
          <w:szCs w:val="22"/>
          <w:lang w:val="en-US"/>
        </w:rPr>
      </w:pPr>
      <w:bookmarkStart w:id="76" w:name="_Toc527353203"/>
      <w:r w:rsidRPr="00AB15C7">
        <w:rPr>
          <w:noProof/>
          <w:sz w:val="22"/>
          <w:szCs w:val="22"/>
          <w:lang w:val="en-US"/>
        </w:rPr>
        <w:t xml:space="preserve">2.4.1. </w:t>
      </w:r>
      <w:bookmarkStart w:id="77" w:name="_Hlk525819005"/>
      <w:r w:rsidRPr="00AB15C7">
        <w:rPr>
          <w:noProof/>
          <w:sz w:val="22"/>
          <w:szCs w:val="22"/>
          <w:lang w:val="en-US"/>
        </w:rPr>
        <w:t>Nadležnosti relevantnih državnih organa i institucija u pogledu upravljanja hemikalijama</w:t>
      </w:r>
      <w:bookmarkEnd w:id="76"/>
      <w:bookmarkEnd w:id="77"/>
    </w:p>
    <w:p w14:paraId="2CEFC8BD" w14:textId="77777777" w:rsidR="004E065C" w:rsidRDefault="004E065C" w:rsidP="004E065C">
      <w:pPr>
        <w:spacing w:after="0"/>
        <w:jc w:val="both"/>
        <w:rPr>
          <w:rFonts w:ascii="Cambria" w:hAnsi="Cambria" w:cs="TimesNewRomanPSMT"/>
          <w:noProof/>
          <w:lang w:val="sr-Latn-ME"/>
        </w:rPr>
      </w:pPr>
    </w:p>
    <w:p w14:paraId="05F4BDF3" w14:textId="688D1A22" w:rsidR="003B727E" w:rsidRPr="00AB15C7" w:rsidRDefault="006F4F6E" w:rsidP="005921EF">
      <w:pPr>
        <w:jc w:val="both"/>
        <w:rPr>
          <w:rFonts w:ascii="Cambria" w:hAnsi="Cambria" w:cs="Times-Roman"/>
          <w:noProof/>
          <w:lang w:val="sr-Latn-ME"/>
        </w:rPr>
      </w:pPr>
      <w:r w:rsidRPr="00AB15C7">
        <w:rPr>
          <w:rFonts w:ascii="Cambria" w:hAnsi="Cambria" w:cs="TimesNewRomanPSMT"/>
          <w:noProof/>
          <w:lang w:val="sr-Latn-ME"/>
        </w:rPr>
        <w:t xml:space="preserve">Shodno Uredbi o organizaciji i načinu rada državne uprave, </w:t>
      </w:r>
      <w:r w:rsidRPr="00AB15C7">
        <w:rPr>
          <w:rFonts w:ascii="Cambria" w:hAnsi="Cambria" w:cs="TimesNewRomanPSMT"/>
          <w:b/>
          <w:noProof/>
          <w:lang w:val="sr-Latn-ME"/>
        </w:rPr>
        <w:t>Ministarstvo održ</w:t>
      </w:r>
      <w:r w:rsidRPr="00AB15C7">
        <w:rPr>
          <w:rFonts w:ascii="Cambria" w:hAnsi="Cambria" w:cs="Times-Roman"/>
          <w:b/>
          <w:noProof/>
          <w:lang w:val="sr-Latn-ME"/>
        </w:rPr>
        <w:t>ivog razvoja i turizma</w:t>
      </w:r>
      <w:r w:rsidRPr="00AB15C7">
        <w:rPr>
          <w:rFonts w:ascii="Cambria" w:hAnsi="Cambria" w:cs="Times-Roman"/>
          <w:noProof/>
          <w:lang w:val="sr-Latn-ME"/>
        </w:rPr>
        <w:t xml:space="preserve"> nadležno je za kreiranje nacionalnog zakonodavnog i strateškog okvira u oblasti upravljanja hemikalijama</w:t>
      </w:r>
      <w:r w:rsidR="008A69BF" w:rsidRPr="00AB15C7">
        <w:rPr>
          <w:rFonts w:ascii="Cambria" w:hAnsi="Cambria" w:cs="Times-Roman"/>
          <w:noProof/>
          <w:lang w:val="sr-Latn-ME"/>
        </w:rPr>
        <w:t xml:space="preserve"> i šire za čitavu oblast zašti</w:t>
      </w:r>
      <w:r w:rsidR="00AC78FB">
        <w:rPr>
          <w:rFonts w:ascii="Cambria" w:hAnsi="Cambria" w:cs="Times-Roman"/>
          <w:noProof/>
          <w:lang w:val="sr-Latn-ME"/>
        </w:rPr>
        <w:t>t</w:t>
      </w:r>
      <w:r w:rsidR="008A69BF" w:rsidRPr="00AB15C7">
        <w:rPr>
          <w:rFonts w:ascii="Cambria" w:hAnsi="Cambria" w:cs="Times-Roman"/>
          <w:noProof/>
          <w:lang w:val="sr-Latn-ME"/>
        </w:rPr>
        <w:t>e životne sredine (uključujući otpad, IPP</w:t>
      </w:r>
      <w:r w:rsidR="00F7291B">
        <w:rPr>
          <w:rFonts w:ascii="Cambria" w:hAnsi="Cambria" w:cs="Times-Roman"/>
          <w:noProof/>
          <w:lang w:val="sr-Latn-ME"/>
        </w:rPr>
        <w:t>C</w:t>
      </w:r>
      <w:r w:rsidR="008A69BF" w:rsidRPr="00AB15C7">
        <w:rPr>
          <w:rFonts w:ascii="Cambria" w:hAnsi="Cambria" w:cs="Times-Roman"/>
          <w:noProof/>
          <w:lang w:val="sr-Latn-ME"/>
        </w:rPr>
        <w:t xml:space="preserve">, </w:t>
      </w:r>
      <w:r w:rsidR="00AF42DB">
        <w:rPr>
          <w:rFonts w:ascii="Cambria" w:hAnsi="Cambria" w:cs="Times-Roman"/>
          <w:noProof/>
          <w:lang w:val="sr-Latn-ME"/>
        </w:rPr>
        <w:t>procjen</w:t>
      </w:r>
      <w:r w:rsidR="008A69BF" w:rsidRPr="00AB15C7">
        <w:rPr>
          <w:rFonts w:ascii="Cambria" w:hAnsi="Cambria" w:cs="Times-Roman"/>
          <w:noProof/>
          <w:lang w:val="sr-Latn-ME"/>
        </w:rPr>
        <w:t>u uticaja, zaštitu vazduha, itd.)</w:t>
      </w:r>
      <w:r w:rsidRPr="00AB15C7">
        <w:rPr>
          <w:rFonts w:ascii="Cambria" w:hAnsi="Cambria" w:cs="Times-Roman"/>
          <w:noProof/>
          <w:lang w:val="sr-Latn-ME"/>
        </w:rPr>
        <w:t>, kao i za koordinaciju procesa pregovora s EU za pregovaračko poglavlje 27 - životna sredina i klimatske promjene, a u okviru kojeg se nalazi podoblast-hemikalije. S tim u vezi i saradnja s organima Evropske komisije u oblasti praćenja rada i učešća u radnim tijelima vezanim za upravljanje hemikalijama nalazi se u nadležnosti Ministarstva održivog razvoja i turizma.</w:t>
      </w:r>
      <w:r w:rsidR="00A33A63" w:rsidRPr="00AB15C7">
        <w:rPr>
          <w:rFonts w:ascii="Cambria" w:hAnsi="Cambria" w:cs="Times-Roman"/>
          <w:noProof/>
          <w:lang w:val="sr-Latn-ME"/>
        </w:rPr>
        <w:t xml:space="preserve"> </w:t>
      </w:r>
      <w:r w:rsidR="00F65827" w:rsidRPr="00AB15C7">
        <w:rPr>
          <w:rFonts w:ascii="Cambria" w:hAnsi="Cambria" w:cs="Times-Roman"/>
          <w:noProof/>
          <w:lang w:val="sr-Latn-ME"/>
        </w:rPr>
        <w:t xml:space="preserve">U okviru ovog ministarstva za oblast hemikalija zadužen je </w:t>
      </w:r>
      <w:r w:rsidR="00E607A4" w:rsidRPr="00AB15C7">
        <w:rPr>
          <w:rFonts w:ascii="Cambria" w:hAnsi="Cambria" w:cs="Times-Roman"/>
          <w:noProof/>
          <w:lang w:val="sr-Latn-ME"/>
        </w:rPr>
        <w:t xml:space="preserve">Direktorat za životnu sredinu, u okviru </w:t>
      </w:r>
      <w:r w:rsidR="00F65827" w:rsidRPr="00AB15C7">
        <w:rPr>
          <w:rFonts w:ascii="Cambria" w:hAnsi="Cambria" w:cs="Times-Roman"/>
          <w:noProof/>
          <w:lang w:val="sr-Latn-ME"/>
        </w:rPr>
        <w:t xml:space="preserve">kojeg </w:t>
      </w:r>
      <w:r w:rsidR="00E607A4" w:rsidRPr="00AB15C7">
        <w:rPr>
          <w:rFonts w:ascii="Cambria" w:hAnsi="Cambria" w:cs="Times-Roman"/>
          <w:noProof/>
          <w:lang w:val="sr-Latn-ME"/>
        </w:rPr>
        <w:t>Direkcija za kontrolu industrijskog zagađenja i upravljanja hemikalijama, vrši poslove koji se odnose na: obavljanje stručnih poslova usklađivanja zakonodavstva sa propisima EU u oblastima upravljanja hemikalijama i biocidima, industrijskog zagađenja, praćenje rada i učešće u radnim tijelima vezanim za Bazelsku, Stokholmsku, Roterdamsku, Minamata konvenciju i ostalo.</w:t>
      </w:r>
      <w:r w:rsidR="003B727E" w:rsidRPr="00AB15C7">
        <w:rPr>
          <w:rFonts w:ascii="Cambria" w:hAnsi="Cambria"/>
          <w:noProof/>
        </w:rPr>
        <w:t xml:space="preserve"> </w:t>
      </w:r>
      <w:r w:rsidR="003B727E" w:rsidRPr="00AB15C7">
        <w:rPr>
          <w:rFonts w:ascii="Cambria" w:hAnsi="Cambria" w:cs="Times-Roman"/>
          <w:noProof/>
          <w:lang w:val="sr-Latn-ME"/>
        </w:rPr>
        <w:t xml:space="preserve">Takođe, u okviru Ministarstva je i Direktorat za upravljanje otpadom i komunalni razvoj u okviru kojeg je Direkcija za upravljanje otpadom, dok je za sistem izdavanja dozvola zadužena Agencija za zaštitu prirode i životne sredine.  Direkcija za kontrolu industrijskog zagađenja i upravljanja hemikalijama je nadležna za izradu nacionalnog pravnog i strateškog okvira za oblast upravljanja hemikalijama. Jedini izuzetak je oblast dobrobiti životinja (životinja koje se koriste u svrhe eksperimenata), koju reguliše Ministarstvo poljoprivrede i ruralnog razvoja. Takođe, Direkcija sprovodi i zadatke koji se odnose na usaglašavanje nacionalnog zakonodavstva s pravnim tekovinama EU iz oblasti industrijskog zagađenja, kao i na učešće u radu međunarodnih konvencija i tijela relevantnih za datu oblast. </w:t>
      </w:r>
      <w:r w:rsidR="00FA1A60" w:rsidRPr="00AB15C7">
        <w:rPr>
          <w:rFonts w:ascii="Cambria" w:hAnsi="Cambria" w:cs="Times-Roman"/>
          <w:noProof/>
          <w:lang w:val="sr-Latn-ME"/>
        </w:rPr>
        <w:t>Direkcija za upravljanje otpadom odgovorna je za kreiranje nacionalnog pravnog i okvira javnih politika za oblast upravljanja otpadom, uključujući transponovanje propisa iz ove oblasti. Direkcija je odgovorna za usaglašavanje nacionalnog pravnog okvira s relevantnim zakonodavstvom EU u ovoj oblasti. Predlog i izbor sistemskih mjera za sprovođenje uspostavljenih politika, koje se odnose na komunalne usluge i sprovođenje strateških dokumenata, planova i programa u vezi s upravljanjem otpadom, spadaju u odgovornost Direkcije za komunalni razvoj.</w:t>
      </w:r>
    </w:p>
    <w:p w14:paraId="1927CB1A" w14:textId="77777777" w:rsidR="006F4F6E" w:rsidRPr="00AB15C7" w:rsidRDefault="00413168" w:rsidP="005921EF">
      <w:pPr>
        <w:jc w:val="both"/>
        <w:rPr>
          <w:rFonts w:ascii="Cambria" w:hAnsi="Cambria" w:cs="Times-Roman"/>
          <w:noProof/>
          <w:lang w:val="sr-Latn-ME"/>
        </w:rPr>
      </w:pPr>
      <w:r w:rsidRPr="00AB15C7">
        <w:rPr>
          <w:rFonts w:ascii="Cambria" w:hAnsi="Cambria" w:cs="TimesNewRomanPSMT"/>
          <w:noProof/>
          <w:lang w:val="sr-Latn-ME"/>
        </w:rPr>
        <w:t xml:space="preserve">Implementacija propisa, odnosno stručni i upravni poslovi iz ove oblasti povjereni su </w:t>
      </w:r>
      <w:r w:rsidRPr="00AB15C7">
        <w:rPr>
          <w:rFonts w:ascii="Cambria" w:hAnsi="Cambria" w:cs="TimesNewRomanPSMT"/>
          <w:b/>
          <w:noProof/>
          <w:lang w:val="sr-Latn-ME"/>
        </w:rPr>
        <w:t>Agenciji za zaštitu prirode i životne sredine</w:t>
      </w:r>
      <w:r w:rsidRPr="00AB15C7">
        <w:rPr>
          <w:rFonts w:ascii="Cambria" w:hAnsi="Cambria" w:cs="TimesNewRomanPSMT"/>
          <w:noProof/>
          <w:lang w:val="sr-Latn-ME"/>
        </w:rPr>
        <w:t>, u okviru koje je formirano Odjeljenje za upravljanje hemikalijama. Odjeljenje je nadležno za primjenu većine propisa iz ove oblasti, uključujući i poslove koji se odnose na: klasifikaciju, pakovanje i označavanje hemikalija; detergente</w:t>
      </w:r>
      <w:r w:rsidR="00FA1A60" w:rsidRPr="00AB15C7">
        <w:rPr>
          <w:rFonts w:ascii="Cambria" w:hAnsi="Cambria" w:cs="TimesNewRomanPSMT"/>
          <w:noProof/>
          <w:lang w:val="sr-Latn-ME"/>
        </w:rPr>
        <w:t>;</w:t>
      </w:r>
      <w:r w:rsidRPr="00AB15C7">
        <w:rPr>
          <w:rFonts w:ascii="Cambria" w:hAnsi="Cambria" w:cs="TimesNewRomanPSMT"/>
          <w:noProof/>
          <w:lang w:val="sr-Latn-ME"/>
        </w:rPr>
        <w:t xml:space="preserve"> vođenje Registra hemikalija; vođenje postupka prethodnog obavještavanja (PIC postupka), kao i za odobravanje stavljanja u promet i upotrebe biocidnog proizvoda i</w:t>
      </w:r>
      <w:r w:rsidR="00FA1A60" w:rsidRPr="00AB15C7">
        <w:rPr>
          <w:rFonts w:ascii="Cambria" w:hAnsi="Cambria" w:cs="TimesNewRomanPSMT"/>
          <w:noProof/>
          <w:lang w:val="sr-Latn-ME"/>
        </w:rPr>
        <w:t xml:space="preserve"> sl</w:t>
      </w:r>
      <w:r w:rsidRPr="00AB15C7">
        <w:rPr>
          <w:rFonts w:ascii="Cambria" w:hAnsi="Cambria" w:cs="TimesNewRomanPSMT"/>
          <w:noProof/>
          <w:lang w:val="sr-Latn-ME"/>
        </w:rPr>
        <w:t>. Takođe, Odjeljenje je nadležno i  za razmjenu podataka s međunarodnim organizacijama i državama članicama EU, kao i za pružanje informacija u okviru Help desk-a.</w:t>
      </w:r>
    </w:p>
    <w:p w14:paraId="26A76449" w14:textId="62C903B0" w:rsidR="006F4F6E" w:rsidRPr="00AB15C7" w:rsidRDefault="00005763" w:rsidP="005921EF">
      <w:pPr>
        <w:widowControl w:val="0"/>
        <w:autoSpaceDE w:val="0"/>
        <w:autoSpaceDN w:val="0"/>
        <w:adjustRightInd w:val="0"/>
        <w:jc w:val="both"/>
        <w:rPr>
          <w:rFonts w:ascii="Cambria" w:hAnsi="Cambria" w:cs="TimesNewRomanPSMT"/>
          <w:noProof/>
          <w:lang w:val="sr-Latn-ME"/>
        </w:rPr>
      </w:pPr>
      <w:r w:rsidRPr="00AB15C7">
        <w:rPr>
          <w:rFonts w:ascii="Cambria" w:hAnsi="Cambria" w:cs="TimesNewRomanPSMT"/>
          <w:noProof/>
          <w:lang w:val="sr-Latn-ME"/>
        </w:rPr>
        <w:t xml:space="preserve">Kada su u pitanju hemikalije, </w:t>
      </w:r>
      <w:r w:rsidRPr="00AB15C7">
        <w:rPr>
          <w:rFonts w:ascii="Cambria" w:hAnsi="Cambria" w:cs="TimesNewRomanPSMT"/>
          <w:b/>
          <w:noProof/>
          <w:lang w:val="sr-Latn-ME"/>
        </w:rPr>
        <w:t>i</w:t>
      </w:r>
      <w:r w:rsidR="00E70014" w:rsidRPr="00AB15C7">
        <w:rPr>
          <w:rFonts w:ascii="Cambria" w:hAnsi="Cambria" w:cs="TimesNewRomanPSMT"/>
          <w:b/>
          <w:noProof/>
          <w:lang w:val="sr-Latn-ME"/>
        </w:rPr>
        <w:t>nspekcijski nadzor</w:t>
      </w:r>
      <w:r w:rsidR="00E70014" w:rsidRPr="00AB15C7">
        <w:rPr>
          <w:rFonts w:ascii="Cambria" w:hAnsi="Cambria" w:cs="TimesNewRomanPSMT"/>
          <w:noProof/>
          <w:lang w:val="sr-Latn-ME"/>
        </w:rPr>
        <w:t xml:space="preserve"> nad primjenom propisa iz ove oblasti je u nadležnosti Uprave za inspekcijske poslove</w:t>
      </w:r>
      <w:r w:rsidRPr="00AB15C7">
        <w:rPr>
          <w:rFonts w:ascii="Cambria" w:hAnsi="Cambria" w:cs="TimesNewRomanPSMT"/>
          <w:noProof/>
          <w:lang w:val="sr-Latn-ME"/>
        </w:rPr>
        <w:t xml:space="preserve"> </w:t>
      </w:r>
      <w:r w:rsidRPr="00AB15C7">
        <w:rPr>
          <w:rFonts w:ascii="Cambria" w:hAnsi="Cambria" w:cs="TimesNewRomanPSMT"/>
          <w:noProof/>
          <w:lang w:val="sr-Latn-RS"/>
        </w:rPr>
        <w:t>(sanitarna i ekološka inspekcija)</w:t>
      </w:r>
      <w:r w:rsidR="00E70014" w:rsidRPr="00AB15C7">
        <w:rPr>
          <w:rFonts w:ascii="Cambria" w:hAnsi="Cambria" w:cs="TimesNewRomanPSMT"/>
          <w:noProof/>
          <w:lang w:val="sr-Latn-ME"/>
        </w:rPr>
        <w:t xml:space="preserve">. </w:t>
      </w:r>
      <w:r w:rsidRPr="00AB15C7">
        <w:rPr>
          <w:rFonts w:ascii="Cambria" w:hAnsi="Cambria" w:cs="TimesNewRomanPSMT"/>
          <w:noProof/>
          <w:lang w:val="sr-Latn-ME"/>
        </w:rPr>
        <w:t xml:space="preserve">U pogledu biocidnih proizvoda za inspekcijski nadzor zadužene su </w:t>
      </w:r>
      <w:r w:rsidRPr="00AB15C7">
        <w:rPr>
          <w:rFonts w:ascii="Cambria" w:hAnsi="Cambria" w:cs="TimesNewRomanPSMT"/>
          <w:noProof/>
          <w:lang w:val="sr-Latn-RS"/>
        </w:rPr>
        <w:t>Uprava za inspekcijske poslove (sanitarna i ekološka inspekcija) i Uprava za bezbjednost hrane, veterine i fitosanitarnih poslova (veterinarska i fitosanitarna inspekcija).</w:t>
      </w:r>
    </w:p>
    <w:p w14:paraId="7EBF1510" w14:textId="74A2BA2A" w:rsidR="006F4F6E" w:rsidRPr="00AB15C7" w:rsidRDefault="006F4F6E" w:rsidP="005921EF">
      <w:pPr>
        <w:widowControl w:val="0"/>
        <w:autoSpaceDE w:val="0"/>
        <w:autoSpaceDN w:val="0"/>
        <w:adjustRightInd w:val="0"/>
        <w:jc w:val="both"/>
        <w:rPr>
          <w:rFonts w:ascii="Cambria" w:hAnsi="Cambria" w:cs="Times-Roman"/>
          <w:noProof/>
          <w:lang w:val="sr-Latn-ME"/>
        </w:rPr>
      </w:pPr>
      <w:bookmarkStart w:id="78" w:name="_Hlk525814824"/>
      <w:r w:rsidRPr="00AB15C7">
        <w:rPr>
          <w:rFonts w:ascii="Cambria" w:hAnsi="Cambria" w:cs="Times-Roman"/>
          <w:noProof/>
          <w:lang w:val="sr-Latn-ME"/>
        </w:rPr>
        <w:t xml:space="preserve">Vršenje hemijskih ispitivanja i druge stručne poslove vrše </w:t>
      </w:r>
      <w:r w:rsidRPr="00AB15C7">
        <w:rPr>
          <w:rFonts w:ascii="Cambria" w:hAnsi="Cambria" w:cs="TimesNewRomanPSMT"/>
          <w:b/>
          <w:noProof/>
          <w:lang w:val="sr-Latn-ME"/>
        </w:rPr>
        <w:t>DOO C</w:t>
      </w:r>
      <w:r w:rsidR="00AA0EE4">
        <w:rPr>
          <w:rFonts w:ascii="Cambria" w:hAnsi="Cambria" w:cs="TimesNewRomanPSMT"/>
          <w:b/>
          <w:noProof/>
          <w:lang w:val="sr-Latn-ME"/>
        </w:rPr>
        <w:t>entar za ekotoksikološka ispitivanja</w:t>
      </w:r>
      <w:r w:rsidRPr="00AB15C7">
        <w:rPr>
          <w:rFonts w:ascii="Cambria" w:hAnsi="Cambria" w:cs="TimesNewRomanPSMT"/>
          <w:b/>
          <w:noProof/>
          <w:lang w:val="sr-Latn-ME"/>
        </w:rPr>
        <w:t xml:space="preserve"> </w:t>
      </w:r>
      <w:r w:rsidRPr="00AB15C7">
        <w:rPr>
          <w:rFonts w:ascii="Cambria" w:hAnsi="Cambria" w:cs="TimesNewRomanPSMT"/>
          <w:noProof/>
          <w:lang w:val="sr-Latn-ME"/>
        </w:rPr>
        <w:t xml:space="preserve">(uglavnom preko Odjeljenja za hemijsku analizu) i </w:t>
      </w:r>
      <w:r w:rsidRPr="00AB15C7">
        <w:rPr>
          <w:rFonts w:ascii="Cambria" w:hAnsi="Cambria" w:cs="TimesNewRomanPSMT"/>
          <w:b/>
          <w:noProof/>
          <w:lang w:val="sr-Latn-ME"/>
        </w:rPr>
        <w:t>Institut za javno zdravlje</w:t>
      </w:r>
      <w:r w:rsidRPr="00AB15C7">
        <w:rPr>
          <w:rFonts w:ascii="Cambria" w:hAnsi="Cambria" w:cs="TimesNewRomanPSMT"/>
          <w:noProof/>
          <w:lang w:val="sr-Latn-ME"/>
        </w:rPr>
        <w:t xml:space="preserve"> kao akreditovane laboratorije</w:t>
      </w:r>
      <w:r w:rsidR="00413168" w:rsidRPr="00AB15C7">
        <w:rPr>
          <w:rFonts w:ascii="Cambria" w:hAnsi="Cambria" w:cs="TimesNewRomanPSMT"/>
          <w:noProof/>
          <w:lang w:val="sr-Latn-ME"/>
        </w:rPr>
        <w:t>.</w:t>
      </w:r>
      <w:r w:rsidR="004C3C34" w:rsidRPr="00AB15C7">
        <w:rPr>
          <w:rFonts w:ascii="Cambria" w:eastAsia="Calibri" w:hAnsi="Cambria" w:cs="TimesNewRomanPSMT"/>
          <w:noProof/>
          <w:color w:val="FF0000"/>
          <w:lang w:val="sr-Latn-ME"/>
        </w:rPr>
        <w:t xml:space="preserve"> </w:t>
      </w:r>
      <w:r w:rsidR="00087AFC" w:rsidRPr="00AB15C7">
        <w:rPr>
          <w:rFonts w:ascii="Cambria" w:hAnsi="Cambria" w:cs="Times-Roman"/>
          <w:noProof/>
          <w:lang w:val="sr-Latn-ME"/>
        </w:rPr>
        <w:t xml:space="preserve">CETI je ovlašćen za poslove laboratorijskog ispitivanja sredstava za zaštitu bilja (pesticida) i </w:t>
      </w:r>
      <w:r w:rsidR="00C10F06">
        <w:rPr>
          <w:rFonts w:ascii="Cambria" w:hAnsi="Cambria" w:cs="Times-Roman"/>
          <w:noProof/>
          <w:lang w:val="sr-Latn-ME"/>
        </w:rPr>
        <w:t xml:space="preserve">njihovih </w:t>
      </w:r>
      <w:r w:rsidR="00087AFC" w:rsidRPr="00AB15C7">
        <w:rPr>
          <w:rFonts w:ascii="Cambria" w:hAnsi="Cambria" w:cs="Times-Roman"/>
          <w:noProof/>
          <w:lang w:val="sr-Latn-ME"/>
        </w:rPr>
        <w:t xml:space="preserve">rezidua, za POPs-ove u svim segmentima životne sredine, dok Institut za javno zdravlje vrši </w:t>
      </w:r>
      <w:r w:rsidR="00087AFC" w:rsidRPr="00AB15C7">
        <w:rPr>
          <w:rFonts w:ascii="Cambria" w:hAnsi="Cambria" w:cs="Times-Roman"/>
          <w:noProof/>
          <w:lang w:val="sr-Latn-ME"/>
        </w:rPr>
        <w:lastRenderedPageBreak/>
        <w:t>ispitivanje zdravstvene ispravnosti namirnica i predmeta opšte upotrebe uključujući i detergente</w:t>
      </w:r>
      <w:r w:rsidR="004C3C34" w:rsidRPr="00AB15C7">
        <w:rPr>
          <w:rFonts w:ascii="Cambria" w:hAnsi="Cambria" w:cs="Times-Roman"/>
          <w:noProof/>
          <w:lang w:val="sr-Latn-ME"/>
        </w:rPr>
        <w:t xml:space="preserve">, kao i </w:t>
      </w:r>
      <w:r w:rsidR="00AC78FB" w:rsidRPr="00AB15C7">
        <w:rPr>
          <w:rFonts w:ascii="Cambria" w:hAnsi="Cambria" w:cs="Times-Roman"/>
          <w:noProof/>
          <w:lang w:val="sr-Latn-ME"/>
        </w:rPr>
        <w:t>ispitivanj</w:t>
      </w:r>
      <w:r w:rsidR="00AC78FB">
        <w:rPr>
          <w:rFonts w:ascii="Cambria" w:hAnsi="Cambria" w:cs="Times-Roman"/>
          <w:noProof/>
          <w:lang w:val="sr-Latn-ME"/>
        </w:rPr>
        <w:t>e</w:t>
      </w:r>
      <w:r w:rsidR="00AC78FB" w:rsidRPr="00AB15C7">
        <w:rPr>
          <w:rFonts w:ascii="Cambria" w:hAnsi="Cambria" w:cs="Times-Roman"/>
          <w:noProof/>
          <w:lang w:val="sr-Latn-ME"/>
        </w:rPr>
        <w:t xml:space="preserve"> vod</w:t>
      </w:r>
      <w:r w:rsidR="00AC78FB">
        <w:rPr>
          <w:rFonts w:ascii="Cambria" w:hAnsi="Cambria" w:cs="Times-Roman"/>
          <w:noProof/>
          <w:lang w:val="sr-Latn-ME"/>
        </w:rPr>
        <w:t>e</w:t>
      </w:r>
      <w:r w:rsidR="00AC78FB" w:rsidRPr="00AB15C7">
        <w:rPr>
          <w:rFonts w:ascii="Cambria" w:hAnsi="Cambria" w:cs="Times-Roman"/>
          <w:noProof/>
          <w:lang w:val="sr-Latn-ME"/>
        </w:rPr>
        <w:t xml:space="preserve"> </w:t>
      </w:r>
      <w:r w:rsidR="004C3C34" w:rsidRPr="00AB15C7">
        <w:rPr>
          <w:rFonts w:ascii="Cambria" w:hAnsi="Cambria" w:cs="Times-Roman"/>
          <w:noProof/>
          <w:lang w:val="sr-Latn-ME"/>
        </w:rPr>
        <w:t>za piće</w:t>
      </w:r>
      <w:r w:rsidR="00AC78FB">
        <w:rPr>
          <w:rFonts w:ascii="Cambria" w:hAnsi="Cambria" w:cs="Times-Roman"/>
          <w:noProof/>
          <w:lang w:val="sr-Latn-ME"/>
        </w:rPr>
        <w:t>.</w:t>
      </w:r>
      <w:r w:rsidR="004C3C34" w:rsidRPr="00AB15C7">
        <w:rPr>
          <w:rFonts w:ascii="Cambria" w:hAnsi="Cambria" w:cs="Times-Roman"/>
          <w:noProof/>
          <w:lang w:val="sr-Latn-ME"/>
        </w:rPr>
        <w:t xml:space="preserve"> </w:t>
      </w:r>
    </w:p>
    <w:bookmarkEnd w:id="78"/>
    <w:p w14:paraId="03981122" w14:textId="77777777" w:rsidR="006F4F6E" w:rsidRPr="00AB15C7" w:rsidRDefault="006F4F6E" w:rsidP="005921EF">
      <w:pPr>
        <w:widowControl w:val="0"/>
        <w:autoSpaceDE w:val="0"/>
        <w:autoSpaceDN w:val="0"/>
        <w:adjustRightInd w:val="0"/>
        <w:jc w:val="both"/>
        <w:rPr>
          <w:rFonts w:ascii="Cambria" w:hAnsi="Cambria" w:cs="Times-Roman"/>
          <w:noProof/>
          <w:lang w:val="sr-Latn-ME"/>
        </w:rPr>
      </w:pPr>
      <w:r w:rsidRPr="00AB15C7">
        <w:rPr>
          <w:rFonts w:ascii="Cambria" w:hAnsi="Cambria" w:cs="Times-Roman"/>
          <w:noProof/>
          <w:lang w:val="sr-Latn-ME"/>
        </w:rPr>
        <w:t xml:space="preserve">Nadležnosti u primjeni propisa iz ove oblasti </w:t>
      </w:r>
      <w:r w:rsidR="00C54D6C" w:rsidRPr="00AB15C7">
        <w:rPr>
          <w:rFonts w:ascii="Cambria" w:hAnsi="Cambria" w:cs="Times-Roman"/>
          <w:noProof/>
          <w:lang w:val="sr-Latn-ME"/>
        </w:rPr>
        <w:t>u određenom d</w:t>
      </w:r>
      <w:r w:rsidR="00282397" w:rsidRPr="00AB15C7">
        <w:rPr>
          <w:rFonts w:ascii="Cambria" w:hAnsi="Cambria" w:cs="Times-Roman"/>
          <w:noProof/>
          <w:lang w:val="sr-Latn-ME"/>
        </w:rPr>
        <w:t>ij</w:t>
      </w:r>
      <w:r w:rsidR="00C54D6C" w:rsidRPr="00AB15C7">
        <w:rPr>
          <w:rFonts w:ascii="Cambria" w:hAnsi="Cambria" w:cs="Times-Roman"/>
          <w:noProof/>
          <w:lang w:val="sr-Latn-ME"/>
        </w:rPr>
        <w:t xml:space="preserve">elu </w:t>
      </w:r>
      <w:r w:rsidRPr="00AB15C7">
        <w:rPr>
          <w:rFonts w:ascii="Cambria" w:hAnsi="Cambria" w:cs="Times-Roman"/>
          <w:noProof/>
          <w:lang w:val="sr-Latn-ME"/>
        </w:rPr>
        <w:t>imaju i ostala Ministarstva i organi uprave. Kratak pregled njihovih nadležnosti slijedi u nastavku ovog Poglavlja.</w:t>
      </w:r>
    </w:p>
    <w:p w14:paraId="7BD604D0" w14:textId="77777777" w:rsidR="00B372A5" w:rsidRPr="00AB15C7" w:rsidRDefault="006F4F6E" w:rsidP="004E065C">
      <w:pPr>
        <w:widowControl w:val="0"/>
        <w:autoSpaceDE w:val="0"/>
        <w:autoSpaceDN w:val="0"/>
        <w:adjustRightInd w:val="0"/>
        <w:jc w:val="both"/>
        <w:rPr>
          <w:rFonts w:ascii="Cambria" w:hAnsi="Cambria"/>
          <w:b/>
          <w:noProof/>
          <w:lang w:val="sr-Latn-ME"/>
        </w:rPr>
      </w:pPr>
      <w:r w:rsidRPr="00AB15C7">
        <w:rPr>
          <w:rFonts w:ascii="Cambria" w:hAnsi="Cambria"/>
          <w:b/>
          <w:noProof/>
          <w:lang w:val="sr-Latn-ME"/>
        </w:rPr>
        <w:t>Ministarstvo poljoprivrede i ruralnog razvoja</w:t>
      </w:r>
      <w:r w:rsidRPr="00AB15C7">
        <w:rPr>
          <w:rFonts w:ascii="Cambria" w:hAnsi="Cambria"/>
          <w:noProof/>
          <w:lang w:val="sr-Latn-ME"/>
        </w:rPr>
        <w:t xml:space="preserve"> vrši poslove uprave vezane za oblast upravljanja hemikalijama </w:t>
      </w:r>
      <w:r w:rsidR="00EF58EE">
        <w:rPr>
          <w:rFonts w:ascii="Cambria" w:hAnsi="Cambria"/>
          <w:noProof/>
          <w:lang w:val="sr-Latn-ME"/>
        </w:rPr>
        <w:t>u dijelu koji</w:t>
      </w:r>
      <w:r w:rsidRPr="00AB15C7">
        <w:rPr>
          <w:rFonts w:ascii="Cambria" w:hAnsi="Cambria"/>
          <w:noProof/>
          <w:lang w:val="sr-Latn-ME"/>
        </w:rPr>
        <w:t xml:space="preserve"> se odnos</w:t>
      </w:r>
      <w:r w:rsidR="00EF58EE">
        <w:rPr>
          <w:rFonts w:ascii="Cambria" w:hAnsi="Cambria"/>
          <w:noProof/>
          <w:lang w:val="sr-Latn-ME"/>
        </w:rPr>
        <w:t>i</w:t>
      </w:r>
      <w:r w:rsidRPr="00AB15C7">
        <w:rPr>
          <w:rFonts w:ascii="Cambria" w:hAnsi="Cambria"/>
          <w:noProof/>
          <w:lang w:val="sr-Latn-ME"/>
        </w:rPr>
        <w:t xml:space="preserve"> na</w:t>
      </w:r>
      <w:r w:rsidR="00BA6CB6" w:rsidRPr="00AB15C7">
        <w:rPr>
          <w:rFonts w:ascii="Cambria" w:hAnsi="Cambria"/>
          <w:noProof/>
          <w:lang w:val="sr-Latn-ME"/>
        </w:rPr>
        <w:t xml:space="preserve"> </w:t>
      </w:r>
      <w:bookmarkStart w:id="79" w:name="_Hlk519237015"/>
      <w:r w:rsidR="00875659" w:rsidRPr="00AB15C7">
        <w:rPr>
          <w:rFonts w:ascii="Cambria" w:hAnsi="Cambria"/>
          <w:noProof/>
          <w:lang w:val="sr-Latn-ME"/>
        </w:rPr>
        <w:t xml:space="preserve">sredstava za </w:t>
      </w:r>
      <w:bookmarkEnd w:id="79"/>
      <w:r w:rsidR="00875659" w:rsidRPr="00AB15C7">
        <w:rPr>
          <w:rFonts w:ascii="Cambria" w:hAnsi="Cambria"/>
          <w:noProof/>
          <w:lang w:val="sr-Latn-ME"/>
        </w:rPr>
        <w:t xml:space="preserve">zaštitu </w:t>
      </w:r>
      <w:r w:rsidR="00C54D6C" w:rsidRPr="00AB15C7">
        <w:rPr>
          <w:rFonts w:ascii="Cambria" w:hAnsi="Cambria"/>
          <w:noProof/>
          <w:lang w:val="sr-Latn-ME"/>
        </w:rPr>
        <w:t xml:space="preserve">bilja </w:t>
      </w:r>
      <w:r w:rsidR="00875659" w:rsidRPr="00AB15C7">
        <w:rPr>
          <w:rFonts w:ascii="Cambria" w:hAnsi="Cambria"/>
          <w:noProof/>
          <w:lang w:val="sr-Latn-ME"/>
        </w:rPr>
        <w:t xml:space="preserve">i </w:t>
      </w:r>
      <w:r w:rsidR="00C54D6C" w:rsidRPr="00AB15C7">
        <w:rPr>
          <w:rFonts w:ascii="Cambria" w:hAnsi="Cambria"/>
          <w:noProof/>
          <w:lang w:val="sr-Latn-ME"/>
        </w:rPr>
        <w:t xml:space="preserve">sredstava za </w:t>
      </w:r>
      <w:r w:rsidR="00875659" w:rsidRPr="00AB15C7">
        <w:rPr>
          <w:rFonts w:ascii="Cambria" w:hAnsi="Cambria"/>
          <w:noProof/>
          <w:lang w:val="sr-Latn-ME"/>
        </w:rPr>
        <w:t>ishranu</w:t>
      </w:r>
      <w:r w:rsidR="00C54D6C" w:rsidRPr="00AB15C7">
        <w:rPr>
          <w:rFonts w:ascii="Cambria" w:hAnsi="Cambria"/>
          <w:noProof/>
          <w:lang w:val="sr-Latn-ME"/>
        </w:rPr>
        <w:t xml:space="preserve"> bilja</w:t>
      </w:r>
      <w:r w:rsidR="00AD7BAF" w:rsidRPr="00AB15C7">
        <w:rPr>
          <w:rFonts w:ascii="Cambria" w:hAnsi="Cambria"/>
          <w:noProof/>
          <w:lang w:val="sr-Latn-ME"/>
        </w:rPr>
        <w:t>, bezbjednost hrane sa aspekta kontrole prisustva hemikalija u hrani</w:t>
      </w:r>
      <w:r w:rsidR="00282397" w:rsidRPr="00AB15C7">
        <w:rPr>
          <w:rFonts w:ascii="Cambria" w:hAnsi="Cambria"/>
          <w:noProof/>
          <w:lang w:val="sr-Latn-ME"/>
        </w:rPr>
        <w:t>, kao i za zaštitu dobrobiti životinja koje se upotrebljavaju u eksperimentalne svrhe</w:t>
      </w:r>
      <w:r w:rsidR="00AD7BAF" w:rsidRPr="00AB15C7">
        <w:rPr>
          <w:rFonts w:ascii="Cambria" w:hAnsi="Cambria"/>
          <w:noProof/>
          <w:lang w:val="sr-Latn-ME"/>
        </w:rPr>
        <w:t>. U okviru ovog ministarstva, za ova pitanja zadužen</w:t>
      </w:r>
      <w:r w:rsidR="00EF58EE">
        <w:rPr>
          <w:rFonts w:ascii="Cambria" w:hAnsi="Cambria"/>
          <w:noProof/>
          <w:lang w:val="sr-Latn-ME"/>
        </w:rPr>
        <w:t>i</w:t>
      </w:r>
      <w:r w:rsidR="00AD7BAF" w:rsidRPr="00AB15C7">
        <w:rPr>
          <w:rFonts w:ascii="Cambria" w:hAnsi="Cambria"/>
          <w:noProof/>
          <w:lang w:val="sr-Latn-ME"/>
        </w:rPr>
        <w:t xml:space="preserve"> su relevantn</w:t>
      </w:r>
      <w:r w:rsidR="00EF58EE">
        <w:rPr>
          <w:rFonts w:ascii="Cambria" w:hAnsi="Cambria"/>
          <w:noProof/>
          <w:lang w:val="sr-Latn-ME"/>
        </w:rPr>
        <w:t xml:space="preserve">i sektori </w:t>
      </w:r>
      <w:r w:rsidR="00AD7BAF" w:rsidRPr="00AB15C7">
        <w:rPr>
          <w:rFonts w:ascii="Cambria" w:hAnsi="Cambria"/>
          <w:noProof/>
          <w:lang w:val="sr-Latn-ME"/>
        </w:rPr>
        <w:t xml:space="preserve"> </w:t>
      </w:r>
      <w:r w:rsidR="00C54D6C" w:rsidRPr="00EF58EE">
        <w:rPr>
          <w:rFonts w:ascii="Cambria" w:hAnsi="Cambria"/>
          <w:b/>
          <w:noProof/>
          <w:u w:val="single"/>
          <w:lang w:val="sr-Latn-ME"/>
        </w:rPr>
        <w:t>Uprav</w:t>
      </w:r>
      <w:r w:rsidR="00EF58EE" w:rsidRPr="00EF58EE">
        <w:rPr>
          <w:rFonts w:ascii="Cambria" w:hAnsi="Cambria"/>
          <w:b/>
          <w:noProof/>
          <w:u w:val="single"/>
          <w:lang w:val="sr-Latn-ME"/>
        </w:rPr>
        <w:t>e</w:t>
      </w:r>
      <w:r w:rsidR="00C54D6C" w:rsidRPr="00EF58EE">
        <w:rPr>
          <w:rFonts w:ascii="Cambria" w:hAnsi="Cambria"/>
          <w:b/>
          <w:noProof/>
          <w:u w:val="single"/>
          <w:lang w:val="sr-Latn-ME"/>
        </w:rPr>
        <w:t xml:space="preserve"> za bezbjednost hrane, fitosanitarne poslove </w:t>
      </w:r>
      <w:r w:rsidR="003533F0" w:rsidRPr="00EF58EE">
        <w:rPr>
          <w:rFonts w:ascii="Cambria" w:hAnsi="Cambria"/>
          <w:b/>
          <w:noProof/>
          <w:u w:val="single"/>
          <w:lang w:val="sr-Latn-ME"/>
        </w:rPr>
        <w:t>i</w:t>
      </w:r>
      <w:r w:rsidR="00C54D6C" w:rsidRPr="00EF58EE">
        <w:rPr>
          <w:rFonts w:ascii="Cambria" w:hAnsi="Cambria"/>
          <w:b/>
          <w:noProof/>
          <w:u w:val="single"/>
          <w:lang w:val="sr-Latn-ME"/>
        </w:rPr>
        <w:t xml:space="preserve"> veterinu</w:t>
      </w:r>
      <w:r w:rsidR="00EF58EE" w:rsidRPr="00AB15C7">
        <w:rPr>
          <w:rFonts w:ascii="Cambria" w:hAnsi="Cambria"/>
          <w:noProof/>
          <w:lang w:val="sr-Latn-ME"/>
        </w:rPr>
        <w:t>, i to:</w:t>
      </w:r>
      <w:r w:rsidR="00EF58EE" w:rsidRPr="00EF58EE">
        <w:rPr>
          <w:rFonts w:ascii="Cambria" w:hAnsi="Cambria"/>
          <w:bCs/>
          <w:noProof/>
        </w:rPr>
        <w:t xml:space="preserve"> </w:t>
      </w:r>
      <w:r w:rsidR="00EF58EE" w:rsidRPr="00AB15C7">
        <w:rPr>
          <w:rFonts w:ascii="Cambria" w:hAnsi="Cambria"/>
          <w:bCs/>
          <w:noProof/>
        </w:rPr>
        <w:t>sektor za fitosanitarne poslove</w:t>
      </w:r>
      <w:r w:rsidR="00EF58EE" w:rsidRPr="00AB15C7">
        <w:rPr>
          <w:rFonts w:ascii="Cambria" w:hAnsi="Cambria"/>
          <w:noProof/>
          <w:lang w:val="sr-Latn-ME"/>
        </w:rPr>
        <w:t xml:space="preserve"> </w:t>
      </w:r>
      <w:r w:rsidR="00282397" w:rsidRPr="00AB15C7">
        <w:rPr>
          <w:rFonts w:ascii="Cambria" w:hAnsi="Cambria"/>
          <w:noProof/>
          <w:lang w:val="sr-Latn-ME"/>
        </w:rPr>
        <w:t>(</w:t>
      </w:r>
      <w:r w:rsidR="00EF58EE" w:rsidRPr="00AB15C7">
        <w:rPr>
          <w:rFonts w:ascii="Cambria" w:hAnsi="Cambria"/>
          <w:noProof/>
          <w:lang w:val="sr-Latn-ME"/>
        </w:rPr>
        <w:t>sredstava za zaštitu bilja i sredstava za ishranu bilja</w:t>
      </w:r>
      <w:r w:rsidR="00282397" w:rsidRPr="00AB15C7">
        <w:rPr>
          <w:rFonts w:ascii="Cambria" w:hAnsi="Cambria"/>
          <w:bCs/>
          <w:noProof/>
        </w:rPr>
        <w:t>)</w:t>
      </w:r>
      <w:r w:rsidR="00282397" w:rsidRPr="00AB15C7">
        <w:rPr>
          <w:rFonts w:ascii="Cambria" w:hAnsi="Cambria"/>
          <w:noProof/>
          <w:lang w:val="sr-Latn-ME"/>
        </w:rPr>
        <w:t xml:space="preserve">, </w:t>
      </w:r>
      <w:r w:rsidR="009617DA" w:rsidRPr="00AB15C7">
        <w:rPr>
          <w:rFonts w:ascii="Cambria" w:hAnsi="Cambria"/>
          <w:noProof/>
          <w:lang w:val="sr-Latn-ME"/>
        </w:rPr>
        <w:t>sektor za</w:t>
      </w:r>
      <w:r w:rsidR="009617DA" w:rsidRPr="00AB15C7">
        <w:rPr>
          <w:rFonts w:ascii="Cambria" w:hAnsi="Cambria"/>
          <w:noProof/>
        </w:rPr>
        <w:t xml:space="preserve"> </w:t>
      </w:r>
      <w:r w:rsidR="009617DA" w:rsidRPr="00AB15C7">
        <w:rPr>
          <w:rFonts w:ascii="Cambria" w:hAnsi="Cambria"/>
          <w:noProof/>
          <w:lang w:val="sr-Latn-ME"/>
        </w:rPr>
        <w:t xml:space="preserve">bezbjednost hrane </w:t>
      </w:r>
      <w:r w:rsidR="00282397" w:rsidRPr="00AB15C7">
        <w:rPr>
          <w:rFonts w:ascii="Cambria" w:hAnsi="Cambria"/>
          <w:noProof/>
          <w:lang w:val="sr-Latn-ME"/>
        </w:rPr>
        <w:t>(</w:t>
      </w:r>
      <w:r w:rsidR="009617DA" w:rsidRPr="00AB15C7">
        <w:rPr>
          <w:rFonts w:ascii="Cambria" w:hAnsi="Cambria"/>
          <w:noProof/>
          <w:lang w:val="sr-Latn-ME"/>
        </w:rPr>
        <w:t>bezbjednost hrane sa aspekta kontrole prisustva hemikalija u hrani</w:t>
      </w:r>
      <w:r w:rsidR="009617DA">
        <w:rPr>
          <w:rFonts w:ascii="Cambria" w:hAnsi="Cambria"/>
          <w:noProof/>
          <w:lang w:val="sr-Latn-ME"/>
        </w:rPr>
        <w:t xml:space="preserve"> i vodi za piće</w:t>
      </w:r>
      <w:r w:rsidR="00282397" w:rsidRPr="00AB15C7">
        <w:rPr>
          <w:rFonts w:ascii="Cambria" w:hAnsi="Cambria"/>
          <w:noProof/>
          <w:lang w:val="sr-Latn-ME"/>
        </w:rPr>
        <w:t xml:space="preserve">), </w:t>
      </w:r>
      <w:r w:rsidR="00EF58EE" w:rsidRPr="00AB15C7">
        <w:rPr>
          <w:rFonts w:ascii="Cambria" w:hAnsi="Cambria"/>
          <w:noProof/>
          <w:lang w:val="sr-Latn-ME"/>
        </w:rPr>
        <w:t>sektor za veterinu</w:t>
      </w:r>
      <w:r w:rsidR="00EF58EE" w:rsidRPr="00EF58EE">
        <w:rPr>
          <w:rFonts w:ascii="Cambria" w:hAnsi="Cambria"/>
          <w:noProof/>
          <w:lang w:val="sr-Latn-ME"/>
        </w:rPr>
        <w:t xml:space="preserve"> </w:t>
      </w:r>
      <w:r w:rsidR="00282397" w:rsidRPr="00AB15C7">
        <w:rPr>
          <w:rFonts w:ascii="Cambria" w:hAnsi="Cambria"/>
          <w:noProof/>
          <w:lang w:val="sr-Latn-ME"/>
        </w:rPr>
        <w:t>(</w:t>
      </w:r>
      <w:r w:rsidR="00EF58EE" w:rsidRPr="00AB15C7">
        <w:rPr>
          <w:rFonts w:ascii="Cambria" w:hAnsi="Cambria"/>
          <w:noProof/>
          <w:lang w:val="sr-Latn-ME"/>
        </w:rPr>
        <w:t xml:space="preserve">zaštitu </w:t>
      </w:r>
      <w:r w:rsidR="00EF58EE" w:rsidRPr="004E065C">
        <w:rPr>
          <w:rFonts w:ascii="Cambria" w:hAnsi="Cambria" w:cs="Times-Roman"/>
          <w:noProof/>
          <w:lang w:val="sr-Latn-ME"/>
        </w:rPr>
        <w:t>dobrobiti</w:t>
      </w:r>
      <w:r w:rsidR="00EF58EE" w:rsidRPr="00AB15C7">
        <w:rPr>
          <w:rFonts w:ascii="Cambria" w:hAnsi="Cambria"/>
          <w:noProof/>
          <w:lang w:val="sr-Latn-ME"/>
        </w:rPr>
        <w:t xml:space="preserve"> životinja koje se upotrebljavaju u eksperimentalne svrhe</w:t>
      </w:r>
      <w:r w:rsidR="00282397" w:rsidRPr="00AB15C7">
        <w:rPr>
          <w:rFonts w:ascii="Cambria" w:hAnsi="Cambria"/>
          <w:noProof/>
          <w:lang w:val="sr-Latn-ME"/>
        </w:rPr>
        <w:t>).</w:t>
      </w:r>
    </w:p>
    <w:p w14:paraId="5C8399FE" w14:textId="6C0CC2A0" w:rsidR="006F4F6E" w:rsidRPr="00AB15C7" w:rsidRDefault="006F4F6E" w:rsidP="004E065C">
      <w:pPr>
        <w:widowControl w:val="0"/>
        <w:autoSpaceDE w:val="0"/>
        <w:autoSpaceDN w:val="0"/>
        <w:adjustRightInd w:val="0"/>
        <w:jc w:val="both"/>
        <w:rPr>
          <w:rFonts w:ascii="Cambria" w:hAnsi="Cambria"/>
          <w:noProof/>
          <w:lang w:val="sr-Latn-ME"/>
        </w:rPr>
      </w:pPr>
      <w:r w:rsidRPr="00AB15C7">
        <w:rPr>
          <w:rFonts w:ascii="Cambria" w:hAnsi="Cambria"/>
          <w:b/>
          <w:noProof/>
          <w:lang w:val="sr-Latn-ME"/>
        </w:rPr>
        <w:t>Ministarstvo unutrašnjih poslova</w:t>
      </w:r>
      <w:r w:rsidRPr="00AB15C7">
        <w:rPr>
          <w:rFonts w:ascii="Cambria" w:hAnsi="Cambria"/>
          <w:noProof/>
          <w:lang w:val="sr-Latn-ME"/>
        </w:rPr>
        <w:t xml:space="preserve"> </w:t>
      </w:r>
      <w:r w:rsidR="00FF087C" w:rsidRPr="00AB15C7">
        <w:rPr>
          <w:rFonts w:ascii="Cambria" w:hAnsi="Cambria"/>
          <w:noProof/>
          <w:lang w:val="sr-Latn-ME"/>
        </w:rPr>
        <w:t xml:space="preserve">preko </w:t>
      </w:r>
      <w:r w:rsidR="00FF087C" w:rsidRPr="00EF58EE">
        <w:rPr>
          <w:rFonts w:ascii="Cambria" w:hAnsi="Cambria"/>
          <w:b/>
          <w:noProof/>
          <w:u w:val="single"/>
          <w:lang w:val="sr-Latn-ME"/>
        </w:rPr>
        <w:t>Direktorata za vanredne situacije</w:t>
      </w:r>
      <w:r w:rsidR="00FF087C" w:rsidRPr="00AB15C7">
        <w:rPr>
          <w:rFonts w:ascii="Cambria" w:hAnsi="Cambria"/>
          <w:noProof/>
          <w:lang w:val="sr-Latn-ME"/>
        </w:rPr>
        <w:t xml:space="preserve"> </w:t>
      </w:r>
      <w:r w:rsidRPr="00AB15C7">
        <w:rPr>
          <w:rFonts w:ascii="Cambria" w:hAnsi="Cambria"/>
          <w:noProof/>
          <w:lang w:val="sr-Latn-ME"/>
        </w:rPr>
        <w:t xml:space="preserve">vrši poslove uprave vezane za oblast upravljanja hemikalijama koji se odnose na: </w:t>
      </w:r>
      <w:r w:rsidR="00EF52B7" w:rsidRPr="00AB15C7">
        <w:rPr>
          <w:rFonts w:ascii="Cambria" w:hAnsi="Cambria"/>
          <w:noProof/>
          <w:lang w:val="sr-Latn-CS"/>
        </w:rPr>
        <w:t xml:space="preserve">prevoz opasnih materija, proizvodnje, promet, nabavku, skladištenju i upotrebe eksplozivnih materija, skladištenje, držanje, promet, rukovanje i upotrebu zapaljivih tečnosti i gasova; organizovanje i sprovođenje preventivnih, operativnih i sanacionih mjera zaštite i spašavanja; vršenje spasilačkih aktivnosti u slučaju nastanka elementarnih nepogoda i od </w:t>
      </w:r>
      <w:r w:rsidR="00EF52B7" w:rsidRPr="004E065C">
        <w:rPr>
          <w:rFonts w:ascii="Cambria" w:hAnsi="Cambria" w:cs="Times-Roman"/>
          <w:noProof/>
          <w:lang w:val="sr-Latn-ME"/>
        </w:rPr>
        <w:t>strane</w:t>
      </w:r>
      <w:r w:rsidR="00EF52B7" w:rsidRPr="00AB15C7">
        <w:rPr>
          <w:rFonts w:ascii="Cambria" w:hAnsi="Cambria"/>
          <w:noProof/>
          <w:lang w:val="sr-Latn-CS"/>
        </w:rPr>
        <w:t xml:space="preserve"> čovjeka izazvanih nesreća i sl,</w:t>
      </w:r>
      <w:r w:rsidRPr="00AB15C7">
        <w:rPr>
          <w:rFonts w:ascii="Cambria" w:hAnsi="Cambria"/>
          <w:noProof/>
          <w:lang w:val="sr-Latn-ME"/>
        </w:rPr>
        <w:t xml:space="preserve"> kao i poslove civilne zaštite, kao dio integrisanog sistema upravljanja vanrednim situacijama.</w:t>
      </w:r>
    </w:p>
    <w:p w14:paraId="3FB79DFC" w14:textId="7D7DBCE8" w:rsidR="00FA1A60" w:rsidRPr="00AB15C7" w:rsidRDefault="006F4F6E" w:rsidP="004E065C">
      <w:pPr>
        <w:widowControl w:val="0"/>
        <w:autoSpaceDE w:val="0"/>
        <w:autoSpaceDN w:val="0"/>
        <w:adjustRightInd w:val="0"/>
        <w:jc w:val="both"/>
        <w:rPr>
          <w:rFonts w:ascii="Cambria" w:hAnsi="Cambria"/>
          <w:noProof/>
          <w:lang w:val="sr-Latn-ME"/>
        </w:rPr>
      </w:pPr>
      <w:r w:rsidRPr="00AB15C7">
        <w:rPr>
          <w:rFonts w:ascii="Cambria" w:hAnsi="Cambria"/>
          <w:b/>
          <w:noProof/>
          <w:lang w:val="sr-Latn-ME"/>
        </w:rPr>
        <w:t>Ministarstvo zdravlja</w:t>
      </w:r>
      <w:r w:rsidRPr="00AB15C7">
        <w:rPr>
          <w:rFonts w:ascii="Cambria" w:hAnsi="Cambria"/>
          <w:noProof/>
          <w:lang w:val="sr-Latn-ME"/>
        </w:rPr>
        <w:t xml:space="preserve"> vrši poslove uprave vezane za oblast upravljanja hemikalijama koji se odnose na </w:t>
      </w:r>
      <w:r w:rsidR="001C2B77" w:rsidRPr="00AB15C7">
        <w:rPr>
          <w:rFonts w:ascii="Cambria" w:hAnsi="Cambria"/>
          <w:noProof/>
          <w:lang w:val="sr-Latn-ME"/>
        </w:rPr>
        <w:t>praćenje i analizu najvažnijih pokazatelja zdravstvenog stanja stanovništva; analizu faktora rizika koji negativno utiču na zdravlje stanovništva; prevenciju i kontrolu hroničnih nezaraznih bolesti; praćenje i kontrolu prometa prekursora; jačanje j</w:t>
      </w:r>
      <w:r w:rsidR="00AA0EE4">
        <w:rPr>
          <w:rFonts w:ascii="Cambria" w:hAnsi="Cambria"/>
          <w:noProof/>
          <w:lang w:val="sr-Latn-ME"/>
        </w:rPr>
        <w:t xml:space="preserve">avnog zdravlja; praćenje mjera </w:t>
      </w:r>
      <w:r w:rsidR="001C2B77" w:rsidRPr="00AB15C7">
        <w:rPr>
          <w:rFonts w:ascii="Cambria" w:hAnsi="Cambria"/>
          <w:noProof/>
          <w:lang w:val="sr-Latn-ME"/>
        </w:rPr>
        <w:t>zaštite životne sredine koje su od uticaja na zdravlje građana; zdravstvenu ispravnost vode za ljudsku upotrebu i davanje mišljenja o njenoj bezbjednosti</w:t>
      </w:r>
      <w:r w:rsidRPr="00AB15C7">
        <w:rPr>
          <w:rFonts w:ascii="Cambria" w:hAnsi="Cambria"/>
          <w:noProof/>
          <w:lang w:val="sr-Latn-ME"/>
        </w:rPr>
        <w:t>.</w:t>
      </w:r>
      <w:r w:rsidR="00FA1A60" w:rsidRPr="00AB15C7">
        <w:rPr>
          <w:rFonts w:ascii="Cambria" w:hAnsi="Cambria"/>
          <w:noProof/>
          <w:lang w:val="sr-Latn-ME"/>
        </w:rPr>
        <w:t xml:space="preserve"> Takođe, ovo ministarstvo je nadležno za uspostavljan</w:t>
      </w:r>
      <w:r w:rsidR="00740301">
        <w:rPr>
          <w:rFonts w:ascii="Cambria" w:hAnsi="Cambria"/>
          <w:noProof/>
          <w:lang w:val="sr-Latn-ME"/>
        </w:rPr>
        <w:t>j</w:t>
      </w:r>
      <w:r w:rsidR="00FA1A60" w:rsidRPr="00AB15C7">
        <w:rPr>
          <w:rFonts w:ascii="Cambria" w:hAnsi="Cambria"/>
          <w:noProof/>
          <w:lang w:val="sr-Latn-ME"/>
        </w:rPr>
        <w:t>e Centra za kontrolu trovanja.</w:t>
      </w:r>
    </w:p>
    <w:p w14:paraId="023497EE" w14:textId="77777777" w:rsidR="006F4F6E" w:rsidRPr="00AB15C7" w:rsidRDefault="006F4F6E" w:rsidP="004E065C">
      <w:pPr>
        <w:widowControl w:val="0"/>
        <w:autoSpaceDE w:val="0"/>
        <w:autoSpaceDN w:val="0"/>
        <w:adjustRightInd w:val="0"/>
        <w:jc w:val="both"/>
        <w:rPr>
          <w:rFonts w:ascii="Cambria" w:hAnsi="Cambria"/>
          <w:noProof/>
          <w:lang w:val="sr-Latn-ME"/>
        </w:rPr>
      </w:pPr>
      <w:r w:rsidRPr="00AB15C7">
        <w:rPr>
          <w:rFonts w:ascii="Cambria" w:hAnsi="Cambria"/>
          <w:b/>
          <w:noProof/>
          <w:lang w:val="sr-Latn-ME"/>
        </w:rPr>
        <w:t>Ministarstvo rada i socijalnog staranja</w:t>
      </w:r>
      <w:r w:rsidRPr="00AB15C7">
        <w:rPr>
          <w:rFonts w:ascii="Cambria" w:hAnsi="Cambria"/>
          <w:noProof/>
          <w:lang w:val="sr-Latn-ME"/>
        </w:rPr>
        <w:t xml:space="preserve"> vrši poslove uprave vezane za oblast upravljanja hemikalijama koji se odnose na zaštitu i zdravlje na radu</w:t>
      </w:r>
      <w:r w:rsidR="00C37B93" w:rsidRPr="00AB15C7">
        <w:rPr>
          <w:rFonts w:ascii="Cambria" w:hAnsi="Cambria"/>
          <w:noProof/>
          <w:lang w:val="sr-Latn-ME"/>
        </w:rPr>
        <w:t xml:space="preserve"> preko </w:t>
      </w:r>
      <w:bookmarkStart w:id="80" w:name="_Hlk523933347"/>
      <w:r w:rsidR="00C37B93" w:rsidRPr="00EF58EE">
        <w:rPr>
          <w:rFonts w:ascii="Cambria" w:hAnsi="Cambria"/>
          <w:b/>
          <w:noProof/>
          <w:u w:val="single"/>
          <w:lang w:val="sr-Latn-ME"/>
        </w:rPr>
        <w:t>Direktorata za rad</w:t>
      </w:r>
      <w:bookmarkEnd w:id="80"/>
      <w:r w:rsidR="00C37B93" w:rsidRPr="00AB15C7">
        <w:rPr>
          <w:rFonts w:ascii="Cambria" w:hAnsi="Cambria"/>
          <w:noProof/>
          <w:lang w:val="sr-Latn-ME"/>
        </w:rPr>
        <w:t>-Direkcija poslove zaštite na radu</w:t>
      </w:r>
      <w:r w:rsidRPr="00AB15C7">
        <w:rPr>
          <w:rFonts w:ascii="Cambria" w:hAnsi="Cambria"/>
          <w:noProof/>
          <w:lang w:val="sr-Latn-ME"/>
        </w:rPr>
        <w:t>.</w:t>
      </w:r>
    </w:p>
    <w:p w14:paraId="36B52E99" w14:textId="77777777" w:rsidR="006F4F6E" w:rsidRPr="00AB15C7" w:rsidRDefault="006F4F6E" w:rsidP="004E065C">
      <w:pPr>
        <w:widowControl w:val="0"/>
        <w:autoSpaceDE w:val="0"/>
        <w:autoSpaceDN w:val="0"/>
        <w:adjustRightInd w:val="0"/>
        <w:jc w:val="both"/>
        <w:rPr>
          <w:rFonts w:ascii="Cambria" w:hAnsi="Cambria"/>
          <w:noProof/>
          <w:lang w:val="sr-Latn-ME"/>
        </w:rPr>
      </w:pPr>
      <w:r w:rsidRPr="00AB15C7">
        <w:rPr>
          <w:rFonts w:ascii="Cambria" w:hAnsi="Cambria"/>
          <w:b/>
          <w:noProof/>
          <w:lang w:val="sr-Latn-ME"/>
        </w:rPr>
        <w:t>Ministarstvo ekonomije</w:t>
      </w:r>
      <w:r w:rsidRPr="00AB15C7">
        <w:rPr>
          <w:rFonts w:ascii="Cambria" w:hAnsi="Cambria"/>
          <w:noProof/>
          <w:lang w:val="sr-Latn-ME"/>
        </w:rPr>
        <w:t xml:space="preserve"> vrši poslove uprave vezane za oblast upravljanja hemikalijama koji se odnose na</w:t>
      </w:r>
      <w:r w:rsidR="00701602" w:rsidRPr="00701602">
        <w:rPr>
          <w:rFonts w:ascii="Cambria" w:hAnsi="Cambria"/>
          <w:noProof/>
          <w:lang w:val="sr-Latn-ME"/>
        </w:rPr>
        <w:t xml:space="preserve"> </w:t>
      </w:r>
      <w:r w:rsidR="00701602" w:rsidRPr="00AB15C7">
        <w:rPr>
          <w:rFonts w:ascii="Cambria" w:hAnsi="Cambria"/>
          <w:noProof/>
          <w:lang w:val="sr-Latn-ME"/>
        </w:rPr>
        <w:t>opštu bezbjednost proizvoda, zaštitu potrošača</w:t>
      </w:r>
      <w:r w:rsidR="00701602">
        <w:rPr>
          <w:rFonts w:ascii="Cambria" w:hAnsi="Cambria"/>
          <w:noProof/>
          <w:lang w:val="sr-Latn-ME"/>
        </w:rPr>
        <w:t xml:space="preserve">, kao i </w:t>
      </w:r>
      <w:r w:rsidRPr="00AB15C7">
        <w:rPr>
          <w:rFonts w:ascii="Cambria" w:hAnsi="Cambria"/>
          <w:noProof/>
          <w:lang w:val="sr-Latn-ME"/>
        </w:rPr>
        <w:t>industrijsku proizvodnju po sljedećim podsektorima: proizvodnja električne energije i gasa, eksploatacija ruda i kamena</w:t>
      </w:r>
      <w:r w:rsidR="00E62C95" w:rsidRPr="00AB15C7">
        <w:rPr>
          <w:rFonts w:ascii="Cambria" w:hAnsi="Cambria"/>
          <w:noProof/>
          <w:lang w:val="sr-Latn-ME"/>
        </w:rPr>
        <w:t>,</w:t>
      </w:r>
      <w:r w:rsidRPr="00AB15C7">
        <w:rPr>
          <w:rFonts w:ascii="Cambria" w:hAnsi="Cambria"/>
          <w:noProof/>
          <w:lang w:val="sr-Latn-ME"/>
        </w:rPr>
        <w:t xml:space="preserve"> prerađivačka industrija i ostalo.</w:t>
      </w:r>
    </w:p>
    <w:p w14:paraId="06ED8A6A" w14:textId="434F9D37" w:rsidR="0011359D" w:rsidRPr="00AB15C7" w:rsidRDefault="00AB0B6A" w:rsidP="005921EF">
      <w:pPr>
        <w:spacing w:before="120" w:after="0"/>
        <w:jc w:val="both"/>
        <w:rPr>
          <w:rFonts w:ascii="Cambria" w:hAnsi="Cambria"/>
          <w:noProof/>
        </w:rPr>
      </w:pPr>
      <w:r w:rsidRPr="00AB15C7">
        <w:rPr>
          <w:rFonts w:ascii="Cambria" w:hAnsi="Cambria"/>
          <w:b/>
          <w:noProof/>
          <w:lang w:val="sr-Latn-ME"/>
        </w:rPr>
        <w:t>Ministarstva finansija</w:t>
      </w:r>
      <w:r w:rsidRPr="00AB15C7">
        <w:rPr>
          <w:rFonts w:ascii="Cambria" w:hAnsi="Cambria"/>
          <w:noProof/>
          <w:lang w:val="sr-Latn-ME"/>
        </w:rPr>
        <w:t xml:space="preserve"> preko </w:t>
      </w:r>
      <w:r w:rsidRPr="00EF58EE">
        <w:rPr>
          <w:rFonts w:ascii="Cambria" w:hAnsi="Cambria"/>
          <w:b/>
          <w:noProof/>
          <w:u w:val="single"/>
          <w:lang w:val="sr-Latn-ME"/>
        </w:rPr>
        <w:t>Uprave carina</w:t>
      </w:r>
      <w:r w:rsidRPr="00AB15C7">
        <w:rPr>
          <w:rFonts w:ascii="Cambria" w:hAnsi="Cambria"/>
          <w:noProof/>
          <w:lang w:val="sr-Latn-ME"/>
        </w:rPr>
        <w:t xml:space="preserve"> vrši poslove koji se, između ostalog, odnose na: </w:t>
      </w:r>
      <w:r w:rsidRPr="00AB15C7">
        <w:rPr>
          <w:rFonts w:ascii="Cambria" w:hAnsi="Cambria"/>
          <w:noProof/>
        </w:rPr>
        <w:t>primjenu propisa koji se odnose na robu koja se unese u carinsko područje do određivanja carinski dozvoljenog postupanja ili upotrebe robe (carinski nadzor, prijavljivanje robe, podnošenje robe, smještaj robe); odobravanje carinski dozvoljenog postupanja ili upotrebe robe (stavljanje u slobodan promet, carinski postupci sa ekonomskim dejstvom, postupci izvoza, tranzit robe i slobodna skladišta); vršenje carinske kontrole; utvđivanje porijekla robe; sprovođenje mjera carinske istrage i obavještajnog rada radi sprječavanja i otkrivanja carinskih prekršaja i krivičnih djela počinjenih kršenjem carinskih propisa, kao i podnošenje prijave nadležnom tužilaštvu; kontrolu uvoza, izvoza i tran</w:t>
      </w:r>
      <w:r w:rsidR="00AA0EE4">
        <w:rPr>
          <w:rFonts w:ascii="Cambria" w:hAnsi="Cambria"/>
          <w:noProof/>
        </w:rPr>
        <w:t>zita robe za koju su propisane.</w:t>
      </w:r>
    </w:p>
    <w:p w14:paraId="6652149A" w14:textId="77777777" w:rsidR="00035079" w:rsidRPr="00AB15C7" w:rsidRDefault="00DE50A7" w:rsidP="005921EF">
      <w:pPr>
        <w:pStyle w:val="Heading2"/>
        <w:rPr>
          <w:noProof/>
          <w:sz w:val="22"/>
          <w:szCs w:val="22"/>
          <w:lang w:val="en-US"/>
        </w:rPr>
      </w:pPr>
      <w:bookmarkStart w:id="81" w:name="_Toc527353204"/>
      <w:r w:rsidRPr="00AB15C7">
        <w:rPr>
          <w:noProof/>
          <w:sz w:val="22"/>
          <w:szCs w:val="22"/>
          <w:lang w:val="en-US"/>
        </w:rPr>
        <w:t>2</w:t>
      </w:r>
      <w:r w:rsidR="00542C1F" w:rsidRPr="00AB15C7">
        <w:rPr>
          <w:noProof/>
          <w:sz w:val="22"/>
          <w:szCs w:val="22"/>
          <w:lang w:val="en-US"/>
        </w:rPr>
        <w:t>.</w:t>
      </w:r>
      <w:r w:rsidRPr="00AB15C7">
        <w:rPr>
          <w:noProof/>
          <w:sz w:val="22"/>
          <w:szCs w:val="22"/>
          <w:lang w:val="en-US"/>
        </w:rPr>
        <w:t>4</w:t>
      </w:r>
      <w:r w:rsidR="00542C1F" w:rsidRPr="00AB15C7">
        <w:rPr>
          <w:noProof/>
          <w:sz w:val="22"/>
          <w:szCs w:val="22"/>
          <w:lang w:val="en-US"/>
        </w:rPr>
        <w:t>.</w:t>
      </w:r>
      <w:r w:rsidR="0007154F" w:rsidRPr="00AB15C7">
        <w:rPr>
          <w:noProof/>
          <w:sz w:val="22"/>
          <w:szCs w:val="22"/>
          <w:lang w:val="en-US"/>
        </w:rPr>
        <w:t>2</w:t>
      </w:r>
      <w:r w:rsidR="00542C1F" w:rsidRPr="00AB15C7">
        <w:rPr>
          <w:noProof/>
          <w:sz w:val="22"/>
          <w:szCs w:val="22"/>
          <w:lang w:val="en-US"/>
        </w:rPr>
        <w:t xml:space="preserve">. </w:t>
      </w:r>
      <w:r w:rsidR="00035079" w:rsidRPr="00AB15C7">
        <w:rPr>
          <w:noProof/>
          <w:sz w:val="22"/>
          <w:szCs w:val="22"/>
          <w:lang w:val="en-US"/>
        </w:rPr>
        <w:t>Administrativni kapaciteti</w:t>
      </w:r>
      <w:bookmarkEnd w:id="81"/>
      <w:r w:rsidR="00542C1F" w:rsidRPr="00AB15C7">
        <w:rPr>
          <w:noProof/>
          <w:sz w:val="22"/>
          <w:szCs w:val="22"/>
          <w:lang w:val="en-US"/>
        </w:rPr>
        <w:t xml:space="preserve"> </w:t>
      </w:r>
    </w:p>
    <w:p w14:paraId="2976085B" w14:textId="77777777" w:rsidR="000544CF" w:rsidRPr="00177C46" w:rsidRDefault="00035079" w:rsidP="000544CF">
      <w:pPr>
        <w:jc w:val="both"/>
        <w:rPr>
          <w:rFonts w:ascii="Cambria" w:hAnsi="Cambria"/>
          <w:noProof/>
        </w:rPr>
      </w:pPr>
      <w:r w:rsidRPr="00AB15C7">
        <w:rPr>
          <w:rFonts w:ascii="Cambria" w:hAnsi="Cambria"/>
          <w:noProof/>
        </w:rPr>
        <w:t>Broj izvršilaca za efikasnu transpoziciju, implementaciju i nadzor nad implementacijom propisa u oblasti hemikalija i biocidnih proizvoda je nedovoljan. To se odnosi na nadležne institucije kao što je MORT (1 državni službenik), AZPŽS (3 službenika</w:t>
      </w:r>
      <w:r w:rsidR="00542C1F" w:rsidRPr="00AB15C7">
        <w:rPr>
          <w:rFonts w:ascii="Cambria" w:hAnsi="Cambria"/>
          <w:noProof/>
        </w:rPr>
        <w:t>+1 upražnjeno</w:t>
      </w:r>
      <w:r w:rsidRPr="00AB15C7">
        <w:rPr>
          <w:rFonts w:ascii="Cambria" w:hAnsi="Cambria"/>
          <w:noProof/>
        </w:rPr>
        <w:t xml:space="preserve">) i UIP, dio koji se odnosi na ekološku </w:t>
      </w:r>
      <w:r w:rsidRPr="00AB15C7">
        <w:rPr>
          <w:rFonts w:ascii="Cambria" w:hAnsi="Cambria"/>
          <w:noProof/>
        </w:rPr>
        <w:lastRenderedPageBreak/>
        <w:t xml:space="preserve">inspekciju, u kojoj je zaposleno </w:t>
      </w:r>
      <w:r w:rsidR="00005763" w:rsidRPr="00AB15C7">
        <w:rPr>
          <w:rFonts w:ascii="Cambria" w:hAnsi="Cambria"/>
          <w:noProof/>
        </w:rPr>
        <w:t>7</w:t>
      </w:r>
      <w:r w:rsidRPr="00AB15C7">
        <w:rPr>
          <w:rFonts w:ascii="Cambria" w:hAnsi="Cambria"/>
          <w:noProof/>
        </w:rPr>
        <w:t xml:space="preserve"> inspektora za kompletnu oblast životne sredine. Dodatno, u nadzor nad hemikalijama i biocidnim proizvodima prilikom uvoza i na unutrašnjem tržištu uključeno je i 14 sanitarnih inspektora, uz druge poslove iz svoje nadležnosti.</w:t>
      </w:r>
      <w:r w:rsidR="000544CF">
        <w:rPr>
          <w:rFonts w:ascii="Cambria" w:hAnsi="Cambria"/>
          <w:noProof/>
        </w:rPr>
        <w:t xml:space="preserve"> </w:t>
      </w:r>
      <w:r w:rsidR="000544CF" w:rsidRPr="00177C46">
        <w:rPr>
          <w:rFonts w:ascii="Cambria" w:hAnsi="Cambria"/>
          <w:noProof/>
        </w:rPr>
        <w:t>Plan</w:t>
      </w:r>
      <w:r w:rsidR="000544CF">
        <w:rPr>
          <w:rFonts w:ascii="Cambria" w:hAnsi="Cambria"/>
          <w:noProof/>
        </w:rPr>
        <w:t>om</w:t>
      </w:r>
      <w:r w:rsidR="000544CF" w:rsidRPr="00177C46">
        <w:rPr>
          <w:rFonts w:ascii="Cambria" w:hAnsi="Cambria"/>
          <w:noProof/>
        </w:rPr>
        <w:t xml:space="preserve"> reorganizacije i jačanja administrativnih kapaciteta</w:t>
      </w:r>
      <w:r w:rsidR="000544CF">
        <w:rPr>
          <w:rFonts w:ascii="Cambria" w:hAnsi="Cambria"/>
          <w:noProof/>
        </w:rPr>
        <w:t xml:space="preserve"> </w:t>
      </w:r>
      <w:r w:rsidR="000544CF" w:rsidRPr="00177C46">
        <w:rPr>
          <w:rFonts w:ascii="Cambria" w:hAnsi="Cambria"/>
          <w:noProof/>
        </w:rPr>
        <w:t>za sektore</w:t>
      </w:r>
      <w:r w:rsidR="000544CF">
        <w:rPr>
          <w:rFonts w:ascii="Cambria" w:hAnsi="Cambria"/>
          <w:noProof/>
        </w:rPr>
        <w:t xml:space="preserve"> </w:t>
      </w:r>
      <w:r w:rsidR="000544CF" w:rsidRPr="00177C46">
        <w:rPr>
          <w:rFonts w:ascii="Cambria" w:hAnsi="Cambria"/>
          <w:noProof/>
        </w:rPr>
        <w:t>životne sredine i klimatskih promjena u Crnoj Gori</w:t>
      </w:r>
      <w:r w:rsidR="000544CF">
        <w:rPr>
          <w:rFonts w:ascii="Cambria" w:hAnsi="Cambria"/>
          <w:noProof/>
        </w:rPr>
        <w:t xml:space="preserve"> </w:t>
      </w:r>
      <w:r w:rsidR="000544CF" w:rsidRPr="00177C46">
        <w:rPr>
          <w:rFonts w:ascii="Cambria" w:hAnsi="Cambria"/>
          <w:noProof/>
        </w:rPr>
        <w:t>-za period 2017-2020</w:t>
      </w:r>
      <w:r w:rsidR="000544CF">
        <w:rPr>
          <w:rFonts w:ascii="Cambria" w:hAnsi="Cambria"/>
          <w:noProof/>
        </w:rPr>
        <w:t xml:space="preserve"> predviđeno je povećanje broja zaposlenih u svim resorima u vezi sa upravljanjem hemikalijama.</w:t>
      </w:r>
    </w:p>
    <w:p w14:paraId="302B48BA" w14:textId="14EE2B28" w:rsidR="00035079" w:rsidRDefault="00542C1F" w:rsidP="005921EF">
      <w:pPr>
        <w:jc w:val="both"/>
        <w:rPr>
          <w:rFonts w:ascii="Cambria" w:hAnsi="Cambria"/>
          <w:noProof/>
        </w:rPr>
      </w:pPr>
      <w:r w:rsidRPr="00AB15C7">
        <w:rPr>
          <w:rFonts w:ascii="Cambria" w:hAnsi="Cambria"/>
          <w:noProof/>
        </w:rPr>
        <w:t>U s</w:t>
      </w:r>
      <w:r w:rsidR="00035079" w:rsidRPr="00AB15C7">
        <w:rPr>
          <w:rFonts w:ascii="Cambria" w:hAnsi="Cambria"/>
          <w:noProof/>
        </w:rPr>
        <w:t>vim strateškim dokumentima, kao i Pregovaračkom pozicijom Crne Gore za Međuvladinu Konferenciju o pristupanju Crne Gore Evropskoj Uniji za poglavlje 27 – životna sredina i klimatske promjene, stavljen je akcenat na</w:t>
      </w:r>
      <w:r w:rsidRPr="00AB15C7">
        <w:rPr>
          <w:rFonts w:ascii="Cambria" w:hAnsi="Cambria"/>
          <w:noProof/>
        </w:rPr>
        <w:t xml:space="preserve"> potrebu</w:t>
      </w:r>
      <w:r w:rsidR="00035079" w:rsidRPr="00AB15C7">
        <w:rPr>
          <w:rFonts w:ascii="Cambria" w:hAnsi="Cambria"/>
          <w:noProof/>
        </w:rPr>
        <w:t xml:space="preserve"> jačanj</w:t>
      </w:r>
      <w:r w:rsidRPr="00AB15C7">
        <w:rPr>
          <w:rFonts w:ascii="Cambria" w:hAnsi="Cambria"/>
          <w:noProof/>
        </w:rPr>
        <w:t>a</w:t>
      </w:r>
      <w:r w:rsidR="00035079" w:rsidRPr="00AB15C7">
        <w:rPr>
          <w:rFonts w:ascii="Cambria" w:hAnsi="Cambria"/>
          <w:noProof/>
        </w:rPr>
        <w:t xml:space="preserve"> administrativnih kapaciteta</w:t>
      </w:r>
      <w:r w:rsidRPr="00AB15C7">
        <w:rPr>
          <w:rFonts w:ascii="Cambria" w:hAnsi="Cambria"/>
          <w:noProof/>
        </w:rPr>
        <w:t xml:space="preserve"> u ovoj oblasti</w:t>
      </w:r>
      <w:r w:rsidR="00035079" w:rsidRPr="00AB15C7">
        <w:rPr>
          <w:rFonts w:ascii="Cambria" w:hAnsi="Cambria"/>
          <w:noProof/>
        </w:rPr>
        <w:t xml:space="preserve">, </w:t>
      </w:r>
      <w:r w:rsidR="00FA1A60" w:rsidRPr="00AB15C7">
        <w:rPr>
          <w:rFonts w:ascii="Cambria" w:hAnsi="Cambria"/>
          <w:noProof/>
        </w:rPr>
        <w:t>š</w:t>
      </w:r>
      <w:r w:rsidR="00035079" w:rsidRPr="00AB15C7">
        <w:rPr>
          <w:rFonts w:ascii="Cambria" w:hAnsi="Cambria"/>
          <w:noProof/>
        </w:rPr>
        <w:t xml:space="preserve">to se odnosi i na potrebu povećanja broja službenika direktno angažovanih na poslovima u oblasti upravljanja hemikalijama, ali i na potrebu nadogradnje </w:t>
      </w:r>
      <w:r w:rsidRPr="00AB15C7">
        <w:rPr>
          <w:rFonts w:ascii="Cambria" w:hAnsi="Cambria"/>
          <w:noProof/>
        </w:rPr>
        <w:t xml:space="preserve">postojećih </w:t>
      </w:r>
      <w:r w:rsidR="00035079" w:rsidRPr="00AB15C7">
        <w:rPr>
          <w:rFonts w:ascii="Cambria" w:hAnsi="Cambria"/>
          <w:noProof/>
        </w:rPr>
        <w:t xml:space="preserve">kapaciteta u pogledu specifičnih </w:t>
      </w:r>
      <w:r w:rsidRPr="00AB15C7">
        <w:rPr>
          <w:rFonts w:ascii="Cambria" w:hAnsi="Cambria"/>
          <w:noProof/>
        </w:rPr>
        <w:t xml:space="preserve">znanja </w:t>
      </w:r>
      <w:r w:rsidR="00035079" w:rsidRPr="00AB15C7">
        <w:rPr>
          <w:rFonts w:ascii="Cambria" w:hAnsi="Cambria"/>
          <w:noProof/>
        </w:rPr>
        <w:t>potrebnih za efikasno obavljanje poslova u oblasti hemikalija</w:t>
      </w:r>
      <w:r w:rsidRPr="00AB15C7">
        <w:rPr>
          <w:rFonts w:ascii="Cambria" w:hAnsi="Cambria"/>
          <w:noProof/>
        </w:rPr>
        <w:t>, naročito onih koji uključuju proc</w:t>
      </w:r>
      <w:r w:rsidR="00FA1A60" w:rsidRPr="00AB15C7">
        <w:rPr>
          <w:rFonts w:ascii="Cambria" w:hAnsi="Cambria"/>
          <w:noProof/>
        </w:rPr>
        <w:t>j</w:t>
      </w:r>
      <w:r w:rsidRPr="00AB15C7">
        <w:rPr>
          <w:rFonts w:ascii="Cambria" w:hAnsi="Cambria"/>
          <w:noProof/>
        </w:rPr>
        <w:t>enu rizika od hemikalija i biocidnih proizvoda</w:t>
      </w:r>
      <w:r w:rsidR="00035079" w:rsidRPr="00AB15C7">
        <w:rPr>
          <w:rFonts w:ascii="Cambria" w:hAnsi="Cambria"/>
          <w:noProof/>
        </w:rPr>
        <w:t>.</w:t>
      </w:r>
      <w:r w:rsidRPr="00AB15C7">
        <w:rPr>
          <w:rFonts w:ascii="Cambria" w:hAnsi="Cambria"/>
          <w:noProof/>
        </w:rPr>
        <w:t xml:space="preserve"> Kada se radi o poslovima koji zaht</w:t>
      </w:r>
      <w:r w:rsidR="00FA1A60" w:rsidRPr="00AB15C7">
        <w:rPr>
          <w:rFonts w:ascii="Cambria" w:hAnsi="Cambria"/>
          <w:noProof/>
        </w:rPr>
        <w:t>j</w:t>
      </w:r>
      <w:r w:rsidRPr="00AB15C7">
        <w:rPr>
          <w:rFonts w:ascii="Cambria" w:hAnsi="Cambria"/>
          <w:noProof/>
        </w:rPr>
        <w:t>evaju specifična stručna znanja u oblasti toksikologije, ekotoksikologije i drugih oblasti povezanih sa proc</w:t>
      </w:r>
      <w:r w:rsidR="00FA1A60" w:rsidRPr="00AB15C7">
        <w:rPr>
          <w:rFonts w:ascii="Cambria" w:hAnsi="Cambria"/>
          <w:noProof/>
        </w:rPr>
        <w:t>j</w:t>
      </w:r>
      <w:r w:rsidRPr="00AB15C7">
        <w:rPr>
          <w:rFonts w:ascii="Cambria" w:hAnsi="Cambria"/>
          <w:noProof/>
        </w:rPr>
        <w:t>enom rizika od hemikalija i biocidnih proizvod</w:t>
      </w:r>
      <w:r w:rsidR="00FA1A60" w:rsidRPr="00AB15C7">
        <w:rPr>
          <w:rFonts w:ascii="Cambria" w:hAnsi="Cambria"/>
          <w:noProof/>
        </w:rPr>
        <w:t>a</w:t>
      </w:r>
      <w:r w:rsidRPr="00AB15C7">
        <w:rPr>
          <w:rFonts w:ascii="Cambria" w:hAnsi="Cambria"/>
          <w:noProof/>
        </w:rPr>
        <w:t>, nadogradnja potrebnih kapaciteta se može ostvariti kroz saradnju sa naučnim i istraživačkim institucijama uz dodatn</w:t>
      </w:r>
      <w:r w:rsidR="00AA0EE4">
        <w:rPr>
          <w:rFonts w:ascii="Cambria" w:hAnsi="Cambria"/>
          <w:noProof/>
        </w:rPr>
        <w:t>e</w:t>
      </w:r>
      <w:r w:rsidRPr="00AB15C7">
        <w:rPr>
          <w:rFonts w:ascii="Cambria" w:hAnsi="Cambria"/>
          <w:noProof/>
        </w:rPr>
        <w:t xml:space="preserve"> obuke eksternih stručnjaka u oblasti regulatorne proc</w:t>
      </w:r>
      <w:r w:rsidR="00FA1A60" w:rsidRPr="00AB15C7">
        <w:rPr>
          <w:rFonts w:ascii="Cambria" w:hAnsi="Cambria"/>
          <w:noProof/>
        </w:rPr>
        <w:t>j</w:t>
      </w:r>
      <w:r w:rsidRPr="00AB15C7">
        <w:rPr>
          <w:rFonts w:ascii="Cambria" w:hAnsi="Cambria"/>
          <w:noProof/>
        </w:rPr>
        <w:t xml:space="preserve">ene rizika. </w:t>
      </w:r>
      <w:r w:rsidR="00B8483C" w:rsidRPr="00AB15C7">
        <w:rPr>
          <w:rFonts w:ascii="Cambria" w:hAnsi="Cambria"/>
          <w:noProof/>
        </w:rPr>
        <w:t xml:space="preserve">Takođe, potrebne su obuke za korišćenje odgovarajućih IT </w:t>
      </w:r>
      <w:r w:rsidR="00991910">
        <w:rPr>
          <w:rFonts w:ascii="Cambria" w:hAnsi="Cambria"/>
          <w:noProof/>
        </w:rPr>
        <w:t>alata</w:t>
      </w:r>
      <w:r w:rsidR="00B8483C" w:rsidRPr="00AB15C7">
        <w:rPr>
          <w:rFonts w:ascii="Cambria" w:hAnsi="Cambria"/>
          <w:noProof/>
        </w:rPr>
        <w:t xml:space="preserve"> (IUCLID 6 i R4BP) koji industriji i nadležnim tijelima u EU omogućuju podnošenje, odnosno evaluaciju zahtjeva propisanih u REACH i BPR u odgovarajućoj formi, </w:t>
      </w:r>
      <w:r w:rsidR="00AA0EE4">
        <w:rPr>
          <w:rFonts w:ascii="Cambria" w:hAnsi="Cambria"/>
          <w:noProof/>
        </w:rPr>
        <w:t>kao i</w:t>
      </w:r>
      <w:r w:rsidR="00B8483C" w:rsidRPr="00AB15C7">
        <w:rPr>
          <w:rFonts w:ascii="Cambria" w:hAnsi="Cambria"/>
          <w:noProof/>
        </w:rPr>
        <w:t xml:space="preserve"> međusobnu razmjenu informacija u vezi sa hemikalijama i biocidnim proizvodima.  </w:t>
      </w:r>
      <w:r w:rsidR="00276CB4">
        <w:rPr>
          <w:rFonts w:ascii="Cambria" w:hAnsi="Cambria"/>
          <w:noProof/>
        </w:rPr>
        <w:t>T</w:t>
      </w:r>
      <w:r w:rsidRPr="00AB15C7">
        <w:rPr>
          <w:rFonts w:ascii="Cambria" w:hAnsi="Cambria"/>
          <w:noProof/>
        </w:rPr>
        <w:t>reba imati u vidu</w:t>
      </w:r>
      <w:r w:rsidR="00476A8B" w:rsidRPr="00AB15C7">
        <w:rPr>
          <w:rFonts w:ascii="Cambria" w:hAnsi="Cambria"/>
          <w:noProof/>
        </w:rPr>
        <w:t xml:space="preserve"> </w:t>
      </w:r>
      <w:bookmarkStart w:id="82" w:name="_Hlk523325923"/>
      <w:r w:rsidR="00476A8B" w:rsidRPr="00AB15C7">
        <w:rPr>
          <w:rFonts w:ascii="Cambria" w:hAnsi="Cambria"/>
          <w:noProof/>
        </w:rPr>
        <w:t xml:space="preserve">strateško opredeljenje Crne </w:t>
      </w:r>
      <w:r w:rsidR="00FA1A60" w:rsidRPr="00AB15C7">
        <w:rPr>
          <w:rFonts w:ascii="Cambria" w:hAnsi="Cambria"/>
          <w:noProof/>
        </w:rPr>
        <w:t xml:space="preserve">Gore </w:t>
      </w:r>
      <w:r w:rsidR="00476A8B" w:rsidRPr="00AB15C7">
        <w:rPr>
          <w:rFonts w:ascii="Cambria" w:hAnsi="Cambria"/>
          <w:noProof/>
        </w:rPr>
        <w:t xml:space="preserve">za pristupanje EU, te da </w:t>
      </w:r>
      <w:r w:rsidRPr="00AB15C7">
        <w:rPr>
          <w:rFonts w:ascii="Cambria" w:hAnsi="Cambria"/>
          <w:noProof/>
        </w:rPr>
        <w:t>EU propisi</w:t>
      </w:r>
      <w:r w:rsidR="00476A8B" w:rsidRPr="00AB15C7">
        <w:rPr>
          <w:rFonts w:ascii="Cambria" w:hAnsi="Cambria"/>
          <w:noProof/>
        </w:rPr>
        <w:t xml:space="preserve"> u oblasti hemikalija i biocidnih proizvoda predstavljaju u stručnom pogledu možda najzaht</w:t>
      </w:r>
      <w:r w:rsidR="00D06A73">
        <w:rPr>
          <w:rFonts w:ascii="Cambria" w:hAnsi="Cambria"/>
          <w:noProof/>
        </w:rPr>
        <w:t>j</w:t>
      </w:r>
      <w:r w:rsidR="00476A8B" w:rsidRPr="00AB15C7">
        <w:rPr>
          <w:rFonts w:ascii="Cambria" w:hAnsi="Cambria"/>
          <w:noProof/>
        </w:rPr>
        <w:t>evnije propise EU i da se od buduće države članice E</w:t>
      </w:r>
      <w:r w:rsidR="00FA1A60" w:rsidRPr="00AB15C7">
        <w:rPr>
          <w:rFonts w:ascii="Cambria" w:hAnsi="Cambria"/>
          <w:noProof/>
        </w:rPr>
        <w:t>U</w:t>
      </w:r>
      <w:r w:rsidR="00476A8B" w:rsidRPr="00AB15C7">
        <w:rPr>
          <w:rFonts w:ascii="Cambria" w:hAnsi="Cambria"/>
          <w:noProof/>
        </w:rPr>
        <w:t xml:space="preserve"> zaht</w:t>
      </w:r>
      <w:r w:rsidR="00D06A73">
        <w:rPr>
          <w:rFonts w:ascii="Cambria" w:hAnsi="Cambria"/>
          <w:noProof/>
        </w:rPr>
        <w:t>ij</w:t>
      </w:r>
      <w:r w:rsidR="00476A8B" w:rsidRPr="00AB15C7">
        <w:rPr>
          <w:rFonts w:ascii="Cambria" w:hAnsi="Cambria"/>
          <w:noProof/>
        </w:rPr>
        <w:t xml:space="preserve">eva da </w:t>
      </w:r>
      <w:r w:rsidRPr="00AB15C7">
        <w:rPr>
          <w:rFonts w:ascii="Cambria" w:hAnsi="Cambria"/>
          <w:noProof/>
        </w:rPr>
        <w:t xml:space="preserve"> </w:t>
      </w:r>
      <w:r w:rsidR="00476A8B" w:rsidRPr="00AB15C7">
        <w:rPr>
          <w:rFonts w:ascii="Cambria" w:hAnsi="Cambria"/>
          <w:noProof/>
        </w:rPr>
        <w:t>obezb</w:t>
      </w:r>
      <w:r w:rsidR="00D06A73">
        <w:rPr>
          <w:rFonts w:ascii="Cambria" w:hAnsi="Cambria"/>
          <w:noProof/>
        </w:rPr>
        <w:t>i</w:t>
      </w:r>
      <w:r w:rsidR="00FA1A60" w:rsidRPr="00AB15C7">
        <w:rPr>
          <w:rFonts w:ascii="Cambria" w:hAnsi="Cambria"/>
          <w:noProof/>
        </w:rPr>
        <w:t>j</w:t>
      </w:r>
      <w:r w:rsidR="00476A8B" w:rsidRPr="00AB15C7">
        <w:rPr>
          <w:rFonts w:ascii="Cambria" w:hAnsi="Cambria"/>
          <w:noProof/>
        </w:rPr>
        <w:t xml:space="preserve">edi kadrove koji će biti osposobljeni da efikasno sprovode ove propise. </w:t>
      </w:r>
      <w:bookmarkEnd w:id="82"/>
      <w:r w:rsidR="00476A8B" w:rsidRPr="00AB15C7">
        <w:rPr>
          <w:rFonts w:ascii="Cambria" w:hAnsi="Cambria"/>
          <w:noProof/>
        </w:rPr>
        <w:t>Stoga, u predpristupnom periodu treba iskoristiti tehničku pomoć koja je na raspolaganju zemljama kandidatima za članstvo u EU i obučiti administrativno osoblje i eksterne stručnjake za obavljanje poslova u oblasti upravljanja hemikalijama u punom obimu onakvom kakav će biti neophod</w:t>
      </w:r>
      <w:r w:rsidR="00FA1A60" w:rsidRPr="00AB15C7">
        <w:rPr>
          <w:rFonts w:ascii="Cambria" w:hAnsi="Cambria"/>
          <w:noProof/>
        </w:rPr>
        <w:t>a</w:t>
      </w:r>
      <w:r w:rsidR="00476A8B" w:rsidRPr="00AB15C7">
        <w:rPr>
          <w:rFonts w:ascii="Cambria" w:hAnsi="Cambria"/>
          <w:noProof/>
        </w:rPr>
        <w:t>n kada Crn</w:t>
      </w:r>
      <w:r w:rsidR="00013714" w:rsidRPr="00AB15C7">
        <w:rPr>
          <w:rFonts w:ascii="Cambria" w:hAnsi="Cambria"/>
          <w:noProof/>
        </w:rPr>
        <w:t xml:space="preserve">a </w:t>
      </w:r>
      <w:r w:rsidR="00476A8B" w:rsidRPr="00AB15C7">
        <w:rPr>
          <w:rFonts w:ascii="Cambria" w:hAnsi="Cambria"/>
          <w:noProof/>
        </w:rPr>
        <w:t>Gor</w:t>
      </w:r>
      <w:r w:rsidR="00013714" w:rsidRPr="00AB15C7">
        <w:rPr>
          <w:rFonts w:ascii="Cambria" w:hAnsi="Cambria"/>
          <w:noProof/>
        </w:rPr>
        <w:t>a postane članica i</w:t>
      </w:r>
      <w:r w:rsidR="00476A8B" w:rsidRPr="00AB15C7">
        <w:rPr>
          <w:rFonts w:ascii="Cambria" w:hAnsi="Cambria"/>
          <w:noProof/>
        </w:rPr>
        <w:t xml:space="preserve"> dođe do pune prim</w:t>
      </w:r>
      <w:r w:rsidR="00FA1A60" w:rsidRPr="00AB15C7">
        <w:rPr>
          <w:rFonts w:ascii="Cambria" w:hAnsi="Cambria"/>
          <w:noProof/>
        </w:rPr>
        <w:t>j</w:t>
      </w:r>
      <w:r w:rsidR="00476A8B" w:rsidRPr="00AB15C7">
        <w:rPr>
          <w:rFonts w:ascii="Cambria" w:hAnsi="Cambria"/>
          <w:noProof/>
        </w:rPr>
        <w:t>ene EU propisa u ovoj oblasti.</w:t>
      </w:r>
    </w:p>
    <w:p w14:paraId="58218A0C" w14:textId="75C39523" w:rsidR="00276CB4" w:rsidRPr="00276CB4" w:rsidRDefault="00276CB4" w:rsidP="00276CB4">
      <w:pPr>
        <w:autoSpaceDE w:val="0"/>
        <w:autoSpaceDN w:val="0"/>
        <w:adjustRightInd w:val="0"/>
        <w:spacing w:before="120" w:after="0"/>
        <w:jc w:val="both"/>
        <w:rPr>
          <w:rFonts w:ascii="Cambria" w:hAnsi="Cambria" w:cs="Arial"/>
          <w:noProof/>
          <w:lang w:val="pl-PL"/>
        </w:rPr>
      </w:pPr>
      <w:r w:rsidRPr="00276CB4">
        <w:rPr>
          <w:rFonts w:ascii="Cambria" w:hAnsi="Cambria" w:cs="Arial"/>
          <w:noProof/>
          <w:lang w:val="pl-PL"/>
        </w:rPr>
        <w:t xml:space="preserve">S tim u vezi, </w:t>
      </w:r>
      <w:r>
        <w:rPr>
          <w:rFonts w:ascii="Cambria" w:hAnsi="Cambria" w:cs="Arial"/>
          <w:noProof/>
          <w:lang w:val="pl-PL"/>
        </w:rPr>
        <w:t>d</w:t>
      </w:r>
      <w:r w:rsidR="00AA0EE4">
        <w:rPr>
          <w:rFonts w:ascii="Cambria" w:hAnsi="Cambria" w:cs="Arial"/>
          <w:noProof/>
          <w:lang w:val="pl-PL"/>
        </w:rPr>
        <w:t>i</w:t>
      </w:r>
      <w:r>
        <w:rPr>
          <w:rFonts w:ascii="Cambria" w:hAnsi="Cambria" w:cs="Arial"/>
          <w:noProof/>
          <w:lang w:val="pl-PL"/>
        </w:rPr>
        <w:t xml:space="preserve">o potrebnih aktivnosti u pogledu </w:t>
      </w:r>
      <w:r w:rsidRPr="00276CB4">
        <w:rPr>
          <w:rFonts w:ascii="Cambria" w:hAnsi="Cambria" w:cs="Arial"/>
          <w:noProof/>
          <w:lang w:val="pl-PL"/>
        </w:rPr>
        <w:t>jačanj</w:t>
      </w:r>
      <w:r>
        <w:rPr>
          <w:rFonts w:ascii="Cambria" w:hAnsi="Cambria" w:cs="Arial"/>
          <w:noProof/>
          <w:lang w:val="pl-PL"/>
        </w:rPr>
        <w:t>a</w:t>
      </w:r>
      <w:r w:rsidRPr="00276CB4">
        <w:rPr>
          <w:rFonts w:ascii="Cambria" w:hAnsi="Cambria" w:cs="Arial"/>
          <w:noProof/>
          <w:lang w:val="pl-PL"/>
        </w:rPr>
        <w:t xml:space="preserve"> kapaciteta za upravljanje hemikalijama </w:t>
      </w:r>
      <w:r>
        <w:rPr>
          <w:rFonts w:ascii="Cambria" w:hAnsi="Cambria" w:cs="Arial"/>
          <w:noProof/>
          <w:lang w:val="pl-PL"/>
        </w:rPr>
        <w:t>j</w:t>
      </w:r>
      <w:r w:rsidRPr="00276CB4">
        <w:rPr>
          <w:rFonts w:ascii="Cambria" w:hAnsi="Cambria" w:cs="Arial"/>
          <w:noProof/>
          <w:lang w:val="pl-PL"/>
        </w:rPr>
        <w:t>e u prethodnom periodu ostvar</w:t>
      </w:r>
      <w:r>
        <w:rPr>
          <w:rFonts w:ascii="Cambria" w:hAnsi="Cambria" w:cs="Arial"/>
          <w:noProof/>
          <w:lang w:val="pl-PL"/>
        </w:rPr>
        <w:t>en</w:t>
      </w:r>
      <w:r w:rsidRPr="00276CB4">
        <w:rPr>
          <w:rFonts w:ascii="Cambria" w:hAnsi="Cambria" w:cs="Arial"/>
          <w:noProof/>
          <w:lang w:val="pl-PL"/>
        </w:rPr>
        <w:t xml:space="preserve"> </w:t>
      </w:r>
      <w:r>
        <w:rPr>
          <w:rFonts w:ascii="Cambria" w:hAnsi="Cambria" w:cs="Arial"/>
          <w:noProof/>
          <w:lang w:val="pl-PL"/>
        </w:rPr>
        <w:t xml:space="preserve">kroz </w:t>
      </w:r>
      <w:r w:rsidRPr="00276CB4">
        <w:rPr>
          <w:rFonts w:ascii="Cambria" w:hAnsi="Cambria" w:cs="Arial"/>
          <w:noProof/>
          <w:lang w:val="pl-PL"/>
        </w:rPr>
        <w:t>IPA projekat „Pripremne mjere za upravljanje hemikalijama za zemlje kandidate i potencijalne kandidate“ koji realizuje ECHA. U ovaj projekat uključene su Albanija, BiH, Kosovo, Srbija, Turska, Makedonija i Crna Gora kao zemlje koje su u fazi priprema za pristupanje EU. Projekat ce trajati do 2019. Cilj projekta je jačanje kapaciteta za implementaciju obaveza utvrđenih propisima Crne Gore u skladu sa odgovarajućim propisima EU (REACH, CLP, BPR i PIC).</w:t>
      </w:r>
      <w:r w:rsidRPr="00276CB4">
        <w:t xml:space="preserve"> </w:t>
      </w:r>
      <w:r w:rsidRPr="00276CB4">
        <w:rPr>
          <w:rFonts w:ascii="Cambria" w:hAnsi="Cambria" w:cs="Arial"/>
          <w:noProof/>
          <w:lang w:val="pl-PL"/>
        </w:rPr>
        <w:t>Takođe, planiran je i novi projekat u cilju podržavanja aktivnosti i specifičnih potreba za bezbjedno upravljanje hemikalijama u Crnoj Gori. Predlog projekta nastao je na inicijativu DG NEAR</w:t>
      </w:r>
      <w:r w:rsidRPr="00276CB4">
        <w:rPr>
          <w:rFonts w:ascii="Cambria" w:hAnsi="Cambria" w:cs="Arial"/>
          <w:noProof/>
          <w:vertAlign w:val="superscript"/>
          <w:lang w:val="pl-PL"/>
        </w:rPr>
        <w:footnoteReference w:id="32"/>
      </w:r>
      <w:r w:rsidRPr="00276CB4">
        <w:rPr>
          <w:rFonts w:ascii="Cambria" w:hAnsi="Cambria" w:cs="Arial"/>
          <w:noProof/>
          <w:lang w:val="pl-PL"/>
        </w:rPr>
        <w:t xml:space="preserve"> i trebalo bi da počne u martu 2019</w:t>
      </w:r>
      <w:r w:rsidR="00AA0EE4">
        <w:rPr>
          <w:rFonts w:ascii="Cambria" w:hAnsi="Cambria" w:cs="Arial"/>
          <w:noProof/>
          <w:lang w:val="pl-PL"/>
        </w:rPr>
        <w:t>.</w:t>
      </w:r>
      <w:r w:rsidRPr="00276CB4">
        <w:rPr>
          <w:rFonts w:ascii="Cambria" w:hAnsi="Cambria" w:cs="Arial"/>
          <w:noProof/>
          <w:lang w:val="pl-PL"/>
        </w:rPr>
        <w:t xml:space="preserve"> i da traje dvije godine.</w:t>
      </w:r>
    </w:p>
    <w:p w14:paraId="19B9D9CF" w14:textId="77777777" w:rsidR="00276CB4" w:rsidRPr="00276CB4" w:rsidRDefault="00276CB4" w:rsidP="00276CB4">
      <w:pPr>
        <w:autoSpaceDE w:val="0"/>
        <w:autoSpaceDN w:val="0"/>
        <w:adjustRightInd w:val="0"/>
        <w:spacing w:before="120" w:after="0"/>
        <w:jc w:val="both"/>
        <w:rPr>
          <w:rFonts w:ascii="Cambria" w:hAnsi="Cambria" w:cs="Arial"/>
          <w:noProof/>
          <w:lang w:val="pl-PL"/>
        </w:rPr>
      </w:pPr>
      <w:r w:rsidRPr="00276CB4">
        <w:rPr>
          <w:rFonts w:ascii="Cambria" w:hAnsi="Cambria" w:cs="Arial"/>
          <w:noProof/>
          <w:lang w:val="pl-PL"/>
        </w:rPr>
        <w:t>Tokom 2017. godine u sklopu navedenog IPA projekta organizovano je sljedeće:</w:t>
      </w:r>
    </w:p>
    <w:p w14:paraId="09E59FD0" w14:textId="77777777" w:rsidR="00276CB4" w:rsidRPr="00276CB4" w:rsidRDefault="00276CB4" w:rsidP="00557C13">
      <w:pPr>
        <w:numPr>
          <w:ilvl w:val="0"/>
          <w:numId w:val="5"/>
        </w:numPr>
        <w:autoSpaceDE w:val="0"/>
        <w:autoSpaceDN w:val="0"/>
        <w:adjustRightInd w:val="0"/>
        <w:spacing w:after="0"/>
        <w:jc w:val="both"/>
        <w:rPr>
          <w:rFonts w:ascii="Cambria" w:hAnsi="Cambria" w:cs="Arial"/>
          <w:noProof/>
          <w:lang w:val="pl-PL"/>
        </w:rPr>
      </w:pPr>
      <w:r w:rsidRPr="00276CB4">
        <w:rPr>
          <w:rFonts w:ascii="Cambria" w:hAnsi="Cambria" w:cs="Arial"/>
          <w:noProof/>
          <w:lang w:val="pl-PL"/>
        </w:rPr>
        <w:t>Radionica o procjeni rizika od hemikalija (5-6. april 2017, Tirana) –sa ciljem razmjene iskustava svih zemalja učesnica projekta o procjeni rizika od hemikalija kako u zakonodavnom dijelu, tako i u administrativnom, kao i identifikovanje daljih neophodnih obuka. Predstavnici AZPŽS i CETI su učestvovali na navedenoj radionici;</w:t>
      </w:r>
    </w:p>
    <w:p w14:paraId="49309839" w14:textId="77777777" w:rsidR="00276CB4" w:rsidRPr="00276CB4" w:rsidRDefault="00276CB4" w:rsidP="00557C13">
      <w:pPr>
        <w:numPr>
          <w:ilvl w:val="0"/>
          <w:numId w:val="5"/>
        </w:numPr>
        <w:autoSpaceDE w:val="0"/>
        <w:autoSpaceDN w:val="0"/>
        <w:adjustRightInd w:val="0"/>
        <w:spacing w:after="0"/>
        <w:jc w:val="both"/>
        <w:rPr>
          <w:rFonts w:ascii="Cambria" w:hAnsi="Cambria" w:cs="Arial"/>
          <w:noProof/>
          <w:lang w:val="pl-PL"/>
        </w:rPr>
      </w:pPr>
      <w:r w:rsidRPr="00276CB4">
        <w:rPr>
          <w:rFonts w:ascii="Cambria" w:hAnsi="Cambria" w:cs="Arial"/>
          <w:noProof/>
          <w:lang w:val="pl-PL"/>
        </w:rPr>
        <w:t>Radionica o uspostavljanju efikasnijeg procesa ograničavanja hemikalija (17-18. maj 2017- Helsinki): Na navedenoj radionici su zemlje članice EU ukazale na probleme koji se uglavnom odnose na nedostatak adekvatnih podataka, ograničene kapacitete (administrativne i finansijske). Predstavnik MORT je učestvovao na navedenoj radionici;</w:t>
      </w:r>
    </w:p>
    <w:p w14:paraId="684C9C3F" w14:textId="77777777" w:rsidR="00276CB4" w:rsidRPr="00276CB4" w:rsidRDefault="00276CB4" w:rsidP="00557C13">
      <w:pPr>
        <w:numPr>
          <w:ilvl w:val="0"/>
          <w:numId w:val="5"/>
        </w:numPr>
        <w:autoSpaceDE w:val="0"/>
        <w:autoSpaceDN w:val="0"/>
        <w:adjustRightInd w:val="0"/>
        <w:spacing w:after="0"/>
        <w:jc w:val="both"/>
        <w:rPr>
          <w:rFonts w:ascii="Cambria" w:hAnsi="Cambria" w:cs="Arial"/>
          <w:noProof/>
          <w:lang w:val="pl-PL"/>
        </w:rPr>
      </w:pPr>
      <w:r w:rsidRPr="00276CB4">
        <w:rPr>
          <w:rFonts w:ascii="Cambria" w:hAnsi="Cambria" w:cs="Arial"/>
          <w:noProof/>
          <w:lang w:val="pl-PL"/>
        </w:rPr>
        <w:lastRenderedPageBreak/>
        <w:t>Studijska posjeta Ministarstvu zdravlja Republike Hrvatske (4-5 jul 2017. Zagreb), koje je nadležno za poslove upravljanja hemikalijama i biocidnim proizvodima, sa ciljem upoznavanje sa načinom rada helpdeska i Centra za kontrolu trovanja, načinom funkcionisanja inspekcijskih nadzora, kao i posjetu postrojenju „INA Maziva i ulja“. Predstavnici AZPŽS i MORT su učestvovali na navedenoj radionici;</w:t>
      </w:r>
    </w:p>
    <w:p w14:paraId="5E12F90C" w14:textId="77777777" w:rsidR="00276CB4" w:rsidRPr="00276CB4" w:rsidRDefault="00276CB4" w:rsidP="00557C13">
      <w:pPr>
        <w:numPr>
          <w:ilvl w:val="0"/>
          <w:numId w:val="5"/>
        </w:numPr>
        <w:autoSpaceDE w:val="0"/>
        <w:autoSpaceDN w:val="0"/>
        <w:adjustRightInd w:val="0"/>
        <w:spacing w:after="0"/>
        <w:jc w:val="both"/>
        <w:rPr>
          <w:rFonts w:ascii="Cambria" w:hAnsi="Cambria" w:cs="Arial"/>
          <w:noProof/>
          <w:lang w:val="pl-PL"/>
        </w:rPr>
      </w:pPr>
      <w:r w:rsidRPr="00276CB4">
        <w:rPr>
          <w:rFonts w:ascii="Cambria" w:hAnsi="Cambria" w:cs="Arial"/>
          <w:noProof/>
          <w:lang w:val="pl-PL"/>
        </w:rPr>
        <w:t>Proslava 10 godina postojanja ECHA i Hemijski forum-(07-09.06.2017 u Helsinkiju)-nezavisni godišnji forum za nadležne organe na kojem se vodio otvoreni dijalog o ključnim pitanjima koja su od globalnog značaja za bezbjednu upotrebu hemikalija. Predstavnik AZPŽS je učestvovao na navedenom forumu.</w:t>
      </w:r>
    </w:p>
    <w:p w14:paraId="18E92B3C" w14:textId="77777777" w:rsidR="00276CB4" w:rsidRPr="00276CB4" w:rsidRDefault="00276CB4" w:rsidP="00557C13">
      <w:pPr>
        <w:numPr>
          <w:ilvl w:val="0"/>
          <w:numId w:val="5"/>
        </w:numPr>
        <w:autoSpaceDE w:val="0"/>
        <w:autoSpaceDN w:val="0"/>
        <w:adjustRightInd w:val="0"/>
        <w:spacing w:after="0"/>
        <w:jc w:val="both"/>
        <w:rPr>
          <w:rFonts w:ascii="Cambria" w:hAnsi="Cambria" w:cs="Arial"/>
          <w:noProof/>
          <w:lang w:val="pl-PL"/>
        </w:rPr>
      </w:pPr>
      <w:r w:rsidRPr="00276CB4">
        <w:rPr>
          <w:rFonts w:ascii="Cambria" w:hAnsi="Cambria" w:cs="Arial"/>
          <w:noProof/>
          <w:lang w:val="pl-PL"/>
        </w:rPr>
        <w:t>Otvorena sesija 28. sastanka Foruma za razmjenu informacija o sprovođenju Uredbe REACH i</w:t>
      </w:r>
      <w:r w:rsidRPr="00276CB4">
        <w:rPr>
          <w:rFonts w:ascii="Cambria" w:hAnsi="Cambria"/>
          <w:b/>
          <w:noProof/>
          <w:color w:val="000000"/>
          <w:lang w:val="sr-Latn-ME"/>
        </w:rPr>
        <w:t xml:space="preserve"> </w:t>
      </w:r>
      <w:r w:rsidRPr="00276CB4">
        <w:rPr>
          <w:rFonts w:ascii="Cambria" w:hAnsi="Cambria" w:cs="Arial"/>
          <w:noProof/>
          <w:lang w:val="pl-PL"/>
        </w:rPr>
        <w:t>CLP (8. novembra 2017. godine u Helsinkiju, Finska). Predstavnici UIP-a učestvovali su na navedenom sastanku.</w:t>
      </w:r>
    </w:p>
    <w:p w14:paraId="442C6986" w14:textId="3F00940E" w:rsidR="00276CB4" w:rsidRPr="00276CB4" w:rsidRDefault="00276CB4" w:rsidP="00276CB4">
      <w:pPr>
        <w:autoSpaceDE w:val="0"/>
        <w:autoSpaceDN w:val="0"/>
        <w:adjustRightInd w:val="0"/>
        <w:spacing w:before="120" w:after="0"/>
        <w:jc w:val="both"/>
        <w:rPr>
          <w:rFonts w:ascii="Cambria" w:hAnsi="Cambria" w:cs="Arial"/>
          <w:noProof/>
          <w:lang w:val="pl-PL"/>
        </w:rPr>
      </w:pPr>
      <w:r w:rsidRPr="00276CB4">
        <w:rPr>
          <w:rFonts w:ascii="Cambria" w:hAnsi="Cambria" w:cs="Arial"/>
          <w:noProof/>
          <w:lang w:val="pl-PL"/>
        </w:rPr>
        <w:t xml:space="preserve">Takođe, AZPŽS </w:t>
      </w:r>
      <w:r w:rsidR="00AA0EE4">
        <w:rPr>
          <w:rFonts w:ascii="Cambria" w:hAnsi="Cambria" w:cs="Arial"/>
          <w:noProof/>
          <w:lang w:val="pl-PL"/>
        </w:rPr>
        <w:t>je odobrena</w:t>
      </w:r>
      <w:r w:rsidRPr="00276CB4">
        <w:rPr>
          <w:rFonts w:ascii="Cambria" w:hAnsi="Cambria" w:cs="Arial"/>
          <w:noProof/>
          <w:lang w:val="pl-PL"/>
        </w:rPr>
        <w:t xml:space="preserve"> i TAIEX studijska posjeta „Uspostavljanje helpdeska“ (avgust 2017.) u Zagrebu, na kojoj su njeni predstavnici, između ostalog upoznati sa regulatornim okvirom službe</w:t>
      </w:r>
      <w:r w:rsidRPr="00276CB4">
        <w:rPr>
          <w:rFonts w:ascii="Cambria" w:hAnsi="Cambria"/>
          <w:b/>
          <w:noProof/>
          <w:color w:val="000000"/>
          <w:lang w:val="sr-Latn-ME"/>
        </w:rPr>
        <w:t xml:space="preserve"> </w:t>
      </w:r>
      <w:r w:rsidRPr="00276CB4">
        <w:rPr>
          <w:rFonts w:ascii="Cambria" w:hAnsi="Cambria" w:cs="Arial"/>
          <w:noProof/>
          <w:lang w:val="pl-PL"/>
        </w:rPr>
        <w:t xml:space="preserve">helpdeska, najčešćim pitanjima. </w:t>
      </w:r>
    </w:p>
    <w:p w14:paraId="76D91384" w14:textId="77777777" w:rsidR="00276CB4" w:rsidRPr="00276CB4" w:rsidRDefault="00276CB4" w:rsidP="00276CB4">
      <w:pPr>
        <w:autoSpaceDE w:val="0"/>
        <w:autoSpaceDN w:val="0"/>
        <w:adjustRightInd w:val="0"/>
        <w:spacing w:before="120" w:after="0"/>
        <w:jc w:val="both"/>
        <w:rPr>
          <w:rFonts w:ascii="Cambria" w:hAnsi="Cambria" w:cs="Arial"/>
          <w:noProof/>
          <w:lang w:val="pl-PL"/>
        </w:rPr>
      </w:pPr>
      <w:r w:rsidRPr="00276CB4">
        <w:rPr>
          <w:rFonts w:ascii="Cambria" w:hAnsi="Cambria" w:cs="Arial"/>
          <w:noProof/>
          <w:lang w:val="pl-PL"/>
        </w:rPr>
        <w:t>Predstavnik AZPŽS učestvovao je na „IHR ljetnja škola“ (International health regulations summer school) za zemlje Jugoistočne Evrope u julu 2017. (Berlin) sa ciljem prevencije širenja bolesti na međunarodnom nivou kroz otkrivanje, procjenu rizika i, ukoliko je potrebno, pružanje koordinisanog odgovora na rizike koji mogu predstavljati međunarodnu prijetnju po javno zdravlje.</w:t>
      </w:r>
    </w:p>
    <w:p w14:paraId="00CEA6FE" w14:textId="4C53A4D5" w:rsidR="00276CB4" w:rsidRPr="00276CB4" w:rsidRDefault="00276CB4" w:rsidP="00276CB4">
      <w:pPr>
        <w:autoSpaceDE w:val="0"/>
        <w:autoSpaceDN w:val="0"/>
        <w:adjustRightInd w:val="0"/>
        <w:spacing w:before="120" w:after="0"/>
        <w:jc w:val="both"/>
        <w:rPr>
          <w:rFonts w:ascii="Cambria" w:hAnsi="Cambria" w:cs="Arial"/>
          <w:noProof/>
          <w:lang w:val="pl-PL"/>
        </w:rPr>
      </w:pPr>
      <w:r>
        <w:rPr>
          <w:rFonts w:ascii="Cambria" w:hAnsi="Cambria" w:cs="Arial"/>
          <w:noProof/>
          <w:lang w:val="pl-PL"/>
        </w:rPr>
        <w:t>U</w:t>
      </w:r>
      <w:r w:rsidRPr="00276CB4">
        <w:rPr>
          <w:rFonts w:ascii="Cambria" w:hAnsi="Cambria" w:cs="Arial"/>
          <w:noProof/>
          <w:lang w:val="pl-PL"/>
        </w:rPr>
        <w:t xml:space="preserve"> februaru 2017. godine, u Zagrebu (Republika Hrvatska) održana je subregionalna radionica za zemlje jugoistočne Evrope o prevenciji industrijskih udesa na kojoj su učestvovali predstavnici Direktorata za vanredne situacije Ministarstva unutrašnjih poslova, Ministarstva održivog razvoja i turizma i ekološki inspektori. Radionica je imala cilj: jačanje stručnih i administrativnih kapaciteta zemalja jugoistočne Evrope u oblasti  identifikacije i obavještavanja o opasnim aktivnostima u skladu sa Aneksom I Konvencije o prekograničnim efektima industrijskih udesa i zahtjeva Seveso III Direktive; jačanje svijesti u zemljama jugoistočne Evrope o održivom razvoju i Sendai okviru za smanjenje rizika od katastrofa 2015-2030, kao i smanjenje broja industrijskih udesa. Radionicu je organizovala Ekonomska komisija Ujedinjenih nacija za Evropu (UNECE) u okviru TAIEX podrške. </w:t>
      </w:r>
    </w:p>
    <w:p w14:paraId="7F930C91" w14:textId="77777777" w:rsidR="00013714" w:rsidRPr="00AB15C7" w:rsidRDefault="00DE50A7" w:rsidP="00557C13">
      <w:pPr>
        <w:pStyle w:val="Heading1"/>
        <w:numPr>
          <w:ilvl w:val="1"/>
          <w:numId w:val="33"/>
        </w:numPr>
        <w:rPr>
          <w:noProof/>
          <w:sz w:val="22"/>
          <w:szCs w:val="22"/>
          <w:lang w:val="en-US"/>
        </w:rPr>
      </w:pPr>
      <w:bookmarkStart w:id="83" w:name="_Toc527353205"/>
      <w:r w:rsidRPr="00AB15C7">
        <w:rPr>
          <w:noProof/>
          <w:sz w:val="22"/>
          <w:szCs w:val="22"/>
          <w:lang w:val="en-US"/>
        </w:rPr>
        <w:t>AKTIVNOSTI INDUSTRIJE, CIVILNOG SEKTORA, STRUKOVNIH I ISTRAŽIVAČKIH ORGANIZACIJA</w:t>
      </w:r>
      <w:bookmarkEnd w:id="83"/>
    </w:p>
    <w:p w14:paraId="4CDDE5BA" w14:textId="77777777" w:rsidR="00013714" w:rsidRPr="00AB15C7" w:rsidRDefault="00DE50A7" w:rsidP="004E065C">
      <w:pPr>
        <w:pStyle w:val="Heading2"/>
        <w:spacing w:after="120"/>
        <w:rPr>
          <w:noProof/>
          <w:sz w:val="22"/>
          <w:szCs w:val="22"/>
          <w:lang w:val="en-US"/>
        </w:rPr>
      </w:pPr>
      <w:bookmarkStart w:id="84" w:name="_Toc527353206"/>
      <w:r w:rsidRPr="00AB15C7">
        <w:rPr>
          <w:noProof/>
          <w:sz w:val="22"/>
          <w:szCs w:val="22"/>
          <w:lang w:val="en-US"/>
        </w:rPr>
        <w:t>2.</w:t>
      </w:r>
      <w:r w:rsidR="00837F7B" w:rsidRPr="00AB15C7">
        <w:rPr>
          <w:noProof/>
          <w:sz w:val="22"/>
          <w:szCs w:val="22"/>
          <w:lang w:val="en-US"/>
        </w:rPr>
        <w:t>5</w:t>
      </w:r>
      <w:r w:rsidR="00013714" w:rsidRPr="00AB15C7">
        <w:rPr>
          <w:noProof/>
          <w:sz w:val="22"/>
          <w:szCs w:val="22"/>
          <w:lang w:val="en-US"/>
        </w:rPr>
        <w:t>.1.</w:t>
      </w:r>
      <w:r w:rsidR="001C0420" w:rsidRPr="00AB15C7">
        <w:rPr>
          <w:noProof/>
          <w:sz w:val="22"/>
          <w:szCs w:val="22"/>
          <w:lang w:val="en-US"/>
        </w:rPr>
        <w:t xml:space="preserve"> </w:t>
      </w:r>
      <w:r w:rsidR="00837F7B" w:rsidRPr="00AB15C7">
        <w:rPr>
          <w:noProof/>
          <w:sz w:val="22"/>
          <w:szCs w:val="22"/>
          <w:lang w:val="en-US"/>
        </w:rPr>
        <w:t xml:space="preserve">Aktivnosti </w:t>
      </w:r>
      <w:r w:rsidR="001C0420" w:rsidRPr="00AB15C7">
        <w:rPr>
          <w:noProof/>
          <w:sz w:val="22"/>
          <w:szCs w:val="22"/>
          <w:lang w:val="en-US"/>
        </w:rPr>
        <w:t>industrijskih</w:t>
      </w:r>
      <w:r w:rsidR="0088780B" w:rsidRPr="00AB15C7">
        <w:rPr>
          <w:noProof/>
          <w:sz w:val="22"/>
          <w:szCs w:val="22"/>
          <w:lang w:val="en-US"/>
        </w:rPr>
        <w:t xml:space="preserve"> asocijacija</w:t>
      </w:r>
      <w:bookmarkEnd w:id="84"/>
    </w:p>
    <w:p w14:paraId="77C3011C" w14:textId="017B8314" w:rsidR="00013714" w:rsidRPr="00AB15C7" w:rsidRDefault="00013714" w:rsidP="005921EF">
      <w:pPr>
        <w:jc w:val="both"/>
        <w:rPr>
          <w:rFonts w:ascii="Cambria" w:hAnsi="Cambria"/>
          <w:noProof/>
        </w:rPr>
      </w:pPr>
      <w:r w:rsidRPr="00AB15C7">
        <w:rPr>
          <w:rFonts w:ascii="Cambria" w:hAnsi="Cambria"/>
          <w:b/>
          <w:noProof/>
        </w:rPr>
        <w:t>Privredna komora Crne Gore</w:t>
      </w:r>
      <w:r w:rsidRPr="00AB15C7">
        <w:rPr>
          <w:rFonts w:ascii="Cambria" w:hAnsi="Cambria"/>
          <w:noProof/>
        </w:rPr>
        <w:t xml:space="preserve"> kao privredna asocijacija zastupa interese svih privrednika radi privrednog i sveukupnog razvoja države Crne Gore. Komora obezbjeđuje ostvarivanje i unaprijeđivanje zajedničkih interesa svojih članova, učestvuje u donošenju privredno-sistemskih i mjera ekonomske politike iz nadležnosti države davanjem prijedloga i stavova po određenim pitanjima </w:t>
      </w:r>
      <w:bookmarkStart w:id="85" w:name="_Hlk522993653"/>
      <w:r w:rsidRPr="00AB15C7">
        <w:rPr>
          <w:rFonts w:ascii="Cambria" w:hAnsi="Cambria"/>
          <w:noProof/>
        </w:rPr>
        <w:t>od interesa za poslovanje i razvoj tržišne privrede. Imajući u vidu značajan uticaj koji će novi propisi u oblasti hemikalija u Crnoj Gori imati na privredne subjekte (bez obzira na mali obim hemijske proizvodnje), uloga Komore bi treblo da bude izražena u dolazećem periodu kroz</w:t>
      </w:r>
      <w:r w:rsidR="00CF4064">
        <w:rPr>
          <w:rFonts w:ascii="Cambria" w:hAnsi="Cambria"/>
          <w:noProof/>
        </w:rPr>
        <w:t xml:space="preserve"> </w:t>
      </w:r>
      <w:r w:rsidRPr="00AB15C7">
        <w:rPr>
          <w:rFonts w:ascii="Cambria" w:hAnsi="Cambria"/>
          <w:noProof/>
        </w:rPr>
        <w:t>pružanje pomoći privrednicima u radu na uvođenju standarda EU, pružanju potrebnih informacija</w:t>
      </w:r>
      <w:r w:rsidR="00CF4064">
        <w:rPr>
          <w:rFonts w:ascii="Cambria" w:hAnsi="Cambria"/>
          <w:noProof/>
        </w:rPr>
        <w:t xml:space="preserve"> i</w:t>
      </w:r>
      <w:r w:rsidRPr="00AB15C7">
        <w:rPr>
          <w:rFonts w:ascii="Cambria" w:hAnsi="Cambria"/>
          <w:noProof/>
        </w:rPr>
        <w:t xml:space="preserve"> povezivanju sa stranim partnerima</w:t>
      </w:r>
      <w:r w:rsidR="00CF4064">
        <w:rPr>
          <w:rFonts w:ascii="Cambria" w:hAnsi="Cambria"/>
          <w:noProof/>
        </w:rPr>
        <w:t>.</w:t>
      </w:r>
    </w:p>
    <w:bookmarkEnd w:id="85"/>
    <w:p w14:paraId="3B9C7343" w14:textId="77777777" w:rsidR="00013714" w:rsidRPr="00AB15C7" w:rsidRDefault="00013714" w:rsidP="00360F0F">
      <w:pPr>
        <w:spacing w:after="0"/>
        <w:rPr>
          <w:rFonts w:ascii="Cambria" w:hAnsi="Cambria"/>
          <w:noProof/>
        </w:rPr>
      </w:pPr>
      <w:r w:rsidRPr="00AB15C7">
        <w:rPr>
          <w:rFonts w:ascii="Cambria" w:hAnsi="Cambria"/>
          <w:noProof/>
        </w:rPr>
        <w:t xml:space="preserve">U oblasti </w:t>
      </w:r>
      <w:r w:rsidR="004456BC" w:rsidRPr="00AB15C7">
        <w:rPr>
          <w:rFonts w:ascii="Cambria" w:hAnsi="Cambria"/>
          <w:noProof/>
        </w:rPr>
        <w:t>povez</w:t>
      </w:r>
      <w:r w:rsidR="00001C90" w:rsidRPr="00AB15C7">
        <w:rPr>
          <w:rFonts w:ascii="Cambria" w:hAnsi="Cambria"/>
          <w:noProof/>
        </w:rPr>
        <w:t>a</w:t>
      </w:r>
      <w:r w:rsidR="004456BC" w:rsidRPr="00AB15C7">
        <w:rPr>
          <w:rFonts w:ascii="Cambria" w:hAnsi="Cambria"/>
          <w:noProof/>
        </w:rPr>
        <w:t xml:space="preserve">nim sa </w:t>
      </w:r>
      <w:r w:rsidRPr="00AB15C7">
        <w:rPr>
          <w:rFonts w:ascii="Cambria" w:hAnsi="Cambria"/>
          <w:noProof/>
        </w:rPr>
        <w:t>upravljanj</w:t>
      </w:r>
      <w:r w:rsidR="004456BC" w:rsidRPr="00AB15C7">
        <w:rPr>
          <w:rFonts w:ascii="Cambria" w:hAnsi="Cambria"/>
          <w:noProof/>
        </w:rPr>
        <w:t>em</w:t>
      </w:r>
      <w:r w:rsidRPr="00AB15C7">
        <w:rPr>
          <w:rFonts w:ascii="Cambria" w:hAnsi="Cambria"/>
          <w:noProof/>
        </w:rPr>
        <w:t xml:space="preserve"> hemikalijama</w:t>
      </w:r>
      <w:r w:rsidR="004456BC" w:rsidRPr="00AB15C7">
        <w:rPr>
          <w:rFonts w:ascii="Cambria" w:hAnsi="Cambria"/>
          <w:noProof/>
        </w:rPr>
        <w:t xml:space="preserve"> </w:t>
      </w:r>
      <w:r w:rsidRPr="00AB15C7">
        <w:rPr>
          <w:rFonts w:ascii="Cambria" w:hAnsi="Cambria"/>
          <w:noProof/>
        </w:rPr>
        <w:t xml:space="preserve">djeluju dva </w:t>
      </w:r>
      <w:r w:rsidR="004456BC" w:rsidRPr="00AB15C7">
        <w:rPr>
          <w:rFonts w:ascii="Cambria" w:hAnsi="Cambria"/>
          <w:noProof/>
        </w:rPr>
        <w:t xml:space="preserve">Udruženja </w:t>
      </w:r>
      <w:r w:rsidRPr="00AB15C7">
        <w:rPr>
          <w:rFonts w:ascii="Cambria" w:hAnsi="Cambria"/>
          <w:noProof/>
        </w:rPr>
        <w:t>Komore, i to</w:t>
      </w:r>
      <w:r w:rsidR="004456BC" w:rsidRPr="00AB15C7">
        <w:rPr>
          <w:rFonts w:ascii="Cambria" w:hAnsi="Cambria"/>
          <w:noProof/>
        </w:rPr>
        <w:t>:</w:t>
      </w:r>
    </w:p>
    <w:p w14:paraId="7BFEA4F5" w14:textId="77777777" w:rsidR="00013714" w:rsidRPr="00AB15C7" w:rsidRDefault="00013714" w:rsidP="00360F0F">
      <w:pPr>
        <w:numPr>
          <w:ilvl w:val="0"/>
          <w:numId w:val="1"/>
        </w:numPr>
        <w:spacing w:after="0"/>
        <w:jc w:val="both"/>
        <w:rPr>
          <w:rFonts w:ascii="Cambria" w:hAnsi="Cambria"/>
          <w:noProof/>
        </w:rPr>
      </w:pPr>
      <w:bookmarkStart w:id="86" w:name="_Toc390417894"/>
      <w:r w:rsidRPr="00AB15C7">
        <w:rPr>
          <w:rFonts w:ascii="Cambria" w:hAnsi="Cambria"/>
          <w:noProof/>
        </w:rPr>
        <w:t xml:space="preserve">Udruženje </w:t>
      </w:r>
      <w:bookmarkEnd w:id="86"/>
      <w:r w:rsidR="004456BC" w:rsidRPr="00AB15C7">
        <w:rPr>
          <w:rFonts w:ascii="Cambria" w:hAnsi="Cambria"/>
          <w:noProof/>
        </w:rPr>
        <w:t>metalurgije i metaloprerađivačke industrije</w:t>
      </w:r>
      <w:r w:rsidR="00001C90" w:rsidRPr="00AB15C7">
        <w:rPr>
          <w:rFonts w:ascii="Cambria" w:hAnsi="Cambria"/>
          <w:noProof/>
        </w:rPr>
        <w:t>-</w:t>
      </w:r>
      <w:r w:rsidR="004456BC" w:rsidRPr="00AB15C7">
        <w:rPr>
          <w:rFonts w:ascii="Cambria" w:hAnsi="Cambria"/>
          <w:noProof/>
        </w:rPr>
        <w:t xml:space="preserve"> </w:t>
      </w:r>
      <w:r w:rsidR="00001C90" w:rsidRPr="00AB15C7">
        <w:rPr>
          <w:rFonts w:ascii="Cambria" w:hAnsi="Cambria"/>
          <w:noProof/>
        </w:rPr>
        <w:t>koje</w:t>
      </w:r>
      <w:r w:rsidRPr="00AB15C7">
        <w:rPr>
          <w:rFonts w:ascii="Cambria" w:hAnsi="Cambria"/>
          <w:noProof/>
        </w:rPr>
        <w:t xml:space="preserve"> razmatra i rješava pitanja iz djelokruga rada ovih grana, daje sugestije, mišljenja i predloge po pitanjima koja su od zajedničkog interesa za sva preduzeća iz ove grupacije</w:t>
      </w:r>
      <w:r w:rsidR="004456BC" w:rsidRPr="00AB15C7">
        <w:rPr>
          <w:rFonts w:ascii="Cambria" w:hAnsi="Cambria"/>
          <w:noProof/>
        </w:rPr>
        <w:t>, koja uključuju i velike sisteme poput Kombinata aluminijuma i Toščelik</w:t>
      </w:r>
      <w:r w:rsidRPr="00AB15C7">
        <w:rPr>
          <w:rFonts w:ascii="Cambria" w:hAnsi="Cambria"/>
          <w:noProof/>
        </w:rPr>
        <w:t>.</w:t>
      </w:r>
    </w:p>
    <w:p w14:paraId="730B401D" w14:textId="77777777" w:rsidR="004456BC" w:rsidRPr="00AB15C7" w:rsidRDefault="004D5988" w:rsidP="005921EF">
      <w:pPr>
        <w:numPr>
          <w:ilvl w:val="0"/>
          <w:numId w:val="1"/>
        </w:numPr>
        <w:jc w:val="both"/>
        <w:rPr>
          <w:rFonts w:ascii="Cambria" w:hAnsi="Cambria"/>
          <w:noProof/>
        </w:rPr>
      </w:pPr>
      <w:r w:rsidRPr="00AB15C7">
        <w:rPr>
          <w:rFonts w:ascii="Cambria" w:hAnsi="Cambria"/>
          <w:noProof/>
        </w:rPr>
        <w:lastRenderedPageBreak/>
        <w:t>Udruženje energetike i rudarstva</w:t>
      </w:r>
      <w:r w:rsidR="00001C90" w:rsidRPr="00AB15C7">
        <w:rPr>
          <w:rFonts w:ascii="Cambria" w:hAnsi="Cambria"/>
          <w:noProof/>
        </w:rPr>
        <w:t xml:space="preserve"> koje razmatra i rješava pitanja iz djelokruga rada ovih grana i daje sugestije, mišljenja i predloge po pitanjima koja su od zajedničkog interesa za sva preduzeća iz ove grupacije, koja uključuju i EPCG kao i preduzeća koja posluju u oblasti nafte i gasa </w:t>
      </w:r>
    </w:p>
    <w:p w14:paraId="6511629D" w14:textId="5C94DD34" w:rsidR="00837F7B" w:rsidRPr="00AB15C7" w:rsidRDefault="00837F7B" w:rsidP="005921EF">
      <w:pPr>
        <w:jc w:val="both"/>
        <w:rPr>
          <w:rFonts w:ascii="Cambria" w:hAnsi="Cambria"/>
          <w:noProof/>
        </w:rPr>
      </w:pPr>
      <w:bookmarkStart w:id="87" w:name="_Toc390417895"/>
      <w:r w:rsidRPr="00AB15C7">
        <w:rPr>
          <w:rFonts w:ascii="Cambria" w:hAnsi="Cambria"/>
          <w:noProof/>
        </w:rPr>
        <w:t>Privredna komora Crne Gore, u okviru svojih redovnih programskih aktivnosti, kontinuirano  prati poslovanje privrede, te kao rezultat analize podataka, saopštenih stavova i sopstvenih istraživanja, godišnje priprema informacije sa predlozima mjera za unapr</w:t>
      </w:r>
      <w:r w:rsidR="00D06A73">
        <w:rPr>
          <w:rFonts w:ascii="Cambria" w:hAnsi="Cambria"/>
          <w:noProof/>
        </w:rPr>
        <w:t>j</w:t>
      </w:r>
      <w:r w:rsidRPr="00AB15C7">
        <w:rPr>
          <w:rFonts w:ascii="Cambria" w:hAnsi="Cambria"/>
          <w:noProof/>
        </w:rPr>
        <w:t>eđenje uslova za realizaciju poslovnih aktivnosti.</w:t>
      </w:r>
      <w:r w:rsidR="00677C5F">
        <w:rPr>
          <w:rFonts w:ascii="Cambria" w:hAnsi="Cambria"/>
          <w:noProof/>
        </w:rPr>
        <w:t xml:space="preserve"> </w:t>
      </w:r>
      <w:r w:rsidRPr="00AB15C7">
        <w:rPr>
          <w:rFonts w:ascii="Cambria" w:hAnsi="Cambria"/>
          <w:noProof/>
        </w:rPr>
        <w:t xml:space="preserve">Informacija „Crnogorska privreda u 2016. godini - rezultati, izazovi, mogućnosti“ sadrži analizu stanja u ekonomiji kroz sagledavanje makroekonomskih pokazatelja, pregled poslovanja po sektorima, poslovni ambijent, likvidnost, konkurentnost, razmjenu roba i usluga, te strane direktne investicije. Drugim dijelom informacije obuhvaćeni su potencijali rasta u sektoru usluga, prerađivačke industrije, kao i potencijali rasta kroz regionalno povezivanje odnosno projekte u sektoru saobraćaja i energetike. </w:t>
      </w:r>
    </w:p>
    <w:p w14:paraId="67010763" w14:textId="77777777" w:rsidR="00547807" w:rsidRDefault="00D06A26" w:rsidP="005921EF">
      <w:pPr>
        <w:jc w:val="both"/>
        <w:rPr>
          <w:rFonts w:ascii="Cambria" w:hAnsi="Cambria"/>
          <w:noProof/>
        </w:rPr>
      </w:pPr>
      <w:r w:rsidRPr="00AB15C7">
        <w:rPr>
          <w:rFonts w:ascii="Cambria" w:hAnsi="Cambria"/>
          <w:noProof/>
        </w:rPr>
        <w:t xml:space="preserve">Postoje </w:t>
      </w:r>
      <w:r w:rsidR="00FB4A07" w:rsidRPr="00AB15C7">
        <w:rPr>
          <w:rFonts w:ascii="Cambria" w:hAnsi="Cambria"/>
          <w:noProof/>
        </w:rPr>
        <w:t>i</w:t>
      </w:r>
      <w:r w:rsidRPr="00AB15C7">
        <w:rPr>
          <w:rFonts w:ascii="Cambria" w:hAnsi="Cambria"/>
          <w:noProof/>
        </w:rPr>
        <w:t xml:space="preserve"> druge privredne asocijacije kao </w:t>
      </w:r>
      <w:r w:rsidR="0008775E" w:rsidRPr="00AB15C7">
        <w:rPr>
          <w:rFonts w:ascii="Cambria" w:hAnsi="Cambria"/>
          <w:noProof/>
        </w:rPr>
        <w:t>š</w:t>
      </w:r>
      <w:r w:rsidRPr="00AB15C7">
        <w:rPr>
          <w:rFonts w:ascii="Cambria" w:hAnsi="Cambria"/>
          <w:noProof/>
        </w:rPr>
        <w:t>to su Unija poslodavaca Crne Gore, Asocijacija menadžera Crne Gore, Američka privredna komora i Montenegro biznis alijansa, pružaju kontinuiranu podršku preduzećima u vidu savjetodavnih usluga i edukativnim programa u oblastima od značaja za njihovo poslovanje, rast i razvoj, no do sada nije bilo aktivnosti usm</w:t>
      </w:r>
      <w:r w:rsidR="0008775E" w:rsidRPr="00AB15C7">
        <w:rPr>
          <w:rFonts w:ascii="Cambria" w:hAnsi="Cambria"/>
          <w:noProof/>
        </w:rPr>
        <w:t>j</w:t>
      </w:r>
      <w:r w:rsidRPr="00AB15C7">
        <w:rPr>
          <w:rFonts w:ascii="Cambria" w:hAnsi="Cambria"/>
          <w:noProof/>
        </w:rPr>
        <w:t>erenih na upravljanje hemikalijama.</w:t>
      </w:r>
    </w:p>
    <w:p w14:paraId="6BDFFA7D" w14:textId="77777777" w:rsidR="00FB4A07" w:rsidRPr="004E065C" w:rsidRDefault="00DE50A7" w:rsidP="004E065C">
      <w:pPr>
        <w:pStyle w:val="Heading2"/>
        <w:spacing w:after="120"/>
        <w:rPr>
          <w:noProof/>
          <w:sz w:val="22"/>
          <w:szCs w:val="22"/>
          <w:lang w:val="en-US"/>
        </w:rPr>
      </w:pPr>
      <w:bookmarkStart w:id="88" w:name="_Toc527353207"/>
      <w:r w:rsidRPr="00AB15C7">
        <w:rPr>
          <w:noProof/>
          <w:sz w:val="22"/>
          <w:szCs w:val="22"/>
          <w:lang w:val="en-US"/>
        </w:rPr>
        <w:t>2.</w:t>
      </w:r>
      <w:r w:rsidR="0088780B" w:rsidRPr="00AB15C7">
        <w:rPr>
          <w:noProof/>
          <w:sz w:val="22"/>
          <w:szCs w:val="22"/>
          <w:lang w:val="en-US"/>
        </w:rPr>
        <w:t>5.2. Aktivnosti civilnog sektora</w:t>
      </w:r>
      <w:bookmarkEnd w:id="88"/>
      <w:r w:rsidR="0088780B" w:rsidRPr="00AB15C7">
        <w:rPr>
          <w:noProof/>
          <w:sz w:val="22"/>
          <w:szCs w:val="22"/>
          <w:lang w:val="en-US"/>
        </w:rPr>
        <w:t xml:space="preserve">  </w:t>
      </w:r>
    </w:p>
    <w:p w14:paraId="0A9973D7" w14:textId="64F16580" w:rsidR="00937AB8" w:rsidRPr="00AB15C7" w:rsidRDefault="00937AB8" w:rsidP="005921EF">
      <w:pPr>
        <w:jc w:val="both"/>
        <w:rPr>
          <w:rFonts w:ascii="Cambria" w:hAnsi="Cambria"/>
          <w:noProof/>
        </w:rPr>
      </w:pPr>
      <w:r w:rsidRPr="00AB15C7">
        <w:rPr>
          <w:rFonts w:ascii="Cambria" w:hAnsi="Cambria"/>
          <w:noProof/>
        </w:rPr>
        <w:t>Nevladine organizacije (NVO) koje d</w:t>
      </w:r>
      <w:r w:rsidR="00D06A73">
        <w:rPr>
          <w:rFonts w:ascii="Cambria" w:hAnsi="Cambria"/>
          <w:noProof/>
        </w:rPr>
        <w:t>j</w:t>
      </w:r>
      <w:r w:rsidRPr="00AB15C7">
        <w:rPr>
          <w:rFonts w:ascii="Cambria" w:hAnsi="Cambria"/>
          <w:noProof/>
        </w:rPr>
        <w:t>eluju u oblasti zaštite živo</w:t>
      </w:r>
      <w:r w:rsidR="000544CF">
        <w:rPr>
          <w:rFonts w:ascii="Cambria" w:hAnsi="Cambria"/>
          <w:noProof/>
        </w:rPr>
        <w:t>tn</w:t>
      </w:r>
      <w:r w:rsidRPr="00AB15C7">
        <w:rPr>
          <w:rFonts w:ascii="Cambria" w:hAnsi="Cambria"/>
          <w:noProof/>
        </w:rPr>
        <w:t>e sredine u Crnoj Gori</w:t>
      </w:r>
      <w:r w:rsidR="000544CF">
        <w:rPr>
          <w:rFonts w:ascii="Cambria" w:hAnsi="Cambria"/>
          <w:noProof/>
        </w:rPr>
        <w:t xml:space="preserve"> </w:t>
      </w:r>
      <w:r w:rsidR="000544CF" w:rsidRPr="00AB15C7">
        <w:rPr>
          <w:rFonts w:ascii="Cambria" w:hAnsi="Cambria"/>
          <w:noProof/>
        </w:rPr>
        <w:t>su okupljene u Koaliciju 27</w:t>
      </w:r>
      <w:r w:rsidR="000544CF">
        <w:rPr>
          <w:rFonts w:ascii="Cambria" w:hAnsi="Cambria"/>
          <w:noProof/>
        </w:rPr>
        <w:t xml:space="preserve"> </w:t>
      </w:r>
      <w:r w:rsidR="00C730D4" w:rsidRPr="00AB15C7">
        <w:rPr>
          <w:rFonts w:ascii="Cambria" w:hAnsi="Cambria"/>
          <w:noProof/>
        </w:rPr>
        <w:t xml:space="preserve">od aprila 2016. </w:t>
      </w:r>
      <w:r w:rsidR="000544CF">
        <w:rPr>
          <w:rFonts w:ascii="Cambria" w:hAnsi="Cambria"/>
          <w:noProof/>
        </w:rPr>
        <w:t>g</w:t>
      </w:r>
      <w:r w:rsidR="00C730D4" w:rsidRPr="00AB15C7">
        <w:rPr>
          <w:rFonts w:ascii="Cambria" w:hAnsi="Cambria"/>
          <w:noProof/>
        </w:rPr>
        <w:t>odine</w:t>
      </w:r>
      <w:r w:rsidRPr="00AB15C7">
        <w:rPr>
          <w:rFonts w:ascii="Cambria" w:hAnsi="Cambria"/>
          <w:noProof/>
        </w:rPr>
        <w:t>. Koalicija okuplja 2</w:t>
      </w:r>
      <w:r w:rsidR="00902DF5" w:rsidRPr="00AB15C7">
        <w:rPr>
          <w:rFonts w:ascii="Cambria" w:hAnsi="Cambria"/>
          <w:noProof/>
        </w:rPr>
        <w:t>1</w:t>
      </w:r>
      <w:r w:rsidRPr="00AB15C7">
        <w:rPr>
          <w:rFonts w:ascii="Cambria" w:hAnsi="Cambria"/>
          <w:noProof/>
        </w:rPr>
        <w:t xml:space="preserve"> NVO, i to: Green Home, Centar za zaštitu i proučavanje ptica Crne Gore, Društvo mladih ekologa Nikšić, Sjeverna Zemlja, Centar za razvoj Durmitora, Mog</w:t>
      </w:r>
      <w:r w:rsidR="002E3850" w:rsidRPr="00AB15C7">
        <w:rPr>
          <w:rFonts w:ascii="Cambria" w:hAnsi="Cambria"/>
          <w:noProof/>
        </w:rPr>
        <w:t>U</w:t>
      </w:r>
      <w:r w:rsidRPr="00AB15C7">
        <w:rPr>
          <w:rFonts w:ascii="Cambria" w:hAnsi="Cambria"/>
          <w:noProof/>
        </w:rPr>
        <w:t xml:space="preserve">l, Zeleni Crne Gore, Program za životnu sredinu, Regionalna razvojna agencija Bjelasica, Komovi </w:t>
      </w:r>
      <w:r w:rsidR="002E3850" w:rsidRPr="00AB15C7">
        <w:rPr>
          <w:rFonts w:ascii="Cambria" w:hAnsi="Cambria"/>
          <w:noProof/>
        </w:rPr>
        <w:t>i</w:t>
      </w:r>
      <w:r w:rsidRPr="00AB15C7">
        <w:rPr>
          <w:rFonts w:ascii="Cambria" w:hAnsi="Cambria"/>
          <w:noProof/>
        </w:rPr>
        <w:t xml:space="preserve"> Prokletije, EXPEDITIO, Da zaživi selo, Naša akcija, MANS, MedCEM, Breznica, </w:t>
      </w:r>
      <w:r w:rsidR="002E3850" w:rsidRPr="00AB15C7">
        <w:rPr>
          <w:rFonts w:ascii="Cambria" w:hAnsi="Cambria"/>
          <w:noProof/>
        </w:rPr>
        <w:t xml:space="preserve">Društvo </w:t>
      </w:r>
      <w:r w:rsidRPr="00AB15C7">
        <w:rPr>
          <w:rFonts w:ascii="Cambria" w:hAnsi="Cambria"/>
          <w:noProof/>
        </w:rPr>
        <w:t xml:space="preserve">Dr. Martin Schneider-Jacoby, Crnogorsko društvo Ekologa, </w:t>
      </w:r>
      <w:r w:rsidR="002E3850" w:rsidRPr="00AB15C7">
        <w:rPr>
          <w:rFonts w:ascii="Cambria" w:hAnsi="Cambria"/>
          <w:noProof/>
        </w:rPr>
        <w:t xml:space="preserve">Ekološki pokret </w:t>
      </w:r>
      <w:r w:rsidRPr="00AB15C7">
        <w:rPr>
          <w:rFonts w:ascii="Cambria" w:hAnsi="Cambria"/>
          <w:noProof/>
        </w:rPr>
        <w:t xml:space="preserve">OZON, Natura, Centar ekoloških inicijativa. </w:t>
      </w:r>
    </w:p>
    <w:p w14:paraId="3BFDBE45" w14:textId="637AE8E2" w:rsidR="00902DF5" w:rsidRPr="00AB15C7" w:rsidRDefault="00937AB8" w:rsidP="005921EF">
      <w:pPr>
        <w:jc w:val="both"/>
        <w:rPr>
          <w:rFonts w:ascii="Cambria" w:hAnsi="Cambria"/>
          <w:noProof/>
        </w:rPr>
      </w:pPr>
      <w:r w:rsidRPr="00AB15C7">
        <w:rPr>
          <w:rFonts w:ascii="Cambria" w:hAnsi="Cambria"/>
          <w:noProof/>
        </w:rPr>
        <w:t xml:space="preserve">Koalicija 27 je zamišljena kao otvorena platforma za zajedničko praćenje i učešće organizacija civilnog društva u procesu zastupanja i promovisanja evropskih tekovina u oblasti životne sredine i klimatskih promjena u Crnoj Gori koja će kroz svoje djelovanje doprinijeti kvalitetu i transparentnosti pregovaračkog procesa, a dugoročno gledano i izgradnji institucija koje brinu o stanju životne sredine. </w:t>
      </w:r>
      <w:r w:rsidR="00715488" w:rsidRPr="00AB15C7">
        <w:rPr>
          <w:rFonts w:ascii="Cambria" w:hAnsi="Cambria"/>
          <w:noProof/>
        </w:rPr>
        <w:t>Izme</w:t>
      </w:r>
      <w:r w:rsidR="00715488">
        <w:rPr>
          <w:rFonts w:ascii="Cambria" w:hAnsi="Cambria"/>
          <w:noProof/>
        </w:rPr>
        <w:t>đ</w:t>
      </w:r>
      <w:r w:rsidR="00715488" w:rsidRPr="00AB15C7">
        <w:rPr>
          <w:rFonts w:ascii="Cambria" w:hAnsi="Cambria"/>
          <w:noProof/>
        </w:rPr>
        <w:t xml:space="preserve">u </w:t>
      </w:r>
      <w:r w:rsidRPr="00AB15C7">
        <w:rPr>
          <w:rFonts w:ascii="Cambria" w:hAnsi="Cambria"/>
          <w:noProof/>
        </w:rPr>
        <w:t xml:space="preserve">ostalog,  </w:t>
      </w:r>
      <w:r w:rsidR="00624BA6" w:rsidRPr="00AB15C7">
        <w:rPr>
          <w:rFonts w:ascii="Cambria" w:hAnsi="Cambria"/>
          <w:noProof/>
        </w:rPr>
        <w:t>koalicija objavljuje Izv</w:t>
      </w:r>
      <w:r w:rsidR="0008775E" w:rsidRPr="00AB15C7">
        <w:rPr>
          <w:rFonts w:ascii="Cambria" w:hAnsi="Cambria"/>
          <w:noProof/>
        </w:rPr>
        <w:t>j</w:t>
      </w:r>
      <w:r w:rsidR="00624BA6" w:rsidRPr="00AB15C7">
        <w:rPr>
          <w:rFonts w:ascii="Cambria" w:hAnsi="Cambria"/>
          <w:noProof/>
        </w:rPr>
        <w:t>e</w:t>
      </w:r>
      <w:r w:rsidR="0008775E" w:rsidRPr="00AB15C7">
        <w:rPr>
          <w:rFonts w:ascii="Cambria" w:hAnsi="Cambria"/>
          <w:noProof/>
        </w:rPr>
        <w:t>š</w:t>
      </w:r>
      <w:r w:rsidR="00624BA6" w:rsidRPr="00AB15C7">
        <w:rPr>
          <w:rFonts w:ascii="Cambria" w:hAnsi="Cambria"/>
          <w:noProof/>
        </w:rPr>
        <w:t>taj iz s</w:t>
      </w:r>
      <w:r w:rsidR="0008775E" w:rsidRPr="00AB15C7">
        <w:rPr>
          <w:rFonts w:ascii="Cambria" w:hAnsi="Cambria"/>
          <w:noProof/>
        </w:rPr>
        <w:t>ij</w:t>
      </w:r>
      <w:r w:rsidR="00624BA6" w:rsidRPr="00AB15C7">
        <w:rPr>
          <w:rFonts w:ascii="Cambria" w:hAnsi="Cambria"/>
          <w:noProof/>
        </w:rPr>
        <w:t xml:space="preserve">enke </w:t>
      </w:r>
      <w:r w:rsidR="0008775E" w:rsidRPr="00AB15C7">
        <w:rPr>
          <w:rFonts w:ascii="Cambria" w:hAnsi="Cambria"/>
          <w:noProof/>
        </w:rPr>
        <w:t>u</w:t>
      </w:r>
      <w:r w:rsidR="00624BA6" w:rsidRPr="00AB15C7">
        <w:rPr>
          <w:rFonts w:ascii="Cambria" w:hAnsi="Cambria"/>
          <w:noProof/>
        </w:rPr>
        <w:t xml:space="preserve"> kome se sa aspekta nevladinog sektora ocjenjuju realizovane aktivnosti relevantnih institucija u ovoj oblasti i daju preporuke za jačanje procesa prenošenja i sprovođenja zakonodavstva EU obuhvaćenog poglavljem 27. U izv</w:t>
      </w:r>
      <w:r w:rsidR="0008775E" w:rsidRPr="00AB15C7">
        <w:rPr>
          <w:rFonts w:ascii="Cambria" w:hAnsi="Cambria"/>
          <w:noProof/>
        </w:rPr>
        <w:t>j</w:t>
      </w:r>
      <w:r w:rsidR="00624BA6" w:rsidRPr="00AB15C7">
        <w:rPr>
          <w:rFonts w:ascii="Cambria" w:hAnsi="Cambria"/>
          <w:noProof/>
        </w:rPr>
        <w:t>e</w:t>
      </w:r>
      <w:r w:rsidR="00C730D4" w:rsidRPr="00AB15C7">
        <w:rPr>
          <w:rFonts w:ascii="Cambria" w:hAnsi="Cambria"/>
          <w:noProof/>
        </w:rPr>
        <w:t>š</w:t>
      </w:r>
      <w:r w:rsidR="00624BA6" w:rsidRPr="00AB15C7">
        <w:rPr>
          <w:rFonts w:ascii="Cambria" w:hAnsi="Cambria"/>
          <w:noProof/>
        </w:rPr>
        <w:t>taju za period od aprila 2016 do decembra 2017 oblast hemikalija nije apostrofirana kao gorući problem u oblasti životne sredine, već je značajna pažnja posvećena horizontalnom zakonodavstvu, upravljanju otpadom, kvalitetu vazduha, kvalitetu voda, zaštit</w:t>
      </w:r>
      <w:r w:rsidR="00C730D4" w:rsidRPr="00AB15C7">
        <w:rPr>
          <w:rFonts w:ascii="Cambria" w:hAnsi="Cambria"/>
          <w:noProof/>
        </w:rPr>
        <w:t>i</w:t>
      </w:r>
      <w:r w:rsidR="00624BA6" w:rsidRPr="00AB15C7">
        <w:rPr>
          <w:rFonts w:ascii="Cambria" w:hAnsi="Cambria"/>
          <w:noProof/>
        </w:rPr>
        <w:t xml:space="preserve"> prirode i industrijsko</w:t>
      </w:r>
      <w:r w:rsidR="00C730D4" w:rsidRPr="00AB15C7">
        <w:rPr>
          <w:rFonts w:ascii="Cambria" w:hAnsi="Cambria"/>
          <w:noProof/>
        </w:rPr>
        <w:t xml:space="preserve">m </w:t>
      </w:r>
      <w:r w:rsidR="00624BA6" w:rsidRPr="00AB15C7">
        <w:rPr>
          <w:rFonts w:ascii="Cambria" w:hAnsi="Cambria"/>
          <w:noProof/>
        </w:rPr>
        <w:t>zagađen</w:t>
      </w:r>
      <w:r w:rsidR="00C730D4" w:rsidRPr="00AB15C7">
        <w:rPr>
          <w:rFonts w:ascii="Cambria" w:hAnsi="Cambria"/>
          <w:noProof/>
        </w:rPr>
        <w:t xml:space="preserve">ju. </w:t>
      </w:r>
    </w:p>
    <w:p w14:paraId="10793BA1" w14:textId="0CB8E022" w:rsidR="00C62BB2" w:rsidRDefault="00F11231" w:rsidP="005921EF">
      <w:pPr>
        <w:jc w:val="both"/>
        <w:rPr>
          <w:rFonts w:ascii="Cambria" w:hAnsi="Cambria"/>
          <w:noProof/>
        </w:rPr>
      </w:pPr>
      <w:r w:rsidRPr="00AB15C7">
        <w:rPr>
          <w:rFonts w:ascii="Cambria" w:hAnsi="Cambria"/>
          <w:noProof/>
        </w:rPr>
        <w:t>U pogledu aktivnosti udru</w:t>
      </w:r>
      <w:r w:rsidRPr="00AB15C7">
        <w:rPr>
          <w:rFonts w:ascii="Cambria" w:hAnsi="Cambria"/>
          <w:noProof/>
          <w:lang w:val="sr-Latn-RS"/>
        </w:rPr>
        <w:t>ženja u srodnim oblastima</w:t>
      </w:r>
      <w:r w:rsidRPr="00AB15C7">
        <w:rPr>
          <w:rFonts w:ascii="Cambria" w:hAnsi="Cambria"/>
          <w:noProof/>
        </w:rPr>
        <w:t>, u</w:t>
      </w:r>
      <w:r w:rsidR="00C62BB2" w:rsidRPr="00AB15C7">
        <w:rPr>
          <w:rFonts w:ascii="Cambria" w:hAnsi="Cambria"/>
          <w:noProof/>
        </w:rPr>
        <w:t xml:space="preserve">druženja potrošača </w:t>
      </w:r>
      <w:r w:rsidR="001F187C" w:rsidRPr="00AB15C7">
        <w:rPr>
          <w:rFonts w:ascii="Cambria" w:hAnsi="Cambria"/>
          <w:noProof/>
        </w:rPr>
        <w:t>imaju</w:t>
      </w:r>
      <w:r w:rsidR="00C62BB2" w:rsidRPr="00AB15C7">
        <w:rPr>
          <w:rFonts w:ascii="Cambria" w:hAnsi="Cambria"/>
          <w:noProof/>
        </w:rPr>
        <w:t xml:space="preserve"> aktivnosti i projekte u oblasti bezbjednosti hrane.  Centar za zaštitu potrošača (CEZAP) sprovodi projekat „Jačanje kapaciteta potrošačkih NVO u Crnoj Gori u oblasti bezbjednosti i kvaliteta hrane“, u saradnji sa Litvanskim Institutom za potrošače (LCI), uz podršku Delegacije EU u Crnoj Gori. U okviru aktivnosti na edukaciji potrošača na ovom projektu</w:t>
      </w:r>
      <w:r w:rsidR="00656103" w:rsidRPr="00AB15C7">
        <w:rPr>
          <w:rFonts w:ascii="Cambria" w:hAnsi="Cambria"/>
          <w:noProof/>
        </w:rPr>
        <w:t xml:space="preserve">, </w:t>
      </w:r>
      <w:r w:rsidR="00715488" w:rsidRPr="00AB15C7">
        <w:rPr>
          <w:rFonts w:ascii="Cambria" w:hAnsi="Cambria"/>
          <w:noProof/>
        </w:rPr>
        <w:t>izme</w:t>
      </w:r>
      <w:r w:rsidR="00715488">
        <w:rPr>
          <w:rFonts w:ascii="Cambria" w:hAnsi="Cambria"/>
          <w:noProof/>
        </w:rPr>
        <w:t>đ</w:t>
      </w:r>
      <w:r w:rsidR="00715488" w:rsidRPr="00AB15C7">
        <w:rPr>
          <w:rFonts w:ascii="Cambria" w:hAnsi="Cambria"/>
          <w:noProof/>
        </w:rPr>
        <w:t xml:space="preserve">u </w:t>
      </w:r>
      <w:r w:rsidR="00656103" w:rsidRPr="00AB15C7">
        <w:rPr>
          <w:rFonts w:ascii="Cambria" w:hAnsi="Cambria"/>
          <w:noProof/>
        </w:rPr>
        <w:t>ostalog,</w:t>
      </w:r>
      <w:r w:rsidR="00C62BB2" w:rsidRPr="00AB15C7">
        <w:rPr>
          <w:rFonts w:ascii="Cambria" w:hAnsi="Cambria"/>
          <w:noProof/>
        </w:rPr>
        <w:t xml:space="preserve"> ukazano je </w:t>
      </w:r>
      <w:r w:rsidR="00656103" w:rsidRPr="00AB15C7">
        <w:rPr>
          <w:rFonts w:ascii="Cambria" w:hAnsi="Cambria"/>
          <w:noProof/>
        </w:rPr>
        <w:t xml:space="preserve">i </w:t>
      </w:r>
      <w:r w:rsidR="00C62BB2" w:rsidRPr="00AB15C7">
        <w:rPr>
          <w:rFonts w:ascii="Cambria" w:hAnsi="Cambria"/>
          <w:noProof/>
        </w:rPr>
        <w:t>na štetnost neadekvatne plastične ambalaže po zdravlje ljudi i činjenicu da ona može ispustiti opasne hemikalije ako se koristi mimo pravila.</w:t>
      </w:r>
      <w:r w:rsidR="00656103" w:rsidRPr="00AB15C7">
        <w:rPr>
          <w:rFonts w:ascii="Cambria" w:hAnsi="Cambria"/>
          <w:noProof/>
        </w:rPr>
        <w:t xml:space="preserve"> Osvrt na ambalažu je dat sa aspekta materijala koji dolaze u kontakt sa hranom</w:t>
      </w:r>
      <w:r w:rsidRPr="00AB15C7">
        <w:rPr>
          <w:rFonts w:ascii="Cambria" w:hAnsi="Cambria"/>
          <w:noProof/>
        </w:rPr>
        <w:t>, dok</w:t>
      </w:r>
      <w:r w:rsidR="00656103" w:rsidRPr="00AB15C7">
        <w:rPr>
          <w:rFonts w:ascii="Cambria" w:hAnsi="Cambria"/>
          <w:noProof/>
        </w:rPr>
        <w:t xml:space="preserve"> u pogledu drugih proizvoda koji ne uključuju hranu i piće</w:t>
      </w:r>
      <w:r w:rsidRPr="00AB15C7">
        <w:rPr>
          <w:rFonts w:ascii="Cambria" w:hAnsi="Cambria"/>
          <w:noProof/>
        </w:rPr>
        <w:t>,</w:t>
      </w:r>
      <w:r w:rsidR="00656103" w:rsidRPr="00AB15C7">
        <w:rPr>
          <w:rFonts w:ascii="Cambria" w:hAnsi="Cambria"/>
          <w:noProof/>
        </w:rPr>
        <w:t xml:space="preserve"> a mogu da sadrže štetne hemikalije</w:t>
      </w:r>
      <w:r w:rsidRPr="00AB15C7">
        <w:rPr>
          <w:rFonts w:ascii="Cambria" w:hAnsi="Cambria"/>
          <w:noProof/>
        </w:rPr>
        <w:t>,</w:t>
      </w:r>
      <w:r w:rsidR="00656103" w:rsidRPr="00AB15C7">
        <w:rPr>
          <w:rFonts w:ascii="Cambria" w:hAnsi="Cambria"/>
          <w:noProof/>
        </w:rPr>
        <w:t xml:space="preserve"> nema zab</w:t>
      </w:r>
      <w:r w:rsidR="00791BB0">
        <w:rPr>
          <w:rFonts w:ascii="Cambria" w:hAnsi="Cambria"/>
          <w:noProof/>
        </w:rPr>
        <w:t>ilje</w:t>
      </w:r>
      <w:r w:rsidR="00656103" w:rsidRPr="00AB15C7">
        <w:rPr>
          <w:rFonts w:ascii="Cambria" w:hAnsi="Cambria"/>
          <w:noProof/>
        </w:rPr>
        <w:t xml:space="preserve">ženih aktivnosti. </w:t>
      </w:r>
    </w:p>
    <w:p w14:paraId="64F60024" w14:textId="77777777" w:rsidR="001C0420" w:rsidRPr="00AB15C7" w:rsidRDefault="00DE50A7" w:rsidP="004E065C">
      <w:pPr>
        <w:pStyle w:val="Heading2"/>
        <w:spacing w:after="120"/>
        <w:rPr>
          <w:noProof/>
          <w:sz w:val="22"/>
          <w:szCs w:val="22"/>
          <w:lang w:val="en-US"/>
        </w:rPr>
      </w:pPr>
      <w:bookmarkStart w:id="89" w:name="_Toc406411325"/>
      <w:bookmarkStart w:id="90" w:name="_Toc527353208"/>
      <w:r w:rsidRPr="00AB15C7">
        <w:rPr>
          <w:noProof/>
          <w:sz w:val="22"/>
          <w:szCs w:val="22"/>
          <w:lang w:val="en-US"/>
        </w:rPr>
        <w:lastRenderedPageBreak/>
        <w:t>2.</w:t>
      </w:r>
      <w:r w:rsidR="00FB4A07" w:rsidRPr="00AB15C7">
        <w:rPr>
          <w:noProof/>
          <w:sz w:val="22"/>
          <w:szCs w:val="22"/>
          <w:lang w:val="en-US"/>
        </w:rPr>
        <w:t>5</w:t>
      </w:r>
      <w:r w:rsidR="001C0420" w:rsidRPr="00AB15C7">
        <w:rPr>
          <w:noProof/>
          <w:sz w:val="22"/>
          <w:szCs w:val="22"/>
          <w:lang w:val="en-US"/>
        </w:rPr>
        <w:t xml:space="preserve">.3. </w:t>
      </w:r>
      <w:bookmarkEnd w:id="89"/>
      <w:r w:rsidR="0088780B" w:rsidRPr="00AB15C7">
        <w:rPr>
          <w:noProof/>
          <w:sz w:val="22"/>
          <w:szCs w:val="22"/>
          <w:lang w:val="en-US"/>
        </w:rPr>
        <w:t>Aktivnosti stru</w:t>
      </w:r>
      <w:r w:rsidR="00081015" w:rsidRPr="00AB15C7">
        <w:rPr>
          <w:noProof/>
          <w:sz w:val="22"/>
          <w:szCs w:val="22"/>
          <w:lang w:val="en-US"/>
        </w:rPr>
        <w:t>kovnih</w:t>
      </w:r>
      <w:r w:rsidR="0088780B" w:rsidRPr="00AB15C7">
        <w:rPr>
          <w:noProof/>
          <w:sz w:val="22"/>
          <w:szCs w:val="22"/>
          <w:lang w:val="en-US"/>
        </w:rPr>
        <w:t xml:space="preserve"> </w:t>
      </w:r>
      <w:r w:rsidR="00081015" w:rsidRPr="00AB15C7">
        <w:rPr>
          <w:noProof/>
          <w:sz w:val="22"/>
          <w:szCs w:val="22"/>
          <w:lang w:val="en-US"/>
        </w:rPr>
        <w:t>udruženja</w:t>
      </w:r>
      <w:bookmarkEnd w:id="90"/>
    </w:p>
    <w:p w14:paraId="4C704AE8" w14:textId="2E925E18" w:rsidR="001C0420" w:rsidRDefault="001C0420" w:rsidP="005921EF">
      <w:pPr>
        <w:jc w:val="both"/>
        <w:rPr>
          <w:rFonts w:ascii="Cambria" w:hAnsi="Cambria"/>
          <w:noProof/>
        </w:rPr>
      </w:pPr>
      <w:bookmarkStart w:id="91" w:name="_Toc406411326"/>
      <w:bookmarkStart w:id="92" w:name="_Toc406482867"/>
      <w:r w:rsidRPr="00AB15C7">
        <w:rPr>
          <w:rFonts w:ascii="Cambria" w:hAnsi="Cambria"/>
          <w:noProof/>
        </w:rPr>
        <w:t>Društvo hemičara Crne Gore osnovano je 2013. u Podgorici i njegovi članovi su stručnjaci zaposleni u industriji, naučno-istraživačkim inst</w:t>
      </w:r>
      <w:r w:rsidR="0008775E" w:rsidRPr="00AB15C7">
        <w:rPr>
          <w:rFonts w:ascii="Cambria" w:hAnsi="Cambria"/>
          <w:noProof/>
        </w:rPr>
        <w:t>it</w:t>
      </w:r>
      <w:r w:rsidRPr="00AB15C7">
        <w:rPr>
          <w:rFonts w:ascii="Cambria" w:hAnsi="Cambria"/>
          <w:noProof/>
        </w:rPr>
        <w:t xml:space="preserve">utima, fakultetima, školama i laboratorijama za kontrolu kvaliteta i biohemijskim laboratorijama. Društvo se bavi iniciranjem i praćenjem naučno-istraživačkog rada, savjetodavnim poslom, kao i organizacijom naučnih skupova. </w:t>
      </w:r>
      <w:bookmarkEnd w:id="91"/>
      <w:bookmarkEnd w:id="92"/>
    </w:p>
    <w:p w14:paraId="2CC0A0E5" w14:textId="77777777" w:rsidR="0088780B" w:rsidRPr="00AB15C7" w:rsidRDefault="000D2522" w:rsidP="004E065C">
      <w:pPr>
        <w:pStyle w:val="Heading2"/>
        <w:spacing w:after="120"/>
        <w:rPr>
          <w:noProof/>
          <w:sz w:val="22"/>
          <w:szCs w:val="22"/>
          <w:lang w:val="en-US"/>
        </w:rPr>
      </w:pPr>
      <w:bookmarkStart w:id="93" w:name="_Toc527353209"/>
      <w:r w:rsidRPr="00AB15C7">
        <w:rPr>
          <w:noProof/>
          <w:sz w:val="22"/>
          <w:szCs w:val="22"/>
          <w:lang w:val="en-US"/>
        </w:rPr>
        <w:t>2.</w:t>
      </w:r>
      <w:r w:rsidR="0088780B" w:rsidRPr="00AB15C7">
        <w:rPr>
          <w:noProof/>
          <w:sz w:val="22"/>
          <w:szCs w:val="22"/>
          <w:lang w:val="en-US"/>
        </w:rPr>
        <w:t>5.</w:t>
      </w:r>
      <w:r w:rsidR="00FB4A07" w:rsidRPr="00AB15C7">
        <w:rPr>
          <w:noProof/>
          <w:sz w:val="22"/>
          <w:szCs w:val="22"/>
          <w:lang w:val="en-US"/>
        </w:rPr>
        <w:t>4</w:t>
      </w:r>
      <w:r w:rsidR="0088780B" w:rsidRPr="00AB15C7">
        <w:rPr>
          <w:noProof/>
          <w:sz w:val="22"/>
          <w:szCs w:val="22"/>
          <w:lang w:val="en-US"/>
        </w:rPr>
        <w:t>. Aktivnosti naučno-istraživačkog sektora</w:t>
      </w:r>
      <w:bookmarkEnd w:id="93"/>
      <w:r w:rsidR="0088780B" w:rsidRPr="00AB15C7">
        <w:rPr>
          <w:noProof/>
          <w:sz w:val="22"/>
          <w:szCs w:val="22"/>
          <w:lang w:val="en-US"/>
        </w:rPr>
        <w:t xml:space="preserve">  </w:t>
      </w:r>
    </w:p>
    <w:p w14:paraId="74E92EA1" w14:textId="232E5990" w:rsidR="00F567B2" w:rsidRPr="00AB15C7" w:rsidRDefault="000A2E4D" w:rsidP="005921EF">
      <w:pPr>
        <w:jc w:val="both"/>
        <w:rPr>
          <w:rFonts w:ascii="Cambria" w:hAnsi="Cambria"/>
          <w:bCs/>
          <w:iCs/>
          <w:noProof/>
          <w:lang w:val="sl-SI"/>
        </w:rPr>
      </w:pPr>
      <w:r w:rsidRPr="00AB15C7">
        <w:rPr>
          <w:rFonts w:ascii="Cambria" w:hAnsi="Cambria"/>
          <w:noProof/>
        </w:rPr>
        <w:t>N</w:t>
      </w:r>
      <w:r w:rsidR="00013714" w:rsidRPr="00AB15C7">
        <w:rPr>
          <w:rFonts w:ascii="Cambria" w:hAnsi="Cambria"/>
          <w:noProof/>
        </w:rPr>
        <w:t xml:space="preserve">aučno-istraživački proces se dominantno odvija u naučno-istraživačkim ustanovama; </w:t>
      </w:r>
      <w:r w:rsidR="00602FAA" w:rsidRPr="00AB15C7">
        <w:rPr>
          <w:rFonts w:ascii="Cambria" w:hAnsi="Cambria"/>
          <w:noProof/>
        </w:rPr>
        <w:t xml:space="preserve">fakultetima </w:t>
      </w:r>
      <w:r w:rsidR="00013714" w:rsidRPr="00AB15C7">
        <w:rPr>
          <w:rFonts w:ascii="Cambria" w:hAnsi="Cambria"/>
          <w:noProof/>
        </w:rPr>
        <w:t xml:space="preserve">institutima, zavodima, centrima izvrsnosti i sl. Ove institucije </w:t>
      </w:r>
      <w:r w:rsidR="001C0420" w:rsidRPr="00AB15C7">
        <w:rPr>
          <w:rFonts w:ascii="Cambria" w:hAnsi="Cambria"/>
          <w:noProof/>
        </w:rPr>
        <w:t>su</w:t>
      </w:r>
      <w:r w:rsidR="00013714" w:rsidRPr="00AB15C7">
        <w:rPr>
          <w:rFonts w:ascii="Cambria" w:hAnsi="Cambria"/>
          <w:noProof/>
        </w:rPr>
        <w:t xml:space="preserve"> organizovane kao samostalne ili u okviru </w:t>
      </w:r>
      <w:r w:rsidR="001C0420" w:rsidRPr="00AB15C7">
        <w:rPr>
          <w:rFonts w:ascii="Cambria" w:hAnsi="Cambria"/>
          <w:noProof/>
        </w:rPr>
        <w:t>U</w:t>
      </w:r>
      <w:r w:rsidR="00013714" w:rsidRPr="00AB15C7">
        <w:rPr>
          <w:rFonts w:ascii="Cambria" w:hAnsi="Cambria"/>
          <w:noProof/>
        </w:rPr>
        <w:t>niverziteta</w:t>
      </w:r>
      <w:r w:rsidR="001C0420" w:rsidRPr="00AB15C7">
        <w:rPr>
          <w:rFonts w:ascii="Cambria" w:hAnsi="Cambria"/>
          <w:noProof/>
        </w:rPr>
        <w:t xml:space="preserve"> Crne Gore.</w:t>
      </w:r>
      <w:r w:rsidR="006C68F4" w:rsidRPr="00AB15C7">
        <w:rPr>
          <w:rFonts w:ascii="Cambria" w:hAnsi="Cambria"/>
          <w:noProof/>
        </w:rPr>
        <w:t xml:space="preserve"> </w:t>
      </w:r>
      <w:r w:rsidR="00B858EC" w:rsidRPr="00AB15C7">
        <w:rPr>
          <w:rFonts w:ascii="Cambria" w:hAnsi="Cambria"/>
          <w:noProof/>
        </w:rPr>
        <w:t xml:space="preserve">Kada govorimo o </w:t>
      </w:r>
      <w:r w:rsidR="00FA4ED9">
        <w:rPr>
          <w:rFonts w:ascii="Cambria" w:hAnsi="Cambria"/>
          <w:noProof/>
        </w:rPr>
        <w:t xml:space="preserve">naučnim </w:t>
      </w:r>
      <w:r w:rsidR="001657D7" w:rsidRPr="00AB15C7">
        <w:rPr>
          <w:rFonts w:ascii="Cambria" w:hAnsi="Cambria"/>
          <w:noProof/>
        </w:rPr>
        <w:t>istraživa</w:t>
      </w:r>
      <w:r w:rsidR="00B858EC" w:rsidRPr="00AB15C7">
        <w:rPr>
          <w:rFonts w:ascii="Cambria" w:hAnsi="Cambria"/>
          <w:noProof/>
        </w:rPr>
        <w:t xml:space="preserve">njima </w:t>
      </w:r>
      <w:r w:rsidR="006C68F4" w:rsidRPr="00AB15C7">
        <w:rPr>
          <w:rFonts w:ascii="Cambria" w:hAnsi="Cambria"/>
          <w:noProof/>
        </w:rPr>
        <w:t>koj</w:t>
      </w:r>
      <w:r w:rsidR="001657D7" w:rsidRPr="00AB15C7">
        <w:rPr>
          <w:rFonts w:ascii="Cambria" w:hAnsi="Cambria"/>
          <w:noProof/>
        </w:rPr>
        <w:t>a</w:t>
      </w:r>
      <w:r w:rsidR="006C68F4" w:rsidRPr="00AB15C7">
        <w:rPr>
          <w:rFonts w:ascii="Cambria" w:hAnsi="Cambria"/>
          <w:noProof/>
        </w:rPr>
        <w:t xml:space="preserve"> su u vezi sa određenim temama u oblasti životne sredine</w:t>
      </w:r>
      <w:r w:rsidR="00B858EC" w:rsidRPr="00AB15C7">
        <w:rPr>
          <w:rFonts w:ascii="Cambria" w:hAnsi="Cambria"/>
          <w:noProof/>
        </w:rPr>
        <w:t>,</w:t>
      </w:r>
      <w:r w:rsidR="0008775E" w:rsidRPr="00AB15C7">
        <w:rPr>
          <w:rFonts w:ascii="Cambria" w:hAnsi="Cambria"/>
          <w:noProof/>
        </w:rPr>
        <w:t xml:space="preserve"> </w:t>
      </w:r>
      <w:r w:rsidR="00B858EC" w:rsidRPr="00AB15C7">
        <w:rPr>
          <w:rFonts w:ascii="Cambria" w:hAnsi="Cambria"/>
          <w:noProof/>
        </w:rPr>
        <w:t xml:space="preserve">njima se uglavnom bave </w:t>
      </w:r>
      <w:r w:rsidR="00B858EC" w:rsidRPr="00AB15C7">
        <w:rPr>
          <w:rFonts w:ascii="Cambria" w:hAnsi="Cambria"/>
          <w:noProof/>
          <w:lang w:val="sr-Latn-RS"/>
        </w:rPr>
        <w:t>Metalurško-tehnološki fakultet (</w:t>
      </w:r>
      <w:r w:rsidR="00B858EC" w:rsidRPr="00AB15C7">
        <w:rPr>
          <w:rFonts w:ascii="Cambria" w:hAnsi="Cambria"/>
          <w:noProof/>
        </w:rPr>
        <w:t xml:space="preserve">MTF) i </w:t>
      </w:r>
      <w:r w:rsidR="00B858EC" w:rsidRPr="00AB15C7">
        <w:rPr>
          <w:rFonts w:ascii="Cambria" w:hAnsi="Cambria"/>
          <w:noProof/>
          <w:lang w:val="sr-Latn-RS"/>
        </w:rPr>
        <w:t xml:space="preserve">Prirodno-matematički fakultet (PMF) </w:t>
      </w:r>
      <w:r w:rsidR="00FA4ED9" w:rsidRPr="00AB15C7">
        <w:rPr>
          <w:rFonts w:ascii="Cambria" w:hAnsi="Cambria"/>
          <w:noProof/>
          <w:lang w:val="sr-Latn-RS"/>
        </w:rPr>
        <w:t xml:space="preserve">u okviru </w:t>
      </w:r>
      <w:r w:rsidR="00791BB0" w:rsidRPr="00AB15C7">
        <w:rPr>
          <w:rFonts w:ascii="Cambria" w:hAnsi="Cambria"/>
          <w:noProof/>
          <w:lang w:val="sr-Latn-RS"/>
        </w:rPr>
        <w:t>Univer</w:t>
      </w:r>
      <w:r w:rsidR="00791BB0">
        <w:rPr>
          <w:rFonts w:ascii="Cambria" w:hAnsi="Cambria"/>
          <w:noProof/>
          <w:lang w:val="sr-Latn-RS"/>
        </w:rPr>
        <w:t>z</w:t>
      </w:r>
      <w:r w:rsidR="00791BB0" w:rsidRPr="00AB15C7">
        <w:rPr>
          <w:rFonts w:ascii="Cambria" w:hAnsi="Cambria"/>
          <w:noProof/>
          <w:lang w:val="sr-Latn-RS"/>
        </w:rPr>
        <w:t xml:space="preserve">iteta </w:t>
      </w:r>
      <w:r w:rsidR="00FA4ED9" w:rsidRPr="00AB15C7">
        <w:rPr>
          <w:rFonts w:ascii="Cambria" w:hAnsi="Cambria"/>
          <w:noProof/>
          <w:lang w:val="sr-Latn-RS"/>
        </w:rPr>
        <w:t>Crne Gore</w:t>
      </w:r>
      <w:r w:rsidR="00FA4ED9">
        <w:rPr>
          <w:rFonts w:ascii="Cambria" w:hAnsi="Cambria"/>
          <w:noProof/>
          <w:lang w:val="sr-Latn-RS"/>
        </w:rPr>
        <w:t>.</w:t>
      </w:r>
      <w:r w:rsidR="00FA4ED9" w:rsidRPr="00AB15C7">
        <w:rPr>
          <w:rFonts w:ascii="Cambria" w:hAnsi="Cambria"/>
          <w:noProof/>
        </w:rPr>
        <w:t xml:space="preserve"> </w:t>
      </w:r>
      <w:r w:rsidR="00B858EC" w:rsidRPr="00AB15C7">
        <w:rPr>
          <w:rFonts w:ascii="Cambria" w:hAnsi="Cambria"/>
          <w:noProof/>
          <w:lang w:val="sr-Latn-RS"/>
        </w:rPr>
        <w:t xml:space="preserve">S tim u vezi, na </w:t>
      </w:r>
      <w:r w:rsidR="00B858EC" w:rsidRPr="00AB15C7">
        <w:rPr>
          <w:rFonts w:ascii="Cambria" w:hAnsi="Cambria"/>
          <w:noProof/>
        </w:rPr>
        <w:t>MTF</w:t>
      </w:r>
      <w:r w:rsidR="00B858EC" w:rsidRPr="00AB15C7">
        <w:rPr>
          <w:rFonts w:ascii="Cambria" w:hAnsi="Cambria"/>
          <w:noProof/>
          <w:vertAlign w:val="superscript"/>
        </w:rPr>
        <w:footnoteReference w:id="33"/>
      </w:r>
      <w:r w:rsidR="00B858EC" w:rsidRPr="00AB15C7">
        <w:rPr>
          <w:rFonts w:ascii="Cambria" w:hAnsi="Cambria"/>
          <w:noProof/>
        </w:rPr>
        <w:t xml:space="preserve"> je </w:t>
      </w:r>
      <w:r w:rsidR="001657D7" w:rsidRPr="00AB15C7">
        <w:rPr>
          <w:rFonts w:ascii="Cambria" w:hAnsi="Cambria"/>
          <w:noProof/>
        </w:rPr>
        <w:t xml:space="preserve">realizovan </w:t>
      </w:r>
      <w:r w:rsidR="00F567B2" w:rsidRPr="00AB15C7">
        <w:rPr>
          <w:rFonts w:ascii="Cambria" w:hAnsi="Cambria"/>
          <w:noProof/>
        </w:rPr>
        <w:t>projek</w:t>
      </w:r>
      <w:r w:rsidR="00B858EC" w:rsidRPr="00AB15C7">
        <w:rPr>
          <w:rFonts w:ascii="Cambria" w:hAnsi="Cambria"/>
          <w:noProof/>
        </w:rPr>
        <w:t>a</w:t>
      </w:r>
      <w:r w:rsidR="00F567B2" w:rsidRPr="00AB15C7">
        <w:rPr>
          <w:rFonts w:ascii="Cambria" w:hAnsi="Cambria"/>
          <w:noProof/>
        </w:rPr>
        <w:t>t koji se bav</w:t>
      </w:r>
      <w:r w:rsidR="00B858EC" w:rsidRPr="00AB15C7">
        <w:rPr>
          <w:rFonts w:ascii="Cambria" w:hAnsi="Cambria"/>
          <w:noProof/>
        </w:rPr>
        <w:t>i</w:t>
      </w:r>
      <w:r w:rsidR="00F567B2" w:rsidRPr="00AB15C7">
        <w:rPr>
          <w:rFonts w:ascii="Cambria" w:hAnsi="Cambria"/>
          <w:noProof/>
        </w:rPr>
        <w:t xml:space="preserve"> valorizacijom crvenog mulja iz KAP-a, </w:t>
      </w:r>
      <w:r w:rsidR="00B858EC" w:rsidRPr="00AB15C7">
        <w:rPr>
          <w:rFonts w:ascii="Cambria" w:hAnsi="Cambria"/>
          <w:noProof/>
        </w:rPr>
        <w:t>a na</w:t>
      </w:r>
      <w:r w:rsidR="00F567B2" w:rsidRPr="00AB15C7">
        <w:rPr>
          <w:rFonts w:ascii="Cambria" w:hAnsi="Cambria"/>
          <w:noProof/>
        </w:rPr>
        <w:t xml:space="preserve"> </w:t>
      </w:r>
      <w:r w:rsidR="00F567B2" w:rsidRPr="00AB15C7">
        <w:rPr>
          <w:rFonts w:ascii="Cambria" w:hAnsi="Cambria"/>
          <w:bCs/>
          <w:iCs/>
          <w:noProof/>
          <w:lang w:val="sl-SI"/>
        </w:rPr>
        <w:t>PMF</w:t>
      </w:r>
      <w:r w:rsidR="006C10FB" w:rsidRPr="00AB15C7">
        <w:rPr>
          <w:rStyle w:val="FootnoteReference"/>
          <w:rFonts w:ascii="Cambria" w:hAnsi="Cambria"/>
          <w:bCs/>
          <w:iCs/>
          <w:noProof/>
          <w:lang w:val="sl-SI"/>
        </w:rPr>
        <w:footnoteReference w:id="34"/>
      </w:r>
      <w:r w:rsidR="00F567B2" w:rsidRPr="00AB15C7">
        <w:rPr>
          <w:rFonts w:ascii="Cambria" w:hAnsi="Cambria"/>
          <w:bCs/>
          <w:iCs/>
          <w:noProof/>
          <w:lang w:val="sl-SI"/>
        </w:rPr>
        <w:t xml:space="preserve"> </w:t>
      </w:r>
      <w:r w:rsidR="00B858EC" w:rsidRPr="00AB15C7">
        <w:rPr>
          <w:rFonts w:ascii="Cambria" w:hAnsi="Cambria"/>
          <w:bCs/>
          <w:iCs/>
          <w:noProof/>
          <w:lang w:val="sl-SI"/>
        </w:rPr>
        <w:t xml:space="preserve">projekat </w:t>
      </w:r>
      <w:r w:rsidR="00F567B2" w:rsidRPr="00AB15C7">
        <w:rPr>
          <w:rFonts w:ascii="Cambria" w:hAnsi="Cambria"/>
          <w:bCs/>
          <w:iCs/>
          <w:noProof/>
          <w:lang w:val="sl-SI"/>
        </w:rPr>
        <w:t>iz oblasti ispitivanja zagađenja Skadarskog jezera.</w:t>
      </w:r>
      <w:r w:rsidR="001657D7" w:rsidRPr="00AB15C7">
        <w:rPr>
          <w:rFonts w:ascii="Cambria" w:hAnsi="Cambria"/>
          <w:noProof/>
        </w:rPr>
        <w:t xml:space="preserve"> Takođe, </w:t>
      </w:r>
      <w:r w:rsidR="001657D7" w:rsidRPr="00AB15C7">
        <w:rPr>
          <w:rFonts w:ascii="Cambria" w:hAnsi="Cambria"/>
          <w:bCs/>
          <w:iCs/>
          <w:noProof/>
          <w:lang w:val="sl-SI"/>
        </w:rPr>
        <w:t>treba pomenuti i nekoliko naučnih radova koji se bave ispitivanjem adsorbenasa teških metala, kao i geopolimerima na bazi crvenog mulja iz KAP-a koje su grupe naučnika sa MTF objavile u međunarodno priznatim časopisima.</w:t>
      </w:r>
    </w:p>
    <w:p w14:paraId="30AED498" w14:textId="3C9649CC" w:rsidR="001C0420" w:rsidRPr="00AB15C7" w:rsidRDefault="00013714" w:rsidP="005921EF">
      <w:pPr>
        <w:jc w:val="both"/>
        <w:rPr>
          <w:rFonts w:ascii="Cambria" w:hAnsi="Cambria"/>
          <w:noProof/>
        </w:rPr>
      </w:pPr>
      <w:r w:rsidRPr="00AB15C7">
        <w:rPr>
          <w:rFonts w:ascii="Cambria" w:hAnsi="Cambria"/>
          <w:noProof/>
        </w:rPr>
        <w:t xml:space="preserve">Kako bi se osnažila veza između </w:t>
      </w:r>
      <w:r w:rsidRPr="00AB15C7">
        <w:rPr>
          <w:rFonts w:ascii="Cambria" w:hAnsi="Cambria"/>
          <w:b/>
          <w:noProof/>
        </w:rPr>
        <w:t>Univerziteta</w:t>
      </w:r>
      <w:r w:rsidR="001C0420" w:rsidRPr="00AB15C7">
        <w:rPr>
          <w:rFonts w:ascii="Cambria" w:hAnsi="Cambria"/>
          <w:b/>
          <w:noProof/>
        </w:rPr>
        <w:t xml:space="preserve"> Crne Gore</w:t>
      </w:r>
      <w:r w:rsidR="001C0420" w:rsidRPr="00AB15C7">
        <w:rPr>
          <w:rFonts w:ascii="Cambria" w:hAnsi="Cambria"/>
          <w:noProof/>
        </w:rPr>
        <w:t xml:space="preserve"> </w:t>
      </w:r>
      <w:r w:rsidRPr="00AB15C7">
        <w:rPr>
          <w:rFonts w:ascii="Cambria" w:hAnsi="Cambria"/>
          <w:noProof/>
        </w:rPr>
        <w:t xml:space="preserve">i društvenog i biznis okruženja, planirano je osnivanje </w:t>
      </w:r>
      <w:r w:rsidRPr="00AB15C7">
        <w:rPr>
          <w:rFonts w:ascii="Cambria" w:hAnsi="Cambria"/>
          <w:b/>
          <w:noProof/>
        </w:rPr>
        <w:t>Centra za transfer tehnologija i stručne usluge</w:t>
      </w:r>
      <w:r w:rsidRPr="00AB15C7">
        <w:rPr>
          <w:rFonts w:ascii="Cambria" w:hAnsi="Cambria"/>
          <w:noProof/>
        </w:rPr>
        <w:t>. Predviđeno je da Centar radi na unap</w:t>
      </w:r>
      <w:r w:rsidR="00791BB0">
        <w:rPr>
          <w:rFonts w:ascii="Cambria" w:hAnsi="Cambria"/>
          <w:noProof/>
        </w:rPr>
        <w:t>j</w:t>
      </w:r>
      <w:r w:rsidRPr="00AB15C7">
        <w:rPr>
          <w:rFonts w:ascii="Cambria" w:hAnsi="Cambria"/>
          <w:noProof/>
        </w:rPr>
        <w:t>ređenju mogućnosti za efikasnu i efektivnu primjenu naučno-istraživačkih rezultata Univerziteta, sa ciljem razvoja privrede i društva</w:t>
      </w:r>
      <w:r w:rsidR="00677C5F">
        <w:rPr>
          <w:rFonts w:ascii="Cambria" w:hAnsi="Cambria"/>
          <w:noProof/>
        </w:rPr>
        <w:t>, kao i</w:t>
      </w:r>
      <w:r w:rsidRPr="00AB15C7">
        <w:rPr>
          <w:rFonts w:ascii="Cambria" w:hAnsi="Cambria"/>
          <w:noProof/>
        </w:rPr>
        <w:t xml:space="preserve"> na podsticanju transfera znanja između Univerziteta i privrede i uspostavljanju mreža saradnje sa ciljem intenzivnijeg transfera tehnologija. </w:t>
      </w:r>
      <w:r w:rsidR="001C0420" w:rsidRPr="00AB15C7">
        <w:rPr>
          <w:rFonts w:ascii="Cambria" w:hAnsi="Cambria"/>
          <w:noProof/>
        </w:rPr>
        <w:t xml:space="preserve">Podizanje svijesti o intelektualnoj svojini i uvećanju kapaciteta transfera tehnologija na Univerzitetu, promocija inovativnosti i preduzetništva unutar studentske i nastavničke populacije, kao i održavanje konferencija, savjetovanja, </w:t>
      </w:r>
      <w:r w:rsidR="00791BB0">
        <w:rPr>
          <w:rFonts w:ascii="Cambria" w:hAnsi="Cambria"/>
          <w:noProof/>
        </w:rPr>
        <w:t>radionica</w:t>
      </w:r>
      <w:r w:rsidR="001C0420" w:rsidRPr="00AB15C7">
        <w:rPr>
          <w:rFonts w:ascii="Cambria" w:hAnsi="Cambria"/>
          <w:noProof/>
        </w:rPr>
        <w:t xml:space="preserve"> i sajmova biće u nadležnosti Centra.</w:t>
      </w:r>
    </w:p>
    <w:p w14:paraId="43663F3C" w14:textId="77777777" w:rsidR="0007154F" w:rsidRDefault="0007154F" w:rsidP="00557C13">
      <w:pPr>
        <w:pStyle w:val="Heading1"/>
        <w:numPr>
          <w:ilvl w:val="1"/>
          <w:numId w:val="33"/>
        </w:numPr>
        <w:rPr>
          <w:noProof/>
          <w:sz w:val="22"/>
          <w:szCs w:val="22"/>
          <w:lang w:val="en-US"/>
        </w:rPr>
      </w:pPr>
      <w:bookmarkStart w:id="94" w:name="_Toc527353210"/>
      <w:bookmarkEnd w:id="87"/>
      <w:r w:rsidRPr="00AB15C7">
        <w:rPr>
          <w:noProof/>
          <w:sz w:val="22"/>
          <w:szCs w:val="22"/>
          <w:lang w:val="en-US"/>
        </w:rPr>
        <w:t>MEĐURESORSKA SARADNJA I KOORDINACIONI MEHANIZMI</w:t>
      </w:r>
      <w:bookmarkEnd w:id="94"/>
      <w:r w:rsidRPr="00AB15C7">
        <w:rPr>
          <w:noProof/>
          <w:sz w:val="22"/>
          <w:szCs w:val="22"/>
          <w:lang w:val="en-US"/>
        </w:rPr>
        <w:t xml:space="preserve">  </w:t>
      </w:r>
    </w:p>
    <w:p w14:paraId="4494AC53" w14:textId="77777777" w:rsidR="00867326" w:rsidRPr="00867326" w:rsidRDefault="00867326" w:rsidP="00867326">
      <w:pPr>
        <w:rPr>
          <w:noProof/>
          <w:lang w:eastAsia="x-none"/>
        </w:rPr>
      </w:pPr>
    </w:p>
    <w:p w14:paraId="16A3C997" w14:textId="77777777" w:rsidR="00D04D7C" w:rsidRPr="00AB15C7" w:rsidRDefault="000D2522" w:rsidP="00867326">
      <w:pPr>
        <w:pStyle w:val="Heading2"/>
        <w:spacing w:before="0" w:after="120"/>
        <w:rPr>
          <w:noProof/>
          <w:sz w:val="22"/>
          <w:szCs w:val="22"/>
          <w:lang w:val="en-US"/>
        </w:rPr>
      </w:pPr>
      <w:bookmarkStart w:id="95" w:name="_Toc527353211"/>
      <w:r w:rsidRPr="00AB15C7">
        <w:rPr>
          <w:noProof/>
          <w:sz w:val="22"/>
          <w:szCs w:val="22"/>
          <w:lang w:val="en-US"/>
        </w:rPr>
        <w:t>2.</w:t>
      </w:r>
      <w:r w:rsidR="00081015" w:rsidRPr="00AB15C7">
        <w:rPr>
          <w:noProof/>
          <w:sz w:val="22"/>
          <w:szCs w:val="22"/>
          <w:lang w:val="en-US"/>
        </w:rPr>
        <w:t xml:space="preserve">6.1. </w:t>
      </w:r>
      <w:r w:rsidR="00D04D7C" w:rsidRPr="00AB15C7">
        <w:rPr>
          <w:noProof/>
          <w:sz w:val="22"/>
          <w:szCs w:val="22"/>
          <w:lang w:val="en-US"/>
        </w:rPr>
        <w:t xml:space="preserve">Međuresorska saradnja i koordinacioni mehanizmi </w:t>
      </w:r>
      <w:r w:rsidR="00867326">
        <w:rPr>
          <w:noProof/>
          <w:sz w:val="22"/>
          <w:szCs w:val="22"/>
          <w:lang w:val="en-US"/>
        </w:rPr>
        <w:t xml:space="preserve"> pri</w:t>
      </w:r>
      <w:r w:rsidR="00D04D7C" w:rsidRPr="00AB15C7">
        <w:rPr>
          <w:noProof/>
          <w:sz w:val="22"/>
          <w:szCs w:val="22"/>
          <w:lang w:val="en-US"/>
        </w:rPr>
        <w:t xml:space="preserve"> izrad</w:t>
      </w:r>
      <w:r w:rsidR="00867326">
        <w:rPr>
          <w:noProof/>
          <w:sz w:val="22"/>
          <w:szCs w:val="22"/>
          <w:lang w:val="en-US"/>
        </w:rPr>
        <w:t>i</w:t>
      </w:r>
      <w:r w:rsidR="00D04D7C" w:rsidRPr="00AB15C7">
        <w:rPr>
          <w:noProof/>
          <w:sz w:val="22"/>
          <w:szCs w:val="22"/>
          <w:lang w:val="en-US"/>
        </w:rPr>
        <w:t xml:space="preserve"> i realizacij</w:t>
      </w:r>
      <w:r w:rsidR="00867326">
        <w:rPr>
          <w:noProof/>
          <w:sz w:val="22"/>
          <w:szCs w:val="22"/>
          <w:lang w:val="en-US"/>
        </w:rPr>
        <w:t>i</w:t>
      </w:r>
      <w:r w:rsidR="00D04D7C" w:rsidRPr="00AB15C7">
        <w:rPr>
          <w:noProof/>
          <w:sz w:val="22"/>
          <w:szCs w:val="22"/>
          <w:lang w:val="en-US"/>
        </w:rPr>
        <w:t xml:space="preserve"> strategija</w:t>
      </w:r>
      <w:bookmarkEnd w:id="95"/>
      <w:r w:rsidR="00D04D7C" w:rsidRPr="00AB15C7">
        <w:rPr>
          <w:noProof/>
          <w:sz w:val="22"/>
          <w:szCs w:val="22"/>
          <w:lang w:val="en-US"/>
        </w:rPr>
        <w:t xml:space="preserve"> </w:t>
      </w:r>
    </w:p>
    <w:p w14:paraId="24796CBD" w14:textId="77777777" w:rsidR="00C532A2" w:rsidRPr="00AB15C7" w:rsidRDefault="00C532A2" w:rsidP="005921EF">
      <w:pPr>
        <w:jc w:val="both"/>
        <w:rPr>
          <w:rFonts w:ascii="Cambria" w:hAnsi="Cambria"/>
          <w:noProof/>
          <w:lang w:eastAsia="x-none"/>
        </w:rPr>
      </w:pPr>
      <w:r w:rsidRPr="00AB15C7">
        <w:rPr>
          <w:rFonts w:ascii="Cambria" w:hAnsi="Cambria"/>
          <w:noProof/>
          <w:lang w:eastAsia="x-none"/>
        </w:rPr>
        <w:t>Jedan od principa</w:t>
      </w:r>
      <w:r w:rsidRPr="00AB15C7">
        <w:rPr>
          <w:rFonts w:ascii="Cambria" w:hAnsi="Cambria"/>
          <w:noProof/>
        </w:rPr>
        <w:t xml:space="preserve"> </w:t>
      </w:r>
      <w:r w:rsidRPr="00AB15C7">
        <w:rPr>
          <w:rFonts w:ascii="Cambria" w:hAnsi="Cambria"/>
          <w:noProof/>
          <w:lang w:eastAsia="x-none"/>
        </w:rPr>
        <w:t xml:space="preserve">na kojima počivaju strategijska dokumenta u Crnoj Gori je i Princip saradnje nadležnih organa se odnosi na obavezu međuresorske saradnje u procesu planiranja javnih politika, koordinacije i praćenja sprovođenja strategijskih dokumenata. S tim u vezi prilikom izrade strateških dokumenata obavezno se formiraju radne grupe u kojima učestvuju predstavnici svih relevantnih državnih organa i drugi relevantni akteri. Obzirom da većinu strategijskih dokumenata sprovodi više institucija, za njihovo uspješno sprovođenje je neophodna redovna komunikacija kako bi se podijelila dobra iskustva u samom procesu, dogovorili dalji pravci djelovanja, utvrdila uspješnost obavljenih aktivnosti i procijenile mogućnosti za poboljšanja u određenoj oblasti. </w:t>
      </w:r>
    </w:p>
    <w:p w14:paraId="614D620E" w14:textId="36750E8C" w:rsidR="00C532A2" w:rsidRPr="00AB15C7" w:rsidRDefault="00C532A2" w:rsidP="005921EF">
      <w:pPr>
        <w:jc w:val="both"/>
        <w:rPr>
          <w:rFonts w:ascii="Cambria" w:hAnsi="Cambria"/>
          <w:noProof/>
        </w:rPr>
      </w:pPr>
      <w:r w:rsidRPr="00AB15C7">
        <w:rPr>
          <w:rFonts w:ascii="Cambria" w:hAnsi="Cambria"/>
          <w:noProof/>
          <w:lang w:eastAsia="x-none"/>
        </w:rPr>
        <w:t>Kada govorimo o međuresornim tjelima i koordina</w:t>
      </w:r>
      <w:r w:rsidR="00376311" w:rsidRPr="00AB15C7">
        <w:rPr>
          <w:rFonts w:ascii="Cambria" w:hAnsi="Cambria"/>
          <w:noProof/>
          <w:lang w:eastAsia="x-none"/>
        </w:rPr>
        <w:t>t</w:t>
      </w:r>
      <w:r w:rsidRPr="00AB15C7">
        <w:rPr>
          <w:rFonts w:ascii="Cambria" w:hAnsi="Cambria"/>
          <w:noProof/>
          <w:lang w:eastAsia="x-none"/>
        </w:rPr>
        <w:t>ivnim mehanizmima u oblasti zaštite životne sredine, ključnu ulogu ima radna grupa osnovana za izradu i praćenje</w:t>
      </w:r>
      <w:r w:rsidR="00376311" w:rsidRPr="00AB15C7">
        <w:rPr>
          <w:rFonts w:ascii="Cambria" w:hAnsi="Cambria"/>
          <w:noProof/>
          <w:lang w:eastAsia="x-none"/>
        </w:rPr>
        <w:t xml:space="preserve"> </w:t>
      </w:r>
      <w:r w:rsidRPr="00AB15C7">
        <w:rPr>
          <w:rFonts w:ascii="Cambria" w:hAnsi="Cambria"/>
          <w:noProof/>
          <w:lang w:eastAsia="x-none"/>
        </w:rPr>
        <w:t xml:space="preserve">Nacionalne strategije za transpoziciju, implementaciju i primjenu pravne tekovine EU u oblasti životne sredine i klimatskih promjena s akcionim planom za period 2016-2020. </w:t>
      </w:r>
      <w:r w:rsidR="00715488" w:rsidRPr="00AB15C7">
        <w:rPr>
          <w:rFonts w:ascii="Cambria" w:hAnsi="Cambria"/>
          <w:noProof/>
          <w:lang w:eastAsia="x-none"/>
        </w:rPr>
        <w:t>Izme</w:t>
      </w:r>
      <w:r w:rsidR="00715488">
        <w:rPr>
          <w:rFonts w:ascii="Cambria" w:hAnsi="Cambria"/>
          <w:noProof/>
          <w:lang w:eastAsia="x-none"/>
        </w:rPr>
        <w:t>đ</w:t>
      </w:r>
      <w:r w:rsidR="00715488" w:rsidRPr="00AB15C7">
        <w:rPr>
          <w:rFonts w:ascii="Cambria" w:hAnsi="Cambria"/>
          <w:noProof/>
          <w:lang w:eastAsia="x-none"/>
        </w:rPr>
        <w:t xml:space="preserve">u </w:t>
      </w:r>
      <w:r w:rsidR="00376311" w:rsidRPr="00AB15C7">
        <w:rPr>
          <w:rFonts w:ascii="Cambria" w:hAnsi="Cambria"/>
          <w:noProof/>
          <w:lang w:eastAsia="x-none"/>
        </w:rPr>
        <w:t xml:space="preserve">ostalog, ova Strategija se odnosi i na podoblast upravljanja hemikalijama i </w:t>
      </w:r>
      <w:r w:rsidR="00C65B0A" w:rsidRPr="00AB15C7">
        <w:rPr>
          <w:rFonts w:ascii="Cambria" w:hAnsi="Cambria"/>
          <w:noProof/>
          <w:lang w:eastAsia="x-none"/>
        </w:rPr>
        <w:t>obezb</w:t>
      </w:r>
      <w:r w:rsidR="00C65B0A">
        <w:rPr>
          <w:rFonts w:ascii="Cambria" w:hAnsi="Cambria"/>
          <w:noProof/>
          <w:lang w:eastAsia="x-none"/>
        </w:rPr>
        <w:t>j</w:t>
      </w:r>
      <w:r w:rsidR="00C65B0A" w:rsidRPr="00AB15C7">
        <w:rPr>
          <w:rFonts w:ascii="Cambria" w:hAnsi="Cambria"/>
          <w:noProof/>
          <w:lang w:eastAsia="x-none"/>
        </w:rPr>
        <w:t>e</w:t>
      </w:r>
      <w:r w:rsidR="00C65B0A">
        <w:rPr>
          <w:rFonts w:ascii="Cambria" w:hAnsi="Cambria"/>
          <w:noProof/>
          <w:lang w:eastAsia="x-none"/>
        </w:rPr>
        <w:t>đ</w:t>
      </w:r>
      <w:r w:rsidR="00C65B0A" w:rsidRPr="00AB15C7">
        <w:rPr>
          <w:rFonts w:ascii="Cambria" w:hAnsi="Cambria"/>
          <w:noProof/>
          <w:lang w:eastAsia="x-none"/>
        </w:rPr>
        <w:t xml:space="preserve">uje </w:t>
      </w:r>
      <w:r w:rsidR="00376311" w:rsidRPr="00AB15C7">
        <w:rPr>
          <w:rFonts w:ascii="Cambria" w:hAnsi="Cambria"/>
          <w:noProof/>
          <w:lang w:eastAsia="x-none"/>
        </w:rPr>
        <w:t xml:space="preserve">sagledavanje sektora hemikalija u širem kontekstu </w:t>
      </w:r>
      <w:r w:rsidR="00376311" w:rsidRPr="00AB15C7">
        <w:rPr>
          <w:rFonts w:ascii="Cambria" w:hAnsi="Cambria"/>
          <w:noProof/>
          <w:lang w:eastAsia="x-none"/>
        </w:rPr>
        <w:lastRenderedPageBreak/>
        <w:t xml:space="preserve">zaštite životne sredine.  </w:t>
      </w:r>
      <w:r w:rsidRPr="00AB15C7">
        <w:rPr>
          <w:rFonts w:ascii="Cambria" w:hAnsi="Cambria"/>
          <w:noProof/>
          <w:lang w:eastAsia="x-none"/>
        </w:rPr>
        <w:t>Ova radna grupa se sastoji od  43 predstavnika Ministarstva održivog razvoja i turizma, Ministarstva ekonomije, Ministarstva vanjskih poslova</w:t>
      </w:r>
      <w:r w:rsidR="00283C33">
        <w:rPr>
          <w:rFonts w:ascii="Cambria" w:hAnsi="Cambria"/>
          <w:noProof/>
          <w:lang w:eastAsia="x-none"/>
        </w:rPr>
        <w:t xml:space="preserve">, Kancelarije za </w:t>
      </w:r>
      <w:r w:rsidRPr="00AB15C7">
        <w:rPr>
          <w:rFonts w:ascii="Cambria" w:hAnsi="Cambria"/>
          <w:noProof/>
          <w:lang w:eastAsia="x-none"/>
        </w:rPr>
        <w:t>evropsk</w:t>
      </w:r>
      <w:r w:rsidR="00283C33">
        <w:rPr>
          <w:rFonts w:ascii="Cambria" w:hAnsi="Cambria"/>
          <w:noProof/>
          <w:lang w:eastAsia="x-none"/>
        </w:rPr>
        <w:t>e</w:t>
      </w:r>
      <w:r w:rsidRPr="00AB15C7">
        <w:rPr>
          <w:rFonts w:ascii="Cambria" w:hAnsi="Cambria"/>
          <w:noProof/>
          <w:lang w:eastAsia="x-none"/>
        </w:rPr>
        <w:t xml:space="preserve"> </w:t>
      </w:r>
      <w:r w:rsidR="00283C33" w:rsidRPr="00AB15C7">
        <w:rPr>
          <w:rFonts w:ascii="Cambria" w:hAnsi="Cambria"/>
          <w:noProof/>
          <w:lang w:eastAsia="x-none"/>
        </w:rPr>
        <w:t>integracij</w:t>
      </w:r>
      <w:r w:rsidR="00283C33">
        <w:rPr>
          <w:rFonts w:ascii="Cambria" w:hAnsi="Cambria"/>
          <w:noProof/>
          <w:lang w:eastAsia="x-none"/>
        </w:rPr>
        <w:t>e</w:t>
      </w:r>
      <w:r w:rsidRPr="00AB15C7">
        <w:rPr>
          <w:rFonts w:ascii="Cambria" w:hAnsi="Cambria"/>
          <w:noProof/>
          <w:lang w:eastAsia="x-none"/>
        </w:rPr>
        <w:t>, Ministarstva poljoprivrede i ruralnog razvoja, Ministarstva zdravlja, Ministarstva unutrašnjih poslova, Ministarstva saobraćaja i pomorstva, Agencije za zaštitu</w:t>
      </w:r>
      <w:r w:rsidR="006C10FB" w:rsidRPr="00AB15C7">
        <w:rPr>
          <w:rFonts w:ascii="Cambria" w:hAnsi="Cambria"/>
          <w:noProof/>
          <w:lang w:eastAsia="x-none"/>
        </w:rPr>
        <w:t xml:space="preserve"> prirode i</w:t>
      </w:r>
      <w:r w:rsidRPr="00AB15C7">
        <w:rPr>
          <w:rFonts w:ascii="Cambria" w:hAnsi="Cambria"/>
          <w:noProof/>
          <w:lang w:eastAsia="x-none"/>
        </w:rPr>
        <w:t xml:space="preserve"> životne sredine, Zavoda za statistiku Crne Gore, Centra za eko-toksikološka ispitivanja i Instituta za hidrometeorologiju i seizmologiju.</w:t>
      </w:r>
      <w:r w:rsidR="00376311" w:rsidRPr="00AB15C7">
        <w:rPr>
          <w:rFonts w:ascii="Cambria" w:hAnsi="Cambria"/>
          <w:noProof/>
          <w:lang w:eastAsia="x-none"/>
        </w:rPr>
        <w:t xml:space="preserve"> Na operativnom nivou, po usvajanju strategije ova Radna grupa je nastavila sa radom u kontekstu praćenja realizacije i izvještavanja o ispunjavanju Strategije i AP.</w:t>
      </w:r>
      <w:r w:rsidR="00376311" w:rsidRPr="00AB15C7">
        <w:rPr>
          <w:rFonts w:ascii="Cambria" w:hAnsi="Cambria"/>
          <w:noProof/>
        </w:rPr>
        <w:t xml:space="preserve">  </w:t>
      </w:r>
    </w:p>
    <w:p w14:paraId="70B7934B" w14:textId="5722D386" w:rsidR="00D04D7C" w:rsidRDefault="00D04D7C" w:rsidP="005921EF">
      <w:pPr>
        <w:jc w:val="both"/>
        <w:rPr>
          <w:rFonts w:ascii="Cambria" w:hAnsi="Cambria"/>
          <w:noProof/>
          <w:lang w:eastAsia="x-none"/>
        </w:rPr>
      </w:pPr>
      <w:r w:rsidRPr="00AB15C7">
        <w:rPr>
          <w:rFonts w:ascii="Cambria" w:hAnsi="Cambria"/>
          <w:noProof/>
          <w:lang w:eastAsia="x-none"/>
        </w:rPr>
        <w:t xml:space="preserve">Sličan koncept međuresorne saradnje ostvaren je i u pogledu izrade i praćenja realizacije Strategije upravljanja hemikalijama za period 2015-2018, kao i u izradi ove strategije za period 2019-2022. </w:t>
      </w:r>
      <w:r w:rsidR="00A44C15" w:rsidRPr="00AB15C7">
        <w:rPr>
          <w:rFonts w:ascii="Cambria" w:hAnsi="Cambria"/>
          <w:noProof/>
          <w:lang w:eastAsia="x-none"/>
        </w:rPr>
        <w:t xml:space="preserve">Takođe, i prilikom izrade </w:t>
      </w:r>
      <w:r w:rsidR="00FB4A07" w:rsidRPr="00AB15C7">
        <w:rPr>
          <w:rFonts w:ascii="Cambria" w:hAnsi="Cambria"/>
          <w:noProof/>
          <w:lang w:eastAsia="x-none"/>
        </w:rPr>
        <w:t xml:space="preserve">analiza </w:t>
      </w:r>
      <w:r w:rsidR="006C10FB" w:rsidRPr="00AB15C7">
        <w:rPr>
          <w:rFonts w:ascii="Cambria" w:hAnsi="Cambria"/>
          <w:noProof/>
          <w:lang w:eastAsia="x-none"/>
        </w:rPr>
        <w:t>i</w:t>
      </w:r>
      <w:r w:rsidR="00FB4A07" w:rsidRPr="00AB15C7">
        <w:rPr>
          <w:rFonts w:ascii="Cambria" w:hAnsi="Cambria"/>
          <w:noProof/>
          <w:lang w:eastAsia="x-none"/>
        </w:rPr>
        <w:t xml:space="preserve"> planova za implementaciju relevantnih me</w:t>
      </w:r>
      <w:r w:rsidR="00416F0E">
        <w:rPr>
          <w:rFonts w:ascii="Cambria" w:hAnsi="Cambria"/>
          <w:noProof/>
          <w:lang w:eastAsia="x-none"/>
        </w:rPr>
        <w:t>đ</w:t>
      </w:r>
      <w:r w:rsidR="00FB4A07" w:rsidRPr="00AB15C7">
        <w:rPr>
          <w:rFonts w:ascii="Cambria" w:hAnsi="Cambria"/>
          <w:noProof/>
          <w:lang w:eastAsia="x-none"/>
        </w:rPr>
        <w:t>unarodnih konvencija na nacionalnom nivou ostvaruje se koordinacija svih relevantnih resora po navedenom konceptu radnih grupa. Na taj način, od samog početka formiranja konkretne politike ostvareno je uključivanje svih relevantnih aktera.</w:t>
      </w:r>
    </w:p>
    <w:p w14:paraId="3C3154BD" w14:textId="77777777" w:rsidR="00563045" w:rsidRPr="00AB15C7" w:rsidRDefault="000D2522" w:rsidP="00867326">
      <w:pPr>
        <w:pStyle w:val="Heading2"/>
        <w:spacing w:before="0" w:after="120"/>
        <w:rPr>
          <w:noProof/>
          <w:sz w:val="22"/>
          <w:szCs w:val="22"/>
          <w:lang w:val="en-US"/>
        </w:rPr>
      </w:pPr>
      <w:bookmarkStart w:id="96" w:name="_Toc527353212"/>
      <w:r w:rsidRPr="00AB15C7">
        <w:rPr>
          <w:noProof/>
          <w:sz w:val="22"/>
          <w:szCs w:val="22"/>
          <w:lang w:val="en-US"/>
        </w:rPr>
        <w:t>2.</w:t>
      </w:r>
      <w:r w:rsidR="00081015" w:rsidRPr="00AB15C7">
        <w:rPr>
          <w:noProof/>
          <w:sz w:val="22"/>
          <w:szCs w:val="22"/>
          <w:lang w:val="en-US"/>
        </w:rPr>
        <w:t xml:space="preserve">6.2. </w:t>
      </w:r>
      <w:r w:rsidR="00563045" w:rsidRPr="00AB15C7">
        <w:rPr>
          <w:noProof/>
          <w:sz w:val="22"/>
          <w:szCs w:val="22"/>
          <w:lang w:val="en-US"/>
        </w:rPr>
        <w:t>Koordinacija procesom evropske integracije</w:t>
      </w:r>
      <w:bookmarkEnd w:id="96"/>
    </w:p>
    <w:p w14:paraId="4B8CA556" w14:textId="04D5022D" w:rsidR="00563045" w:rsidRPr="00AB15C7" w:rsidRDefault="00563045" w:rsidP="005921EF">
      <w:pPr>
        <w:jc w:val="both"/>
        <w:rPr>
          <w:rFonts w:ascii="Cambria" w:hAnsi="Cambria"/>
          <w:noProof/>
          <w:lang w:eastAsia="x-none"/>
        </w:rPr>
      </w:pPr>
      <w:r w:rsidRPr="00AB15C7">
        <w:rPr>
          <w:rFonts w:ascii="Cambria" w:hAnsi="Cambria"/>
          <w:noProof/>
          <w:lang w:eastAsia="x-none"/>
        </w:rPr>
        <w:t>Mehanizmi za koordinaciju evropskih integracija su uspostavljeni. Za koordinaciju</w:t>
      </w:r>
      <w:r w:rsidR="00424A3C" w:rsidRPr="00AB15C7">
        <w:rPr>
          <w:rFonts w:ascii="Cambria" w:hAnsi="Cambria"/>
          <w:noProof/>
          <w:lang w:eastAsia="x-none"/>
        </w:rPr>
        <w:t xml:space="preserve"> realizacije Program</w:t>
      </w:r>
      <w:r w:rsidR="00AF260E" w:rsidRPr="00AB15C7">
        <w:rPr>
          <w:rFonts w:ascii="Cambria" w:hAnsi="Cambria"/>
          <w:noProof/>
          <w:lang w:eastAsia="x-none"/>
        </w:rPr>
        <w:t>a</w:t>
      </w:r>
      <w:r w:rsidR="00424A3C" w:rsidRPr="00AB15C7">
        <w:rPr>
          <w:rFonts w:ascii="Cambria" w:hAnsi="Cambria"/>
          <w:noProof/>
          <w:lang w:eastAsia="x-none"/>
        </w:rPr>
        <w:t xml:space="preserve"> pristupanja EU </w:t>
      </w:r>
      <w:r w:rsidRPr="00AB15C7">
        <w:rPr>
          <w:rFonts w:ascii="Cambria" w:hAnsi="Cambria"/>
          <w:noProof/>
          <w:lang w:eastAsia="x-none"/>
        </w:rPr>
        <w:t xml:space="preserve">prvenstveno </w:t>
      </w:r>
      <w:r w:rsidR="00AF260E" w:rsidRPr="00AB15C7">
        <w:rPr>
          <w:rFonts w:ascii="Cambria" w:hAnsi="Cambria"/>
          <w:noProof/>
          <w:lang w:eastAsia="x-none"/>
        </w:rPr>
        <w:t xml:space="preserve">je </w:t>
      </w:r>
      <w:r w:rsidR="00283C33" w:rsidRPr="00AB15C7">
        <w:rPr>
          <w:rFonts w:ascii="Cambria" w:hAnsi="Cambria"/>
          <w:noProof/>
          <w:lang w:eastAsia="x-none"/>
        </w:rPr>
        <w:t>zadužen</w:t>
      </w:r>
      <w:r w:rsidR="00283C33">
        <w:rPr>
          <w:rFonts w:ascii="Cambria" w:hAnsi="Cambria"/>
          <w:noProof/>
          <w:lang w:eastAsia="x-none"/>
        </w:rPr>
        <w:t xml:space="preserve">a </w:t>
      </w:r>
      <w:r w:rsidR="00B04E8A">
        <w:rPr>
          <w:rFonts w:ascii="Cambria" w:hAnsi="Cambria"/>
          <w:noProof/>
          <w:lang w:eastAsia="x-none"/>
        </w:rPr>
        <w:t>K</w:t>
      </w:r>
      <w:r w:rsidR="00283C33">
        <w:rPr>
          <w:rFonts w:ascii="Cambria" w:hAnsi="Cambria"/>
          <w:noProof/>
          <w:lang w:eastAsia="x-none"/>
        </w:rPr>
        <w:t xml:space="preserve">ancelarija za </w:t>
      </w:r>
      <w:r w:rsidR="00271994" w:rsidRPr="00AB15C7">
        <w:rPr>
          <w:rFonts w:ascii="Cambria" w:hAnsi="Cambria"/>
          <w:noProof/>
          <w:lang w:eastAsia="x-none"/>
        </w:rPr>
        <w:t>evropsk</w:t>
      </w:r>
      <w:r w:rsidR="00283C33">
        <w:rPr>
          <w:rFonts w:ascii="Cambria" w:hAnsi="Cambria"/>
          <w:noProof/>
          <w:lang w:eastAsia="x-none"/>
        </w:rPr>
        <w:t>e integracije</w:t>
      </w:r>
      <w:r w:rsidR="00271994" w:rsidRPr="00B04E8A">
        <w:rPr>
          <w:rFonts w:ascii="Cambria" w:hAnsi="Cambria"/>
          <w:noProof/>
          <w:lang w:eastAsia="x-none"/>
        </w:rPr>
        <w:t xml:space="preserve">, </w:t>
      </w:r>
      <w:r w:rsidR="00221EA9">
        <w:rPr>
          <w:rFonts w:ascii="Cambria" w:hAnsi="Cambria"/>
          <w:noProof/>
          <w:lang w:val="sr-Latn-RS" w:eastAsia="x-none"/>
        </w:rPr>
        <w:t xml:space="preserve">uključujući </w:t>
      </w:r>
      <w:r w:rsidR="00271994" w:rsidRPr="00AB15C7">
        <w:rPr>
          <w:rFonts w:ascii="Cambria" w:hAnsi="Cambria" w:cs="Arial"/>
          <w:noProof/>
          <w:color w:val="000000"/>
          <w:shd w:val="clear" w:color="auto" w:fill="FFFFFF"/>
        </w:rPr>
        <w:t xml:space="preserve"> </w:t>
      </w:r>
      <w:r w:rsidR="00271994" w:rsidRPr="00AB15C7">
        <w:rPr>
          <w:rFonts w:ascii="Cambria" w:hAnsi="Cambria"/>
          <w:noProof/>
          <w:lang w:eastAsia="x-none"/>
        </w:rPr>
        <w:t>poslove koji se odnose na: uspostavljanje i razvoj sistema koordinacije i praćenja usklađenosti strategijskih dokumenata kojima se utvrđuju javne politike s ostalim nacionalnim strategijskim dokumentima i/ili pravnom tekovinom EU; saradnju i koordinaciju s ministarstvima i državnim organima u vezi sa strategijskim planiranjem u javnim politikama; procjenu učinka i praćenje stepena sprovođenja strategijskih dokumenata kojima se utvrđuju javne politike; analizu i koordinaciju s nadležnim tijelima javne uprave prilikom planiranja politika koje su važne za proces pristupanja Crne Gore EU</w:t>
      </w:r>
      <w:r w:rsidR="00B03C55" w:rsidRPr="00AB15C7">
        <w:rPr>
          <w:rFonts w:ascii="Cambria" w:hAnsi="Cambria"/>
          <w:noProof/>
          <w:lang w:eastAsia="x-none"/>
        </w:rPr>
        <w:t>.</w:t>
      </w:r>
      <w:r w:rsidR="00767729" w:rsidRPr="00AB15C7">
        <w:rPr>
          <w:rFonts w:ascii="Cambria" w:hAnsi="Cambria"/>
          <w:noProof/>
          <w:lang w:eastAsia="x-none"/>
        </w:rPr>
        <w:t xml:space="preserve"> </w:t>
      </w:r>
    </w:p>
    <w:p w14:paraId="6DAFA370" w14:textId="503930A4" w:rsidR="0031312C" w:rsidRDefault="00563045" w:rsidP="005921EF">
      <w:pPr>
        <w:jc w:val="both"/>
        <w:rPr>
          <w:rFonts w:ascii="Cambria" w:hAnsi="Cambria"/>
          <w:noProof/>
        </w:rPr>
      </w:pPr>
      <w:r w:rsidRPr="00AB15C7">
        <w:rPr>
          <w:rFonts w:ascii="Cambria" w:hAnsi="Cambria"/>
          <w:noProof/>
          <w:lang w:eastAsia="x-none"/>
        </w:rPr>
        <w:t>U okviru pregovaračkih poglavlja</w:t>
      </w:r>
      <w:r w:rsidR="00271994" w:rsidRPr="00AB15C7">
        <w:rPr>
          <w:rFonts w:ascii="Cambria" w:hAnsi="Cambria"/>
          <w:noProof/>
          <w:lang w:eastAsia="x-none"/>
        </w:rPr>
        <w:t xml:space="preserve"> formirane su </w:t>
      </w:r>
      <w:r w:rsidR="0031312C" w:rsidRPr="00AB15C7">
        <w:rPr>
          <w:rFonts w:ascii="Cambria" w:hAnsi="Cambria"/>
          <w:noProof/>
          <w:lang w:eastAsia="x-none"/>
        </w:rPr>
        <w:t>sektorske radne grupe koje okupljaju predstavnike relevantnih državnih institucija od kojih se jedna odnosi na poglavlje 27</w:t>
      </w:r>
      <w:r w:rsidR="00D04D7C" w:rsidRPr="00AB15C7">
        <w:rPr>
          <w:rFonts w:ascii="Cambria" w:hAnsi="Cambria"/>
          <w:noProof/>
          <w:lang w:eastAsia="x-none"/>
        </w:rPr>
        <w:t xml:space="preserve"> – Životna sredina</w:t>
      </w:r>
      <w:r w:rsidR="0031312C" w:rsidRPr="00AB15C7">
        <w:rPr>
          <w:rFonts w:ascii="Cambria" w:hAnsi="Cambria"/>
          <w:noProof/>
          <w:lang w:eastAsia="x-none"/>
        </w:rPr>
        <w:t xml:space="preserve">. </w:t>
      </w:r>
      <w:r w:rsidR="00D04D7C" w:rsidRPr="00AB15C7">
        <w:rPr>
          <w:rFonts w:ascii="Cambria" w:hAnsi="Cambria"/>
          <w:noProof/>
          <w:lang w:eastAsia="x-none"/>
        </w:rPr>
        <w:t>Zadatak ove radne grupe je da</w:t>
      </w:r>
      <w:r w:rsidRPr="00AB15C7">
        <w:rPr>
          <w:rFonts w:ascii="Cambria" w:hAnsi="Cambria"/>
          <w:noProof/>
          <w:lang w:eastAsia="x-none"/>
        </w:rPr>
        <w:t xml:space="preserve"> </w:t>
      </w:r>
      <w:r w:rsidR="00D04D7C" w:rsidRPr="00AB15C7">
        <w:rPr>
          <w:rFonts w:ascii="Cambria" w:hAnsi="Cambria"/>
          <w:noProof/>
          <w:lang w:eastAsia="x-none"/>
        </w:rPr>
        <w:t>učestvuje u analitičkom pregledu i ocjeni usklađenosti zakonodavstva Crne Gore sa pravnom tekovinom Evropske unije, kao i u izradi predloga pregovaračkih pozicija, uz podršku organa državne uprave i drugih organa i institucija u oblasti pravne tekovine Evropske unije koja se odnosi na životnu sredinu, uključujući</w:t>
      </w:r>
      <w:r w:rsidR="00D04D7C" w:rsidRPr="00AB15C7">
        <w:rPr>
          <w:rFonts w:ascii="Cambria" w:eastAsia="MyriadPro-Light" w:hAnsi="Cambria" w:cs="MyriadPro-Light"/>
          <w:noProof/>
        </w:rPr>
        <w:t xml:space="preserve"> </w:t>
      </w:r>
      <w:r w:rsidR="00D04D7C" w:rsidRPr="00AB15C7">
        <w:rPr>
          <w:rFonts w:ascii="Cambria" w:hAnsi="Cambria"/>
          <w:noProof/>
          <w:lang w:eastAsia="x-none"/>
        </w:rPr>
        <w:t>horizontalno zakonodavstvo, kvalitet vazduha, klimatske promjene, upravljanje otpadom, upravljanje vodama, zaštita prirode, industrijsko zagađivanje, buku, hemikalije i civilnu zaštitu.</w:t>
      </w:r>
      <w:r w:rsidR="00AF260E" w:rsidRPr="00AB15C7">
        <w:rPr>
          <w:rFonts w:ascii="Cambria" w:hAnsi="Cambria"/>
          <w:noProof/>
        </w:rPr>
        <w:t xml:space="preserve"> </w:t>
      </w:r>
    </w:p>
    <w:p w14:paraId="47E5FFE3" w14:textId="77777777" w:rsidR="00A44C15" w:rsidRPr="00AB15C7" w:rsidRDefault="000D2522" w:rsidP="00867326">
      <w:pPr>
        <w:pStyle w:val="Heading2"/>
        <w:spacing w:before="0" w:after="120"/>
        <w:rPr>
          <w:noProof/>
          <w:sz w:val="22"/>
          <w:szCs w:val="22"/>
          <w:lang w:val="en-US"/>
        </w:rPr>
      </w:pPr>
      <w:bookmarkStart w:id="97" w:name="_Toc527353213"/>
      <w:r w:rsidRPr="00AB15C7">
        <w:rPr>
          <w:noProof/>
          <w:sz w:val="22"/>
          <w:szCs w:val="22"/>
          <w:lang w:val="en-US"/>
        </w:rPr>
        <w:t>2.</w:t>
      </w:r>
      <w:r w:rsidR="00081015" w:rsidRPr="00AB15C7">
        <w:rPr>
          <w:noProof/>
          <w:sz w:val="22"/>
          <w:szCs w:val="22"/>
          <w:lang w:val="en-US"/>
        </w:rPr>
        <w:t xml:space="preserve">6.3. </w:t>
      </w:r>
      <w:r w:rsidR="00A44C15" w:rsidRPr="00AB15C7">
        <w:rPr>
          <w:noProof/>
          <w:sz w:val="22"/>
          <w:szCs w:val="22"/>
          <w:lang w:val="en-US"/>
        </w:rPr>
        <w:t>Nacionalna savjetodavna tijela</w:t>
      </w:r>
      <w:bookmarkEnd w:id="97"/>
      <w:r w:rsidR="00A44C15" w:rsidRPr="00AB15C7">
        <w:rPr>
          <w:noProof/>
          <w:sz w:val="22"/>
          <w:szCs w:val="22"/>
          <w:lang w:val="en-US"/>
        </w:rPr>
        <w:t xml:space="preserve"> </w:t>
      </w:r>
    </w:p>
    <w:p w14:paraId="73B46A71" w14:textId="6E199092" w:rsidR="00992458" w:rsidRDefault="00EF6B8C" w:rsidP="005921EF">
      <w:pPr>
        <w:jc w:val="both"/>
        <w:rPr>
          <w:rFonts w:ascii="Cambria" w:hAnsi="Cambria"/>
          <w:noProof/>
          <w:lang w:eastAsia="x-none"/>
        </w:rPr>
      </w:pPr>
      <w:r w:rsidRPr="00AB15C7">
        <w:rPr>
          <w:rFonts w:ascii="Cambria" w:hAnsi="Cambria"/>
          <w:noProof/>
          <w:lang w:val="pl-PL" w:eastAsia="x-none"/>
        </w:rPr>
        <w:t xml:space="preserve">S obzirom da oblast </w:t>
      </w:r>
      <w:r w:rsidR="00787E1D" w:rsidRPr="00AB15C7">
        <w:rPr>
          <w:rFonts w:ascii="Cambria" w:hAnsi="Cambria"/>
          <w:noProof/>
          <w:lang w:val="pl-PL" w:eastAsia="x-none"/>
        </w:rPr>
        <w:t xml:space="preserve">zaštite životne sredine ima veoma bitnu ulogu u ostvarivanju većine milenijumskih ciljeva održivog razvoja UN, veoma je bitno pomenuti i značaj  </w:t>
      </w:r>
      <w:r w:rsidR="00787E1D" w:rsidRPr="00AB15C7">
        <w:rPr>
          <w:rFonts w:ascii="Cambria" w:hAnsi="Cambria"/>
          <w:b/>
          <w:noProof/>
          <w:lang w:val="pl-PL" w:eastAsia="x-none"/>
        </w:rPr>
        <w:t>Nacionalnog</w:t>
      </w:r>
      <w:r w:rsidR="00787E1D" w:rsidRPr="00AB15C7">
        <w:rPr>
          <w:rFonts w:ascii="Cambria" w:hAnsi="Cambria"/>
          <w:b/>
          <w:noProof/>
          <w:lang w:val="sr-Latn-CS" w:eastAsia="x-none"/>
        </w:rPr>
        <w:t xml:space="preserve"> </w:t>
      </w:r>
      <w:r w:rsidR="00787E1D" w:rsidRPr="00AB15C7">
        <w:rPr>
          <w:rFonts w:ascii="Cambria" w:hAnsi="Cambria"/>
          <w:b/>
          <w:noProof/>
          <w:lang w:val="pl-PL" w:eastAsia="x-none"/>
        </w:rPr>
        <w:t>savjeta</w:t>
      </w:r>
      <w:r w:rsidR="00787E1D" w:rsidRPr="00AB15C7">
        <w:rPr>
          <w:rFonts w:ascii="Cambria" w:hAnsi="Cambria"/>
          <w:b/>
          <w:noProof/>
          <w:lang w:val="sr-Latn-CS" w:eastAsia="x-none"/>
        </w:rPr>
        <w:t xml:space="preserve"> </w:t>
      </w:r>
      <w:r w:rsidR="00787E1D" w:rsidRPr="00AB15C7">
        <w:rPr>
          <w:rFonts w:ascii="Cambria" w:hAnsi="Cambria"/>
          <w:b/>
          <w:noProof/>
          <w:lang w:val="pl-PL" w:eastAsia="x-none"/>
        </w:rPr>
        <w:t>za</w:t>
      </w:r>
      <w:r w:rsidR="00787E1D" w:rsidRPr="00AB15C7">
        <w:rPr>
          <w:rFonts w:ascii="Cambria" w:hAnsi="Cambria"/>
          <w:b/>
          <w:noProof/>
          <w:lang w:val="sr-Latn-CS" w:eastAsia="x-none"/>
        </w:rPr>
        <w:t xml:space="preserve"> </w:t>
      </w:r>
      <w:r w:rsidR="00787E1D" w:rsidRPr="00AB15C7">
        <w:rPr>
          <w:rFonts w:ascii="Cambria" w:hAnsi="Cambria"/>
          <w:b/>
          <w:noProof/>
          <w:lang w:val="pl-PL" w:eastAsia="x-none"/>
        </w:rPr>
        <w:t>odr</w:t>
      </w:r>
      <w:r w:rsidR="00787E1D" w:rsidRPr="00AB15C7">
        <w:rPr>
          <w:rFonts w:ascii="Cambria" w:hAnsi="Cambria"/>
          <w:b/>
          <w:noProof/>
          <w:lang w:val="sr-Latn-CS" w:eastAsia="x-none"/>
        </w:rPr>
        <w:t>ž</w:t>
      </w:r>
      <w:r w:rsidR="00787E1D" w:rsidRPr="00AB15C7">
        <w:rPr>
          <w:rFonts w:ascii="Cambria" w:hAnsi="Cambria"/>
          <w:b/>
          <w:noProof/>
          <w:lang w:val="pl-PL" w:eastAsia="x-none"/>
        </w:rPr>
        <w:t>ivi</w:t>
      </w:r>
      <w:r w:rsidR="00787E1D" w:rsidRPr="00AB15C7">
        <w:rPr>
          <w:rFonts w:ascii="Cambria" w:hAnsi="Cambria"/>
          <w:b/>
          <w:noProof/>
          <w:lang w:val="sr-Latn-CS" w:eastAsia="x-none"/>
        </w:rPr>
        <w:t xml:space="preserve"> </w:t>
      </w:r>
      <w:r w:rsidR="00787E1D" w:rsidRPr="00AB15C7">
        <w:rPr>
          <w:rFonts w:ascii="Cambria" w:hAnsi="Cambria"/>
          <w:b/>
          <w:noProof/>
          <w:lang w:val="pl-PL" w:eastAsia="x-none"/>
        </w:rPr>
        <w:t>razvoj</w:t>
      </w:r>
      <w:r w:rsidR="00787E1D" w:rsidRPr="00AB15C7">
        <w:rPr>
          <w:rFonts w:ascii="Cambria" w:hAnsi="Cambria"/>
          <w:b/>
          <w:noProof/>
          <w:lang w:val="sr-Latn-CS" w:eastAsia="x-none"/>
        </w:rPr>
        <w:t xml:space="preserve"> </w:t>
      </w:r>
      <w:r w:rsidR="00787E1D" w:rsidRPr="00AB15C7">
        <w:rPr>
          <w:rFonts w:ascii="Cambria" w:hAnsi="Cambria"/>
          <w:b/>
          <w:noProof/>
          <w:lang w:val="pl-PL" w:eastAsia="x-none"/>
        </w:rPr>
        <w:t>i</w:t>
      </w:r>
      <w:r w:rsidR="00787E1D" w:rsidRPr="00AB15C7">
        <w:rPr>
          <w:rFonts w:ascii="Cambria" w:hAnsi="Cambria"/>
          <w:b/>
          <w:noProof/>
          <w:lang w:val="sr-Latn-CS" w:eastAsia="x-none"/>
        </w:rPr>
        <w:t xml:space="preserve"> </w:t>
      </w:r>
      <w:r w:rsidR="00787E1D" w:rsidRPr="00AB15C7">
        <w:rPr>
          <w:rFonts w:ascii="Cambria" w:hAnsi="Cambria"/>
          <w:b/>
          <w:noProof/>
          <w:lang w:val="pl-PL" w:eastAsia="x-none"/>
        </w:rPr>
        <w:t>klimatske</w:t>
      </w:r>
      <w:r w:rsidR="00787E1D" w:rsidRPr="00AB15C7">
        <w:rPr>
          <w:rFonts w:ascii="Cambria" w:hAnsi="Cambria"/>
          <w:b/>
          <w:noProof/>
          <w:lang w:val="sr-Latn-CS" w:eastAsia="x-none"/>
        </w:rPr>
        <w:t xml:space="preserve"> </w:t>
      </w:r>
      <w:r w:rsidR="00787E1D" w:rsidRPr="00AB15C7">
        <w:rPr>
          <w:rFonts w:ascii="Cambria" w:hAnsi="Cambria"/>
          <w:b/>
          <w:noProof/>
          <w:lang w:val="pl-PL" w:eastAsia="x-none"/>
        </w:rPr>
        <w:t>promjene</w:t>
      </w:r>
      <w:r w:rsidR="00787E1D" w:rsidRPr="00AB15C7">
        <w:rPr>
          <w:rFonts w:ascii="Cambria" w:hAnsi="Cambria"/>
          <w:noProof/>
          <w:lang w:val="sr-Latn-CS" w:eastAsia="x-none"/>
        </w:rPr>
        <w:t xml:space="preserve"> </w:t>
      </w:r>
      <w:r w:rsidR="00787E1D" w:rsidRPr="00AB15C7">
        <w:rPr>
          <w:rFonts w:ascii="Cambria" w:hAnsi="Cambria"/>
          <w:noProof/>
          <w:lang w:eastAsia="x-none"/>
        </w:rPr>
        <w:t>koji je prvobitno osnovan 2002. godine uoči Svjetskog Samita o održivom razvoju u Johanesburgu kao savjetodavno tijelo Vladi Crne Gore sa misijom da savjetima utiče na vladinu politiku u oblasti održivog razvoja. </w:t>
      </w:r>
      <w:r w:rsidR="00787E1D" w:rsidRPr="00AB15C7">
        <w:rPr>
          <w:rFonts w:ascii="Cambria" w:hAnsi="Cambria"/>
          <w:noProof/>
          <w:lang w:val="pl-PL" w:eastAsia="x-none"/>
        </w:rPr>
        <w:t xml:space="preserve"> </w:t>
      </w:r>
      <w:r w:rsidR="00787E1D" w:rsidRPr="00AB15C7">
        <w:rPr>
          <w:rFonts w:ascii="Cambria" w:hAnsi="Cambria"/>
          <w:noProof/>
          <w:lang w:eastAsia="x-none"/>
        </w:rPr>
        <w:t>Savjet je bio jedan od ključnih tijela uključenih u definisanje platforme Crne Gore za učešće na Konferenciji Ujedinjenih nacija o održivom razvoju Rio+20, najvećem događaju u oblasti održivog razvoja koja se održala u junu 2012. godine. </w:t>
      </w:r>
      <w:r w:rsidR="00A44C15" w:rsidRPr="00AB15C7">
        <w:rPr>
          <w:rFonts w:ascii="Cambria" w:hAnsi="Cambria"/>
          <w:noProof/>
          <w:lang w:val="pl-PL" w:eastAsia="x-none"/>
        </w:rPr>
        <w:t xml:space="preserve"> Savjetom je u periodu od 2002. godine predsjedavao Predsjednik Vlade, a od 2013. godine Predsjednik Države</w:t>
      </w:r>
      <w:r w:rsidR="00787E1D" w:rsidRPr="00AB15C7">
        <w:rPr>
          <w:rFonts w:ascii="Cambria" w:hAnsi="Cambria"/>
          <w:noProof/>
          <w:lang w:val="pl-PL" w:eastAsia="x-none"/>
        </w:rPr>
        <w:t xml:space="preserve">. </w:t>
      </w:r>
      <w:r w:rsidR="00A44C15" w:rsidRPr="00AB15C7">
        <w:rPr>
          <w:rFonts w:ascii="Cambria" w:hAnsi="Cambria"/>
          <w:noProof/>
          <w:lang w:val="pl-PL" w:eastAsia="x-none"/>
        </w:rPr>
        <w:t>Savjet</w:t>
      </w:r>
      <w:r w:rsidR="00376311" w:rsidRPr="00AB15C7">
        <w:rPr>
          <w:rFonts w:ascii="Cambria" w:hAnsi="Cambria"/>
          <w:noProof/>
          <w:lang w:val="sr-Latn-CS" w:eastAsia="x-none"/>
        </w:rPr>
        <w:t xml:space="preserve"> č</w:t>
      </w:r>
      <w:r w:rsidR="00376311" w:rsidRPr="00AB15C7">
        <w:rPr>
          <w:rFonts w:ascii="Cambria" w:hAnsi="Cambria"/>
          <w:noProof/>
          <w:lang w:val="pl-PL" w:eastAsia="x-none"/>
        </w:rPr>
        <w:t>ine</w:t>
      </w:r>
      <w:r w:rsidR="00376311" w:rsidRPr="00AB15C7">
        <w:rPr>
          <w:rFonts w:ascii="Cambria" w:hAnsi="Cambria"/>
          <w:noProof/>
          <w:lang w:val="sr-Latn-CS" w:eastAsia="x-none"/>
        </w:rPr>
        <w:t xml:space="preserve"> </w:t>
      </w:r>
      <w:r w:rsidR="00376311" w:rsidRPr="00AB15C7">
        <w:rPr>
          <w:rFonts w:ascii="Cambria" w:hAnsi="Cambria"/>
          <w:noProof/>
          <w:lang w:val="pl-PL" w:eastAsia="x-none"/>
        </w:rPr>
        <w:t>predstavnici</w:t>
      </w:r>
      <w:r w:rsidR="00376311" w:rsidRPr="00AB15C7">
        <w:rPr>
          <w:rFonts w:ascii="Cambria" w:hAnsi="Cambria"/>
          <w:noProof/>
          <w:lang w:val="sr-Latn-CS" w:eastAsia="x-none"/>
        </w:rPr>
        <w:t xml:space="preserve"> </w:t>
      </w:r>
      <w:r w:rsidR="00376311" w:rsidRPr="00AB15C7">
        <w:rPr>
          <w:rFonts w:ascii="Cambria" w:hAnsi="Cambria"/>
          <w:noProof/>
          <w:lang w:val="pl-PL" w:eastAsia="x-none"/>
        </w:rPr>
        <w:t>svih</w:t>
      </w:r>
      <w:r w:rsidR="00376311" w:rsidRPr="00AB15C7">
        <w:rPr>
          <w:rFonts w:ascii="Cambria" w:hAnsi="Cambria"/>
          <w:noProof/>
          <w:lang w:val="sr-Latn-CS" w:eastAsia="x-none"/>
        </w:rPr>
        <w:t xml:space="preserve"> </w:t>
      </w:r>
      <w:r w:rsidR="00376311" w:rsidRPr="00AB15C7">
        <w:rPr>
          <w:rFonts w:ascii="Cambria" w:hAnsi="Cambria"/>
          <w:noProof/>
          <w:lang w:val="pl-PL" w:eastAsia="x-none"/>
        </w:rPr>
        <w:t>dru</w:t>
      </w:r>
      <w:r w:rsidR="00376311" w:rsidRPr="00AB15C7">
        <w:rPr>
          <w:rFonts w:ascii="Cambria" w:hAnsi="Cambria"/>
          <w:noProof/>
          <w:lang w:val="sr-Latn-CS" w:eastAsia="x-none"/>
        </w:rPr>
        <w:t>š</w:t>
      </w:r>
      <w:r w:rsidR="00376311" w:rsidRPr="00AB15C7">
        <w:rPr>
          <w:rFonts w:ascii="Cambria" w:hAnsi="Cambria"/>
          <w:noProof/>
          <w:lang w:val="pl-PL" w:eastAsia="x-none"/>
        </w:rPr>
        <w:t>tvenih</w:t>
      </w:r>
      <w:r w:rsidR="00376311" w:rsidRPr="00AB15C7">
        <w:rPr>
          <w:rFonts w:ascii="Cambria" w:hAnsi="Cambria"/>
          <w:noProof/>
          <w:lang w:val="sr-Latn-CS" w:eastAsia="x-none"/>
        </w:rPr>
        <w:t xml:space="preserve"> </w:t>
      </w:r>
      <w:r w:rsidR="00376311" w:rsidRPr="00AB15C7">
        <w:rPr>
          <w:rFonts w:ascii="Cambria" w:hAnsi="Cambria"/>
          <w:noProof/>
          <w:lang w:val="pl-PL" w:eastAsia="x-none"/>
        </w:rPr>
        <w:t>struktura</w:t>
      </w:r>
      <w:r w:rsidR="00376311" w:rsidRPr="00AB15C7">
        <w:rPr>
          <w:rFonts w:ascii="Cambria" w:hAnsi="Cambria"/>
          <w:noProof/>
          <w:lang w:val="sr-Latn-CS" w:eastAsia="x-none"/>
        </w:rPr>
        <w:t xml:space="preserve"> (</w:t>
      </w:r>
      <w:r w:rsidR="00376311" w:rsidRPr="00AB15C7">
        <w:rPr>
          <w:rFonts w:ascii="Cambria" w:hAnsi="Cambria"/>
          <w:noProof/>
          <w:lang w:val="pl-PL" w:eastAsia="x-none"/>
        </w:rPr>
        <w:t>ukupno</w:t>
      </w:r>
      <w:r w:rsidR="00376311" w:rsidRPr="00AB15C7">
        <w:rPr>
          <w:rFonts w:ascii="Cambria" w:hAnsi="Cambria"/>
          <w:noProof/>
          <w:lang w:val="sr-Latn-CS" w:eastAsia="x-none"/>
        </w:rPr>
        <w:t xml:space="preserve"> 21 č</w:t>
      </w:r>
      <w:r w:rsidR="00376311" w:rsidRPr="00AB15C7">
        <w:rPr>
          <w:rFonts w:ascii="Cambria" w:hAnsi="Cambria"/>
          <w:noProof/>
          <w:lang w:val="pl-PL" w:eastAsia="x-none"/>
        </w:rPr>
        <w:t>lan</w:t>
      </w:r>
      <w:r w:rsidR="00376311" w:rsidRPr="00AB15C7">
        <w:rPr>
          <w:rFonts w:ascii="Cambria" w:hAnsi="Cambria"/>
          <w:noProof/>
          <w:lang w:val="sr-Latn-CS" w:eastAsia="x-none"/>
        </w:rPr>
        <w:t>), š</w:t>
      </w:r>
      <w:r w:rsidR="00376311" w:rsidRPr="00AB15C7">
        <w:rPr>
          <w:rFonts w:ascii="Cambria" w:hAnsi="Cambria"/>
          <w:noProof/>
          <w:lang w:val="pl-PL" w:eastAsia="x-none"/>
        </w:rPr>
        <w:t>to</w:t>
      </w:r>
      <w:r w:rsidR="00376311" w:rsidRPr="00AB15C7">
        <w:rPr>
          <w:rFonts w:ascii="Cambria" w:hAnsi="Cambria"/>
          <w:noProof/>
          <w:lang w:val="sr-Latn-CS" w:eastAsia="x-none"/>
        </w:rPr>
        <w:t xml:space="preserve"> </w:t>
      </w:r>
      <w:r w:rsidR="00376311" w:rsidRPr="00AB15C7">
        <w:rPr>
          <w:rFonts w:ascii="Cambria" w:hAnsi="Cambria"/>
          <w:noProof/>
          <w:lang w:val="pl-PL" w:eastAsia="x-none"/>
        </w:rPr>
        <w:t>osigura</w:t>
      </w:r>
      <w:r w:rsidR="00A44C15" w:rsidRPr="00AB15C7">
        <w:rPr>
          <w:rFonts w:ascii="Cambria" w:hAnsi="Cambria"/>
          <w:noProof/>
          <w:lang w:val="pl-PL" w:eastAsia="x-none"/>
        </w:rPr>
        <w:t>va</w:t>
      </w:r>
      <w:r w:rsidR="00376311" w:rsidRPr="00AB15C7">
        <w:rPr>
          <w:rFonts w:ascii="Cambria" w:hAnsi="Cambria"/>
          <w:noProof/>
          <w:lang w:val="sr-Latn-CS" w:eastAsia="x-none"/>
        </w:rPr>
        <w:t xml:space="preserve"> </w:t>
      </w:r>
      <w:r w:rsidR="00376311" w:rsidRPr="00AB15C7">
        <w:rPr>
          <w:rFonts w:ascii="Cambria" w:hAnsi="Cambria"/>
          <w:noProof/>
          <w:lang w:val="pl-PL" w:eastAsia="x-none"/>
        </w:rPr>
        <w:t>da</w:t>
      </w:r>
      <w:r w:rsidR="00376311" w:rsidRPr="00AB15C7">
        <w:rPr>
          <w:rFonts w:ascii="Cambria" w:hAnsi="Cambria"/>
          <w:noProof/>
          <w:lang w:val="sr-Latn-CS" w:eastAsia="x-none"/>
        </w:rPr>
        <w:t xml:space="preserve"> </w:t>
      </w:r>
      <w:r w:rsidR="00376311" w:rsidRPr="00AB15C7">
        <w:rPr>
          <w:rFonts w:ascii="Cambria" w:hAnsi="Cambria"/>
          <w:noProof/>
          <w:lang w:val="pl-PL" w:eastAsia="x-none"/>
        </w:rPr>
        <w:t>Vlada</w:t>
      </w:r>
      <w:r w:rsidR="00376311" w:rsidRPr="00AB15C7">
        <w:rPr>
          <w:rFonts w:ascii="Cambria" w:hAnsi="Cambria"/>
          <w:noProof/>
          <w:lang w:val="sr-Latn-CS" w:eastAsia="x-none"/>
        </w:rPr>
        <w:t xml:space="preserve"> </w:t>
      </w:r>
      <w:r w:rsidR="00376311" w:rsidRPr="00AB15C7">
        <w:rPr>
          <w:rFonts w:ascii="Cambria" w:hAnsi="Cambria"/>
          <w:noProof/>
          <w:lang w:val="pl-PL" w:eastAsia="x-none"/>
        </w:rPr>
        <w:t>dobija</w:t>
      </w:r>
      <w:r w:rsidR="00376311" w:rsidRPr="00AB15C7">
        <w:rPr>
          <w:rFonts w:ascii="Cambria" w:hAnsi="Cambria"/>
          <w:noProof/>
          <w:lang w:val="sr-Latn-CS" w:eastAsia="x-none"/>
        </w:rPr>
        <w:t xml:space="preserve"> </w:t>
      </w:r>
      <w:r w:rsidR="00376311" w:rsidRPr="00AB15C7">
        <w:rPr>
          <w:rFonts w:ascii="Cambria" w:hAnsi="Cambria"/>
          <w:noProof/>
          <w:lang w:val="pl-PL" w:eastAsia="x-none"/>
        </w:rPr>
        <w:t>preporuke</w:t>
      </w:r>
      <w:r w:rsidR="00376311" w:rsidRPr="00AB15C7">
        <w:rPr>
          <w:rFonts w:ascii="Cambria" w:hAnsi="Cambria"/>
          <w:noProof/>
          <w:lang w:val="sr-Latn-CS" w:eastAsia="x-none"/>
        </w:rPr>
        <w:t xml:space="preserve"> </w:t>
      </w:r>
      <w:r w:rsidR="00376311" w:rsidRPr="00AB15C7">
        <w:rPr>
          <w:rFonts w:ascii="Cambria" w:hAnsi="Cambria"/>
          <w:noProof/>
          <w:lang w:val="pl-PL" w:eastAsia="x-none"/>
        </w:rPr>
        <w:t>o</w:t>
      </w:r>
      <w:r w:rsidR="00376311" w:rsidRPr="00AB15C7">
        <w:rPr>
          <w:rFonts w:ascii="Cambria" w:hAnsi="Cambria"/>
          <w:noProof/>
          <w:lang w:val="sr-Latn-CS" w:eastAsia="x-none"/>
        </w:rPr>
        <w:t xml:space="preserve"> </w:t>
      </w:r>
      <w:r w:rsidR="00376311" w:rsidRPr="00AB15C7">
        <w:rPr>
          <w:rFonts w:ascii="Cambria" w:hAnsi="Cambria"/>
          <w:noProof/>
          <w:lang w:val="pl-PL" w:eastAsia="x-none"/>
        </w:rPr>
        <w:t>pravcima</w:t>
      </w:r>
      <w:r w:rsidR="00376311" w:rsidRPr="00AB15C7">
        <w:rPr>
          <w:rFonts w:ascii="Cambria" w:hAnsi="Cambria"/>
          <w:noProof/>
          <w:lang w:val="sr-Latn-CS" w:eastAsia="x-none"/>
        </w:rPr>
        <w:t xml:space="preserve"> </w:t>
      </w:r>
      <w:r w:rsidR="00376311" w:rsidRPr="00AB15C7">
        <w:rPr>
          <w:rFonts w:ascii="Cambria" w:hAnsi="Cambria"/>
          <w:noProof/>
          <w:lang w:val="pl-PL" w:eastAsia="x-none"/>
        </w:rPr>
        <w:t>budu</w:t>
      </w:r>
      <w:r w:rsidR="00376311" w:rsidRPr="00AB15C7">
        <w:rPr>
          <w:rFonts w:ascii="Cambria" w:hAnsi="Cambria"/>
          <w:noProof/>
          <w:lang w:val="sr-Latn-CS" w:eastAsia="x-none"/>
        </w:rPr>
        <w:t>ć</w:t>
      </w:r>
      <w:r w:rsidR="00376311" w:rsidRPr="00AB15C7">
        <w:rPr>
          <w:rFonts w:ascii="Cambria" w:hAnsi="Cambria"/>
          <w:noProof/>
          <w:lang w:val="pl-PL" w:eastAsia="x-none"/>
        </w:rPr>
        <w:t>eg</w:t>
      </w:r>
      <w:r w:rsidR="00376311" w:rsidRPr="00AB15C7">
        <w:rPr>
          <w:rFonts w:ascii="Cambria" w:hAnsi="Cambria"/>
          <w:noProof/>
          <w:lang w:val="sr-Latn-CS" w:eastAsia="x-none"/>
        </w:rPr>
        <w:t xml:space="preserve"> </w:t>
      </w:r>
      <w:r w:rsidR="00376311" w:rsidRPr="00AB15C7">
        <w:rPr>
          <w:rFonts w:ascii="Cambria" w:hAnsi="Cambria"/>
          <w:noProof/>
          <w:lang w:val="pl-PL" w:eastAsia="x-none"/>
        </w:rPr>
        <w:t>odr</w:t>
      </w:r>
      <w:r w:rsidR="00376311" w:rsidRPr="00AB15C7">
        <w:rPr>
          <w:rFonts w:ascii="Cambria" w:hAnsi="Cambria"/>
          <w:noProof/>
          <w:lang w:val="sr-Latn-CS" w:eastAsia="x-none"/>
        </w:rPr>
        <w:t>ž</w:t>
      </w:r>
      <w:r w:rsidR="00376311" w:rsidRPr="00AB15C7">
        <w:rPr>
          <w:rFonts w:ascii="Cambria" w:hAnsi="Cambria"/>
          <w:noProof/>
          <w:lang w:val="pl-PL" w:eastAsia="x-none"/>
        </w:rPr>
        <w:t>ivog</w:t>
      </w:r>
      <w:r w:rsidR="00376311" w:rsidRPr="00AB15C7">
        <w:rPr>
          <w:rFonts w:ascii="Cambria" w:hAnsi="Cambria"/>
          <w:noProof/>
          <w:lang w:val="sr-Latn-CS" w:eastAsia="x-none"/>
        </w:rPr>
        <w:t xml:space="preserve"> </w:t>
      </w:r>
      <w:r w:rsidR="00376311" w:rsidRPr="00AB15C7">
        <w:rPr>
          <w:rFonts w:ascii="Cambria" w:hAnsi="Cambria"/>
          <w:noProof/>
          <w:lang w:val="pl-PL" w:eastAsia="x-none"/>
        </w:rPr>
        <w:t>razvoja</w:t>
      </w:r>
      <w:r w:rsidR="00376311" w:rsidRPr="00AB15C7">
        <w:rPr>
          <w:rFonts w:ascii="Cambria" w:hAnsi="Cambria"/>
          <w:noProof/>
          <w:lang w:val="sr-Latn-CS" w:eastAsia="x-none"/>
        </w:rPr>
        <w:t xml:space="preserve"> </w:t>
      </w:r>
      <w:r w:rsidR="00376311" w:rsidRPr="00AB15C7">
        <w:rPr>
          <w:rFonts w:ascii="Cambria" w:hAnsi="Cambria"/>
          <w:noProof/>
          <w:lang w:val="pl-PL" w:eastAsia="x-none"/>
        </w:rPr>
        <w:t>Crne</w:t>
      </w:r>
      <w:r w:rsidR="00376311" w:rsidRPr="00AB15C7">
        <w:rPr>
          <w:rFonts w:ascii="Cambria" w:hAnsi="Cambria"/>
          <w:noProof/>
          <w:lang w:val="sr-Latn-CS" w:eastAsia="x-none"/>
        </w:rPr>
        <w:t xml:space="preserve"> </w:t>
      </w:r>
      <w:r w:rsidR="00376311" w:rsidRPr="00AB15C7">
        <w:rPr>
          <w:rFonts w:ascii="Cambria" w:hAnsi="Cambria"/>
          <w:noProof/>
          <w:lang w:val="pl-PL" w:eastAsia="x-none"/>
        </w:rPr>
        <w:t>Gore</w:t>
      </w:r>
      <w:r w:rsidR="00376311" w:rsidRPr="00AB15C7">
        <w:rPr>
          <w:rFonts w:ascii="Cambria" w:hAnsi="Cambria"/>
          <w:noProof/>
          <w:lang w:val="sr-Latn-CS" w:eastAsia="x-none"/>
        </w:rPr>
        <w:t xml:space="preserve"> </w:t>
      </w:r>
      <w:r w:rsidR="00376311" w:rsidRPr="00AB15C7">
        <w:rPr>
          <w:rFonts w:ascii="Cambria" w:hAnsi="Cambria"/>
          <w:noProof/>
          <w:lang w:val="pl-PL" w:eastAsia="x-none"/>
        </w:rPr>
        <w:t>koji</w:t>
      </w:r>
      <w:r w:rsidR="00376311" w:rsidRPr="00AB15C7">
        <w:rPr>
          <w:rFonts w:ascii="Cambria" w:hAnsi="Cambria"/>
          <w:noProof/>
          <w:lang w:val="sr-Latn-CS" w:eastAsia="x-none"/>
        </w:rPr>
        <w:t xml:space="preserve"> ć</w:t>
      </w:r>
      <w:r w:rsidR="00376311" w:rsidRPr="00AB15C7">
        <w:rPr>
          <w:rFonts w:ascii="Cambria" w:hAnsi="Cambria"/>
          <w:noProof/>
          <w:lang w:val="pl-PL" w:eastAsia="x-none"/>
        </w:rPr>
        <w:t>e</w:t>
      </w:r>
      <w:r w:rsidR="00376311" w:rsidRPr="00AB15C7">
        <w:rPr>
          <w:rFonts w:ascii="Cambria" w:hAnsi="Cambria"/>
          <w:noProof/>
          <w:lang w:val="sr-Latn-CS" w:eastAsia="x-none"/>
        </w:rPr>
        <w:t xml:space="preserve"> </w:t>
      </w:r>
      <w:r w:rsidR="00376311" w:rsidRPr="00AB15C7">
        <w:rPr>
          <w:rFonts w:ascii="Cambria" w:hAnsi="Cambria"/>
          <w:noProof/>
          <w:lang w:val="pl-PL" w:eastAsia="x-none"/>
        </w:rPr>
        <w:t>odra</w:t>
      </w:r>
      <w:r w:rsidR="00376311" w:rsidRPr="00AB15C7">
        <w:rPr>
          <w:rFonts w:ascii="Cambria" w:hAnsi="Cambria"/>
          <w:noProof/>
          <w:lang w:val="sr-Latn-CS" w:eastAsia="x-none"/>
        </w:rPr>
        <w:t>ž</w:t>
      </w:r>
      <w:r w:rsidR="00376311" w:rsidRPr="00AB15C7">
        <w:rPr>
          <w:rFonts w:ascii="Cambria" w:hAnsi="Cambria"/>
          <w:noProof/>
          <w:lang w:val="pl-PL" w:eastAsia="x-none"/>
        </w:rPr>
        <w:t>avati</w:t>
      </w:r>
      <w:r w:rsidR="00376311" w:rsidRPr="00AB15C7">
        <w:rPr>
          <w:rFonts w:ascii="Cambria" w:hAnsi="Cambria"/>
          <w:noProof/>
          <w:lang w:val="sr-Latn-CS" w:eastAsia="x-none"/>
        </w:rPr>
        <w:t xml:space="preserve"> </w:t>
      </w:r>
      <w:r w:rsidR="00376311" w:rsidRPr="00AB15C7">
        <w:rPr>
          <w:rFonts w:ascii="Cambria" w:hAnsi="Cambria"/>
          <w:noProof/>
          <w:lang w:val="pl-PL" w:eastAsia="x-none"/>
        </w:rPr>
        <w:t>zajedni</w:t>
      </w:r>
      <w:r w:rsidR="00376311" w:rsidRPr="00AB15C7">
        <w:rPr>
          <w:rFonts w:ascii="Cambria" w:hAnsi="Cambria"/>
          <w:noProof/>
          <w:lang w:val="sr-Latn-CS" w:eastAsia="x-none"/>
        </w:rPr>
        <w:t>č</w:t>
      </w:r>
      <w:r w:rsidR="00376311" w:rsidRPr="00AB15C7">
        <w:rPr>
          <w:rFonts w:ascii="Cambria" w:hAnsi="Cambria"/>
          <w:noProof/>
          <w:lang w:val="pl-PL" w:eastAsia="x-none"/>
        </w:rPr>
        <w:t>ki</w:t>
      </w:r>
      <w:r w:rsidR="00376311" w:rsidRPr="00AB15C7">
        <w:rPr>
          <w:rFonts w:ascii="Cambria" w:hAnsi="Cambria"/>
          <w:noProof/>
          <w:lang w:val="sr-Latn-CS" w:eastAsia="x-none"/>
        </w:rPr>
        <w:t xml:space="preserve"> </w:t>
      </w:r>
      <w:r w:rsidR="00376311" w:rsidRPr="00AB15C7">
        <w:rPr>
          <w:rFonts w:ascii="Cambria" w:hAnsi="Cambria"/>
          <w:noProof/>
          <w:lang w:val="pl-PL" w:eastAsia="x-none"/>
        </w:rPr>
        <w:t>stav</w:t>
      </w:r>
      <w:r w:rsidR="00376311" w:rsidRPr="00AB15C7">
        <w:rPr>
          <w:rFonts w:ascii="Cambria" w:hAnsi="Cambria"/>
          <w:noProof/>
          <w:lang w:val="sr-Latn-CS" w:eastAsia="x-none"/>
        </w:rPr>
        <w:t xml:space="preserve"> </w:t>
      </w:r>
      <w:r w:rsidR="00376311" w:rsidRPr="00AB15C7">
        <w:rPr>
          <w:rFonts w:ascii="Cambria" w:hAnsi="Cambria"/>
          <w:noProof/>
          <w:lang w:val="pl-PL" w:eastAsia="x-none"/>
        </w:rPr>
        <w:t>svih</w:t>
      </w:r>
      <w:r w:rsidR="00376311" w:rsidRPr="00AB15C7">
        <w:rPr>
          <w:rFonts w:ascii="Cambria" w:hAnsi="Cambria"/>
          <w:noProof/>
          <w:lang w:val="sr-Latn-CS" w:eastAsia="x-none"/>
        </w:rPr>
        <w:t xml:space="preserve"> č</w:t>
      </w:r>
      <w:r w:rsidR="00376311" w:rsidRPr="00AB15C7">
        <w:rPr>
          <w:rFonts w:ascii="Cambria" w:hAnsi="Cambria"/>
          <w:noProof/>
          <w:lang w:val="pl-PL" w:eastAsia="x-none"/>
        </w:rPr>
        <w:t>inilaca</w:t>
      </w:r>
      <w:r w:rsidR="00376311" w:rsidRPr="00AB15C7">
        <w:rPr>
          <w:rFonts w:ascii="Cambria" w:hAnsi="Cambria"/>
          <w:noProof/>
          <w:lang w:val="sr-Latn-CS" w:eastAsia="x-none"/>
        </w:rPr>
        <w:t xml:space="preserve"> </w:t>
      </w:r>
      <w:r w:rsidR="00376311" w:rsidRPr="00AB15C7">
        <w:rPr>
          <w:rFonts w:ascii="Cambria" w:hAnsi="Cambria"/>
          <w:noProof/>
          <w:lang w:val="pl-PL" w:eastAsia="x-none"/>
        </w:rPr>
        <w:t>dru</w:t>
      </w:r>
      <w:r w:rsidR="00376311" w:rsidRPr="00AB15C7">
        <w:rPr>
          <w:rFonts w:ascii="Cambria" w:hAnsi="Cambria"/>
          <w:noProof/>
          <w:lang w:val="sr-Latn-CS" w:eastAsia="x-none"/>
        </w:rPr>
        <w:t>š</w:t>
      </w:r>
      <w:r w:rsidR="00376311" w:rsidRPr="00AB15C7">
        <w:rPr>
          <w:rFonts w:ascii="Cambria" w:hAnsi="Cambria"/>
          <w:noProof/>
          <w:lang w:val="pl-PL" w:eastAsia="x-none"/>
        </w:rPr>
        <w:t>tva</w:t>
      </w:r>
      <w:r w:rsidR="00376311" w:rsidRPr="00AB15C7">
        <w:rPr>
          <w:rFonts w:ascii="Cambria" w:hAnsi="Cambria"/>
          <w:noProof/>
          <w:lang w:val="sr-Latn-CS" w:eastAsia="x-none"/>
        </w:rPr>
        <w:t xml:space="preserve">.  U </w:t>
      </w:r>
      <w:r w:rsidR="00376311" w:rsidRPr="00AB15C7">
        <w:rPr>
          <w:rFonts w:ascii="Cambria" w:hAnsi="Cambria"/>
          <w:noProof/>
          <w:lang w:val="hr-HR" w:eastAsia="x-none"/>
        </w:rPr>
        <w:t xml:space="preserve">Nacionalni savjet za održivi razvoj uključena su i 2 predstavnika NVO (Green Home i Zeleni Crne Gore). </w:t>
      </w:r>
      <w:r w:rsidR="00376311" w:rsidRPr="00AB15C7">
        <w:rPr>
          <w:rFonts w:ascii="Cambria" w:hAnsi="Cambria"/>
          <w:noProof/>
          <w:lang w:eastAsia="x-none"/>
        </w:rPr>
        <w:t xml:space="preserve">Nacionalni savjet je osnovan sa zadatkom da razmatra sva strateška dokumenta koja se odnose na održivi razvoj i da, u vezi sa tim, daje svoja mišljenja i predloge Vladi, kao i da godišnje prati i izvještava Vladu o ostvarivanju Nacionalne strategije održivog razvoja. Glavna misija Savjeta je da svojim radom </w:t>
      </w:r>
      <w:r w:rsidR="00376311" w:rsidRPr="00AB15C7">
        <w:rPr>
          <w:rFonts w:ascii="Cambria" w:hAnsi="Cambria"/>
          <w:noProof/>
          <w:lang w:eastAsia="x-none"/>
        </w:rPr>
        <w:lastRenderedPageBreak/>
        <w:t>promoviše koncept održivog razvoja kao i da, kroz komentare na sektorska strateška dokumenta i proaktivni pristup i izradu nezavisnih preporuka, utiče na Vladu u implementaciji principa održivog razvoja u Crnoj Gori.</w:t>
      </w:r>
    </w:p>
    <w:p w14:paraId="6B646DBB" w14:textId="77777777" w:rsidR="000344D7" w:rsidRPr="00AB15C7" w:rsidRDefault="000344D7" w:rsidP="00867326">
      <w:pPr>
        <w:pStyle w:val="Heading2"/>
        <w:spacing w:before="0" w:after="120"/>
        <w:rPr>
          <w:noProof/>
          <w:sz w:val="22"/>
          <w:szCs w:val="22"/>
          <w:lang w:val="en-US"/>
        </w:rPr>
      </w:pPr>
      <w:bookmarkStart w:id="98" w:name="_Toc527353214"/>
      <w:r w:rsidRPr="00AB15C7">
        <w:rPr>
          <w:noProof/>
          <w:sz w:val="22"/>
          <w:szCs w:val="22"/>
          <w:lang w:val="en-US"/>
        </w:rPr>
        <w:t>2.6.4. Koordinaciono tijelo za nadzor na tržištu</w:t>
      </w:r>
      <w:bookmarkEnd w:id="98"/>
    </w:p>
    <w:p w14:paraId="06D2825E" w14:textId="77777777" w:rsidR="000344D7" w:rsidRPr="00AB15C7" w:rsidRDefault="00336B07" w:rsidP="005921EF">
      <w:pPr>
        <w:jc w:val="both"/>
        <w:rPr>
          <w:rFonts w:ascii="Cambria" w:hAnsi="Cambria"/>
          <w:noProof/>
          <w:lang w:eastAsia="x-none"/>
        </w:rPr>
      </w:pPr>
      <w:r w:rsidRPr="00AB15C7">
        <w:rPr>
          <w:rFonts w:ascii="Cambria" w:hAnsi="Cambria"/>
          <w:noProof/>
          <w:lang w:eastAsia="x-none"/>
        </w:rPr>
        <w:t xml:space="preserve">Polazeći od institucionalnog okvira za tržišni nadzor u Crnoj Gori, koji čine više inspekcija koje organizaciono pripadaju različitim ministrastvima i drugim organima državne uprave, zajedničko tijelo za njihovu međusobnu saradnju i koordinaciju, pokazuje se kao najcjelishodniji oblik povezivanja. Stoga je 2010. godine, </w:t>
      </w:r>
      <w:r w:rsidR="00992458" w:rsidRPr="00AB15C7">
        <w:rPr>
          <w:rFonts w:ascii="Cambria" w:hAnsi="Cambria"/>
          <w:noProof/>
          <w:lang w:eastAsia="x-none"/>
        </w:rPr>
        <w:t xml:space="preserve">u skladu sa Strategijom tržišnog nadzora, </w:t>
      </w:r>
      <w:r w:rsidRPr="00AB15C7">
        <w:rPr>
          <w:rFonts w:ascii="Cambria" w:hAnsi="Cambria"/>
          <w:noProof/>
          <w:lang w:eastAsia="x-none"/>
        </w:rPr>
        <w:t>Vlada Crne Gore osnovala Koordinaciono tijelo za nadzor na tržištu sa z</w:t>
      </w:r>
      <w:r w:rsidR="000344D7" w:rsidRPr="00AB15C7">
        <w:rPr>
          <w:rFonts w:ascii="Cambria" w:hAnsi="Cambria"/>
          <w:noProof/>
          <w:lang w:eastAsia="x-none"/>
        </w:rPr>
        <w:t>adat</w:t>
      </w:r>
      <w:r w:rsidRPr="00AB15C7">
        <w:rPr>
          <w:rFonts w:ascii="Cambria" w:hAnsi="Cambria"/>
          <w:noProof/>
          <w:lang w:eastAsia="x-none"/>
        </w:rPr>
        <w:t xml:space="preserve">kom </w:t>
      </w:r>
      <w:r w:rsidR="000344D7" w:rsidRPr="00AB15C7">
        <w:rPr>
          <w:rFonts w:ascii="Cambria" w:hAnsi="Cambria"/>
          <w:noProof/>
          <w:lang w:eastAsia="x-none"/>
        </w:rPr>
        <w:t xml:space="preserve"> da koordinira međusobnu saradnju između organa nadzora na tržištu i nadležnih organa uprave i drugih organizacija u cilju efikasnog sprovođenja nadzora na tržištu. Koordinaciono tijelo ima 8 članova od kojih </w:t>
      </w:r>
      <w:r w:rsidR="00992458" w:rsidRPr="00AB15C7">
        <w:rPr>
          <w:rFonts w:ascii="Cambria" w:hAnsi="Cambria"/>
          <w:noProof/>
          <w:lang w:eastAsia="x-none"/>
        </w:rPr>
        <w:t xml:space="preserve">šest su predstavnici organa za nadzor na tržištu, od čega su četiri predstavnika Uprave za inspekcijske poslove, po jedan predstavnik nadležne inspekcije Ministarstva unutrašnjih poslova i nadležne inspekcije Ministarstva saobraćaja i pomorstva, a ostala dva su iz Uprave carina i Ministarstva ekonomije. </w:t>
      </w:r>
      <w:r w:rsidR="000344D7" w:rsidRPr="00AB15C7">
        <w:rPr>
          <w:rFonts w:ascii="Cambria" w:hAnsi="Cambria"/>
          <w:noProof/>
          <w:lang w:eastAsia="x-none"/>
        </w:rPr>
        <w:t>Stručne i administrativne poslove za potrebe Koordinacionog tijela obavlja Uprava za inspekcijske poslove.</w:t>
      </w:r>
      <w:r w:rsidR="00992458" w:rsidRPr="00AB15C7">
        <w:rPr>
          <w:rFonts w:ascii="Cambria" w:hAnsi="Cambria"/>
          <w:noProof/>
          <w:lang w:eastAsia="x-none"/>
        </w:rPr>
        <w:t xml:space="preserve"> Između ostalog,  u </w:t>
      </w:r>
      <w:r w:rsidR="00992458" w:rsidRPr="00AB15C7">
        <w:rPr>
          <w:rFonts w:ascii="Cambria" w:hAnsi="Cambria"/>
          <w:bCs/>
          <w:noProof/>
          <w:lang w:eastAsia="x-none"/>
        </w:rPr>
        <w:t>grupe proizvoda nad kojima se vrši nadzor na tržištu spadaju i hemikalije i detergenti.</w:t>
      </w:r>
    </w:p>
    <w:p w14:paraId="0CF70D4A" w14:textId="4981DF0C" w:rsidR="00221EA9" w:rsidRDefault="00336B07" w:rsidP="00360F0F">
      <w:pPr>
        <w:jc w:val="both"/>
        <w:rPr>
          <w:rFonts w:ascii="Cambria" w:hAnsi="Cambria"/>
          <w:noProof/>
          <w:lang w:eastAsia="x-none"/>
        </w:rPr>
      </w:pPr>
      <w:r w:rsidRPr="00AB15C7">
        <w:rPr>
          <w:rFonts w:ascii="Cambria" w:hAnsi="Cambria"/>
          <w:noProof/>
          <w:lang w:eastAsia="x-none"/>
        </w:rPr>
        <w:t>Kompleksnost tržišnog nadzora, kao posebnog oblika inspekcijskog nadzora, zahtjeva i uže specijalizovani pristup rješavanju određenih stručnih pitanja i praćenju pojedinih oblasti, zbog čega tijelo za koordinaciju tržišnog nadzora može obrazovati stalne i povremene stručne timove. Takođe, iz navedenih razloga, kao i s obzirom na uslovljenost i međusobnu zavisnost procesa u tržišnom nadzoru, Koordinaciono tijelo može tražiti podatke, objašnjenja i izvještaje od državnih organa i drugih organizacija u vezi sa svim pitanjima koja se odnose na tržišni nadzor.</w:t>
      </w:r>
    </w:p>
    <w:p w14:paraId="31316036" w14:textId="77777777" w:rsidR="006F4F6E" w:rsidRPr="00AB15C7" w:rsidRDefault="00876149" w:rsidP="00557C13">
      <w:pPr>
        <w:pStyle w:val="Heading1"/>
        <w:numPr>
          <w:ilvl w:val="1"/>
          <w:numId w:val="33"/>
        </w:numPr>
        <w:rPr>
          <w:noProof/>
          <w:sz w:val="22"/>
          <w:szCs w:val="22"/>
          <w:lang w:val="en-US"/>
        </w:rPr>
      </w:pPr>
      <w:bookmarkStart w:id="99" w:name="_Toc527227115"/>
      <w:bookmarkStart w:id="100" w:name="_Toc527353215"/>
      <w:bookmarkEnd w:id="99"/>
      <w:r w:rsidRPr="00AB15C7">
        <w:rPr>
          <w:noProof/>
          <w:sz w:val="22"/>
          <w:szCs w:val="22"/>
          <w:lang w:val="en-US"/>
        </w:rPr>
        <w:t>UPRAVLJANJE INFORMACIJAMA, PRISTUP I KORIŠĆENJE</w:t>
      </w:r>
      <w:bookmarkEnd w:id="100"/>
    </w:p>
    <w:p w14:paraId="4E44CB50" w14:textId="77777777" w:rsidR="00876149" w:rsidRPr="00AB15C7" w:rsidRDefault="00876149" w:rsidP="005921EF">
      <w:pPr>
        <w:rPr>
          <w:rFonts w:ascii="Cambria" w:hAnsi="Cambria"/>
          <w:noProof/>
          <w:lang w:eastAsia="x-none"/>
        </w:rPr>
      </w:pPr>
    </w:p>
    <w:p w14:paraId="403891C8" w14:textId="77777777" w:rsidR="00876149" w:rsidRPr="00AB15C7" w:rsidRDefault="00876149" w:rsidP="00867326">
      <w:pPr>
        <w:pStyle w:val="Heading2"/>
        <w:spacing w:before="0" w:after="120"/>
        <w:rPr>
          <w:noProof/>
          <w:sz w:val="22"/>
          <w:szCs w:val="22"/>
          <w:lang w:val="en-US"/>
        </w:rPr>
      </w:pPr>
      <w:bookmarkStart w:id="101" w:name="_Toc527353216"/>
      <w:r w:rsidRPr="00AB15C7">
        <w:rPr>
          <w:noProof/>
          <w:sz w:val="22"/>
          <w:szCs w:val="22"/>
          <w:lang w:val="en-US"/>
        </w:rPr>
        <w:t>2.7.1. Upravljanje informacijama</w:t>
      </w:r>
      <w:bookmarkEnd w:id="101"/>
    </w:p>
    <w:p w14:paraId="553D77B4" w14:textId="77777777" w:rsidR="00E92FCF" w:rsidRPr="00AB15C7" w:rsidRDefault="00E92FCF" w:rsidP="005921EF">
      <w:pPr>
        <w:jc w:val="both"/>
        <w:rPr>
          <w:rFonts w:ascii="Cambria" w:hAnsi="Cambria"/>
          <w:noProof/>
          <w:lang w:val="sr-Latn-RS" w:eastAsia="x-none"/>
        </w:rPr>
      </w:pPr>
      <w:r w:rsidRPr="00AB15C7">
        <w:rPr>
          <w:rFonts w:ascii="Cambria" w:hAnsi="Cambria"/>
          <w:noProof/>
          <w:lang w:eastAsia="x-none"/>
        </w:rPr>
        <w:t xml:space="preserve">Pravo na </w:t>
      </w:r>
      <w:r w:rsidR="006632B4" w:rsidRPr="00AB15C7">
        <w:rPr>
          <w:rFonts w:ascii="Cambria" w:hAnsi="Cambria"/>
          <w:noProof/>
          <w:lang w:eastAsia="x-none"/>
        </w:rPr>
        <w:t>informisanje</w:t>
      </w:r>
      <w:r w:rsidRPr="00AB15C7">
        <w:rPr>
          <w:rFonts w:ascii="Cambria" w:hAnsi="Cambria"/>
          <w:noProof/>
          <w:lang w:eastAsia="x-none"/>
        </w:rPr>
        <w:t xml:space="preserve"> </w:t>
      </w:r>
      <w:r w:rsidR="00F2672B">
        <w:rPr>
          <w:rFonts w:ascii="Cambria" w:hAnsi="Cambria"/>
          <w:noProof/>
          <w:lang w:eastAsia="x-none"/>
        </w:rPr>
        <w:t>o</w:t>
      </w:r>
      <w:r w:rsidRPr="00AB15C7">
        <w:rPr>
          <w:rFonts w:ascii="Cambria" w:hAnsi="Cambria"/>
          <w:noProof/>
          <w:lang w:eastAsia="x-none"/>
        </w:rPr>
        <w:t xml:space="preserve"> pitanjima zaštite životne sredine uređeno je u više propisa, kojima su u potpunosti transponovane odgovarajuće odredbe propisa EU o javnom pristupu informacijama o životnoj sredini i učešću javnosti u donošenju odluka po pitanjima zaštite životne sredine, koji su u skladu sa Arhuskom konvencijom. Propisima je uređena nadležnost za vođenje upravnih sporova i odgovarajući postupak. </w:t>
      </w:r>
    </w:p>
    <w:p w14:paraId="32260A42" w14:textId="0B3878EB" w:rsidR="0029787C" w:rsidRPr="00AB15C7" w:rsidRDefault="0029787C" w:rsidP="00867326">
      <w:pPr>
        <w:spacing w:after="0"/>
        <w:jc w:val="both"/>
        <w:rPr>
          <w:rFonts w:ascii="Cambria" w:hAnsi="Cambria"/>
          <w:noProof/>
          <w:lang w:eastAsia="x-none"/>
        </w:rPr>
      </w:pPr>
      <w:r w:rsidRPr="00AB15C7">
        <w:rPr>
          <w:rFonts w:ascii="Cambria" w:hAnsi="Cambria"/>
          <w:noProof/>
          <w:lang w:val="it-IT" w:eastAsia="x-none"/>
        </w:rPr>
        <w:t xml:space="preserve">Zakon o zaštite životne sredine, kao krovni propis u ovoj </w:t>
      </w:r>
      <w:r w:rsidR="008D2DC4" w:rsidRPr="00AB15C7">
        <w:rPr>
          <w:rFonts w:ascii="Cambria" w:hAnsi="Cambria"/>
          <w:noProof/>
          <w:lang w:val="it-IT" w:eastAsia="x-none"/>
        </w:rPr>
        <w:t>oblasti</w:t>
      </w:r>
      <w:r w:rsidRPr="00AB15C7">
        <w:rPr>
          <w:rFonts w:ascii="Cambria" w:hAnsi="Cambria"/>
          <w:noProof/>
          <w:lang w:val="it-IT" w:eastAsia="x-none"/>
        </w:rPr>
        <w:t>,</w:t>
      </w:r>
      <w:r w:rsidR="008D2DC4" w:rsidRPr="00AB15C7">
        <w:rPr>
          <w:rFonts w:ascii="Cambria" w:hAnsi="Cambria"/>
          <w:noProof/>
          <w:lang w:val="it-IT" w:eastAsia="x-none"/>
        </w:rPr>
        <w:t xml:space="preserve"> poč</w:t>
      </w:r>
      <w:r w:rsidRPr="00AB15C7">
        <w:rPr>
          <w:rFonts w:ascii="Cambria" w:hAnsi="Cambria"/>
          <w:noProof/>
          <w:lang w:val="it-IT" w:eastAsia="x-none"/>
        </w:rPr>
        <w:t>i</w:t>
      </w:r>
      <w:r w:rsidR="008D2DC4" w:rsidRPr="00AB15C7">
        <w:rPr>
          <w:rFonts w:ascii="Cambria" w:hAnsi="Cambria"/>
          <w:noProof/>
          <w:lang w:val="it-IT" w:eastAsia="x-none"/>
        </w:rPr>
        <w:t xml:space="preserve">va i na </w:t>
      </w:r>
      <w:r w:rsidR="008D2DC4" w:rsidRPr="00AB15C7">
        <w:rPr>
          <w:rFonts w:ascii="Cambria" w:hAnsi="Cambria"/>
          <w:noProof/>
          <w:lang w:eastAsia="x-none"/>
        </w:rPr>
        <w:t>principu pristupa informacijama i učešća javnosti koji obezb</w:t>
      </w:r>
      <w:r w:rsidR="006C10FB" w:rsidRPr="00AB15C7">
        <w:rPr>
          <w:rFonts w:ascii="Cambria" w:hAnsi="Cambria"/>
          <w:noProof/>
          <w:lang w:eastAsia="x-none"/>
        </w:rPr>
        <w:t>j</w:t>
      </w:r>
      <w:r w:rsidR="008D2DC4" w:rsidRPr="00AB15C7">
        <w:rPr>
          <w:rFonts w:ascii="Cambria" w:hAnsi="Cambria"/>
          <w:noProof/>
          <w:lang w:eastAsia="x-none"/>
        </w:rPr>
        <w:t>eđuje da svako ima pravo da bude obav</w:t>
      </w:r>
      <w:r w:rsidR="00DF0D6C">
        <w:rPr>
          <w:rFonts w:ascii="Cambria" w:hAnsi="Cambria"/>
          <w:noProof/>
          <w:lang w:eastAsia="x-none"/>
        </w:rPr>
        <w:t>i</w:t>
      </w:r>
      <w:r w:rsidR="008D2DC4" w:rsidRPr="00AB15C7">
        <w:rPr>
          <w:rFonts w:ascii="Cambria" w:hAnsi="Cambria"/>
          <w:noProof/>
          <w:lang w:eastAsia="x-none"/>
        </w:rPr>
        <w:t>ješten o stanju životne sredine i da učestvuje u procesu donošenja odluka čije bi sprovođenje moglo da utiče na životnu sredinu</w:t>
      </w:r>
      <w:r w:rsidRPr="00AB15C7">
        <w:rPr>
          <w:rFonts w:ascii="Cambria" w:hAnsi="Cambria"/>
          <w:noProof/>
          <w:lang w:eastAsia="x-none"/>
        </w:rPr>
        <w:t xml:space="preserve">, kao </w:t>
      </w:r>
      <w:r w:rsidR="006C10FB" w:rsidRPr="00AB15C7">
        <w:rPr>
          <w:rFonts w:ascii="Cambria" w:hAnsi="Cambria"/>
          <w:noProof/>
          <w:lang w:eastAsia="x-none"/>
        </w:rPr>
        <w:t>i</w:t>
      </w:r>
      <w:r w:rsidRPr="00AB15C7">
        <w:rPr>
          <w:rFonts w:ascii="Cambria" w:hAnsi="Cambria"/>
          <w:noProof/>
          <w:lang w:eastAsia="x-none"/>
        </w:rPr>
        <w:t xml:space="preserve"> da </w:t>
      </w:r>
      <w:r w:rsidR="008D2DC4" w:rsidRPr="00AB15C7">
        <w:rPr>
          <w:rFonts w:ascii="Cambria" w:hAnsi="Cambria"/>
          <w:noProof/>
          <w:lang w:eastAsia="x-none"/>
        </w:rPr>
        <w:t xml:space="preserve">podaci o stanju životne sredine </w:t>
      </w:r>
      <w:r w:rsidR="006C10FB" w:rsidRPr="00AB15C7">
        <w:rPr>
          <w:rFonts w:ascii="Cambria" w:hAnsi="Cambria"/>
          <w:noProof/>
          <w:lang w:eastAsia="x-none"/>
        </w:rPr>
        <w:t>budu</w:t>
      </w:r>
      <w:r w:rsidR="008D2DC4" w:rsidRPr="00AB15C7">
        <w:rPr>
          <w:rFonts w:ascii="Cambria" w:hAnsi="Cambria"/>
          <w:noProof/>
          <w:lang w:eastAsia="x-none"/>
        </w:rPr>
        <w:t xml:space="preserve"> javni</w:t>
      </w:r>
      <w:r w:rsidRPr="00AB15C7">
        <w:rPr>
          <w:rFonts w:ascii="Cambria" w:hAnsi="Cambria"/>
          <w:noProof/>
          <w:lang w:eastAsia="x-none"/>
        </w:rPr>
        <w:t>. Ov</w:t>
      </w:r>
      <w:r w:rsidR="006C10FB" w:rsidRPr="00AB15C7">
        <w:rPr>
          <w:rFonts w:ascii="Cambria" w:hAnsi="Cambria"/>
          <w:noProof/>
          <w:lang w:eastAsia="x-none"/>
        </w:rPr>
        <w:t>i</w:t>
      </w:r>
      <w:r w:rsidRPr="00AB15C7">
        <w:rPr>
          <w:rFonts w:ascii="Cambria" w:hAnsi="Cambria"/>
          <w:noProof/>
          <w:lang w:eastAsia="x-none"/>
        </w:rPr>
        <w:t>m zakonom propisano je da se Informacioni sistem životne sredine uspostavlja u cilju efikasnog identifikovanja, klasifikovanja, obrade, praćenja i evidencije prirodnih resursa i upravljanja životnom sredinom.</w:t>
      </w:r>
      <w:r w:rsidRPr="00AB15C7">
        <w:rPr>
          <w:rFonts w:ascii="Cambria" w:hAnsi="Cambria"/>
          <w:noProof/>
        </w:rPr>
        <w:t xml:space="preserve"> </w:t>
      </w:r>
      <w:r w:rsidRPr="00AB15C7">
        <w:rPr>
          <w:rFonts w:ascii="Cambria" w:hAnsi="Cambria"/>
          <w:noProof/>
          <w:lang w:eastAsia="x-none"/>
        </w:rPr>
        <w:t xml:space="preserve">Informacioni sistem </w:t>
      </w:r>
      <w:r w:rsidR="0093461A" w:rsidRPr="00AB15C7">
        <w:rPr>
          <w:rFonts w:ascii="Cambria" w:hAnsi="Cambria"/>
          <w:noProof/>
          <w:lang w:eastAsia="x-none"/>
        </w:rPr>
        <w:t xml:space="preserve">treba da </w:t>
      </w:r>
      <w:r w:rsidRPr="00AB15C7">
        <w:rPr>
          <w:rFonts w:ascii="Cambria" w:hAnsi="Cambria"/>
          <w:noProof/>
          <w:lang w:eastAsia="x-none"/>
        </w:rPr>
        <w:t>sadrži podatke i informacije o stanju životne sredine, opterećenjima i uticajima na životnu sredinu, a naročito podatke o:</w:t>
      </w:r>
    </w:p>
    <w:p w14:paraId="786465F5"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1) stanju životne sredine i njenim segmentima, prikupljene i obrađene u skladu sa ovim zakonom, posebnim propisima i Nacionalnom listom indikatora;</w:t>
      </w:r>
    </w:p>
    <w:p w14:paraId="3EA85BFE"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2) emisijama zagađujućih materija u životnoj sredini;</w:t>
      </w:r>
    </w:p>
    <w:p w14:paraId="5BDE0001"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3) prirodnim i prostornim obilježjima;</w:t>
      </w:r>
    </w:p>
    <w:p w14:paraId="6EB3134E"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4) prirodnim resursima i njihovom korišćenju;</w:t>
      </w:r>
    </w:p>
    <w:p w14:paraId="66F89B95"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5) područjima koja su posebnim propisima određena kao zaštićena ili ugrožena;</w:t>
      </w:r>
    </w:p>
    <w:p w14:paraId="6A7593E5"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lastRenderedPageBreak/>
        <w:t>6) biološkoj raznovrsnosti i stanju biodiverziteta;</w:t>
      </w:r>
    </w:p>
    <w:p w14:paraId="3BB7A031"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7) otpadu i upravljanju otpadom;</w:t>
      </w:r>
    </w:p>
    <w:p w14:paraId="0E895624"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8) hemikalijama (interfejs - sučelje);</w:t>
      </w:r>
    </w:p>
    <w:p w14:paraId="45BA4A7E"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9) industrijskim i ekološkim udesima;</w:t>
      </w:r>
    </w:p>
    <w:p w14:paraId="16C88C15"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10) zagađivačima životne sredine;</w:t>
      </w:r>
    </w:p>
    <w:p w14:paraId="26B2BFF9"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11) organizacijama u sistemu EMAS;</w:t>
      </w:r>
    </w:p>
    <w:p w14:paraId="327B6BBB"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12) zakonodavnim, administrativnim, organizacionim i strateškim mjerama;</w:t>
      </w:r>
    </w:p>
    <w:p w14:paraId="43E0A838"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13) indikatorima održivog razvoja;</w:t>
      </w:r>
    </w:p>
    <w:p w14:paraId="1CA24A88" w14:textId="77777777" w:rsidR="0029787C" w:rsidRPr="00AB15C7" w:rsidRDefault="0029787C" w:rsidP="00867326">
      <w:pPr>
        <w:spacing w:after="0"/>
        <w:jc w:val="both"/>
        <w:rPr>
          <w:rFonts w:ascii="Cambria" w:hAnsi="Cambria"/>
          <w:noProof/>
          <w:lang w:eastAsia="x-none"/>
        </w:rPr>
      </w:pPr>
      <w:r w:rsidRPr="00AB15C7">
        <w:rPr>
          <w:rFonts w:ascii="Cambria" w:hAnsi="Cambria"/>
          <w:noProof/>
          <w:lang w:eastAsia="x-none"/>
        </w:rPr>
        <w:t>14) planovima i programima zaštite životne sredine i preduzetim mjerama;</w:t>
      </w:r>
    </w:p>
    <w:p w14:paraId="1912033F" w14:textId="77777777" w:rsidR="0029787C" w:rsidRPr="00AB15C7" w:rsidRDefault="0029787C" w:rsidP="005921EF">
      <w:pPr>
        <w:jc w:val="both"/>
        <w:rPr>
          <w:rFonts w:ascii="Cambria" w:hAnsi="Cambria"/>
          <w:noProof/>
          <w:lang w:eastAsia="x-none"/>
        </w:rPr>
      </w:pPr>
      <w:r w:rsidRPr="00AB15C7">
        <w:rPr>
          <w:rFonts w:ascii="Cambria" w:hAnsi="Cambria"/>
          <w:noProof/>
          <w:lang w:eastAsia="x-none"/>
        </w:rPr>
        <w:t>15) razmjeni informacija sa drugim informacionim sistemima.</w:t>
      </w:r>
    </w:p>
    <w:p w14:paraId="6313586F" w14:textId="77777777" w:rsidR="0029787C" w:rsidRPr="00AB15C7" w:rsidRDefault="0029787C" w:rsidP="005921EF">
      <w:pPr>
        <w:jc w:val="both"/>
        <w:rPr>
          <w:rFonts w:ascii="Cambria" w:hAnsi="Cambria"/>
          <w:noProof/>
        </w:rPr>
      </w:pPr>
      <w:r w:rsidRPr="00AB15C7">
        <w:rPr>
          <w:rFonts w:ascii="Cambria" w:hAnsi="Cambria"/>
          <w:noProof/>
          <w:lang w:eastAsia="x-none"/>
        </w:rPr>
        <w:t>Informacioni sistem uspostavlja i vodi Agencija za zaštitu prirode i životne sredine.</w:t>
      </w:r>
      <w:r w:rsidRPr="00AB15C7">
        <w:rPr>
          <w:rFonts w:ascii="Cambria" w:hAnsi="Cambria"/>
          <w:noProof/>
        </w:rPr>
        <w:t xml:space="preserve"> </w:t>
      </w:r>
    </w:p>
    <w:p w14:paraId="78347E47" w14:textId="2E6B1E7E" w:rsidR="003C3D5D" w:rsidRPr="00AB15C7" w:rsidRDefault="003C3D5D" w:rsidP="005921EF">
      <w:pPr>
        <w:jc w:val="both"/>
        <w:rPr>
          <w:rFonts w:ascii="Cambria" w:hAnsi="Cambria"/>
          <w:noProof/>
          <w:lang w:val="it-IT" w:eastAsia="x-none"/>
        </w:rPr>
      </w:pPr>
      <w:r w:rsidRPr="00AB15C7">
        <w:rPr>
          <w:rFonts w:ascii="Cambria" w:hAnsi="Cambria"/>
          <w:noProof/>
          <w:lang w:val="it-IT" w:eastAsia="x-none"/>
        </w:rPr>
        <w:t xml:space="preserve">Uspostavljanje i razvoj web portala informacionog sistema </w:t>
      </w:r>
      <w:r w:rsidR="00CF7D26" w:rsidRPr="00CF7D26">
        <w:rPr>
          <w:rFonts w:ascii="Cambria" w:hAnsi="Cambria"/>
          <w:bCs/>
          <w:noProof/>
          <w:lang w:val="sr-Latn-ME" w:eastAsia="x-none"/>
        </w:rPr>
        <w:t xml:space="preserve">zaštite </w:t>
      </w:r>
      <w:r w:rsidRPr="00AB15C7">
        <w:rPr>
          <w:rFonts w:ascii="Cambria" w:hAnsi="Cambria"/>
          <w:noProof/>
          <w:lang w:val="it-IT" w:eastAsia="x-none"/>
        </w:rPr>
        <w:t>životne sredine</w:t>
      </w:r>
      <w:r w:rsidR="00FD2503">
        <w:rPr>
          <w:rFonts w:ascii="Cambria" w:hAnsi="Cambria"/>
          <w:noProof/>
          <w:lang w:val="it-IT" w:eastAsia="x-none"/>
        </w:rPr>
        <w:t xml:space="preserve"> – </w:t>
      </w:r>
      <w:r w:rsidRPr="00AB15C7">
        <w:rPr>
          <w:rFonts w:ascii="Cambria" w:hAnsi="Cambria"/>
          <w:noProof/>
          <w:lang w:val="it-IT" w:eastAsia="x-none"/>
        </w:rPr>
        <w:t>EIS</w:t>
      </w:r>
      <w:r w:rsidR="00FD2503">
        <w:rPr>
          <w:rFonts w:ascii="Cambria" w:hAnsi="Cambria"/>
          <w:noProof/>
          <w:lang w:val="it-IT" w:eastAsia="x-none"/>
        </w:rPr>
        <w:t xml:space="preserve"> </w:t>
      </w:r>
      <w:r w:rsidR="00FD2503" w:rsidRPr="00AB15C7">
        <w:rPr>
          <w:rFonts w:ascii="Cambria" w:hAnsi="Cambria"/>
          <w:noProof/>
          <w:lang w:val="it-IT" w:eastAsia="x-none"/>
        </w:rPr>
        <w:t>(</w:t>
      </w:r>
      <w:hyperlink r:id="rId24" w:history="1">
        <w:r w:rsidR="00FD2503" w:rsidRPr="00EA69C2">
          <w:rPr>
            <w:rStyle w:val="Hyperlink"/>
            <w:rFonts w:ascii="Cambria" w:hAnsi="Cambria"/>
            <w:noProof/>
            <w:lang w:val="it-IT" w:eastAsia="x-none"/>
          </w:rPr>
          <w:t>https://eis.epa.gov.me</w:t>
        </w:r>
      </w:hyperlink>
      <w:r w:rsidRPr="00AB15C7">
        <w:rPr>
          <w:rFonts w:ascii="Cambria" w:hAnsi="Cambria"/>
          <w:noProof/>
          <w:lang w:val="it-IT" w:eastAsia="x-none"/>
        </w:rPr>
        <w:t xml:space="preserve"> ) obezb</w:t>
      </w:r>
      <w:r w:rsidR="00B4116A">
        <w:rPr>
          <w:rFonts w:ascii="Cambria" w:hAnsi="Cambria"/>
          <w:noProof/>
          <w:lang w:val="it-IT" w:eastAsia="x-none"/>
        </w:rPr>
        <w:t>ij</w:t>
      </w:r>
      <w:r w:rsidRPr="00AB15C7">
        <w:rPr>
          <w:rFonts w:ascii="Cambria" w:hAnsi="Cambria"/>
          <w:noProof/>
          <w:lang w:val="it-IT" w:eastAsia="x-none"/>
        </w:rPr>
        <w:t>eđeno je u sklopu IPA program Evropske unije za Crnu Goru</w:t>
      </w:r>
      <w:r w:rsidR="003F3045" w:rsidRPr="00AB15C7">
        <w:rPr>
          <w:rFonts w:ascii="Cambria" w:hAnsi="Cambria"/>
          <w:noProof/>
          <w:lang w:val="it-IT" w:eastAsia="x-none"/>
        </w:rPr>
        <w:t xml:space="preserve"> kroz</w:t>
      </w:r>
      <w:r w:rsidRPr="00AB15C7">
        <w:rPr>
          <w:rFonts w:ascii="Cambria" w:hAnsi="Cambria"/>
          <w:noProof/>
          <w:lang w:val="it-IT" w:eastAsia="x-none"/>
        </w:rPr>
        <w:t xml:space="preserve"> projek</w:t>
      </w:r>
      <w:r w:rsidR="003F3045" w:rsidRPr="00AB15C7">
        <w:rPr>
          <w:rFonts w:ascii="Cambria" w:hAnsi="Cambria"/>
          <w:noProof/>
          <w:lang w:val="it-IT" w:eastAsia="x-none"/>
        </w:rPr>
        <w:t>a</w:t>
      </w:r>
      <w:r w:rsidRPr="00AB15C7">
        <w:rPr>
          <w:rFonts w:ascii="Cambria" w:hAnsi="Cambria"/>
          <w:noProof/>
          <w:lang w:val="it-IT" w:eastAsia="x-none"/>
        </w:rPr>
        <w:t>t ref. br.: EuropeAid/135477/C/SER/ME.</w:t>
      </w:r>
    </w:p>
    <w:p w14:paraId="10DD4F79" w14:textId="2E76DF0E" w:rsidR="00A60ADF" w:rsidRPr="00AB15C7" w:rsidRDefault="003C3D5D" w:rsidP="005921EF">
      <w:pPr>
        <w:jc w:val="both"/>
        <w:rPr>
          <w:rFonts w:ascii="Cambria" w:hAnsi="Cambria"/>
          <w:noProof/>
          <w:lang w:val="it-IT" w:eastAsia="x-none"/>
        </w:rPr>
      </w:pPr>
      <w:r w:rsidRPr="00AB15C7">
        <w:rPr>
          <w:rFonts w:ascii="Cambria" w:hAnsi="Cambria"/>
          <w:noProof/>
          <w:lang w:val="it-IT" w:eastAsia="x-none"/>
        </w:rPr>
        <w:t xml:space="preserve">Informacioni sistem životne sredine pruža podršku </w:t>
      </w:r>
      <w:r w:rsidR="006C10FB" w:rsidRPr="00AB15C7">
        <w:rPr>
          <w:rFonts w:ascii="Cambria" w:hAnsi="Cambria"/>
          <w:noProof/>
          <w:lang w:val="it-IT" w:eastAsia="x-none"/>
        </w:rPr>
        <w:t xml:space="preserve">AZPŽS </w:t>
      </w:r>
      <w:r w:rsidRPr="00AB15C7">
        <w:rPr>
          <w:rFonts w:ascii="Cambria" w:hAnsi="Cambria"/>
          <w:noProof/>
          <w:lang w:val="it-IT" w:eastAsia="x-none"/>
        </w:rPr>
        <w:t xml:space="preserve">u njenoj misiji da obezbijedi tačne, pouzdane i blagovremene informacije o životnoj sredini prema drugim nadležnim organima,  javnosti, međunarodnim organizacijama, donosiocima odluka i dr. Takođe, </w:t>
      </w:r>
      <w:r w:rsidR="00FD2503">
        <w:rPr>
          <w:rFonts w:ascii="Cambria" w:hAnsi="Cambria"/>
          <w:noProof/>
          <w:lang w:val="it-IT" w:eastAsia="x-none"/>
        </w:rPr>
        <w:t>EIS</w:t>
      </w:r>
      <w:r w:rsidRPr="00AB15C7">
        <w:rPr>
          <w:rFonts w:ascii="Cambria" w:hAnsi="Cambria"/>
          <w:noProof/>
          <w:lang w:val="it-IT" w:eastAsia="x-none"/>
        </w:rPr>
        <w:t xml:space="preserve"> omogućava crnogorskoj mreži pružaoca informacija o životnoj sredini da podnesu svoje podatke Agenciji elektronskim putem preko web-servis interfejsa. Kao rezultat, dobiće se poboljšan kvalitet, dostupnost i pristupačnost informacija o životnoj sredini. EIS ima dvojni fokus; kao prvo, da pruži podršku izvještavanju  kada su u pitanju informacije koje se zahtijevaju u prioritetnim setovima podataka: zagađenost vazduha, kvalitet vazduha, promjene klime, biodiverzitet, vode i otpad.  A kao drugo, fokusira se na obradu nacionalnih indikatora (NI) za životnu sredinu u Agenciji, koji pokrivaju gore navedene oblasti, uz još zemljište, ribarstvo i poljoprivredu, a takođe i sektorske pritiske na životnu sredinu kao što je energetika, turizam i saobraćaj.</w:t>
      </w:r>
      <w:r w:rsidR="003F3045" w:rsidRPr="00AB15C7">
        <w:rPr>
          <w:rFonts w:ascii="Cambria" w:hAnsi="Cambria"/>
          <w:noProof/>
          <w:lang w:val="it-IT" w:eastAsia="x-none"/>
        </w:rPr>
        <w:t xml:space="preserve"> Portal je pu</w:t>
      </w:r>
      <w:r w:rsidR="009A4AC8">
        <w:rPr>
          <w:rFonts w:ascii="Cambria" w:hAnsi="Cambria"/>
          <w:noProof/>
          <w:lang w:val="it-IT" w:eastAsia="x-none"/>
        </w:rPr>
        <w:t>š</w:t>
      </w:r>
      <w:r w:rsidR="003F3045" w:rsidRPr="00AB15C7">
        <w:rPr>
          <w:rFonts w:ascii="Cambria" w:hAnsi="Cambria"/>
          <w:noProof/>
          <w:lang w:val="it-IT" w:eastAsia="x-none"/>
        </w:rPr>
        <w:t>ten u rad po</w:t>
      </w:r>
      <w:r w:rsidR="002816E7">
        <w:rPr>
          <w:rFonts w:ascii="Cambria" w:hAnsi="Cambria"/>
          <w:noProof/>
          <w:lang w:val="it-IT" w:eastAsia="x-none"/>
        </w:rPr>
        <w:t>č</w:t>
      </w:r>
      <w:r w:rsidR="003F3045" w:rsidRPr="00AB15C7">
        <w:rPr>
          <w:rFonts w:ascii="Cambria" w:hAnsi="Cambria"/>
          <w:noProof/>
          <w:lang w:val="it-IT" w:eastAsia="x-none"/>
        </w:rPr>
        <w:t xml:space="preserve">etkom 2018. </w:t>
      </w:r>
      <w:r w:rsidR="002816E7">
        <w:rPr>
          <w:rFonts w:ascii="Cambria" w:hAnsi="Cambria"/>
          <w:noProof/>
          <w:lang w:val="it-IT" w:eastAsia="x-none"/>
        </w:rPr>
        <w:t>g</w:t>
      </w:r>
      <w:r w:rsidR="003F3045" w:rsidRPr="00AB15C7">
        <w:rPr>
          <w:rFonts w:ascii="Cambria" w:hAnsi="Cambria"/>
          <w:noProof/>
          <w:lang w:val="it-IT" w:eastAsia="x-none"/>
        </w:rPr>
        <w:t>odine, i u ovom trenutku sadr</w:t>
      </w:r>
      <w:r w:rsidR="009A4AC8">
        <w:rPr>
          <w:rFonts w:ascii="Cambria" w:hAnsi="Cambria"/>
          <w:noProof/>
          <w:lang w:val="it-IT" w:eastAsia="x-none"/>
        </w:rPr>
        <w:t>ž</w:t>
      </w:r>
      <w:r w:rsidR="003F3045" w:rsidRPr="00AB15C7">
        <w:rPr>
          <w:rFonts w:ascii="Cambria" w:hAnsi="Cambria"/>
          <w:noProof/>
          <w:lang w:val="it-IT" w:eastAsia="x-none"/>
        </w:rPr>
        <w:t xml:space="preserve">i veoma mali broj informacija. Kako </w:t>
      </w:r>
      <w:r w:rsidR="00860F23">
        <w:rPr>
          <w:rFonts w:ascii="Cambria" w:hAnsi="Cambria"/>
          <w:noProof/>
          <w:lang w:val="it-IT" w:eastAsia="x-none"/>
        </w:rPr>
        <w:t>ć</w:t>
      </w:r>
      <w:r w:rsidR="00860F23" w:rsidRPr="00AB15C7">
        <w:rPr>
          <w:rFonts w:ascii="Cambria" w:hAnsi="Cambria"/>
          <w:noProof/>
          <w:lang w:val="it-IT" w:eastAsia="x-none"/>
        </w:rPr>
        <w:t xml:space="preserve">e </w:t>
      </w:r>
      <w:r w:rsidR="003F3045" w:rsidRPr="00AB15C7">
        <w:rPr>
          <w:rFonts w:ascii="Cambria" w:hAnsi="Cambria"/>
          <w:noProof/>
          <w:lang w:val="it-IT" w:eastAsia="x-none"/>
        </w:rPr>
        <w:t>se dalje razvijati i u kojoj m</w:t>
      </w:r>
      <w:r w:rsidR="00860F23">
        <w:rPr>
          <w:rFonts w:ascii="Cambria" w:hAnsi="Cambria"/>
          <w:noProof/>
          <w:lang w:val="it-IT" w:eastAsia="x-none"/>
        </w:rPr>
        <w:t>j</w:t>
      </w:r>
      <w:r w:rsidR="003F3045" w:rsidRPr="00AB15C7">
        <w:rPr>
          <w:rFonts w:ascii="Cambria" w:hAnsi="Cambria"/>
          <w:noProof/>
          <w:lang w:val="it-IT" w:eastAsia="x-none"/>
        </w:rPr>
        <w:t xml:space="preserve">eri </w:t>
      </w:r>
      <w:r w:rsidR="003F3045" w:rsidRPr="00AB15C7">
        <w:rPr>
          <w:rFonts w:ascii="Cambria" w:hAnsi="Cambria"/>
          <w:noProof/>
          <w:lang w:val="sr-Latn-RS" w:eastAsia="x-none"/>
        </w:rPr>
        <w:t>će ispu</w:t>
      </w:r>
      <w:r w:rsidR="002816E7">
        <w:rPr>
          <w:rFonts w:ascii="Cambria" w:hAnsi="Cambria"/>
          <w:noProof/>
          <w:lang w:val="sr-Latn-RS" w:eastAsia="x-none"/>
        </w:rPr>
        <w:t>n</w:t>
      </w:r>
      <w:r w:rsidR="003F3045" w:rsidRPr="00AB15C7">
        <w:rPr>
          <w:rFonts w:ascii="Cambria" w:hAnsi="Cambria"/>
          <w:noProof/>
          <w:lang w:val="sr-Latn-RS" w:eastAsia="x-none"/>
        </w:rPr>
        <w:t>iti svoju sv</w:t>
      </w:r>
      <w:r w:rsidR="002D7809">
        <w:rPr>
          <w:rFonts w:ascii="Cambria" w:hAnsi="Cambria"/>
          <w:noProof/>
          <w:lang w:val="sr-Latn-RS" w:eastAsia="x-none"/>
        </w:rPr>
        <w:t>r</w:t>
      </w:r>
      <w:r w:rsidR="003F3045" w:rsidRPr="00AB15C7">
        <w:rPr>
          <w:rFonts w:ascii="Cambria" w:hAnsi="Cambria"/>
          <w:noProof/>
          <w:lang w:val="sr-Latn-RS" w:eastAsia="x-none"/>
        </w:rPr>
        <w:t>hu,</w:t>
      </w:r>
      <w:r w:rsidR="003F3045" w:rsidRPr="00AB15C7">
        <w:rPr>
          <w:rFonts w:ascii="Cambria" w:hAnsi="Cambria"/>
          <w:noProof/>
          <w:lang w:val="it-IT" w:eastAsia="x-none"/>
        </w:rPr>
        <w:t xml:space="preserve"> zavisi i od </w:t>
      </w:r>
      <w:r w:rsidR="002816E7">
        <w:rPr>
          <w:rFonts w:ascii="Cambria" w:hAnsi="Cambria"/>
          <w:noProof/>
          <w:lang w:val="it-IT" w:eastAsia="x-none"/>
        </w:rPr>
        <w:t>tijela</w:t>
      </w:r>
      <w:r w:rsidR="003F3045" w:rsidRPr="00AB15C7">
        <w:rPr>
          <w:rFonts w:ascii="Cambria" w:hAnsi="Cambria"/>
          <w:noProof/>
          <w:lang w:val="it-IT" w:eastAsia="x-none"/>
        </w:rPr>
        <w:t xml:space="preserve"> koj</w:t>
      </w:r>
      <w:r w:rsidR="002816E7">
        <w:rPr>
          <w:rFonts w:ascii="Cambria" w:hAnsi="Cambria"/>
          <w:noProof/>
          <w:lang w:val="it-IT" w:eastAsia="x-none"/>
        </w:rPr>
        <w:t>a</w:t>
      </w:r>
      <w:r w:rsidR="003F3045" w:rsidRPr="00AB15C7">
        <w:rPr>
          <w:rFonts w:ascii="Cambria" w:hAnsi="Cambria"/>
          <w:noProof/>
          <w:lang w:val="it-IT" w:eastAsia="x-none"/>
        </w:rPr>
        <w:t xml:space="preserve"> vrše predaju, odobravanje i prihvatanje podataka o životnoj sredini. </w:t>
      </w:r>
    </w:p>
    <w:p w14:paraId="153E9B2B" w14:textId="09C21146" w:rsidR="00AB0603" w:rsidRPr="00AB15C7" w:rsidRDefault="00AB0603" w:rsidP="005921EF">
      <w:pPr>
        <w:jc w:val="both"/>
        <w:rPr>
          <w:rFonts w:ascii="Cambria" w:hAnsi="Cambria"/>
          <w:noProof/>
          <w:lang w:val="it-IT" w:eastAsia="x-none"/>
        </w:rPr>
      </w:pPr>
      <w:r w:rsidRPr="00AB15C7">
        <w:rPr>
          <w:rFonts w:ascii="Cambria" w:hAnsi="Cambria"/>
          <w:noProof/>
          <w:lang w:val="it-IT" w:eastAsia="x-none"/>
        </w:rPr>
        <w:t xml:space="preserve">Pored informacija na ovom portalu, Agencija na svom web sajtu </w:t>
      </w:r>
      <w:hyperlink r:id="rId25" w:history="1">
        <w:r w:rsidRPr="00AB15C7">
          <w:rPr>
            <w:rStyle w:val="Hyperlink"/>
            <w:rFonts w:ascii="Cambria" w:hAnsi="Cambria"/>
            <w:noProof/>
            <w:lang w:val="it-IT" w:eastAsia="x-none"/>
          </w:rPr>
          <w:t>www.epa.org.me</w:t>
        </w:r>
      </w:hyperlink>
      <w:r w:rsidRPr="00AB15C7">
        <w:rPr>
          <w:rFonts w:ascii="Cambria" w:hAnsi="Cambria"/>
          <w:noProof/>
          <w:lang w:val="it-IT" w:eastAsia="x-none"/>
        </w:rPr>
        <w:t xml:space="preserve"> objavljuje relevantne dokumente, podatke o izdatim dozvolama i rješenjima, </w:t>
      </w:r>
      <w:r w:rsidR="002D7809" w:rsidRPr="00AB15C7">
        <w:rPr>
          <w:rFonts w:ascii="Cambria" w:hAnsi="Cambria"/>
          <w:noProof/>
          <w:lang w:val="it-IT" w:eastAsia="x-none"/>
        </w:rPr>
        <w:t xml:space="preserve">godišnje </w:t>
      </w:r>
      <w:r w:rsidRPr="00AB15C7">
        <w:rPr>
          <w:rFonts w:ascii="Cambria" w:hAnsi="Cambria"/>
          <w:noProof/>
          <w:lang w:val="it-IT" w:eastAsia="x-none"/>
        </w:rPr>
        <w:t xml:space="preserve">informacije o stanju životne sredine, kao i Izvještaj o stanju životne sredine na bazi indikatora. Ipak, na ovom sajtu </w:t>
      </w:r>
      <w:r w:rsidR="00A50058" w:rsidRPr="00AB15C7">
        <w:rPr>
          <w:rFonts w:ascii="Cambria" w:hAnsi="Cambria"/>
          <w:noProof/>
          <w:lang w:val="it-IT" w:eastAsia="x-none"/>
        </w:rPr>
        <w:t>još uv</w:t>
      </w:r>
      <w:r w:rsidR="000863BA">
        <w:rPr>
          <w:rFonts w:ascii="Cambria" w:hAnsi="Cambria"/>
          <w:noProof/>
          <w:lang w:val="it-IT" w:eastAsia="x-none"/>
        </w:rPr>
        <w:t>j</w:t>
      </w:r>
      <w:r w:rsidR="00A50058" w:rsidRPr="00AB15C7">
        <w:rPr>
          <w:rFonts w:ascii="Cambria" w:hAnsi="Cambria"/>
          <w:noProof/>
          <w:lang w:val="it-IT" w:eastAsia="x-none"/>
        </w:rPr>
        <w:t xml:space="preserve">ek nisu </w:t>
      </w:r>
      <w:r w:rsidRPr="00AB15C7">
        <w:rPr>
          <w:rFonts w:ascii="Cambria" w:hAnsi="Cambria"/>
          <w:noProof/>
          <w:lang w:val="it-IT" w:eastAsia="x-none"/>
        </w:rPr>
        <w:t xml:space="preserve">dostupni podaci koji se odnose na Registar hemikalija. </w:t>
      </w:r>
      <w:r w:rsidR="00A50058" w:rsidRPr="00AB15C7">
        <w:rPr>
          <w:rFonts w:ascii="Cambria" w:hAnsi="Cambria"/>
          <w:noProof/>
          <w:lang w:val="it-IT" w:eastAsia="x-none"/>
        </w:rPr>
        <w:t>Dodatno, u</w:t>
      </w:r>
      <w:r w:rsidR="00A50058" w:rsidRPr="00AB15C7">
        <w:rPr>
          <w:rFonts w:ascii="Cambria" w:hAnsi="Cambria"/>
          <w:noProof/>
          <w:lang w:val="sr-Latn-ME" w:eastAsia="x-none"/>
        </w:rPr>
        <w:t xml:space="preserve"> 2018. godini uspostavljen je nacionalni helpdesk i privredni subjekti može svoja pitanja u vezi hemikalija i biocidnih proizvoda uputiti Agenciji preko e-maila: </w:t>
      </w:r>
      <w:hyperlink r:id="rId26" w:history="1">
        <w:r w:rsidR="002816E7" w:rsidRPr="00F15111">
          <w:rPr>
            <w:rStyle w:val="Hyperlink"/>
            <w:rFonts w:ascii="Cambria" w:hAnsi="Cambria"/>
            <w:noProof/>
            <w:lang w:val="sr-Latn-ME" w:eastAsia="x-none"/>
          </w:rPr>
          <w:t>help-desk</w:t>
        </w:r>
        <w:r w:rsidR="002816E7" w:rsidRPr="00F15111">
          <w:rPr>
            <w:rStyle w:val="Hyperlink"/>
            <w:rFonts w:ascii="Cambria" w:hAnsi="Cambria"/>
            <w:noProof/>
            <w:lang w:eastAsia="x-none"/>
          </w:rPr>
          <w:t>@epa.org.me</w:t>
        </w:r>
      </w:hyperlink>
      <w:r w:rsidR="002816E7">
        <w:rPr>
          <w:rFonts w:ascii="Cambria" w:hAnsi="Cambria"/>
          <w:noProof/>
          <w:lang w:eastAsia="x-none"/>
        </w:rPr>
        <w:t xml:space="preserve"> </w:t>
      </w:r>
      <w:r w:rsidR="00A50058" w:rsidRPr="00AB15C7">
        <w:rPr>
          <w:rFonts w:ascii="Cambria" w:hAnsi="Cambria"/>
          <w:noProof/>
          <w:lang w:eastAsia="x-none"/>
        </w:rPr>
        <w:t>.</w:t>
      </w:r>
    </w:p>
    <w:p w14:paraId="1DD37BAB" w14:textId="43073EDC" w:rsidR="00AB0603" w:rsidRPr="00AB15C7" w:rsidRDefault="00AB0603" w:rsidP="005921EF">
      <w:pPr>
        <w:jc w:val="both"/>
        <w:rPr>
          <w:rFonts w:ascii="Cambria" w:hAnsi="Cambria"/>
          <w:noProof/>
          <w:lang w:val="sr-Latn-ME" w:eastAsia="x-none"/>
        </w:rPr>
      </w:pPr>
      <w:r w:rsidRPr="00AB15C7">
        <w:rPr>
          <w:rFonts w:ascii="Cambria" w:hAnsi="Cambria"/>
          <w:noProof/>
          <w:lang w:val="it-IT" w:eastAsia="x-none"/>
        </w:rPr>
        <w:t xml:space="preserve">Takođe, </w:t>
      </w:r>
      <w:r w:rsidRPr="00AB15C7">
        <w:rPr>
          <w:rFonts w:ascii="Cambria" w:hAnsi="Cambria"/>
          <w:noProof/>
          <w:lang w:val="sr-Latn-ME" w:eastAsia="x-none"/>
        </w:rPr>
        <w:t xml:space="preserve">AZPŽS, u cilju podizanja svijesti građana o mogućim štetnim efektima hemikalija po zdravlje ljudi i životnu sredinu je tokom 2017. godine </w:t>
      </w:r>
      <w:r w:rsidR="00860F23" w:rsidRPr="00AB15C7">
        <w:rPr>
          <w:rFonts w:ascii="Cambria" w:hAnsi="Cambria"/>
          <w:noProof/>
          <w:lang w:val="sr-Latn-ME" w:eastAsia="x-none"/>
        </w:rPr>
        <w:t>pripremil</w:t>
      </w:r>
      <w:r w:rsidR="00860F23">
        <w:rPr>
          <w:rFonts w:ascii="Cambria" w:hAnsi="Cambria"/>
          <w:noProof/>
          <w:lang w:val="sr-Latn-ME" w:eastAsia="x-none"/>
        </w:rPr>
        <w:t>a</w:t>
      </w:r>
      <w:r w:rsidR="00860F23" w:rsidRPr="00AB15C7">
        <w:rPr>
          <w:rFonts w:ascii="Cambria" w:hAnsi="Cambria"/>
          <w:noProof/>
          <w:lang w:val="sr-Latn-ME" w:eastAsia="x-none"/>
        </w:rPr>
        <w:t xml:space="preserve"> </w:t>
      </w:r>
      <w:r w:rsidRPr="00AB15C7">
        <w:rPr>
          <w:rFonts w:ascii="Cambria" w:hAnsi="Cambria"/>
          <w:noProof/>
          <w:lang w:val="sr-Latn-ME" w:eastAsia="x-none"/>
        </w:rPr>
        <w:t xml:space="preserve">i </w:t>
      </w:r>
      <w:r w:rsidR="00860F23" w:rsidRPr="00AB15C7">
        <w:rPr>
          <w:rFonts w:ascii="Cambria" w:hAnsi="Cambria"/>
          <w:noProof/>
          <w:lang w:val="sr-Latn-ME" w:eastAsia="x-none"/>
        </w:rPr>
        <w:t>odštampal</w:t>
      </w:r>
      <w:r w:rsidR="00860F23">
        <w:rPr>
          <w:rFonts w:ascii="Cambria" w:hAnsi="Cambria"/>
          <w:noProof/>
          <w:lang w:val="sr-Latn-ME" w:eastAsia="x-none"/>
        </w:rPr>
        <w:t>a</w:t>
      </w:r>
      <w:r w:rsidR="00860F23" w:rsidRPr="00AB15C7">
        <w:rPr>
          <w:rFonts w:ascii="Cambria" w:hAnsi="Cambria"/>
          <w:noProof/>
          <w:lang w:val="sr-Latn-ME" w:eastAsia="x-none"/>
        </w:rPr>
        <w:t xml:space="preserve"> </w:t>
      </w:r>
      <w:r w:rsidRPr="00AB15C7">
        <w:rPr>
          <w:rFonts w:ascii="Cambria" w:hAnsi="Cambria"/>
          <w:noProof/>
          <w:lang w:val="sr-Latn-ME" w:eastAsia="x-none"/>
        </w:rPr>
        <w:t xml:space="preserve">dva priručnika: Priručnik o živi i Priručnik za rukovanje materijalima koji sadrže azbestna vlakna. Ovi priručnici kao i druge publikacije uključujući i prevode ECHA letaka sa informacijama u vezi hemikalija dostupni su preko web sajta Agencije. </w:t>
      </w:r>
    </w:p>
    <w:p w14:paraId="234EBEA4" w14:textId="77777777" w:rsidR="00D405EE" w:rsidRDefault="006F4F6E" w:rsidP="00D405EE">
      <w:pPr>
        <w:spacing w:after="0"/>
        <w:jc w:val="both"/>
        <w:rPr>
          <w:rFonts w:ascii="Cambria" w:hAnsi="Cambria"/>
          <w:bCs/>
          <w:noProof/>
          <w:lang w:val="sr-Latn-CS" w:eastAsia="x-none"/>
        </w:rPr>
      </w:pPr>
      <w:r w:rsidRPr="00AB15C7">
        <w:rPr>
          <w:rFonts w:ascii="Cambria" w:hAnsi="Cambria"/>
          <w:noProof/>
          <w:lang w:val="it-IT" w:eastAsia="x-none"/>
        </w:rPr>
        <w:t xml:space="preserve">Uspostavljanje </w:t>
      </w:r>
      <w:r w:rsidRPr="00AB15C7">
        <w:rPr>
          <w:rFonts w:ascii="Cambria" w:hAnsi="Cambria"/>
          <w:b/>
          <w:noProof/>
          <w:lang w:val="it-IT" w:eastAsia="x-none"/>
        </w:rPr>
        <w:t>funkcionalnog informacionog sistema i baza podataka</w:t>
      </w:r>
      <w:r w:rsidRPr="00AB15C7">
        <w:rPr>
          <w:rFonts w:ascii="Cambria" w:hAnsi="Cambria"/>
          <w:noProof/>
          <w:lang w:val="it-IT" w:eastAsia="x-none"/>
        </w:rPr>
        <w:t xml:space="preserve"> </w:t>
      </w:r>
      <w:r w:rsidR="002F1169" w:rsidRPr="00AB15C7">
        <w:rPr>
          <w:rFonts w:ascii="Cambria" w:hAnsi="Cambria"/>
          <w:noProof/>
          <w:lang w:val="it-IT" w:eastAsia="x-none"/>
        </w:rPr>
        <w:t>je od su</w:t>
      </w:r>
      <w:r w:rsidR="002F1169" w:rsidRPr="00AB15C7">
        <w:rPr>
          <w:rFonts w:ascii="Cambria" w:hAnsi="Cambria"/>
          <w:noProof/>
          <w:lang w:val="sr-Latn-RS" w:eastAsia="x-none"/>
        </w:rPr>
        <w:t>štinskog značaja za uspostavljanje adekvatnog sistema zaštite životne sredine i svih podsektora u okviru ove oblasti uključujući i upravljanje hemikalijama</w:t>
      </w:r>
      <w:r w:rsidRPr="00AB15C7">
        <w:rPr>
          <w:rFonts w:ascii="Cambria" w:hAnsi="Cambria"/>
          <w:noProof/>
          <w:lang w:val="it-IT" w:eastAsia="x-none"/>
        </w:rPr>
        <w:t xml:space="preserve">.  Informacioni sistem mora biti u službi korisnika i </w:t>
      </w:r>
      <w:r w:rsidR="002F1169" w:rsidRPr="00AB15C7">
        <w:rPr>
          <w:rFonts w:ascii="Cambria" w:hAnsi="Cambria"/>
          <w:noProof/>
          <w:lang w:val="it-IT" w:eastAsia="x-none"/>
        </w:rPr>
        <w:t>obezb</w:t>
      </w:r>
      <w:r w:rsidR="00C65B0A">
        <w:rPr>
          <w:rFonts w:ascii="Cambria" w:hAnsi="Cambria"/>
          <w:noProof/>
          <w:lang w:val="it-IT" w:eastAsia="x-none"/>
        </w:rPr>
        <w:t>ij</w:t>
      </w:r>
      <w:r w:rsidR="002F1169" w:rsidRPr="00AB15C7">
        <w:rPr>
          <w:rFonts w:ascii="Cambria" w:hAnsi="Cambria"/>
          <w:noProof/>
          <w:lang w:val="it-IT" w:eastAsia="x-none"/>
        </w:rPr>
        <w:t>editi adekvatan</w:t>
      </w:r>
      <w:r w:rsidRPr="00AB15C7">
        <w:rPr>
          <w:rFonts w:ascii="Cambria" w:hAnsi="Cambria"/>
          <w:noProof/>
          <w:lang w:val="it-IT" w:eastAsia="x-none"/>
        </w:rPr>
        <w:t xml:space="preserve"> </w:t>
      </w:r>
      <w:r w:rsidR="002F1169" w:rsidRPr="00AB15C7">
        <w:rPr>
          <w:rFonts w:ascii="Cambria" w:hAnsi="Cambria"/>
          <w:noProof/>
          <w:lang w:val="it-IT" w:eastAsia="x-none"/>
        </w:rPr>
        <w:t>pregled i analizu podataka</w:t>
      </w:r>
      <w:r w:rsidR="00040893" w:rsidRPr="00AB15C7">
        <w:rPr>
          <w:rFonts w:ascii="Cambria" w:hAnsi="Cambria"/>
          <w:noProof/>
          <w:lang w:val="it-IT" w:eastAsia="x-none"/>
        </w:rPr>
        <w:t>.</w:t>
      </w:r>
      <w:r w:rsidR="00040893" w:rsidRPr="00AB15C7">
        <w:rPr>
          <w:rFonts w:ascii="Cambria" w:hAnsi="Cambria"/>
          <w:noProof/>
          <w:lang w:val="sr-Latn-CS" w:eastAsia="x-none"/>
        </w:rPr>
        <w:t xml:space="preserve"> </w:t>
      </w:r>
      <w:r w:rsidR="00040893" w:rsidRPr="00AB15C7">
        <w:rPr>
          <w:rFonts w:ascii="Cambria" w:hAnsi="Cambria"/>
          <w:noProof/>
          <w:lang w:eastAsia="x-none"/>
        </w:rPr>
        <w:t>Ova</w:t>
      </w:r>
      <w:r w:rsidR="00040893" w:rsidRPr="00AB15C7">
        <w:rPr>
          <w:rFonts w:ascii="Cambria" w:hAnsi="Cambria"/>
          <w:noProof/>
          <w:lang w:val="sr-Latn-CS" w:eastAsia="x-none"/>
        </w:rPr>
        <w:t xml:space="preserve"> </w:t>
      </w:r>
      <w:r w:rsidR="00040893" w:rsidRPr="00AB15C7">
        <w:rPr>
          <w:rFonts w:ascii="Cambria" w:hAnsi="Cambria"/>
          <w:noProof/>
          <w:lang w:eastAsia="x-none"/>
        </w:rPr>
        <w:t>infrastruktura</w:t>
      </w:r>
      <w:r w:rsidR="00040893" w:rsidRPr="00AB15C7">
        <w:rPr>
          <w:rFonts w:ascii="Cambria" w:hAnsi="Cambria"/>
          <w:noProof/>
          <w:lang w:val="sr-Latn-CS" w:eastAsia="x-none"/>
        </w:rPr>
        <w:t xml:space="preserve"> </w:t>
      </w:r>
      <w:r w:rsidR="00040893" w:rsidRPr="00AB15C7">
        <w:rPr>
          <w:rFonts w:ascii="Cambria" w:hAnsi="Cambria"/>
          <w:noProof/>
          <w:lang w:eastAsia="x-none"/>
        </w:rPr>
        <w:t>treba</w:t>
      </w:r>
      <w:r w:rsidR="00040893" w:rsidRPr="00AB15C7">
        <w:rPr>
          <w:rFonts w:ascii="Cambria" w:hAnsi="Cambria"/>
          <w:noProof/>
          <w:lang w:val="sr-Latn-CS" w:eastAsia="x-none"/>
        </w:rPr>
        <w:t xml:space="preserve"> </w:t>
      </w:r>
      <w:r w:rsidR="00040893" w:rsidRPr="00AB15C7">
        <w:rPr>
          <w:rFonts w:ascii="Cambria" w:hAnsi="Cambria"/>
          <w:noProof/>
          <w:lang w:eastAsia="x-none"/>
        </w:rPr>
        <w:t>da</w:t>
      </w:r>
      <w:r w:rsidR="00040893" w:rsidRPr="00AB15C7">
        <w:rPr>
          <w:rFonts w:ascii="Cambria" w:hAnsi="Cambria"/>
          <w:noProof/>
          <w:lang w:val="sr-Latn-CS" w:eastAsia="x-none"/>
        </w:rPr>
        <w:t xml:space="preserve"> </w:t>
      </w:r>
      <w:r w:rsidR="00040893" w:rsidRPr="00AB15C7">
        <w:rPr>
          <w:rFonts w:ascii="Cambria" w:hAnsi="Cambria"/>
          <w:noProof/>
          <w:lang w:eastAsia="x-none"/>
        </w:rPr>
        <w:t>sadr</w:t>
      </w:r>
      <w:r w:rsidR="00040893" w:rsidRPr="00AB15C7">
        <w:rPr>
          <w:rFonts w:ascii="Cambria" w:hAnsi="Cambria"/>
          <w:noProof/>
          <w:lang w:val="sr-Latn-CS" w:eastAsia="x-none"/>
        </w:rPr>
        <w:t>ž</w:t>
      </w:r>
      <w:r w:rsidR="00040893" w:rsidRPr="00AB15C7">
        <w:rPr>
          <w:rFonts w:ascii="Cambria" w:hAnsi="Cambria"/>
          <w:noProof/>
          <w:lang w:eastAsia="x-none"/>
        </w:rPr>
        <w:t>i</w:t>
      </w:r>
      <w:r w:rsidR="00040893" w:rsidRPr="00AB15C7">
        <w:rPr>
          <w:rFonts w:ascii="Cambria" w:hAnsi="Cambria"/>
          <w:noProof/>
          <w:lang w:val="sr-Latn-CS" w:eastAsia="x-none"/>
        </w:rPr>
        <w:t xml:space="preserve"> </w:t>
      </w:r>
      <w:r w:rsidR="00040893" w:rsidRPr="00AB15C7">
        <w:rPr>
          <w:rFonts w:ascii="Cambria" w:hAnsi="Cambria"/>
          <w:noProof/>
          <w:lang w:eastAsia="x-none"/>
        </w:rPr>
        <w:t>brojne</w:t>
      </w:r>
      <w:r w:rsidR="00040893" w:rsidRPr="00AB15C7">
        <w:rPr>
          <w:rFonts w:ascii="Cambria" w:hAnsi="Cambria"/>
          <w:noProof/>
          <w:lang w:val="sr-Latn-CS" w:eastAsia="x-none"/>
        </w:rPr>
        <w:t xml:space="preserve"> </w:t>
      </w:r>
      <w:r w:rsidR="00040893" w:rsidRPr="00AB15C7">
        <w:rPr>
          <w:rFonts w:ascii="Cambria" w:hAnsi="Cambria"/>
          <w:noProof/>
          <w:lang w:eastAsia="x-none"/>
        </w:rPr>
        <w:t>skupove</w:t>
      </w:r>
      <w:r w:rsidR="00040893" w:rsidRPr="00AB15C7">
        <w:rPr>
          <w:rFonts w:ascii="Cambria" w:hAnsi="Cambria"/>
          <w:noProof/>
          <w:lang w:val="sr-Latn-CS" w:eastAsia="x-none"/>
        </w:rPr>
        <w:t xml:space="preserve"> </w:t>
      </w:r>
      <w:r w:rsidR="00040893" w:rsidRPr="00AB15C7">
        <w:rPr>
          <w:rFonts w:ascii="Cambria" w:hAnsi="Cambria"/>
          <w:noProof/>
          <w:lang w:eastAsia="x-none"/>
        </w:rPr>
        <w:t>podataka</w:t>
      </w:r>
      <w:r w:rsidR="00040893" w:rsidRPr="00AB15C7">
        <w:rPr>
          <w:rFonts w:ascii="Cambria" w:hAnsi="Cambria"/>
          <w:noProof/>
          <w:lang w:val="sr-Latn-CS" w:eastAsia="x-none"/>
        </w:rPr>
        <w:t xml:space="preserve"> č</w:t>
      </w:r>
      <w:r w:rsidR="00040893" w:rsidRPr="00AB15C7">
        <w:rPr>
          <w:rFonts w:ascii="Cambria" w:hAnsi="Cambria"/>
          <w:noProof/>
          <w:lang w:eastAsia="x-none"/>
        </w:rPr>
        <w:t>ijim</w:t>
      </w:r>
      <w:r w:rsidR="00040893" w:rsidRPr="00AB15C7">
        <w:rPr>
          <w:rFonts w:ascii="Cambria" w:hAnsi="Cambria"/>
          <w:noProof/>
          <w:lang w:val="sr-Latn-CS" w:eastAsia="x-none"/>
        </w:rPr>
        <w:t xml:space="preserve"> </w:t>
      </w:r>
      <w:r w:rsidR="00040893" w:rsidRPr="00AB15C7">
        <w:rPr>
          <w:rFonts w:ascii="Cambria" w:hAnsi="Cambria"/>
          <w:noProof/>
          <w:lang w:eastAsia="x-none"/>
        </w:rPr>
        <w:t>se</w:t>
      </w:r>
      <w:r w:rsidR="00040893" w:rsidRPr="00AB15C7">
        <w:rPr>
          <w:rFonts w:ascii="Cambria" w:hAnsi="Cambria"/>
          <w:noProof/>
          <w:lang w:val="sr-Latn-CS" w:eastAsia="x-none"/>
        </w:rPr>
        <w:t xml:space="preserve"> </w:t>
      </w:r>
      <w:r w:rsidR="00040893" w:rsidRPr="00AB15C7">
        <w:rPr>
          <w:rFonts w:ascii="Cambria" w:hAnsi="Cambria"/>
          <w:noProof/>
          <w:lang w:eastAsia="x-none"/>
        </w:rPr>
        <w:t>ukr</w:t>
      </w:r>
      <w:r w:rsidR="00040893" w:rsidRPr="00AB15C7">
        <w:rPr>
          <w:rFonts w:ascii="Cambria" w:hAnsi="Cambria"/>
          <w:noProof/>
          <w:lang w:val="sr-Latn-CS" w:eastAsia="x-none"/>
        </w:rPr>
        <w:t>š</w:t>
      </w:r>
      <w:r w:rsidR="00040893" w:rsidRPr="00AB15C7">
        <w:rPr>
          <w:rFonts w:ascii="Cambria" w:hAnsi="Cambria"/>
          <w:noProof/>
          <w:lang w:eastAsia="x-none"/>
        </w:rPr>
        <w:t>tanjem</w:t>
      </w:r>
      <w:r w:rsidR="00040893" w:rsidRPr="00AB15C7">
        <w:rPr>
          <w:rFonts w:ascii="Cambria" w:hAnsi="Cambria"/>
          <w:noProof/>
          <w:lang w:val="sr-Latn-CS" w:eastAsia="x-none"/>
        </w:rPr>
        <w:t xml:space="preserve">, </w:t>
      </w:r>
      <w:r w:rsidR="00040893" w:rsidRPr="00AB15C7">
        <w:rPr>
          <w:rFonts w:ascii="Cambria" w:hAnsi="Cambria"/>
          <w:noProof/>
          <w:lang w:eastAsia="x-none"/>
        </w:rPr>
        <w:t>preklapanjem</w:t>
      </w:r>
      <w:r w:rsidR="00040893" w:rsidRPr="00AB15C7">
        <w:rPr>
          <w:rFonts w:ascii="Cambria" w:hAnsi="Cambria"/>
          <w:noProof/>
          <w:lang w:val="sr-Latn-CS" w:eastAsia="x-none"/>
        </w:rPr>
        <w:t xml:space="preserve"> </w:t>
      </w:r>
      <w:r w:rsidR="00040893" w:rsidRPr="00AB15C7">
        <w:rPr>
          <w:rFonts w:ascii="Cambria" w:hAnsi="Cambria"/>
          <w:noProof/>
          <w:lang w:eastAsia="x-none"/>
        </w:rPr>
        <w:t>i</w:t>
      </w:r>
      <w:r w:rsidR="00040893" w:rsidRPr="00AB15C7">
        <w:rPr>
          <w:rFonts w:ascii="Cambria" w:hAnsi="Cambria"/>
          <w:noProof/>
          <w:lang w:val="sr-Latn-CS" w:eastAsia="x-none"/>
        </w:rPr>
        <w:t xml:space="preserve"> </w:t>
      </w:r>
      <w:r w:rsidR="00040893" w:rsidRPr="00AB15C7">
        <w:rPr>
          <w:rFonts w:ascii="Cambria" w:hAnsi="Cambria"/>
          <w:noProof/>
          <w:lang w:eastAsia="x-none"/>
        </w:rPr>
        <w:t>analizom</w:t>
      </w:r>
      <w:r w:rsidR="00040893" w:rsidRPr="00AB15C7">
        <w:rPr>
          <w:rFonts w:ascii="Cambria" w:hAnsi="Cambria"/>
          <w:noProof/>
          <w:lang w:val="sr-Latn-CS" w:eastAsia="x-none"/>
        </w:rPr>
        <w:t xml:space="preserve"> </w:t>
      </w:r>
      <w:r w:rsidR="00040893" w:rsidRPr="00AB15C7">
        <w:rPr>
          <w:rFonts w:ascii="Cambria" w:hAnsi="Cambria"/>
          <w:noProof/>
          <w:lang w:eastAsia="x-none"/>
        </w:rPr>
        <w:t>mo</w:t>
      </w:r>
      <w:r w:rsidR="00040893" w:rsidRPr="00AB15C7">
        <w:rPr>
          <w:rFonts w:ascii="Cambria" w:hAnsi="Cambria"/>
          <w:noProof/>
          <w:lang w:val="sr-Latn-CS" w:eastAsia="x-none"/>
        </w:rPr>
        <w:t>ž</w:t>
      </w:r>
      <w:r w:rsidR="00040893" w:rsidRPr="00AB15C7">
        <w:rPr>
          <w:rFonts w:ascii="Cambria" w:hAnsi="Cambria"/>
          <w:noProof/>
          <w:lang w:eastAsia="x-none"/>
        </w:rPr>
        <w:t>e</w:t>
      </w:r>
      <w:r w:rsidR="00040893" w:rsidRPr="00AB15C7">
        <w:rPr>
          <w:rFonts w:ascii="Cambria" w:hAnsi="Cambria"/>
          <w:noProof/>
          <w:lang w:val="sr-Latn-CS" w:eastAsia="x-none"/>
        </w:rPr>
        <w:t xml:space="preserve"> </w:t>
      </w:r>
      <w:r w:rsidR="00040893" w:rsidRPr="00AB15C7">
        <w:rPr>
          <w:rFonts w:ascii="Cambria" w:hAnsi="Cambria"/>
          <w:noProof/>
          <w:lang w:eastAsia="x-none"/>
        </w:rPr>
        <w:t>do</w:t>
      </w:r>
      <w:r w:rsidR="00040893" w:rsidRPr="00AB15C7">
        <w:rPr>
          <w:rFonts w:ascii="Cambria" w:hAnsi="Cambria"/>
          <w:noProof/>
          <w:lang w:val="sr-Latn-CS" w:eastAsia="x-none"/>
        </w:rPr>
        <w:t>ć</w:t>
      </w:r>
      <w:r w:rsidR="00040893" w:rsidRPr="00AB15C7">
        <w:rPr>
          <w:rFonts w:ascii="Cambria" w:hAnsi="Cambria"/>
          <w:noProof/>
          <w:lang w:eastAsia="x-none"/>
        </w:rPr>
        <w:t>i</w:t>
      </w:r>
      <w:r w:rsidR="00040893" w:rsidRPr="00AB15C7">
        <w:rPr>
          <w:rFonts w:ascii="Cambria" w:hAnsi="Cambria"/>
          <w:noProof/>
          <w:lang w:val="sr-Latn-CS" w:eastAsia="x-none"/>
        </w:rPr>
        <w:t xml:space="preserve"> </w:t>
      </w:r>
      <w:r w:rsidR="00040893" w:rsidRPr="00AB15C7">
        <w:rPr>
          <w:rFonts w:ascii="Cambria" w:hAnsi="Cambria"/>
          <w:noProof/>
          <w:lang w:eastAsia="x-none"/>
        </w:rPr>
        <w:t>do</w:t>
      </w:r>
      <w:r w:rsidR="00040893" w:rsidRPr="00AB15C7">
        <w:rPr>
          <w:rFonts w:ascii="Cambria" w:hAnsi="Cambria"/>
          <w:noProof/>
          <w:lang w:val="sr-Latn-CS" w:eastAsia="x-none"/>
        </w:rPr>
        <w:t xml:space="preserve"> </w:t>
      </w:r>
      <w:r w:rsidR="00040893" w:rsidRPr="00AB15C7">
        <w:rPr>
          <w:rFonts w:ascii="Cambria" w:hAnsi="Cambria"/>
          <w:noProof/>
          <w:lang w:eastAsia="x-none"/>
        </w:rPr>
        <w:t>zna</w:t>
      </w:r>
      <w:r w:rsidR="00040893" w:rsidRPr="00AB15C7">
        <w:rPr>
          <w:rFonts w:ascii="Cambria" w:hAnsi="Cambria"/>
          <w:noProof/>
          <w:lang w:val="sr-Latn-CS" w:eastAsia="x-none"/>
        </w:rPr>
        <w:t>č</w:t>
      </w:r>
      <w:r w:rsidR="00040893" w:rsidRPr="00AB15C7">
        <w:rPr>
          <w:rFonts w:ascii="Cambria" w:hAnsi="Cambria"/>
          <w:noProof/>
          <w:lang w:eastAsia="x-none"/>
        </w:rPr>
        <w:t>ajnih</w:t>
      </w:r>
      <w:r w:rsidR="00040893" w:rsidRPr="00AB15C7">
        <w:rPr>
          <w:rFonts w:ascii="Cambria" w:hAnsi="Cambria"/>
          <w:noProof/>
          <w:lang w:val="sr-Latn-CS" w:eastAsia="x-none"/>
        </w:rPr>
        <w:t xml:space="preserve"> </w:t>
      </w:r>
      <w:r w:rsidR="00040893" w:rsidRPr="00AB15C7">
        <w:rPr>
          <w:rFonts w:ascii="Cambria" w:hAnsi="Cambria"/>
          <w:noProof/>
          <w:lang w:eastAsia="x-none"/>
        </w:rPr>
        <w:t>saznanja</w:t>
      </w:r>
      <w:r w:rsidR="00040893" w:rsidRPr="00AB15C7">
        <w:rPr>
          <w:rFonts w:ascii="Cambria" w:hAnsi="Cambria"/>
          <w:noProof/>
          <w:lang w:val="sr-Latn-CS" w:eastAsia="x-none"/>
        </w:rPr>
        <w:t xml:space="preserve"> </w:t>
      </w:r>
      <w:r w:rsidR="00040893" w:rsidRPr="00AB15C7">
        <w:rPr>
          <w:rFonts w:ascii="Cambria" w:hAnsi="Cambria"/>
          <w:noProof/>
          <w:lang w:eastAsia="x-none"/>
        </w:rPr>
        <w:t>o</w:t>
      </w:r>
      <w:r w:rsidR="00040893" w:rsidRPr="00AB15C7">
        <w:rPr>
          <w:rFonts w:ascii="Cambria" w:hAnsi="Cambria"/>
          <w:noProof/>
          <w:lang w:val="sr-Latn-CS" w:eastAsia="x-none"/>
        </w:rPr>
        <w:t xml:space="preserve"> </w:t>
      </w:r>
      <w:r w:rsidR="00040893" w:rsidRPr="00AB15C7">
        <w:rPr>
          <w:rFonts w:ascii="Cambria" w:hAnsi="Cambria"/>
          <w:noProof/>
          <w:lang w:eastAsia="x-none"/>
        </w:rPr>
        <w:t>stanju</w:t>
      </w:r>
      <w:r w:rsidR="00040893" w:rsidRPr="00AB15C7">
        <w:rPr>
          <w:rFonts w:ascii="Cambria" w:hAnsi="Cambria"/>
          <w:noProof/>
          <w:lang w:val="sr-Latn-CS" w:eastAsia="x-none"/>
        </w:rPr>
        <w:t xml:space="preserve"> ž</w:t>
      </w:r>
      <w:r w:rsidR="00040893" w:rsidRPr="00AB15C7">
        <w:rPr>
          <w:rFonts w:ascii="Cambria" w:hAnsi="Cambria"/>
          <w:noProof/>
          <w:lang w:eastAsia="x-none"/>
        </w:rPr>
        <w:t>ivotne</w:t>
      </w:r>
      <w:r w:rsidR="00040893" w:rsidRPr="00AB15C7">
        <w:rPr>
          <w:rFonts w:ascii="Cambria" w:hAnsi="Cambria"/>
          <w:noProof/>
          <w:lang w:val="sr-Latn-CS" w:eastAsia="x-none"/>
        </w:rPr>
        <w:t xml:space="preserve"> </w:t>
      </w:r>
      <w:r w:rsidR="00040893" w:rsidRPr="00AB15C7">
        <w:rPr>
          <w:rFonts w:ascii="Cambria" w:hAnsi="Cambria"/>
          <w:noProof/>
          <w:lang w:eastAsia="x-none"/>
        </w:rPr>
        <w:t>sredine</w:t>
      </w:r>
      <w:r w:rsidR="00040893" w:rsidRPr="00AB15C7">
        <w:rPr>
          <w:rFonts w:ascii="Cambria" w:hAnsi="Cambria"/>
          <w:noProof/>
          <w:lang w:val="sr-Latn-CS" w:eastAsia="x-none"/>
        </w:rPr>
        <w:t xml:space="preserve">, </w:t>
      </w:r>
      <w:r w:rsidR="00040893" w:rsidRPr="00AB15C7">
        <w:rPr>
          <w:rFonts w:ascii="Cambria" w:hAnsi="Cambria"/>
          <w:noProof/>
          <w:lang w:eastAsia="x-none"/>
        </w:rPr>
        <w:t>uzro</w:t>
      </w:r>
      <w:r w:rsidR="00040893" w:rsidRPr="00AB15C7">
        <w:rPr>
          <w:rFonts w:ascii="Cambria" w:hAnsi="Cambria"/>
          <w:noProof/>
          <w:lang w:val="sr-Latn-CS" w:eastAsia="x-none"/>
        </w:rPr>
        <w:t>č</w:t>
      </w:r>
      <w:r w:rsidR="00040893" w:rsidRPr="00AB15C7">
        <w:rPr>
          <w:rFonts w:ascii="Cambria" w:hAnsi="Cambria"/>
          <w:noProof/>
          <w:lang w:eastAsia="x-none"/>
        </w:rPr>
        <w:t>no</w:t>
      </w:r>
      <w:r w:rsidR="00040893" w:rsidRPr="00AB15C7">
        <w:rPr>
          <w:rFonts w:ascii="Cambria" w:hAnsi="Cambria"/>
          <w:noProof/>
          <w:lang w:val="sr-Latn-CS" w:eastAsia="x-none"/>
        </w:rPr>
        <w:t>-</w:t>
      </w:r>
      <w:r w:rsidR="00040893" w:rsidRPr="00AB15C7">
        <w:rPr>
          <w:rFonts w:ascii="Cambria" w:hAnsi="Cambria"/>
          <w:noProof/>
          <w:lang w:eastAsia="x-none"/>
        </w:rPr>
        <w:t>posljedi</w:t>
      </w:r>
      <w:r w:rsidR="00040893" w:rsidRPr="00AB15C7">
        <w:rPr>
          <w:rFonts w:ascii="Cambria" w:hAnsi="Cambria"/>
          <w:noProof/>
          <w:lang w:val="sr-Latn-CS" w:eastAsia="x-none"/>
        </w:rPr>
        <w:t>č</w:t>
      </w:r>
      <w:r w:rsidR="00040893" w:rsidRPr="00AB15C7">
        <w:rPr>
          <w:rFonts w:ascii="Cambria" w:hAnsi="Cambria"/>
          <w:noProof/>
          <w:lang w:eastAsia="x-none"/>
        </w:rPr>
        <w:t>nim</w:t>
      </w:r>
      <w:r w:rsidR="00040893" w:rsidRPr="00AB15C7">
        <w:rPr>
          <w:rFonts w:ascii="Cambria" w:hAnsi="Cambria"/>
          <w:noProof/>
          <w:lang w:val="sr-Latn-CS" w:eastAsia="x-none"/>
        </w:rPr>
        <w:t xml:space="preserve"> </w:t>
      </w:r>
      <w:r w:rsidR="00040893" w:rsidRPr="00AB15C7">
        <w:rPr>
          <w:rFonts w:ascii="Cambria" w:hAnsi="Cambria"/>
          <w:noProof/>
          <w:lang w:eastAsia="x-none"/>
        </w:rPr>
        <w:t>povezanostima</w:t>
      </w:r>
      <w:r w:rsidR="00040893" w:rsidRPr="00AB15C7">
        <w:rPr>
          <w:rFonts w:ascii="Cambria" w:hAnsi="Cambria"/>
          <w:noProof/>
          <w:lang w:val="sr-Latn-CS" w:eastAsia="x-none"/>
        </w:rPr>
        <w:t xml:space="preserve"> </w:t>
      </w:r>
      <w:r w:rsidR="00040893" w:rsidRPr="00AB15C7">
        <w:rPr>
          <w:rFonts w:ascii="Cambria" w:hAnsi="Cambria"/>
          <w:noProof/>
          <w:lang w:eastAsia="x-none"/>
        </w:rPr>
        <w:t>pritisaka</w:t>
      </w:r>
      <w:r w:rsidR="00040893" w:rsidRPr="00AB15C7">
        <w:rPr>
          <w:rFonts w:ascii="Cambria" w:hAnsi="Cambria"/>
          <w:noProof/>
          <w:lang w:val="sr-Latn-CS" w:eastAsia="x-none"/>
        </w:rPr>
        <w:t xml:space="preserve"> </w:t>
      </w:r>
      <w:r w:rsidR="00040893" w:rsidRPr="00AB15C7">
        <w:rPr>
          <w:rFonts w:ascii="Cambria" w:hAnsi="Cambria"/>
          <w:noProof/>
          <w:lang w:eastAsia="x-none"/>
        </w:rPr>
        <w:t>na</w:t>
      </w:r>
      <w:r w:rsidR="00040893" w:rsidRPr="00AB15C7">
        <w:rPr>
          <w:rFonts w:ascii="Cambria" w:hAnsi="Cambria"/>
          <w:noProof/>
          <w:lang w:val="sr-Latn-CS" w:eastAsia="x-none"/>
        </w:rPr>
        <w:t xml:space="preserve"> ž</w:t>
      </w:r>
      <w:r w:rsidR="00040893" w:rsidRPr="00AB15C7">
        <w:rPr>
          <w:rFonts w:ascii="Cambria" w:hAnsi="Cambria"/>
          <w:noProof/>
          <w:lang w:eastAsia="x-none"/>
        </w:rPr>
        <w:t>ivotnu</w:t>
      </w:r>
      <w:r w:rsidR="00040893" w:rsidRPr="00AB15C7">
        <w:rPr>
          <w:rFonts w:ascii="Cambria" w:hAnsi="Cambria"/>
          <w:noProof/>
          <w:lang w:val="sr-Latn-CS" w:eastAsia="x-none"/>
        </w:rPr>
        <w:t xml:space="preserve"> </w:t>
      </w:r>
      <w:r w:rsidR="00040893" w:rsidRPr="00AB15C7">
        <w:rPr>
          <w:rFonts w:ascii="Cambria" w:hAnsi="Cambria"/>
          <w:noProof/>
          <w:lang w:eastAsia="x-none"/>
        </w:rPr>
        <w:t>sredinu</w:t>
      </w:r>
      <w:r w:rsidR="00040893" w:rsidRPr="00AB15C7">
        <w:rPr>
          <w:rFonts w:ascii="Cambria" w:hAnsi="Cambria"/>
          <w:noProof/>
          <w:lang w:val="sr-Latn-CS" w:eastAsia="x-none"/>
        </w:rPr>
        <w:t xml:space="preserve"> </w:t>
      </w:r>
      <w:r w:rsidR="00040893" w:rsidRPr="00AB15C7">
        <w:rPr>
          <w:rFonts w:ascii="Cambria" w:hAnsi="Cambria"/>
          <w:noProof/>
          <w:lang w:eastAsia="x-none"/>
        </w:rPr>
        <w:t>i</w:t>
      </w:r>
      <w:r w:rsidR="00040893" w:rsidRPr="00AB15C7">
        <w:rPr>
          <w:rFonts w:ascii="Cambria" w:hAnsi="Cambria"/>
          <w:noProof/>
          <w:lang w:val="sr-Latn-CS" w:eastAsia="x-none"/>
        </w:rPr>
        <w:t xml:space="preserve"> </w:t>
      </w:r>
      <w:r w:rsidR="00040893" w:rsidRPr="00AB15C7">
        <w:rPr>
          <w:rFonts w:ascii="Cambria" w:hAnsi="Cambria"/>
          <w:noProof/>
          <w:lang w:eastAsia="x-none"/>
        </w:rPr>
        <w:t>karakteru</w:t>
      </w:r>
      <w:r w:rsidR="00040893" w:rsidRPr="00AB15C7">
        <w:rPr>
          <w:rFonts w:ascii="Cambria" w:hAnsi="Cambria"/>
          <w:noProof/>
          <w:lang w:val="sr-Latn-CS" w:eastAsia="x-none"/>
        </w:rPr>
        <w:t xml:space="preserve">, </w:t>
      </w:r>
      <w:r w:rsidR="00040893" w:rsidRPr="00AB15C7">
        <w:rPr>
          <w:rFonts w:ascii="Cambria" w:hAnsi="Cambria"/>
          <w:noProof/>
          <w:lang w:eastAsia="x-none"/>
        </w:rPr>
        <w:t>intenzitetu</w:t>
      </w:r>
      <w:r w:rsidR="00040893" w:rsidRPr="00AB15C7">
        <w:rPr>
          <w:rFonts w:ascii="Cambria" w:hAnsi="Cambria"/>
          <w:noProof/>
          <w:lang w:val="sr-Latn-CS" w:eastAsia="x-none"/>
        </w:rPr>
        <w:t xml:space="preserve"> </w:t>
      </w:r>
      <w:r w:rsidR="00040893" w:rsidRPr="00AB15C7">
        <w:rPr>
          <w:rFonts w:ascii="Cambria" w:hAnsi="Cambria"/>
          <w:noProof/>
          <w:lang w:eastAsia="x-none"/>
        </w:rPr>
        <w:t>i</w:t>
      </w:r>
      <w:r w:rsidR="00040893" w:rsidRPr="00AB15C7">
        <w:rPr>
          <w:rFonts w:ascii="Cambria" w:hAnsi="Cambria"/>
          <w:noProof/>
          <w:lang w:val="sr-Latn-CS" w:eastAsia="x-none"/>
        </w:rPr>
        <w:t xml:space="preserve"> </w:t>
      </w:r>
      <w:r w:rsidR="00040893" w:rsidRPr="00AB15C7">
        <w:rPr>
          <w:rFonts w:ascii="Cambria" w:hAnsi="Cambria"/>
          <w:noProof/>
          <w:lang w:eastAsia="x-none"/>
        </w:rPr>
        <w:t>disperziji</w:t>
      </w:r>
      <w:r w:rsidR="00040893" w:rsidRPr="00AB15C7">
        <w:rPr>
          <w:rFonts w:ascii="Cambria" w:hAnsi="Cambria"/>
          <w:noProof/>
          <w:lang w:val="sr-Latn-CS" w:eastAsia="x-none"/>
        </w:rPr>
        <w:t xml:space="preserve"> </w:t>
      </w:r>
      <w:r w:rsidR="00040893" w:rsidRPr="00AB15C7">
        <w:rPr>
          <w:rFonts w:ascii="Cambria" w:hAnsi="Cambria"/>
          <w:noProof/>
          <w:lang w:eastAsia="x-none"/>
        </w:rPr>
        <w:t>njihovih</w:t>
      </w:r>
      <w:r w:rsidR="00040893" w:rsidRPr="00AB15C7">
        <w:rPr>
          <w:rFonts w:ascii="Cambria" w:hAnsi="Cambria"/>
          <w:noProof/>
          <w:lang w:val="sr-Latn-CS" w:eastAsia="x-none"/>
        </w:rPr>
        <w:t xml:space="preserve"> </w:t>
      </w:r>
      <w:r w:rsidR="00040893" w:rsidRPr="00AB15C7">
        <w:rPr>
          <w:rFonts w:ascii="Cambria" w:hAnsi="Cambria"/>
          <w:noProof/>
          <w:lang w:eastAsia="x-none"/>
        </w:rPr>
        <w:t>uticaja</w:t>
      </w:r>
      <w:r w:rsidR="00040893" w:rsidRPr="00AB15C7">
        <w:rPr>
          <w:rFonts w:ascii="Cambria" w:hAnsi="Cambria"/>
          <w:noProof/>
          <w:lang w:val="sr-Latn-CS" w:eastAsia="x-none"/>
        </w:rPr>
        <w:t xml:space="preserve">. Takav informacioni sistem treba da omogući </w:t>
      </w:r>
      <w:r w:rsidR="00040893" w:rsidRPr="00AB15C7">
        <w:rPr>
          <w:rFonts w:ascii="Cambria" w:hAnsi="Cambria"/>
          <w:noProof/>
          <w:lang w:eastAsia="x-none"/>
        </w:rPr>
        <w:t>razmjenu</w:t>
      </w:r>
      <w:r w:rsidR="00040893" w:rsidRPr="00AB15C7">
        <w:rPr>
          <w:rFonts w:ascii="Cambria" w:hAnsi="Cambria"/>
          <w:noProof/>
          <w:lang w:val="sr-Latn-CS" w:eastAsia="x-none"/>
        </w:rPr>
        <w:t xml:space="preserve"> </w:t>
      </w:r>
      <w:r w:rsidR="00040893" w:rsidRPr="00AB15C7">
        <w:rPr>
          <w:rFonts w:ascii="Cambria" w:hAnsi="Cambria"/>
          <w:noProof/>
          <w:lang w:eastAsia="x-none"/>
        </w:rPr>
        <w:t>podataka</w:t>
      </w:r>
      <w:r w:rsidR="00040893" w:rsidRPr="00AB15C7">
        <w:rPr>
          <w:rFonts w:ascii="Cambria" w:hAnsi="Cambria"/>
          <w:noProof/>
          <w:lang w:val="sr-Latn-CS" w:eastAsia="x-none"/>
        </w:rPr>
        <w:t xml:space="preserve"> </w:t>
      </w:r>
      <w:r w:rsidR="00040893" w:rsidRPr="00AB15C7">
        <w:rPr>
          <w:rFonts w:ascii="Cambria" w:hAnsi="Cambria"/>
          <w:noProof/>
          <w:lang w:eastAsia="x-none"/>
        </w:rPr>
        <w:t>na</w:t>
      </w:r>
      <w:r w:rsidR="00040893" w:rsidRPr="00AB15C7">
        <w:rPr>
          <w:rFonts w:ascii="Cambria" w:hAnsi="Cambria"/>
          <w:noProof/>
          <w:lang w:val="sr-Latn-CS" w:eastAsia="x-none"/>
        </w:rPr>
        <w:t xml:space="preserve"> </w:t>
      </w:r>
      <w:r w:rsidR="00040893" w:rsidRPr="00AB15C7">
        <w:rPr>
          <w:rFonts w:ascii="Cambria" w:hAnsi="Cambria"/>
          <w:noProof/>
          <w:lang w:eastAsia="x-none"/>
        </w:rPr>
        <w:t>svim</w:t>
      </w:r>
      <w:r w:rsidR="00040893" w:rsidRPr="00AB15C7">
        <w:rPr>
          <w:rFonts w:ascii="Cambria" w:hAnsi="Cambria"/>
          <w:noProof/>
          <w:lang w:val="sr-Latn-CS" w:eastAsia="x-none"/>
        </w:rPr>
        <w:t xml:space="preserve"> </w:t>
      </w:r>
      <w:r w:rsidR="00040893" w:rsidRPr="00AB15C7">
        <w:rPr>
          <w:rFonts w:ascii="Cambria" w:hAnsi="Cambria"/>
          <w:noProof/>
          <w:lang w:eastAsia="x-none"/>
        </w:rPr>
        <w:t>nivoima</w:t>
      </w:r>
      <w:r w:rsidR="00040893" w:rsidRPr="00AB15C7">
        <w:rPr>
          <w:rFonts w:ascii="Cambria" w:hAnsi="Cambria"/>
          <w:noProof/>
          <w:lang w:val="sr-Latn-CS" w:eastAsia="x-none"/>
        </w:rPr>
        <w:t xml:space="preserve">, </w:t>
      </w:r>
      <w:r w:rsidR="00040893" w:rsidRPr="00AB15C7">
        <w:rPr>
          <w:rFonts w:ascii="Cambria" w:hAnsi="Cambria"/>
          <w:noProof/>
          <w:lang w:eastAsia="x-none"/>
        </w:rPr>
        <w:lastRenderedPageBreak/>
        <w:t>uklju</w:t>
      </w:r>
      <w:r w:rsidR="00040893" w:rsidRPr="00AB15C7">
        <w:rPr>
          <w:rFonts w:ascii="Cambria" w:hAnsi="Cambria"/>
          <w:noProof/>
          <w:lang w:val="sr-Latn-CS" w:eastAsia="x-none"/>
        </w:rPr>
        <w:t>č</w:t>
      </w:r>
      <w:r w:rsidR="00040893" w:rsidRPr="00AB15C7">
        <w:rPr>
          <w:rFonts w:ascii="Cambria" w:hAnsi="Cambria"/>
          <w:noProof/>
          <w:lang w:eastAsia="x-none"/>
        </w:rPr>
        <w:t>uju</w:t>
      </w:r>
      <w:r w:rsidR="00040893" w:rsidRPr="00AB15C7">
        <w:rPr>
          <w:rFonts w:ascii="Cambria" w:hAnsi="Cambria"/>
          <w:noProof/>
          <w:lang w:val="sr-Latn-CS" w:eastAsia="x-none"/>
        </w:rPr>
        <w:t>ć</w:t>
      </w:r>
      <w:r w:rsidR="00040893" w:rsidRPr="00AB15C7">
        <w:rPr>
          <w:rFonts w:ascii="Cambria" w:hAnsi="Cambria"/>
          <w:noProof/>
          <w:lang w:eastAsia="x-none"/>
        </w:rPr>
        <w:t>i</w:t>
      </w:r>
      <w:r w:rsidR="002F1169" w:rsidRPr="00AB15C7">
        <w:rPr>
          <w:rFonts w:ascii="Cambria" w:hAnsi="Cambria"/>
          <w:noProof/>
          <w:lang w:eastAsia="x-none"/>
        </w:rPr>
        <w:t xml:space="preserve"> nadlež</w:t>
      </w:r>
      <w:r w:rsidR="002D7809">
        <w:rPr>
          <w:rFonts w:ascii="Cambria" w:hAnsi="Cambria"/>
          <w:noProof/>
          <w:lang w:eastAsia="x-none"/>
        </w:rPr>
        <w:t>n</w:t>
      </w:r>
      <w:r w:rsidR="002F1169" w:rsidRPr="00AB15C7">
        <w:rPr>
          <w:rFonts w:ascii="Cambria" w:hAnsi="Cambria"/>
          <w:noProof/>
          <w:lang w:eastAsia="x-none"/>
        </w:rPr>
        <w:t>e organe</w:t>
      </w:r>
      <w:r w:rsidR="00BB2BF4">
        <w:rPr>
          <w:rFonts w:ascii="Cambria" w:hAnsi="Cambria"/>
          <w:noProof/>
          <w:lang w:eastAsia="x-none"/>
        </w:rPr>
        <w:t>,</w:t>
      </w:r>
      <w:r w:rsidR="002F1169" w:rsidRPr="00AB15C7">
        <w:rPr>
          <w:rFonts w:ascii="Cambria" w:hAnsi="Cambria"/>
          <w:noProof/>
          <w:lang w:eastAsia="x-none"/>
        </w:rPr>
        <w:t xml:space="preserve"> ali </w:t>
      </w:r>
      <w:r w:rsidR="00040893" w:rsidRPr="00AB15C7">
        <w:rPr>
          <w:rFonts w:ascii="Cambria" w:hAnsi="Cambria"/>
          <w:noProof/>
          <w:lang w:eastAsia="x-none"/>
        </w:rPr>
        <w:t>i</w:t>
      </w:r>
      <w:r w:rsidR="00040893" w:rsidRPr="00AB15C7">
        <w:rPr>
          <w:rFonts w:ascii="Cambria" w:hAnsi="Cambria"/>
          <w:noProof/>
          <w:lang w:val="sr-Latn-CS" w:eastAsia="x-none"/>
        </w:rPr>
        <w:t xml:space="preserve"> </w:t>
      </w:r>
      <w:r w:rsidR="00040893" w:rsidRPr="00AB15C7">
        <w:rPr>
          <w:rFonts w:ascii="Cambria" w:hAnsi="Cambria"/>
          <w:noProof/>
          <w:lang w:eastAsia="x-none"/>
        </w:rPr>
        <w:t>operatere</w:t>
      </w:r>
      <w:r w:rsidR="00040893" w:rsidRPr="00AB15C7">
        <w:rPr>
          <w:rFonts w:ascii="Cambria" w:hAnsi="Cambria"/>
          <w:noProof/>
          <w:lang w:val="sr-Latn-CS" w:eastAsia="x-none"/>
        </w:rPr>
        <w:t xml:space="preserve"> </w:t>
      </w:r>
      <w:r w:rsidR="00040893" w:rsidRPr="00AB15C7">
        <w:rPr>
          <w:rFonts w:ascii="Cambria" w:hAnsi="Cambria"/>
          <w:noProof/>
          <w:lang w:eastAsia="x-none"/>
        </w:rPr>
        <w:t>industrijskih</w:t>
      </w:r>
      <w:r w:rsidR="00040893" w:rsidRPr="00AB15C7">
        <w:rPr>
          <w:rFonts w:ascii="Cambria" w:hAnsi="Cambria"/>
          <w:noProof/>
          <w:lang w:val="sr-Latn-CS" w:eastAsia="x-none"/>
        </w:rPr>
        <w:t xml:space="preserve"> </w:t>
      </w:r>
      <w:r w:rsidR="00040893" w:rsidRPr="00AB15C7">
        <w:rPr>
          <w:rFonts w:ascii="Cambria" w:hAnsi="Cambria"/>
          <w:noProof/>
          <w:lang w:eastAsia="x-none"/>
        </w:rPr>
        <w:t>postrojenja</w:t>
      </w:r>
      <w:r w:rsidR="00040893" w:rsidRPr="00AB15C7">
        <w:rPr>
          <w:rFonts w:ascii="Cambria" w:hAnsi="Cambria"/>
          <w:noProof/>
          <w:lang w:val="sr-Latn-CS" w:eastAsia="x-none"/>
        </w:rPr>
        <w:t xml:space="preserve">, </w:t>
      </w:r>
      <w:r w:rsidR="00040893" w:rsidRPr="00AB15C7">
        <w:rPr>
          <w:rFonts w:ascii="Cambria" w:hAnsi="Cambria"/>
          <w:noProof/>
          <w:lang w:eastAsia="x-none"/>
        </w:rPr>
        <w:t>ostale</w:t>
      </w:r>
      <w:r w:rsidR="00040893" w:rsidRPr="00AB15C7">
        <w:rPr>
          <w:rFonts w:ascii="Cambria" w:hAnsi="Cambria"/>
          <w:noProof/>
          <w:lang w:val="sr-Latn-CS" w:eastAsia="x-none"/>
        </w:rPr>
        <w:t xml:space="preserve"> </w:t>
      </w:r>
      <w:r w:rsidR="00040893" w:rsidRPr="00AB15C7">
        <w:rPr>
          <w:rFonts w:ascii="Cambria" w:hAnsi="Cambria"/>
          <w:noProof/>
          <w:lang w:eastAsia="x-none"/>
        </w:rPr>
        <w:t>ekonomske</w:t>
      </w:r>
      <w:r w:rsidR="00040893" w:rsidRPr="00AB15C7">
        <w:rPr>
          <w:rFonts w:ascii="Cambria" w:hAnsi="Cambria"/>
          <w:noProof/>
          <w:lang w:val="sr-Latn-CS" w:eastAsia="x-none"/>
        </w:rPr>
        <w:t xml:space="preserve"> </w:t>
      </w:r>
      <w:r w:rsidR="00040893" w:rsidRPr="00AB15C7">
        <w:rPr>
          <w:rFonts w:ascii="Cambria" w:hAnsi="Cambria"/>
          <w:noProof/>
          <w:lang w:eastAsia="x-none"/>
        </w:rPr>
        <w:t>subjekte</w:t>
      </w:r>
      <w:r w:rsidR="00040893" w:rsidRPr="00AB15C7">
        <w:rPr>
          <w:rFonts w:ascii="Cambria" w:hAnsi="Cambria"/>
          <w:noProof/>
          <w:lang w:val="sr-Latn-CS" w:eastAsia="x-none"/>
        </w:rPr>
        <w:t xml:space="preserve"> </w:t>
      </w:r>
      <w:r w:rsidR="00040893" w:rsidRPr="00AB15C7">
        <w:rPr>
          <w:rFonts w:ascii="Cambria" w:hAnsi="Cambria"/>
          <w:noProof/>
          <w:lang w:eastAsia="x-none"/>
        </w:rPr>
        <w:t>i</w:t>
      </w:r>
      <w:r w:rsidR="00040893" w:rsidRPr="00AB15C7">
        <w:rPr>
          <w:rFonts w:ascii="Cambria" w:hAnsi="Cambria"/>
          <w:noProof/>
          <w:lang w:val="sr-Latn-CS" w:eastAsia="x-none"/>
        </w:rPr>
        <w:t xml:space="preserve"> š</w:t>
      </w:r>
      <w:r w:rsidR="00040893" w:rsidRPr="00AB15C7">
        <w:rPr>
          <w:rFonts w:ascii="Cambria" w:hAnsi="Cambria"/>
          <w:noProof/>
          <w:lang w:eastAsia="x-none"/>
        </w:rPr>
        <w:t>iru</w:t>
      </w:r>
      <w:r w:rsidR="00040893" w:rsidRPr="00AB15C7">
        <w:rPr>
          <w:rFonts w:ascii="Cambria" w:hAnsi="Cambria"/>
          <w:noProof/>
          <w:lang w:val="sr-Latn-CS" w:eastAsia="x-none"/>
        </w:rPr>
        <w:t xml:space="preserve"> </w:t>
      </w:r>
      <w:r w:rsidR="00040893" w:rsidRPr="00AB15C7">
        <w:rPr>
          <w:rFonts w:ascii="Cambria" w:hAnsi="Cambria"/>
          <w:noProof/>
          <w:lang w:eastAsia="x-none"/>
        </w:rPr>
        <w:t>javnost</w:t>
      </w:r>
      <w:r w:rsidR="00040893" w:rsidRPr="00AB15C7">
        <w:rPr>
          <w:rFonts w:ascii="Cambria" w:hAnsi="Cambria"/>
          <w:noProof/>
          <w:lang w:val="sr-Latn-CS" w:eastAsia="x-none"/>
        </w:rPr>
        <w:t xml:space="preserve">. </w:t>
      </w:r>
      <w:r w:rsidR="002F1169" w:rsidRPr="00AB15C7">
        <w:rPr>
          <w:rFonts w:ascii="Cambria" w:hAnsi="Cambria"/>
          <w:noProof/>
          <w:lang w:val="sr-Latn-CS" w:eastAsia="x-none"/>
        </w:rPr>
        <w:t>O</w:t>
      </w:r>
      <w:r w:rsidR="00040893" w:rsidRPr="00AB15C7">
        <w:rPr>
          <w:rFonts w:ascii="Cambria" w:hAnsi="Cambria"/>
          <w:noProof/>
          <w:lang w:val="sr-Latn-CS" w:eastAsia="x-none"/>
        </w:rPr>
        <w:t xml:space="preserve">vaj informacioni sistem </w:t>
      </w:r>
      <w:r w:rsidR="002F1169" w:rsidRPr="00AB15C7">
        <w:rPr>
          <w:rFonts w:ascii="Cambria" w:hAnsi="Cambria"/>
          <w:noProof/>
          <w:lang w:val="sr-Latn-CS" w:eastAsia="x-none"/>
        </w:rPr>
        <w:t xml:space="preserve">takodje </w:t>
      </w:r>
      <w:r w:rsidR="00040893" w:rsidRPr="00AB15C7">
        <w:rPr>
          <w:rFonts w:ascii="Cambria" w:hAnsi="Cambria"/>
          <w:noProof/>
          <w:lang w:val="sr-Latn-CS" w:eastAsia="x-none"/>
        </w:rPr>
        <w:t>mora biti kompatibilan s centralnom bazom podataka za obradu indikatora održivog razvoja koja treba biti uspostavljena u MONSTAT-u i web platformom za izvještavanje o sprovođenju NSOR u periodu do 2030. godine u Ministarstvu održivog razvoja i turizma. Kod uspostavljanja informacionog sistema s takvim  karakteristikama neophodno je omogućiti nadogradnju do sada realizovanih aktivnosti uspostavljanja informacionog sistema u oblasti životne sredine u Agenciji za zaštitiu životne sredine.</w:t>
      </w:r>
      <w:r w:rsidR="00C938B5" w:rsidRPr="00AB15C7">
        <w:rPr>
          <w:rFonts w:ascii="Cambria" w:hAnsi="Cambria"/>
          <w:noProof/>
          <w:lang w:eastAsia="x-none"/>
        </w:rPr>
        <w:t xml:space="preserve"> T</w:t>
      </w:r>
      <w:r w:rsidR="00C938B5" w:rsidRPr="00AB15C7">
        <w:rPr>
          <w:rFonts w:ascii="Cambria" w:hAnsi="Cambria"/>
          <w:bCs/>
          <w:noProof/>
          <w:lang w:eastAsia="x-none"/>
        </w:rPr>
        <w:t>reba</w:t>
      </w:r>
      <w:r w:rsidR="00C938B5" w:rsidRPr="00AB15C7">
        <w:rPr>
          <w:rFonts w:ascii="Cambria" w:hAnsi="Cambria"/>
          <w:bCs/>
          <w:noProof/>
          <w:lang w:val="sr-Latn-CS" w:eastAsia="x-none"/>
        </w:rPr>
        <w:t xml:space="preserve"> </w:t>
      </w:r>
      <w:r w:rsidR="00C938B5" w:rsidRPr="00AB15C7">
        <w:rPr>
          <w:rFonts w:ascii="Cambria" w:hAnsi="Cambria"/>
          <w:bCs/>
          <w:noProof/>
          <w:lang w:eastAsia="x-none"/>
        </w:rPr>
        <w:t>utvrditi</w:t>
      </w:r>
      <w:r w:rsidR="00C938B5" w:rsidRPr="00AB15C7">
        <w:rPr>
          <w:rFonts w:ascii="Cambria" w:hAnsi="Cambria"/>
          <w:bCs/>
          <w:noProof/>
          <w:lang w:val="sr-Latn-CS" w:eastAsia="x-none"/>
        </w:rPr>
        <w:t xml:space="preserve"> </w:t>
      </w:r>
      <w:r w:rsidR="00C938B5" w:rsidRPr="00AB15C7">
        <w:rPr>
          <w:rFonts w:ascii="Cambria" w:hAnsi="Cambria"/>
          <w:bCs/>
          <w:noProof/>
          <w:lang w:eastAsia="x-none"/>
        </w:rPr>
        <w:t>sadr</w:t>
      </w:r>
      <w:r w:rsidR="00C938B5" w:rsidRPr="00AB15C7">
        <w:rPr>
          <w:rFonts w:ascii="Cambria" w:hAnsi="Cambria"/>
          <w:bCs/>
          <w:noProof/>
          <w:lang w:val="sr-Latn-CS" w:eastAsia="x-none"/>
        </w:rPr>
        <w:t>ž</w:t>
      </w:r>
      <w:r w:rsidR="00C938B5" w:rsidRPr="00AB15C7">
        <w:rPr>
          <w:rFonts w:ascii="Cambria" w:hAnsi="Cambria"/>
          <w:bCs/>
          <w:noProof/>
          <w:lang w:eastAsia="x-none"/>
        </w:rPr>
        <w:t>aj</w:t>
      </w:r>
      <w:r w:rsidR="00C938B5" w:rsidRPr="00AB15C7">
        <w:rPr>
          <w:rFonts w:ascii="Cambria" w:hAnsi="Cambria"/>
          <w:bCs/>
          <w:noProof/>
          <w:lang w:val="sr-Latn-CS" w:eastAsia="x-none"/>
        </w:rPr>
        <w:t xml:space="preserve"> </w:t>
      </w:r>
      <w:r w:rsidR="00C938B5" w:rsidRPr="00AB15C7">
        <w:rPr>
          <w:rFonts w:ascii="Cambria" w:hAnsi="Cambria"/>
          <w:bCs/>
          <w:noProof/>
          <w:lang w:eastAsia="x-none"/>
        </w:rPr>
        <w:t>i</w:t>
      </w:r>
      <w:r w:rsidR="00C938B5" w:rsidRPr="00AB15C7">
        <w:rPr>
          <w:rFonts w:ascii="Cambria" w:hAnsi="Cambria"/>
          <w:bCs/>
          <w:noProof/>
          <w:lang w:val="sr-Latn-CS" w:eastAsia="x-none"/>
        </w:rPr>
        <w:t xml:space="preserve"> </w:t>
      </w:r>
      <w:r w:rsidR="00C938B5" w:rsidRPr="00AB15C7">
        <w:rPr>
          <w:rFonts w:ascii="Cambria" w:hAnsi="Cambria"/>
          <w:bCs/>
          <w:noProof/>
          <w:lang w:eastAsia="x-none"/>
        </w:rPr>
        <w:t>na</w:t>
      </w:r>
      <w:r w:rsidR="00C938B5" w:rsidRPr="00AB15C7">
        <w:rPr>
          <w:rFonts w:ascii="Cambria" w:hAnsi="Cambria"/>
          <w:bCs/>
          <w:noProof/>
          <w:lang w:val="sr-Latn-CS" w:eastAsia="x-none"/>
        </w:rPr>
        <w:t>č</w:t>
      </w:r>
      <w:r w:rsidR="00C938B5" w:rsidRPr="00AB15C7">
        <w:rPr>
          <w:rFonts w:ascii="Cambria" w:hAnsi="Cambria"/>
          <w:bCs/>
          <w:noProof/>
          <w:lang w:eastAsia="x-none"/>
        </w:rPr>
        <w:t>in</w:t>
      </w:r>
      <w:r w:rsidR="00C938B5" w:rsidRPr="00AB15C7">
        <w:rPr>
          <w:rFonts w:ascii="Cambria" w:hAnsi="Cambria"/>
          <w:bCs/>
          <w:noProof/>
          <w:lang w:val="sr-Latn-CS" w:eastAsia="x-none"/>
        </w:rPr>
        <w:t xml:space="preserve"> </w:t>
      </w:r>
      <w:r w:rsidR="00C938B5" w:rsidRPr="00AB15C7">
        <w:rPr>
          <w:rFonts w:ascii="Cambria" w:hAnsi="Cambria"/>
          <w:bCs/>
          <w:noProof/>
          <w:lang w:eastAsia="x-none"/>
        </w:rPr>
        <w:t>vo</w:t>
      </w:r>
      <w:r w:rsidR="00C938B5" w:rsidRPr="00AB15C7">
        <w:rPr>
          <w:rFonts w:ascii="Cambria" w:hAnsi="Cambria"/>
          <w:bCs/>
          <w:noProof/>
          <w:lang w:val="sr-Latn-CS" w:eastAsia="x-none"/>
        </w:rPr>
        <w:t>đ</w:t>
      </w:r>
      <w:r w:rsidR="00C938B5" w:rsidRPr="00AB15C7">
        <w:rPr>
          <w:rFonts w:ascii="Cambria" w:hAnsi="Cambria"/>
          <w:bCs/>
          <w:noProof/>
          <w:lang w:eastAsia="x-none"/>
        </w:rPr>
        <w:t>enja</w:t>
      </w:r>
      <w:r w:rsidR="00C938B5" w:rsidRPr="00AB15C7">
        <w:rPr>
          <w:rFonts w:ascii="Cambria" w:hAnsi="Cambria"/>
          <w:bCs/>
          <w:noProof/>
          <w:lang w:val="sr-Latn-CS" w:eastAsia="x-none"/>
        </w:rPr>
        <w:t xml:space="preserve"> </w:t>
      </w:r>
      <w:r w:rsidR="00C938B5" w:rsidRPr="00AB15C7">
        <w:rPr>
          <w:rFonts w:ascii="Cambria" w:hAnsi="Cambria"/>
          <w:bCs/>
          <w:noProof/>
          <w:lang w:eastAsia="x-none"/>
        </w:rPr>
        <w:t>sveobuhvatnog</w:t>
      </w:r>
      <w:r w:rsidR="00C938B5" w:rsidRPr="00AB15C7">
        <w:rPr>
          <w:rFonts w:ascii="Cambria" w:hAnsi="Cambria"/>
          <w:bCs/>
          <w:noProof/>
          <w:lang w:val="sr-Latn-CS" w:eastAsia="x-none"/>
        </w:rPr>
        <w:t xml:space="preserve"> </w:t>
      </w:r>
      <w:r w:rsidR="00C938B5" w:rsidRPr="00AB15C7">
        <w:rPr>
          <w:rFonts w:ascii="Cambria" w:hAnsi="Cambria"/>
          <w:bCs/>
          <w:noProof/>
          <w:lang w:eastAsia="x-none"/>
        </w:rPr>
        <w:t>informacionog</w:t>
      </w:r>
      <w:r w:rsidR="00C938B5" w:rsidRPr="00AB15C7">
        <w:rPr>
          <w:rFonts w:ascii="Cambria" w:hAnsi="Cambria"/>
          <w:bCs/>
          <w:noProof/>
          <w:lang w:val="sr-Latn-CS" w:eastAsia="x-none"/>
        </w:rPr>
        <w:t xml:space="preserve"> </w:t>
      </w:r>
      <w:r w:rsidR="00C938B5" w:rsidRPr="00AB15C7">
        <w:rPr>
          <w:rFonts w:ascii="Cambria" w:hAnsi="Cambria"/>
          <w:bCs/>
          <w:noProof/>
          <w:lang w:eastAsia="x-none"/>
        </w:rPr>
        <w:t>sistema</w:t>
      </w:r>
      <w:r w:rsidR="00C938B5" w:rsidRPr="00AB15C7">
        <w:rPr>
          <w:rFonts w:ascii="Cambria" w:hAnsi="Cambria"/>
          <w:bCs/>
          <w:noProof/>
          <w:lang w:val="sr-Latn-CS" w:eastAsia="x-none"/>
        </w:rPr>
        <w:t xml:space="preserve">, </w:t>
      </w:r>
      <w:r w:rsidR="00C938B5" w:rsidRPr="00AB15C7">
        <w:rPr>
          <w:rFonts w:ascii="Cambria" w:hAnsi="Cambria"/>
          <w:bCs/>
          <w:noProof/>
          <w:lang w:eastAsia="x-none"/>
        </w:rPr>
        <w:t>urediti</w:t>
      </w:r>
      <w:r w:rsidR="00C938B5" w:rsidRPr="00AB15C7">
        <w:rPr>
          <w:rFonts w:ascii="Cambria" w:hAnsi="Cambria"/>
          <w:bCs/>
          <w:noProof/>
          <w:lang w:val="sr-Latn-CS" w:eastAsia="x-none"/>
        </w:rPr>
        <w:t xml:space="preserve"> </w:t>
      </w:r>
      <w:r w:rsidR="00C938B5" w:rsidRPr="00AB15C7">
        <w:rPr>
          <w:rFonts w:ascii="Cambria" w:hAnsi="Cambria"/>
          <w:noProof/>
          <w:lang w:eastAsia="x-none"/>
        </w:rPr>
        <w:t>razmjenu</w:t>
      </w:r>
      <w:r w:rsidR="00C938B5" w:rsidRPr="00AB15C7">
        <w:rPr>
          <w:rFonts w:ascii="Cambria" w:hAnsi="Cambria"/>
          <w:noProof/>
          <w:lang w:val="sr-Latn-CS" w:eastAsia="x-none"/>
        </w:rPr>
        <w:t xml:space="preserve"> </w:t>
      </w:r>
      <w:r w:rsidR="00C938B5" w:rsidRPr="00AB15C7">
        <w:rPr>
          <w:rFonts w:ascii="Cambria" w:hAnsi="Cambria"/>
          <w:noProof/>
          <w:lang w:eastAsia="x-none"/>
        </w:rPr>
        <w:t>podataka</w:t>
      </w:r>
      <w:r w:rsidR="00C938B5" w:rsidRPr="00AB15C7">
        <w:rPr>
          <w:rFonts w:ascii="Cambria" w:hAnsi="Cambria"/>
          <w:noProof/>
          <w:lang w:val="sr-Latn-CS" w:eastAsia="x-none"/>
        </w:rPr>
        <w:t xml:space="preserve"> </w:t>
      </w:r>
      <w:r w:rsidR="00C938B5" w:rsidRPr="00AB15C7">
        <w:rPr>
          <w:rFonts w:ascii="Cambria" w:hAnsi="Cambria"/>
          <w:noProof/>
          <w:lang w:eastAsia="x-none"/>
        </w:rPr>
        <w:t>izme</w:t>
      </w:r>
      <w:r w:rsidR="00C938B5" w:rsidRPr="00AB15C7">
        <w:rPr>
          <w:rFonts w:ascii="Cambria" w:hAnsi="Cambria"/>
          <w:noProof/>
          <w:lang w:val="sr-Latn-CS" w:eastAsia="x-none"/>
        </w:rPr>
        <w:t>đ</w:t>
      </w:r>
      <w:r w:rsidR="00C938B5" w:rsidRPr="00AB15C7">
        <w:rPr>
          <w:rFonts w:ascii="Cambria" w:hAnsi="Cambria"/>
          <w:noProof/>
          <w:lang w:eastAsia="x-none"/>
        </w:rPr>
        <w:t>u</w:t>
      </w:r>
      <w:r w:rsidR="00C938B5" w:rsidRPr="00AB15C7">
        <w:rPr>
          <w:rFonts w:ascii="Cambria" w:hAnsi="Cambria"/>
          <w:noProof/>
          <w:lang w:val="sr-Latn-CS" w:eastAsia="x-none"/>
        </w:rPr>
        <w:t xml:space="preserve"> </w:t>
      </w:r>
      <w:r w:rsidR="00C938B5" w:rsidRPr="00AB15C7">
        <w:rPr>
          <w:rFonts w:ascii="Cambria" w:hAnsi="Cambria"/>
          <w:noProof/>
          <w:lang w:eastAsia="x-none"/>
        </w:rPr>
        <w:t>pojedinih</w:t>
      </w:r>
      <w:r w:rsidR="00C938B5" w:rsidRPr="00AB15C7">
        <w:rPr>
          <w:rFonts w:ascii="Cambria" w:hAnsi="Cambria"/>
          <w:noProof/>
          <w:lang w:val="sr-Latn-CS" w:eastAsia="x-none"/>
        </w:rPr>
        <w:t xml:space="preserve"> </w:t>
      </w:r>
      <w:r w:rsidR="00C938B5" w:rsidRPr="00AB15C7">
        <w:rPr>
          <w:rFonts w:ascii="Cambria" w:hAnsi="Cambria"/>
          <w:noProof/>
          <w:lang w:eastAsia="x-none"/>
        </w:rPr>
        <w:t>baza</w:t>
      </w:r>
      <w:r w:rsidR="00C938B5" w:rsidRPr="00AB15C7">
        <w:rPr>
          <w:rFonts w:ascii="Cambria" w:hAnsi="Cambria"/>
          <w:noProof/>
          <w:lang w:val="sr-Latn-CS" w:eastAsia="x-none"/>
        </w:rPr>
        <w:t xml:space="preserve"> </w:t>
      </w:r>
      <w:r w:rsidR="00C938B5" w:rsidRPr="00AB15C7">
        <w:rPr>
          <w:rFonts w:ascii="Cambria" w:hAnsi="Cambria"/>
          <w:noProof/>
          <w:lang w:eastAsia="x-none"/>
        </w:rPr>
        <w:t>i</w:t>
      </w:r>
      <w:r w:rsidR="00C938B5" w:rsidRPr="00AB15C7">
        <w:rPr>
          <w:rFonts w:ascii="Cambria" w:hAnsi="Cambria"/>
          <w:noProof/>
          <w:lang w:val="sr-Latn-CS" w:eastAsia="x-none"/>
        </w:rPr>
        <w:t xml:space="preserve"> </w:t>
      </w:r>
      <w:r w:rsidR="00C938B5" w:rsidRPr="00AB15C7">
        <w:rPr>
          <w:rFonts w:ascii="Cambria" w:hAnsi="Cambria"/>
          <w:noProof/>
          <w:lang w:eastAsia="x-none"/>
        </w:rPr>
        <w:t>omogu</w:t>
      </w:r>
      <w:r w:rsidR="00C938B5" w:rsidRPr="00AB15C7">
        <w:rPr>
          <w:rFonts w:ascii="Cambria" w:hAnsi="Cambria"/>
          <w:noProof/>
          <w:lang w:val="sr-Latn-CS" w:eastAsia="x-none"/>
        </w:rPr>
        <w:t>ć</w:t>
      </w:r>
      <w:r w:rsidR="00C938B5" w:rsidRPr="00AB15C7">
        <w:rPr>
          <w:rFonts w:ascii="Cambria" w:hAnsi="Cambria"/>
          <w:noProof/>
          <w:lang w:eastAsia="x-none"/>
        </w:rPr>
        <w:t>iti</w:t>
      </w:r>
      <w:r w:rsidR="00C938B5" w:rsidRPr="00AB15C7">
        <w:rPr>
          <w:rFonts w:ascii="Cambria" w:hAnsi="Cambria"/>
          <w:noProof/>
          <w:lang w:val="sr-Latn-CS" w:eastAsia="x-none"/>
        </w:rPr>
        <w:t xml:space="preserve"> </w:t>
      </w:r>
      <w:r w:rsidR="00C938B5" w:rsidRPr="00AB15C7">
        <w:rPr>
          <w:rFonts w:ascii="Cambria" w:hAnsi="Cambria"/>
          <w:bCs/>
          <w:noProof/>
          <w:lang w:eastAsia="x-none"/>
        </w:rPr>
        <w:t>njihovu</w:t>
      </w:r>
      <w:r w:rsidR="00C938B5" w:rsidRPr="00AB15C7">
        <w:rPr>
          <w:rFonts w:ascii="Cambria" w:hAnsi="Cambria"/>
          <w:bCs/>
          <w:noProof/>
          <w:lang w:val="sr-Latn-CS" w:eastAsia="x-none"/>
        </w:rPr>
        <w:t xml:space="preserve"> </w:t>
      </w:r>
      <w:r w:rsidR="00C938B5" w:rsidRPr="00AB15C7">
        <w:rPr>
          <w:rFonts w:ascii="Cambria" w:hAnsi="Cambria"/>
          <w:bCs/>
          <w:noProof/>
          <w:lang w:eastAsia="x-none"/>
        </w:rPr>
        <w:t>me</w:t>
      </w:r>
      <w:r w:rsidR="00C938B5" w:rsidRPr="00AB15C7">
        <w:rPr>
          <w:rFonts w:ascii="Cambria" w:hAnsi="Cambria"/>
          <w:bCs/>
          <w:noProof/>
          <w:lang w:val="sr-Latn-CS" w:eastAsia="x-none"/>
        </w:rPr>
        <w:t>đ</w:t>
      </w:r>
      <w:r w:rsidR="00C938B5" w:rsidRPr="00AB15C7">
        <w:rPr>
          <w:rFonts w:ascii="Cambria" w:hAnsi="Cambria"/>
          <w:bCs/>
          <w:noProof/>
          <w:lang w:eastAsia="x-none"/>
        </w:rPr>
        <w:t>usobnu</w:t>
      </w:r>
      <w:r w:rsidR="00C938B5" w:rsidRPr="00AB15C7">
        <w:rPr>
          <w:rFonts w:ascii="Cambria" w:hAnsi="Cambria"/>
          <w:bCs/>
          <w:noProof/>
          <w:lang w:val="sr-Latn-CS" w:eastAsia="x-none"/>
        </w:rPr>
        <w:t xml:space="preserve"> </w:t>
      </w:r>
      <w:r w:rsidR="00C938B5" w:rsidRPr="00AB15C7">
        <w:rPr>
          <w:rFonts w:ascii="Cambria" w:hAnsi="Cambria"/>
          <w:noProof/>
          <w:lang w:eastAsia="x-none"/>
        </w:rPr>
        <w:t>kompatibilnost</w:t>
      </w:r>
      <w:r w:rsidR="00C938B5" w:rsidRPr="00AB15C7">
        <w:rPr>
          <w:rFonts w:ascii="Cambria" w:hAnsi="Cambria"/>
          <w:bCs/>
          <w:noProof/>
          <w:lang w:val="sr-Latn-CS" w:eastAsia="x-none"/>
        </w:rPr>
        <w:t>.</w:t>
      </w:r>
    </w:p>
    <w:p w14:paraId="7AFFF075" w14:textId="440F8ADB" w:rsidR="006F4F6E" w:rsidRPr="00AB15C7" w:rsidRDefault="006F4F6E" w:rsidP="00D405EE">
      <w:pPr>
        <w:spacing w:after="0"/>
        <w:jc w:val="both"/>
        <w:rPr>
          <w:rFonts w:ascii="Cambria" w:hAnsi="Cambria"/>
          <w:noProof/>
          <w:lang w:eastAsia="x-none"/>
        </w:rPr>
      </w:pPr>
      <w:r w:rsidRPr="00AB15C7">
        <w:rPr>
          <w:rFonts w:ascii="Cambria" w:hAnsi="Cambria"/>
          <w:noProof/>
          <w:lang w:eastAsia="x-none"/>
        </w:rPr>
        <w:t xml:space="preserve">  </w:t>
      </w:r>
    </w:p>
    <w:p w14:paraId="47B8AC91" w14:textId="2626EBEA" w:rsidR="006514C9" w:rsidRPr="00AB15C7" w:rsidRDefault="00876149" w:rsidP="00867326">
      <w:pPr>
        <w:pStyle w:val="Heading2"/>
        <w:spacing w:before="0" w:after="120"/>
        <w:rPr>
          <w:noProof/>
          <w:sz w:val="22"/>
          <w:szCs w:val="22"/>
          <w:lang w:val="en-US"/>
        </w:rPr>
      </w:pPr>
      <w:bookmarkStart w:id="102" w:name="_Toc527353217"/>
      <w:r w:rsidRPr="00AB15C7">
        <w:rPr>
          <w:noProof/>
          <w:sz w:val="22"/>
          <w:szCs w:val="22"/>
          <w:lang w:val="en-US"/>
        </w:rPr>
        <w:t>2</w:t>
      </w:r>
      <w:r w:rsidR="00764413" w:rsidRPr="00AB15C7">
        <w:rPr>
          <w:noProof/>
          <w:sz w:val="22"/>
          <w:szCs w:val="22"/>
          <w:lang w:val="en-US"/>
        </w:rPr>
        <w:t>.</w:t>
      </w:r>
      <w:r w:rsidRPr="00AB15C7">
        <w:rPr>
          <w:noProof/>
          <w:sz w:val="22"/>
          <w:szCs w:val="22"/>
          <w:lang w:val="en-US"/>
        </w:rPr>
        <w:t>7.</w:t>
      </w:r>
      <w:r w:rsidR="00764413" w:rsidRPr="00AB15C7">
        <w:rPr>
          <w:noProof/>
          <w:sz w:val="22"/>
          <w:szCs w:val="22"/>
          <w:lang w:val="en-US"/>
        </w:rPr>
        <w:t xml:space="preserve">2. </w:t>
      </w:r>
      <w:r w:rsidR="006514C9" w:rsidRPr="00AB15C7">
        <w:rPr>
          <w:noProof/>
          <w:sz w:val="22"/>
          <w:szCs w:val="22"/>
          <w:lang w:val="en-US"/>
        </w:rPr>
        <w:t xml:space="preserve">Informisanje javnosti </w:t>
      </w:r>
      <w:r w:rsidR="00764413" w:rsidRPr="00AB15C7">
        <w:rPr>
          <w:noProof/>
          <w:sz w:val="22"/>
          <w:szCs w:val="22"/>
          <w:lang w:val="en-US"/>
        </w:rPr>
        <w:t>i  pristup informacijama o životnoj sredini</w:t>
      </w:r>
      <w:bookmarkEnd w:id="102"/>
    </w:p>
    <w:p w14:paraId="12C11E74" w14:textId="77777777" w:rsidR="005F4C3F" w:rsidRPr="00AB15C7" w:rsidRDefault="00764413" w:rsidP="005921EF">
      <w:pPr>
        <w:jc w:val="both"/>
        <w:rPr>
          <w:rFonts w:ascii="Cambria" w:hAnsi="Cambria"/>
          <w:noProof/>
          <w:lang w:val="it-IT" w:eastAsia="x-none"/>
        </w:rPr>
      </w:pPr>
      <w:r w:rsidRPr="00AB15C7">
        <w:rPr>
          <w:rFonts w:ascii="Cambria" w:hAnsi="Cambria"/>
          <w:noProof/>
          <w:lang w:val="it-IT" w:eastAsia="x-none"/>
        </w:rPr>
        <w:t>I</w:t>
      </w:r>
      <w:r w:rsidR="005F4C3F" w:rsidRPr="00AB15C7">
        <w:rPr>
          <w:rFonts w:ascii="Cambria" w:hAnsi="Cambria"/>
          <w:noProof/>
          <w:lang w:val="sr-Latn-CS" w:eastAsia="x-none"/>
        </w:rPr>
        <w:t>nformisanj</w:t>
      </w:r>
      <w:r w:rsidRPr="00AB15C7">
        <w:rPr>
          <w:rFonts w:ascii="Cambria" w:hAnsi="Cambria"/>
          <w:noProof/>
          <w:lang w:val="sr-Latn-CS" w:eastAsia="x-none"/>
        </w:rPr>
        <w:t>e</w:t>
      </w:r>
      <w:r w:rsidR="005F4C3F" w:rsidRPr="00AB15C7">
        <w:rPr>
          <w:rFonts w:ascii="Cambria" w:hAnsi="Cambria"/>
          <w:noProof/>
          <w:lang w:val="sr-Latn-CS" w:eastAsia="x-none"/>
        </w:rPr>
        <w:t xml:space="preserve"> javnosti</w:t>
      </w:r>
      <w:r w:rsidR="005F4C3F" w:rsidRPr="00AB15C7">
        <w:rPr>
          <w:rFonts w:ascii="Cambria" w:hAnsi="Cambria"/>
          <w:noProof/>
          <w:lang w:val="it-IT" w:eastAsia="x-none"/>
        </w:rPr>
        <w:t xml:space="preserve"> obezbjeđuje se u skladu sa </w:t>
      </w:r>
      <w:r w:rsidR="00F2672B">
        <w:rPr>
          <w:rFonts w:ascii="Cambria" w:hAnsi="Cambria"/>
          <w:noProof/>
          <w:lang w:val="it-IT" w:eastAsia="x-none"/>
        </w:rPr>
        <w:t>Z</w:t>
      </w:r>
      <w:r w:rsidR="005F4C3F" w:rsidRPr="00AB15C7">
        <w:rPr>
          <w:rFonts w:ascii="Cambria" w:hAnsi="Cambria"/>
          <w:noProof/>
          <w:lang w:val="it-IT" w:eastAsia="x-none"/>
        </w:rPr>
        <w:t xml:space="preserve">akonom </w:t>
      </w:r>
      <w:r w:rsidR="00F2672B" w:rsidRPr="00F2672B">
        <w:rPr>
          <w:rFonts w:ascii="Cambria" w:hAnsi="Cambria"/>
          <w:noProof/>
          <w:lang w:eastAsia="x-none"/>
        </w:rPr>
        <w:t>o životnoj sredini</w:t>
      </w:r>
      <w:r w:rsidR="00F2672B" w:rsidRPr="00F2672B">
        <w:rPr>
          <w:rFonts w:ascii="Cambria" w:hAnsi="Cambria"/>
          <w:noProof/>
          <w:lang w:val="it-IT" w:eastAsia="x-none"/>
        </w:rPr>
        <w:t xml:space="preserve"> </w:t>
      </w:r>
      <w:r w:rsidR="005F4C3F" w:rsidRPr="00AB15C7">
        <w:rPr>
          <w:rFonts w:ascii="Cambria" w:hAnsi="Cambria"/>
          <w:noProof/>
          <w:lang w:val="it-IT" w:eastAsia="x-none"/>
        </w:rPr>
        <w:t xml:space="preserve">i </w:t>
      </w:r>
      <w:r w:rsidR="00F2672B">
        <w:rPr>
          <w:rFonts w:ascii="Cambria" w:hAnsi="Cambria"/>
          <w:noProof/>
          <w:lang w:val="it-IT" w:eastAsia="x-none"/>
        </w:rPr>
        <w:t>Z</w:t>
      </w:r>
      <w:r w:rsidR="005F4C3F" w:rsidRPr="00AB15C7">
        <w:rPr>
          <w:rFonts w:ascii="Cambria" w:hAnsi="Cambria"/>
          <w:noProof/>
          <w:lang w:val="it-IT" w:eastAsia="x-none"/>
        </w:rPr>
        <w:t xml:space="preserve">akonom </w:t>
      </w:r>
      <w:r w:rsidR="00E02477">
        <w:rPr>
          <w:rFonts w:ascii="Cambria" w:hAnsi="Cambria"/>
          <w:noProof/>
          <w:lang w:val="it-IT" w:eastAsia="x-none"/>
        </w:rPr>
        <w:t>o</w:t>
      </w:r>
      <w:r w:rsidR="005F4C3F" w:rsidRPr="00AB15C7">
        <w:rPr>
          <w:rFonts w:ascii="Cambria" w:hAnsi="Cambria"/>
          <w:noProof/>
          <w:lang w:val="it-IT" w:eastAsia="x-none"/>
        </w:rPr>
        <w:t xml:space="preserve"> slobodn</w:t>
      </w:r>
      <w:r w:rsidR="00E02477">
        <w:rPr>
          <w:rFonts w:ascii="Cambria" w:hAnsi="Cambria"/>
          <w:noProof/>
          <w:lang w:val="it-IT" w:eastAsia="x-none"/>
        </w:rPr>
        <w:t>om</w:t>
      </w:r>
      <w:r w:rsidR="005F4C3F" w:rsidRPr="00AB15C7">
        <w:rPr>
          <w:rFonts w:ascii="Cambria" w:hAnsi="Cambria"/>
          <w:noProof/>
          <w:lang w:val="it-IT" w:eastAsia="x-none"/>
        </w:rPr>
        <w:t xml:space="preserve"> pristup</w:t>
      </w:r>
      <w:r w:rsidR="00E02477">
        <w:rPr>
          <w:rFonts w:ascii="Cambria" w:hAnsi="Cambria"/>
          <w:noProof/>
          <w:lang w:val="it-IT" w:eastAsia="x-none"/>
        </w:rPr>
        <w:t>u</w:t>
      </w:r>
      <w:r w:rsidR="005F4C3F" w:rsidRPr="00AB15C7">
        <w:rPr>
          <w:rFonts w:ascii="Cambria" w:hAnsi="Cambria"/>
          <w:noProof/>
          <w:lang w:val="it-IT" w:eastAsia="x-none"/>
        </w:rPr>
        <w:t xml:space="preserve"> informacijama, preko objavljivanja </w:t>
      </w:r>
      <w:r w:rsidR="00E92FCF" w:rsidRPr="00AB15C7">
        <w:rPr>
          <w:rFonts w:ascii="Cambria" w:hAnsi="Cambria"/>
          <w:noProof/>
          <w:lang w:val="it-IT" w:eastAsia="x-none"/>
        </w:rPr>
        <w:t>informacija</w:t>
      </w:r>
      <w:r w:rsidR="00E92FCF" w:rsidRPr="00AB15C7">
        <w:rPr>
          <w:rFonts w:ascii="Cambria" w:eastAsia="SimSun" w:hAnsi="Cambria" w:cs="TimesNewRoman"/>
          <w:noProof/>
        </w:rPr>
        <w:t xml:space="preserve"> </w:t>
      </w:r>
      <w:r w:rsidR="00E92FCF" w:rsidRPr="00AB15C7">
        <w:rPr>
          <w:rFonts w:ascii="Cambria" w:hAnsi="Cambria"/>
          <w:noProof/>
          <w:lang w:eastAsia="x-none"/>
        </w:rPr>
        <w:t>putem elektronskih baza podataka ili putem medija</w:t>
      </w:r>
      <w:r w:rsidR="00E92FCF" w:rsidRPr="00AB15C7">
        <w:rPr>
          <w:rFonts w:ascii="Cambria" w:hAnsi="Cambria"/>
          <w:noProof/>
          <w:lang w:val="it-IT" w:eastAsia="x-none"/>
        </w:rPr>
        <w:t xml:space="preserve">, kao i </w:t>
      </w:r>
      <w:r w:rsidR="00E92FCF" w:rsidRPr="00AB15C7">
        <w:rPr>
          <w:rFonts w:ascii="Cambria" w:hAnsi="Cambria"/>
          <w:noProof/>
          <w:lang w:eastAsia="x-none"/>
        </w:rPr>
        <w:t>na osnovu zahtjeva</w:t>
      </w:r>
      <w:r w:rsidR="00E92FCF" w:rsidRPr="00AB15C7">
        <w:rPr>
          <w:rFonts w:ascii="Cambria" w:eastAsia="SimSun" w:hAnsi="Cambria" w:cs="TimesNewRoman"/>
          <w:noProof/>
        </w:rPr>
        <w:t xml:space="preserve"> za p</w:t>
      </w:r>
      <w:r w:rsidR="00E92FCF" w:rsidRPr="00AB15C7">
        <w:rPr>
          <w:rFonts w:ascii="Cambria" w:hAnsi="Cambria"/>
          <w:noProof/>
          <w:lang w:eastAsia="x-none"/>
        </w:rPr>
        <w:t>ristup informacijama o životnoj sredini upućenih organu uprave.</w:t>
      </w:r>
    </w:p>
    <w:p w14:paraId="15BA1193" w14:textId="77777777" w:rsidR="005F4C3F" w:rsidRPr="00AB15C7" w:rsidRDefault="005F4C3F" w:rsidP="005921EF">
      <w:pPr>
        <w:spacing w:after="0"/>
        <w:jc w:val="both"/>
        <w:rPr>
          <w:rFonts w:ascii="Cambria" w:hAnsi="Cambria"/>
          <w:noProof/>
          <w:lang w:val="it-IT" w:eastAsia="x-none"/>
        </w:rPr>
      </w:pPr>
      <w:r w:rsidRPr="00AB15C7">
        <w:rPr>
          <w:rFonts w:ascii="Cambria" w:hAnsi="Cambria"/>
          <w:noProof/>
          <w:lang w:val="it-IT" w:eastAsia="x-none"/>
        </w:rPr>
        <w:t>U pogledu uključivanja javnosti</w:t>
      </w:r>
      <w:r w:rsidR="00764413" w:rsidRPr="00AB15C7">
        <w:rPr>
          <w:rFonts w:ascii="Cambria" w:hAnsi="Cambria"/>
          <w:noProof/>
          <w:lang w:val="it-IT" w:eastAsia="x-none"/>
        </w:rPr>
        <w:t xml:space="preserve"> u odlučivanje</w:t>
      </w:r>
      <w:r w:rsidR="00E92FCF" w:rsidRPr="00AB15C7">
        <w:rPr>
          <w:rFonts w:ascii="Cambria" w:hAnsi="Cambria"/>
          <w:noProof/>
          <w:lang w:val="it-IT" w:eastAsia="x-none"/>
        </w:rPr>
        <w:t xml:space="preserve">, </w:t>
      </w:r>
      <w:r w:rsidRPr="00AB15C7">
        <w:rPr>
          <w:rFonts w:ascii="Cambria" w:hAnsi="Cambria"/>
          <w:noProof/>
          <w:lang w:val="it-IT" w:eastAsia="x-none"/>
        </w:rPr>
        <w:t xml:space="preserve"> organi uprave nadležni za poslove zaštite životne sredine, dužni</w:t>
      </w:r>
      <w:r w:rsidR="00E92FCF" w:rsidRPr="00AB15C7">
        <w:rPr>
          <w:rFonts w:ascii="Cambria" w:hAnsi="Cambria"/>
          <w:noProof/>
          <w:lang w:val="it-IT" w:eastAsia="x-none"/>
        </w:rPr>
        <w:t xml:space="preserve"> </w:t>
      </w:r>
      <w:r w:rsidRPr="00AB15C7">
        <w:rPr>
          <w:rFonts w:ascii="Cambria" w:hAnsi="Cambria"/>
          <w:noProof/>
          <w:lang w:val="it-IT" w:eastAsia="x-none"/>
        </w:rPr>
        <w:t>su da blagovremeno obavještavaju javnost o postupcima odlučivanja u pitanjima životne</w:t>
      </w:r>
      <w:r w:rsidR="00E92FCF" w:rsidRPr="00AB15C7">
        <w:rPr>
          <w:rFonts w:ascii="Cambria" w:hAnsi="Cambria"/>
          <w:noProof/>
          <w:lang w:val="it-IT" w:eastAsia="x-none"/>
        </w:rPr>
        <w:t xml:space="preserve"> </w:t>
      </w:r>
      <w:r w:rsidRPr="00AB15C7">
        <w:rPr>
          <w:rFonts w:ascii="Cambria" w:hAnsi="Cambria"/>
          <w:noProof/>
          <w:lang w:val="it-IT" w:eastAsia="x-none"/>
        </w:rPr>
        <w:t>sredine koja se odnose na:</w:t>
      </w:r>
    </w:p>
    <w:p w14:paraId="1E40E82E" w14:textId="77777777" w:rsidR="005F4C3F" w:rsidRPr="00AB15C7" w:rsidRDefault="005F4C3F" w:rsidP="005921EF">
      <w:pPr>
        <w:spacing w:after="0"/>
        <w:jc w:val="both"/>
        <w:rPr>
          <w:rFonts w:ascii="Cambria" w:hAnsi="Cambria"/>
          <w:noProof/>
          <w:lang w:val="it-IT" w:eastAsia="x-none"/>
        </w:rPr>
      </w:pPr>
      <w:r w:rsidRPr="00AB15C7">
        <w:rPr>
          <w:rFonts w:ascii="Cambria" w:hAnsi="Cambria"/>
          <w:noProof/>
          <w:lang w:val="it-IT" w:eastAsia="x-none"/>
        </w:rPr>
        <w:t>1) stratešku procjenu uticaja planova i programa na životnu sredinu;</w:t>
      </w:r>
    </w:p>
    <w:p w14:paraId="3B17F3E5" w14:textId="77777777" w:rsidR="005F4C3F" w:rsidRPr="00AB15C7" w:rsidRDefault="005F4C3F" w:rsidP="005921EF">
      <w:pPr>
        <w:spacing w:after="0"/>
        <w:jc w:val="both"/>
        <w:rPr>
          <w:rFonts w:ascii="Cambria" w:hAnsi="Cambria"/>
          <w:noProof/>
          <w:lang w:val="it-IT" w:eastAsia="x-none"/>
        </w:rPr>
      </w:pPr>
      <w:r w:rsidRPr="00AB15C7">
        <w:rPr>
          <w:rFonts w:ascii="Cambria" w:hAnsi="Cambria"/>
          <w:noProof/>
          <w:lang w:val="it-IT" w:eastAsia="x-none"/>
        </w:rPr>
        <w:t>2) procjenu uticaja na životnu sredinu;</w:t>
      </w:r>
    </w:p>
    <w:p w14:paraId="20F46119" w14:textId="77777777" w:rsidR="005F4C3F" w:rsidRPr="00AB15C7" w:rsidRDefault="005F4C3F" w:rsidP="005921EF">
      <w:pPr>
        <w:spacing w:after="0"/>
        <w:jc w:val="both"/>
        <w:rPr>
          <w:rFonts w:ascii="Cambria" w:hAnsi="Cambria"/>
          <w:noProof/>
          <w:lang w:val="it-IT" w:eastAsia="x-none"/>
        </w:rPr>
      </w:pPr>
      <w:r w:rsidRPr="00AB15C7">
        <w:rPr>
          <w:rFonts w:ascii="Cambria" w:hAnsi="Cambria"/>
          <w:noProof/>
          <w:lang w:val="it-IT" w:eastAsia="x-none"/>
        </w:rPr>
        <w:t>3) postupak izdavanja dozvole za integrisano sprječavanje i kontrolu zagađivanja kroz odobravanje rada novih,</w:t>
      </w:r>
      <w:r w:rsidR="00E92FCF" w:rsidRPr="00AB15C7">
        <w:rPr>
          <w:rFonts w:ascii="Cambria" w:hAnsi="Cambria"/>
          <w:noProof/>
          <w:lang w:val="it-IT" w:eastAsia="x-none"/>
        </w:rPr>
        <w:t xml:space="preserve"> </w:t>
      </w:r>
      <w:r w:rsidRPr="00AB15C7">
        <w:rPr>
          <w:rFonts w:ascii="Cambria" w:hAnsi="Cambria"/>
          <w:noProof/>
          <w:lang w:val="it-IT" w:eastAsia="x-none"/>
        </w:rPr>
        <w:t>odnosno postojećih postrojenja;</w:t>
      </w:r>
    </w:p>
    <w:p w14:paraId="5A3DCBCE" w14:textId="77777777" w:rsidR="005F4C3F" w:rsidRPr="00AB15C7" w:rsidRDefault="005F4C3F" w:rsidP="005921EF">
      <w:pPr>
        <w:spacing w:after="0"/>
        <w:jc w:val="both"/>
        <w:rPr>
          <w:rFonts w:ascii="Cambria" w:hAnsi="Cambria"/>
          <w:noProof/>
          <w:lang w:val="it-IT" w:eastAsia="x-none"/>
        </w:rPr>
      </w:pPr>
      <w:r w:rsidRPr="00AB15C7">
        <w:rPr>
          <w:rFonts w:ascii="Cambria" w:hAnsi="Cambria"/>
          <w:noProof/>
          <w:lang w:val="it-IT" w:eastAsia="x-none"/>
        </w:rPr>
        <w:t>4) strategije, planove, programe i ostala dokumenta iz oblasti zaštite životne sredine;</w:t>
      </w:r>
    </w:p>
    <w:p w14:paraId="0FC081DE" w14:textId="77777777" w:rsidR="005F4C3F" w:rsidRPr="00AB15C7" w:rsidRDefault="005F4C3F" w:rsidP="005921EF">
      <w:pPr>
        <w:jc w:val="both"/>
        <w:rPr>
          <w:rFonts w:ascii="Cambria" w:hAnsi="Cambria"/>
          <w:noProof/>
          <w:lang w:val="it-IT" w:eastAsia="x-none"/>
        </w:rPr>
      </w:pPr>
      <w:r w:rsidRPr="00AB15C7">
        <w:rPr>
          <w:rFonts w:ascii="Cambria" w:hAnsi="Cambria"/>
          <w:noProof/>
          <w:lang w:val="it-IT" w:eastAsia="x-none"/>
        </w:rPr>
        <w:t>5) druga pitanja iz oblasti životne sredine u skladu sa posebnim propisima.</w:t>
      </w:r>
    </w:p>
    <w:p w14:paraId="6742E7EE" w14:textId="77777777" w:rsidR="00E92FCF" w:rsidRPr="00AB15C7" w:rsidRDefault="00E92FCF" w:rsidP="005921EF">
      <w:pPr>
        <w:jc w:val="both"/>
        <w:rPr>
          <w:rFonts w:ascii="Cambria" w:hAnsi="Cambria"/>
          <w:noProof/>
          <w:lang w:val="it-IT" w:eastAsia="x-none"/>
        </w:rPr>
      </w:pPr>
      <w:r w:rsidRPr="00AB15C7">
        <w:rPr>
          <w:rFonts w:ascii="Cambria" w:hAnsi="Cambria"/>
          <w:noProof/>
          <w:lang w:val="it-IT" w:eastAsia="x-none"/>
        </w:rPr>
        <w:t>Zainteresovana javnost u postupku odlučivanja u pitanjima životne sredine ima pravo da pokrene postupak  preispitivanja odluke pred nadležnim organima.</w:t>
      </w:r>
    </w:p>
    <w:p w14:paraId="0CC87DD7" w14:textId="77777777" w:rsidR="006632B4" w:rsidRPr="00AB15C7" w:rsidRDefault="00E92FCF" w:rsidP="005921EF">
      <w:pPr>
        <w:spacing w:after="0"/>
        <w:jc w:val="both"/>
        <w:rPr>
          <w:rFonts w:ascii="Cambria" w:hAnsi="Cambria"/>
          <w:noProof/>
          <w:lang w:eastAsia="x-none"/>
        </w:rPr>
      </w:pPr>
      <w:r w:rsidRPr="00AB15C7">
        <w:rPr>
          <w:rFonts w:ascii="Cambria" w:hAnsi="Cambria"/>
          <w:noProof/>
          <w:lang w:eastAsia="x-none"/>
        </w:rPr>
        <w:t xml:space="preserve">Konvencija o učešću javnosti, dostupnosti informacija, učešću javnosti u donošenju odluka i pravu na pravnu zaštitu u pitanjima životne sredine - Arhuska konvencija je dio nacionalnog pravnog sistema. Njena implementacija započela je 2009. godine. </w:t>
      </w:r>
      <w:r w:rsidR="006632B4" w:rsidRPr="00AB15C7">
        <w:rPr>
          <w:rFonts w:ascii="Cambria" w:hAnsi="Cambria"/>
          <w:noProof/>
          <w:lang w:eastAsia="x-none"/>
        </w:rPr>
        <w:t>Kao jedna od značajnijih aktivnosti za sprovodjenje Arhuske konvencije</w:t>
      </w:r>
      <w:r w:rsidR="00450C84" w:rsidRPr="00AB15C7">
        <w:rPr>
          <w:rFonts w:ascii="Cambria" w:hAnsi="Cambria"/>
          <w:noProof/>
          <w:lang w:eastAsia="x-none"/>
        </w:rPr>
        <w:t xml:space="preserve"> i izgradnju kapaciteta koji će biti na raspolaganju građanima, NVO sektoru, privrednim subjektima i svim drugim zainteresovanim subjektima.</w:t>
      </w:r>
      <w:r w:rsidR="006632B4" w:rsidRPr="00AB15C7">
        <w:rPr>
          <w:rFonts w:ascii="Cambria" w:hAnsi="Cambria"/>
          <w:noProof/>
          <w:lang w:eastAsia="x-none"/>
        </w:rPr>
        <w:t xml:space="preserve">, je osnivanje Arhus centara.  U Crnoj Gori </w:t>
      </w:r>
      <w:r w:rsidR="006A39DE">
        <w:rPr>
          <w:rFonts w:ascii="Cambria" w:hAnsi="Cambria"/>
          <w:noProof/>
          <w:lang w:eastAsia="x-none"/>
        </w:rPr>
        <w:t>o</w:t>
      </w:r>
      <w:r w:rsidRPr="00AB15C7">
        <w:rPr>
          <w:rFonts w:ascii="Cambria" w:hAnsi="Cambria"/>
          <w:noProof/>
          <w:lang w:eastAsia="x-none"/>
        </w:rPr>
        <w:t xml:space="preserve">snovana su četiri Arhus centra </w:t>
      </w:r>
      <w:r w:rsidR="006632B4" w:rsidRPr="00AB15C7">
        <w:rPr>
          <w:rFonts w:ascii="Cambria" w:hAnsi="Cambria"/>
          <w:noProof/>
          <w:lang w:eastAsia="x-none"/>
        </w:rPr>
        <w:t xml:space="preserve">od kojih </w:t>
      </w:r>
      <w:r w:rsidRPr="00AB15C7">
        <w:rPr>
          <w:rFonts w:ascii="Cambria" w:hAnsi="Cambria"/>
          <w:noProof/>
          <w:lang w:eastAsia="x-none"/>
        </w:rPr>
        <w:t xml:space="preserve">dva funkcionišu kao vladini centri u sklopu AZPŽS, dok su druga dva osnovani </w:t>
      </w:r>
      <w:r w:rsidR="006A39DE">
        <w:rPr>
          <w:rFonts w:ascii="Cambria" w:hAnsi="Cambria"/>
          <w:noProof/>
          <w:lang w:eastAsia="x-none"/>
        </w:rPr>
        <w:t xml:space="preserve">u sklopu </w:t>
      </w:r>
      <w:r w:rsidRPr="00AB15C7">
        <w:rPr>
          <w:rFonts w:ascii="Cambria" w:hAnsi="Cambria"/>
          <w:noProof/>
          <w:lang w:eastAsia="x-none"/>
        </w:rPr>
        <w:t>NVO</w:t>
      </w:r>
      <w:r w:rsidR="00876149" w:rsidRPr="00AB15C7">
        <w:rPr>
          <w:rFonts w:ascii="Cambria" w:hAnsi="Cambria"/>
          <w:noProof/>
          <w:lang w:eastAsia="x-none"/>
        </w:rPr>
        <w:t>, i</w:t>
      </w:r>
      <w:r w:rsidR="006632B4" w:rsidRPr="00AB15C7">
        <w:rPr>
          <w:rFonts w:ascii="Cambria" w:hAnsi="Cambria"/>
          <w:noProof/>
          <w:lang w:eastAsia="x-none"/>
        </w:rPr>
        <w:t xml:space="preserve"> to:</w:t>
      </w:r>
    </w:p>
    <w:p w14:paraId="0290558F" w14:textId="77777777" w:rsidR="006632B4" w:rsidRPr="00AB15C7" w:rsidRDefault="006632B4" w:rsidP="00557C13">
      <w:pPr>
        <w:numPr>
          <w:ilvl w:val="1"/>
          <w:numId w:val="10"/>
        </w:numPr>
        <w:spacing w:after="0"/>
        <w:rPr>
          <w:rFonts w:ascii="Cambria" w:hAnsi="Cambria"/>
          <w:noProof/>
          <w:lang w:eastAsia="x-none"/>
        </w:rPr>
      </w:pPr>
      <w:r w:rsidRPr="00AB15C7">
        <w:rPr>
          <w:rFonts w:ascii="Cambria" w:hAnsi="Cambria"/>
          <w:noProof/>
          <w:lang w:eastAsia="x-none"/>
        </w:rPr>
        <w:t>Arhus centar Podgorica (organizaciona jedinica AZŽS)</w:t>
      </w:r>
    </w:p>
    <w:p w14:paraId="762F081E" w14:textId="77777777" w:rsidR="006632B4" w:rsidRPr="00AB15C7" w:rsidRDefault="006632B4" w:rsidP="00557C13">
      <w:pPr>
        <w:numPr>
          <w:ilvl w:val="1"/>
          <w:numId w:val="10"/>
        </w:numPr>
        <w:spacing w:after="0"/>
        <w:rPr>
          <w:rFonts w:ascii="Cambria" w:hAnsi="Cambria"/>
          <w:noProof/>
          <w:lang w:eastAsia="x-none"/>
        </w:rPr>
      </w:pPr>
      <w:r w:rsidRPr="00AB15C7">
        <w:rPr>
          <w:rFonts w:ascii="Cambria" w:hAnsi="Cambria"/>
          <w:noProof/>
          <w:lang w:eastAsia="x-none"/>
        </w:rPr>
        <w:t>Arhus centar Nikšić (dio NVO „Ozon“)</w:t>
      </w:r>
    </w:p>
    <w:p w14:paraId="05575772" w14:textId="77777777" w:rsidR="006632B4" w:rsidRPr="00AB15C7" w:rsidRDefault="006632B4" w:rsidP="00557C13">
      <w:pPr>
        <w:numPr>
          <w:ilvl w:val="1"/>
          <w:numId w:val="10"/>
        </w:numPr>
        <w:spacing w:after="0"/>
        <w:rPr>
          <w:rFonts w:ascii="Cambria" w:hAnsi="Cambria"/>
          <w:noProof/>
          <w:lang w:eastAsia="x-none"/>
        </w:rPr>
      </w:pPr>
      <w:r w:rsidRPr="00AB15C7">
        <w:rPr>
          <w:rFonts w:ascii="Cambria" w:hAnsi="Cambria"/>
          <w:noProof/>
          <w:lang w:eastAsia="x-none"/>
        </w:rPr>
        <w:t>Arhus centar Berane (organizaciona jedinica AZŽS)</w:t>
      </w:r>
    </w:p>
    <w:p w14:paraId="02C2743A" w14:textId="77777777" w:rsidR="006632B4" w:rsidRPr="00AB15C7" w:rsidRDefault="006632B4" w:rsidP="00557C13">
      <w:pPr>
        <w:numPr>
          <w:ilvl w:val="1"/>
          <w:numId w:val="10"/>
        </w:numPr>
        <w:rPr>
          <w:rFonts w:ascii="Cambria" w:hAnsi="Cambria"/>
          <w:noProof/>
          <w:lang w:eastAsia="x-none"/>
        </w:rPr>
      </w:pPr>
      <w:r w:rsidRPr="00AB15C7">
        <w:rPr>
          <w:rFonts w:ascii="Cambria" w:hAnsi="Cambria"/>
          <w:noProof/>
          <w:lang w:eastAsia="x-none"/>
        </w:rPr>
        <w:t>Arhus centar u Pljevljima ( u sklopu ekološkog društva “Breznica“)</w:t>
      </w:r>
    </w:p>
    <w:p w14:paraId="78F1974E" w14:textId="0CF539F9" w:rsidR="00450C84" w:rsidRPr="00AB15C7" w:rsidRDefault="006632B4" w:rsidP="005921EF">
      <w:pPr>
        <w:spacing w:after="0"/>
        <w:rPr>
          <w:rFonts w:ascii="Cambria" w:hAnsi="Cambria"/>
          <w:noProof/>
          <w:lang w:eastAsia="x-none"/>
        </w:rPr>
      </w:pPr>
      <w:r w:rsidRPr="00AB15C7">
        <w:rPr>
          <w:rFonts w:ascii="Cambria" w:hAnsi="Cambria"/>
          <w:noProof/>
          <w:lang w:eastAsia="x-none"/>
        </w:rPr>
        <w:t>Aktivnosti Arhus centara</w:t>
      </w:r>
      <w:r w:rsidR="00450C84" w:rsidRPr="00AB15C7">
        <w:rPr>
          <w:rFonts w:ascii="Cambria" w:hAnsi="Cambria"/>
          <w:noProof/>
          <w:lang w:eastAsia="x-none"/>
        </w:rPr>
        <w:t xml:space="preserve"> podrazum</w:t>
      </w:r>
      <w:r w:rsidR="00A95211">
        <w:rPr>
          <w:rFonts w:ascii="Cambria" w:hAnsi="Cambria"/>
          <w:noProof/>
          <w:lang w:eastAsia="x-none"/>
        </w:rPr>
        <w:t>i</w:t>
      </w:r>
      <w:r w:rsidR="00DF0D6C">
        <w:rPr>
          <w:rFonts w:ascii="Cambria" w:hAnsi="Cambria"/>
          <w:noProof/>
          <w:lang w:eastAsia="x-none"/>
        </w:rPr>
        <w:t>j</w:t>
      </w:r>
      <w:r w:rsidR="00450C84" w:rsidRPr="00AB15C7">
        <w:rPr>
          <w:rFonts w:ascii="Cambria" w:hAnsi="Cambria"/>
          <w:noProof/>
          <w:lang w:eastAsia="x-none"/>
        </w:rPr>
        <w:t>evaju</w:t>
      </w:r>
      <w:r w:rsidR="006514C9" w:rsidRPr="00AB15C7">
        <w:rPr>
          <w:rFonts w:ascii="Cambria" w:hAnsi="Cambria"/>
          <w:noProof/>
          <w:lang w:eastAsia="x-none"/>
        </w:rPr>
        <w:t>:</w:t>
      </w:r>
    </w:p>
    <w:p w14:paraId="67467B0E" w14:textId="029F764E" w:rsidR="006632B4" w:rsidRPr="00AB15C7" w:rsidRDefault="006632B4" w:rsidP="00557C13">
      <w:pPr>
        <w:numPr>
          <w:ilvl w:val="0"/>
          <w:numId w:val="13"/>
        </w:numPr>
        <w:spacing w:after="0"/>
        <w:jc w:val="both"/>
        <w:rPr>
          <w:rFonts w:ascii="Cambria" w:hAnsi="Cambria"/>
          <w:noProof/>
          <w:lang w:eastAsia="x-none"/>
        </w:rPr>
      </w:pPr>
      <w:r w:rsidRPr="00AB15C7">
        <w:rPr>
          <w:rFonts w:ascii="Cambria" w:hAnsi="Cambria"/>
          <w:noProof/>
          <w:lang w:eastAsia="x-none"/>
        </w:rPr>
        <w:t>promovisanje odgovarajućeg zakonodavstva i praksa u vidu pristupa informacijama,</w:t>
      </w:r>
      <w:r w:rsidR="00DF0D6C">
        <w:rPr>
          <w:rFonts w:ascii="Cambria" w:hAnsi="Cambria"/>
          <w:noProof/>
          <w:lang w:eastAsia="x-none"/>
        </w:rPr>
        <w:t xml:space="preserve"> </w:t>
      </w:r>
      <w:r w:rsidRPr="00AB15C7">
        <w:rPr>
          <w:rFonts w:ascii="Cambria" w:hAnsi="Cambria"/>
          <w:noProof/>
          <w:lang w:eastAsia="x-none"/>
        </w:rPr>
        <w:t>učestvovanje javnosti i pristup pravdi u polju životne sredine</w:t>
      </w:r>
      <w:r w:rsidR="004F6ADC">
        <w:rPr>
          <w:rFonts w:ascii="Cambria" w:hAnsi="Cambria"/>
          <w:noProof/>
          <w:lang w:eastAsia="x-none"/>
        </w:rPr>
        <w:t>,</w:t>
      </w:r>
      <w:r w:rsidRPr="00AB15C7">
        <w:rPr>
          <w:rFonts w:ascii="Cambria" w:hAnsi="Cambria"/>
          <w:noProof/>
          <w:lang w:eastAsia="x-none"/>
        </w:rPr>
        <w:t xml:space="preserve"> </w:t>
      </w:r>
    </w:p>
    <w:p w14:paraId="15EBB243" w14:textId="17ABDC0C" w:rsidR="006632B4" w:rsidRPr="00AB15C7" w:rsidRDefault="006632B4" w:rsidP="00557C13">
      <w:pPr>
        <w:numPr>
          <w:ilvl w:val="0"/>
          <w:numId w:val="10"/>
        </w:numPr>
        <w:spacing w:after="0"/>
        <w:jc w:val="both"/>
        <w:rPr>
          <w:rFonts w:ascii="Cambria" w:hAnsi="Cambria"/>
          <w:noProof/>
          <w:lang w:eastAsia="x-none"/>
        </w:rPr>
      </w:pPr>
      <w:r w:rsidRPr="00AB15C7">
        <w:rPr>
          <w:rFonts w:ascii="Cambria" w:hAnsi="Cambria"/>
          <w:noProof/>
          <w:lang w:eastAsia="x-none"/>
        </w:rPr>
        <w:t>poboljšanje informisanosti i znanja zainteresovane javnosti o zaštiti životne sredine</w:t>
      </w:r>
      <w:r w:rsidR="004F6ADC">
        <w:rPr>
          <w:rFonts w:ascii="Cambria" w:hAnsi="Cambria"/>
          <w:noProof/>
          <w:lang w:eastAsia="x-none"/>
        </w:rPr>
        <w:t>,</w:t>
      </w:r>
    </w:p>
    <w:p w14:paraId="0E227694" w14:textId="385173E2" w:rsidR="006632B4" w:rsidRPr="00AB15C7" w:rsidRDefault="006632B4" w:rsidP="00557C13">
      <w:pPr>
        <w:numPr>
          <w:ilvl w:val="0"/>
          <w:numId w:val="10"/>
        </w:numPr>
        <w:spacing w:after="0"/>
        <w:jc w:val="both"/>
        <w:rPr>
          <w:rFonts w:ascii="Cambria" w:hAnsi="Cambria"/>
          <w:noProof/>
          <w:lang w:eastAsia="x-none"/>
        </w:rPr>
      </w:pPr>
      <w:r w:rsidRPr="00AB15C7">
        <w:rPr>
          <w:rFonts w:ascii="Cambria" w:hAnsi="Cambria"/>
          <w:noProof/>
          <w:lang w:eastAsia="x-none"/>
        </w:rPr>
        <w:t>omogućavanje pristupa informacijama iz oblasti životne sredine</w:t>
      </w:r>
      <w:r w:rsidR="004F6ADC">
        <w:rPr>
          <w:rFonts w:ascii="Cambria" w:hAnsi="Cambria"/>
          <w:noProof/>
          <w:lang w:eastAsia="x-none"/>
        </w:rPr>
        <w:t>,</w:t>
      </w:r>
    </w:p>
    <w:p w14:paraId="5B2BD51E" w14:textId="3773EA64" w:rsidR="006632B4" w:rsidRPr="00AB15C7" w:rsidRDefault="006632B4" w:rsidP="00557C13">
      <w:pPr>
        <w:numPr>
          <w:ilvl w:val="0"/>
          <w:numId w:val="10"/>
        </w:numPr>
        <w:spacing w:after="0"/>
        <w:jc w:val="both"/>
        <w:rPr>
          <w:rFonts w:ascii="Cambria" w:hAnsi="Cambria"/>
          <w:noProof/>
          <w:lang w:eastAsia="x-none"/>
        </w:rPr>
      </w:pPr>
      <w:r w:rsidRPr="00AB15C7">
        <w:rPr>
          <w:rFonts w:ascii="Cambria" w:hAnsi="Cambria"/>
          <w:noProof/>
          <w:lang w:eastAsia="x-none"/>
        </w:rPr>
        <w:t>podsticanje učešća javnosti,  kroz aktivno učešće građana, udruženja građana i zainteresovane javnosti u planiranju i donošenju odluka iz oblasti zaštite životne sredine</w:t>
      </w:r>
      <w:r w:rsidR="004F6ADC">
        <w:rPr>
          <w:rFonts w:ascii="Cambria" w:hAnsi="Cambria"/>
          <w:noProof/>
          <w:lang w:eastAsia="x-none"/>
        </w:rPr>
        <w:t>,</w:t>
      </w:r>
    </w:p>
    <w:p w14:paraId="3B9BD96F" w14:textId="080362DB" w:rsidR="006632B4" w:rsidRPr="00AB15C7" w:rsidRDefault="006632B4" w:rsidP="00557C13">
      <w:pPr>
        <w:numPr>
          <w:ilvl w:val="0"/>
          <w:numId w:val="10"/>
        </w:numPr>
        <w:spacing w:after="0"/>
        <w:jc w:val="both"/>
        <w:rPr>
          <w:rFonts w:ascii="Cambria" w:hAnsi="Cambria"/>
          <w:noProof/>
          <w:lang w:eastAsia="x-none"/>
        </w:rPr>
      </w:pPr>
      <w:r w:rsidRPr="00AB15C7">
        <w:rPr>
          <w:rFonts w:ascii="Cambria" w:hAnsi="Cambria"/>
          <w:noProof/>
          <w:lang w:eastAsia="x-none"/>
        </w:rPr>
        <w:t>organizovanje javnih rasprava, okruglih stolova i tribina o temama iz oblasti zaštite životne sredine</w:t>
      </w:r>
      <w:r w:rsidR="004F6ADC">
        <w:rPr>
          <w:rFonts w:ascii="Cambria" w:hAnsi="Cambria"/>
          <w:noProof/>
          <w:lang w:eastAsia="x-none"/>
        </w:rPr>
        <w:t>,</w:t>
      </w:r>
    </w:p>
    <w:p w14:paraId="64F142A0" w14:textId="45AA9F79" w:rsidR="006632B4" w:rsidRPr="00AB15C7" w:rsidRDefault="006632B4" w:rsidP="00557C13">
      <w:pPr>
        <w:numPr>
          <w:ilvl w:val="0"/>
          <w:numId w:val="10"/>
        </w:numPr>
        <w:spacing w:after="0"/>
        <w:jc w:val="both"/>
        <w:rPr>
          <w:rFonts w:ascii="Cambria" w:hAnsi="Cambria"/>
          <w:noProof/>
          <w:lang w:eastAsia="x-none"/>
        </w:rPr>
      </w:pPr>
      <w:r w:rsidRPr="00AB15C7">
        <w:rPr>
          <w:rFonts w:ascii="Cambria" w:hAnsi="Cambria"/>
          <w:noProof/>
          <w:lang w:eastAsia="x-none"/>
        </w:rPr>
        <w:lastRenderedPageBreak/>
        <w:t>organizovanje treninga i seminara za predstavnike javne uprave, civilnog sektora, medija, ekoloških i drugih udruženja o implementaciji Arhuske konvencije</w:t>
      </w:r>
      <w:r w:rsidR="004F6ADC">
        <w:rPr>
          <w:rFonts w:ascii="Cambria" w:hAnsi="Cambria"/>
          <w:noProof/>
          <w:lang w:eastAsia="x-none"/>
        </w:rPr>
        <w:t>,</w:t>
      </w:r>
    </w:p>
    <w:p w14:paraId="1695E306" w14:textId="04F41260" w:rsidR="006632B4" w:rsidRPr="00AB15C7" w:rsidRDefault="006632B4" w:rsidP="00557C13">
      <w:pPr>
        <w:numPr>
          <w:ilvl w:val="0"/>
          <w:numId w:val="10"/>
        </w:numPr>
        <w:spacing w:after="0"/>
        <w:jc w:val="both"/>
        <w:rPr>
          <w:rFonts w:ascii="Cambria" w:hAnsi="Cambria"/>
          <w:noProof/>
          <w:lang w:eastAsia="x-none"/>
        </w:rPr>
      </w:pPr>
      <w:r w:rsidRPr="00AB15C7">
        <w:rPr>
          <w:rFonts w:ascii="Cambria" w:hAnsi="Cambria"/>
          <w:noProof/>
          <w:lang w:eastAsia="x-none"/>
        </w:rPr>
        <w:t>organizovanje medijskih kampanja u cilju poboljšanja informisanosti javnosti o zaštiti životne sredine i rješavanja problema zaštite životne sredine</w:t>
      </w:r>
      <w:r w:rsidR="004F6ADC">
        <w:rPr>
          <w:rFonts w:ascii="Cambria" w:hAnsi="Cambria"/>
          <w:noProof/>
          <w:lang w:eastAsia="x-none"/>
        </w:rPr>
        <w:t>,</w:t>
      </w:r>
    </w:p>
    <w:p w14:paraId="0F330A11" w14:textId="77777777" w:rsidR="006632B4" w:rsidRPr="00AB15C7" w:rsidRDefault="006632B4" w:rsidP="00557C13">
      <w:pPr>
        <w:numPr>
          <w:ilvl w:val="0"/>
          <w:numId w:val="10"/>
        </w:numPr>
        <w:spacing w:after="0"/>
        <w:jc w:val="both"/>
        <w:rPr>
          <w:rFonts w:ascii="Cambria" w:hAnsi="Cambria"/>
          <w:noProof/>
          <w:lang w:eastAsia="x-none"/>
        </w:rPr>
      </w:pPr>
      <w:r w:rsidRPr="00AB15C7">
        <w:rPr>
          <w:rFonts w:ascii="Cambria" w:hAnsi="Cambria"/>
          <w:noProof/>
          <w:lang w:eastAsia="x-none"/>
        </w:rPr>
        <w:t>pružanje besplatnih pravnih konsultacija za građane i NVO iz oblasti životne sredine,</w:t>
      </w:r>
    </w:p>
    <w:p w14:paraId="3415DA16" w14:textId="77777777" w:rsidR="006632B4" w:rsidRPr="00AB15C7" w:rsidRDefault="006632B4" w:rsidP="00557C13">
      <w:pPr>
        <w:numPr>
          <w:ilvl w:val="0"/>
          <w:numId w:val="10"/>
        </w:numPr>
        <w:spacing w:after="0"/>
        <w:jc w:val="both"/>
        <w:rPr>
          <w:rFonts w:ascii="Cambria" w:hAnsi="Cambria"/>
          <w:noProof/>
          <w:lang w:eastAsia="x-none"/>
        </w:rPr>
      </w:pPr>
      <w:r w:rsidRPr="00AB15C7">
        <w:rPr>
          <w:rFonts w:ascii="Cambria" w:hAnsi="Cambria"/>
          <w:noProof/>
          <w:lang w:eastAsia="x-none"/>
        </w:rPr>
        <w:t>uspostavljanje saradnje i umrežavanje lokalnih samouprava - službi zaštite životne sredine, kao i pojedinaca koji se bave zaštitom životne sredine</w:t>
      </w:r>
    </w:p>
    <w:p w14:paraId="455C4267" w14:textId="77777777" w:rsidR="006632B4" w:rsidRPr="00AB15C7" w:rsidRDefault="006632B4" w:rsidP="00557C13">
      <w:pPr>
        <w:numPr>
          <w:ilvl w:val="0"/>
          <w:numId w:val="10"/>
        </w:numPr>
        <w:spacing w:after="0"/>
        <w:rPr>
          <w:rFonts w:ascii="Cambria" w:hAnsi="Cambria"/>
          <w:noProof/>
          <w:lang w:eastAsia="x-none"/>
        </w:rPr>
      </w:pPr>
      <w:r w:rsidRPr="00AB15C7">
        <w:rPr>
          <w:rFonts w:ascii="Cambria" w:hAnsi="Cambria"/>
          <w:noProof/>
          <w:lang w:eastAsia="x-none"/>
        </w:rPr>
        <w:t>učešće javnosti tokom pripreme zakonski obavezujućih normativnih instrumenata</w:t>
      </w:r>
      <w:r w:rsidR="00876149" w:rsidRPr="00AB15C7">
        <w:rPr>
          <w:rFonts w:ascii="Cambria" w:hAnsi="Cambria"/>
          <w:noProof/>
          <w:lang w:eastAsia="x-none"/>
        </w:rPr>
        <w:t>.</w:t>
      </w:r>
    </w:p>
    <w:p w14:paraId="7F6C3D09" w14:textId="77777777" w:rsidR="00450C84" w:rsidRPr="00AB15C7" w:rsidRDefault="00450C84" w:rsidP="005921EF">
      <w:pPr>
        <w:rPr>
          <w:rFonts w:ascii="Cambria" w:hAnsi="Cambria"/>
          <w:noProof/>
          <w:lang w:eastAsia="x-none"/>
        </w:rPr>
      </w:pPr>
    </w:p>
    <w:p w14:paraId="766E7761" w14:textId="77777777" w:rsidR="006514C9" w:rsidRPr="00AB15C7" w:rsidRDefault="00876149" w:rsidP="00867326">
      <w:pPr>
        <w:pStyle w:val="Heading2"/>
        <w:spacing w:before="0" w:after="120"/>
        <w:rPr>
          <w:noProof/>
          <w:sz w:val="22"/>
          <w:szCs w:val="22"/>
          <w:lang w:val="en-US"/>
        </w:rPr>
      </w:pPr>
      <w:bookmarkStart w:id="103" w:name="_Toc527353218"/>
      <w:r w:rsidRPr="00AB15C7">
        <w:rPr>
          <w:noProof/>
          <w:sz w:val="22"/>
          <w:szCs w:val="22"/>
          <w:lang w:val="en-US"/>
        </w:rPr>
        <w:t>2</w:t>
      </w:r>
      <w:r w:rsidR="00764413" w:rsidRPr="00AB15C7">
        <w:rPr>
          <w:noProof/>
          <w:sz w:val="22"/>
          <w:szCs w:val="22"/>
          <w:lang w:val="en-US"/>
        </w:rPr>
        <w:t>.</w:t>
      </w:r>
      <w:r w:rsidRPr="00AB15C7">
        <w:rPr>
          <w:noProof/>
          <w:sz w:val="22"/>
          <w:szCs w:val="22"/>
          <w:lang w:val="en-US"/>
        </w:rPr>
        <w:t>7.</w:t>
      </w:r>
      <w:r w:rsidR="00764413" w:rsidRPr="00AB15C7">
        <w:rPr>
          <w:noProof/>
          <w:sz w:val="22"/>
          <w:szCs w:val="22"/>
          <w:lang w:val="en-US"/>
        </w:rPr>
        <w:t xml:space="preserve">3 </w:t>
      </w:r>
      <w:r w:rsidR="006514C9" w:rsidRPr="00AB15C7">
        <w:rPr>
          <w:noProof/>
          <w:sz w:val="22"/>
          <w:szCs w:val="22"/>
          <w:lang w:val="en-US"/>
        </w:rPr>
        <w:t>Učešće nevladinog sektora</w:t>
      </w:r>
      <w:bookmarkEnd w:id="103"/>
      <w:r w:rsidR="006514C9" w:rsidRPr="00AB15C7">
        <w:rPr>
          <w:noProof/>
          <w:sz w:val="22"/>
          <w:szCs w:val="22"/>
          <w:lang w:val="en-US"/>
        </w:rPr>
        <w:t xml:space="preserve"> </w:t>
      </w:r>
    </w:p>
    <w:p w14:paraId="06E6C0D9" w14:textId="1E024B3E" w:rsidR="006F4F6E" w:rsidRPr="00AB15C7" w:rsidRDefault="00450C84" w:rsidP="00D405EE">
      <w:pPr>
        <w:jc w:val="both"/>
        <w:rPr>
          <w:rFonts w:ascii="Cambria" w:hAnsi="Cambria"/>
          <w:noProof/>
          <w:lang w:eastAsia="x-none"/>
        </w:rPr>
      </w:pPr>
      <w:r w:rsidRPr="00AB15C7">
        <w:rPr>
          <w:rFonts w:ascii="Cambria" w:hAnsi="Cambria"/>
          <w:noProof/>
          <w:lang w:val="sr-Latn-CS" w:eastAsia="x-none"/>
        </w:rPr>
        <w:t xml:space="preserve">Imajući u vidu ulogu nevladinih organizacija u </w:t>
      </w:r>
      <w:r w:rsidRPr="00AB15C7">
        <w:rPr>
          <w:rFonts w:ascii="Cambria" w:hAnsi="Cambria"/>
          <w:noProof/>
          <w:lang w:val="hr-HR" w:eastAsia="x-none"/>
        </w:rPr>
        <w:t xml:space="preserve">zaštiti životne sredine i njihov doprinos u širenju ekoloških ideja i vrijednosti, kao i  ulogu Ministarstva u sprovođenju planova i programa iz ove oblasti; prepoznajući interes za uspostavljanjem jačih vidova saradnje u oblasti uređenja prostora i zaštite životne sredine; neophodnost redovnog i objektivnog informisanja javnosti i posebno nevladinih organizacija o radu Vlade Crne Gore; potrebu konsultacija sa nevladinim oganizacijama kao vidu doprinosa kvalitetu planiranja, pripreme, usvajanja i implementacije javnih politika, </w:t>
      </w:r>
      <w:r w:rsidRPr="00AB15C7">
        <w:rPr>
          <w:rFonts w:ascii="Cambria" w:hAnsi="Cambria"/>
          <w:noProof/>
          <w:lang w:val="sr-Latn-CS" w:eastAsia="x-none"/>
        </w:rPr>
        <w:t>Ministarstvo uređenja prostora i zaštite životne sredine (pravni prethodnik Ministarstva održivog razvoja i turizma)  potpisalo je tokom 2010</w:t>
      </w:r>
      <w:r w:rsidR="004F6ADC">
        <w:rPr>
          <w:rFonts w:ascii="Cambria" w:hAnsi="Cambria"/>
          <w:noProof/>
          <w:lang w:val="sr-Latn-CS" w:eastAsia="x-none"/>
        </w:rPr>
        <w:t>.</w:t>
      </w:r>
      <w:r w:rsidRPr="00AB15C7">
        <w:rPr>
          <w:rFonts w:ascii="Cambria" w:hAnsi="Cambria"/>
          <w:noProof/>
          <w:lang w:val="sr-Latn-CS" w:eastAsia="x-none"/>
        </w:rPr>
        <w:t xml:space="preserve"> godine </w:t>
      </w:r>
      <w:r w:rsidRPr="00AB15C7">
        <w:rPr>
          <w:rFonts w:ascii="Cambria" w:hAnsi="Cambria"/>
          <w:b/>
          <w:noProof/>
          <w:lang w:val="sr-Latn-CS" w:eastAsia="x-none"/>
        </w:rPr>
        <w:t xml:space="preserve">Memorandum o saradnji sa nevladinim organizacijama. </w:t>
      </w:r>
      <w:r w:rsidRPr="00AB15C7">
        <w:rPr>
          <w:rFonts w:ascii="Cambria" w:hAnsi="Cambria"/>
          <w:noProof/>
          <w:lang w:val="sr-Latn-CS" w:eastAsia="x-none"/>
        </w:rPr>
        <w:t>Na</w:t>
      </w:r>
      <w:r w:rsidRPr="00AB15C7">
        <w:rPr>
          <w:rFonts w:ascii="Cambria" w:hAnsi="Cambria"/>
          <w:noProof/>
          <w:lang w:val="hr-HR" w:eastAsia="x-none"/>
        </w:rPr>
        <w:t xml:space="preserve"> </w:t>
      </w:r>
      <w:r w:rsidRPr="00AB15C7">
        <w:rPr>
          <w:rFonts w:ascii="Cambria" w:hAnsi="Cambria"/>
          <w:noProof/>
          <w:lang w:val="sr-Latn-CS" w:eastAsia="x-none"/>
        </w:rPr>
        <w:t>bazi</w:t>
      </w:r>
      <w:r w:rsidRPr="00AB15C7">
        <w:rPr>
          <w:rFonts w:ascii="Cambria" w:hAnsi="Cambria"/>
          <w:noProof/>
          <w:lang w:val="hr-HR" w:eastAsia="x-none"/>
        </w:rPr>
        <w:t xml:space="preserve"> </w:t>
      </w:r>
      <w:r w:rsidRPr="00AB15C7">
        <w:rPr>
          <w:rFonts w:ascii="Cambria" w:hAnsi="Cambria"/>
          <w:noProof/>
          <w:lang w:val="sr-Latn-CS" w:eastAsia="x-none"/>
        </w:rPr>
        <w:t>potpisanog</w:t>
      </w:r>
      <w:r w:rsidRPr="00AB15C7">
        <w:rPr>
          <w:rFonts w:ascii="Cambria" w:hAnsi="Cambria"/>
          <w:noProof/>
          <w:lang w:val="hr-HR" w:eastAsia="x-none"/>
        </w:rPr>
        <w:t xml:space="preserve"> </w:t>
      </w:r>
      <w:r w:rsidRPr="00AB15C7">
        <w:rPr>
          <w:rFonts w:ascii="Cambria" w:hAnsi="Cambria"/>
          <w:noProof/>
          <w:lang w:val="sr-Latn-CS" w:eastAsia="x-none"/>
        </w:rPr>
        <w:t>Memoranduma</w:t>
      </w:r>
      <w:r w:rsidRPr="00AB15C7">
        <w:rPr>
          <w:rFonts w:ascii="Cambria" w:hAnsi="Cambria"/>
          <w:noProof/>
          <w:lang w:val="hr-HR" w:eastAsia="x-none"/>
        </w:rPr>
        <w:t xml:space="preserve"> </w:t>
      </w:r>
      <w:r w:rsidRPr="00AB15C7">
        <w:rPr>
          <w:rFonts w:ascii="Cambria" w:hAnsi="Cambria"/>
          <w:noProof/>
          <w:lang w:val="sr-Latn-CS" w:eastAsia="x-none"/>
        </w:rPr>
        <w:t>o</w:t>
      </w:r>
      <w:r w:rsidRPr="00AB15C7">
        <w:rPr>
          <w:rFonts w:ascii="Cambria" w:hAnsi="Cambria"/>
          <w:noProof/>
          <w:lang w:val="hr-HR" w:eastAsia="x-none"/>
        </w:rPr>
        <w:t xml:space="preserve"> </w:t>
      </w:r>
      <w:r w:rsidRPr="00AB15C7">
        <w:rPr>
          <w:rFonts w:ascii="Cambria" w:hAnsi="Cambria"/>
          <w:noProof/>
          <w:lang w:val="sr-Latn-CS" w:eastAsia="x-none"/>
        </w:rPr>
        <w:t>saradnji</w:t>
      </w:r>
      <w:r w:rsidRPr="00AB15C7">
        <w:rPr>
          <w:rFonts w:ascii="Cambria" w:hAnsi="Cambria"/>
          <w:noProof/>
          <w:lang w:val="hr-HR" w:eastAsia="x-none"/>
        </w:rPr>
        <w:t xml:space="preserve">, </w:t>
      </w:r>
      <w:r w:rsidRPr="00AB15C7">
        <w:rPr>
          <w:rFonts w:ascii="Cambria" w:hAnsi="Cambria"/>
          <w:noProof/>
          <w:lang w:val="sr-Latn-CS" w:eastAsia="x-none"/>
        </w:rPr>
        <w:t>po</w:t>
      </w:r>
      <w:r w:rsidRPr="00AB15C7">
        <w:rPr>
          <w:rFonts w:ascii="Cambria" w:hAnsi="Cambria"/>
          <w:noProof/>
          <w:lang w:val="hr-HR" w:eastAsia="x-none"/>
        </w:rPr>
        <w:t>č</w:t>
      </w:r>
      <w:r w:rsidRPr="00AB15C7">
        <w:rPr>
          <w:rFonts w:ascii="Cambria" w:hAnsi="Cambria"/>
          <w:noProof/>
          <w:lang w:val="sr-Latn-CS" w:eastAsia="x-none"/>
        </w:rPr>
        <w:t>etkom</w:t>
      </w:r>
      <w:r w:rsidRPr="00AB15C7">
        <w:rPr>
          <w:rFonts w:ascii="Cambria" w:hAnsi="Cambria"/>
          <w:noProof/>
          <w:lang w:val="hr-HR" w:eastAsia="x-none"/>
        </w:rPr>
        <w:t xml:space="preserve"> 2010. </w:t>
      </w:r>
      <w:r w:rsidRPr="00AB15C7">
        <w:rPr>
          <w:rFonts w:ascii="Cambria" w:hAnsi="Cambria"/>
          <w:noProof/>
          <w:lang w:val="sr-Latn-CS" w:eastAsia="x-none"/>
        </w:rPr>
        <w:t>godine</w:t>
      </w:r>
      <w:r w:rsidRPr="00AB15C7">
        <w:rPr>
          <w:rFonts w:ascii="Cambria" w:hAnsi="Cambria"/>
          <w:noProof/>
          <w:lang w:val="hr-HR" w:eastAsia="x-none"/>
        </w:rPr>
        <w:t xml:space="preserve"> </w:t>
      </w:r>
      <w:r w:rsidRPr="00AB15C7">
        <w:rPr>
          <w:rFonts w:ascii="Cambria" w:hAnsi="Cambria"/>
          <w:noProof/>
          <w:lang w:val="sr-Latn-CS" w:eastAsia="x-none"/>
        </w:rPr>
        <w:t>done</w:t>
      </w:r>
      <w:r w:rsidRPr="00AB15C7">
        <w:rPr>
          <w:rFonts w:ascii="Cambria" w:hAnsi="Cambria"/>
          <w:noProof/>
          <w:lang w:val="hr-HR" w:eastAsia="x-none"/>
        </w:rPr>
        <w:t>š</w:t>
      </w:r>
      <w:r w:rsidRPr="00AB15C7">
        <w:rPr>
          <w:rFonts w:ascii="Cambria" w:hAnsi="Cambria"/>
          <w:noProof/>
          <w:lang w:val="sr-Latn-CS" w:eastAsia="x-none"/>
        </w:rPr>
        <w:t>en</w:t>
      </w:r>
      <w:r w:rsidRPr="00AB15C7">
        <w:rPr>
          <w:rFonts w:ascii="Cambria" w:hAnsi="Cambria"/>
          <w:noProof/>
          <w:lang w:val="hr-HR" w:eastAsia="x-none"/>
        </w:rPr>
        <w:t xml:space="preserve"> </w:t>
      </w:r>
      <w:r w:rsidRPr="00AB15C7">
        <w:rPr>
          <w:rFonts w:ascii="Cambria" w:hAnsi="Cambria"/>
          <w:noProof/>
          <w:lang w:val="sr-Latn-CS" w:eastAsia="x-none"/>
        </w:rPr>
        <w:t>je</w:t>
      </w:r>
      <w:r w:rsidRPr="00AB15C7">
        <w:rPr>
          <w:rFonts w:ascii="Cambria" w:hAnsi="Cambria"/>
          <w:noProof/>
          <w:lang w:val="hr-HR" w:eastAsia="x-none"/>
        </w:rPr>
        <w:t xml:space="preserve"> </w:t>
      </w:r>
      <w:r w:rsidRPr="00AB15C7">
        <w:rPr>
          <w:rFonts w:ascii="Cambria" w:hAnsi="Cambria"/>
          <w:noProof/>
          <w:lang w:val="sr-Latn-CS" w:eastAsia="x-none"/>
        </w:rPr>
        <w:t>Akcioni</w:t>
      </w:r>
      <w:r w:rsidRPr="00AB15C7">
        <w:rPr>
          <w:rFonts w:ascii="Cambria" w:hAnsi="Cambria"/>
          <w:noProof/>
          <w:lang w:val="hr-HR" w:eastAsia="x-none"/>
        </w:rPr>
        <w:t xml:space="preserve"> </w:t>
      </w:r>
      <w:r w:rsidRPr="00AB15C7">
        <w:rPr>
          <w:rFonts w:ascii="Cambria" w:hAnsi="Cambria"/>
          <w:noProof/>
          <w:lang w:val="sr-Latn-CS" w:eastAsia="x-none"/>
        </w:rPr>
        <w:t>plan</w:t>
      </w:r>
      <w:r w:rsidRPr="00AB15C7">
        <w:rPr>
          <w:rFonts w:ascii="Cambria" w:hAnsi="Cambria"/>
          <w:noProof/>
          <w:lang w:val="hr-HR" w:eastAsia="x-none"/>
        </w:rPr>
        <w:t xml:space="preserve"> </w:t>
      </w:r>
      <w:r w:rsidRPr="00AB15C7">
        <w:rPr>
          <w:rFonts w:ascii="Cambria" w:hAnsi="Cambria"/>
          <w:noProof/>
          <w:lang w:val="sr-Latn-CS" w:eastAsia="x-none"/>
        </w:rPr>
        <w:t>za</w:t>
      </w:r>
      <w:r w:rsidRPr="00AB15C7">
        <w:rPr>
          <w:rFonts w:ascii="Cambria" w:hAnsi="Cambria"/>
          <w:noProof/>
          <w:lang w:val="hr-HR" w:eastAsia="x-none"/>
        </w:rPr>
        <w:t xml:space="preserve"> </w:t>
      </w:r>
      <w:r w:rsidRPr="00AB15C7">
        <w:rPr>
          <w:rFonts w:ascii="Cambria" w:hAnsi="Cambria"/>
          <w:noProof/>
          <w:lang w:val="sr-Latn-CS" w:eastAsia="x-none"/>
        </w:rPr>
        <w:t>saradnju</w:t>
      </w:r>
      <w:r w:rsidRPr="00AB15C7">
        <w:rPr>
          <w:rFonts w:ascii="Cambria" w:hAnsi="Cambria"/>
          <w:noProof/>
          <w:lang w:val="hr-HR" w:eastAsia="x-none"/>
        </w:rPr>
        <w:t xml:space="preserve"> </w:t>
      </w:r>
      <w:r w:rsidRPr="00AB15C7">
        <w:rPr>
          <w:rFonts w:ascii="Cambria" w:hAnsi="Cambria"/>
          <w:noProof/>
          <w:lang w:val="sr-Latn-CS" w:eastAsia="x-none"/>
        </w:rPr>
        <w:t>izme</w:t>
      </w:r>
      <w:r w:rsidRPr="00AB15C7">
        <w:rPr>
          <w:rFonts w:ascii="Cambria" w:hAnsi="Cambria"/>
          <w:noProof/>
          <w:lang w:val="hr-HR" w:eastAsia="x-none"/>
        </w:rPr>
        <w:t>đ</w:t>
      </w:r>
      <w:r w:rsidRPr="00AB15C7">
        <w:rPr>
          <w:rFonts w:ascii="Cambria" w:hAnsi="Cambria"/>
          <w:noProof/>
          <w:lang w:val="sr-Latn-CS" w:eastAsia="x-none"/>
        </w:rPr>
        <w:t>u</w:t>
      </w:r>
      <w:r w:rsidRPr="00AB15C7">
        <w:rPr>
          <w:rFonts w:ascii="Cambria" w:hAnsi="Cambria"/>
          <w:noProof/>
          <w:lang w:val="hr-HR" w:eastAsia="x-none"/>
        </w:rPr>
        <w:t xml:space="preserve"> </w:t>
      </w:r>
      <w:r w:rsidRPr="00AB15C7">
        <w:rPr>
          <w:rFonts w:ascii="Cambria" w:hAnsi="Cambria"/>
          <w:noProof/>
          <w:lang w:val="sr-Latn-CS" w:eastAsia="x-none"/>
        </w:rPr>
        <w:t>Ministarstva</w:t>
      </w:r>
      <w:r w:rsidRPr="00AB15C7">
        <w:rPr>
          <w:rFonts w:ascii="Cambria" w:hAnsi="Cambria"/>
          <w:noProof/>
          <w:lang w:val="hr-HR" w:eastAsia="x-none"/>
        </w:rPr>
        <w:t xml:space="preserve"> </w:t>
      </w:r>
      <w:r w:rsidRPr="00AB15C7">
        <w:rPr>
          <w:rFonts w:ascii="Cambria" w:hAnsi="Cambria"/>
          <w:noProof/>
          <w:lang w:val="sr-Latn-CS" w:eastAsia="x-none"/>
        </w:rPr>
        <w:t>i</w:t>
      </w:r>
      <w:r w:rsidRPr="00AB15C7">
        <w:rPr>
          <w:rFonts w:ascii="Cambria" w:hAnsi="Cambria"/>
          <w:noProof/>
          <w:lang w:val="hr-HR" w:eastAsia="x-none"/>
        </w:rPr>
        <w:t xml:space="preserve"> </w:t>
      </w:r>
      <w:r w:rsidRPr="00AB15C7">
        <w:rPr>
          <w:rFonts w:ascii="Cambria" w:hAnsi="Cambria"/>
          <w:noProof/>
          <w:lang w:val="sr-Latn-CS" w:eastAsia="x-none"/>
        </w:rPr>
        <w:t>nevladinih</w:t>
      </w:r>
      <w:r w:rsidRPr="00AB15C7">
        <w:rPr>
          <w:rFonts w:ascii="Cambria" w:hAnsi="Cambria"/>
          <w:noProof/>
          <w:lang w:val="hr-HR" w:eastAsia="x-none"/>
        </w:rPr>
        <w:t xml:space="preserve"> </w:t>
      </w:r>
      <w:r w:rsidRPr="00AB15C7">
        <w:rPr>
          <w:rFonts w:ascii="Cambria" w:hAnsi="Cambria"/>
          <w:noProof/>
          <w:lang w:val="sr-Latn-CS" w:eastAsia="x-none"/>
        </w:rPr>
        <w:t>organizacija</w:t>
      </w:r>
      <w:r w:rsidRPr="00AB15C7">
        <w:rPr>
          <w:rFonts w:ascii="Cambria" w:hAnsi="Cambria"/>
          <w:noProof/>
          <w:lang w:val="hr-HR" w:eastAsia="x-none"/>
        </w:rPr>
        <w:t xml:space="preserve">. </w:t>
      </w:r>
      <w:r w:rsidR="006514C9" w:rsidRPr="00AB15C7">
        <w:rPr>
          <w:rFonts w:ascii="Cambria" w:hAnsi="Cambria"/>
          <w:noProof/>
          <w:lang w:val="hr-HR" w:eastAsia="x-none"/>
        </w:rPr>
        <w:t xml:space="preserve"> Dodatno, </w:t>
      </w:r>
      <w:r w:rsidR="009A4AC8">
        <w:rPr>
          <w:rFonts w:ascii="Cambria" w:hAnsi="Cambria"/>
          <w:noProof/>
          <w:lang w:val="hr-HR" w:eastAsia="x-none"/>
        </w:rPr>
        <w:t>u</w:t>
      </w:r>
      <w:r w:rsidR="006514C9" w:rsidRPr="00AB15C7">
        <w:rPr>
          <w:rFonts w:ascii="Cambria" w:hAnsi="Cambria"/>
          <w:noProof/>
          <w:lang w:val="hr-HR" w:eastAsia="x-none"/>
        </w:rPr>
        <w:t xml:space="preserve">svajanjem </w:t>
      </w:r>
      <w:r w:rsidR="00D405EE">
        <w:rPr>
          <w:rFonts w:ascii="Cambria" w:hAnsi="Cambria"/>
          <w:b/>
          <w:bCs/>
          <w:noProof/>
          <w:lang w:eastAsia="x-none"/>
        </w:rPr>
        <w:t>U</w:t>
      </w:r>
      <w:r w:rsidR="00D405EE" w:rsidRPr="00D405EE">
        <w:rPr>
          <w:rFonts w:ascii="Cambria" w:hAnsi="Cambria"/>
          <w:b/>
          <w:bCs/>
          <w:noProof/>
          <w:lang w:eastAsia="x-none"/>
        </w:rPr>
        <w:t>redb</w:t>
      </w:r>
      <w:r w:rsidR="00D405EE">
        <w:rPr>
          <w:rFonts w:ascii="Cambria" w:hAnsi="Cambria"/>
          <w:b/>
          <w:bCs/>
          <w:noProof/>
          <w:lang w:eastAsia="x-none"/>
        </w:rPr>
        <w:t xml:space="preserve">e </w:t>
      </w:r>
      <w:r w:rsidR="00D405EE" w:rsidRPr="00D405EE">
        <w:rPr>
          <w:rFonts w:ascii="Cambria" w:hAnsi="Cambria"/>
          <w:b/>
          <w:bCs/>
          <w:noProof/>
          <w:lang w:eastAsia="x-none"/>
        </w:rPr>
        <w:t>o izboru predstavnika nevladinih organizacija u radna tijela organa državne uprave i sprovođenju javne rasprave u pripremi zakona i strategija</w:t>
      </w:r>
      <w:r w:rsidR="00D405EE">
        <w:rPr>
          <w:rFonts w:ascii="Cambria" w:hAnsi="Cambria"/>
          <w:b/>
          <w:bCs/>
          <w:noProof/>
          <w:lang w:eastAsia="x-none"/>
        </w:rPr>
        <w:t xml:space="preserve"> ("Sl list CG</w:t>
      </w:r>
      <w:r w:rsidR="00D405EE" w:rsidRPr="00D405EE">
        <w:rPr>
          <w:rFonts w:ascii="Cambria" w:hAnsi="Cambria"/>
          <w:b/>
          <w:bCs/>
          <w:noProof/>
          <w:lang w:eastAsia="x-none"/>
        </w:rPr>
        <w:t>", br. 041/18)</w:t>
      </w:r>
      <w:r w:rsidR="006514C9" w:rsidRPr="00AB15C7">
        <w:rPr>
          <w:rFonts w:ascii="Cambria" w:hAnsi="Cambria"/>
          <w:noProof/>
          <w:lang w:eastAsia="x-none"/>
        </w:rPr>
        <w:t xml:space="preserve">, Vlada Crne Gore precizno je utvrdila postupke uključivanja </w:t>
      </w:r>
      <w:r w:rsidR="006514C9" w:rsidRPr="00AB15C7">
        <w:rPr>
          <w:rFonts w:ascii="Cambria" w:hAnsi="Cambria"/>
          <w:bCs/>
          <w:noProof/>
          <w:lang w:eastAsia="x-none"/>
        </w:rPr>
        <w:t>nevladinih organizacija u donošenje ključnih akata i odluka</w:t>
      </w:r>
      <w:r w:rsidR="006F4F6E" w:rsidRPr="00AB15C7">
        <w:rPr>
          <w:rFonts w:ascii="Cambria" w:hAnsi="Cambria"/>
          <w:noProof/>
          <w:lang w:eastAsia="x-none"/>
        </w:rPr>
        <w:t xml:space="preserve">. </w:t>
      </w:r>
    </w:p>
    <w:p w14:paraId="5D80FB01" w14:textId="77777777" w:rsidR="00C91B63" w:rsidRPr="00AB15C7" w:rsidRDefault="00372201" w:rsidP="00557C13">
      <w:pPr>
        <w:pStyle w:val="Heading1"/>
        <w:numPr>
          <w:ilvl w:val="1"/>
          <w:numId w:val="33"/>
        </w:numPr>
        <w:rPr>
          <w:noProof/>
          <w:sz w:val="22"/>
          <w:szCs w:val="22"/>
          <w:lang w:val="en-US"/>
        </w:rPr>
      </w:pPr>
      <w:bookmarkStart w:id="104" w:name="_Toc527353219"/>
      <w:bookmarkStart w:id="105" w:name="_Hlk525815096"/>
      <w:r>
        <w:rPr>
          <w:noProof/>
          <w:sz w:val="22"/>
          <w:szCs w:val="22"/>
          <w:lang w:val="en-US"/>
        </w:rPr>
        <w:t>LABORATORIJSKA</w:t>
      </w:r>
      <w:r w:rsidRPr="00AB15C7">
        <w:rPr>
          <w:noProof/>
          <w:sz w:val="22"/>
          <w:szCs w:val="22"/>
          <w:lang w:val="en-US"/>
        </w:rPr>
        <w:t xml:space="preserve"> </w:t>
      </w:r>
      <w:r w:rsidR="00876149" w:rsidRPr="00AB15C7">
        <w:rPr>
          <w:noProof/>
          <w:sz w:val="22"/>
          <w:szCs w:val="22"/>
          <w:lang w:val="en-US"/>
        </w:rPr>
        <w:t>INFRASTRUKTURA</w:t>
      </w:r>
      <w:bookmarkEnd w:id="104"/>
    </w:p>
    <w:p w14:paraId="382A3BB7" w14:textId="77777777" w:rsidR="00C91B63" w:rsidRPr="00AB15C7" w:rsidRDefault="00C91B63" w:rsidP="005921EF">
      <w:pPr>
        <w:rPr>
          <w:rFonts w:ascii="Cambria" w:hAnsi="Cambria"/>
          <w:noProof/>
          <w:lang w:eastAsia="x-none"/>
        </w:rPr>
      </w:pPr>
    </w:p>
    <w:p w14:paraId="4741B9F7" w14:textId="77777777" w:rsidR="00974E00" w:rsidRPr="00AB15C7" w:rsidRDefault="00372201" w:rsidP="00C75EA0">
      <w:pPr>
        <w:jc w:val="both"/>
        <w:rPr>
          <w:rFonts w:ascii="Cambria" w:hAnsi="Cambria"/>
          <w:noProof/>
          <w:lang w:eastAsia="x-none"/>
        </w:rPr>
      </w:pPr>
      <w:r>
        <w:rPr>
          <w:rFonts w:ascii="Cambria" w:hAnsi="Cambria"/>
          <w:noProof/>
          <w:lang w:eastAsia="x-none"/>
        </w:rPr>
        <w:t>I</w:t>
      </w:r>
      <w:r w:rsidR="00272414" w:rsidRPr="00AB15C7">
        <w:rPr>
          <w:rFonts w:ascii="Cambria" w:hAnsi="Cambria"/>
          <w:noProof/>
          <w:lang w:eastAsia="x-none"/>
        </w:rPr>
        <w:t>nfrastruktur</w:t>
      </w:r>
      <w:r w:rsidR="00692D09" w:rsidRPr="00AB15C7">
        <w:rPr>
          <w:rFonts w:ascii="Cambria" w:hAnsi="Cambria"/>
          <w:noProof/>
          <w:lang w:eastAsia="x-none"/>
        </w:rPr>
        <w:t>a</w:t>
      </w:r>
      <w:r w:rsidR="00272414" w:rsidRPr="00AB15C7">
        <w:rPr>
          <w:rFonts w:ascii="Cambria" w:hAnsi="Cambria"/>
          <w:noProof/>
          <w:lang w:eastAsia="x-none"/>
        </w:rPr>
        <w:t xml:space="preserve"> za podršku nacionalnim program</w:t>
      </w:r>
      <w:r w:rsidR="00692D09" w:rsidRPr="00AB15C7">
        <w:rPr>
          <w:rFonts w:ascii="Cambria" w:hAnsi="Cambria"/>
          <w:noProof/>
          <w:lang w:eastAsia="x-none"/>
        </w:rPr>
        <w:t>ima</w:t>
      </w:r>
      <w:r w:rsidR="00272414" w:rsidRPr="00AB15C7">
        <w:rPr>
          <w:rFonts w:ascii="Cambria" w:hAnsi="Cambria"/>
          <w:noProof/>
          <w:lang w:eastAsia="x-none"/>
        </w:rPr>
        <w:t xml:space="preserve"> </w:t>
      </w:r>
      <w:r w:rsidR="00692D09" w:rsidRPr="00AB15C7">
        <w:rPr>
          <w:rFonts w:ascii="Cambria" w:hAnsi="Cambria"/>
          <w:noProof/>
          <w:lang w:eastAsia="x-none"/>
        </w:rPr>
        <w:t>u oblasti</w:t>
      </w:r>
      <w:r w:rsidR="00272414" w:rsidRPr="00AB15C7">
        <w:rPr>
          <w:rFonts w:ascii="Cambria" w:hAnsi="Cambria"/>
          <w:noProof/>
          <w:lang w:eastAsia="x-none"/>
        </w:rPr>
        <w:t xml:space="preserve"> upravljanj</w:t>
      </w:r>
      <w:r w:rsidR="00692D09" w:rsidRPr="00AB15C7">
        <w:rPr>
          <w:rFonts w:ascii="Cambria" w:hAnsi="Cambria"/>
          <w:noProof/>
          <w:lang w:eastAsia="x-none"/>
        </w:rPr>
        <w:t>a</w:t>
      </w:r>
      <w:r w:rsidR="00272414" w:rsidRPr="00AB15C7">
        <w:rPr>
          <w:rFonts w:ascii="Cambria" w:hAnsi="Cambria"/>
          <w:noProof/>
          <w:lang w:eastAsia="x-none"/>
        </w:rPr>
        <w:t xml:space="preserve"> hemikalijama</w:t>
      </w:r>
      <w:r w:rsidR="00692D09" w:rsidRPr="00AB15C7">
        <w:rPr>
          <w:rFonts w:ascii="Cambria" w:hAnsi="Cambria"/>
          <w:noProof/>
          <w:lang w:eastAsia="x-none"/>
        </w:rPr>
        <w:t xml:space="preserve"> </w:t>
      </w:r>
      <w:r w:rsidR="00272414" w:rsidRPr="00AB15C7">
        <w:rPr>
          <w:rFonts w:ascii="Cambria" w:hAnsi="Cambria"/>
          <w:noProof/>
          <w:lang w:eastAsia="x-none"/>
        </w:rPr>
        <w:t xml:space="preserve">uključuje laboratorijske </w:t>
      </w:r>
      <w:r w:rsidR="00692D09" w:rsidRPr="00AB15C7">
        <w:rPr>
          <w:rFonts w:ascii="Cambria" w:hAnsi="Cambria"/>
          <w:noProof/>
          <w:lang w:eastAsia="x-none"/>
        </w:rPr>
        <w:t>kapacitete koji</w:t>
      </w:r>
      <w:r w:rsidR="00272414" w:rsidRPr="00AB15C7">
        <w:rPr>
          <w:rFonts w:ascii="Cambria" w:hAnsi="Cambria"/>
          <w:noProof/>
          <w:lang w:eastAsia="x-none"/>
        </w:rPr>
        <w:t xml:space="preserve"> </w:t>
      </w:r>
      <w:r w:rsidR="00692D09" w:rsidRPr="00AB15C7">
        <w:rPr>
          <w:rFonts w:ascii="Cambria" w:hAnsi="Cambria"/>
          <w:noProof/>
          <w:lang w:eastAsia="x-none"/>
        </w:rPr>
        <w:t>u okviru sljedećih institucija:</w:t>
      </w:r>
    </w:p>
    <w:p w14:paraId="3F881471" w14:textId="77777777" w:rsidR="003E0BB3" w:rsidRPr="00AB15C7" w:rsidRDefault="003E0BB3" w:rsidP="00557C13">
      <w:pPr>
        <w:numPr>
          <w:ilvl w:val="0"/>
          <w:numId w:val="23"/>
        </w:numPr>
        <w:spacing w:after="0"/>
        <w:jc w:val="both"/>
        <w:rPr>
          <w:rFonts w:ascii="Cambria" w:hAnsi="Cambria"/>
          <w:noProof/>
          <w:lang w:eastAsia="x-none"/>
        </w:rPr>
      </w:pPr>
      <w:r w:rsidRPr="00AB15C7">
        <w:rPr>
          <w:rFonts w:ascii="Cambria" w:hAnsi="Cambria"/>
          <w:b/>
          <w:bCs/>
          <w:noProof/>
          <w:lang w:eastAsia="x-none"/>
        </w:rPr>
        <w:t>Centar za ekotoksikološka ispitivanja Podgorica (CETI)</w:t>
      </w:r>
      <w:r w:rsidRPr="00AB15C7">
        <w:rPr>
          <w:rFonts w:ascii="Cambria" w:hAnsi="Cambria"/>
          <w:noProof/>
          <w:lang w:eastAsia="x-none"/>
        </w:rPr>
        <w:t> je osnovala Vlada Crne Gore</w:t>
      </w:r>
      <w:r w:rsidR="00272414" w:rsidRPr="00AB15C7">
        <w:rPr>
          <w:rFonts w:ascii="Cambria" w:hAnsi="Cambria"/>
          <w:noProof/>
          <w:lang w:eastAsia="x-none"/>
        </w:rPr>
        <w:t xml:space="preserve"> radi sprovođenja sljedećih aktivnosti:</w:t>
      </w:r>
    </w:p>
    <w:p w14:paraId="6285197A" w14:textId="77777777" w:rsidR="003E0BB3" w:rsidRPr="00AB15C7" w:rsidRDefault="003E0BB3" w:rsidP="00557C13">
      <w:pPr>
        <w:numPr>
          <w:ilvl w:val="0"/>
          <w:numId w:val="25"/>
        </w:numPr>
        <w:spacing w:after="0"/>
        <w:jc w:val="both"/>
        <w:rPr>
          <w:rFonts w:ascii="Cambria" w:hAnsi="Cambria"/>
          <w:noProof/>
          <w:lang w:eastAsia="x-none"/>
        </w:rPr>
      </w:pPr>
      <w:r w:rsidRPr="00AB15C7">
        <w:rPr>
          <w:rFonts w:ascii="Cambria" w:hAnsi="Cambria"/>
          <w:noProof/>
          <w:lang w:eastAsia="x-none"/>
        </w:rPr>
        <w:t>ekotoksikološka i ispitivanja kvaliteta (fizičko-hemijska ispitivanja i ispitivanje sadržaja radionuklida) svih segmenata životne sredine (vode, vazduha, zemljišta, sedimenta, mora…);</w:t>
      </w:r>
    </w:p>
    <w:p w14:paraId="272F42C6" w14:textId="77777777" w:rsidR="003E0BB3" w:rsidRPr="00AB15C7" w:rsidRDefault="003E0BB3" w:rsidP="00557C13">
      <w:pPr>
        <w:numPr>
          <w:ilvl w:val="0"/>
          <w:numId w:val="25"/>
        </w:numPr>
        <w:spacing w:after="0"/>
        <w:jc w:val="both"/>
        <w:rPr>
          <w:rFonts w:ascii="Cambria" w:hAnsi="Cambria"/>
          <w:noProof/>
          <w:lang w:eastAsia="x-none"/>
        </w:rPr>
      </w:pPr>
      <w:r w:rsidRPr="00AB15C7">
        <w:rPr>
          <w:rFonts w:ascii="Cambria" w:hAnsi="Cambria"/>
          <w:noProof/>
          <w:lang w:eastAsia="x-none"/>
        </w:rPr>
        <w:t>kontrol</w:t>
      </w:r>
      <w:r w:rsidR="00272414" w:rsidRPr="00AB15C7">
        <w:rPr>
          <w:rFonts w:ascii="Cambria" w:hAnsi="Cambria"/>
          <w:noProof/>
          <w:lang w:eastAsia="x-none"/>
        </w:rPr>
        <w:t>a</w:t>
      </w:r>
      <w:r w:rsidRPr="00AB15C7">
        <w:rPr>
          <w:rFonts w:ascii="Cambria" w:hAnsi="Cambria"/>
          <w:noProof/>
          <w:lang w:eastAsia="x-none"/>
        </w:rPr>
        <w:t xml:space="preserve"> bezbjednosti hrane</w:t>
      </w:r>
    </w:p>
    <w:p w14:paraId="5B217D85" w14:textId="77777777" w:rsidR="003E0BB3" w:rsidRPr="00AB15C7" w:rsidRDefault="003E0BB3" w:rsidP="00557C13">
      <w:pPr>
        <w:numPr>
          <w:ilvl w:val="0"/>
          <w:numId w:val="25"/>
        </w:numPr>
        <w:spacing w:after="0"/>
        <w:jc w:val="both"/>
        <w:rPr>
          <w:rFonts w:ascii="Cambria" w:hAnsi="Cambria"/>
          <w:noProof/>
          <w:lang w:eastAsia="x-none"/>
        </w:rPr>
      </w:pPr>
      <w:r w:rsidRPr="00AB15C7">
        <w:rPr>
          <w:rFonts w:ascii="Cambria" w:hAnsi="Cambria"/>
          <w:noProof/>
          <w:lang w:eastAsia="x-none"/>
        </w:rPr>
        <w:t>dozimetrijska mjerenja, osiguranje i kontrolu kvaliteta (QA/QC);</w:t>
      </w:r>
    </w:p>
    <w:p w14:paraId="2ED93E1F" w14:textId="77777777" w:rsidR="003E0BB3" w:rsidRPr="00AB15C7" w:rsidRDefault="003E0BB3" w:rsidP="00557C13">
      <w:pPr>
        <w:numPr>
          <w:ilvl w:val="0"/>
          <w:numId w:val="25"/>
        </w:numPr>
        <w:spacing w:after="0"/>
        <w:jc w:val="both"/>
        <w:rPr>
          <w:rFonts w:ascii="Cambria" w:hAnsi="Cambria"/>
          <w:noProof/>
          <w:lang w:eastAsia="x-none"/>
        </w:rPr>
      </w:pPr>
      <w:r w:rsidRPr="00AB15C7">
        <w:rPr>
          <w:rFonts w:ascii="Cambria" w:hAnsi="Cambria"/>
          <w:noProof/>
          <w:lang w:eastAsia="x-none"/>
        </w:rPr>
        <w:t>ispitivanje radne sredine (komfor-mikroklimatski uslovi, hemijske i fizičke štetnosti);</w:t>
      </w:r>
    </w:p>
    <w:p w14:paraId="5F30E6D4" w14:textId="77777777" w:rsidR="003E0BB3" w:rsidRPr="00AB15C7" w:rsidRDefault="003E0BB3" w:rsidP="00557C13">
      <w:pPr>
        <w:numPr>
          <w:ilvl w:val="0"/>
          <w:numId w:val="25"/>
        </w:numPr>
        <w:spacing w:after="0"/>
        <w:jc w:val="both"/>
        <w:rPr>
          <w:rFonts w:ascii="Cambria" w:hAnsi="Cambria"/>
          <w:noProof/>
          <w:lang w:eastAsia="x-none"/>
        </w:rPr>
      </w:pPr>
      <w:r w:rsidRPr="00AB15C7">
        <w:rPr>
          <w:rFonts w:ascii="Cambria" w:hAnsi="Cambria"/>
          <w:noProof/>
          <w:lang w:eastAsia="x-none"/>
        </w:rPr>
        <w:t>ispitivanje buke i vibracije u radnoj i životnoj sredini;</w:t>
      </w:r>
    </w:p>
    <w:p w14:paraId="72143C5D" w14:textId="77777777" w:rsidR="003E0BB3" w:rsidRPr="00AB15C7" w:rsidRDefault="003E0BB3" w:rsidP="00557C13">
      <w:pPr>
        <w:numPr>
          <w:ilvl w:val="0"/>
          <w:numId w:val="25"/>
        </w:numPr>
        <w:spacing w:after="0"/>
        <w:jc w:val="both"/>
        <w:rPr>
          <w:rFonts w:ascii="Cambria" w:hAnsi="Cambria"/>
          <w:noProof/>
          <w:lang w:eastAsia="x-none"/>
        </w:rPr>
      </w:pPr>
      <w:r w:rsidRPr="00AB15C7">
        <w:rPr>
          <w:rFonts w:ascii="Cambria" w:hAnsi="Cambria"/>
          <w:noProof/>
          <w:lang w:eastAsia="x-none"/>
        </w:rPr>
        <w:t>priprem</w:t>
      </w:r>
      <w:r w:rsidR="00272414" w:rsidRPr="00AB15C7">
        <w:rPr>
          <w:rFonts w:ascii="Cambria" w:hAnsi="Cambria"/>
          <w:noProof/>
          <w:lang w:eastAsia="x-none"/>
        </w:rPr>
        <w:t>a</w:t>
      </w:r>
      <w:r w:rsidRPr="00AB15C7">
        <w:rPr>
          <w:rFonts w:ascii="Cambria" w:hAnsi="Cambria"/>
          <w:noProof/>
          <w:lang w:eastAsia="x-none"/>
        </w:rPr>
        <w:t xml:space="preserve"> i izrad</w:t>
      </w:r>
      <w:r w:rsidR="00272414" w:rsidRPr="00AB15C7">
        <w:rPr>
          <w:rFonts w:ascii="Cambria" w:hAnsi="Cambria"/>
          <w:noProof/>
          <w:lang w:eastAsia="x-none"/>
        </w:rPr>
        <w:t>a</w:t>
      </w:r>
      <w:r w:rsidRPr="00AB15C7">
        <w:rPr>
          <w:rFonts w:ascii="Cambria" w:hAnsi="Cambria"/>
          <w:noProof/>
          <w:lang w:eastAsia="x-none"/>
        </w:rPr>
        <w:t xml:space="preserve"> akta o procjeni profesionalnih rizika zaposlenih sa predlogom mjera za njihovo otklanjanje</w:t>
      </w:r>
    </w:p>
    <w:p w14:paraId="0D5CA477" w14:textId="77777777" w:rsidR="003E0BB3" w:rsidRPr="00AB15C7" w:rsidRDefault="003E0BB3" w:rsidP="00557C13">
      <w:pPr>
        <w:numPr>
          <w:ilvl w:val="0"/>
          <w:numId w:val="25"/>
        </w:numPr>
        <w:spacing w:after="0"/>
        <w:jc w:val="both"/>
        <w:rPr>
          <w:rFonts w:ascii="Cambria" w:hAnsi="Cambria"/>
          <w:noProof/>
          <w:lang w:eastAsia="x-none"/>
        </w:rPr>
      </w:pPr>
      <w:r w:rsidRPr="00AB15C7">
        <w:rPr>
          <w:rFonts w:ascii="Cambria" w:hAnsi="Cambria"/>
          <w:noProof/>
          <w:lang w:eastAsia="x-none"/>
        </w:rPr>
        <w:t>kategorizacij</w:t>
      </w:r>
      <w:r w:rsidR="00272414" w:rsidRPr="00AB15C7">
        <w:rPr>
          <w:rFonts w:ascii="Cambria" w:hAnsi="Cambria"/>
          <w:noProof/>
          <w:lang w:eastAsia="x-none"/>
        </w:rPr>
        <w:t>a</w:t>
      </w:r>
      <w:r w:rsidRPr="00AB15C7">
        <w:rPr>
          <w:rFonts w:ascii="Cambria" w:hAnsi="Cambria"/>
          <w:noProof/>
          <w:lang w:eastAsia="x-none"/>
        </w:rPr>
        <w:t xml:space="preserve"> otpada;</w:t>
      </w:r>
    </w:p>
    <w:p w14:paraId="361E1344" w14:textId="77777777" w:rsidR="003E0BB3" w:rsidRPr="00AB15C7" w:rsidRDefault="003E0BB3" w:rsidP="00557C13">
      <w:pPr>
        <w:numPr>
          <w:ilvl w:val="0"/>
          <w:numId w:val="25"/>
        </w:numPr>
        <w:jc w:val="both"/>
        <w:rPr>
          <w:rFonts w:ascii="Cambria" w:hAnsi="Cambria"/>
          <w:noProof/>
          <w:lang w:eastAsia="x-none"/>
        </w:rPr>
      </w:pPr>
      <w:r w:rsidRPr="00AB15C7">
        <w:rPr>
          <w:rFonts w:ascii="Cambria" w:hAnsi="Cambria"/>
          <w:noProof/>
          <w:lang w:eastAsia="x-none"/>
        </w:rPr>
        <w:t>izrad</w:t>
      </w:r>
      <w:r w:rsidR="00272414" w:rsidRPr="00AB15C7">
        <w:rPr>
          <w:rFonts w:ascii="Cambria" w:hAnsi="Cambria"/>
          <w:noProof/>
          <w:lang w:eastAsia="x-none"/>
        </w:rPr>
        <w:t>a</w:t>
      </w:r>
      <w:r w:rsidRPr="00AB15C7">
        <w:rPr>
          <w:rFonts w:ascii="Cambria" w:hAnsi="Cambria"/>
          <w:noProof/>
          <w:lang w:eastAsia="x-none"/>
        </w:rPr>
        <w:t xml:space="preserve"> toksikoloških studija, studija „nultog“ stanja, analiza i programa za potrebe državnih organa, naučnoistraživačkih ustanova, privrednih društava i drugih subjekata;</w:t>
      </w:r>
    </w:p>
    <w:p w14:paraId="3AD5EDB9" w14:textId="77777777" w:rsidR="003E0BB3" w:rsidRPr="00AB15C7" w:rsidRDefault="003E0BB3" w:rsidP="00C75EA0">
      <w:pPr>
        <w:spacing w:after="0"/>
        <w:jc w:val="both"/>
        <w:rPr>
          <w:rFonts w:ascii="Cambria" w:hAnsi="Cambria"/>
          <w:noProof/>
          <w:lang w:eastAsia="x-none"/>
        </w:rPr>
      </w:pPr>
      <w:r w:rsidRPr="00AB15C7">
        <w:rPr>
          <w:rFonts w:ascii="Cambria" w:hAnsi="Cambria"/>
          <w:noProof/>
          <w:lang w:eastAsia="x-none"/>
        </w:rPr>
        <w:t>Centar je od strane Akreditacionog tijela Crne Gore akreditovan za:</w:t>
      </w:r>
    </w:p>
    <w:p w14:paraId="3C0D99C4" w14:textId="77777777" w:rsidR="003E0BB3" w:rsidRPr="00AB15C7" w:rsidRDefault="003E0BB3" w:rsidP="00557C13">
      <w:pPr>
        <w:numPr>
          <w:ilvl w:val="0"/>
          <w:numId w:val="26"/>
        </w:numPr>
        <w:spacing w:after="0"/>
        <w:jc w:val="both"/>
        <w:rPr>
          <w:rFonts w:ascii="Cambria" w:hAnsi="Cambria"/>
          <w:noProof/>
          <w:lang w:eastAsia="x-none"/>
        </w:rPr>
      </w:pPr>
      <w:r w:rsidRPr="00AB15C7">
        <w:rPr>
          <w:rFonts w:ascii="Cambria" w:hAnsi="Cambria"/>
          <w:noProof/>
          <w:lang w:eastAsia="x-none"/>
        </w:rPr>
        <w:t>Fizičko-hemijska ispitivanja</w:t>
      </w:r>
      <w:r w:rsidRPr="00AB15C7">
        <w:rPr>
          <w:rFonts w:ascii="Cambria" w:hAnsi="Cambria"/>
          <w:b/>
          <w:bCs/>
          <w:noProof/>
          <w:lang w:eastAsia="x-none"/>
        </w:rPr>
        <w:t>: </w:t>
      </w:r>
      <w:r w:rsidRPr="00AB15C7">
        <w:rPr>
          <w:rFonts w:ascii="Cambria" w:hAnsi="Cambria"/>
          <w:noProof/>
          <w:lang w:eastAsia="x-none"/>
        </w:rPr>
        <w:t>voda za piće, hrane, površinske vode, biološkog materijala, alkoholnih pića, vazduha, sedimenta, zemljišta, otpadne vode, otpada,transformatorskih ulja</w:t>
      </w:r>
    </w:p>
    <w:p w14:paraId="70D0B996" w14:textId="77777777" w:rsidR="003E0BB3" w:rsidRPr="00AB15C7" w:rsidRDefault="003E0BB3" w:rsidP="00557C13">
      <w:pPr>
        <w:numPr>
          <w:ilvl w:val="0"/>
          <w:numId w:val="26"/>
        </w:numPr>
        <w:spacing w:after="0"/>
        <w:jc w:val="both"/>
        <w:rPr>
          <w:rFonts w:ascii="Cambria" w:hAnsi="Cambria"/>
          <w:noProof/>
          <w:lang w:eastAsia="x-none"/>
        </w:rPr>
      </w:pPr>
      <w:r w:rsidRPr="00AB15C7">
        <w:rPr>
          <w:rFonts w:ascii="Cambria" w:hAnsi="Cambria"/>
          <w:noProof/>
          <w:lang w:eastAsia="x-none"/>
        </w:rPr>
        <w:t>Ispitivanje radioaktivnosti u uzorcima: voda, vazduh, zemljište, hrana, gradevinski materijal</w:t>
      </w:r>
    </w:p>
    <w:p w14:paraId="126C90FA" w14:textId="77777777" w:rsidR="003E0BB3" w:rsidRPr="00AB15C7" w:rsidRDefault="003E0BB3" w:rsidP="00557C13">
      <w:pPr>
        <w:numPr>
          <w:ilvl w:val="0"/>
          <w:numId w:val="26"/>
        </w:numPr>
        <w:spacing w:after="0"/>
        <w:jc w:val="both"/>
        <w:rPr>
          <w:rFonts w:ascii="Cambria" w:hAnsi="Cambria"/>
          <w:noProof/>
          <w:lang w:eastAsia="x-none"/>
        </w:rPr>
      </w:pPr>
      <w:r w:rsidRPr="00AB15C7">
        <w:rPr>
          <w:rFonts w:ascii="Cambria" w:hAnsi="Cambria"/>
          <w:noProof/>
          <w:lang w:eastAsia="x-none"/>
        </w:rPr>
        <w:lastRenderedPageBreak/>
        <w:t>Ispitivanje nivoa spoljašnjeg zračenja, ispitivanje izvora jonizujuceg zračenja</w:t>
      </w:r>
    </w:p>
    <w:p w14:paraId="6A02866F" w14:textId="77777777" w:rsidR="003E0BB3" w:rsidRPr="00AB15C7" w:rsidRDefault="003E0BB3" w:rsidP="00557C13">
      <w:pPr>
        <w:numPr>
          <w:ilvl w:val="0"/>
          <w:numId w:val="26"/>
        </w:numPr>
        <w:spacing w:after="0"/>
        <w:jc w:val="both"/>
        <w:rPr>
          <w:rFonts w:ascii="Cambria" w:hAnsi="Cambria"/>
          <w:noProof/>
          <w:lang w:eastAsia="x-none"/>
        </w:rPr>
      </w:pPr>
      <w:r w:rsidRPr="00AB15C7">
        <w:rPr>
          <w:rFonts w:ascii="Cambria" w:hAnsi="Cambria"/>
          <w:noProof/>
          <w:lang w:eastAsia="x-none"/>
        </w:rPr>
        <w:t>Akusticko ispitivanje buke</w:t>
      </w:r>
    </w:p>
    <w:p w14:paraId="7DEC3254" w14:textId="7CA5A86A" w:rsidR="003E0BB3" w:rsidRPr="00AB15C7" w:rsidRDefault="00272414" w:rsidP="00557C13">
      <w:pPr>
        <w:numPr>
          <w:ilvl w:val="0"/>
          <w:numId w:val="26"/>
        </w:numPr>
        <w:jc w:val="both"/>
        <w:rPr>
          <w:rFonts w:ascii="Cambria" w:hAnsi="Cambria"/>
          <w:noProof/>
          <w:lang w:eastAsia="x-none"/>
        </w:rPr>
      </w:pPr>
      <w:r w:rsidRPr="00AB15C7">
        <w:rPr>
          <w:rFonts w:ascii="Cambria" w:hAnsi="Cambria"/>
          <w:noProof/>
          <w:lang w:eastAsia="x-none"/>
        </w:rPr>
        <w:t>U</w:t>
      </w:r>
      <w:r w:rsidR="003E0BB3" w:rsidRPr="00AB15C7">
        <w:rPr>
          <w:rFonts w:ascii="Cambria" w:hAnsi="Cambria"/>
          <w:noProof/>
          <w:lang w:eastAsia="x-none"/>
        </w:rPr>
        <w:t>zorkovanje: površinskih voda i vode za piće, tečnosti i zapaljivih tečnosti,</w:t>
      </w:r>
      <w:r w:rsidR="00CF4064">
        <w:rPr>
          <w:rFonts w:ascii="Cambria" w:hAnsi="Cambria"/>
          <w:noProof/>
          <w:lang w:eastAsia="x-none"/>
        </w:rPr>
        <w:t xml:space="preserve"> </w:t>
      </w:r>
      <w:r w:rsidR="003E0BB3" w:rsidRPr="00AB15C7">
        <w:rPr>
          <w:rFonts w:ascii="Cambria" w:hAnsi="Cambria"/>
          <w:noProof/>
          <w:lang w:eastAsia="x-none"/>
        </w:rPr>
        <w:t>zemlje, sedimenata i mulja</w:t>
      </w:r>
    </w:p>
    <w:p w14:paraId="6953B0D5" w14:textId="77777777" w:rsidR="00F16F6C" w:rsidRDefault="00F16F6C" w:rsidP="00F16F6C">
      <w:pPr>
        <w:rPr>
          <w:rFonts w:ascii="Cambria" w:hAnsi="Cambria"/>
          <w:noProof/>
          <w:lang w:eastAsia="x-none"/>
        </w:rPr>
      </w:pPr>
      <w:r w:rsidRPr="00F16F6C">
        <w:rPr>
          <w:rFonts w:ascii="Cambria" w:hAnsi="Cambria"/>
          <w:noProof/>
          <w:lang w:eastAsia="x-none"/>
        </w:rPr>
        <w:t>Od 2012. godine Centar ima licencu za naučno istraživačku djelatnost.</w:t>
      </w:r>
    </w:p>
    <w:p w14:paraId="58DB31EA" w14:textId="7FF99420" w:rsidR="00CF4064" w:rsidRPr="00A77A59" w:rsidRDefault="00B444CA" w:rsidP="00C75EA0">
      <w:pPr>
        <w:jc w:val="both"/>
        <w:rPr>
          <w:rFonts w:ascii="Cambria" w:hAnsi="Cambria"/>
          <w:noProof/>
          <w:lang w:eastAsia="x-none"/>
        </w:rPr>
      </w:pPr>
      <w:r>
        <w:rPr>
          <w:rFonts w:ascii="Cambria" w:hAnsi="Cambria"/>
          <w:noProof/>
          <w:lang w:eastAsia="x-none"/>
        </w:rPr>
        <w:t>Centar pos</w:t>
      </w:r>
      <w:r w:rsidR="004F6ADC">
        <w:rPr>
          <w:rFonts w:ascii="Cambria" w:hAnsi="Cambria"/>
          <w:noProof/>
          <w:lang w:eastAsia="x-none"/>
        </w:rPr>
        <w:t>j</w:t>
      </w:r>
      <w:r>
        <w:rPr>
          <w:rFonts w:ascii="Cambria" w:hAnsi="Cambria"/>
          <w:noProof/>
          <w:lang w:eastAsia="x-none"/>
        </w:rPr>
        <w:t>eduje savremenu opremu za instrumentalnu analizu uključujući:</w:t>
      </w:r>
      <w:r w:rsidRPr="00B444CA">
        <w:rPr>
          <w:rFonts w:ascii="Cambria" w:hAnsi="Cambria"/>
          <w:noProof/>
          <w:lang w:eastAsia="x-none"/>
        </w:rPr>
        <w:t xml:space="preserve"> GC-MSMS</w:t>
      </w:r>
      <w:r>
        <w:rPr>
          <w:rStyle w:val="FootnoteReference"/>
          <w:rFonts w:ascii="Cambria" w:hAnsi="Cambria"/>
          <w:noProof/>
          <w:lang w:eastAsia="x-none"/>
        </w:rPr>
        <w:footnoteReference w:id="35"/>
      </w:r>
      <w:r>
        <w:rPr>
          <w:rFonts w:ascii="Cambria" w:hAnsi="Cambria"/>
          <w:noProof/>
          <w:lang w:eastAsia="x-none"/>
        </w:rPr>
        <w:t xml:space="preserve">; </w:t>
      </w:r>
      <w:r w:rsidRPr="00B444CA">
        <w:rPr>
          <w:rFonts w:ascii="Cambria" w:hAnsi="Cambria"/>
          <w:noProof/>
          <w:lang w:eastAsia="x-none"/>
        </w:rPr>
        <w:t>GC-MS</w:t>
      </w:r>
      <w:r>
        <w:rPr>
          <w:rStyle w:val="FootnoteReference"/>
          <w:rFonts w:ascii="Cambria" w:hAnsi="Cambria"/>
          <w:noProof/>
          <w:lang w:eastAsia="x-none"/>
        </w:rPr>
        <w:footnoteReference w:id="36"/>
      </w:r>
      <w:r>
        <w:rPr>
          <w:rFonts w:ascii="Cambria" w:hAnsi="Cambria"/>
          <w:noProof/>
          <w:lang w:eastAsia="x-none"/>
        </w:rPr>
        <w:t xml:space="preserve"> ; </w:t>
      </w:r>
      <w:r w:rsidRPr="00B444CA">
        <w:rPr>
          <w:rFonts w:ascii="Cambria" w:hAnsi="Cambria"/>
          <w:noProof/>
          <w:lang w:eastAsia="x-none"/>
        </w:rPr>
        <w:t>GC – ECD, FID,</w:t>
      </w:r>
      <w:r>
        <w:rPr>
          <w:rFonts w:ascii="Cambria" w:hAnsi="Cambria"/>
          <w:noProof/>
          <w:lang w:eastAsia="x-none"/>
        </w:rPr>
        <w:t xml:space="preserve"> </w:t>
      </w:r>
      <w:r w:rsidRPr="00B444CA">
        <w:rPr>
          <w:rFonts w:ascii="Cambria" w:hAnsi="Cambria"/>
          <w:noProof/>
          <w:lang w:eastAsia="x-none"/>
        </w:rPr>
        <w:t>FPD</w:t>
      </w:r>
      <w:r>
        <w:rPr>
          <w:rStyle w:val="FootnoteReference"/>
          <w:rFonts w:ascii="Cambria" w:hAnsi="Cambria"/>
          <w:noProof/>
          <w:lang w:eastAsia="x-none"/>
        </w:rPr>
        <w:footnoteReference w:id="37"/>
      </w:r>
      <w:r>
        <w:rPr>
          <w:rFonts w:ascii="Cambria" w:hAnsi="Cambria"/>
          <w:noProof/>
          <w:lang w:eastAsia="x-none"/>
        </w:rPr>
        <w:t xml:space="preserve">; </w:t>
      </w:r>
      <w:r w:rsidRPr="00B444CA">
        <w:rPr>
          <w:rFonts w:ascii="Cambria" w:hAnsi="Cambria"/>
          <w:noProof/>
          <w:lang w:eastAsia="x-none"/>
        </w:rPr>
        <w:t>LC- MSMS</w:t>
      </w:r>
      <w:r>
        <w:rPr>
          <w:rStyle w:val="FootnoteReference"/>
          <w:rFonts w:ascii="Cambria" w:hAnsi="Cambria"/>
          <w:noProof/>
          <w:lang w:eastAsia="x-none"/>
        </w:rPr>
        <w:footnoteReference w:id="38"/>
      </w:r>
      <w:r>
        <w:rPr>
          <w:rFonts w:ascii="Cambria" w:hAnsi="Cambria"/>
          <w:noProof/>
          <w:lang w:eastAsia="x-none"/>
        </w:rPr>
        <w:t xml:space="preserve">; </w:t>
      </w:r>
      <w:r w:rsidRPr="00B444CA">
        <w:rPr>
          <w:rFonts w:ascii="Cambria" w:hAnsi="Cambria"/>
          <w:noProof/>
          <w:lang w:eastAsia="x-none"/>
        </w:rPr>
        <w:t>LC- MS</w:t>
      </w:r>
      <w:r>
        <w:rPr>
          <w:rStyle w:val="FootnoteReference"/>
          <w:rFonts w:ascii="Cambria" w:hAnsi="Cambria"/>
          <w:noProof/>
          <w:lang w:eastAsia="x-none"/>
        </w:rPr>
        <w:footnoteReference w:id="39"/>
      </w:r>
      <w:r w:rsidRPr="00B444CA">
        <w:rPr>
          <w:rFonts w:ascii="Cambria" w:hAnsi="Cambria"/>
          <w:noProof/>
          <w:lang w:eastAsia="x-none"/>
        </w:rPr>
        <w:t xml:space="preserve"> </w:t>
      </w:r>
      <w:r>
        <w:rPr>
          <w:rFonts w:ascii="Cambria" w:hAnsi="Cambria"/>
          <w:noProof/>
          <w:lang w:eastAsia="x-none"/>
        </w:rPr>
        <w:t xml:space="preserve">; </w:t>
      </w:r>
      <w:r w:rsidRPr="00B444CA">
        <w:rPr>
          <w:rFonts w:ascii="Cambria" w:hAnsi="Cambria"/>
          <w:noProof/>
          <w:lang w:eastAsia="x-none"/>
        </w:rPr>
        <w:t>HPLC – UV RF, DAD,</w:t>
      </w:r>
      <w:r w:rsidR="009E0567">
        <w:rPr>
          <w:rFonts w:ascii="Cambria" w:hAnsi="Cambria"/>
          <w:noProof/>
          <w:lang w:eastAsia="x-none"/>
        </w:rPr>
        <w:t xml:space="preserve"> </w:t>
      </w:r>
      <w:r w:rsidRPr="00B444CA">
        <w:rPr>
          <w:rFonts w:ascii="Cambria" w:hAnsi="Cambria"/>
          <w:noProof/>
          <w:lang w:eastAsia="x-none"/>
        </w:rPr>
        <w:t>RID</w:t>
      </w:r>
      <w:r>
        <w:rPr>
          <w:rStyle w:val="FootnoteReference"/>
          <w:rFonts w:ascii="Cambria" w:hAnsi="Cambria"/>
          <w:noProof/>
          <w:lang w:eastAsia="x-none"/>
        </w:rPr>
        <w:footnoteReference w:id="40"/>
      </w:r>
      <w:r>
        <w:rPr>
          <w:rFonts w:ascii="Cambria" w:hAnsi="Cambria"/>
          <w:noProof/>
          <w:lang w:eastAsia="x-none"/>
        </w:rPr>
        <w:t xml:space="preserve">; </w:t>
      </w:r>
      <w:r w:rsidR="00EB32BF" w:rsidRPr="00B444CA">
        <w:rPr>
          <w:rFonts w:ascii="Cambria" w:hAnsi="Cambria"/>
          <w:noProof/>
          <w:lang w:eastAsia="x-none"/>
        </w:rPr>
        <w:t>ICPMS</w:t>
      </w:r>
      <w:r w:rsidR="00EB32BF">
        <w:rPr>
          <w:rStyle w:val="FootnoteReference"/>
          <w:rFonts w:ascii="Cambria" w:hAnsi="Cambria"/>
          <w:noProof/>
          <w:lang w:eastAsia="x-none"/>
        </w:rPr>
        <w:footnoteReference w:id="41"/>
      </w:r>
      <w:r w:rsidR="00EB32BF">
        <w:rPr>
          <w:rFonts w:ascii="Cambria" w:hAnsi="Cambria"/>
          <w:noProof/>
          <w:lang w:eastAsia="x-none"/>
        </w:rPr>
        <w:t xml:space="preserve">; </w:t>
      </w:r>
      <w:r w:rsidR="00EB32BF" w:rsidRPr="00B444CA">
        <w:rPr>
          <w:rFonts w:ascii="Cambria" w:hAnsi="Cambria"/>
          <w:noProof/>
          <w:lang w:eastAsia="x-none"/>
        </w:rPr>
        <w:t>ICP-OES</w:t>
      </w:r>
      <w:r w:rsidR="00EB32BF">
        <w:rPr>
          <w:rStyle w:val="FootnoteReference"/>
          <w:rFonts w:ascii="Cambria" w:hAnsi="Cambria"/>
          <w:noProof/>
          <w:lang w:eastAsia="x-none"/>
        </w:rPr>
        <w:footnoteReference w:id="42"/>
      </w:r>
      <w:r w:rsidR="00EB32BF">
        <w:rPr>
          <w:rFonts w:ascii="Cambria" w:hAnsi="Cambria"/>
          <w:noProof/>
          <w:lang w:eastAsia="x-none"/>
        </w:rPr>
        <w:t xml:space="preserve"> ; </w:t>
      </w:r>
      <w:r w:rsidR="00EB32BF" w:rsidRPr="00B444CA">
        <w:rPr>
          <w:rFonts w:ascii="Cambria" w:hAnsi="Cambria"/>
          <w:noProof/>
          <w:lang w:eastAsia="x-none"/>
        </w:rPr>
        <w:t>AAS</w:t>
      </w:r>
      <w:r w:rsidR="00EB32BF">
        <w:rPr>
          <w:rStyle w:val="FootnoteReference"/>
          <w:rFonts w:ascii="Cambria" w:hAnsi="Cambria"/>
          <w:noProof/>
          <w:lang w:eastAsia="x-none"/>
        </w:rPr>
        <w:footnoteReference w:id="43"/>
      </w:r>
      <w:r w:rsidR="00EB32BF" w:rsidRPr="00EB32BF">
        <w:rPr>
          <w:rFonts w:ascii="Cambria" w:hAnsi="Cambria"/>
          <w:noProof/>
          <w:lang w:eastAsia="x-none"/>
        </w:rPr>
        <w:t xml:space="preserve"> </w:t>
      </w:r>
      <w:r w:rsidR="00EB32BF">
        <w:rPr>
          <w:rFonts w:ascii="Cambria" w:hAnsi="Cambria"/>
          <w:noProof/>
          <w:lang w:eastAsia="x-none"/>
        </w:rPr>
        <w:t xml:space="preserve">; </w:t>
      </w:r>
      <w:r w:rsidR="00EB32BF" w:rsidRPr="00B444CA">
        <w:rPr>
          <w:rFonts w:ascii="Cambria" w:hAnsi="Cambria"/>
          <w:noProof/>
          <w:lang w:eastAsia="x-none"/>
        </w:rPr>
        <w:t>UV</w:t>
      </w:r>
      <w:r w:rsidR="00EB32BF">
        <w:rPr>
          <w:rFonts w:ascii="Cambria" w:hAnsi="Cambria"/>
          <w:noProof/>
          <w:lang w:eastAsia="x-none"/>
        </w:rPr>
        <w:t>/</w:t>
      </w:r>
      <w:r w:rsidR="00EB32BF" w:rsidRPr="00B444CA">
        <w:rPr>
          <w:rFonts w:ascii="Cambria" w:hAnsi="Cambria"/>
          <w:noProof/>
          <w:lang w:eastAsia="x-none"/>
        </w:rPr>
        <w:t>VIS</w:t>
      </w:r>
      <w:r w:rsidR="00EB32BF">
        <w:rPr>
          <w:rStyle w:val="FootnoteReference"/>
          <w:rFonts w:ascii="Cambria" w:hAnsi="Cambria"/>
          <w:noProof/>
          <w:lang w:eastAsia="x-none"/>
        </w:rPr>
        <w:footnoteReference w:id="44"/>
      </w:r>
      <w:r w:rsidR="00EB32BF">
        <w:rPr>
          <w:rFonts w:ascii="Cambria" w:hAnsi="Cambria"/>
          <w:noProof/>
          <w:lang w:eastAsia="x-none"/>
        </w:rPr>
        <w:t>;</w:t>
      </w:r>
      <w:r w:rsidR="00EB32BF" w:rsidRPr="00B444CA">
        <w:rPr>
          <w:rFonts w:ascii="Cambria" w:hAnsi="Cambria"/>
          <w:noProof/>
          <w:lang w:eastAsia="x-none"/>
        </w:rPr>
        <w:t xml:space="preserve"> FTIR</w:t>
      </w:r>
      <w:r w:rsidR="00EB32BF">
        <w:rPr>
          <w:rStyle w:val="FootnoteReference"/>
          <w:rFonts w:ascii="Cambria" w:hAnsi="Cambria"/>
          <w:noProof/>
          <w:lang w:eastAsia="x-none"/>
        </w:rPr>
        <w:footnoteReference w:id="45"/>
      </w:r>
      <w:r w:rsidR="00EB32BF" w:rsidRPr="00EB32BF">
        <w:rPr>
          <w:rFonts w:ascii="Cambria" w:hAnsi="Cambria"/>
          <w:noProof/>
          <w:lang w:eastAsia="x-none"/>
        </w:rPr>
        <w:t xml:space="preserve"> </w:t>
      </w:r>
      <w:r w:rsidR="00EB32BF">
        <w:rPr>
          <w:rFonts w:ascii="Cambria" w:hAnsi="Cambria"/>
          <w:noProof/>
          <w:lang w:eastAsia="x-none"/>
        </w:rPr>
        <w:t xml:space="preserve">; </w:t>
      </w:r>
      <w:r w:rsidR="00EB32BF" w:rsidRPr="00B444CA">
        <w:rPr>
          <w:rFonts w:ascii="Cambria" w:hAnsi="Cambria"/>
          <w:noProof/>
          <w:lang w:eastAsia="x-none"/>
        </w:rPr>
        <w:t>TOC</w:t>
      </w:r>
      <w:r w:rsidR="00EB32BF">
        <w:rPr>
          <w:rStyle w:val="FootnoteReference"/>
          <w:rFonts w:ascii="Cambria" w:hAnsi="Cambria"/>
          <w:noProof/>
          <w:lang w:eastAsia="x-none"/>
        </w:rPr>
        <w:footnoteReference w:id="46"/>
      </w:r>
      <w:r w:rsidR="00EB32BF">
        <w:rPr>
          <w:rFonts w:ascii="Cambria" w:hAnsi="Cambria"/>
          <w:noProof/>
          <w:lang w:eastAsia="x-none"/>
        </w:rPr>
        <w:t xml:space="preserve">;  </w:t>
      </w:r>
      <w:r w:rsidR="00EB32BF" w:rsidRPr="00B444CA">
        <w:rPr>
          <w:rFonts w:ascii="Cambria" w:hAnsi="Cambria"/>
          <w:noProof/>
          <w:lang w:eastAsia="x-none"/>
        </w:rPr>
        <w:t>Analizator žive</w:t>
      </w:r>
      <w:r w:rsidR="00A77A59">
        <w:rPr>
          <w:rFonts w:ascii="Cambria" w:hAnsi="Cambria"/>
          <w:noProof/>
          <w:lang w:eastAsia="x-none"/>
        </w:rPr>
        <w:t xml:space="preserve"> i dr.  </w:t>
      </w:r>
      <w:r w:rsidR="00A77A59" w:rsidRPr="00C75EA0">
        <w:rPr>
          <w:rFonts w:ascii="Cambria" w:hAnsi="Cambria"/>
          <w:noProof/>
          <w:lang w:eastAsia="x-none"/>
        </w:rPr>
        <w:t>Takođe, centar pos</w:t>
      </w:r>
      <w:r w:rsidR="004F6ADC">
        <w:rPr>
          <w:rFonts w:ascii="Cambria" w:hAnsi="Cambria"/>
          <w:noProof/>
          <w:lang w:eastAsia="x-none"/>
        </w:rPr>
        <w:t>j</w:t>
      </w:r>
      <w:r w:rsidR="00A77A59" w:rsidRPr="00C75EA0">
        <w:rPr>
          <w:rFonts w:ascii="Cambria" w:hAnsi="Cambria"/>
          <w:noProof/>
          <w:lang w:eastAsia="x-none"/>
        </w:rPr>
        <w:t>eduje i automatske m</w:t>
      </w:r>
      <w:r w:rsidR="004F6ADC">
        <w:rPr>
          <w:rFonts w:ascii="Cambria" w:hAnsi="Cambria"/>
          <w:noProof/>
          <w:lang w:eastAsia="x-none"/>
        </w:rPr>
        <w:t>j</w:t>
      </w:r>
      <w:r w:rsidR="00A77A59" w:rsidRPr="00C75EA0">
        <w:rPr>
          <w:rFonts w:ascii="Cambria" w:hAnsi="Cambria"/>
          <w:noProof/>
          <w:lang w:eastAsia="x-none"/>
        </w:rPr>
        <w:t xml:space="preserve">erne stanice  </w:t>
      </w:r>
      <w:r w:rsidR="00A77A59" w:rsidRPr="00C75EA0">
        <w:rPr>
          <w:rFonts w:ascii="Cambria" w:hAnsi="Cambria"/>
          <w:iCs/>
          <w:noProof/>
          <w:lang w:eastAsia="x-none"/>
        </w:rPr>
        <w:t>za praćenje kvaliteta vazduha, za kvalitet riječne i morske vode, kao i opremu za mjerenje emisije iz stacionarnih izvora</w:t>
      </w:r>
      <w:r w:rsidR="00C75EA0">
        <w:rPr>
          <w:rFonts w:ascii="Cambria" w:hAnsi="Cambria"/>
          <w:iCs/>
          <w:noProof/>
          <w:lang w:eastAsia="x-none"/>
        </w:rPr>
        <w:t>.</w:t>
      </w:r>
      <w:r w:rsidR="00CF4064">
        <w:rPr>
          <w:rFonts w:ascii="Cambria" w:hAnsi="Cambria"/>
          <w:iCs/>
          <w:noProof/>
          <w:lang w:eastAsia="x-none"/>
        </w:rPr>
        <w:t xml:space="preserve"> </w:t>
      </w:r>
    </w:p>
    <w:p w14:paraId="6CD9E464" w14:textId="61CFFFFE" w:rsidR="00C91B63" w:rsidRDefault="00692D09" w:rsidP="00360F0F">
      <w:pPr>
        <w:spacing w:after="0"/>
        <w:jc w:val="both"/>
        <w:rPr>
          <w:rFonts w:ascii="Cambria" w:hAnsi="Cambria"/>
          <w:noProof/>
          <w:lang w:eastAsia="x-none"/>
        </w:rPr>
      </w:pPr>
      <w:r w:rsidRPr="00AB15C7">
        <w:rPr>
          <w:rFonts w:ascii="Cambria" w:hAnsi="Cambria"/>
          <w:noProof/>
          <w:lang w:eastAsia="x-none"/>
        </w:rPr>
        <w:t xml:space="preserve">CETI je ovlašćen za poslove laboratorijskog ispitivanja sredstava za zaštitu bilja (pesticida) i </w:t>
      </w:r>
      <w:r w:rsidR="00C10F06">
        <w:rPr>
          <w:rFonts w:ascii="Cambria" w:hAnsi="Cambria"/>
          <w:noProof/>
          <w:lang w:eastAsia="x-none"/>
        </w:rPr>
        <w:t xml:space="preserve">njihovih </w:t>
      </w:r>
      <w:r w:rsidRPr="00AB15C7">
        <w:rPr>
          <w:rFonts w:ascii="Cambria" w:hAnsi="Cambria"/>
          <w:noProof/>
          <w:lang w:eastAsia="x-none"/>
        </w:rPr>
        <w:t xml:space="preserve">rezidua, za POPs-ove u svim segmentima životne sredine </w:t>
      </w:r>
      <w:r w:rsidR="003F388B" w:rsidRPr="00AB15C7">
        <w:rPr>
          <w:rFonts w:ascii="Cambria" w:hAnsi="Cambria"/>
          <w:noProof/>
          <w:lang w:eastAsia="x-none"/>
        </w:rPr>
        <w:t>i</w:t>
      </w:r>
      <w:r w:rsidRPr="00AB15C7">
        <w:rPr>
          <w:rFonts w:ascii="Cambria" w:hAnsi="Cambria"/>
          <w:noProof/>
          <w:lang w:eastAsia="x-none"/>
        </w:rPr>
        <w:t xml:space="preserve"> na ovim poslovima je angažovano 20 službenika. </w:t>
      </w:r>
    </w:p>
    <w:p w14:paraId="039C9C1A" w14:textId="77777777" w:rsidR="00D405EE" w:rsidRDefault="00D405EE" w:rsidP="00360F0F">
      <w:pPr>
        <w:spacing w:after="0"/>
        <w:jc w:val="both"/>
        <w:rPr>
          <w:rFonts w:ascii="Cambria" w:hAnsi="Cambria"/>
          <w:noProof/>
          <w:lang w:eastAsia="x-none"/>
        </w:rPr>
      </w:pPr>
    </w:p>
    <w:p w14:paraId="0958A2F9" w14:textId="419016C3" w:rsidR="00784351" w:rsidRPr="00AB15C7" w:rsidRDefault="003E0BB3" w:rsidP="00557C13">
      <w:pPr>
        <w:numPr>
          <w:ilvl w:val="0"/>
          <w:numId w:val="23"/>
        </w:numPr>
        <w:spacing w:after="0"/>
        <w:jc w:val="both"/>
        <w:rPr>
          <w:rFonts w:ascii="Cambria" w:hAnsi="Cambria"/>
          <w:noProof/>
          <w:lang w:eastAsia="x-none"/>
        </w:rPr>
      </w:pPr>
      <w:r w:rsidRPr="00AB15C7">
        <w:rPr>
          <w:rFonts w:ascii="Cambria" w:hAnsi="Cambria"/>
          <w:b/>
          <w:noProof/>
          <w:lang w:eastAsia="x-none"/>
        </w:rPr>
        <w:t>Institut za javno zdravlje</w:t>
      </w:r>
      <w:r w:rsidRPr="00AB15C7">
        <w:rPr>
          <w:rFonts w:ascii="Cambria" w:hAnsi="Cambria"/>
          <w:noProof/>
          <w:lang w:eastAsia="x-none"/>
        </w:rPr>
        <w:t xml:space="preserve"> je visokospecijalizovana zdravstvena ustanova, čija je djelatnost usmjerena na očuvanje i unapr</w:t>
      </w:r>
      <w:r w:rsidR="004F6ADC">
        <w:rPr>
          <w:rFonts w:ascii="Cambria" w:hAnsi="Cambria"/>
          <w:noProof/>
          <w:lang w:eastAsia="x-none"/>
        </w:rPr>
        <w:t>j</w:t>
      </w:r>
      <w:r w:rsidRPr="00AB15C7">
        <w:rPr>
          <w:rFonts w:ascii="Cambria" w:hAnsi="Cambria"/>
          <w:noProof/>
          <w:lang w:eastAsia="x-none"/>
        </w:rPr>
        <w:t xml:space="preserve">eđenje zdravlja svih građana. U obavljanju djelatnosti Institut </w:t>
      </w:r>
      <w:r w:rsidR="00784351" w:rsidRPr="00AB15C7">
        <w:rPr>
          <w:rFonts w:ascii="Cambria" w:hAnsi="Cambria"/>
          <w:noProof/>
          <w:lang w:eastAsia="x-none"/>
        </w:rPr>
        <w:t xml:space="preserve">doprinosi upravljanju hemikalijama kroz obavljanje </w:t>
      </w:r>
      <w:r w:rsidRPr="00AB15C7">
        <w:rPr>
          <w:rFonts w:ascii="Cambria" w:hAnsi="Cambria"/>
          <w:noProof/>
          <w:lang w:eastAsia="x-none"/>
        </w:rPr>
        <w:t>sljedeć</w:t>
      </w:r>
      <w:r w:rsidR="00784351" w:rsidRPr="00AB15C7">
        <w:rPr>
          <w:rFonts w:ascii="Cambria" w:hAnsi="Cambria"/>
          <w:noProof/>
          <w:lang w:eastAsia="x-none"/>
        </w:rPr>
        <w:t>ih</w:t>
      </w:r>
      <w:r w:rsidRPr="00AB15C7">
        <w:rPr>
          <w:rFonts w:ascii="Cambria" w:hAnsi="Cambria"/>
          <w:noProof/>
          <w:lang w:eastAsia="x-none"/>
        </w:rPr>
        <w:t xml:space="preserve"> poslov</w:t>
      </w:r>
      <w:r w:rsidR="00784351" w:rsidRPr="00AB15C7">
        <w:rPr>
          <w:rFonts w:ascii="Cambria" w:hAnsi="Cambria"/>
          <w:noProof/>
          <w:lang w:eastAsia="x-none"/>
        </w:rPr>
        <w:t>a</w:t>
      </w:r>
      <w:r w:rsidRPr="00AB15C7">
        <w:rPr>
          <w:rFonts w:ascii="Cambria" w:hAnsi="Cambria"/>
          <w:noProof/>
          <w:lang w:eastAsia="x-none"/>
        </w:rPr>
        <w:t>:</w:t>
      </w:r>
      <w:r w:rsidR="00784351" w:rsidRPr="00AB15C7">
        <w:rPr>
          <w:rFonts w:ascii="Cambria" w:hAnsi="Cambria"/>
          <w:noProof/>
          <w:lang w:eastAsia="x-none"/>
        </w:rPr>
        <w:t xml:space="preserve"> </w:t>
      </w:r>
    </w:p>
    <w:p w14:paraId="2870CE80" w14:textId="4FC60118" w:rsidR="00784351" w:rsidRPr="00AB15C7" w:rsidRDefault="003E0BB3" w:rsidP="00557C13">
      <w:pPr>
        <w:numPr>
          <w:ilvl w:val="0"/>
          <w:numId w:val="19"/>
        </w:numPr>
        <w:spacing w:after="0"/>
        <w:jc w:val="both"/>
        <w:rPr>
          <w:rFonts w:ascii="Cambria" w:hAnsi="Cambria"/>
          <w:noProof/>
          <w:lang w:eastAsia="x-none"/>
        </w:rPr>
      </w:pPr>
      <w:r w:rsidRPr="00AB15C7">
        <w:rPr>
          <w:rFonts w:ascii="Cambria" w:hAnsi="Cambria"/>
          <w:noProof/>
          <w:lang w:eastAsia="x-none"/>
        </w:rPr>
        <w:t>predlaže i sprovodi mjere u pogledu kontrole zdravstvene ispravnosti životnih namirnica i predmeta opšte upotrebe, higijenske ispravnosti vode za piće, površinskih i otpadnih voda;</w:t>
      </w:r>
    </w:p>
    <w:p w14:paraId="0AAEC624" w14:textId="77777777" w:rsidR="00784351" w:rsidRPr="00AB15C7" w:rsidRDefault="003E0BB3" w:rsidP="00557C13">
      <w:pPr>
        <w:numPr>
          <w:ilvl w:val="0"/>
          <w:numId w:val="19"/>
        </w:numPr>
        <w:spacing w:after="0"/>
        <w:jc w:val="both"/>
        <w:rPr>
          <w:rFonts w:ascii="Cambria" w:hAnsi="Cambria"/>
          <w:noProof/>
          <w:lang w:eastAsia="x-none"/>
        </w:rPr>
      </w:pPr>
      <w:r w:rsidRPr="00AB15C7">
        <w:rPr>
          <w:rFonts w:ascii="Cambria" w:hAnsi="Cambria"/>
          <w:noProof/>
          <w:lang w:eastAsia="x-none"/>
        </w:rPr>
        <w:t>prati, analizira i ocjenjuje uticaj kvaliteta životne sredine (vazduh, zemljište i buka) na zdravstveno stanje stanovništva;</w:t>
      </w:r>
    </w:p>
    <w:p w14:paraId="6DF40B0C" w14:textId="77777777" w:rsidR="00272414" w:rsidRPr="00AB15C7" w:rsidRDefault="00272414" w:rsidP="00557C13">
      <w:pPr>
        <w:numPr>
          <w:ilvl w:val="0"/>
          <w:numId w:val="19"/>
        </w:numPr>
        <w:spacing w:after="0"/>
        <w:jc w:val="both"/>
        <w:rPr>
          <w:rFonts w:ascii="Cambria" w:hAnsi="Cambria"/>
          <w:noProof/>
          <w:lang w:eastAsia="x-none"/>
        </w:rPr>
      </w:pPr>
      <w:r w:rsidRPr="00AB15C7">
        <w:rPr>
          <w:rFonts w:ascii="Cambria" w:hAnsi="Cambria"/>
          <w:noProof/>
          <w:lang w:eastAsia="x-none"/>
        </w:rPr>
        <w:t xml:space="preserve">vrši nadzor i kontrolu nad štetnim biološkim agensima (putem dezinfekcije, dezinsekcije i deratizacije) i hemijskim agensima; </w:t>
      </w:r>
    </w:p>
    <w:p w14:paraId="4658BF80" w14:textId="77777777" w:rsidR="00784351" w:rsidRPr="00AB15C7" w:rsidRDefault="003E0BB3" w:rsidP="00557C13">
      <w:pPr>
        <w:numPr>
          <w:ilvl w:val="0"/>
          <w:numId w:val="19"/>
        </w:numPr>
        <w:jc w:val="both"/>
        <w:rPr>
          <w:rFonts w:ascii="Cambria" w:hAnsi="Cambria"/>
          <w:noProof/>
          <w:lang w:eastAsia="x-none"/>
        </w:rPr>
      </w:pPr>
      <w:r w:rsidRPr="00AB15C7">
        <w:rPr>
          <w:rFonts w:ascii="Cambria" w:hAnsi="Cambria"/>
          <w:noProof/>
          <w:lang w:eastAsia="x-none"/>
        </w:rPr>
        <w:t>prikuplja i obrađuje propisane zdravstveno-statističke podatke</w:t>
      </w:r>
      <w:r w:rsidR="00272414" w:rsidRPr="00AB15C7">
        <w:rPr>
          <w:rFonts w:ascii="Cambria" w:hAnsi="Cambria"/>
          <w:noProof/>
          <w:lang w:eastAsia="x-none"/>
        </w:rPr>
        <w:t xml:space="preserve"> I </w:t>
      </w:r>
      <w:r w:rsidRPr="00AB15C7">
        <w:rPr>
          <w:rFonts w:ascii="Cambria" w:hAnsi="Cambria"/>
          <w:noProof/>
          <w:lang w:eastAsia="x-none"/>
        </w:rPr>
        <w:t>priprema i izdaje "Statistički godišnjak", biltene i druge publikacije vezane za djelatnost Instituta;</w:t>
      </w:r>
    </w:p>
    <w:p w14:paraId="55B759F4" w14:textId="77777777" w:rsidR="003E0BB3" w:rsidRPr="00AB15C7" w:rsidRDefault="003E0BB3" w:rsidP="00C75EA0">
      <w:pPr>
        <w:jc w:val="both"/>
        <w:rPr>
          <w:rFonts w:ascii="Cambria" w:hAnsi="Cambria"/>
          <w:noProof/>
          <w:lang w:eastAsia="x-none"/>
        </w:rPr>
      </w:pPr>
      <w:r w:rsidRPr="00AB15C7">
        <w:rPr>
          <w:rFonts w:ascii="Cambria" w:hAnsi="Cambria"/>
          <w:noProof/>
          <w:lang w:eastAsia="x-none"/>
        </w:rPr>
        <w:t>Naučno-istraživačka djelatnost Instituta obavlja se u skladu sa zakonom i usmjerena je naročito na</w:t>
      </w:r>
      <w:r w:rsidR="00784351" w:rsidRPr="00AB15C7">
        <w:rPr>
          <w:rFonts w:ascii="Cambria" w:hAnsi="Cambria"/>
          <w:noProof/>
          <w:lang w:eastAsia="x-none"/>
        </w:rPr>
        <w:t xml:space="preserve"> </w:t>
      </w:r>
      <w:r w:rsidRPr="00AB15C7">
        <w:rPr>
          <w:rFonts w:ascii="Cambria" w:hAnsi="Cambria"/>
          <w:noProof/>
          <w:lang w:eastAsia="x-none"/>
        </w:rPr>
        <w:t>istraživanja na području javno-zdravstvene djelatnosti, i istraživanja vezana za unapređenje i razvoj zdravstvene službe.</w:t>
      </w:r>
      <w:r w:rsidRPr="00AB15C7">
        <w:rPr>
          <w:rFonts w:ascii="Cambria" w:hAnsi="Cambria"/>
          <w:noProof/>
          <w:lang w:eastAsia="x-none"/>
        </w:rPr>
        <w:br/>
        <w:t>Institut je nastavna baza Medicinskog fakulteta, koji obezbjeđuje uslove i sprovodi planove i programe Univerziteta Crne Gore, Medicinskog fakulteta, u skladu sa zakonom</w:t>
      </w:r>
      <w:r w:rsidR="00784351" w:rsidRPr="00AB15C7">
        <w:rPr>
          <w:rFonts w:ascii="Cambria" w:hAnsi="Cambria"/>
          <w:noProof/>
          <w:lang w:eastAsia="x-none"/>
        </w:rPr>
        <w:t>.</w:t>
      </w:r>
    </w:p>
    <w:p w14:paraId="7602D847" w14:textId="77777777" w:rsidR="003F145B" w:rsidRPr="00AB15C7" w:rsidRDefault="003F145B" w:rsidP="00C75EA0">
      <w:pPr>
        <w:spacing w:after="0"/>
        <w:jc w:val="both"/>
        <w:rPr>
          <w:rFonts w:ascii="Cambria" w:hAnsi="Cambria"/>
          <w:noProof/>
          <w:lang w:eastAsia="x-none"/>
        </w:rPr>
      </w:pPr>
      <w:r w:rsidRPr="00AB15C7">
        <w:rPr>
          <w:rFonts w:ascii="Cambria" w:hAnsi="Cambria"/>
          <w:noProof/>
          <w:lang w:eastAsia="x-none"/>
        </w:rPr>
        <w:t>Institut je od strane Akreditacionog tijela Crne Gore akreditovan za:</w:t>
      </w:r>
    </w:p>
    <w:p w14:paraId="6630188C" w14:textId="77777777" w:rsidR="003F145B" w:rsidRPr="00AB15C7" w:rsidRDefault="003F145B" w:rsidP="00557C13">
      <w:pPr>
        <w:numPr>
          <w:ilvl w:val="0"/>
          <w:numId w:val="27"/>
        </w:numPr>
        <w:spacing w:after="0"/>
        <w:jc w:val="both"/>
        <w:rPr>
          <w:rFonts w:ascii="Cambria" w:hAnsi="Cambria"/>
          <w:noProof/>
          <w:lang w:eastAsia="x-none"/>
        </w:rPr>
      </w:pPr>
      <w:r w:rsidRPr="00AB15C7">
        <w:rPr>
          <w:rFonts w:ascii="Cambria" w:hAnsi="Cambria"/>
          <w:noProof/>
          <w:lang w:eastAsia="x-none"/>
        </w:rPr>
        <w:t>Mikrobiološka ispitivanja vode, hrane (hrana, dijetetski proizvodi i dijetetski suplementi)</w:t>
      </w:r>
    </w:p>
    <w:p w14:paraId="5E2A9D55" w14:textId="7144123B" w:rsidR="003F145B" w:rsidRPr="00AB15C7" w:rsidRDefault="003F145B" w:rsidP="00557C13">
      <w:pPr>
        <w:numPr>
          <w:ilvl w:val="0"/>
          <w:numId w:val="27"/>
        </w:numPr>
        <w:spacing w:after="0"/>
        <w:jc w:val="both"/>
        <w:rPr>
          <w:rFonts w:ascii="Cambria" w:hAnsi="Cambria"/>
          <w:noProof/>
          <w:lang w:eastAsia="x-none"/>
        </w:rPr>
      </w:pPr>
      <w:r w:rsidRPr="00AB15C7">
        <w:rPr>
          <w:rFonts w:ascii="Cambria" w:hAnsi="Cambria"/>
          <w:noProof/>
          <w:lang w:eastAsia="x-none"/>
        </w:rPr>
        <w:t>Fizičko</w:t>
      </w:r>
      <w:r w:rsidR="00CF4064">
        <w:rPr>
          <w:rFonts w:ascii="Cambria" w:hAnsi="Cambria"/>
          <w:noProof/>
          <w:lang w:eastAsia="x-none"/>
        </w:rPr>
        <w:t>-</w:t>
      </w:r>
      <w:r w:rsidRPr="00AB15C7">
        <w:rPr>
          <w:rFonts w:ascii="Cambria" w:hAnsi="Cambria"/>
          <w:noProof/>
          <w:lang w:eastAsia="x-none"/>
        </w:rPr>
        <w:t>hemijska ispitivanja voda, sedimenta, namirnica i predmeta opšte upotrebe, vina</w:t>
      </w:r>
    </w:p>
    <w:p w14:paraId="23E2A3FE" w14:textId="77777777" w:rsidR="003F145B" w:rsidRPr="00AB15C7" w:rsidRDefault="003F145B" w:rsidP="00557C13">
      <w:pPr>
        <w:numPr>
          <w:ilvl w:val="0"/>
          <w:numId w:val="27"/>
        </w:numPr>
        <w:spacing w:after="0"/>
        <w:jc w:val="both"/>
        <w:rPr>
          <w:rFonts w:ascii="Cambria" w:hAnsi="Cambria"/>
          <w:noProof/>
          <w:lang w:eastAsia="x-none"/>
        </w:rPr>
      </w:pPr>
      <w:r w:rsidRPr="00AB15C7">
        <w:rPr>
          <w:rFonts w:ascii="Cambria" w:hAnsi="Cambria"/>
          <w:noProof/>
          <w:lang w:eastAsia="x-none"/>
        </w:rPr>
        <w:t xml:space="preserve">Ispitivanje buke u životnoj sredini, </w:t>
      </w:r>
    </w:p>
    <w:p w14:paraId="48BA0025" w14:textId="77777777" w:rsidR="00C91B63" w:rsidRPr="00AB15C7" w:rsidRDefault="003F145B" w:rsidP="00557C13">
      <w:pPr>
        <w:numPr>
          <w:ilvl w:val="0"/>
          <w:numId w:val="27"/>
        </w:numPr>
        <w:jc w:val="both"/>
        <w:rPr>
          <w:rFonts w:ascii="Cambria" w:hAnsi="Cambria"/>
          <w:noProof/>
          <w:lang w:eastAsia="x-none"/>
        </w:rPr>
      </w:pPr>
      <w:r w:rsidRPr="00AB15C7">
        <w:rPr>
          <w:rFonts w:ascii="Cambria" w:hAnsi="Cambria"/>
          <w:noProof/>
          <w:lang w:eastAsia="x-none"/>
        </w:rPr>
        <w:lastRenderedPageBreak/>
        <w:t>Uzorkovanje za mikrobiološke analize vode za piće</w:t>
      </w:r>
    </w:p>
    <w:p w14:paraId="22A4601D" w14:textId="7F49482D" w:rsidR="0053782D" w:rsidRPr="00B444CA" w:rsidRDefault="00EC0D78" w:rsidP="00C75EA0">
      <w:pPr>
        <w:jc w:val="both"/>
        <w:rPr>
          <w:rFonts w:ascii="Cambria" w:hAnsi="Cambria"/>
          <w:noProof/>
          <w:lang w:val="sr-Latn-ME" w:eastAsia="x-none"/>
        </w:rPr>
      </w:pPr>
      <w:r>
        <w:rPr>
          <w:rFonts w:ascii="Cambria" w:hAnsi="Cambria"/>
          <w:noProof/>
          <w:lang w:eastAsia="x-none"/>
        </w:rPr>
        <w:t>L</w:t>
      </w:r>
      <w:r w:rsidR="0053782D" w:rsidRPr="00AB15C7">
        <w:rPr>
          <w:rFonts w:ascii="Cambria" w:hAnsi="Cambria"/>
          <w:noProof/>
          <w:lang w:eastAsia="x-none"/>
        </w:rPr>
        <w:t xml:space="preserve">aboratorije </w:t>
      </w:r>
      <w:r>
        <w:rPr>
          <w:rFonts w:ascii="Cambria" w:hAnsi="Cambria"/>
          <w:noProof/>
          <w:lang w:eastAsia="x-none"/>
        </w:rPr>
        <w:t xml:space="preserve">Instituta </w:t>
      </w:r>
      <w:r w:rsidR="004C3C34" w:rsidRPr="00AB15C7">
        <w:rPr>
          <w:rFonts w:ascii="Cambria" w:hAnsi="Cambria"/>
          <w:noProof/>
          <w:lang w:val="sr-Latn-ME" w:eastAsia="x-none"/>
        </w:rPr>
        <w:t>pos</w:t>
      </w:r>
      <w:r w:rsidR="00A95211">
        <w:rPr>
          <w:rFonts w:ascii="Cambria" w:hAnsi="Cambria"/>
          <w:noProof/>
          <w:lang w:val="sr-Latn-ME" w:eastAsia="x-none"/>
        </w:rPr>
        <w:t>j</w:t>
      </w:r>
      <w:r w:rsidR="004C3C34" w:rsidRPr="00AB15C7">
        <w:rPr>
          <w:rFonts w:ascii="Cambria" w:hAnsi="Cambria"/>
          <w:noProof/>
          <w:lang w:val="sr-Latn-ME" w:eastAsia="x-none"/>
        </w:rPr>
        <w:t xml:space="preserve">eduju savremenu opremu za instrumentalnu analizu </w:t>
      </w:r>
      <w:r w:rsidR="00B444CA">
        <w:rPr>
          <w:rFonts w:ascii="Cambria" w:hAnsi="Cambria"/>
          <w:noProof/>
          <w:lang w:val="sr-Latn-ME" w:eastAsia="x-none"/>
        </w:rPr>
        <w:t xml:space="preserve"> koja </w:t>
      </w:r>
      <w:r w:rsidR="004C3C34" w:rsidRPr="00AB15C7">
        <w:rPr>
          <w:rFonts w:ascii="Cambria" w:hAnsi="Cambria"/>
          <w:noProof/>
          <w:lang w:val="sr-Latn-ME" w:eastAsia="x-none"/>
        </w:rPr>
        <w:t>uključuj</w:t>
      </w:r>
      <w:r w:rsidR="00B444CA">
        <w:rPr>
          <w:rFonts w:ascii="Cambria" w:hAnsi="Cambria"/>
          <w:noProof/>
          <w:lang w:val="sr-Latn-ME" w:eastAsia="x-none"/>
        </w:rPr>
        <w:t xml:space="preserve">e </w:t>
      </w:r>
      <w:r w:rsidR="004C3C34" w:rsidRPr="00AB15C7">
        <w:rPr>
          <w:rFonts w:ascii="Cambria" w:hAnsi="Cambria"/>
          <w:noProof/>
          <w:lang w:val="sr-Latn-RS" w:eastAsia="x-none"/>
        </w:rPr>
        <w:t>ICP</w:t>
      </w:r>
      <w:r w:rsidR="00A77A59">
        <w:rPr>
          <w:rFonts w:ascii="Cambria" w:hAnsi="Cambria"/>
          <w:noProof/>
          <w:lang w:val="sr-Latn-RS" w:eastAsia="x-none"/>
        </w:rPr>
        <w:t>-</w:t>
      </w:r>
      <w:r w:rsidR="004C3C34" w:rsidRPr="00AB15C7">
        <w:rPr>
          <w:rFonts w:ascii="Cambria" w:hAnsi="Cambria"/>
          <w:noProof/>
          <w:lang w:val="sr-Latn-RS" w:eastAsia="x-none"/>
        </w:rPr>
        <w:t>OES</w:t>
      </w:r>
      <w:r w:rsidR="009E0567">
        <w:rPr>
          <w:rFonts w:ascii="Cambria" w:hAnsi="Cambria"/>
          <w:noProof/>
          <w:vertAlign w:val="superscript"/>
          <w:lang w:val="sr-Latn-RS" w:eastAsia="x-none"/>
        </w:rPr>
        <w:t>42</w:t>
      </w:r>
      <w:r w:rsidR="004C3C34" w:rsidRPr="00AB15C7">
        <w:rPr>
          <w:rFonts w:ascii="Cambria" w:hAnsi="Cambria"/>
          <w:noProof/>
          <w:lang w:val="sr-Latn-RS" w:eastAsia="x-none"/>
        </w:rPr>
        <w:t>, DMA</w:t>
      </w:r>
      <w:r w:rsidR="00A77A59">
        <w:rPr>
          <w:rStyle w:val="FootnoteReference"/>
          <w:rFonts w:ascii="Cambria" w:hAnsi="Cambria"/>
          <w:noProof/>
          <w:lang w:val="sr-Latn-RS" w:eastAsia="x-none"/>
        </w:rPr>
        <w:footnoteReference w:id="47"/>
      </w:r>
      <w:r w:rsidR="004C3C34" w:rsidRPr="00AB15C7">
        <w:rPr>
          <w:rFonts w:ascii="Cambria" w:hAnsi="Cambria"/>
          <w:noProof/>
          <w:lang w:val="sr-Latn-RS" w:eastAsia="x-none"/>
        </w:rPr>
        <w:t>, AAS</w:t>
      </w:r>
      <w:r w:rsidR="009E0567">
        <w:rPr>
          <w:rFonts w:ascii="Cambria" w:hAnsi="Cambria"/>
          <w:noProof/>
          <w:vertAlign w:val="superscript"/>
          <w:lang w:val="sr-Latn-RS" w:eastAsia="x-none"/>
        </w:rPr>
        <w:t>43</w:t>
      </w:r>
      <w:r w:rsidR="004C3C34" w:rsidRPr="00AB15C7">
        <w:rPr>
          <w:rFonts w:ascii="Cambria" w:hAnsi="Cambria"/>
          <w:noProof/>
          <w:lang w:val="sr-Latn-RS" w:eastAsia="x-none"/>
        </w:rPr>
        <w:t>, GFAAS</w:t>
      </w:r>
      <w:r w:rsidR="00A77A59">
        <w:rPr>
          <w:rStyle w:val="FootnoteReference"/>
          <w:rFonts w:ascii="Cambria" w:hAnsi="Cambria"/>
          <w:noProof/>
          <w:lang w:val="sr-Latn-RS" w:eastAsia="x-none"/>
        </w:rPr>
        <w:footnoteReference w:id="48"/>
      </w:r>
      <w:r w:rsidR="004C3C34" w:rsidRPr="00AB15C7">
        <w:rPr>
          <w:rFonts w:ascii="Cambria" w:hAnsi="Cambria"/>
          <w:noProof/>
          <w:lang w:val="sr-Latn-RS" w:eastAsia="x-none"/>
        </w:rPr>
        <w:t>, HPLC</w:t>
      </w:r>
      <w:r w:rsidR="009E0567">
        <w:rPr>
          <w:rFonts w:ascii="Cambria" w:hAnsi="Cambria"/>
          <w:noProof/>
          <w:vertAlign w:val="superscript"/>
          <w:lang w:val="sr-Latn-RS" w:eastAsia="x-none"/>
        </w:rPr>
        <w:t>40</w:t>
      </w:r>
      <w:r w:rsidR="004C3C34" w:rsidRPr="00AB15C7">
        <w:rPr>
          <w:rFonts w:ascii="Cambria" w:hAnsi="Cambria"/>
          <w:noProof/>
          <w:lang w:val="sr-Latn-RS" w:eastAsia="x-none"/>
        </w:rPr>
        <w:t>,  LC</w:t>
      </w:r>
      <w:r w:rsidR="00F16F6C">
        <w:rPr>
          <w:rFonts w:ascii="Cambria" w:hAnsi="Cambria"/>
          <w:noProof/>
          <w:lang w:val="sr-Latn-RS" w:eastAsia="x-none"/>
        </w:rPr>
        <w:t>-</w:t>
      </w:r>
      <w:r w:rsidR="004C3C34" w:rsidRPr="00AB15C7">
        <w:rPr>
          <w:rFonts w:ascii="Cambria" w:hAnsi="Cambria"/>
          <w:noProof/>
          <w:lang w:val="sr-Latn-RS" w:eastAsia="x-none"/>
        </w:rPr>
        <w:t>MS</w:t>
      </w:r>
      <w:r w:rsidR="00F16F6C" w:rsidRPr="00F16F6C">
        <w:rPr>
          <w:rFonts w:ascii="Cambria" w:hAnsi="Cambria"/>
          <w:noProof/>
          <w:vertAlign w:val="superscript"/>
          <w:lang w:val="sr-Latn-RS" w:eastAsia="x-none"/>
        </w:rPr>
        <w:t>3</w:t>
      </w:r>
      <w:r w:rsidR="009E0567">
        <w:rPr>
          <w:rFonts w:ascii="Cambria" w:hAnsi="Cambria"/>
          <w:noProof/>
          <w:vertAlign w:val="superscript"/>
          <w:lang w:val="sr-Latn-RS" w:eastAsia="x-none"/>
        </w:rPr>
        <w:t>9</w:t>
      </w:r>
      <w:r w:rsidR="004C3C34" w:rsidRPr="00AB15C7">
        <w:rPr>
          <w:rFonts w:ascii="Cambria" w:hAnsi="Cambria"/>
          <w:noProof/>
          <w:lang w:val="sr-Latn-RS" w:eastAsia="x-none"/>
        </w:rPr>
        <w:t>, GC</w:t>
      </w:r>
      <w:r w:rsidR="009E0567">
        <w:rPr>
          <w:rFonts w:ascii="Cambria" w:hAnsi="Cambria"/>
          <w:noProof/>
          <w:vertAlign w:val="superscript"/>
          <w:lang w:val="sr-Latn-RS" w:eastAsia="x-none"/>
        </w:rPr>
        <w:t>37</w:t>
      </w:r>
      <w:r w:rsidR="004C3C34" w:rsidRPr="00AB15C7">
        <w:rPr>
          <w:rFonts w:ascii="Cambria" w:hAnsi="Cambria"/>
          <w:noProof/>
          <w:lang w:val="sr-Latn-RS" w:eastAsia="x-none"/>
        </w:rPr>
        <w:t>,  GC</w:t>
      </w:r>
      <w:r w:rsidR="00F16F6C">
        <w:rPr>
          <w:rFonts w:ascii="Cambria" w:hAnsi="Cambria"/>
          <w:noProof/>
          <w:lang w:val="sr-Latn-RS" w:eastAsia="x-none"/>
        </w:rPr>
        <w:t>-</w:t>
      </w:r>
      <w:r w:rsidR="004C3C34" w:rsidRPr="00AB15C7">
        <w:rPr>
          <w:rFonts w:ascii="Cambria" w:hAnsi="Cambria"/>
          <w:noProof/>
          <w:lang w:val="sr-Latn-RS" w:eastAsia="x-none"/>
        </w:rPr>
        <w:t>MS</w:t>
      </w:r>
      <w:r w:rsidR="009E0567">
        <w:rPr>
          <w:rFonts w:ascii="Cambria" w:hAnsi="Cambria"/>
          <w:noProof/>
          <w:vertAlign w:val="superscript"/>
          <w:lang w:val="sr-Latn-RS" w:eastAsia="x-none"/>
        </w:rPr>
        <w:t>36</w:t>
      </w:r>
      <w:r w:rsidR="004C3C34" w:rsidRPr="00AB15C7">
        <w:rPr>
          <w:rFonts w:ascii="Cambria" w:hAnsi="Cambria"/>
          <w:noProof/>
          <w:lang w:val="sr-Latn-RS" w:eastAsia="x-none"/>
        </w:rPr>
        <w:t>, IC</w:t>
      </w:r>
      <w:r w:rsidR="00F16F6C">
        <w:rPr>
          <w:rStyle w:val="FootnoteReference"/>
          <w:rFonts w:ascii="Cambria" w:hAnsi="Cambria"/>
          <w:noProof/>
          <w:lang w:val="sr-Latn-RS" w:eastAsia="x-none"/>
        </w:rPr>
        <w:footnoteReference w:id="49"/>
      </w:r>
      <w:r w:rsidR="004C3C34" w:rsidRPr="00AB15C7">
        <w:rPr>
          <w:rFonts w:ascii="Cambria" w:hAnsi="Cambria"/>
          <w:noProof/>
          <w:lang w:val="sr-Latn-RS" w:eastAsia="x-none"/>
        </w:rPr>
        <w:t>, TOC</w:t>
      </w:r>
      <w:r w:rsidR="009E0567">
        <w:rPr>
          <w:rFonts w:ascii="Cambria" w:hAnsi="Cambria"/>
          <w:noProof/>
          <w:vertAlign w:val="superscript"/>
          <w:lang w:val="sr-Latn-RS" w:eastAsia="x-none"/>
        </w:rPr>
        <w:t>46</w:t>
      </w:r>
      <w:r w:rsidR="004C3C34" w:rsidRPr="00AB15C7">
        <w:rPr>
          <w:rFonts w:ascii="Cambria" w:hAnsi="Cambria"/>
          <w:noProof/>
          <w:lang w:val="sr-Latn-RS" w:eastAsia="x-none"/>
        </w:rPr>
        <w:t>, FTIR</w:t>
      </w:r>
      <w:r w:rsidR="009D56B4">
        <w:rPr>
          <w:rFonts w:ascii="Cambria" w:hAnsi="Cambria"/>
          <w:noProof/>
          <w:vertAlign w:val="superscript"/>
          <w:lang w:val="sr-Latn-RS" w:eastAsia="x-none"/>
        </w:rPr>
        <w:t>45</w:t>
      </w:r>
      <w:r w:rsidR="004C3C34" w:rsidRPr="00AB15C7">
        <w:rPr>
          <w:rFonts w:ascii="Cambria" w:hAnsi="Cambria"/>
          <w:noProof/>
          <w:lang w:val="sr-Latn-RS" w:eastAsia="x-none"/>
        </w:rPr>
        <w:t xml:space="preserve">, </w:t>
      </w:r>
      <w:r w:rsidR="004C3C34" w:rsidRPr="00AB15C7">
        <w:rPr>
          <w:rFonts w:ascii="Cambria" w:hAnsi="Cambria"/>
          <w:bCs/>
          <w:noProof/>
          <w:lang w:eastAsia="x-none"/>
        </w:rPr>
        <w:t>UV/VIS</w:t>
      </w:r>
      <w:r w:rsidR="009D56B4">
        <w:rPr>
          <w:rFonts w:ascii="Cambria" w:hAnsi="Cambria"/>
          <w:bCs/>
          <w:noProof/>
          <w:vertAlign w:val="superscript"/>
          <w:lang w:eastAsia="x-none"/>
        </w:rPr>
        <w:t>44</w:t>
      </w:r>
      <w:r w:rsidR="004C3C34" w:rsidRPr="00AB15C7">
        <w:rPr>
          <w:rFonts w:ascii="Cambria" w:hAnsi="Cambria"/>
          <w:bCs/>
          <w:noProof/>
          <w:lang w:eastAsia="x-none"/>
        </w:rPr>
        <w:t xml:space="preserve"> itd</w:t>
      </w:r>
      <w:r w:rsidR="0035574D">
        <w:rPr>
          <w:rFonts w:ascii="Cambria" w:hAnsi="Cambria"/>
          <w:bCs/>
          <w:noProof/>
          <w:lang w:eastAsia="x-none"/>
        </w:rPr>
        <w:t>.</w:t>
      </w:r>
      <w:r w:rsidR="004C3C34" w:rsidRPr="00AB15C7">
        <w:rPr>
          <w:rFonts w:ascii="Cambria" w:hAnsi="Cambria"/>
          <w:bCs/>
          <w:noProof/>
          <w:lang w:eastAsia="x-none"/>
        </w:rPr>
        <w:t>, kao i adekvatno obučen kadar</w:t>
      </w:r>
      <w:r w:rsidR="0053782D" w:rsidRPr="00AB15C7">
        <w:rPr>
          <w:rFonts w:ascii="Cambria" w:hAnsi="Cambria"/>
          <w:noProof/>
          <w:lang w:eastAsia="x-none"/>
        </w:rPr>
        <w:t xml:space="preserve"> za vršenje fizičko-hemijskih ispitivanja u svim relevantnim uzorcima.</w:t>
      </w:r>
    </w:p>
    <w:p w14:paraId="1707F5C1" w14:textId="77777777" w:rsidR="0053782D" w:rsidRPr="00AB15C7" w:rsidRDefault="0053782D" w:rsidP="00C75EA0">
      <w:pPr>
        <w:spacing w:after="0"/>
        <w:jc w:val="both"/>
        <w:rPr>
          <w:rFonts w:ascii="Cambria" w:hAnsi="Cambria"/>
          <w:noProof/>
          <w:lang w:eastAsia="x-none"/>
        </w:rPr>
      </w:pPr>
      <w:r w:rsidRPr="00AB15C7">
        <w:rPr>
          <w:rFonts w:ascii="Cambria" w:hAnsi="Cambria"/>
          <w:noProof/>
          <w:lang w:eastAsia="x-none"/>
        </w:rPr>
        <w:t>Takodje, pored ovih kapaciteta određena fizičko</w:t>
      </w:r>
      <w:r w:rsidR="00F16F6C">
        <w:rPr>
          <w:rFonts w:ascii="Cambria" w:hAnsi="Cambria"/>
          <w:noProof/>
          <w:lang w:eastAsia="x-none"/>
        </w:rPr>
        <w:t>-</w:t>
      </w:r>
      <w:r w:rsidRPr="00AB15C7">
        <w:rPr>
          <w:rFonts w:ascii="Cambria" w:hAnsi="Cambria"/>
          <w:noProof/>
          <w:lang w:eastAsia="x-none"/>
        </w:rPr>
        <w:t>hemijska ispitivanja</w:t>
      </w:r>
      <w:r w:rsidR="004C3C34" w:rsidRPr="00AB15C7">
        <w:rPr>
          <w:rFonts w:ascii="Cambria" w:hAnsi="Cambria"/>
          <w:noProof/>
          <w:lang w:eastAsia="x-none"/>
        </w:rPr>
        <w:t xml:space="preserve"> u pojedinim vrstama uzoraka</w:t>
      </w:r>
      <w:r w:rsidRPr="00AB15C7">
        <w:rPr>
          <w:rFonts w:ascii="Cambria" w:hAnsi="Cambria"/>
          <w:noProof/>
          <w:lang w:eastAsia="x-none"/>
        </w:rPr>
        <w:t xml:space="preserve"> sprovode se </w:t>
      </w:r>
      <w:r w:rsidR="003F388B" w:rsidRPr="00AB15C7">
        <w:rPr>
          <w:rFonts w:ascii="Cambria" w:hAnsi="Cambria"/>
          <w:noProof/>
          <w:lang w:eastAsia="x-none"/>
        </w:rPr>
        <w:t>i</w:t>
      </w:r>
      <w:r w:rsidRPr="00AB15C7">
        <w:rPr>
          <w:rFonts w:ascii="Cambria" w:hAnsi="Cambria"/>
          <w:noProof/>
          <w:lang w:eastAsia="x-none"/>
        </w:rPr>
        <w:t xml:space="preserve"> u sljedećim ustanovama:</w:t>
      </w:r>
    </w:p>
    <w:p w14:paraId="276BAFF3" w14:textId="77777777" w:rsidR="00DA4171" w:rsidRPr="00AB15C7" w:rsidRDefault="00DA4171" w:rsidP="00557C13">
      <w:pPr>
        <w:numPr>
          <w:ilvl w:val="0"/>
          <w:numId w:val="24"/>
        </w:numPr>
        <w:spacing w:after="0"/>
        <w:jc w:val="both"/>
        <w:rPr>
          <w:rFonts w:ascii="Cambria" w:hAnsi="Cambria"/>
          <w:noProof/>
          <w:lang w:eastAsia="x-none"/>
        </w:rPr>
      </w:pPr>
      <w:r w:rsidRPr="00AB15C7">
        <w:rPr>
          <w:rFonts w:ascii="Cambria" w:hAnsi="Cambria"/>
          <w:b/>
          <w:noProof/>
          <w:lang w:eastAsia="x-none"/>
        </w:rPr>
        <w:t>Hidrometeoroloski Zavod Crne Gore</w:t>
      </w:r>
      <w:r w:rsidRPr="00AB15C7">
        <w:rPr>
          <w:rFonts w:ascii="Cambria" w:hAnsi="Cambria"/>
          <w:noProof/>
          <w:lang w:eastAsia="x-none"/>
        </w:rPr>
        <w:t xml:space="preserve"> akreditovan za </w:t>
      </w:r>
      <w:r w:rsidR="00F16F6C" w:rsidRPr="00F16F6C">
        <w:rPr>
          <w:rFonts w:ascii="Cambria" w:hAnsi="Cambria"/>
          <w:noProof/>
          <w:lang w:eastAsia="x-none"/>
        </w:rPr>
        <w:t xml:space="preserve">fizičko-hemijska </w:t>
      </w:r>
      <w:r w:rsidRPr="00AB15C7">
        <w:rPr>
          <w:rFonts w:ascii="Cambria" w:hAnsi="Cambria"/>
          <w:noProof/>
          <w:lang w:eastAsia="x-none"/>
        </w:rPr>
        <w:t xml:space="preserve">ispitivanja voda i padavina </w:t>
      </w:r>
      <w:r w:rsidR="004C3C34" w:rsidRPr="00AB15C7">
        <w:rPr>
          <w:rFonts w:ascii="Cambria" w:hAnsi="Cambria"/>
          <w:noProof/>
          <w:lang w:eastAsia="x-none"/>
        </w:rPr>
        <w:t>i u</w:t>
      </w:r>
      <w:r w:rsidRPr="00AB15C7">
        <w:rPr>
          <w:rFonts w:ascii="Cambria" w:hAnsi="Cambria"/>
          <w:noProof/>
          <w:lang w:eastAsia="x-none"/>
        </w:rPr>
        <w:t>zimanje uzoraka vode i padavina za fizičko hemijska ispitivanja</w:t>
      </w:r>
    </w:p>
    <w:p w14:paraId="6949D803" w14:textId="4BD1D1F2" w:rsidR="007C1D28" w:rsidRPr="00AB15C7" w:rsidRDefault="007C1D28" w:rsidP="00557C13">
      <w:pPr>
        <w:numPr>
          <w:ilvl w:val="0"/>
          <w:numId w:val="24"/>
        </w:numPr>
        <w:spacing w:after="0"/>
        <w:jc w:val="both"/>
        <w:rPr>
          <w:rFonts w:ascii="Cambria" w:hAnsi="Cambria"/>
          <w:noProof/>
          <w:lang w:eastAsia="x-none"/>
        </w:rPr>
      </w:pPr>
      <w:r w:rsidRPr="00AB15C7">
        <w:rPr>
          <w:rFonts w:ascii="Cambria" w:hAnsi="Cambria"/>
          <w:b/>
          <w:noProof/>
          <w:lang w:eastAsia="x-none"/>
        </w:rPr>
        <w:t xml:space="preserve">Institut za biologiju mora – </w:t>
      </w:r>
      <w:r w:rsidRPr="00AB15C7">
        <w:rPr>
          <w:rFonts w:ascii="Cambria" w:hAnsi="Cambria"/>
          <w:noProof/>
          <w:lang w:eastAsia="x-none"/>
        </w:rPr>
        <w:t>vrši</w:t>
      </w:r>
      <w:r w:rsidRPr="00AB15C7">
        <w:rPr>
          <w:rFonts w:ascii="Cambria" w:hAnsi="Cambria"/>
          <w:b/>
          <w:noProof/>
          <w:lang w:eastAsia="x-none"/>
        </w:rPr>
        <w:t xml:space="preserve"> </w:t>
      </w:r>
      <w:r w:rsidRPr="00AB15C7">
        <w:rPr>
          <w:rFonts w:ascii="Cambria" w:hAnsi="Cambria"/>
          <w:noProof/>
          <w:lang w:eastAsia="x-none"/>
        </w:rPr>
        <w:t>monitoring životne sredine kojim se pored analitičkog određivanja fizičko-hemijskih i bioloških parametara u vodi, sedimentu i bioti</w:t>
      </w:r>
    </w:p>
    <w:p w14:paraId="50F0EA05" w14:textId="577D3365" w:rsidR="00DA4171" w:rsidRPr="00AB15C7" w:rsidRDefault="00EA3D53" w:rsidP="00557C13">
      <w:pPr>
        <w:numPr>
          <w:ilvl w:val="0"/>
          <w:numId w:val="24"/>
        </w:numPr>
        <w:spacing w:after="0"/>
        <w:jc w:val="both"/>
        <w:rPr>
          <w:rFonts w:ascii="Cambria" w:hAnsi="Cambria"/>
          <w:noProof/>
          <w:lang w:eastAsia="x-none"/>
        </w:rPr>
      </w:pPr>
      <w:r w:rsidRPr="00AB15C7">
        <w:rPr>
          <w:rFonts w:ascii="Cambria" w:hAnsi="Cambria"/>
          <w:b/>
          <w:noProof/>
          <w:lang w:eastAsia="x-none"/>
        </w:rPr>
        <w:t>Jugoinspekt Control d.o.o. Bar</w:t>
      </w:r>
      <w:r w:rsidRPr="00AB15C7">
        <w:rPr>
          <w:rFonts w:ascii="Cambria" w:hAnsi="Cambria"/>
          <w:noProof/>
          <w:lang w:eastAsia="x-none"/>
        </w:rPr>
        <w:t xml:space="preserve"> akreditovan za  </w:t>
      </w:r>
      <w:r w:rsidR="00F16F6C" w:rsidRPr="00F16F6C">
        <w:rPr>
          <w:rFonts w:ascii="Cambria" w:hAnsi="Cambria"/>
          <w:noProof/>
          <w:lang w:eastAsia="x-none"/>
        </w:rPr>
        <w:t xml:space="preserve">fizičko-hemijska </w:t>
      </w:r>
      <w:r w:rsidRPr="00AB15C7">
        <w:rPr>
          <w:rFonts w:ascii="Cambria" w:hAnsi="Cambria"/>
          <w:noProof/>
          <w:lang w:eastAsia="x-none"/>
        </w:rPr>
        <w:t>ispitivanja i uzorkovanje goriva</w:t>
      </w:r>
      <w:r w:rsidR="004F6ADC">
        <w:rPr>
          <w:rFonts w:ascii="Cambria" w:hAnsi="Cambria"/>
          <w:noProof/>
          <w:lang w:eastAsia="x-none"/>
        </w:rPr>
        <w:t>.</w:t>
      </w:r>
    </w:p>
    <w:p w14:paraId="454E901E" w14:textId="152D5FAA" w:rsidR="00DA4171" w:rsidRPr="00AB15C7" w:rsidRDefault="00DA4171" w:rsidP="00557C13">
      <w:pPr>
        <w:numPr>
          <w:ilvl w:val="0"/>
          <w:numId w:val="24"/>
        </w:numPr>
        <w:spacing w:after="0"/>
        <w:jc w:val="both"/>
        <w:rPr>
          <w:rFonts w:ascii="Cambria" w:hAnsi="Cambria"/>
          <w:noProof/>
          <w:lang w:eastAsia="x-none"/>
        </w:rPr>
      </w:pPr>
      <w:r w:rsidRPr="00AB15C7">
        <w:rPr>
          <w:rFonts w:ascii="Cambria" w:hAnsi="Cambria"/>
          <w:b/>
          <w:noProof/>
          <w:lang w:eastAsia="x-none"/>
        </w:rPr>
        <w:t>Biotehnički Fakultet Univerziteta Crne Gore</w:t>
      </w:r>
      <w:r w:rsidRPr="00AB15C7">
        <w:rPr>
          <w:rFonts w:ascii="Cambria" w:hAnsi="Cambria"/>
          <w:noProof/>
          <w:lang w:eastAsia="x-none"/>
        </w:rPr>
        <w:t xml:space="preserve">, akreditovan za </w:t>
      </w:r>
      <w:r w:rsidR="00F16F6C" w:rsidRPr="00AB15C7">
        <w:rPr>
          <w:rFonts w:ascii="Cambria" w:hAnsi="Cambria"/>
          <w:noProof/>
          <w:lang w:eastAsia="x-none"/>
        </w:rPr>
        <w:t>fizičko</w:t>
      </w:r>
      <w:r w:rsidRPr="00AB15C7">
        <w:rPr>
          <w:rFonts w:ascii="Cambria" w:hAnsi="Cambria"/>
          <w:noProof/>
          <w:lang w:eastAsia="x-none"/>
        </w:rPr>
        <w:t>-hemijska i mikrobiološka ispitivanja sirovog mlijeka</w:t>
      </w:r>
      <w:r w:rsidR="004F6ADC">
        <w:rPr>
          <w:rFonts w:ascii="Cambria" w:hAnsi="Cambria"/>
          <w:noProof/>
          <w:lang w:eastAsia="x-none"/>
        </w:rPr>
        <w:t>.</w:t>
      </w:r>
    </w:p>
    <w:p w14:paraId="71FBA19E" w14:textId="6FA3D30E" w:rsidR="007C1D28" w:rsidRPr="00AB15C7" w:rsidRDefault="00DA4171" w:rsidP="00557C13">
      <w:pPr>
        <w:numPr>
          <w:ilvl w:val="0"/>
          <w:numId w:val="24"/>
        </w:numPr>
        <w:jc w:val="both"/>
        <w:rPr>
          <w:rFonts w:ascii="Cambria" w:hAnsi="Cambria"/>
          <w:noProof/>
          <w:lang w:eastAsia="x-none"/>
        </w:rPr>
      </w:pPr>
      <w:r w:rsidRPr="00AB15C7">
        <w:rPr>
          <w:rFonts w:ascii="Cambria" w:hAnsi="Cambria"/>
          <w:b/>
          <w:noProof/>
          <w:lang w:eastAsia="x-none"/>
        </w:rPr>
        <w:t>Institut za crnu metalurgiju A.D. Nikšić</w:t>
      </w:r>
      <w:r w:rsidRPr="00AB15C7">
        <w:rPr>
          <w:rFonts w:ascii="Cambria" w:hAnsi="Cambria"/>
          <w:noProof/>
          <w:lang w:eastAsia="x-none"/>
        </w:rPr>
        <w:t xml:space="preserve"> </w:t>
      </w:r>
      <w:bookmarkStart w:id="106" w:name="_Hlk519498874"/>
      <w:r w:rsidRPr="00AB15C7">
        <w:rPr>
          <w:rFonts w:ascii="Cambria" w:hAnsi="Cambria"/>
          <w:noProof/>
          <w:lang w:eastAsia="x-none"/>
        </w:rPr>
        <w:t>akreditovan</w:t>
      </w:r>
      <w:r w:rsidR="007C1D28" w:rsidRPr="00AB15C7">
        <w:rPr>
          <w:rFonts w:ascii="Cambria" w:hAnsi="Cambria"/>
          <w:noProof/>
          <w:lang w:eastAsia="x-none"/>
        </w:rPr>
        <w:t xml:space="preserve">, </w:t>
      </w:r>
      <w:r w:rsidR="00715488" w:rsidRPr="00AB15C7">
        <w:rPr>
          <w:rFonts w:ascii="Cambria" w:hAnsi="Cambria"/>
          <w:noProof/>
          <w:lang w:eastAsia="x-none"/>
        </w:rPr>
        <w:t>izme</w:t>
      </w:r>
      <w:r w:rsidR="00715488">
        <w:rPr>
          <w:rFonts w:ascii="Cambria" w:hAnsi="Cambria"/>
          <w:noProof/>
          <w:lang w:eastAsia="x-none"/>
        </w:rPr>
        <w:t>đ</w:t>
      </w:r>
      <w:r w:rsidR="00715488" w:rsidRPr="00AB15C7">
        <w:rPr>
          <w:rFonts w:ascii="Cambria" w:hAnsi="Cambria"/>
          <w:noProof/>
          <w:lang w:eastAsia="x-none"/>
        </w:rPr>
        <w:t xml:space="preserve">u </w:t>
      </w:r>
      <w:r w:rsidR="003F388B" w:rsidRPr="00AB15C7">
        <w:rPr>
          <w:rFonts w:ascii="Cambria" w:hAnsi="Cambria"/>
          <w:noProof/>
          <w:lang w:eastAsia="x-none"/>
        </w:rPr>
        <w:t>ostalog</w:t>
      </w:r>
      <w:r w:rsidR="007C1D28" w:rsidRPr="00AB15C7">
        <w:rPr>
          <w:rFonts w:ascii="Cambria" w:hAnsi="Cambria"/>
          <w:noProof/>
          <w:lang w:eastAsia="x-none"/>
        </w:rPr>
        <w:t>,</w:t>
      </w:r>
      <w:r w:rsidR="003F388B" w:rsidRPr="00AB15C7">
        <w:rPr>
          <w:rFonts w:ascii="Cambria" w:hAnsi="Cambria"/>
          <w:noProof/>
          <w:lang w:eastAsia="x-none"/>
        </w:rPr>
        <w:t xml:space="preserve"> i za</w:t>
      </w:r>
      <w:bookmarkEnd w:id="106"/>
      <w:r w:rsidR="004F6ADC">
        <w:rPr>
          <w:rFonts w:ascii="Cambria" w:hAnsi="Cambria"/>
          <w:noProof/>
          <w:lang w:eastAsia="x-none"/>
        </w:rPr>
        <w:t xml:space="preserve"> </w:t>
      </w:r>
      <w:r w:rsidR="00CF4064">
        <w:rPr>
          <w:rFonts w:ascii="Cambria" w:hAnsi="Cambria"/>
          <w:noProof/>
          <w:lang w:eastAsia="x-none"/>
        </w:rPr>
        <w:t>ispitivanje</w:t>
      </w:r>
      <w:r w:rsidR="00CF4064" w:rsidRPr="00AB15C7">
        <w:rPr>
          <w:rFonts w:ascii="Cambria" w:hAnsi="Cambria"/>
          <w:noProof/>
          <w:lang w:eastAsia="x-none"/>
        </w:rPr>
        <w:t xml:space="preserve"> </w:t>
      </w:r>
      <w:r w:rsidRPr="00AB15C7">
        <w:rPr>
          <w:rFonts w:ascii="Cambria" w:hAnsi="Cambria"/>
          <w:noProof/>
          <w:lang w:eastAsia="x-none"/>
        </w:rPr>
        <w:t>gvožđ</w:t>
      </w:r>
      <w:r w:rsidR="00CF4064">
        <w:rPr>
          <w:rFonts w:ascii="Cambria" w:hAnsi="Cambria"/>
          <w:noProof/>
          <w:lang w:eastAsia="x-none"/>
        </w:rPr>
        <w:t>a</w:t>
      </w:r>
      <w:r w:rsidRPr="00AB15C7">
        <w:rPr>
          <w:rFonts w:ascii="Cambria" w:hAnsi="Cambria"/>
          <w:noProof/>
          <w:lang w:eastAsia="x-none"/>
        </w:rPr>
        <w:t>, aluminijum</w:t>
      </w:r>
      <w:r w:rsidR="00CF4064">
        <w:rPr>
          <w:rFonts w:ascii="Cambria" w:hAnsi="Cambria"/>
          <w:noProof/>
          <w:lang w:eastAsia="x-none"/>
        </w:rPr>
        <w:t>a,</w:t>
      </w:r>
      <w:r w:rsidRPr="00AB15C7">
        <w:rPr>
          <w:rFonts w:ascii="Cambria" w:hAnsi="Cambria"/>
          <w:noProof/>
          <w:lang w:eastAsia="x-none"/>
        </w:rPr>
        <w:t xml:space="preserve"> bakr</w:t>
      </w:r>
      <w:r w:rsidR="00CF4064" w:rsidRPr="00AB15C7">
        <w:rPr>
          <w:rFonts w:ascii="Cambria" w:hAnsi="Cambria"/>
          <w:noProof/>
          <w:lang w:eastAsia="x-none"/>
        </w:rPr>
        <w:t>a</w:t>
      </w:r>
      <w:r w:rsidRPr="00AB15C7">
        <w:rPr>
          <w:rFonts w:ascii="Cambria" w:hAnsi="Cambria"/>
          <w:noProof/>
          <w:lang w:eastAsia="x-none"/>
        </w:rPr>
        <w:t xml:space="preserve"> i njihov</w:t>
      </w:r>
      <w:r w:rsidR="00CF4064">
        <w:rPr>
          <w:rFonts w:ascii="Cambria" w:hAnsi="Cambria"/>
          <w:noProof/>
          <w:lang w:eastAsia="x-none"/>
        </w:rPr>
        <w:t>ih</w:t>
      </w:r>
      <w:r w:rsidRPr="00AB15C7">
        <w:rPr>
          <w:rFonts w:ascii="Cambria" w:hAnsi="Cambria"/>
          <w:noProof/>
          <w:lang w:eastAsia="x-none"/>
        </w:rPr>
        <w:t xml:space="preserve"> </w:t>
      </w:r>
      <w:r w:rsidR="00CF4064" w:rsidRPr="00AB15C7">
        <w:rPr>
          <w:rFonts w:ascii="Cambria" w:hAnsi="Cambria"/>
          <w:noProof/>
          <w:lang w:eastAsia="x-none"/>
        </w:rPr>
        <w:t>legur</w:t>
      </w:r>
      <w:r w:rsidR="00CF4064">
        <w:rPr>
          <w:rFonts w:ascii="Cambria" w:hAnsi="Cambria"/>
          <w:noProof/>
          <w:lang w:eastAsia="x-none"/>
        </w:rPr>
        <w:t>a</w:t>
      </w:r>
      <w:r w:rsidRPr="00AB15C7">
        <w:rPr>
          <w:rFonts w:ascii="Cambria" w:hAnsi="Cambria"/>
          <w:noProof/>
          <w:lang w:eastAsia="x-none"/>
        </w:rPr>
        <w:t>; čvrsta i tečna goriva;</w:t>
      </w:r>
      <w:r w:rsidR="003F388B" w:rsidRPr="00AB15C7">
        <w:rPr>
          <w:rFonts w:ascii="Cambria" w:hAnsi="Cambria"/>
          <w:noProof/>
          <w:lang w:eastAsia="x-none"/>
        </w:rPr>
        <w:t xml:space="preserve"> </w:t>
      </w:r>
      <w:r w:rsidR="00FA4ED9">
        <w:rPr>
          <w:rFonts w:ascii="Cambria" w:hAnsi="Cambria"/>
          <w:noProof/>
          <w:lang w:eastAsia="x-none"/>
        </w:rPr>
        <w:t>i</w:t>
      </w:r>
      <w:r w:rsidRPr="00AB15C7">
        <w:rPr>
          <w:rFonts w:ascii="Cambria" w:hAnsi="Cambria"/>
          <w:noProof/>
          <w:lang w:eastAsia="x-none"/>
        </w:rPr>
        <w:t xml:space="preserve">spitivanje građevinskih materijala i </w:t>
      </w:r>
      <w:r w:rsidR="00FA4ED9">
        <w:rPr>
          <w:rFonts w:ascii="Cambria" w:hAnsi="Cambria"/>
          <w:noProof/>
          <w:lang w:eastAsia="x-none"/>
        </w:rPr>
        <w:t>f</w:t>
      </w:r>
      <w:r w:rsidRPr="00AB15C7">
        <w:rPr>
          <w:rFonts w:ascii="Cambria" w:hAnsi="Cambria"/>
          <w:noProof/>
          <w:lang w:eastAsia="x-none"/>
        </w:rPr>
        <w:t>izička i hemijska ispitivanja vazduha u radnoj i životnoj sredini.</w:t>
      </w:r>
    </w:p>
    <w:p w14:paraId="49E146BB" w14:textId="77777777" w:rsidR="00C91B63" w:rsidRPr="00AB15C7" w:rsidRDefault="003F388B" w:rsidP="005921EF">
      <w:pPr>
        <w:jc w:val="both"/>
        <w:rPr>
          <w:rFonts w:ascii="Cambria" w:hAnsi="Cambria"/>
          <w:noProof/>
          <w:lang w:eastAsia="x-none"/>
        </w:rPr>
      </w:pPr>
      <w:r w:rsidRPr="00AB15C7">
        <w:rPr>
          <w:rFonts w:ascii="Cambria" w:hAnsi="Cambria"/>
          <w:noProof/>
          <w:lang w:eastAsia="x-none"/>
        </w:rPr>
        <w:t xml:space="preserve">U pogledu toksikoloških </w:t>
      </w:r>
      <w:r w:rsidR="006F10CC" w:rsidRPr="00AB15C7">
        <w:rPr>
          <w:rFonts w:ascii="Cambria" w:hAnsi="Cambria"/>
          <w:noProof/>
          <w:lang w:eastAsia="x-none"/>
        </w:rPr>
        <w:t>i</w:t>
      </w:r>
      <w:r w:rsidRPr="00AB15C7">
        <w:rPr>
          <w:rFonts w:ascii="Cambria" w:hAnsi="Cambria"/>
          <w:noProof/>
          <w:lang w:eastAsia="x-none"/>
        </w:rPr>
        <w:t xml:space="preserve"> ekotoksikoloških ispitivanja svojstava hemikalija u skladu sa sm</w:t>
      </w:r>
      <w:r w:rsidR="00FC44BB" w:rsidRPr="00AB15C7">
        <w:rPr>
          <w:rFonts w:ascii="Cambria" w:hAnsi="Cambria"/>
          <w:noProof/>
          <w:lang w:eastAsia="x-none"/>
        </w:rPr>
        <w:t>j</w:t>
      </w:r>
      <w:r w:rsidRPr="00AB15C7">
        <w:rPr>
          <w:rFonts w:ascii="Cambria" w:hAnsi="Cambria"/>
          <w:noProof/>
          <w:lang w:eastAsia="x-none"/>
        </w:rPr>
        <w:t>ernicama OECD i metodama preuzeti</w:t>
      </w:r>
      <w:r w:rsidR="00EC0D78">
        <w:rPr>
          <w:rFonts w:ascii="Cambria" w:hAnsi="Cambria"/>
          <w:noProof/>
          <w:lang w:eastAsia="x-none"/>
        </w:rPr>
        <w:t>m</w:t>
      </w:r>
      <w:r w:rsidRPr="00AB15C7">
        <w:rPr>
          <w:rFonts w:ascii="Cambria" w:hAnsi="Cambria"/>
          <w:noProof/>
          <w:lang w:eastAsia="x-none"/>
        </w:rPr>
        <w:t xml:space="preserve"> u Pravilnik o metodama ispitivanja opasnih svojstava hemikalije ("Sl. list CG", br. 68/17)</w:t>
      </w:r>
      <w:r w:rsidR="006F10CC" w:rsidRPr="00AB15C7">
        <w:rPr>
          <w:rFonts w:ascii="Cambria" w:hAnsi="Cambria"/>
          <w:noProof/>
          <w:lang w:eastAsia="x-none"/>
        </w:rPr>
        <w:t xml:space="preserve"> iz </w:t>
      </w:r>
      <w:r w:rsidRPr="00AB15C7">
        <w:rPr>
          <w:rFonts w:ascii="Cambria" w:hAnsi="Cambria"/>
          <w:noProof/>
          <w:lang w:eastAsia="x-none"/>
        </w:rPr>
        <w:t>EU Uredbe 440/2008</w:t>
      </w:r>
      <w:r w:rsidR="006F10CC" w:rsidRPr="00AB15C7">
        <w:rPr>
          <w:rFonts w:ascii="Cambria" w:hAnsi="Cambria"/>
          <w:noProof/>
          <w:lang w:eastAsia="x-none"/>
        </w:rPr>
        <w:t>, u Crnoj Gori nema institucija koje sprovode ovakva ispitivanja niti onih koje su rade u skladu sa principima dobre laboratorijske prakse.</w:t>
      </w:r>
    </w:p>
    <w:p w14:paraId="6DBC6F1E" w14:textId="44FF381E" w:rsidR="00D06806" w:rsidRPr="00AB15C7" w:rsidRDefault="00876149" w:rsidP="00557C13">
      <w:pPr>
        <w:pStyle w:val="Heading1"/>
        <w:numPr>
          <w:ilvl w:val="1"/>
          <w:numId w:val="33"/>
        </w:numPr>
        <w:rPr>
          <w:noProof/>
          <w:sz w:val="22"/>
          <w:szCs w:val="22"/>
          <w:lang w:val="en-US"/>
        </w:rPr>
      </w:pPr>
      <w:bookmarkStart w:id="107" w:name="_Toc527227121"/>
      <w:bookmarkStart w:id="108" w:name="_Toc527227122"/>
      <w:bookmarkStart w:id="109" w:name="_Toc527227123"/>
      <w:bookmarkStart w:id="110" w:name="_Toc527353220"/>
      <w:bookmarkEnd w:id="105"/>
      <w:bookmarkEnd w:id="107"/>
      <w:bookmarkEnd w:id="108"/>
      <w:bookmarkEnd w:id="109"/>
      <w:r w:rsidRPr="00AB15C7">
        <w:rPr>
          <w:noProof/>
          <w:sz w:val="22"/>
          <w:szCs w:val="22"/>
          <w:lang w:val="en-US"/>
        </w:rPr>
        <w:t>PRIPREMLJENOST ZA VANREDNE SITUACIJE</w:t>
      </w:r>
      <w:r w:rsidR="00E55FA3">
        <w:rPr>
          <w:noProof/>
          <w:sz w:val="22"/>
          <w:szCs w:val="22"/>
          <w:lang w:val="en-US"/>
        </w:rPr>
        <w:t xml:space="preserve">, UKLJUČUJUĆI </w:t>
      </w:r>
      <w:r w:rsidR="00372201">
        <w:rPr>
          <w:noProof/>
          <w:sz w:val="22"/>
          <w:szCs w:val="22"/>
          <w:lang w:val="en-US"/>
        </w:rPr>
        <w:t xml:space="preserve">HEMIJSKE </w:t>
      </w:r>
      <w:r w:rsidR="00D025A9">
        <w:rPr>
          <w:noProof/>
          <w:sz w:val="22"/>
          <w:szCs w:val="22"/>
          <w:lang w:val="en-US"/>
        </w:rPr>
        <w:t>UDESE</w:t>
      </w:r>
      <w:bookmarkEnd w:id="110"/>
    </w:p>
    <w:p w14:paraId="218DBCCC" w14:textId="77777777" w:rsidR="00D06806" w:rsidRPr="00AB15C7" w:rsidRDefault="00D06806" w:rsidP="005921EF">
      <w:pPr>
        <w:pStyle w:val="Heading2"/>
        <w:rPr>
          <w:noProof/>
          <w:sz w:val="22"/>
          <w:szCs w:val="22"/>
          <w:lang w:val="en-US"/>
        </w:rPr>
      </w:pPr>
      <w:bookmarkStart w:id="111" w:name="_Toc527353221"/>
      <w:r w:rsidRPr="00AB15C7">
        <w:rPr>
          <w:noProof/>
          <w:sz w:val="22"/>
          <w:szCs w:val="22"/>
          <w:lang w:val="en-US"/>
        </w:rPr>
        <w:t>2.9.1.</w:t>
      </w:r>
      <w:r w:rsidRPr="00AB15C7">
        <w:rPr>
          <w:noProof/>
          <w:sz w:val="22"/>
          <w:szCs w:val="22"/>
          <w:lang w:val="en-US"/>
        </w:rPr>
        <w:tab/>
      </w:r>
      <w:r w:rsidR="00372201">
        <w:rPr>
          <w:noProof/>
          <w:sz w:val="22"/>
          <w:szCs w:val="22"/>
          <w:lang w:val="en-US"/>
        </w:rPr>
        <w:t>Nadležnosti</w:t>
      </w:r>
      <w:r w:rsidRPr="00AB15C7">
        <w:rPr>
          <w:noProof/>
          <w:sz w:val="22"/>
          <w:szCs w:val="22"/>
          <w:lang w:val="en-US"/>
        </w:rPr>
        <w:t xml:space="preserve"> u vanrednoj situaciji</w:t>
      </w:r>
      <w:bookmarkEnd w:id="111"/>
    </w:p>
    <w:p w14:paraId="5590A584" w14:textId="06835748" w:rsidR="008F5A7E" w:rsidRPr="00AB15C7" w:rsidRDefault="008F5A7E" w:rsidP="00B73E19">
      <w:pPr>
        <w:spacing w:before="120"/>
        <w:jc w:val="both"/>
        <w:rPr>
          <w:rFonts w:ascii="Cambria" w:hAnsi="Cambria"/>
          <w:noProof/>
          <w:lang w:eastAsia="x-none"/>
        </w:rPr>
      </w:pPr>
      <w:r w:rsidRPr="00AB15C7">
        <w:rPr>
          <w:rFonts w:ascii="Cambria" w:hAnsi="Cambria"/>
          <w:b/>
          <w:noProof/>
          <w:lang w:val="sr-Latn-CS" w:eastAsia="x-none"/>
        </w:rPr>
        <w:t>Ministarstv</w:t>
      </w:r>
      <w:r w:rsidR="005C6796" w:rsidRPr="00AB15C7">
        <w:rPr>
          <w:rFonts w:ascii="Cambria" w:hAnsi="Cambria"/>
          <w:b/>
          <w:noProof/>
          <w:lang w:val="sr-Latn-CS" w:eastAsia="x-none"/>
        </w:rPr>
        <w:t>o</w:t>
      </w:r>
      <w:r w:rsidRPr="00AB15C7">
        <w:rPr>
          <w:rFonts w:ascii="Cambria" w:hAnsi="Cambria"/>
          <w:b/>
          <w:noProof/>
          <w:lang w:val="sr-Latn-CS" w:eastAsia="x-none"/>
        </w:rPr>
        <w:t xml:space="preserve"> unutrašnjih poslova (</w:t>
      </w:r>
      <w:r w:rsidRPr="00AB15C7">
        <w:rPr>
          <w:rFonts w:ascii="Cambria" w:hAnsi="Cambria"/>
          <w:b/>
          <w:noProof/>
          <w:lang w:eastAsia="x-none"/>
        </w:rPr>
        <w:t>MUP) - Direktorat za vanredne situacije</w:t>
      </w:r>
      <w:r w:rsidRPr="00AB15C7">
        <w:rPr>
          <w:rFonts w:ascii="Cambria" w:hAnsi="Cambria"/>
          <w:noProof/>
          <w:lang w:eastAsia="x-none"/>
        </w:rPr>
        <w:t xml:space="preserve"> je nadležna institucija za upravljanje rizicima, upravljanje zaštitom i spašavanjem u vanrednim situacijama i upravljanje sanacijom posljedica u vanrednim situacijama (uključujući i tehničko-tehnološke </w:t>
      </w:r>
      <w:r w:rsidR="00D13F5F">
        <w:rPr>
          <w:rFonts w:ascii="Cambria" w:hAnsi="Cambria"/>
          <w:noProof/>
          <w:lang w:eastAsia="x-none"/>
        </w:rPr>
        <w:t xml:space="preserve"> hemijske </w:t>
      </w:r>
      <w:r w:rsidR="00D025A9">
        <w:rPr>
          <w:rFonts w:ascii="Cambria" w:hAnsi="Cambria"/>
          <w:noProof/>
          <w:lang w:eastAsia="x-none"/>
        </w:rPr>
        <w:t>udese</w:t>
      </w:r>
      <w:r w:rsidRPr="00AB15C7">
        <w:rPr>
          <w:rFonts w:ascii="Cambria" w:hAnsi="Cambria"/>
          <w:noProof/>
          <w:lang w:eastAsia="x-none"/>
        </w:rPr>
        <w:t xml:space="preserve">). U okviru procesa EU aproksimacije u oblasti civilne zaštite, MUP je primarno nadležna institucija za propise o civilnoj zaštiti koji su obuhvaćeni pregovaračkim poglavljem 27.  Takođe, u cilju efikasne transpozicije i implementacije Direktive 2012/18/EU o kontroli opasnosti od većih udesa koji uključuju opasne supstance (SEVESO III) vrlo je značajno aktivno učešće Direktorata za vanredne situacije u svim aktivnostima MORT i </w:t>
      </w:r>
      <w:r w:rsidR="00E656A7">
        <w:rPr>
          <w:rFonts w:ascii="Cambria" w:hAnsi="Cambria"/>
          <w:noProof/>
          <w:lang w:eastAsia="x-none"/>
        </w:rPr>
        <w:t>AZPŽS</w:t>
      </w:r>
      <w:r w:rsidR="00E656A7" w:rsidRPr="00AB15C7">
        <w:rPr>
          <w:rFonts w:ascii="Cambria" w:hAnsi="Cambria"/>
          <w:noProof/>
          <w:lang w:eastAsia="x-none"/>
        </w:rPr>
        <w:t xml:space="preserve"> </w:t>
      </w:r>
      <w:r w:rsidRPr="00AB15C7">
        <w:rPr>
          <w:rFonts w:ascii="Cambria" w:hAnsi="Cambria"/>
          <w:noProof/>
          <w:lang w:eastAsia="x-none"/>
        </w:rPr>
        <w:t xml:space="preserve">kao primarno nadležnih institucija. </w:t>
      </w:r>
    </w:p>
    <w:p w14:paraId="292A96C4" w14:textId="77777777" w:rsidR="005C6796" w:rsidRPr="00AB15C7" w:rsidRDefault="005C6796" w:rsidP="005921EF">
      <w:pPr>
        <w:jc w:val="both"/>
        <w:rPr>
          <w:rFonts w:ascii="Cambria" w:hAnsi="Cambria"/>
          <w:noProof/>
          <w:lang w:eastAsia="x-none"/>
        </w:rPr>
      </w:pPr>
      <w:r w:rsidRPr="00AB15C7">
        <w:rPr>
          <w:rFonts w:ascii="Cambria" w:hAnsi="Cambria"/>
          <w:noProof/>
          <w:lang w:eastAsia="x-none"/>
        </w:rPr>
        <w:t xml:space="preserve">Oblast zaštite i spašavanja uređena je </w:t>
      </w:r>
      <w:r w:rsidRPr="00AB15C7">
        <w:rPr>
          <w:rFonts w:ascii="Cambria" w:hAnsi="Cambria"/>
          <w:b/>
          <w:noProof/>
          <w:lang w:eastAsia="x-none"/>
        </w:rPr>
        <w:t>Zakonom o zaštiti i spašavanju</w:t>
      </w:r>
      <w:r w:rsidRPr="00AB15C7">
        <w:rPr>
          <w:rFonts w:ascii="Cambria" w:hAnsi="Cambria"/>
          <w:noProof/>
          <w:lang w:eastAsia="x-none"/>
        </w:rPr>
        <w:t xml:space="preserve"> („Službeni list CG”, br. 13/07, 32/11 i 54/16) koji, izme</w:t>
      </w:r>
      <w:r w:rsidRPr="00AB15C7">
        <w:rPr>
          <w:rFonts w:ascii="Cambria" w:hAnsi="Cambria"/>
          <w:noProof/>
          <w:lang w:val="sr-Latn-RS" w:eastAsia="x-none"/>
        </w:rPr>
        <w:t>đ</w:t>
      </w:r>
      <w:r w:rsidRPr="00AB15C7">
        <w:rPr>
          <w:rFonts w:ascii="Cambria" w:hAnsi="Cambria"/>
          <w:noProof/>
          <w:lang w:eastAsia="x-none"/>
        </w:rPr>
        <w:t xml:space="preserve">u ostalog, obuhvata i skup mjera i radnji koje se preduzimaju u cilju otkrivanja i sprečavanja nastajanja opasnosti i posljedica tehničko-tehnoloških nesreća, hemijskih  kontaminacija, i drugih nesreća koje mogu ugroziti ili ugrožavaju stanovništvo, materijalna dobra i životnu sredinu. Takođe, Zakon o zaštiti i spašavanju definiše rukovođenje i koordiniranje u zaštiti i spašavanju, kao i druge elemente neophodne za funkcionisanje sistema zaštite i spašavanja. </w:t>
      </w:r>
    </w:p>
    <w:p w14:paraId="61E6A090" w14:textId="12E68840" w:rsidR="008F5A7E" w:rsidRDefault="008F5A7E" w:rsidP="005921EF">
      <w:pPr>
        <w:jc w:val="both"/>
        <w:rPr>
          <w:rFonts w:ascii="Cambria" w:hAnsi="Cambria"/>
          <w:noProof/>
          <w:lang w:val="pl-PL" w:eastAsia="x-none"/>
        </w:rPr>
      </w:pPr>
      <w:r w:rsidRPr="00AB15C7">
        <w:rPr>
          <w:rFonts w:ascii="Cambria" w:hAnsi="Cambria"/>
          <w:noProof/>
          <w:lang w:val="sr-Latn-CS" w:eastAsia="x-none"/>
        </w:rPr>
        <w:t xml:space="preserve">U nadležnosti MUP su i </w:t>
      </w:r>
      <w:r w:rsidRPr="00AB15C7">
        <w:rPr>
          <w:rFonts w:ascii="Cambria" w:hAnsi="Cambria"/>
          <w:b/>
          <w:noProof/>
          <w:lang w:val="sr-Latn-CS" w:eastAsia="x-none"/>
        </w:rPr>
        <w:t xml:space="preserve">Zakon o prevozu opasnih materija </w:t>
      </w:r>
      <w:r w:rsidRPr="00AB15C7">
        <w:rPr>
          <w:rFonts w:ascii="Cambria" w:hAnsi="Cambria"/>
          <w:noProof/>
          <w:lang w:val="pl-PL" w:eastAsia="x-none"/>
        </w:rPr>
        <w:t xml:space="preserve">(„Službeni list CG”, broj </w:t>
      </w:r>
      <w:r w:rsidRPr="00AB15C7">
        <w:rPr>
          <w:rFonts w:ascii="Cambria" w:hAnsi="Cambria"/>
          <w:noProof/>
          <w:lang w:val="sr-Latn-CS" w:eastAsia="x-none"/>
        </w:rPr>
        <w:t>33/14</w:t>
      </w:r>
      <w:r w:rsidR="0094668D">
        <w:rPr>
          <w:rFonts w:ascii="Cambria" w:hAnsi="Cambria"/>
          <w:noProof/>
          <w:lang w:val="sr-Latn-CS" w:eastAsia="x-none"/>
        </w:rPr>
        <w:t>, 13/18</w:t>
      </w:r>
      <w:r w:rsidRPr="00AB15C7">
        <w:rPr>
          <w:rFonts w:ascii="Cambria" w:hAnsi="Cambria"/>
          <w:noProof/>
          <w:lang w:val="pl-PL" w:eastAsia="x-none"/>
        </w:rPr>
        <w:t xml:space="preserve">) koji obuhvata </w:t>
      </w:r>
      <w:r w:rsidRPr="00AB15C7">
        <w:rPr>
          <w:rFonts w:ascii="Cambria" w:hAnsi="Cambria"/>
          <w:noProof/>
          <w:lang w:val="sr-Latn-CS" w:eastAsia="x-none"/>
        </w:rPr>
        <w:t xml:space="preserve">prevoz opasnih materija u drumskom, željezničkom, pomorskom i vazdušnom saobraćaju, </w:t>
      </w:r>
      <w:r w:rsidRPr="00AB15C7">
        <w:rPr>
          <w:rFonts w:ascii="Cambria" w:hAnsi="Cambria"/>
          <w:b/>
          <w:noProof/>
          <w:lang w:val="sr-Latn-CS" w:eastAsia="x-none"/>
        </w:rPr>
        <w:lastRenderedPageBreak/>
        <w:t xml:space="preserve">Zakon o zapaljivim tečnostima i gasovima </w:t>
      </w:r>
      <w:r w:rsidRPr="00AB15C7">
        <w:rPr>
          <w:rFonts w:ascii="Cambria" w:hAnsi="Cambria"/>
          <w:noProof/>
          <w:lang w:val="pl-PL" w:eastAsia="x-none"/>
        </w:rPr>
        <w:t xml:space="preserve">(“Službeni list CG”, br. 26/10, 48/15) koji propisuje da se u cilju zaštite života, zdravlja i bezbjednosti ljudi, životinja i biljaka, životne sredine i imovine, prilikom izgradnje i rekonstrukcije objekata, skladištenja, držanja, prometa, rukovanja i upotrebe zapaljivih tečnosti i gasova, moraju sprovoditi preventivne i zaštitne mjere bezbjednosti, kao i </w:t>
      </w:r>
      <w:r w:rsidRPr="00AB15C7">
        <w:rPr>
          <w:rFonts w:ascii="Cambria" w:hAnsi="Cambria"/>
          <w:b/>
          <w:noProof/>
          <w:lang w:val="sr-Latn-CS" w:eastAsia="x-none"/>
        </w:rPr>
        <w:t>Zakon o eksplozivnim materijama</w:t>
      </w:r>
      <w:r w:rsidRPr="00AB15C7">
        <w:rPr>
          <w:rFonts w:ascii="Cambria" w:hAnsi="Cambria"/>
          <w:noProof/>
          <w:lang w:val="sr-Latn-CS" w:eastAsia="x-none"/>
        </w:rPr>
        <w:t xml:space="preserve"> (“Službeni list CG”, br. 49/08, 31/14 i 31/17</w:t>
      </w:r>
      <w:r w:rsidRPr="00AB15C7">
        <w:rPr>
          <w:rFonts w:ascii="Cambria" w:hAnsi="Cambria"/>
          <w:noProof/>
          <w:lang w:val="pl-PL" w:eastAsia="x-none"/>
        </w:rPr>
        <w:t xml:space="preserve">) koji </w:t>
      </w:r>
      <w:r w:rsidRPr="00AB15C7">
        <w:rPr>
          <w:rFonts w:ascii="Cambria" w:hAnsi="Cambria"/>
          <w:noProof/>
          <w:lang w:val="sr-Latn-CS" w:eastAsia="x-none"/>
        </w:rPr>
        <w:t>propisuje uslove za proizvodnju, promet, nabavku, skladištenje i upotrebu eksplozivnih materija radi zaštite života, zdravlja i bezbjednosti ljudi, životinja i biljaka, životne sredine i imovine, kao i pitanja od značaja za obavljanje ove djelatnosti</w:t>
      </w:r>
      <w:r w:rsidRPr="00AB15C7">
        <w:rPr>
          <w:rFonts w:ascii="Cambria" w:hAnsi="Cambria"/>
          <w:noProof/>
          <w:lang w:val="pl-PL" w:eastAsia="x-none"/>
        </w:rPr>
        <w:t>.</w:t>
      </w:r>
    </w:p>
    <w:p w14:paraId="16CE4C50" w14:textId="77777777" w:rsidR="00490BA0" w:rsidRPr="00AB15C7" w:rsidRDefault="00D06806" w:rsidP="005921EF">
      <w:pPr>
        <w:pStyle w:val="Heading2"/>
        <w:rPr>
          <w:noProof/>
          <w:sz w:val="22"/>
          <w:szCs w:val="22"/>
          <w:lang w:val="en-US"/>
        </w:rPr>
      </w:pPr>
      <w:bookmarkStart w:id="112" w:name="_Toc527353222"/>
      <w:r w:rsidRPr="00AB15C7">
        <w:rPr>
          <w:noProof/>
          <w:sz w:val="22"/>
          <w:szCs w:val="22"/>
          <w:lang w:val="en-US"/>
        </w:rPr>
        <w:t>2.</w:t>
      </w:r>
      <w:r w:rsidR="00A17268" w:rsidRPr="00AB15C7">
        <w:rPr>
          <w:noProof/>
          <w:sz w:val="22"/>
          <w:szCs w:val="22"/>
          <w:lang w:val="en-US"/>
        </w:rPr>
        <w:t>9.</w:t>
      </w:r>
      <w:r w:rsidRPr="00AB15C7">
        <w:rPr>
          <w:noProof/>
          <w:sz w:val="22"/>
          <w:szCs w:val="22"/>
          <w:lang w:val="en-US"/>
        </w:rPr>
        <w:t>2</w:t>
      </w:r>
      <w:r w:rsidR="00D74244" w:rsidRPr="00AB15C7">
        <w:rPr>
          <w:noProof/>
          <w:sz w:val="22"/>
          <w:szCs w:val="22"/>
          <w:lang w:val="en-US"/>
        </w:rPr>
        <w:t xml:space="preserve">. </w:t>
      </w:r>
      <w:r w:rsidR="00A17268" w:rsidRPr="00AB15C7">
        <w:rPr>
          <w:noProof/>
          <w:sz w:val="22"/>
          <w:szCs w:val="22"/>
          <w:lang w:val="en-US"/>
        </w:rPr>
        <w:t xml:space="preserve"> </w:t>
      </w:r>
      <w:r w:rsidR="00565D01" w:rsidRPr="00AB15C7">
        <w:rPr>
          <w:noProof/>
          <w:sz w:val="22"/>
          <w:szCs w:val="22"/>
          <w:lang w:val="en-US"/>
        </w:rPr>
        <w:t>Plani</w:t>
      </w:r>
      <w:r w:rsidR="001C0283">
        <w:rPr>
          <w:noProof/>
          <w:sz w:val="22"/>
          <w:szCs w:val="22"/>
          <w:lang w:val="en-US"/>
        </w:rPr>
        <w:t>r</w:t>
      </w:r>
      <w:r w:rsidR="00565D01" w:rsidRPr="00AB15C7">
        <w:rPr>
          <w:noProof/>
          <w:sz w:val="22"/>
          <w:szCs w:val="22"/>
          <w:lang w:val="en-US"/>
        </w:rPr>
        <w:t>anje</w:t>
      </w:r>
      <w:bookmarkEnd w:id="112"/>
      <w:r w:rsidR="00565D01" w:rsidRPr="00AB15C7">
        <w:rPr>
          <w:noProof/>
          <w:sz w:val="22"/>
          <w:szCs w:val="22"/>
          <w:lang w:val="en-US"/>
        </w:rPr>
        <w:t xml:space="preserve"> </w:t>
      </w:r>
    </w:p>
    <w:p w14:paraId="035269FD" w14:textId="3A6BCD81" w:rsidR="006F4F6E" w:rsidRPr="00AB15C7" w:rsidRDefault="00C92787" w:rsidP="00B73E19">
      <w:pPr>
        <w:spacing w:before="120"/>
        <w:jc w:val="both"/>
        <w:rPr>
          <w:rFonts w:ascii="Cambria" w:hAnsi="Cambria"/>
          <w:noProof/>
          <w:lang w:eastAsia="x-none"/>
        </w:rPr>
      </w:pPr>
      <w:r>
        <w:rPr>
          <w:rFonts w:ascii="Cambria" w:hAnsi="Cambria"/>
          <w:noProof/>
          <w:lang w:eastAsia="x-none"/>
        </w:rPr>
        <w:t>P</w:t>
      </w:r>
      <w:r w:rsidR="006F4F6E" w:rsidRPr="00AB15C7">
        <w:rPr>
          <w:rFonts w:ascii="Cambria" w:hAnsi="Cambria"/>
          <w:noProof/>
          <w:lang w:eastAsia="x-none"/>
        </w:rPr>
        <w:t>lan aktivnosti za implementaciju</w:t>
      </w:r>
      <w:r w:rsidR="00C5663D" w:rsidRPr="00AB15C7">
        <w:rPr>
          <w:rFonts w:ascii="Cambria" w:hAnsi="Cambria"/>
          <w:noProof/>
          <w:lang w:eastAsia="x-none"/>
        </w:rPr>
        <w:t xml:space="preserve"> </w:t>
      </w:r>
      <w:r w:rsidR="00DA2995" w:rsidRPr="00AB15C7">
        <w:rPr>
          <w:rFonts w:ascii="Cambria" w:hAnsi="Cambria"/>
          <w:noProof/>
          <w:lang w:eastAsia="x-none"/>
        </w:rPr>
        <w:t xml:space="preserve">relevantnih propisa </w:t>
      </w:r>
      <w:r w:rsidRPr="00110DC4">
        <w:rPr>
          <w:rFonts w:ascii="Cambria" w:hAnsi="Cambria"/>
          <w:noProof/>
          <w:lang w:eastAsia="x-none"/>
        </w:rPr>
        <w:t xml:space="preserve">u vezi </w:t>
      </w:r>
      <w:r w:rsidRPr="00C92787">
        <w:rPr>
          <w:rFonts w:ascii="Cambria" w:hAnsi="Cambria"/>
          <w:noProof/>
          <w:lang w:eastAsia="x-none"/>
        </w:rPr>
        <w:t xml:space="preserve">sa hemijskim </w:t>
      </w:r>
      <w:r w:rsidR="00110DC4">
        <w:rPr>
          <w:rFonts w:ascii="Cambria" w:hAnsi="Cambria"/>
          <w:noProof/>
          <w:lang w:eastAsia="x-none"/>
        </w:rPr>
        <w:t>udesima</w:t>
      </w:r>
      <w:r w:rsidR="00110DC4" w:rsidRPr="00C92787">
        <w:rPr>
          <w:rFonts w:ascii="Cambria" w:hAnsi="Cambria"/>
          <w:noProof/>
          <w:lang w:eastAsia="x-none"/>
        </w:rPr>
        <w:t xml:space="preserve"> </w:t>
      </w:r>
      <w:r w:rsidRPr="00C92787">
        <w:rPr>
          <w:rFonts w:ascii="Cambria" w:hAnsi="Cambria"/>
          <w:noProof/>
          <w:lang w:eastAsia="x-none"/>
        </w:rPr>
        <w:t>i civiln</w:t>
      </w:r>
      <w:r>
        <w:rPr>
          <w:rFonts w:ascii="Cambria" w:hAnsi="Cambria"/>
          <w:noProof/>
          <w:lang w:eastAsia="x-none"/>
        </w:rPr>
        <w:t>o</w:t>
      </w:r>
      <w:r w:rsidRPr="00C92787">
        <w:rPr>
          <w:rFonts w:ascii="Cambria" w:hAnsi="Cambria"/>
          <w:noProof/>
          <w:lang w:eastAsia="x-none"/>
        </w:rPr>
        <w:t>m zaštitom</w:t>
      </w:r>
      <w:r w:rsidRPr="00AB15C7">
        <w:rPr>
          <w:rFonts w:ascii="Cambria" w:hAnsi="Cambria"/>
          <w:noProof/>
          <w:lang w:eastAsia="x-none"/>
        </w:rPr>
        <w:t xml:space="preserve"> </w:t>
      </w:r>
      <w:r w:rsidR="00DA2995" w:rsidRPr="00AB15C7">
        <w:rPr>
          <w:rFonts w:ascii="Cambria" w:hAnsi="Cambria"/>
          <w:noProof/>
          <w:lang w:eastAsia="x-none"/>
        </w:rPr>
        <w:t>utvrđen je u</w:t>
      </w:r>
      <w:r>
        <w:rPr>
          <w:rFonts w:ascii="Cambria" w:hAnsi="Cambria"/>
          <w:noProof/>
          <w:lang w:eastAsia="x-none"/>
        </w:rPr>
        <w:t xml:space="preserve"> okviru </w:t>
      </w:r>
      <w:r w:rsidR="00DA2995" w:rsidRPr="00AB15C7">
        <w:rPr>
          <w:rFonts w:ascii="Cambria" w:hAnsi="Cambria"/>
          <w:b/>
          <w:noProof/>
          <w:lang w:eastAsia="x-none"/>
        </w:rPr>
        <w:t>Nacionaln</w:t>
      </w:r>
      <w:r>
        <w:rPr>
          <w:rFonts w:ascii="Cambria" w:hAnsi="Cambria"/>
          <w:b/>
          <w:noProof/>
          <w:lang w:eastAsia="x-none"/>
        </w:rPr>
        <w:t>e</w:t>
      </w:r>
      <w:r w:rsidR="00DA2995" w:rsidRPr="00AB15C7">
        <w:rPr>
          <w:rFonts w:ascii="Cambria" w:hAnsi="Cambria"/>
          <w:b/>
          <w:noProof/>
          <w:lang w:eastAsia="x-none"/>
        </w:rPr>
        <w:t xml:space="preserve"> strategij</w:t>
      </w:r>
      <w:r>
        <w:rPr>
          <w:rFonts w:ascii="Cambria" w:hAnsi="Cambria"/>
          <w:b/>
          <w:noProof/>
          <w:lang w:eastAsia="x-none"/>
        </w:rPr>
        <w:t>e</w:t>
      </w:r>
      <w:r w:rsidR="00DA2995" w:rsidRPr="00AB15C7">
        <w:rPr>
          <w:rFonts w:ascii="Cambria" w:hAnsi="Cambria"/>
          <w:b/>
          <w:noProof/>
          <w:lang w:eastAsia="x-none"/>
        </w:rPr>
        <w:t xml:space="preserve"> za transpoziciju, implementaciju i primjenu pravne tekovine EU u oblasti životne sredine i klimatskih promjena s akcionim planom za period 2016-2020</w:t>
      </w:r>
      <w:r w:rsidR="006F4F6E" w:rsidRPr="00AB15C7">
        <w:rPr>
          <w:rFonts w:ascii="Cambria" w:hAnsi="Cambria"/>
          <w:noProof/>
          <w:lang w:eastAsia="x-none"/>
        </w:rPr>
        <w:t xml:space="preserve">. </w:t>
      </w:r>
      <w:r w:rsidR="00DA2995" w:rsidRPr="00AB15C7">
        <w:rPr>
          <w:rFonts w:ascii="Cambria" w:hAnsi="Cambria"/>
          <w:noProof/>
          <w:lang w:eastAsia="x-none"/>
        </w:rPr>
        <w:t>Ovaj plan</w:t>
      </w:r>
      <w:r w:rsidR="006F4F6E" w:rsidRPr="00AB15C7">
        <w:rPr>
          <w:rFonts w:ascii="Cambria" w:hAnsi="Cambria"/>
          <w:noProof/>
          <w:lang w:eastAsia="x-none"/>
        </w:rPr>
        <w:t xml:space="preserve"> predviđa ključne mjere, koje se odnose prvenstveno na primjenu zakona i podzakonskih akata usklađenih sa ključnim direktivama, Direktivnom 2010/75/EU o industrijskim emisijama (</w:t>
      </w:r>
      <w:r w:rsidR="006F4F6E" w:rsidRPr="00AB15C7">
        <w:rPr>
          <w:rFonts w:ascii="Cambria" w:hAnsi="Cambria"/>
          <w:i/>
          <w:iCs/>
          <w:noProof/>
          <w:lang w:eastAsia="x-none"/>
        </w:rPr>
        <w:t>IED</w:t>
      </w:r>
      <w:r w:rsidR="006F4F6E" w:rsidRPr="00AB15C7">
        <w:rPr>
          <w:rFonts w:ascii="Cambria" w:hAnsi="Cambria"/>
          <w:noProof/>
          <w:lang w:eastAsia="x-none"/>
        </w:rPr>
        <w:t>) i Direktivom 2012/18/EU o kontroli opasnosti od većih udesa koji uključuju opasne supstance (SEVESO III). Identifikacija</w:t>
      </w:r>
      <w:r w:rsidR="00ED2577">
        <w:rPr>
          <w:rFonts w:ascii="Cambria" w:hAnsi="Cambria"/>
          <w:noProof/>
          <w:lang w:eastAsia="x-none"/>
        </w:rPr>
        <w:t xml:space="preserve"> </w:t>
      </w:r>
      <w:r w:rsidR="00A0690D" w:rsidRPr="00AB15C7">
        <w:rPr>
          <w:rFonts w:ascii="Cambria" w:hAnsi="Cambria"/>
          <w:noProof/>
          <w:lang w:eastAsia="x-none"/>
        </w:rPr>
        <w:t>“seveso” postrojenja</w:t>
      </w:r>
      <w:r w:rsidR="006F4F6E" w:rsidRPr="00AB15C7">
        <w:rPr>
          <w:rFonts w:ascii="Cambria" w:hAnsi="Cambria"/>
          <w:noProof/>
          <w:lang w:eastAsia="x-none"/>
        </w:rPr>
        <w:t xml:space="preserve"> </w:t>
      </w:r>
      <w:r w:rsidR="00110DC4">
        <w:rPr>
          <w:rFonts w:ascii="Cambria" w:hAnsi="Cambria"/>
          <w:noProof/>
          <w:lang w:eastAsia="x-none"/>
        </w:rPr>
        <w:t>je u dalje u toku</w:t>
      </w:r>
      <w:r w:rsidR="006F4F6E" w:rsidRPr="00AB15C7">
        <w:rPr>
          <w:rFonts w:ascii="Cambria" w:hAnsi="Cambria"/>
          <w:noProof/>
          <w:lang w:eastAsia="x-none"/>
        </w:rPr>
        <w:t>. Isto tako planirano je da se uspostavi registar zagađivača sa podacima o emisijama u skladu sa Regulativom E-PRTR (EZ) br. 166/2006 i pokrenu aktivnosti za primjenu mehanizma EMAS-a i Eko označavanja.</w:t>
      </w:r>
    </w:p>
    <w:p w14:paraId="0BB8C8FC" w14:textId="77777777" w:rsidR="006F4F6E" w:rsidRPr="00AB15C7" w:rsidRDefault="006F4F6E" w:rsidP="005921EF">
      <w:pPr>
        <w:jc w:val="both"/>
        <w:rPr>
          <w:rFonts w:ascii="Cambria" w:hAnsi="Cambria"/>
          <w:noProof/>
          <w:lang w:eastAsia="x-none"/>
        </w:rPr>
      </w:pPr>
      <w:r w:rsidRPr="00AB15C7">
        <w:rPr>
          <w:rFonts w:ascii="Cambria" w:hAnsi="Cambria"/>
          <w:noProof/>
          <w:lang w:eastAsia="x-none"/>
        </w:rPr>
        <w:t xml:space="preserve">Crna Gora bez podrške drugih država i aktiviranja Mehanizma za civilnu zaštitu Unije ne može efikasno da se bori sa katastrofama, jer je neophodno aktivirati određene resurse kojih nema u Crnoj Gori, a kojima raspolažu zemlje članice (spasilački timovi, transport, oprema, medicinski timovi, itd). Zato je Crna Gora prvi korak u implementaciji Odluke 1313/2013/EU o uspostavljanju Mehanizma civilne zaštite napravila u septembru 2014. godine potpisivanjem Memoranduma o razumjevanju sa EU i pristupanjem Mehanizmu. </w:t>
      </w:r>
      <w:r w:rsidR="00DA2995" w:rsidRPr="00AB15C7">
        <w:rPr>
          <w:rFonts w:ascii="Cambria" w:hAnsi="Cambria"/>
          <w:noProof/>
          <w:lang w:eastAsia="x-none"/>
        </w:rPr>
        <w:t xml:space="preserve"> </w:t>
      </w:r>
      <w:r w:rsidRPr="00AB15C7">
        <w:rPr>
          <w:rFonts w:ascii="Cambria" w:hAnsi="Cambria"/>
          <w:noProof/>
          <w:lang w:eastAsia="x-none"/>
        </w:rPr>
        <w:t>Pristupanje Mehanizmu za civilnu zaštitu Unije omogućava Crnoj Gori da učestvuje na sastancima Odbora civilne zaštite, radnim grupama za kreiranje politika, raznim programima obuke (uključujući zajedničke kurseve i vježbe, kao i razmjenu stručnjaka), na radionicama, seminarima i projektima. Mehanizam omogućava i pristup uslugama Centra za odgovor na vanredne situacije (</w:t>
      </w:r>
      <w:r w:rsidRPr="00AB15C7">
        <w:rPr>
          <w:rFonts w:ascii="Cambria" w:hAnsi="Cambria"/>
          <w:i/>
          <w:iCs/>
          <w:noProof/>
          <w:lang w:eastAsia="x-none"/>
        </w:rPr>
        <w:t>Emergency Response Coordination Center – ERCC</w:t>
      </w:r>
      <w:r w:rsidRPr="00AB15C7">
        <w:rPr>
          <w:rFonts w:ascii="Cambria" w:hAnsi="Cambria"/>
          <w:noProof/>
          <w:lang w:eastAsia="x-none"/>
        </w:rPr>
        <w:t>) i Zajedničkom sistemu za komunikaciju i informisanje u slučaju katastrofa (</w:t>
      </w:r>
      <w:r w:rsidRPr="00AB15C7">
        <w:rPr>
          <w:rFonts w:ascii="Cambria" w:hAnsi="Cambria"/>
          <w:i/>
          <w:iCs/>
          <w:noProof/>
          <w:lang w:eastAsia="x-none"/>
        </w:rPr>
        <w:t>CECIS</w:t>
      </w:r>
      <w:r w:rsidRPr="00AB15C7">
        <w:rPr>
          <w:rFonts w:ascii="Cambria" w:hAnsi="Cambria"/>
          <w:noProof/>
          <w:lang w:eastAsia="x-none"/>
        </w:rPr>
        <w:t xml:space="preserve">). </w:t>
      </w:r>
    </w:p>
    <w:p w14:paraId="4B031642" w14:textId="77777777" w:rsidR="00565D01" w:rsidRPr="00AB15C7" w:rsidRDefault="00DA2995" w:rsidP="005921EF">
      <w:pPr>
        <w:spacing w:after="0"/>
        <w:jc w:val="both"/>
        <w:rPr>
          <w:rFonts w:ascii="Cambria" w:hAnsi="Cambria"/>
          <w:noProof/>
          <w:lang w:eastAsia="x-none"/>
        </w:rPr>
      </w:pPr>
      <w:r w:rsidRPr="00AB15C7">
        <w:rPr>
          <w:rFonts w:ascii="Cambria" w:hAnsi="Cambria"/>
          <w:noProof/>
          <w:lang w:eastAsia="x-none"/>
        </w:rPr>
        <w:t>S tim u vezi pripremljena je Strategija za smanjenje rizika od katastrofa sa akcionim planom za period 2018 - 2023. sa sledećim ciljevima</w:t>
      </w:r>
      <w:r w:rsidR="00565D01" w:rsidRPr="00AB15C7">
        <w:rPr>
          <w:rFonts w:ascii="Cambria" w:hAnsi="Cambria"/>
          <w:noProof/>
          <w:lang w:eastAsia="x-none"/>
        </w:rPr>
        <w:t>:</w:t>
      </w:r>
    </w:p>
    <w:p w14:paraId="5079C0FA" w14:textId="6A758FBD" w:rsidR="00DA2995" w:rsidRPr="00AB15C7" w:rsidRDefault="00DA2995" w:rsidP="00557C13">
      <w:pPr>
        <w:numPr>
          <w:ilvl w:val="0"/>
          <w:numId w:val="15"/>
        </w:numPr>
        <w:spacing w:after="0"/>
        <w:jc w:val="both"/>
        <w:rPr>
          <w:rFonts w:ascii="Cambria" w:hAnsi="Cambria"/>
          <w:noProof/>
          <w:lang w:eastAsia="x-none"/>
        </w:rPr>
      </w:pPr>
      <w:r w:rsidRPr="00AB15C7">
        <w:rPr>
          <w:rFonts w:ascii="Cambria" w:hAnsi="Cambria"/>
          <w:noProof/>
          <w:lang w:eastAsia="x-none"/>
        </w:rPr>
        <w:t>Integrisanje smanjenja rizika od katastrofa u razvojnim politikama i planovima;</w:t>
      </w:r>
    </w:p>
    <w:p w14:paraId="69ED0DA9" w14:textId="77777777" w:rsidR="00DA2995" w:rsidRPr="00AB15C7" w:rsidRDefault="00DA2995" w:rsidP="00557C13">
      <w:pPr>
        <w:numPr>
          <w:ilvl w:val="0"/>
          <w:numId w:val="15"/>
        </w:numPr>
        <w:spacing w:after="0"/>
        <w:jc w:val="both"/>
        <w:rPr>
          <w:rFonts w:ascii="Cambria" w:hAnsi="Cambria"/>
          <w:noProof/>
          <w:lang w:eastAsia="x-none"/>
        </w:rPr>
      </w:pPr>
      <w:r w:rsidRPr="00AB15C7">
        <w:rPr>
          <w:rFonts w:ascii="Cambria" w:hAnsi="Cambria"/>
          <w:noProof/>
          <w:lang w:eastAsia="x-none"/>
        </w:rPr>
        <w:t>Jačanje kapaciteta za upravljanje rizicima od prirodnih i drugih katastrofa;</w:t>
      </w:r>
    </w:p>
    <w:p w14:paraId="4631FA3D" w14:textId="77777777" w:rsidR="00DA2995" w:rsidRPr="00AB15C7" w:rsidRDefault="00DA2995" w:rsidP="00557C13">
      <w:pPr>
        <w:numPr>
          <w:ilvl w:val="0"/>
          <w:numId w:val="15"/>
        </w:numPr>
        <w:spacing w:after="0"/>
        <w:jc w:val="both"/>
        <w:rPr>
          <w:rFonts w:ascii="Cambria" w:hAnsi="Cambria"/>
          <w:noProof/>
          <w:lang w:eastAsia="x-none"/>
        </w:rPr>
      </w:pPr>
      <w:r w:rsidRPr="00AB15C7">
        <w:rPr>
          <w:rFonts w:ascii="Cambria" w:hAnsi="Cambria"/>
          <w:noProof/>
          <w:lang w:eastAsia="x-none"/>
        </w:rPr>
        <w:t>Stvaranje bezbjednih i otpornih zajednica na katastrofe;</w:t>
      </w:r>
    </w:p>
    <w:p w14:paraId="0659DAF1" w14:textId="77777777" w:rsidR="007A651B" w:rsidRPr="00AB15C7" w:rsidRDefault="00DA2995" w:rsidP="00557C13">
      <w:pPr>
        <w:numPr>
          <w:ilvl w:val="0"/>
          <w:numId w:val="15"/>
        </w:numPr>
        <w:spacing w:after="0"/>
        <w:jc w:val="both"/>
        <w:rPr>
          <w:rFonts w:ascii="Cambria" w:hAnsi="Cambria"/>
          <w:noProof/>
          <w:lang w:eastAsia="x-none"/>
        </w:rPr>
      </w:pPr>
      <w:r w:rsidRPr="00AB15C7">
        <w:rPr>
          <w:rFonts w:ascii="Cambria" w:hAnsi="Cambria"/>
          <w:noProof/>
          <w:lang w:eastAsia="x-none"/>
        </w:rPr>
        <w:t>Podizanje svijesti građana i podsticaj institucija i subjekata za rizike od prirodnih i drugih katastrofa.</w:t>
      </w:r>
    </w:p>
    <w:p w14:paraId="40310ECA" w14:textId="318B4AA9" w:rsidR="00565D01" w:rsidRDefault="00565D01" w:rsidP="007D2273">
      <w:pPr>
        <w:spacing w:after="0"/>
        <w:jc w:val="both"/>
        <w:rPr>
          <w:rFonts w:ascii="Cambria" w:hAnsi="Cambria"/>
          <w:noProof/>
          <w:lang w:eastAsia="x-none"/>
        </w:rPr>
      </w:pPr>
      <w:r w:rsidRPr="00AB15C7">
        <w:rPr>
          <w:rFonts w:ascii="Cambria" w:hAnsi="Cambria"/>
          <w:noProof/>
          <w:lang w:eastAsia="x-none"/>
        </w:rPr>
        <w:t xml:space="preserve">Strategija je u skladu sa globalnim naporima i zahtjevima međunarodne zajednice i Evropske komisije. Ciljevi strategije su u skladu sa Senday okvirom za smanjenje rizika od katastrofa, kao i Evropskom Strategijom za podršku smanjenja rizika od katastrofa u zemljama u razvoju (2009). Usvajanje strategije se očekuje do kraja 2018. </w:t>
      </w:r>
    </w:p>
    <w:p w14:paraId="71F40934" w14:textId="68581498" w:rsidR="00BF63D1" w:rsidRPr="00AB15C7" w:rsidRDefault="00D06806" w:rsidP="005921EF">
      <w:pPr>
        <w:pStyle w:val="Heading2"/>
        <w:rPr>
          <w:noProof/>
          <w:sz w:val="22"/>
          <w:szCs w:val="22"/>
          <w:lang w:val="en-US"/>
        </w:rPr>
      </w:pPr>
      <w:bookmarkStart w:id="113" w:name="_Toc527353223"/>
      <w:r w:rsidRPr="00AB15C7">
        <w:rPr>
          <w:noProof/>
          <w:sz w:val="22"/>
          <w:szCs w:val="22"/>
          <w:lang w:val="en-US"/>
        </w:rPr>
        <w:t>2.</w:t>
      </w:r>
      <w:r w:rsidR="00BF63D1" w:rsidRPr="00AB15C7">
        <w:rPr>
          <w:noProof/>
          <w:sz w:val="22"/>
          <w:szCs w:val="22"/>
          <w:lang w:val="en-US"/>
        </w:rPr>
        <w:t>9</w:t>
      </w:r>
      <w:r w:rsidR="005D2FF1" w:rsidRPr="00AB15C7">
        <w:rPr>
          <w:noProof/>
          <w:sz w:val="22"/>
          <w:szCs w:val="22"/>
          <w:lang w:val="en-US"/>
        </w:rPr>
        <w:t>.</w:t>
      </w:r>
      <w:r w:rsidRPr="00AB15C7">
        <w:rPr>
          <w:noProof/>
          <w:sz w:val="22"/>
          <w:szCs w:val="22"/>
          <w:lang w:val="en-US"/>
        </w:rPr>
        <w:t>3</w:t>
      </w:r>
      <w:r w:rsidR="005D2FF1" w:rsidRPr="00AB15C7">
        <w:rPr>
          <w:noProof/>
          <w:sz w:val="22"/>
          <w:szCs w:val="22"/>
          <w:lang w:val="en-US"/>
        </w:rPr>
        <w:t>.</w:t>
      </w:r>
      <w:r w:rsidR="005D2FF1" w:rsidRPr="00AB15C7">
        <w:rPr>
          <w:noProof/>
          <w:sz w:val="22"/>
          <w:szCs w:val="22"/>
          <w:lang w:val="en-US"/>
        </w:rPr>
        <w:tab/>
      </w:r>
      <w:r w:rsidR="00372201">
        <w:rPr>
          <w:noProof/>
          <w:sz w:val="22"/>
          <w:szCs w:val="22"/>
          <w:lang w:val="en-US"/>
        </w:rPr>
        <w:t>Reagovanje</w:t>
      </w:r>
      <w:r w:rsidR="00565D01" w:rsidRPr="00AB15C7">
        <w:rPr>
          <w:noProof/>
          <w:sz w:val="22"/>
          <w:szCs w:val="22"/>
          <w:lang w:val="en-US"/>
        </w:rPr>
        <w:t xml:space="preserve"> </w:t>
      </w:r>
      <w:r w:rsidR="005D2FF1" w:rsidRPr="00AB15C7">
        <w:rPr>
          <w:noProof/>
          <w:sz w:val="22"/>
          <w:szCs w:val="22"/>
          <w:lang w:val="en-US"/>
        </w:rPr>
        <w:t>na vanredne situacije</w:t>
      </w:r>
      <w:r w:rsidR="00565D01" w:rsidRPr="00AB15C7">
        <w:rPr>
          <w:noProof/>
          <w:sz w:val="22"/>
          <w:szCs w:val="22"/>
          <w:lang w:val="en-US"/>
        </w:rPr>
        <w:t xml:space="preserve">, uključujući hemijske </w:t>
      </w:r>
      <w:r w:rsidR="00D025A9">
        <w:rPr>
          <w:noProof/>
          <w:sz w:val="22"/>
          <w:szCs w:val="22"/>
          <w:lang w:val="en-US"/>
        </w:rPr>
        <w:t>udese</w:t>
      </w:r>
      <w:bookmarkEnd w:id="113"/>
    </w:p>
    <w:p w14:paraId="3A11F292" w14:textId="77777777" w:rsidR="005D2FF1" w:rsidRPr="00AB15C7" w:rsidRDefault="005D2FF1" w:rsidP="00B73E19">
      <w:pPr>
        <w:spacing w:before="120"/>
        <w:jc w:val="both"/>
        <w:rPr>
          <w:rFonts w:ascii="Cambria" w:hAnsi="Cambria"/>
          <w:bCs/>
          <w:noProof/>
          <w:lang w:val="sr-Latn-CS" w:eastAsia="x-none"/>
        </w:rPr>
      </w:pPr>
      <w:r w:rsidRPr="00AB15C7">
        <w:rPr>
          <w:rFonts w:ascii="Cambria" w:hAnsi="Cambria"/>
          <w:bCs/>
          <w:noProof/>
          <w:lang w:val="sr-Latn-CS" w:eastAsia="x-none"/>
        </w:rPr>
        <w:t xml:space="preserve">Zakon o zaštiti i spašavanju utvrdio je da  su poslovi zaštite i spašavanja </w:t>
      </w:r>
      <w:r w:rsidRPr="00244A9E">
        <w:rPr>
          <w:rFonts w:ascii="Cambria" w:hAnsi="Cambria"/>
          <w:bCs/>
          <w:noProof/>
          <w:lang w:val="sr-Latn-CS" w:eastAsia="x-none"/>
        </w:rPr>
        <w:t>poslovi od javnog interesa,</w:t>
      </w:r>
      <w:r w:rsidRPr="00AB15C7">
        <w:rPr>
          <w:rFonts w:ascii="Cambria" w:hAnsi="Cambria"/>
          <w:bCs/>
          <w:noProof/>
          <w:lang w:val="sr-Latn-CS" w:eastAsia="x-none"/>
        </w:rPr>
        <w:t xml:space="preserve"> koje sprovode državni organi, organi državne uprave, jedinice lokalne samouprave, privredna društva, preduzetnici i druga pravna i fizička lica i na taj način sistem zaštite i spašavanja postav</w:t>
      </w:r>
      <w:r w:rsidR="00244A9E">
        <w:rPr>
          <w:rFonts w:ascii="Cambria" w:hAnsi="Cambria"/>
          <w:bCs/>
          <w:noProof/>
          <w:lang w:val="sr-Latn-CS" w:eastAsia="x-none"/>
        </w:rPr>
        <w:t>ljen je</w:t>
      </w:r>
      <w:r w:rsidRPr="00AB15C7">
        <w:rPr>
          <w:rFonts w:ascii="Cambria" w:hAnsi="Cambria"/>
          <w:bCs/>
          <w:noProof/>
          <w:lang w:val="sr-Latn-CS" w:eastAsia="x-none"/>
        </w:rPr>
        <w:t xml:space="preserve"> na najširoj mogućoj osnovi. </w:t>
      </w:r>
    </w:p>
    <w:p w14:paraId="5D93AD6B" w14:textId="77777777" w:rsidR="007A651B" w:rsidRPr="00AB15C7" w:rsidRDefault="005D2FF1" w:rsidP="005921EF">
      <w:pPr>
        <w:spacing w:after="0"/>
        <w:jc w:val="both"/>
        <w:rPr>
          <w:rFonts w:ascii="Cambria" w:hAnsi="Cambria"/>
          <w:noProof/>
          <w:lang w:eastAsia="x-none"/>
        </w:rPr>
      </w:pPr>
      <w:r w:rsidRPr="00AB15C7">
        <w:rPr>
          <w:rFonts w:ascii="Cambria" w:hAnsi="Cambria"/>
          <w:noProof/>
          <w:lang w:eastAsia="x-none"/>
        </w:rPr>
        <w:lastRenderedPageBreak/>
        <w:t xml:space="preserve">Primarno nadležna institucija je </w:t>
      </w:r>
      <w:r w:rsidR="007A651B" w:rsidRPr="00AB15C7">
        <w:rPr>
          <w:rFonts w:ascii="Cambria" w:hAnsi="Cambria"/>
          <w:noProof/>
          <w:lang w:eastAsia="x-none"/>
        </w:rPr>
        <w:t xml:space="preserve">MUP- Direktorat za vanredne situacije, </w:t>
      </w:r>
      <w:r w:rsidRPr="00AB15C7">
        <w:rPr>
          <w:rFonts w:ascii="Cambria" w:hAnsi="Cambria"/>
          <w:noProof/>
          <w:lang w:eastAsia="x-none"/>
        </w:rPr>
        <w:t xml:space="preserve">koji </w:t>
      </w:r>
      <w:r w:rsidR="007A651B" w:rsidRPr="00AB15C7">
        <w:rPr>
          <w:rFonts w:ascii="Cambria" w:hAnsi="Cambria"/>
          <w:noProof/>
          <w:lang w:eastAsia="x-none"/>
        </w:rPr>
        <w:t>je prema području rada i odgovornostima podijeljen na šest direkcija i sedam područnih jedinica, čime je pokriven cjelokupan dijapazon zaštite i spašavanja od preventivnih, operativnih, pa do sanacionih mjera i aktivnosti na čitavoj teritoriji Crne Gore. Time je omogućeno:</w:t>
      </w:r>
    </w:p>
    <w:p w14:paraId="0570CEAC"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xml:space="preserve">- jedinstveno upravljanje aktivnostima na zaštiti i spašavanju, u slučaju nastanka prirodnih, tehničko-tehnoloških i drugih hazarda; </w:t>
      </w:r>
    </w:p>
    <w:p w14:paraId="53B54612"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praćenje i analiziranje stanja u oblasti zaštite i spašavanja, kao i predlaganje mjera za poboljšanje stanja i usmjeravanje razvoja sistema zaštite i  spašavanja;</w:t>
      </w:r>
    </w:p>
    <w:p w14:paraId="6C4DF31C"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koordinacija rada svih institucija od nivoa države do lokalnog nivoa i pojedinca;</w:t>
      </w:r>
    </w:p>
    <w:p w14:paraId="05745975"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vođenje jedinstvene baze podataka o operativnim snagama, sredstvima i opremi;</w:t>
      </w:r>
    </w:p>
    <w:p w14:paraId="5B98A0B7"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xml:space="preserve">- organizovanje i izvođenje vježbi učesnika zaštite i spašavanja; </w:t>
      </w:r>
    </w:p>
    <w:p w14:paraId="095A63B3"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uspješno obavljanje preventivnih i operativnih aktivnosti, kao i aktivnosti na otklanjanju nastalih posljedica;</w:t>
      </w:r>
    </w:p>
    <w:p w14:paraId="6BAF8DFC"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sprovođenje mjera zaštite i spašavanja;</w:t>
      </w:r>
    </w:p>
    <w:p w14:paraId="48E6F315"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obavještavanje i uzbunjivanje za djelovanje u zaštiti i spašavanju;</w:t>
      </w:r>
    </w:p>
    <w:p w14:paraId="5F085441"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edukacija građana;</w:t>
      </w:r>
    </w:p>
    <w:p w14:paraId="5D952378"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xml:space="preserve">- stručno usavršavanje pripadnika operativnih jedinica; </w:t>
      </w:r>
    </w:p>
    <w:p w14:paraId="3D7E94FA"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xml:space="preserve">- opremanje operativnih jedinica; </w:t>
      </w:r>
    </w:p>
    <w:p w14:paraId="3C260141"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nadzor u pogledu funkcionisanja i opremanja jedinica koje pripadaju lokalnoj samoupravi radi očuvanja cjelovitosti sistema zaštite i spasavanja;</w:t>
      </w:r>
    </w:p>
    <w:p w14:paraId="190AEA91" w14:textId="77777777" w:rsidR="007A651B" w:rsidRPr="00AB15C7" w:rsidRDefault="007A651B" w:rsidP="005921EF">
      <w:pPr>
        <w:spacing w:after="0"/>
        <w:rPr>
          <w:rFonts w:ascii="Cambria" w:hAnsi="Cambria"/>
          <w:noProof/>
          <w:lang w:eastAsia="x-none"/>
        </w:rPr>
      </w:pPr>
      <w:r w:rsidRPr="00AB15C7">
        <w:rPr>
          <w:rFonts w:ascii="Cambria" w:hAnsi="Cambria"/>
          <w:noProof/>
          <w:lang w:eastAsia="x-none"/>
        </w:rPr>
        <w:t>- uspostavljanje međunarodne saradnje, kao i</w:t>
      </w:r>
    </w:p>
    <w:p w14:paraId="52D568E2" w14:textId="77777777" w:rsidR="007A651B" w:rsidRPr="00AB15C7" w:rsidRDefault="007A651B" w:rsidP="005921EF">
      <w:pPr>
        <w:rPr>
          <w:rFonts w:ascii="Cambria" w:hAnsi="Cambria"/>
          <w:noProof/>
          <w:lang w:eastAsia="x-none"/>
        </w:rPr>
      </w:pPr>
      <w:r w:rsidRPr="00AB15C7">
        <w:rPr>
          <w:rFonts w:ascii="Cambria" w:hAnsi="Cambria"/>
          <w:noProof/>
          <w:lang w:eastAsia="x-none"/>
        </w:rPr>
        <w:t>- saradnja sa privrednim  i naučnim institucijama u razvoju tehnologija i opreme za zaštitu i spašavanje.</w:t>
      </w:r>
    </w:p>
    <w:p w14:paraId="60258662" w14:textId="77777777" w:rsidR="007A651B" w:rsidRPr="00AB15C7" w:rsidRDefault="007A651B" w:rsidP="00494A86">
      <w:pPr>
        <w:spacing w:after="0"/>
        <w:rPr>
          <w:rFonts w:ascii="Cambria" w:hAnsi="Cambria"/>
          <w:b/>
          <w:noProof/>
          <w:lang w:val="sr-Latn-CS"/>
        </w:rPr>
      </w:pPr>
      <w:r w:rsidRPr="00AB15C7">
        <w:rPr>
          <w:rFonts w:ascii="Cambria" w:hAnsi="Cambria"/>
          <w:noProof/>
          <w:lang w:eastAsia="x-none"/>
        </w:rPr>
        <w:t>Uspostavljena su</w:t>
      </w:r>
      <w:r w:rsidRPr="00AB15C7">
        <w:rPr>
          <w:rFonts w:ascii="Cambria" w:hAnsi="Cambria"/>
          <w:noProof/>
          <w:lang w:val="sr-Latn-CS"/>
        </w:rPr>
        <w:t xml:space="preserve"> </w:t>
      </w:r>
      <w:r w:rsidRPr="00AB15C7">
        <w:rPr>
          <w:rFonts w:ascii="Cambria" w:hAnsi="Cambria"/>
          <w:b/>
          <w:noProof/>
          <w:lang w:val="sr-Latn-CS"/>
        </w:rPr>
        <w:t>tri nivoa rukovođenja i koordiniranja zaštitom i spašavanjem:</w:t>
      </w:r>
    </w:p>
    <w:p w14:paraId="1AA1471A" w14:textId="77777777" w:rsidR="007A651B" w:rsidRPr="00AB15C7" w:rsidRDefault="007A651B" w:rsidP="00557C13">
      <w:pPr>
        <w:numPr>
          <w:ilvl w:val="0"/>
          <w:numId w:val="14"/>
        </w:numPr>
        <w:spacing w:after="0"/>
        <w:jc w:val="both"/>
        <w:rPr>
          <w:rFonts w:ascii="Cambria" w:hAnsi="Cambria"/>
          <w:noProof/>
          <w:lang w:val="sr-Latn-CS"/>
        </w:rPr>
      </w:pPr>
      <w:r w:rsidRPr="00AB15C7">
        <w:rPr>
          <w:rFonts w:ascii="Cambria" w:hAnsi="Cambria"/>
          <w:noProof/>
          <w:lang w:val="sr-Latn-CS"/>
        </w:rPr>
        <w:t xml:space="preserve">Radi rukovođenja i koordiniranja u zaštiti i spašavanju na teritoriji Crne Gore obrazovan je </w:t>
      </w:r>
      <w:r w:rsidRPr="00AB15C7">
        <w:rPr>
          <w:rFonts w:ascii="Cambria" w:hAnsi="Cambria"/>
          <w:b/>
          <w:noProof/>
          <w:lang w:val="sr-Latn-CS"/>
        </w:rPr>
        <w:t>Koordinacioni tim za zaštitu i spašavanje</w:t>
      </w:r>
      <w:r w:rsidRPr="00AB15C7">
        <w:rPr>
          <w:rFonts w:ascii="Cambria" w:hAnsi="Cambria"/>
          <w:noProof/>
          <w:lang w:val="sr-Latn-CS"/>
        </w:rPr>
        <w:t>, čiji je rukovodilac predsjednik Vlade, zamjenik rukovodioca ministar nadležan za poslove zaštite i spašavanje, a članovi ministri nadležni za vanjske poslove, poslove odbrane, zdravlja, rada i socijalnog staranja, održivog razvoja, turizma, poljoprivrede, šumarstva, vodoprivrede, saobraćaja, pomorstva, kao i predstavnik Generalnog sekretarijata Vlade zadužen za odnose sa javnošću i predsjednik radnog tijela Vlade za procjenu šteta od elementarnih nepogoda.</w:t>
      </w:r>
    </w:p>
    <w:p w14:paraId="383180B2" w14:textId="77777777" w:rsidR="007A651B" w:rsidRPr="00AB15C7" w:rsidRDefault="007A651B" w:rsidP="00557C13">
      <w:pPr>
        <w:numPr>
          <w:ilvl w:val="0"/>
          <w:numId w:val="14"/>
        </w:numPr>
        <w:spacing w:after="0"/>
        <w:jc w:val="both"/>
        <w:rPr>
          <w:rFonts w:ascii="Cambria" w:hAnsi="Cambria"/>
          <w:noProof/>
          <w:lang w:val="sr-Latn-CS"/>
        </w:rPr>
      </w:pPr>
      <w:r w:rsidRPr="00AB15C7">
        <w:rPr>
          <w:rFonts w:ascii="Cambria" w:hAnsi="Cambria"/>
          <w:noProof/>
          <w:lang w:val="sr-Latn-CS"/>
        </w:rPr>
        <w:t xml:space="preserve">Obrazovanjem </w:t>
      </w:r>
      <w:r w:rsidRPr="00AB15C7">
        <w:rPr>
          <w:rFonts w:ascii="Cambria" w:hAnsi="Cambria"/>
          <w:b/>
          <w:noProof/>
          <w:lang w:val="sr-Latn-CS"/>
        </w:rPr>
        <w:t>Operativnog štaba za zaštitu i spašavanje</w:t>
      </w:r>
      <w:r w:rsidRPr="00AB15C7">
        <w:rPr>
          <w:rFonts w:ascii="Cambria" w:hAnsi="Cambria"/>
          <w:noProof/>
          <w:lang w:val="sr-Latn-CS"/>
        </w:rPr>
        <w:t xml:space="preserve"> koji vrši operativno koordiniranje aktivnosti učesnika zaštite i spašavanja obezbijeđeno je znatno efikasnije rukovođenje, bolja koordinacija između učesnika zaštite i spašavanja i racionalnija upotreba ljudskih i materijalnih resursa na terenu.</w:t>
      </w:r>
    </w:p>
    <w:p w14:paraId="5E22F4BE" w14:textId="77777777" w:rsidR="007A651B" w:rsidRPr="00AB15C7" w:rsidRDefault="007A651B" w:rsidP="00557C13">
      <w:pPr>
        <w:numPr>
          <w:ilvl w:val="0"/>
          <w:numId w:val="14"/>
        </w:numPr>
        <w:jc w:val="both"/>
        <w:rPr>
          <w:rFonts w:ascii="Cambria" w:hAnsi="Cambria"/>
          <w:noProof/>
          <w:lang w:val="sr-Latn-CS"/>
        </w:rPr>
      </w:pPr>
      <w:r w:rsidRPr="00AB15C7">
        <w:rPr>
          <w:rFonts w:ascii="Cambria" w:hAnsi="Cambria"/>
          <w:noProof/>
          <w:lang w:val="sr-Latn-CS"/>
        </w:rPr>
        <w:t xml:space="preserve">Jedinstveno rukovođenje aktivnostima zaštite i spašavanja na teritoriji opštine obezbijeđeno je obrazovanjem </w:t>
      </w:r>
      <w:r w:rsidRPr="00AB15C7">
        <w:rPr>
          <w:rFonts w:ascii="Cambria" w:hAnsi="Cambria"/>
          <w:b/>
          <w:noProof/>
          <w:lang w:val="sr-Latn-CS"/>
        </w:rPr>
        <w:t>Opštinskog tima za zaštitu i spašavanje</w:t>
      </w:r>
      <w:r w:rsidRPr="00AB15C7">
        <w:rPr>
          <w:rFonts w:ascii="Cambria" w:hAnsi="Cambria"/>
          <w:noProof/>
          <w:lang w:val="sr-Latn-CS"/>
        </w:rPr>
        <w:t xml:space="preserve"> kojim rukovodi predsjednik opštine i koga čine predstavnik organizacione jedinice ministarstva nadležnog za poslove zaštite i spašavanja, starješine organa lokalne uprave, odgovorna lica u privrednim društvima i drugim subjektima čija je djelatnost u vezi sa zaštitom i spašavanjem i predstavnik Crvenog krsta. Usaglašenost rukovođenja na sva tri nivoa dodatno je obezbijeđena obavezom da Opštinski tim za zaštitu i spašavanje sarađuje sa Koordinacionim timom i Operativnim štabom za zaštitu i spašavanje.</w:t>
      </w:r>
    </w:p>
    <w:p w14:paraId="7E14132F" w14:textId="77777777" w:rsidR="007A651B" w:rsidRPr="00AB15C7" w:rsidRDefault="007A651B" w:rsidP="005921EF">
      <w:pPr>
        <w:jc w:val="both"/>
        <w:rPr>
          <w:rFonts w:ascii="Cambria" w:hAnsi="Cambria"/>
          <w:noProof/>
          <w:lang w:val="sr-Latn-CS"/>
        </w:rPr>
      </w:pPr>
      <w:r w:rsidRPr="00AB15C7">
        <w:rPr>
          <w:rFonts w:ascii="Cambria" w:hAnsi="Cambria"/>
          <w:noProof/>
          <w:lang w:val="sr-Latn-CS"/>
        </w:rPr>
        <w:t xml:space="preserve">Menadžment u sistemu zaštite i spašavanja dodatno je unaprijeđen legislativnim okvirom koji omogućava da se i </w:t>
      </w:r>
      <w:r w:rsidRPr="00AB15C7">
        <w:rPr>
          <w:rFonts w:ascii="Cambria" w:hAnsi="Cambria"/>
          <w:b/>
          <w:noProof/>
          <w:lang w:val="sr-Latn-CS"/>
        </w:rPr>
        <w:t xml:space="preserve">u privrednom društvu, drugom pravnom licu i kod preduzetnika može obrazovati tim za zaštitu i spašavanje, </w:t>
      </w:r>
      <w:r w:rsidRPr="00AB15C7">
        <w:rPr>
          <w:rFonts w:ascii="Cambria" w:hAnsi="Cambria"/>
          <w:noProof/>
          <w:lang w:val="sr-Latn-CS"/>
        </w:rPr>
        <w:t>koji rukovodi i koordinira u aktivnostima zaštite i spašavanja u skladu sa preduzetnim planom.</w:t>
      </w:r>
    </w:p>
    <w:p w14:paraId="6330DD12" w14:textId="77777777" w:rsidR="007A651B" w:rsidRPr="00AB15C7" w:rsidRDefault="007A651B" w:rsidP="005921EF">
      <w:pPr>
        <w:jc w:val="both"/>
        <w:rPr>
          <w:rFonts w:ascii="Cambria" w:hAnsi="Cambria"/>
          <w:noProof/>
          <w:lang w:val="sr-Latn-CS"/>
        </w:rPr>
      </w:pPr>
      <w:r w:rsidRPr="00AB15C7">
        <w:rPr>
          <w:rFonts w:ascii="Cambria" w:hAnsi="Cambria"/>
          <w:noProof/>
          <w:lang w:val="sr-Latn-CS"/>
        </w:rPr>
        <w:lastRenderedPageBreak/>
        <w:t xml:space="preserve">Za uspješno rukovođenje i funkcionisanje sistema zaštite i spašavanja od bitnog je značaja </w:t>
      </w:r>
      <w:r w:rsidRPr="00AB15C7">
        <w:rPr>
          <w:rFonts w:ascii="Cambria" w:hAnsi="Cambria"/>
          <w:b/>
          <w:noProof/>
          <w:lang w:val="sr-Latn-CS"/>
        </w:rPr>
        <w:t>rana najava</w:t>
      </w:r>
      <w:r w:rsidRPr="00AB15C7">
        <w:rPr>
          <w:rFonts w:ascii="Cambria" w:hAnsi="Cambria"/>
          <w:noProof/>
          <w:lang w:val="sr-Latn-CS"/>
        </w:rPr>
        <w:t xml:space="preserve"> događaja koji se mogu desiti. Tome doprinosi obaveza organa državne uprave nadležnog za poslove hidrometeorologije i seizmologije da ministarstvu nadležnom za poslove zaštite i spašavanja pruži stručnu pomoć i dostavi meteorološke i hidrološke informacije, prognoze i upozorenja o uslovima koji prethode atmosferskim i hidrološkim elementarnim nepogodama i akcidentnim zagađenjima vazduha i voda i toku njihovog trajanja, kao i saopštenja i stručne informacije u vezi s nastankom zemljotresa i prognozu vrste i obima posljedica njihovog dejstva na lica imovinu i životnu sredinu.       </w:t>
      </w:r>
    </w:p>
    <w:p w14:paraId="649DE410" w14:textId="77777777" w:rsidR="007A651B" w:rsidRPr="00AB15C7" w:rsidRDefault="007A651B" w:rsidP="005921EF">
      <w:pPr>
        <w:jc w:val="both"/>
        <w:rPr>
          <w:rFonts w:ascii="Cambria" w:hAnsi="Cambria"/>
          <w:noProof/>
          <w:lang w:val="sr-Latn-CS"/>
        </w:rPr>
      </w:pPr>
      <w:r w:rsidRPr="00AB15C7">
        <w:rPr>
          <w:rFonts w:ascii="Cambria" w:hAnsi="Cambria"/>
          <w:noProof/>
          <w:lang w:val="sr-Latn-CS"/>
        </w:rPr>
        <w:t>Takođe, obavezu dostavljanja raspoloživih podataka i informacija o stanju voda i atmosfere, prikupljenih u zoni i u vrijeme dejstva pojava koje prouzrokuju nepogode i akcidente imaju privredna društva, druga pravna lica i preduzetnici koji obavljaju meteorološka i hidrološka mjerenja i osmatranja.</w:t>
      </w:r>
    </w:p>
    <w:p w14:paraId="18432291" w14:textId="77777777" w:rsidR="007A651B" w:rsidRPr="00AB15C7" w:rsidRDefault="007A651B" w:rsidP="005921EF">
      <w:pPr>
        <w:jc w:val="both"/>
        <w:rPr>
          <w:rFonts w:ascii="Cambria" w:hAnsi="Cambria"/>
          <w:noProof/>
          <w:lang w:val="sr-Latn-CS"/>
        </w:rPr>
      </w:pPr>
      <w:r w:rsidRPr="00AB15C7">
        <w:rPr>
          <w:rFonts w:ascii="Cambria" w:hAnsi="Cambria"/>
          <w:noProof/>
          <w:lang w:val="sr-Latn-CS"/>
        </w:rPr>
        <w:t xml:space="preserve">Centralizovano prikupljanje informacija i podataka o svim vrstama rizika koji mogu ugroziti ljude, materijalna i kulturna dobra i životnu sredinu, njihova obrada u Operativno komunikacionom centru 112 i obavješavanje o tome državnih organa, organa državne uprave i organa opštine, privrednih društava, drugih pravnih lica, preduzetnika i građana radi preduzimanja preventivnih i operativnih aktivnosti, a po potrebi i njihovo uzbunjivanje omogućava izbjegavanje posljedica ili njihovo značajno smanjenje.       </w:t>
      </w:r>
    </w:p>
    <w:p w14:paraId="6291C59A" w14:textId="77777777" w:rsidR="007A651B" w:rsidRPr="00AB15C7" w:rsidRDefault="007A651B" w:rsidP="005921EF">
      <w:pPr>
        <w:jc w:val="both"/>
        <w:rPr>
          <w:rFonts w:ascii="Cambria" w:hAnsi="Cambria"/>
          <w:noProof/>
          <w:lang w:val="sr-Latn-CS"/>
        </w:rPr>
      </w:pPr>
      <w:r w:rsidRPr="00AB15C7">
        <w:rPr>
          <w:rFonts w:ascii="Cambria" w:hAnsi="Cambria"/>
          <w:noProof/>
          <w:lang w:val="sr-Latn-CS"/>
        </w:rPr>
        <w:t>Ovako postavljen menadžment u oblasti zaštite i spašavanja predstavlja garant uspješnosti i efikasnosti u funkcionisanju sistema zaštite i spašavanja.</w:t>
      </w:r>
    </w:p>
    <w:p w14:paraId="0D56963E" w14:textId="77777777" w:rsidR="006F4F6E" w:rsidRPr="00AB15C7" w:rsidRDefault="006F4F6E" w:rsidP="005921EF">
      <w:pPr>
        <w:rPr>
          <w:rFonts w:ascii="Cambria" w:hAnsi="Cambria"/>
          <w:noProof/>
          <w:lang w:val="sr-Latn-ME"/>
        </w:rPr>
      </w:pPr>
      <w:r w:rsidRPr="00AB15C7">
        <w:rPr>
          <w:rFonts w:ascii="Cambria" w:hAnsi="Cambria"/>
          <w:noProof/>
          <w:lang w:val="sr-Latn-ME"/>
        </w:rPr>
        <w:t>Na osnovu dobijenih podataka od opštinskih Službi zaštite i spašavanja tokom 2017. godine nije bilo vanrednih situacija izazvanih hemijskim rizicima.</w:t>
      </w:r>
    </w:p>
    <w:p w14:paraId="0366F579" w14:textId="0B02383B" w:rsidR="00BF63D1" w:rsidRPr="00AB15C7" w:rsidRDefault="00D06806" w:rsidP="005921EF">
      <w:pPr>
        <w:pStyle w:val="Heading2"/>
        <w:rPr>
          <w:noProof/>
          <w:sz w:val="22"/>
          <w:szCs w:val="22"/>
          <w:lang w:val="en-US"/>
        </w:rPr>
      </w:pPr>
      <w:bookmarkStart w:id="114" w:name="_Toc527353224"/>
      <w:r w:rsidRPr="00AB15C7">
        <w:rPr>
          <w:noProof/>
          <w:sz w:val="22"/>
          <w:szCs w:val="22"/>
          <w:lang w:val="en-US"/>
        </w:rPr>
        <w:t>2.</w:t>
      </w:r>
      <w:r w:rsidR="00BF63D1" w:rsidRPr="00AB15C7">
        <w:rPr>
          <w:noProof/>
          <w:sz w:val="22"/>
          <w:szCs w:val="22"/>
          <w:lang w:val="en-US"/>
        </w:rPr>
        <w:t>9.</w:t>
      </w:r>
      <w:r w:rsidRPr="00AB15C7">
        <w:rPr>
          <w:noProof/>
          <w:sz w:val="22"/>
          <w:szCs w:val="22"/>
          <w:lang w:val="en-US"/>
        </w:rPr>
        <w:t>4</w:t>
      </w:r>
      <w:r w:rsidR="00BF63D1" w:rsidRPr="00AB15C7">
        <w:rPr>
          <w:noProof/>
          <w:sz w:val="22"/>
          <w:szCs w:val="22"/>
          <w:lang w:val="en-US"/>
        </w:rPr>
        <w:t xml:space="preserve">. Izgradnja kapaciteta </w:t>
      </w:r>
      <w:r w:rsidR="00746507">
        <w:rPr>
          <w:noProof/>
          <w:sz w:val="22"/>
          <w:szCs w:val="22"/>
          <w:lang w:val="en-US"/>
        </w:rPr>
        <w:t xml:space="preserve">za odgovor </w:t>
      </w:r>
      <w:r w:rsidR="00CE71EF">
        <w:rPr>
          <w:noProof/>
          <w:sz w:val="22"/>
          <w:szCs w:val="22"/>
          <w:lang w:val="en-US"/>
        </w:rPr>
        <w:t>n</w:t>
      </w:r>
      <w:r w:rsidR="00746507">
        <w:rPr>
          <w:noProof/>
          <w:sz w:val="22"/>
          <w:szCs w:val="22"/>
          <w:lang w:val="en-US"/>
        </w:rPr>
        <w:t xml:space="preserve">a hemijske </w:t>
      </w:r>
      <w:r w:rsidR="00D025A9">
        <w:rPr>
          <w:noProof/>
          <w:sz w:val="22"/>
          <w:szCs w:val="22"/>
          <w:lang w:val="en-US"/>
        </w:rPr>
        <w:t>udese</w:t>
      </w:r>
      <w:bookmarkEnd w:id="114"/>
    </w:p>
    <w:p w14:paraId="1FE3CCFE" w14:textId="77777777" w:rsidR="006F4F6E" w:rsidRPr="00AB15C7" w:rsidRDefault="00746507" w:rsidP="00B73E19">
      <w:pPr>
        <w:spacing w:before="120"/>
        <w:jc w:val="both"/>
        <w:rPr>
          <w:rFonts w:ascii="Cambria" w:hAnsi="Cambria"/>
          <w:noProof/>
          <w:lang w:val="sr-Latn-ME"/>
        </w:rPr>
      </w:pPr>
      <w:r>
        <w:rPr>
          <w:rFonts w:ascii="Cambria" w:hAnsi="Cambria"/>
          <w:noProof/>
          <w:lang w:val="sr-Latn-ME"/>
        </w:rPr>
        <w:t xml:space="preserve">U </w:t>
      </w:r>
      <w:r w:rsidR="00CE71EF">
        <w:rPr>
          <w:rFonts w:ascii="Cambria" w:hAnsi="Cambria"/>
          <w:noProof/>
          <w:lang w:val="sr-Latn-ME"/>
        </w:rPr>
        <w:t>pogledu</w:t>
      </w:r>
      <w:r>
        <w:rPr>
          <w:rFonts w:ascii="Cambria" w:hAnsi="Cambria"/>
          <w:noProof/>
          <w:lang w:val="sr-Latn-ME"/>
        </w:rPr>
        <w:t xml:space="preserve"> jačanja kapaciteta</w:t>
      </w:r>
      <w:r w:rsidRPr="00746507">
        <w:rPr>
          <w:noProof/>
        </w:rPr>
        <w:t xml:space="preserve"> </w:t>
      </w:r>
      <w:r w:rsidRPr="00746507">
        <w:rPr>
          <w:rFonts w:ascii="Cambria" w:hAnsi="Cambria"/>
          <w:noProof/>
          <w:lang w:val="sr-Latn-ME"/>
        </w:rPr>
        <w:t>za odgovor za hemijske udese</w:t>
      </w:r>
      <w:r w:rsidR="00CE71EF">
        <w:rPr>
          <w:rFonts w:ascii="Cambria" w:hAnsi="Cambria"/>
          <w:noProof/>
          <w:lang w:val="sr-Latn-ME"/>
        </w:rPr>
        <w:t>,</w:t>
      </w:r>
      <w:r w:rsidR="00CE71EF" w:rsidRPr="00CE71EF">
        <w:rPr>
          <w:rFonts w:ascii="Cambria" w:hAnsi="Cambria"/>
          <w:noProof/>
          <w:lang w:val="sr-Latn-ME"/>
        </w:rPr>
        <w:t xml:space="preserve"> </w:t>
      </w:r>
      <w:r w:rsidR="00CE71EF">
        <w:rPr>
          <w:rFonts w:ascii="Cambria" w:hAnsi="Cambria"/>
          <w:noProof/>
          <w:lang w:val="sr-Latn-ME"/>
        </w:rPr>
        <w:t>kako u pogledu obuka tako i u pogledu poboljšanja opremljenosti,</w:t>
      </w:r>
      <w:r w:rsidR="00F83E10">
        <w:rPr>
          <w:rFonts w:ascii="Cambria" w:hAnsi="Cambria"/>
          <w:noProof/>
          <w:lang w:val="sr-Latn-ME"/>
        </w:rPr>
        <w:t xml:space="preserve"> posebno treba ista</w:t>
      </w:r>
      <w:r w:rsidR="00F83E10">
        <w:rPr>
          <w:rFonts w:ascii="Cambria" w:hAnsi="Cambria"/>
          <w:noProof/>
          <w:lang w:val="sr-Latn-RS"/>
        </w:rPr>
        <w:t>ći</w:t>
      </w:r>
      <w:r>
        <w:rPr>
          <w:rFonts w:ascii="Cambria" w:hAnsi="Cambria"/>
          <w:noProof/>
          <w:lang w:val="sr-Latn-ME"/>
        </w:rPr>
        <w:t xml:space="preserve"> </w:t>
      </w:r>
      <w:r w:rsidR="00CE71EF">
        <w:rPr>
          <w:rFonts w:ascii="Cambria" w:hAnsi="Cambria"/>
          <w:noProof/>
          <w:lang w:val="sr-Latn-ME"/>
        </w:rPr>
        <w:t xml:space="preserve">aktivnosti koje su </w:t>
      </w:r>
      <w:r w:rsidR="007572F2">
        <w:rPr>
          <w:rFonts w:ascii="Cambria" w:hAnsi="Cambria"/>
          <w:noProof/>
          <w:lang w:val="sr-Latn-ME"/>
        </w:rPr>
        <w:t xml:space="preserve">sprovedene </w:t>
      </w:r>
      <w:r w:rsidR="006F4F6E" w:rsidRPr="00AB15C7">
        <w:rPr>
          <w:rFonts w:ascii="Cambria" w:hAnsi="Cambria"/>
          <w:noProof/>
          <w:lang w:val="sr-Latn-ME"/>
        </w:rPr>
        <w:t xml:space="preserve">u okviru projekta „Jačanje kapaciteta za prvi odgovor na hemijske, biološke, radiološke i nuklearne prijetnje i rizike (HBRN) i regionalna saradnja zemalja jugoistočne Evrope, južnog Kavkaza, Moldavije i Ukrajine“, koji finansira EU. </w:t>
      </w:r>
      <w:r w:rsidR="00053490">
        <w:rPr>
          <w:rFonts w:ascii="Cambria" w:hAnsi="Cambria"/>
          <w:noProof/>
          <w:lang w:val="sr-Latn-ME"/>
        </w:rPr>
        <w:t>O</w:t>
      </w:r>
      <w:r w:rsidR="006F4F6E" w:rsidRPr="00AB15C7">
        <w:rPr>
          <w:rFonts w:ascii="Cambria" w:hAnsi="Cambria"/>
          <w:noProof/>
          <w:lang w:val="sr-Latn-ME"/>
        </w:rPr>
        <w:t xml:space="preserve">bezbijeđena je oprema </w:t>
      </w:r>
      <w:r w:rsidR="007572F2" w:rsidRPr="007572F2">
        <w:rPr>
          <w:rFonts w:ascii="Cambria" w:hAnsi="Cambria"/>
          <w:noProof/>
          <w:lang w:val="sr-Latn-ME"/>
        </w:rPr>
        <w:t>za zaštitu u slučaju hemijskog, biološkog, nuklearnog i</w:t>
      </w:r>
      <w:r w:rsidR="007572F2">
        <w:rPr>
          <w:rFonts w:ascii="Cambria" w:hAnsi="Cambria"/>
          <w:noProof/>
          <w:lang w:val="sr-Latn-ME"/>
        </w:rPr>
        <w:t xml:space="preserve"> </w:t>
      </w:r>
      <w:r w:rsidR="007572F2" w:rsidRPr="007572F2">
        <w:rPr>
          <w:rFonts w:ascii="Cambria" w:hAnsi="Cambria"/>
          <w:noProof/>
          <w:lang w:val="sr-Latn-ME"/>
        </w:rPr>
        <w:t>radijacionog (HBRN) akcidenta u vrijednosti od 76.000 eura</w:t>
      </w:r>
      <w:r w:rsidR="007572F2">
        <w:rPr>
          <w:rFonts w:ascii="Cambria" w:hAnsi="Cambria"/>
          <w:noProof/>
          <w:lang w:val="sr-Latn-ME"/>
        </w:rPr>
        <w:t xml:space="preserve"> koja se sastoji od </w:t>
      </w:r>
      <w:r w:rsidR="007572F2" w:rsidRPr="007572F2">
        <w:rPr>
          <w:rFonts w:ascii="Cambria" w:hAnsi="Cambria"/>
          <w:noProof/>
          <w:lang w:val="sr-Latn-ME"/>
        </w:rPr>
        <w:t>hemijskih zaštitnih odijela, zaštitne maske za potpunu zaštitu lica i očiju, ličnih</w:t>
      </w:r>
      <w:r w:rsidR="007572F2">
        <w:rPr>
          <w:rFonts w:ascii="Cambria" w:hAnsi="Cambria"/>
          <w:noProof/>
          <w:lang w:val="sr-Latn-ME"/>
        </w:rPr>
        <w:t xml:space="preserve"> </w:t>
      </w:r>
      <w:r w:rsidR="007572F2" w:rsidRPr="007572F2">
        <w:rPr>
          <w:rFonts w:ascii="Cambria" w:hAnsi="Cambria"/>
          <w:noProof/>
          <w:lang w:val="sr-Latn-ME"/>
        </w:rPr>
        <w:t>dozimetara, O2 detektora, kolorimetarske tube, fotojonizujućeg detektora, ručnog</w:t>
      </w:r>
      <w:r w:rsidR="007572F2">
        <w:rPr>
          <w:rFonts w:ascii="Cambria" w:hAnsi="Cambria"/>
          <w:noProof/>
          <w:lang w:val="sr-Latn-ME"/>
        </w:rPr>
        <w:t xml:space="preserve"> </w:t>
      </w:r>
      <w:r w:rsidR="007572F2" w:rsidRPr="007572F2">
        <w:rPr>
          <w:rFonts w:ascii="Cambria" w:hAnsi="Cambria"/>
          <w:noProof/>
          <w:lang w:val="sr-Latn-ME"/>
        </w:rPr>
        <w:t>radiološkog detektora, alata za uzorkovanje i dokumentaciju, alata za testiranje</w:t>
      </w:r>
      <w:r w:rsidR="007572F2">
        <w:rPr>
          <w:rFonts w:ascii="Cambria" w:hAnsi="Cambria"/>
          <w:noProof/>
          <w:lang w:val="sr-Latn-ME"/>
        </w:rPr>
        <w:t xml:space="preserve"> </w:t>
      </w:r>
      <w:r w:rsidR="007572F2" w:rsidRPr="007572F2">
        <w:rPr>
          <w:rFonts w:ascii="Cambria" w:hAnsi="Cambria"/>
          <w:noProof/>
          <w:lang w:val="sr-Latn-ME"/>
        </w:rPr>
        <w:t>imunizacije (immunoassay test kits), papira za testiranje hemijskih agenasa (CWA paper),</w:t>
      </w:r>
      <w:r w:rsidR="007572F2">
        <w:rPr>
          <w:rFonts w:ascii="Cambria" w:hAnsi="Cambria"/>
          <w:noProof/>
          <w:lang w:val="sr-Latn-ME"/>
        </w:rPr>
        <w:t xml:space="preserve"> </w:t>
      </w:r>
      <w:r w:rsidR="007572F2" w:rsidRPr="007572F2">
        <w:rPr>
          <w:rFonts w:ascii="Cambria" w:hAnsi="Cambria"/>
          <w:noProof/>
          <w:lang w:val="sr-Latn-ME"/>
        </w:rPr>
        <w:t>alata za obilježavanje ugrožene zone, alata za dekontaminaciju kože, pribora za</w:t>
      </w:r>
      <w:r w:rsidR="007572F2">
        <w:rPr>
          <w:rFonts w:ascii="Cambria" w:hAnsi="Cambria"/>
          <w:noProof/>
          <w:lang w:val="sr-Latn-ME"/>
        </w:rPr>
        <w:t xml:space="preserve"> </w:t>
      </w:r>
      <w:r w:rsidR="007572F2" w:rsidRPr="007572F2">
        <w:rPr>
          <w:rFonts w:ascii="Cambria" w:hAnsi="Cambria"/>
          <w:noProof/>
          <w:lang w:val="sr-Latn-ME"/>
        </w:rPr>
        <w:t>neutralizaciju i jedinice za dekontaminaciju od HBRN-a</w:t>
      </w:r>
      <w:r w:rsidR="007572F2">
        <w:rPr>
          <w:rFonts w:ascii="Cambria" w:hAnsi="Cambria"/>
          <w:noProof/>
          <w:lang w:val="sr-Latn-ME"/>
        </w:rPr>
        <w:t xml:space="preserve">.  Takođe, sprovedene su </w:t>
      </w:r>
      <w:r w:rsidR="006F4F6E" w:rsidRPr="00AB15C7">
        <w:rPr>
          <w:rFonts w:ascii="Cambria" w:hAnsi="Cambria"/>
          <w:noProof/>
          <w:lang w:val="sr-Latn-ME"/>
        </w:rPr>
        <w:t xml:space="preserve"> odgovarajuće obuke za jedan tim spasilaca Službe zaštite Glavnog grada i dvije vježbe za testiranje odgovora ne hemijski udes (terenska–FTX i simulaciona TTX).</w:t>
      </w:r>
    </w:p>
    <w:p w14:paraId="013C024C" w14:textId="77777777" w:rsidR="006F4F6E" w:rsidRPr="00AB15C7" w:rsidRDefault="006F4F6E" w:rsidP="00064BBB">
      <w:pPr>
        <w:jc w:val="both"/>
        <w:rPr>
          <w:rFonts w:ascii="Cambria" w:hAnsi="Cambria"/>
          <w:noProof/>
          <w:lang w:val="sr-Latn-ME"/>
        </w:rPr>
      </w:pPr>
      <w:r w:rsidRPr="00AB15C7">
        <w:rPr>
          <w:rFonts w:ascii="Cambria" w:hAnsi="Cambria"/>
          <w:noProof/>
          <w:lang w:val="sr-Latn-ME"/>
        </w:rPr>
        <w:t>Na terenskoj vježbi koja je održana u maju 2017. učestvovali su predstavnici: Direktorata za vanredne situacije MUP-a, AZPŽS, CETI-ja, IJZ, ZHMS, CKCG, UP i Službe zaštite i spašavanja Podgorica i Danilovgrad. Scenario terenske vježbe „CBRN Lazine 2017“ bio je realan i sa temom hemijskog akcidenta u magacinu koji koristi fabrika za proizvodnju mlijeka i mliječnih proizvoda u Lazinama.</w:t>
      </w:r>
      <w:r w:rsidR="00064BBB" w:rsidRPr="00064BBB">
        <w:rPr>
          <w:noProof/>
        </w:rPr>
        <w:t xml:space="preserve"> </w:t>
      </w:r>
      <w:r w:rsidR="00064BBB" w:rsidRPr="00064BBB">
        <w:rPr>
          <w:rFonts w:ascii="Cambria" w:hAnsi="Cambria"/>
          <w:noProof/>
          <w:lang w:val="sr-Latn-ME"/>
        </w:rPr>
        <w:t>Opšti zaključak sa održane vježbe je da je država pokazala da ima kapacitete da</w:t>
      </w:r>
      <w:r w:rsidR="00064BBB">
        <w:rPr>
          <w:rFonts w:ascii="Cambria" w:hAnsi="Cambria"/>
          <w:noProof/>
          <w:lang w:val="sr-Latn-ME"/>
        </w:rPr>
        <w:t xml:space="preserve"> </w:t>
      </w:r>
      <w:r w:rsidR="00064BBB" w:rsidRPr="00064BBB">
        <w:rPr>
          <w:rFonts w:ascii="Cambria" w:hAnsi="Cambria"/>
          <w:noProof/>
          <w:lang w:val="sr-Latn-ME"/>
        </w:rPr>
        <w:t>odgovori na ovu vrstu akcidenta, ali i da treba nastaviti sa jačanjem kapaciteta nadležnih</w:t>
      </w:r>
      <w:r w:rsidR="00064BBB">
        <w:rPr>
          <w:rFonts w:ascii="Cambria" w:hAnsi="Cambria"/>
          <w:noProof/>
          <w:lang w:val="sr-Latn-ME"/>
        </w:rPr>
        <w:t xml:space="preserve"> </w:t>
      </w:r>
      <w:r w:rsidR="00064BBB" w:rsidRPr="00064BBB">
        <w:rPr>
          <w:rFonts w:ascii="Cambria" w:hAnsi="Cambria"/>
          <w:noProof/>
          <w:lang w:val="sr-Latn-ME"/>
        </w:rPr>
        <w:t>institucija u slučaju CBRN akcidenata kroz organizovanje obuka i nabavku adekvatne</w:t>
      </w:r>
      <w:r w:rsidR="00064BBB">
        <w:rPr>
          <w:rFonts w:ascii="Cambria" w:hAnsi="Cambria"/>
          <w:noProof/>
          <w:lang w:val="sr-Latn-ME"/>
        </w:rPr>
        <w:t xml:space="preserve"> </w:t>
      </w:r>
      <w:r w:rsidR="00064BBB" w:rsidRPr="00064BBB">
        <w:rPr>
          <w:rFonts w:ascii="Cambria" w:hAnsi="Cambria"/>
          <w:noProof/>
          <w:lang w:val="sr-Latn-ME"/>
        </w:rPr>
        <w:t>lične i kolektivne opreme.</w:t>
      </w:r>
    </w:p>
    <w:p w14:paraId="7630BECD" w14:textId="77777777" w:rsidR="00064BBB" w:rsidRDefault="006F4F6E" w:rsidP="00064BBB">
      <w:pPr>
        <w:jc w:val="both"/>
        <w:rPr>
          <w:noProof/>
        </w:rPr>
      </w:pPr>
      <w:r w:rsidRPr="00AB15C7">
        <w:rPr>
          <w:rFonts w:ascii="Cambria" w:hAnsi="Cambria"/>
          <w:noProof/>
          <w:lang w:val="sr-Latn-ME"/>
        </w:rPr>
        <w:t xml:space="preserve">U Direktoratu za vanredne situacije, Operativno komunikacionom centru–OKC 112 (decembar 2017.) organizovana je regionalna simulaciona vježba TTX za testiranje standardnih operativnih procedura u slučaju hemijskog akcidenta, na kojoj se putem elektronske komunikacije uvježbavala koordinacija na </w:t>
      </w:r>
      <w:r w:rsidRPr="00AB15C7">
        <w:rPr>
          <w:rFonts w:ascii="Cambria" w:hAnsi="Cambria"/>
          <w:noProof/>
          <w:lang w:val="sr-Latn-ME"/>
        </w:rPr>
        <w:lastRenderedPageBreak/>
        <w:t>regionalnom nivou. Vježba se održavala istovremeno u svim zemljama korisnicama projekta i to: Srbiji, Makedoniji, Bosni i Hercegovini i Albaniji. Ciljevi vježbe bili su: jačanje međuregionalne saradnje za uspješan i brz odgovor na prekogranične efekte izazvane hemijskim akcidentom, korišćenje standardnih operativnih procedura OKC 112, kao i zahtjeva za pomoć, komunikacija između postojećih centara za komunikaciju u vanrednim situacijama, razmjena informacija između centara za vanredne situacije u različitim državama o rezultatima mjerenja, opremi koja se koristi za detekciju, razmjena informacija o analizi hemijskog zagađenja i dr.</w:t>
      </w:r>
      <w:r w:rsidR="00064BBB" w:rsidRPr="00064BBB">
        <w:rPr>
          <w:noProof/>
        </w:rPr>
        <w:t xml:space="preserve"> </w:t>
      </w:r>
    </w:p>
    <w:p w14:paraId="7ED3135C" w14:textId="54B7A7DA" w:rsidR="00B73E19" w:rsidRDefault="00AA2A71" w:rsidP="005921EF">
      <w:pPr>
        <w:jc w:val="both"/>
        <w:rPr>
          <w:rFonts w:ascii="Cambria" w:hAnsi="Cambria"/>
          <w:noProof/>
          <w:lang w:val="sr-Latn-ME"/>
        </w:rPr>
      </w:pPr>
      <w:r w:rsidRPr="00AB15C7">
        <w:rPr>
          <w:rFonts w:ascii="Cambria" w:hAnsi="Cambria"/>
          <w:noProof/>
          <w:lang w:val="sr-Latn-ME"/>
        </w:rPr>
        <w:t>I MORT je, putem TAIEX instrumenta dobilo pomoć u vidu radionice „Implementacija Seveso III Direktive“, koja je održana u julu 2017, imajući u vidu implementaciju Pravilnika o količinama opasnih materija po kategorijama kojima se određuje stepen rizika seveso postrojenja (“Sl. list CG”, br. 63/16") i Pravilnika o bližem sadržaju plana prevencije i plana zaštite od udesa (“Sl. list CG”, br. 67/16), kojima je prenešena Direktiva 2012/18/EU o kontroli opasnosti od velikih udesa koji uključuju opasne supstance (Seveso III Direktiva)</w:t>
      </w:r>
      <w:r w:rsidR="007B2817">
        <w:rPr>
          <w:rFonts w:ascii="Cambria" w:hAnsi="Cambria"/>
          <w:noProof/>
          <w:lang w:val="sr-Latn-ME"/>
        </w:rPr>
        <w:t>. T</w:t>
      </w:r>
      <w:r w:rsidR="00110DC4">
        <w:rPr>
          <w:rFonts w:ascii="Cambria" w:hAnsi="Cambria"/>
          <w:noProof/>
          <w:lang w:val="sr-Latn-ME"/>
        </w:rPr>
        <w:t xml:space="preserve">akođe, u septembru 2018 </w:t>
      </w:r>
      <w:r w:rsidR="007B2817">
        <w:rPr>
          <w:rFonts w:ascii="Cambria" w:hAnsi="Cambria"/>
          <w:noProof/>
          <w:lang w:val="sr-Latn-ME"/>
        </w:rPr>
        <w:t>o</w:t>
      </w:r>
      <w:r w:rsidR="00110DC4">
        <w:rPr>
          <w:rFonts w:ascii="Cambria" w:hAnsi="Cambria"/>
          <w:noProof/>
          <w:lang w:val="sr-Latn-ME"/>
        </w:rPr>
        <w:t xml:space="preserve">držana je TAIEX ekspertska misija „Inspekcijsi nadzor nad primjenom Seveso III Direktive“, sa ciljem </w:t>
      </w:r>
      <w:r w:rsidR="00ED2577">
        <w:rPr>
          <w:rFonts w:ascii="Cambria" w:hAnsi="Cambria"/>
          <w:noProof/>
          <w:lang w:val="sr-Latn-ME"/>
        </w:rPr>
        <w:t xml:space="preserve">dalje </w:t>
      </w:r>
      <w:r w:rsidR="00110DC4">
        <w:rPr>
          <w:rFonts w:ascii="Cambria" w:hAnsi="Cambria"/>
          <w:noProof/>
          <w:lang w:val="sr-Latn-ME"/>
        </w:rPr>
        <w:t>edukacije inspektora.</w:t>
      </w:r>
    </w:p>
    <w:p w14:paraId="4F83E82B" w14:textId="77777777" w:rsidR="009A58CE" w:rsidRDefault="00D06806" w:rsidP="00557C13">
      <w:pPr>
        <w:pStyle w:val="Heading1"/>
        <w:numPr>
          <w:ilvl w:val="1"/>
          <w:numId w:val="33"/>
        </w:numPr>
        <w:rPr>
          <w:bCs w:val="0"/>
          <w:noProof/>
          <w:sz w:val="22"/>
          <w:szCs w:val="22"/>
        </w:rPr>
      </w:pPr>
      <w:bookmarkStart w:id="115" w:name="_Toc527353225"/>
      <w:r w:rsidRPr="00AB15C7">
        <w:rPr>
          <w:bCs w:val="0"/>
          <w:noProof/>
          <w:sz w:val="22"/>
          <w:szCs w:val="22"/>
        </w:rPr>
        <w:t>SVIJEST O RIZICIMA OD HEMIKALIJA; INFORMISANJE I EDUKACIJA</w:t>
      </w:r>
      <w:bookmarkEnd w:id="115"/>
    </w:p>
    <w:p w14:paraId="3A154942" w14:textId="77777777" w:rsidR="006F4F6E" w:rsidRPr="00AB15C7" w:rsidRDefault="00D06806" w:rsidP="00237FAE">
      <w:pPr>
        <w:pStyle w:val="Heading2"/>
        <w:spacing w:after="120"/>
        <w:rPr>
          <w:noProof/>
          <w:sz w:val="22"/>
          <w:szCs w:val="22"/>
          <w:lang w:val="sr-Latn-RS"/>
        </w:rPr>
      </w:pPr>
      <w:bookmarkStart w:id="116" w:name="_Toc527353226"/>
      <w:r w:rsidRPr="00AB15C7">
        <w:rPr>
          <w:noProof/>
          <w:sz w:val="22"/>
          <w:szCs w:val="22"/>
          <w:lang w:val="en-US"/>
        </w:rPr>
        <w:t>2.</w:t>
      </w:r>
      <w:r w:rsidR="006F4F6E" w:rsidRPr="00AB15C7">
        <w:rPr>
          <w:noProof/>
          <w:sz w:val="22"/>
          <w:szCs w:val="22"/>
          <w:lang w:val="en-US"/>
        </w:rPr>
        <w:t>10</w:t>
      </w:r>
      <w:r w:rsidR="00D727D2" w:rsidRPr="00AB15C7">
        <w:rPr>
          <w:noProof/>
          <w:sz w:val="22"/>
          <w:szCs w:val="22"/>
          <w:lang w:val="en-US"/>
        </w:rPr>
        <w:t xml:space="preserve">.1. </w:t>
      </w:r>
      <w:bookmarkStart w:id="117" w:name="_Hlk525819163"/>
      <w:r w:rsidR="0069329C" w:rsidRPr="00AB15C7">
        <w:rPr>
          <w:noProof/>
          <w:sz w:val="22"/>
          <w:szCs w:val="22"/>
          <w:lang w:val="en-US"/>
        </w:rPr>
        <w:t>Svijest potrošača i opšte javnosti o rizicima od hemikalija</w:t>
      </w:r>
      <w:bookmarkEnd w:id="116"/>
      <w:bookmarkEnd w:id="117"/>
    </w:p>
    <w:p w14:paraId="5DA82E5C" w14:textId="77777777" w:rsidR="00737B73" w:rsidRPr="00AB15C7" w:rsidRDefault="006F4F6E" w:rsidP="005921EF">
      <w:pPr>
        <w:jc w:val="both"/>
        <w:rPr>
          <w:rFonts w:ascii="Cambria" w:hAnsi="Cambria"/>
          <w:noProof/>
          <w:lang w:val="sr-Latn-ME"/>
        </w:rPr>
      </w:pPr>
      <w:r w:rsidRPr="00AB15C7">
        <w:rPr>
          <w:rFonts w:ascii="Cambria" w:hAnsi="Cambria"/>
          <w:noProof/>
          <w:lang w:val="sr-Latn-ME"/>
        </w:rPr>
        <w:t xml:space="preserve">Opšti nivo društvene </w:t>
      </w:r>
      <w:bookmarkStart w:id="118" w:name="_Hlk519441263"/>
      <w:r w:rsidRPr="00AB15C7">
        <w:rPr>
          <w:rFonts w:ascii="Cambria" w:hAnsi="Cambria"/>
          <w:noProof/>
          <w:lang w:val="sr-Latn-ME"/>
        </w:rPr>
        <w:t xml:space="preserve">svijesti o </w:t>
      </w:r>
      <w:bookmarkStart w:id="119" w:name="_Hlk519452652"/>
      <w:bookmarkEnd w:id="118"/>
      <w:r w:rsidR="00737B73" w:rsidRPr="00AB15C7">
        <w:rPr>
          <w:rFonts w:ascii="Cambria" w:hAnsi="Cambria"/>
          <w:noProof/>
          <w:lang w:val="sr-Latn-ME"/>
        </w:rPr>
        <w:t>bezbjednoj upotrebi hemikalija i rizicima koje one predstavjaju</w:t>
      </w:r>
      <w:bookmarkEnd w:id="119"/>
      <w:r w:rsidRPr="00AB15C7">
        <w:rPr>
          <w:rFonts w:ascii="Cambria" w:hAnsi="Cambria"/>
          <w:noProof/>
          <w:lang w:val="sr-Latn-ME"/>
        </w:rPr>
        <w:t>, kаo i nivo ekološke kulture potrebno je dalje unaprjeđivati u Crnoj Gori, jer se kompleksnost problematike zaštite</w:t>
      </w:r>
      <w:r w:rsidR="00737B73" w:rsidRPr="00AB15C7">
        <w:rPr>
          <w:rFonts w:ascii="Cambria" w:hAnsi="Cambria"/>
          <w:noProof/>
          <w:lang w:val="sr-Latn-ME"/>
        </w:rPr>
        <w:t xml:space="preserve"> zdravlja ljudi i</w:t>
      </w:r>
      <w:r w:rsidRPr="00AB15C7">
        <w:rPr>
          <w:rFonts w:ascii="Cambria" w:hAnsi="Cambria"/>
          <w:noProof/>
          <w:lang w:val="sr-Latn-ME"/>
        </w:rPr>
        <w:t xml:space="preserve"> životne sredine ne može rješavati individualno i neorganizovano, već je potrebu očuvanja </w:t>
      </w:r>
      <w:r w:rsidR="00737B73" w:rsidRPr="00AB15C7">
        <w:rPr>
          <w:rFonts w:ascii="Cambria" w:hAnsi="Cambria"/>
          <w:noProof/>
          <w:lang w:val="sr-Latn-ME"/>
        </w:rPr>
        <w:t xml:space="preserve">zdravlja </w:t>
      </w:r>
      <w:r w:rsidRPr="00AB15C7">
        <w:rPr>
          <w:rFonts w:ascii="Cambria" w:hAnsi="Cambria"/>
          <w:noProof/>
          <w:lang w:val="sr-Latn-ME"/>
        </w:rPr>
        <w:t xml:space="preserve">i zaštite životne sredine neophodno razvijati i ugrađivati u svijest čovjeka od školskog uzrasta. </w:t>
      </w:r>
    </w:p>
    <w:p w14:paraId="180760E8" w14:textId="28BCC286" w:rsidR="007970A9" w:rsidRPr="00AB15C7" w:rsidRDefault="00D727D2" w:rsidP="005921EF">
      <w:pPr>
        <w:jc w:val="both"/>
        <w:rPr>
          <w:rFonts w:ascii="Cambria" w:hAnsi="Cambria"/>
          <w:noProof/>
          <w:lang w:val="sr-Latn-ME"/>
        </w:rPr>
      </w:pPr>
      <w:r w:rsidRPr="00AB15C7">
        <w:rPr>
          <w:rFonts w:ascii="Cambria" w:hAnsi="Cambria"/>
          <w:noProof/>
          <w:lang w:val="sr-Latn-ME"/>
        </w:rPr>
        <w:t xml:space="preserve">U </w:t>
      </w:r>
      <w:r w:rsidR="00737B73" w:rsidRPr="00AB15C7">
        <w:rPr>
          <w:rFonts w:ascii="Cambria" w:hAnsi="Cambria"/>
          <w:noProof/>
          <w:lang w:val="sr-Latn-ME"/>
        </w:rPr>
        <w:t xml:space="preserve">pogledu </w:t>
      </w:r>
      <w:r w:rsidRPr="00AB15C7">
        <w:rPr>
          <w:rFonts w:ascii="Cambria" w:hAnsi="Cambria"/>
          <w:noProof/>
          <w:lang w:val="sr-Latn-ME"/>
        </w:rPr>
        <w:t>hemikalija uočljiv je nizak niv</w:t>
      </w:r>
      <w:r w:rsidR="00015B10" w:rsidRPr="00AB15C7">
        <w:rPr>
          <w:rFonts w:ascii="Cambria" w:hAnsi="Cambria"/>
          <w:noProof/>
          <w:lang w:val="sr-Latn-ME"/>
        </w:rPr>
        <w:t>o</w:t>
      </w:r>
      <w:r w:rsidRPr="00AB15C7">
        <w:rPr>
          <w:rFonts w:ascii="Cambria" w:hAnsi="Cambria"/>
          <w:noProof/>
          <w:lang w:val="sr-Latn-ME"/>
        </w:rPr>
        <w:t xml:space="preserve"> sv</w:t>
      </w:r>
      <w:r w:rsidR="00FC44BB" w:rsidRPr="00AB15C7">
        <w:rPr>
          <w:rFonts w:ascii="Cambria" w:hAnsi="Cambria"/>
          <w:noProof/>
          <w:lang w:val="sr-Latn-ME"/>
        </w:rPr>
        <w:t>ij</w:t>
      </w:r>
      <w:r w:rsidRPr="00AB15C7">
        <w:rPr>
          <w:rFonts w:ascii="Cambria" w:hAnsi="Cambria"/>
          <w:noProof/>
          <w:lang w:val="sr-Latn-ME"/>
        </w:rPr>
        <w:t xml:space="preserve">esti javnosti o rizicima od hemikalija </w:t>
      </w:r>
      <w:r w:rsidR="007970A9" w:rsidRPr="00AB15C7">
        <w:rPr>
          <w:rFonts w:ascii="Cambria" w:hAnsi="Cambria"/>
          <w:noProof/>
          <w:lang w:val="sr-Latn-ME"/>
        </w:rPr>
        <w:t>i</w:t>
      </w:r>
      <w:r w:rsidRPr="00AB15C7">
        <w:rPr>
          <w:rFonts w:ascii="Cambria" w:hAnsi="Cambria"/>
          <w:noProof/>
          <w:lang w:val="sr-Latn-ME"/>
        </w:rPr>
        <w:t xml:space="preserve"> potrebi adekvatnog upravljanja hemikalijama.</w:t>
      </w:r>
      <w:r w:rsidR="007970A9" w:rsidRPr="00AB15C7">
        <w:rPr>
          <w:rFonts w:ascii="Cambria" w:hAnsi="Cambria"/>
          <w:noProof/>
          <w:lang w:val="sr-Latn-ME"/>
        </w:rPr>
        <w:t xml:space="preserve"> Radi zaštite zdravlja </w:t>
      </w:r>
      <w:r w:rsidR="00737B73" w:rsidRPr="00AB15C7">
        <w:rPr>
          <w:rFonts w:ascii="Cambria" w:hAnsi="Cambria"/>
          <w:noProof/>
          <w:lang w:val="sr-Latn-ME"/>
        </w:rPr>
        <w:t xml:space="preserve">ljudi </w:t>
      </w:r>
      <w:r w:rsidR="007970A9" w:rsidRPr="00AB15C7">
        <w:rPr>
          <w:rFonts w:ascii="Cambria" w:hAnsi="Cambria"/>
          <w:noProof/>
          <w:lang w:val="sr-Latn-ME"/>
        </w:rPr>
        <w:t>i životne sredine, veoma je važno podići svijest o mogućem štetn</w:t>
      </w:r>
      <w:r w:rsidR="00737B73" w:rsidRPr="00AB15C7">
        <w:rPr>
          <w:rFonts w:ascii="Cambria" w:hAnsi="Cambria"/>
          <w:noProof/>
          <w:lang w:val="sr-Latn-ME"/>
        </w:rPr>
        <w:t>om</w:t>
      </w:r>
      <w:r w:rsidR="007970A9" w:rsidRPr="00AB15C7">
        <w:rPr>
          <w:rFonts w:ascii="Cambria" w:hAnsi="Cambria"/>
          <w:noProof/>
          <w:lang w:val="sr-Latn-ME"/>
        </w:rPr>
        <w:t xml:space="preserve"> uticaj</w:t>
      </w:r>
      <w:r w:rsidR="00737B73" w:rsidRPr="00AB15C7">
        <w:rPr>
          <w:rFonts w:ascii="Cambria" w:hAnsi="Cambria"/>
          <w:noProof/>
          <w:lang w:val="sr-Latn-ME"/>
        </w:rPr>
        <w:t>u</w:t>
      </w:r>
      <w:r w:rsidR="007970A9" w:rsidRPr="00AB15C7">
        <w:rPr>
          <w:rFonts w:ascii="Cambria" w:hAnsi="Cambria"/>
          <w:noProof/>
          <w:lang w:val="sr-Latn-ME"/>
        </w:rPr>
        <w:t xml:space="preserve"> hemikalija na zdravlje ljudi </w:t>
      </w:r>
      <w:r w:rsidR="00737B73" w:rsidRPr="00AB15C7">
        <w:rPr>
          <w:rFonts w:ascii="Cambria" w:hAnsi="Cambria"/>
          <w:noProof/>
          <w:lang w:val="sr-Latn-ME"/>
        </w:rPr>
        <w:t>i</w:t>
      </w:r>
      <w:r w:rsidR="007970A9" w:rsidRPr="00AB15C7">
        <w:rPr>
          <w:rFonts w:ascii="Cambria" w:hAnsi="Cambria"/>
          <w:noProof/>
          <w:lang w:val="sr-Latn-ME"/>
        </w:rPr>
        <w:t xml:space="preserve"> životnu sredinu, s posebnim osvrtom na hemikalije koje se upotrebljavaju u domaćinstvu. S tim u vezi</w:t>
      </w:r>
      <w:r w:rsidR="00737B73" w:rsidRPr="00AB15C7">
        <w:rPr>
          <w:rFonts w:ascii="Cambria" w:hAnsi="Cambria"/>
          <w:noProof/>
          <w:lang w:val="sr-Latn-ME"/>
        </w:rPr>
        <w:t>,</w:t>
      </w:r>
      <w:r w:rsidR="007970A9" w:rsidRPr="00AB15C7">
        <w:rPr>
          <w:rFonts w:ascii="Cambria" w:hAnsi="Cambria"/>
          <w:noProof/>
          <w:lang w:val="sr-Latn-ME"/>
        </w:rPr>
        <w:t xml:space="preserve"> jako je bitno da potrošači znaju gdje mogu naći informaciju o opasnostima hemikalij</w:t>
      </w:r>
      <w:r w:rsidR="00737B73" w:rsidRPr="00AB15C7">
        <w:rPr>
          <w:rFonts w:ascii="Cambria" w:hAnsi="Cambria"/>
          <w:noProof/>
          <w:lang w:val="sr-Latn-ME"/>
        </w:rPr>
        <w:t>e</w:t>
      </w:r>
      <w:r w:rsidR="007970A9" w:rsidRPr="00AB15C7">
        <w:rPr>
          <w:rFonts w:ascii="Cambria" w:hAnsi="Cambria"/>
          <w:noProof/>
          <w:lang w:val="sr-Latn-ME"/>
        </w:rPr>
        <w:t xml:space="preserve"> koju koriste </w:t>
      </w:r>
      <w:r w:rsidR="00737B73" w:rsidRPr="00AB15C7">
        <w:rPr>
          <w:rFonts w:ascii="Cambria" w:hAnsi="Cambria"/>
          <w:noProof/>
          <w:lang w:val="sr-Latn-ME"/>
        </w:rPr>
        <w:t>i</w:t>
      </w:r>
      <w:r w:rsidR="007970A9" w:rsidRPr="00AB15C7">
        <w:rPr>
          <w:rFonts w:ascii="Cambria" w:hAnsi="Cambria"/>
          <w:noProof/>
          <w:lang w:val="sr-Latn-ME"/>
        </w:rPr>
        <w:t xml:space="preserve"> o mjerama za njeno bezbjedno korišćenje. Naime, hemijski proizvodi, kao što su boje, lijepak ili detergent</w:t>
      </w:r>
      <w:r w:rsidR="000B19F7">
        <w:rPr>
          <w:rFonts w:ascii="Cambria" w:hAnsi="Cambria"/>
          <w:noProof/>
          <w:lang w:val="sr-Latn-ME"/>
        </w:rPr>
        <w:t>i</w:t>
      </w:r>
      <w:r w:rsidR="007970A9" w:rsidRPr="00AB15C7">
        <w:rPr>
          <w:rFonts w:ascii="Cambria" w:hAnsi="Cambria"/>
          <w:noProof/>
          <w:lang w:val="sr-Latn-ME"/>
        </w:rPr>
        <w:t xml:space="preserve">, </w:t>
      </w:r>
      <w:r w:rsidR="00737B73" w:rsidRPr="00AB15C7">
        <w:rPr>
          <w:rFonts w:ascii="Cambria" w:hAnsi="Cambria"/>
          <w:noProof/>
          <w:lang w:val="sr-Latn-ME"/>
        </w:rPr>
        <w:t xml:space="preserve">na etiketi </w:t>
      </w:r>
      <w:r w:rsidR="007970A9" w:rsidRPr="00AB15C7">
        <w:rPr>
          <w:rFonts w:ascii="Cambria" w:hAnsi="Cambria"/>
          <w:noProof/>
          <w:lang w:val="sr-Latn-ME"/>
        </w:rPr>
        <w:t xml:space="preserve">moraju </w:t>
      </w:r>
      <w:r w:rsidR="00737B73" w:rsidRPr="00AB15C7">
        <w:rPr>
          <w:rFonts w:ascii="Cambria" w:hAnsi="Cambria"/>
          <w:noProof/>
          <w:lang w:val="sr-Latn-ME"/>
        </w:rPr>
        <w:t xml:space="preserve">imati oznake koje ukazuju na </w:t>
      </w:r>
      <w:r w:rsidR="007970A9" w:rsidRPr="00AB15C7">
        <w:rPr>
          <w:rFonts w:ascii="Cambria" w:hAnsi="Cambria"/>
          <w:noProof/>
          <w:lang w:val="sr-Latn-ME"/>
        </w:rPr>
        <w:t>opasnosti</w:t>
      </w:r>
      <w:r w:rsidR="00737B73" w:rsidRPr="00AB15C7">
        <w:rPr>
          <w:rFonts w:ascii="Cambria" w:hAnsi="Cambria"/>
          <w:noProof/>
          <w:lang w:val="sr-Latn-ME"/>
        </w:rPr>
        <w:t xml:space="preserve"> od konkretne hemikalije, kao i sa time povezanim mjerama predostrožnosti</w:t>
      </w:r>
      <w:r w:rsidR="007970A9" w:rsidRPr="00AB15C7">
        <w:rPr>
          <w:rFonts w:ascii="Cambria" w:hAnsi="Cambria"/>
          <w:noProof/>
          <w:lang w:val="sr-Latn-ME"/>
        </w:rPr>
        <w:t>. Proizvodi kao što su sapun, kozmetika i kreme za kožu uvijek treba da imaju spisak sastojaka</w:t>
      </w:r>
      <w:r w:rsidR="00737B73" w:rsidRPr="00AB15C7">
        <w:rPr>
          <w:rFonts w:ascii="Cambria" w:hAnsi="Cambria"/>
          <w:noProof/>
          <w:lang w:val="sr-Latn-ME"/>
        </w:rPr>
        <w:t xml:space="preserve"> i instrukcije za bezbjedno korišćenje</w:t>
      </w:r>
      <w:r w:rsidR="007970A9" w:rsidRPr="00AB15C7">
        <w:rPr>
          <w:rFonts w:ascii="Cambria" w:hAnsi="Cambria"/>
          <w:noProof/>
          <w:lang w:val="sr-Latn-ME"/>
        </w:rPr>
        <w:t>. Drugi predmeti, kao što su odjeća, igračke i elektronski uređaji, takođe, mogu da sadrže opasne hemikalije.</w:t>
      </w:r>
    </w:p>
    <w:p w14:paraId="6E1D63D1" w14:textId="7E829ED0" w:rsidR="007970A9" w:rsidRPr="00AB15C7" w:rsidRDefault="007970A9" w:rsidP="005921EF">
      <w:pPr>
        <w:jc w:val="both"/>
        <w:rPr>
          <w:rFonts w:ascii="Cambria" w:hAnsi="Cambria"/>
          <w:noProof/>
          <w:lang w:val="sr-Latn-ME"/>
        </w:rPr>
      </w:pPr>
      <w:r w:rsidRPr="00AB15C7">
        <w:rPr>
          <w:rFonts w:ascii="Cambria" w:hAnsi="Cambria"/>
          <w:noProof/>
          <w:lang w:val="sr-Latn-ME"/>
        </w:rPr>
        <w:t>S tim u vezi</w:t>
      </w:r>
      <w:r w:rsidR="00FC44BB" w:rsidRPr="00AB15C7">
        <w:rPr>
          <w:rFonts w:ascii="Cambria" w:hAnsi="Cambria"/>
          <w:noProof/>
          <w:lang w:val="sr-Latn-ME"/>
        </w:rPr>
        <w:t>, posebno treba obratiti pažnju</w:t>
      </w:r>
      <w:r w:rsidRPr="00AB15C7">
        <w:rPr>
          <w:rFonts w:ascii="Cambria" w:hAnsi="Cambria"/>
          <w:noProof/>
          <w:lang w:val="sr-Latn-ME"/>
        </w:rPr>
        <w:t xml:space="preserve"> na izloženost os</w:t>
      </w:r>
      <w:r w:rsidR="00745774">
        <w:rPr>
          <w:rFonts w:ascii="Cambria" w:hAnsi="Cambria"/>
          <w:noProof/>
          <w:lang w:val="sr-Latn-ME"/>
        </w:rPr>
        <w:t>j</w:t>
      </w:r>
      <w:r w:rsidRPr="00AB15C7">
        <w:rPr>
          <w:rFonts w:ascii="Cambria" w:hAnsi="Cambria"/>
          <w:noProof/>
          <w:lang w:val="sr-Latn-ME"/>
        </w:rPr>
        <w:t xml:space="preserve">etljivih grupa poput djece i trudnica. Naime, djeca mogu da budu osjetljivija na hemikalije od odraslih iz razloga jer njihov organizam još uvijek nije u potpunosti razvijen. Osim toga, djeca imaju drugačiji obrazac ponašanja od odraslih </w:t>
      </w:r>
      <w:r w:rsidR="00056187" w:rsidRPr="00AB15C7">
        <w:rPr>
          <w:rFonts w:ascii="Cambria" w:hAnsi="Cambria"/>
          <w:noProof/>
          <w:lang w:val="sr-Latn-ME"/>
        </w:rPr>
        <w:t>i</w:t>
      </w:r>
      <w:r w:rsidRPr="00AB15C7">
        <w:rPr>
          <w:rFonts w:ascii="Cambria" w:hAnsi="Cambria"/>
          <w:noProof/>
          <w:lang w:val="sr-Latn-ME"/>
        </w:rPr>
        <w:t xml:space="preserve"> istražuju svoje okruženje probajući i sisajući stvari. Djeca takođe imaju osjetljivu kožu. Oni dišu brže, i jedu i piju više u odnosu na tjelesnu masu,</w:t>
      </w:r>
      <w:r w:rsidR="00056187" w:rsidRPr="00AB15C7">
        <w:rPr>
          <w:rFonts w:ascii="Cambria" w:hAnsi="Cambria"/>
          <w:noProof/>
          <w:lang w:val="sr-Latn-ME"/>
        </w:rPr>
        <w:t xml:space="preserve"> </w:t>
      </w:r>
      <w:r w:rsidRPr="00AB15C7">
        <w:rPr>
          <w:rFonts w:ascii="Cambria" w:hAnsi="Cambria"/>
          <w:noProof/>
          <w:lang w:val="sr-Latn-ME"/>
        </w:rPr>
        <w:t xml:space="preserve">u poređenju s odraslima. Ako su izloženi istoj količini supstance kao i odrasli, oni je mogu unijeti u većoj dozi nego sto je slučaj sa odraslima. </w:t>
      </w:r>
    </w:p>
    <w:p w14:paraId="788B4A53" w14:textId="7500D400" w:rsidR="00015B10" w:rsidRPr="00AB15C7" w:rsidRDefault="00CD52E9" w:rsidP="005921EF">
      <w:pPr>
        <w:spacing w:after="0"/>
        <w:jc w:val="both"/>
        <w:rPr>
          <w:rFonts w:ascii="Cambria" w:hAnsi="Cambria"/>
          <w:noProof/>
          <w:lang w:val="sr-Latn-ME"/>
        </w:rPr>
      </w:pPr>
      <w:r w:rsidRPr="00AB15C7">
        <w:rPr>
          <w:rFonts w:ascii="Cambria" w:hAnsi="Cambria"/>
          <w:noProof/>
          <w:lang w:val="sr-Latn-ME"/>
        </w:rPr>
        <w:t xml:space="preserve">U podizanju svesti </w:t>
      </w:r>
      <w:r w:rsidR="001C310D" w:rsidRPr="00AB15C7">
        <w:rPr>
          <w:rFonts w:ascii="Cambria" w:hAnsi="Cambria"/>
          <w:noProof/>
        </w:rPr>
        <w:t>potrošača i opšte javnosti</w:t>
      </w:r>
      <w:r w:rsidR="001C310D" w:rsidRPr="00AB15C7">
        <w:rPr>
          <w:rFonts w:ascii="Cambria" w:hAnsi="Cambria"/>
          <w:noProof/>
          <w:lang w:val="sr-Latn-ME"/>
        </w:rPr>
        <w:t xml:space="preserve"> sa akcentom na posebno os</w:t>
      </w:r>
      <w:r w:rsidR="00745774">
        <w:rPr>
          <w:rFonts w:ascii="Cambria" w:hAnsi="Cambria"/>
          <w:noProof/>
          <w:lang w:val="sr-Latn-ME"/>
        </w:rPr>
        <w:t>j</w:t>
      </w:r>
      <w:r w:rsidR="001C310D" w:rsidRPr="00AB15C7">
        <w:rPr>
          <w:rFonts w:ascii="Cambria" w:hAnsi="Cambria"/>
          <w:noProof/>
          <w:lang w:val="sr-Latn-ME"/>
        </w:rPr>
        <w:t>etljive grupe</w:t>
      </w:r>
      <w:r w:rsidRPr="00AB15C7">
        <w:rPr>
          <w:rFonts w:ascii="Cambria" w:hAnsi="Cambria"/>
          <w:noProof/>
          <w:lang w:val="sr-Latn-ME"/>
        </w:rPr>
        <w:t xml:space="preserve"> veliku ulogu imaju nadležni organi. U</w:t>
      </w:r>
      <w:r w:rsidR="006F4F6E" w:rsidRPr="00AB15C7">
        <w:rPr>
          <w:rFonts w:ascii="Cambria" w:hAnsi="Cambria"/>
          <w:noProof/>
          <w:lang w:val="sr-Latn-ME"/>
        </w:rPr>
        <w:t xml:space="preserve"> prethodnom periodu, u okviru školskih </w:t>
      </w:r>
      <w:r w:rsidR="00737B73" w:rsidRPr="00AB15C7">
        <w:rPr>
          <w:rFonts w:ascii="Cambria" w:hAnsi="Cambria"/>
          <w:noProof/>
          <w:lang w:val="sr-Latn-ME"/>
        </w:rPr>
        <w:t xml:space="preserve">aktivnosti </w:t>
      </w:r>
      <w:r w:rsidR="006F4F6E" w:rsidRPr="00AB15C7">
        <w:rPr>
          <w:rFonts w:ascii="Cambria" w:hAnsi="Cambria"/>
          <w:noProof/>
          <w:lang w:val="sr-Latn-ME"/>
        </w:rPr>
        <w:t xml:space="preserve">sve više se poklanja pažnja ekološkom vaspitanju i obrazovanju učenika. </w:t>
      </w:r>
      <w:r w:rsidRPr="00AB15C7">
        <w:rPr>
          <w:rFonts w:ascii="Cambria" w:hAnsi="Cambria"/>
          <w:noProof/>
          <w:lang w:val="sr-Latn-ME"/>
        </w:rPr>
        <w:t>Tako na prim</w:t>
      </w:r>
      <w:r w:rsidR="00745774">
        <w:rPr>
          <w:rFonts w:ascii="Cambria" w:hAnsi="Cambria"/>
          <w:noProof/>
          <w:lang w:val="sr-Latn-ME"/>
        </w:rPr>
        <w:t>j</w:t>
      </w:r>
      <w:r w:rsidRPr="00AB15C7">
        <w:rPr>
          <w:rFonts w:ascii="Cambria" w:hAnsi="Cambria"/>
          <w:noProof/>
          <w:lang w:val="sr-Latn-ME"/>
        </w:rPr>
        <w:t>er, t</w:t>
      </w:r>
      <w:r w:rsidR="00015B10" w:rsidRPr="00AB15C7">
        <w:rPr>
          <w:rFonts w:ascii="Cambria" w:hAnsi="Cambria"/>
          <w:noProof/>
          <w:lang w:val="sr-Latn-ME"/>
        </w:rPr>
        <w:t xml:space="preserve">okom 2017. u cilju podizanja svijesti o mogućim štetnim efektima hemikalija po zdravlje ljudi i životnu sredinu </w:t>
      </w:r>
      <w:r w:rsidR="00056187" w:rsidRPr="00AB15C7">
        <w:rPr>
          <w:rFonts w:ascii="Cambria" w:hAnsi="Cambria"/>
          <w:noProof/>
          <w:lang w:val="sr-Latn-ME"/>
        </w:rPr>
        <w:t xml:space="preserve">predstavnici AZPŽS </w:t>
      </w:r>
      <w:r w:rsidR="00015B10" w:rsidRPr="00AB15C7">
        <w:rPr>
          <w:rFonts w:ascii="Cambria" w:hAnsi="Cambria"/>
          <w:noProof/>
          <w:lang w:val="sr-Latn-ME"/>
        </w:rPr>
        <w:t>održa</w:t>
      </w:r>
      <w:r w:rsidR="00056187" w:rsidRPr="00AB15C7">
        <w:rPr>
          <w:rFonts w:ascii="Cambria" w:hAnsi="Cambria"/>
          <w:noProof/>
          <w:lang w:val="sr-Latn-ME"/>
        </w:rPr>
        <w:t>li</w:t>
      </w:r>
      <w:r w:rsidR="00015B10" w:rsidRPr="00AB15C7">
        <w:rPr>
          <w:rFonts w:ascii="Cambria" w:hAnsi="Cambria"/>
          <w:noProof/>
          <w:lang w:val="sr-Latn-ME"/>
        </w:rPr>
        <w:t xml:space="preserve"> su edukativne prezentacije u 4 osnovne i 4 srednje škole na sljedeće teme iz oblasti bezbjednog upravljanja hemikalija i to:</w:t>
      </w:r>
    </w:p>
    <w:p w14:paraId="12AF46AB" w14:textId="6BB4AC32" w:rsidR="00015B10" w:rsidRPr="00683287" w:rsidRDefault="00015B10" w:rsidP="00557C13">
      <w:pPr>
        <w:numPr>
          <w:ilvl w:val="0"/>
          <w:numId w:val="57"/>
        </w:numPr>
        <w:spacing w:after="120"/>
        <w:contextualSpacing/>
        <w:jc w:val="both"/>
        <w:rPr>
          <w:rFonts w:ascii="Cambria" w:hAnsi="Cambria"/>
          <w:noProof/>
          <w:lang w:val="sr-Latn-ME"/>
        </w:rPr>
      </w:pPr>
      <w:r w:rsidRPr="00360F0F">
        <w:rPr>
          <w:rFonts w:ascii="Cambria" w:hAnsi="Cambria"/>
          <w:noProof/>
          <w:lang w:val="sr-Latn-ME"/>
        </w:rPr>
        <w:t>Azbest i njegov negativan uticaj na okolinu i zdravlje</w:t>
      </w:r>
      <w:r w:rsidRPr="00683287">
        <w:rPr>
          <w:rFonts w:ascii="Cambria" w:hAnsi="Cambria"/>
          <w:noProof/>
          <w:lang w:val="sr-Latn-ME"/>
        </w:rPr>
        <w:t xml:space="preserve">  </w:t>
      </w:r>
    </w:p>
    <w:p w14:paraId="6936D2FA" w14:textId="0D3EFD11" w:rsidR="00015B10" w:rsidRPr="00683287" w:rsidRDefault="00015B10" w:rsidP="00557C13">
      <w:pPr>
        <w:numPr>
          <w:ilvl w:val="0"/>
          <w:numId w:val="57"/>
        </w:numPr>
        <w:spacing w:after="120"/>
        <w:contextualSpacing/>
        <w:jc w:val="both"/>
        <w:rPr>
          <w:rFonts w:ascii="Cambria" w:hAnsi="Cambria"/>
          <w:noProof/>
          <w:lang w:val="sr-Latn-ME"/>
        </w:rPr>
      </w:pPr>
      <w:r w:rsidRPr="00360F0F">
        <w:rPr>
          <w:rFonts w:ascii="Cambria" w:hAnsi="Cambria"/>
          <w:noProof/>
          <w:lang w:val="sr-Latn-ME"/>
        </w:rPr>
        <w:lastRenderedPageBreak/>
        <w:t>Štetni uticaji detergenata i sredstava za higijenu</w:t>
      </w:r>
      <w:r w:rsidRPr="00683287">
        <w:rPr>
          <w:rFonts w:ascii="Cambria" w:hAnsi="Cambria"/>
          <w:noProof/>
          <w:lang w:val="sr-Latn-ME"/>
        </w:rPr>
        <w:t xml:space="preserve"> </w:t>
      </w:r>
    </w:p>
    <w:p w14:paraId="12EF73B7" w14:textId="747D40A0" w:rsidR="00683287" w:rsidRPr="00683287" w:rsidRDefault="00015B10" w:rsidP="00557C13">
      <w:pPr>
        <w:numPr>
          <w:ilvl w:val="0"/>
          <w:numId w:val="57"/>
        </w:numPr>
        <w:spacing w:after="120"/>
        <w:contextualSpacing/>
        <w:jc w:val="both"/>
        <w:rPr>
          <w:rFonts w:ascii="Cambria" w:hAnsi="Cambria"/>
          <w:noProof/>
          <w:lang w:val="sr-Latn-ME"/>
        </w:rPr>
      </w:pPr>
      <w:r w:rsidRPr="00360F0F">
        <w:rPr>
          <w:rFonts w:ascii="Cambria" w:hAnsi="Cambria"/>
          <w:noProof/>
          <w:lang w:val="sr-Latn-ME"/>
        </w:rPr>
        <w:t>Štetni uticaji žive na životnu sredinu i zdravlje</w:t>
      </w:r>
      <w:r w:rsidRPr="00683287">
        <w:rPr>
          <w:rFonts w:ascii="Cambria" w:hAnsi="Cambria"/>
          <w:noProof/>
          <w:lang w:val="sr-Latn-ME"/>
        </w:rPr>
        <w:t xml:space="preserve"> </w:t>
      </w:r>
    </w:p>
    <w:p w14:paraId="7295C473" w14:textId="348D23E5" w:rsidR="00683287" w:rsidRPr="0011359D" w:rsidRDefault="00015B10" w:rsidP="00557C13">
      <w:pPr>
        <w:numPr>
          <w:ilvl w:val="0"/>
          <w:numId w:val="57"/>
        </w:numPr>
        <w:jc w:val="both"/>
        <w:rPr>
          <w:rFonts w:ascii="Cambria" w:hAnsi="Cambria"/>
          <w:noProof/>
          <w:lang w:val="sr-Latn-ME"/>
        </w:rPr>
      </w:pPr>
      <w:r w:rsidRPr="00360F0F">
        <w:rPr>
          <w:rFonts w:ascii="Cambria" w:hAnsi="Cambria"/>
          <w:noProof/>
          <w:lang w:val="sr-Latn-ME"/>
        </w:rPr>
        <w:t>POPs-ovi i njihovi štetni uticaji</w:t>
      </w:r>
      <w:r w:rsidR="00683287">
        <w:rPr>
          <w:rFonts w:ascii="Cambria" w:hAnsi="Cambria"/>
          <w:noProof/>
          <w:lang w:val="sr-Latn-ME"/>
        </w:rPr>
        <w:t>.</w:t>
      </w:r>
    </w:p>
    <w:p w14:paraId="6752F915" w14:textId="40F6EB9D" w:rsidR="001C310D" w:rsidRDefault="001C310D" w:rsidP="005921EF">
      <w:pPr>
        <w:jc w:val="both"/>
        <w:rPr>
          <w:rFonts w:ascii="Cambria" w:hAnsi="Cambria"/>
          <w:noProof/>
          <w:lang w:val="sr-Latn-ME"/>
        </w:rPr>
      </w:pPr>
      <w:r w:rsidRPr="00AB15C7">
        <w:rPr>
          <w:rFonts w:ascii="Cambria" w:hAnsi="Cambria"/>
          <w:noProof/>
          <w:lang w:val="sr-Latn-ME"/>
        </w:rPr>
        <w:t xml:space="preserve">Takođe, posebno mjesto i misiju u ekološkom osvješćivanju imaju i mediji. Uloga medija je više nego važna u sprovođenju politike životne sredine, jer oni utiču kako na razvijanje ekološke svijesti i kulture pojedinca, tako i na podizanje nivoa ekološke svijesti i kulture cjelokupnog društva u Crnoj Gori. Potrebno je preduzeti dodatne mjere kako bi se doprinijelo da angažovanje medija u razvoju ekološke svijesti i kulture našeg društva bude sistematizovano, osmišljeno i svrsishodno. </w:t>
      </w:r>
    </w:p>
    <w:p w14:paraId="2788772C" w14:textId="25A6CA81" w:rsidR="00591053" w:rsidRPr="00AB15C7" w:rsidRDefault="00745774" w:rsidP="005921EF">
      <w:pPr>
        <w:jc w:val="both"/>
        <w:rPr>
          <w:rFonts w:ascii="Cambria" w:hAnsi="Cambria"/>
          <w:noProof/>
          <w:lang w:val="sr-Latn-ME"/>
        </w:rPr>
      </w:pPr>
      <w:r w:rsidRPr="00745774">
        <w:rPr>
          <w:rFonts w:ascii="Cambria" w:hAnsi="Cambria"/>
          <w:noProof/>
          <w:lang w:val="sr-Latn-ME"/>
        </w:rPr>
        <w:t xml:space="preserve">U saradnji sa Radio Televizijom Crne Gore </w:t>
      </w:r>
      <w:r>
        <w:rPr>
          <w:rFonts w:ascii="Cambria" w:hAnsi="Cambria"/>
          <w:noProof/>
          <w:lang w:val="sr-Latn-ME"/>
        </w:rPr>
        <w:t>MORT je</w:t>
      </w:r>
      <w:r w:rsidRPr="00745774">
        <w:rPr>
          <w:rFonts w:ascii="Cambria" w:hAnsi="Cambria"/>
          <w:noProof/>
          <w:lang w:val="sr-Latn-ME"/>
        </w:rPr>
        <w:t xml:space="preserve"> učestvovao</w:t>
      </w:r>
      <w:r w:rsidR="00ED2577">
        <w:rPr>
          <w:rFonts w:ascii="Cambria" w:hAnsi="Cambria"/>
          <w:noProof/>
          <w:lang w:val="sr-Latn-ME"/>
        </w:rPr>
        <w:t xml:space="preserve"> </w:t>
      </w:r>
      <w:r w:rsidRPr="00745774">
        <w:rPr>
          <w:rFonts w:ascii="Cambria" w:hAnsi="Cambria"/>
          <w:noProof/>
          <w:lang w:val="sr-Latn-ME"/>
        </w:rPr>
        <w:t>u pripremi emisije u sklopu Projekta “Zeleni paket”. Projekat predstavlja napore da se unaprijedi kvalitet obrazovanja u oblasti održivog razvoja kod učenika od 1. do 5. razreda osnovne škole. Bezbjedno upravljanje hemikalijama je bila jedna od tema koja je obrađena kroz Zeleni paket i ista je bila u potpunosti usklađena s potrebama i mogućnostima učenika/ca datog uzrasta. Sadržaji koji su zastupljeni u emisiji predstavljaju dobru podlogu za učenje kroz istraživanje, rješavanje problema i slično.</w:t>
      </w:r>
      <w:r w:rsidR="00ED2577">
        <w:rPr>
          <w:rFonts w:ascii="Cambria" w:hAnsi="Cambria"/>
          <w:noProof/>
          <w:lang w:val="sr-Latn-ME"/>
        </w:rPr>
        <w:t xml:space="preserve"> </w:t>
      </w:r>
    </w:p>
    <w:p w14:paraId="752A97D5" w14:textId="65C49FF1" w:rsidR="00895CE0" w:rsidRDefault="001C310D" w:rsidP="005921EF">
      <w:pPr>
        <w:jc w:val="both"/>
        <w:rPr>
          <w:rFonts w:ascii="Cambria" w:hAnsi="Cambria"/>
          <w:noProof/>
          <w:lang w:val="sr-Latn-RS"/>
        </w:rPr>
      </w:pPr>
      <w:bookmarkStart w:id="120" w:name="_Hlk525812568"/>
      <w:r w:rsidRPr="00EF2DF7">
        <w:rPr>
          <w:rFonts w:ascii="Cambria" w:hAnsi="Cambria"/>
          <w:b/>
          <w:noProof/>
          <w:lang w:val="sr-Latn-ME"/>
        </w:rPr>
        <w:t xml:space="preserve">Institut za javno zdravlje vodi </w:t>
      </w:r>
      <w:r w:rsidR="00FF5278" w:rsidRPr="00EF2DF7">
        <w:rPr>
          <w:rFonts w:ascii="Cambria" w:hAnsi="Cambria"/>
          <w:b/>
          <w:noProof/>
          <w:lang w:val="sr-Latn-ME"/>
        </w:rPr>
        <w:t xml:space="preserve">zbirne </w:t>
      </w:r>
      <w:r w:rsidR="00FF5278" w:rsidRPr="00EF2DF7">
        <w:rPr>
          <w:rFonts w:ascii="Cambria" w:eastAsia="Calibri" w:hAnsi="Cambria"/>
          <w:b/>
          <w:noProof/>
          <w:lang w:val="sr-Latn-CS"/>
        </w:rPr>
        <w:t>evidencije u oblasti zdravstva i zdravstveno-statističkih podataka</w:t>
      </w:r>
      <w:r w:rsidR="00FF5278" w:rsidRPr="00AB15C7">
        <w:rPr>
          <w:rFonts w:ascii="Cambria" w:eastAsia="Calibri" w:hAnsi="Cambria"/>
          <w:noProof/>
          <w:lang w:val="sr-Latn-CS"/>
        </w:rPr>
        <w:t xml:space="preserve"> koji se dostavljaju iz zdravstvenih ustanova u Crnoj Gori</w:t>
      </w:r>
      <w:r w:rsidR="00FF5278" w:rsidRPr="00AB15C7">
        <w:rPr>
          <w:rFonts w:ascii="Cambria" w:hAnsi="Cambria"/>
          <w:noProof/>
          <w:lang w:val="sr-Latn-ME"/>
        </w:rPr>
        <w:t xml:space="preserve"> </w:t>
      </w:r>
      <w:r w:rsidR="00A3121A" w:rsidRPr="00AB15C7">
        <w:rPr>
          <w:rFonts w:ascii="Cambria" w:hAnsi="Cambria"/>
          <w:noProof/>
          <w:lang w:val="sr-Latn-ME"/>
        </w:rPr>
        <w:t xml:space="preserve">i objavljuje </w:t>
      </w:r>
      <w:r w:rsidR="00FF5278" w:rsidRPr="00AB15C7">
        <w:rPr>
          <w:rFonts w:ascii="Cambria" w:hAnsi="Cambria"/>
          <w:noProof/>
          <w:lang w:val="sr-Latn-ME"/>
        </w:rPr>
        <w:t xml:space="preserve">relevantne podatke </w:t>
      </w:r>
      <w:r w:rsidR="000B19F7">
        <w:rPr>
          <w:rFonts w:ascii="Cambria" w:hAnsi="Cambria"/>
          <w:noProof/>
          <w:lang w:val="sr-Latn-ME"/>
        </w:rPr>
        <w:t>u</w:t>
      </w:r>
      <w:r w:rsidR="00EF2DF7">
        <w:rPr>
          <w:rFonts w:ascii="Cambria" w:hAnsi="Cambria"/>
          <w:noProof/>
          <w:lang w:val="sr-Latn-ME"/>
        </w:rPr>
        <w:t xml:space="preserve"> javno dostupnim </w:t>
      </w:r>
      <w:r w:rsidR="000B19F7">
        <w:rPr>
          <w:rFonts w:ascii="Cambria" w:hAnsi="Cambria"/>
          <w:noProof/>
          <w:lang w:val="sr-Latn-ME"/>
        </w:rPr>
        <w:t xml:space="preserve"> </w:t>
      </w:r>
      <w:r w:rsidR="00A3121A" w:rsidRPr="00AB15C7">
        <w:rPr>
          <w:rFonts w:ascii="Cambria" w:hAnsi="Cambria"/>
          <w:noProof/>
          <w:lang w:val="sr-Latn-ME"/>
        </w:rPr>
        <w:t>Statističkim godišnjacima</w:t>
      </w:r>
      <w:r w:rsidR="00A14CAE" w:rsidRPr="00AB15C7">
        <w:rPr>
          <w:rFonts w:ascii="Cambria" w:hAnsi="Cambria"/>
          <w:noProof/>
          <w:lang w:val="sr-Latn-ME"/>
        </w:rPr>
        <w:t xml:space="preserve">. </w:t>
      </w:r>
      <w:bookmarkStart w:id="121" w:name="_Hlk522023867"/>
      <w:r w:rsidR="0010135D">
        <w:rPr>
          <w:rFonts w:ascii="Cambria" w:hAnsi="Cambria"/>
          <w:bCs/>
          <w:noProof/>
        </w:rPr>
        <w:t>Z</w:t>
      </w:r>
      <w:r w:rsidR="00D74AAC" w:rsidRPr="00AB15C7">
        <w:rPr>
          <w:rFonts w:ascii="Cambria" w:hAnsi="Cambria"/>
          <w:bCs/>
          <w:noProof/>
        </w:rPr>
        <w:t>a vanbolničku zdravstvenu zaštitu u Crnoj Gori</w:t>
      </w:r>
      <w:bookmarkEnd w:id="121"/>
      <w:r w:rsidR="00D74AAC" w:rsidRPr="00AB15C7">
        <w:rPr>
          <w:rFonts w:ascii="Cambria" w:hAnsi="Cambria"/>
          <w:bCs/>
          <w:noProof/>
        </w:rPr>
        <w:t xml:space="preserve"> </w:t>
      </w:r>
      <w:r w:rsidR="00D74AAC" w:rsidRPr="00AB15C7">
        <w:rPr>
          <w:rFonts w:ascii="Cambria" w:hAnsi="Cambria"/>
          <w:noProof/>
          <w:lang w:val="sr-Latn-RS"/>
        </w:rPr>
        <w:t xml:space="preserve">u pogledu </w:t>
      </w:r>
      <w:r w:rsidR="0010135D">
        <w:rPr>
          <w:rFonts w:ascii="Cambria" w:hAnsi="Cambria"/>
          <w:noProof/>
          <w:lang w:val="sr-Latn-RS"/>
        </w:rPr>
        <w:t xml:space="preserve">poseta izabranom doktoru zbog </w:t>
      </w:r>
      <w:r w:rsidR="00D74AAC" w:rsidRPr="00AB15C7">
        <w:rPr>
          <w:rFonts w:ascii="Cambria" w:hAnsi="Cambria"/>
          <w:bCs/>
          <w:noProof/>
        </w:rPr>
        <w:t>dijagnoza koje uključuju trovanje hemijskim agensima</w:t>
      </w:r>
      <w:r w:rsidR="003D4102">
        <w:rPr>
          <w:rFonts w:ascii="Cambria" w:hAnsi="Cambria"/>
          <w:bCs/>
          <w:noProof/>
        </w:rPr>
        <w:t xml:space="preserve"> </w:t>
      </w:r>
      <w:r w:rsidR="003D4102" w:rsidRPr="003D4102">
        <w:rPr>
          <w:rFonts w:ascii="Cambria" w:hAnsi="Cambria"/>
          <w:bCs/>
          <w:noProof/>
        </w:rPr>
        <w:t>(šifre T36-T50</w:t>
      </w:r>
      <w:r w:rsidR="004E35B8" w:rsidRPr="007B2931">
        <w:rPr>
          <w:rFonts w:ascii="Cambria" w:hAnsi="Cambria"/>
          <w:b/>
          <w:bCs/>
          <w:noProof/>
          <w:vertAlign w:val="superscript"/>
        </w:rPr>
        <w:footnoteReference w:id="50"/>
      </w:r>
      <w:r w:rsidR="003D4102" w:rsidRPr="003D4102">
        <w:rPr>
          <w:rFonts w:ascii="Cambria" w:hAnsi="Cambria"/>
          <w:bCs/>
          <w:noProof/>
        </w:rPr>
        <w:t xml:space="preserve"> i T51-T65</w:t>
      </w:r>
      <w:r w:rsidR="004E35B8" w:rsidRPr="007B2931">
        <w:rPr>
          <w:rFonts w:ascii="Cambria" w:hAnsi="Cambria"/>
          <w:b/>
          <w:bCs/>
          <w:noProof/>
          <w:vertAlign w:val="superscript"/>
        </w:rPr>
        <w:footnoteReference w:id="51"/>
      </w:r>
      <w:r w:rsidR="003D4102" w:rsidRPr="003D4102">
        <w:rPr>
          <w:rFonts w:ascii="Cambria" w:hAnsi="Cambria"/>
          <w:bCs/>
          <w:noProof/>
        </w:rPr>
        <w:t>)</w:t>
      </w:r>
      <w:r w:rsidR="00D74AAC" w:rsidRPr="00AB15C7">
        <w:rPr>
          <w:rFonts w:ascii="Cambria" w:hAnsi="Cambria"/>
          <w:bCs/>
          <w:noProof/>
        </w:rPr>
        <w:t xml:space="preserve"> </w:t>
      </w:r>
      <w:r w:rsidR="00317DB9">
        <w:rPr>
          <w:rFonts w:ascii="Cambria" w:hAnsi="Cambria"/>
          <w:noProof/>
          <w:lang w:val="sr-Latn-RS"/>
        </w:rPr>
        <w:t xml:space="preserve">Institut raspolaže </w:t>
      </w:r>
      <w:r w:rsidR="00895CE0" w:rsidRPr="00C75EA0">
        <w:rPr>
          <w:rFonts w:ascii="Cambria" w:hAnsi="Cambria"/>
          <w:noProof/>
          <w:lang w:val="sr-Latn-RS"/>
        </w:rPr>
        <w:t>podaci</w:t>
      </w:r>
      <w:r w:rsidR="00317DB9">
        <w:rPr>
          <w:rFonts w:ascii="Cambria" w:hAnsi="Cambria"/>
          <w:noProof/>
          <w:lang w:val="sr-Latn-RS"/>
        </w:rPr>
        <w:t>ma</w:t>
      </w:r>
      <w:r w:rsidR="00895CE0" w:rsidRPr="00C75EA0">
        <w:rPr>
          <w:rFonts w:ascii="Cambria" w:hAnsi="Cambria"/>
          <w:noProof/>
          <w:lang w:val="sr-Latn-RS"/>
        </w:rPr>
        <w:t xml:space="preserve"> </w:t>
      </w:r>
      <w:r w:rsidR="00D74AAC" w:rsidRPr="00C75EA0">
        <w:rPr>
          <w:rFonts w:ascii="Cambria" w:hAnsi="Cambria"/>
          <w:noProof/>
          <w:lang w:val="sr-Latn-RS"/>
        </w:rPr>
        <w:t>prikazani</w:t>
      </w:r>
      <w:r w:rsidR="00317DB9">
        <w:rPr>
          <w:rFonts w:ascii="Cambria" w:hAnsi="Cambria"/>
          <w:noProof/>
          <w:lang w:val="sr-Latn-RS"/>
        </w:rPr>
        <w:t>m</w:t>
      </w:r>
      <w:r w:rsidR="00D74AAC" w:rsidRPr="00C75EA0">
        <w:rPr>
          <w:rFonts w:ascii="Cambria" w:hAnsi="Cambria"/>
          <w:noProof/>
          <w:lang w:val="sr-Latn-RS"/>
        </w:rPr>
        <w:t xml:space="preserve"> u tabeli </w:t>
      </w:r>
      <w:r w:rsidR="009D6E0E" w:rsidRPr="00C75EA0">
        <w:rPr>
          <w:rFonts w:ascii="Cambria" w:hAnsi="Cambria"/>
          <w:noProof/>
          <w:lang w:val="sr-Latn-RS"/>
        </w:rPr>
        <w:t>19</w:t>
      </w:r>
      <w:r w:rsidR="00D74AAC" w:rsidRPr="00C75EA0">
        <w:rPr>
          <w:rFonts w:ascii="Cambria" w:hAnsi="Cambria"/>
          <w:noProof/>
          <w:lang w:val="sr-Latn-RS"/>
        </w:rPr>
        <w:t>.</w:t>
      </w:r>
    </w:p>
    <w:p w14:paraId="3B81D3A3" w14:textId="695DC212" w:rsidR="000F6800" w:rsidRDefault="000F6800" w:rsidP="00360F0F">
      <w:pPr>
        <w:spacing w:after="60"/>
        <w:jc w:val="center"/>
        <w:rPr>
          <w:rFonts w:ascii="Cambria" w:hAnsi="Cambria"/>
          <w:bCs/>
          <w:noProof/>
          <w:lang w:val="sr-Latn-CS"/>
        </w:rPr>
      </w:pPr>
      <w:r w:rsidRPr="009A2099">
        <w:rPr>
          <w:rFonts w:ascii="Cambria" w:hAnsi="Cambria"/>
          <w:bCs/>
          <w:i/>
          <w:noProof/>
        </w:rPr>
        <w:t xml:space="preserve">Tabela </w:t>
      </w:r>
      <w:r w:rsidR="009D6E0E" w:rsidRPr="009A2099">
        <w:rPr>
          <w:rFonts w:ascii="Cambria" w:hAnsi="Cambria"/>
          <w:bCs/>
          <w:i/>
          <w:noProof/>
        </w:rPr>
        <w:t>19</w:t>
      </w:r>
      <w:r w:rsidRPr="009A2099">
        <w:rPr>
          <w:rFonts w:ascii="Cambria" w:hAnsi="Cambria"/>
          <w:bCs/>
          <w:i/>
          <w:noProof/>
        </w:rPr>
        <w:t>.</w:t>
      </w:r>
      <w:r w:rsidRPr="00C75EA0">
        <w:rPr>
          <w:rFonts w:ascii="Cambria" w:hAnsi="Cambria"/>
          <w:bCs/>
          <w:noProof/>
        </w:rPr>
        <w:t xml:space="preserve"> </w:t>
      </w:r>
      <w:r w:rsidR="0010135D" w:rsidRPr="0010135D">
        <w:rPr>
          <w:rFonts w:ascii="Cambria" w:hAnsi="Cambria"/>
          <w:bCs/>
          <w:noProof/>
          <w:lang w:val="sr-Latn-CS"/>
        </w:rPr>
        <w:t>Broj</w:t>
      </w:r>
      <w:r w:rsidR="0010135D" w:rsidRPr="0010135D">
        <w:rPr>
          <w:rFonts w:ascii="Cambria" w:hAnsi="Cambria"/>
          <w:b/>
          <w:bCs/>
          <w:noProof/>
          <w:lang w:val="sr-Latn-CS"/>
        </w:rPr>
        <w:t xml:space="preserve"> </w:t>
      </w:r>
      <w:r w:rsidR="0010135D" w:rsidRPr="0010135D">
        <w:rPr>
          <w:rFonts w:ascii="Cambria" w:hAnsi="Cambria"/>
          <w:bCs/>
          <w:noProof/>
          <w:lang w:val="sr-Latn-CS"/>
        </w:rPr>
        <w:t xml:space="preserve">posjeta </w:t>
      </w:r>
      <w:r w:rsidR="0010135D">
        <w:rPr>
          <w:rFonts w:ascii="Cambria" w:hAnsi="Cambria"/>
          <w:bCs/>
          <w:noProof/>
          <w:lang w:val="sr-Latn-CS"/>
        </w:rPr>
        <w:t xml:space="preserve">izabranom doktoru </w:t>
      </w:r>
      <w:r w:rsidR="0010135D" w:rsidRPr="0010135D">
        <w:rPr>
          <w:rFonts w:ascii="Cambria" w:hAnsi="Cambria"/>
          <w:bCs/>
          <w:noProof/>
          <w:lang w:val="sr-Latn-CS"/>
        </w:rPr>
        <w:t xml:space="preserve"> zbog </w:t>
      </w:r>
      <w:r w:rsidR="007B2931">
        <w:rPr>
          <w:rFonts w:ascii="Cambria" w:hAnsi="Cambria"/>
          <w:bCs/>
          <w:noProof/>
          <w:lang w:val="sr-Latn-CS"/>
        </w:rPr>
        <w:t>t</w:t>
      </w:r>
      <w:r w:rsidR="0010135D" w:rsidRPr="0010135D">
        <w:rPr>
          <w:rFonts w:ascii="Cambria" w:hAnsi="Cambria"/>
          <w:bCs/>
          <w:noProof/>
          <w:lang w:val="sr-Latn-CS"/>
        </w:rPr>
        <w:t>rovanja ljekovima, ljekovitim i biološkim materijama (T36-T50)</w:t>
      </w:r>
      <w:r w:rsidR="003D4102" w:rsidRPr="003D4102">
        <w:rPr>
          <w:rFonts w:ascii="Cambria" w:hAnsi="Cambria"/>
          <w:b/>
          <w:bCs/>
          <w:noProof/>
          <w:vertAlign w:val="superscript"/>
        </w:rPr>
        <w:t xml:space="preserve"> </w:t>
      </w:r>
      <w:r w:rsidR="0010135D" w:rsidRPr="0010135D">
        <w:rPr>
          <w:rFonts w:ascii="Cambria" w:hAnsi="Cambria"/>
          <w:bCs/>
          <w:noProof/>
          <w:lang w:val="sr-Latn-CS"/>
        </w:rPr>
        <w:t xml:space="preserve">i </w:t>
      </w:r>
      <w:r w:rsidR="003D4102">
        <w:rPr>
          <w:rFonts w:ascii="Cambria" w:hAnsi="Cambria"/>
          <w:bCs/>
          <w:noProof/>
          <w:lang w:val="sr-Latn-CS"/>
        </w:rPr>
        <w:t>t</w:t>
      </w:r>
      <w:r w:rsidR="0010135D" w:rsidRPr="0010135D">
        <w:rPr>
          <w:rFonts w:ascii="Cambria" w:hAnsi="Cambria"/>
          <w:bCs/>
          <w:noProof/>
          <w:lang w:val="sr-Latn-CS"/>
        </w:rPr>
        <w:t>oksičkog dejstva neljekovitih supstanci (T51-T65)</w:t>
      </w:r>
      <w:r w:rsidR="003D4102" w:rsidRPr="003D4102">
        <w:rPr>
          <w:rFonts w:ascii="Cambria" w:hAnsi="Cambria"/>
          <w:b/>
          <w:bCs/>
          <w:noProof/>
          <w:vertAlign w:val="superscript"/>
        </w:rPr>
        <w:t xml:space="preserve"> </w:t>
      </w:r>
      <w:r w:rsidR="0010135D" w:rsidRPr="0010135D">
        <w:rPr>
          <w:rFonts w:ascii="Cambria" w:hAnsi="Cambria"/>
          <w:bCs/>
          <w:noProof/>
          <w:lang w:val="sr-Latn-CS"/>
        </w:rPr>
        <w:t xml:space="preserve">za period od 2010-2017. </w:t>
      </w:r>
    </w:p>
    <w:tbl>
      <w:tblPr>
        <w:tblW w:w="9532" w:type="dxa"/>
        <w:tblInd w:w="93" w:type="dxa"/>
        <w:tblLayout w:type="fixed"/>
        <w:tblLook w:val="04A0" w:firstRow="1" w:lastRow="0" w:firstColumn="1" w:lastColumn="0" w:noHBand="0" w:noVBand="1"/>
      </w:tblPr>
      <w:tblGrid>
        <w:gridCol w:w="1522"/>
        <w:gridCol w:w="1001"/>
        <w:gridCol w:w="1001"/>
        <w:gridCol w:w="1001"/>
        <w:gridCol w:w="1002"/>
        <w:gridCol w:w="1001"/>
        <w:gridCol w:w="1001"/>
        <w:gridCol w:w="1001"/>
        <w:gridCol w:w="1002"/>
      </w:tblGrid>
      <w:tr w:rsidR="007B2931" w:rsidRPr="007B2931" w14:paraId="6AF7E0EF" w14:textId="77777777" w:rsidTr="007B2931">
        <w:trPr>
          <w:trHeight w:val="297"/>
        </w:trPr>
        <w:tc>
          <w:tcPr>
            <w:tcW w:w="1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A1536" w14:textId="77777777" w:rsidR="007B2931" w:rsidRPr="007B2931" w:rsidRDefault="007B2931" w:rsidP="00360F0F">
            <w:pPr>
              <w:spacing w:after="0"/>
              <w:jc w:val="center"/>
              <w:rPr>
                <w:rFonts w:ascii="Cambria" w:hAnsi="Cambria"/>
                <w:b/>
                <w:bCs/>
                <w:noProof/>
              </w:rPr>
            </w:pPr>
            <w:r w:rsidRPr="007B2931">
              <w:rPr>
                <w:rFonts w:ascii="Cambria" w:hAnsi="Cambria"/>
                <w:b/>
                <w:bCs/>
                <w:noProof/>
              </w:rPr>
              <w:t>Dijagnoze</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F0C91B6" w14:textId="77777777" w:rsidR="007B2931" w:rsidRPr="007B2931" w:rsidRDefault="007B2931" w:rsidP="00360F0F">
            <w:pPr>
              <w:spacing w:after="0"/>
              <w:jc w:val="center"/>
              <w:rPr>
                <w:rFonts w:ascii="Cambria" w:hAnsi="Cambria"/>
                <w:b/>
                <w:bCs/>
                <w:noProof/>
              </w:rPr>
            </w:pPr>
            <w:r w:rsidRPr="007B2931">
              <w:rPr>
                <w:rFonts w:ascii="Cambria" w:hAnsi="Cambria"/>
                <w:b/>
                <w:bCs/>
                <w:noProof/>
              </w:rPr>
              <w:t>2010</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03EA577" w14:textId="77777777" w:rsidR="007B2931" w:rsidRPr="007B2931" w:rsidRDefault="007B2931" w:rsidP="00360F0F">
            <w:pPr>
              <w:spacing w:after="0"/>
              <w:jc w:val="center"/>
              <w:rPr>
                <w:rFonts w:ascii="Cambria" w:hAnsi="Cambria"/>
                <w:b/>
                <w:bCs/>
                <w:noProof/>
              </w:rPr>
            </w:pPr>
            <w:r w:rsidRPr="007B2931">
              <w:rPr>
                <w:rFonts w:ascii="Cambria" w:hAnsi="Cambria"/>
                <w:b/>
                <w:bCs/>
                <w:noProof/>
              </w:rPr>
              <w:t>2011</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5EC8D5" w14:textId="77777777" w:rsidR="007B2931" w:rsidRPr="007B2931" w:rsidRDefault="007B2931" w:rsidP="00360F0F">
            <w:pPr>
              <w:spacing w:after="0"/>
              <w:jc w:val="center"/>
              <w:rPr>
                <w:rFonts w:ascii="Cambria" w:hAnsi="Cambria"/>
                <w:b/>
                <w:bCs/>
                <w:noProof/>
              </w:rPr>
            </w:pPr>
            <w:r w:rsidRPr="007B2931">
              <w:rPr>
                <w:rFonts w:ascii="Cambria" w:hAnsi="Cambria"/>
                <w:b/>
                <w:bCs/>
                <w:noProof/>
              </w:rPr>
              <w:t>2012</w:t>
            </w:r>
          </w:p>
        </w:tc>
        <w:tc>
          <w:tcPr>
            <w:tcW w:w="10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54B5DF0" w14:textId="77777777" w:rsidR="007B2931" w:rsidRPr="007B2931" w:rsidRDefault="007B2931" w:rsidP="00360F0F">
            <w:pPr>
              <w:spacing w:after="0"/>
              <w:jc w:val="center"/>
              <w:rPr>
                <w:rFonts w:ascii="Cambria" w:hAnsi="Cambria"/>
                <w:b/>
                <w:bCs/>
                <w:noProof/>
              </w:rPr>
            </w:pPr>
            <w:r w:rsidRPr="007B2931">
              <w:rPr>
                <w:rFonts w:ascii="Cambria" w:hAnsi="Cambria"/>
                <w:b/>
                <w:bCs/>
                <w:noProof/>
              </w:rPr>
              <w:t>2013</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5F6966" w14:textId="77777777" w:rsidR="007B2931" w:rsidRPr="007B2931" w:rsidRDefault="007B2931" w:rsidP="00360F0F">
            <w:pPr>
              <w:spacing w:after="0"/>
              <w:jc w:val="center"/>
              <w:rPr>
                <w:rFonts w:ascii="Cambria" w:hAnsi="Cambria"/>
                <w:b/>
                <w:bCs/>
                <w:noProof/>
              </w:rPr>
            </w:pPr>
            <w:r w:rsidRPr="007B2931">
              <w:rPr>
                <w:rFonts w:ascii="Cambria" w:hAnsi="Cambria"/>
                <w:b/>
                <w:bCs/>
                <w:noProof/>
              </w:rPr>
              <w:t>2014</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5B4425" w14:textId="77777777" w:rsidR="007B2931" w:rsidRPr="007B2931" w:rsidRDefault="007B2931" w:rsidP="00360F0F">
            <w:pPr>
              <w:spacing w:after="0"/>
              <w:jc w:val="center"/>
              <w:rPr>
                <w:rFonts w:ascii="Cambria" w:hAnsi="Cambria"/>
                <w:b/>
                <w:bCs/>
                <w:noProof/>
              </w:rPr>
            </w:pPr>
            <w:r w:rsidRPr="007B2931">
              <w:rPr>
                <w:rFonts w:ascii="Cambria" w:hAnsi="Cambria"/>
                <w:b/>
                <w:bCs/>
                <w:noProof/>
              </w:rPr>
              <w:t>2015</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523454" w14:textId="77777777" w:rsidR="007B2931" w:rsidRPr="007B2931" w:rsidRDefault="007B2931" w:rsidP="00360F0F">
            <w:pPr>
              <w:spacing w:after="0"/>
              <w:jc w:val="center"/>
              <w:rPr>
                <w:rFonts w:ascii="Cambria" w:hAnsi="Cambria"/>
                <w:b/>
                <w:bCs/>
                <w:noProof/>
              </w:rPr>
            </w:pPr>
            <w:r w:rsidRPr="007B2931">
              <w:rPr>
                <w:rFonts w:ascii="Cambria" w:hAnsi="Cambria"/>
                <w:b/>
                <w:bCs/>
                <w:noProof/>
              </w:rPr>
              <w:t>2016</w:t>
            </w:r>
          </w:p>
        </w:tc>
        <w:tc>
          <w:tcPr>
            <w:tcW w:w="1002" w:type="dxa"/>
            <w:tcBorders>
              <w:top w:val="single" w:sz="4" w:space="0" w:color="auto"/>
              <w:left w:val="nil"/>
              <w:bottom w:val="single" w:sz="4" w:space="0" w:color="auto"/>
              <w:right w:val="single" w:sz="4" w:space="0" w:color="auto"/>
            </w:tcBorders>
            <w:shd w:val="clear" w:color="auto" w:fill="D9D9D9" w:themeFill="background1" w:themeFillShade="D9"/>
          </w:tcPr>
          <w:p w14:paraId="06AE6225" w14:textId="77777777" w:rsidR="007B2931" w:rsidRPr="007B2931" w:rsidRDefault="007B2931" w:rsidP="00360F0F">
            <w:pPr>
              <w:spacing w:after="0"/>
              <w:jc w:val="center"/>
              <w:rPr>
                <w:rFonts w:ascii="Cambria" w:hAnsi="Cambria"/>
                <w:b/>
                <w:bCs/>
                <w:noProof/>
              </w:rPr>
            </w:pPr>
            <w:r w:rsidRPr="007B2931">
              <w:rPr>
                <w:rFonts w:ascii="Cambria" w:hAnsi="Cambria"/>
                <w:b/>
                <w:bCs/>
                <w:noProof/>
              </w:rPr>
              <w:t>2017</w:t>
            </w:r>
          </w:p>
        </w:tc>
      </w:tr>
      <w:tr w:rsidR="007B2931" w:rsidRPr="007B2931" w14:paraId="2C5BF033" w14:textId="77777777" w:rsidTr="00DE6B82">
        <w:trPr>
          <w:trHeight w:val="297"/>
        </w:trPr>
        <w:tc>
          <w:tcPr>
            <w:tcW w:w="152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27D1335" w14:textId="4CEB22ED" w:rsidR="007B2931" w:rsidRPr="007B2931" w:rsidRDefault="007B2931" w:rsidP="00360F0F">
            <w:pPr>
              <w:spacing w:after="0"/>
              <w:jc w:val="center"/>
              <w:rPr>
                <w:rFonts w:ascii="Cambria" w:hAnsi="Cambria"/>
                <w:b/>
                <w:bCs/>
                <w:noProof/>
              </w:rPr>
            </w:pPr>
            <w:r w:rsidRPr="007B2931">
              <w:rPr>
                <w:rFonts w:ascii="Cambria" w:hAnsi="Cambria"/>
                <w:b/>
                <w:bCs/>
                <w:noProof/>
              </w:rPr>
              <w:t>T36-T50</w:t>
            </w:r>
          </w:p>
        </w:tc>
        <w:tc>
          <w:tcPr>
            <w:tcW w:w="1001" w:type="dxa"/>
            <w:tcBorders>
              <w:top w:val="nil"/>
              <w:left w:val="nil"/>
              <w:bottom w:val="single" w:sz="4" w:space="0" w:color="auto"/>
              <w:right w:val="single" w:sz="4" w:space="0" w:color="auto"/>
            </w:tcBorders>
            <w:shd w:val="clear" w:color="auto" w:fill="auto"/>
            <w:noWrap/>
            <w:vAlign w:val="center"/>
            <w:hideMark/>
          </w:tcPr>
          <w:p w14:paraId="53569EC3" w14:textId="69DDB071" w:rsidR="007B2931" w:rsidRPr="007B2931" w:rsidRDefault="007B2931" w:rsidP="0011359D">
            <w:pPr>
              <w:spacing w:after="0"/>
              <w:jc w:val="center"/>
              <w:rPr>
                <w:rFonts w:ascii="Cambria" w:hAnsi="Cambria"/>
                <w:noProof/>
                <w:color w:val="000000"/>
              </w:rPr>
            </w:pPr>
            <w:r w:rsidRPr="007B2931">
              <w:rPr>
                <w:rFonts w:ascii="Cambria" w:hAnsi="Cambria"/>
                <w:noProof/>
                <w:color w:val="000000"/>
              </w:rPr>
              <w:t>27</w:t>
            </w:r>
          </w:p>
        </w:tc>
        <w:tc>
          <w:tcPr>
            <w:tcW w:w="1001" w:type="dxa"/>
            <w:tcBorders>
              <w:top w:val="nil"/>
              <w:left w:val="nil"/>
              <w:bottom w:val="single" w:sz="4" w:space="0" w:color="auto"/>
              <w:right w:val="single" w:sz="4" w:space="0" w:color="auto"/>
            </w:tcBorders>
            <w:shd w:val="clear" w:color="auto" w:fill="auto"/>
            <w:noWrap/>
            <w:vAlign w:val="center"/>
            <w:hideMark/>
          </w:tcPr>
          <w:p w14:paraId="3D1575C2" w14:textId="7B876ACC" w:rsidR="007B2931" w:rsidRPr="007B2931" w:rsidRDefault="007B2931" w:rsidP="00D62399">
            <w:pPr>
              <w:spacing w:after="0"/>
              <w:jc w:val="center"/>
              <w:rPr>
                <w:rFonts w:ascii="Cambria" w:hAnsi="Cambria"/>
                <w:noProof/>
                <w:color w:val="000000"/>
              </w:rPr>
            </w:pPr>
            <w:r w:rsidRPr="007B2931">
              <w:rPr>
                <w:rFonts w:ascii="Cambria" w:hAnsi="Cambria"/>
                <w:noProof/>
                <w:color w:val="000000"/>
              </w:rPr>
              <w:t>24</w:t>
            </w:r>
          </w:p>
        </w:tc>
        <w:tc>
          <w:tcPr>
            <w:tcW w:w="1001" w:type="dxa"/>
            <w:tcBorders>
              <w:top w:val="nil"/>
              <w:left w:val="nil"/>
              <w:bottom w:val="single" w:sz="4" w:space="0" w:color="auto"/>
              <w:right w:val="single" w:sz="4" w:space="0" w:color="auto"/>
            </w:tcBorders>
            <w:shd w:val="clear" w:color="auto" w:fill="auto"/>
            <w:noWrap/>
            <w:vAlign w:val="center"/>
            <w:hideMark/>
          </w:tcPr>
          <w:p w14:paraId="7B5361EC" w14:textId="7DCB5734" w:rsidR="007B2931" w:rsidRPr="007B2931" w:rsidRDefault="007B2931" w:rsidP="00D62399">
            <w:pPr>
              <w:spacing w:after="0"/>
              <w:jc w:val="center"/>
              <w:rPr>
                <w:rFonts w:ascii="Cambria" w:hAnsi="Cambria"/>
                <w:noProof/>
                <w:color w:val="000000"/>
              </w:rPr>
            </w:pPr>
            <w:r w:rsidRPr="007B2931">
              <w:rPr>
                <w:rFonts w:ascii="Cambria" w:hAnsi="Cambria"/>
                <w:noProof/>
                <w:color w:val="000000"/>
              </w:rPr>
              <w:t>44</w:t>
            </w:r>
          </w:p>
        </w:tc>
        <w:tc>
          <w:tcPr>
            <w:tcW w:w="1002" w:type="dxa"/>
            <w:tcBorders>
              <w:top w:val="nil"/>
              <w:left w:val="nil"/>
              <w:bottom w:val="single" w:sz="4" w:space="0" w:color="auto"/>
              <w:right w:val="single" w:sz="4" w:space="0" w:color="auto"/>
            </w:tcBorders>
            <w:shd w:val="clear" w:color="auto" w:fill="auto"/>
            <w:noWrap/>
            <w:vAlign w:val="center"/>
            <w:hideMark/>
          </w:tcPr>
          <w:p w14:paraId="48E0A1C1" w14:textId="539CE429" w:rsidR="007B2931" w:rsidRPr="007B2931" w:rsidRDefault="007B2931" w:rsidP="00360F0F">
            <w:pPr>
              <w:spacing w:after="0"/>
              <w:jc w:val="center"/>
              <w:rPr>
                <w:rFonts w:ascii="Cambria" w:hAnsi="Cambria"/>
                <w:noProof/>
                <w:color w:val="000000"/>
              </w:rPr>
            </w:pPr>
            <w:r w:rsidRPr="007B2931">
              <w:rPr>
                <w:rFonts w:ascii="Cambria" w:hAnsi="Cambria"/>
                <w:noProof/>
                <w:color w:val="000000"/>
              </w:rPr>
              <w:t>36</w:t>
            </w:r>
          </w:p>
        </w:tc>
        <w:tc>
          <w:tcPr>
            <w:tcW w:w="1001" w:type="dxa"/>
            <w:tcBorders>
              <w:top w:val="nil"/>
              <w:left w:val="nil"/>
              <w:bottom w:val="single" w:sz="4" w:space="0" w:color="auto"/>
              <w:right w:val="single" w:sz="4" w:space="0" w:color="auto"/>
            </w:tcBorders>
            <w:shd w:val="clear" w:color="auto" w:fill="auto"/>
            <w:noWrap/>
            <w:vAlign w:val="center"/>
            <w:hideMark/>
          </w:tcPr>
          <w:p w14:paraId="6CAA4F3D" w14:textId="57ED577D" w:rsidR="007B2931" w:rsidRPr="007B2931" w:rsidRDefault="007B2931" w:rsidP="00360F0F">
            <w:pPr>
              <w:spacing w:after="0"/>
              <w:jc w:val="center"/>
              <w:rPr>
                <w:rFonts w:ascii="Cambria" w:hAnsi="Cambria"/>
                <w:noProof/>
                <w:color w:val="000000"/>
              </w:rPr>
            </w:pPr>
            <w:r w:rsidRPr="007B2931">
              <w:rPr>
                <w:rFonts w:ascii="Cambria" w:hAnsi="Cambria"/>
                <w:noProof/>
                <w:color w:val="000000"/>
              </w:rPr>
              <w:t>46</w:t>
            </w:r>
          </w:p>
        </w:tc>
        <w:tc>
          <w:tcPr>
            <w:tcW w:w="1001" w:type="dxa"/>
            <w:tcBorders>
              <w:top w:val="nil"/>
              <w:left w:val="nil"/>
              <w:bottom w:val="single" w:sz="4" w:space="0" w:color="auto"/>
              <w:right w:val="single" w:sz="4" w:space="0" w:color="auto"/>
            </w:tcBorders>
            <w:shd w:val="clear" w:color="auto" w:fill="auto"/>
            <w:noWrap/>
            <w:vAlign w:val="center"/>
            <w:hideMark/>
          </w:tcPr>
          <w:p w14:paraId="5CAEC71A" w14:textId="508FA0F0" w:rsidR="007B2931" w:rsidRPr="007B2931" w:rsidRDefault="007B2931" w:rsidP="00360F0F">
            <w:pPr>
              <w:spacing w:after="0"/>
              <w:jc w:val="center"/>
              <w:rPr>
                <w:rFonts w:ascii="Cambria" w:hAnsi="Cambria"/>
                <w:noProof/>
                <w:color w:val="000000"/>
              </w:rPr>
            </w:pPr>
            <w:r w:rsidRPr="007B2931">
              <w:rPr>
                <w:rFonts w:ascii="Cambria" w:hAnsi="Cambria"/>
                <w:noProof/>
                <w:color w:val="000000"/>
              </w:rPr>
              <w:t>47</w:t>
            </w:r>
          </w:p>
        </w:tc>
        <w:tc>
          <w:tcPr>
            <w:tcW w:w="1001" w:type="dxa"/>
            <w:tcBorders>
              <w:top w:val="nil"/>
              <w:left w:val="nil"/>
              <w:bottom w:val="single" w:sz="4" w:space="0" w:color="auto"/>
              <w:right w:val="single" w:sz="4" w:space="0" w:color="auto"/>
            </w:tcBorders>
            <w:shd w:val="clear" w:color="auto" w:fill="auto"/>
            <w:noWrap/>
            <w:vAlign w:val="center"/>
            <w:hideMark/>
          </w:tcPr>
          <w:p w14:paraId="381918AC" w14:textId="686EC047" w:rsidR="007B2931" w:rsidRPr="007B2931" w:rsidRDefault="007B2931" w:rsidP="00360F0F">
            <w:pPr>
              <w:spacing w:after="0"/>
              <w:jc w:val="center"/>
              <w:rPr>
                <w:rFonts w:ascii="Cambria" w:hAnsi="Cambria"/>
                <w:noProof/>
                <w:color w:val="000000"/>
              </w:rPr>
            </w:pPr>
            <w:r w:rsidRPr="007B2931">
              <w:rPr>
                <w:rFonts w:ascii="Cambria" w:hAnsi="Cambria"/>
                <w:noProof/>
                <w:color w:val="000000"/>
              </w:rPr>
              <w:t>35</w:t>
            </w:r>
          </w:p>
        </w:tc>
        <w:tc>
          <w:tcPr>
            <w:tcW w:w="1002" w:type="dxa"/>
            <w:tcBorders>
              <w:top w:val="nil"/>
              <w:left w:val="nil"/>
              <w:bottom w:val="single" w:sz="4" w:space="0" w:color="auto"/>
              <w:right w:val="single" w:sz="4" w:space="0" w:color="auto"/>
            </w:tcBorders>
            <w:vAlign w:val="center"/>
          </w:tcPr>
          <w:p w14:paraId="35D44B5D" w14:textId="73CD6C0D" w:rsidR="007B2931" w:rsidRPr="007B2931" w:rsidRDefault="007B2931" w:rsidP="00360F0F">
            <w:pPr>
              <w:spacing w:after="0"/>
              <w:jc w:val="center"/>
              <w:rPr>
                <w:rFonts w:ascii="Cambria" w:hAnsi="Cambria"/>
                <w:noProof/>
                <w:color w:val="000000"/>
              </w:rPr>
            </w:pPr>
            <w:r w:rsidRPr="007B2931">
              <w:rPr>
                <w:rFonts w:ascii="Cambria" w:hAnsi="Cambria"/>
                <w:noProof/>
                <w:color w:val="000000"/>
              </w:rPr>
              <w:t>33</w:t>
            </w:r>
          </w:p>
        </w:tc>
      </w:tr>
      <w:tr w:rsidR="007B2931" w:rsidRPr="007B2931" w14:paraId="7E2F5C75" w14:textId="77777777" w:rsidTr="00DE6B82">
        <w:trPr>
          <w:trHeight w:val="297"/>
        </w:trPr>
        <w:tc>
          <w:tcPr>
            <w:tcW w:w="152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E1A9DF5" w14:textId="73A7B7A2" w:rsidR="007B2931" w:rsidRPr="007B2931" w:rsidRDefault="007B2931" w:rsidP="00360F0F">
            <w:pPr>
              <w:spacing w:after="0"/>
              <w:jc w:val="center"/>
              <w:rPr>
                <w:rFonts w:ascii="Cambria" w:hAnsi="Cambria"/>
                <w:b/>
                <w:bCs/>
                <w:noProof/>
              </w:rPr>
            </w:pPr>
            <w:r w:rsidRPr="007B2931">
              <w:rPr>
                <w:rFonts w:ascii="Cambria" w:hAnsi="Cambria"/>
                <w:b/>
                <w:bCs/>
                <w:noProof/>
              </w:rPr>
              <w:t>T51-T65</w:t>
            </w:r>
          </w:p>
        </w:tc>
        <w:tc>
          <w:tcPr>
            <w:tcW w:w="1001" w:type="dxa"/>
            <w:tcBorders>
              <w:top w:val="nil"/>
              <w:left w:val="nil"/>
              <w:bottom w:val="single" w:sz="4" w:space="0" w:color="auto"/>
              <w:right w:val="single" w:sz="4" w:space="0" w:color="auto"/>
            </w:tcBorders>
            <w:shd w:val="clear" w:color="auto" w:fill="auto"/>
            <w:noWrap/>
            <w:vAlign w:val="center"/>
            <w:hideMark/>
          </w:tcPr>
          <w:p w14:paraId="3E2A9A25" w14:textId="5176017F" w:rsidR="007B2931" w:rsidRPr="007B2931" w:rsidRDefault="007B2931" w:rsidP="0011359D">
            <w:pPr>
              <w:spacing w:after="0"/>
              <w:jc w:val="center"/>
              <w:rPr>
                <w:rFonts w:ascii="Cambria" w:hAnsi="Cambria"/>
                <w:noProof/>
                <w:color w:val="000000"/>
              </w:rPr>
            </w:pPr>
            <w:r w:rsidRPr="007B2931">
              <w:rPr>
                <w:rFonts w:ascii="Cambria" w:hAnsi="Cambria"/>
                <w:noProof/>
                <w:color w:val="000000"/>
              </w:rPr>
              <w:t>33</w:t>
            </w:r>
          </w:p>
        </w:tc>
        <w:tc>
          <w:tcPr>
            <w:tcW w:w="1001" w:type="dxa"/>
            <w:tcBorders>
              <w:top w:val="nil"/>
              <w:left w:val="nil"/>
              <w:bottom w:val="single" w:sz="4" w:space="0" w:color="auto"/>
              <w:right w:val="single" w:sz="4" w:space="0" w:color="auto"/>
            </w:tcBorders>
            <w:shd w:val="clear" w:color="auto" w:fill="auto"/>
            <w:noWrap/>
            <w:vAlign w:val="center"/>
            <w:hideMark/>
          </w:tcPr>
          <w:p w14:paraId="036844A1" w14:textId="07E0C858" w:rsidR="007B2931" w:rsidRPr="007B2931" w:rsidRDefault="007B2931" w:rsidP="00D62399">
            <w:pPr>
              <w:spacing w:after="0"/>
              <w:jc w:val="center"/>
              <w:rPr>
                <w:rFonts w:ascii="Cambria" w:hAnsi="Cambria"/>
                <w:noProof/>
                <w:color w:val="000000"/>
              </w:rPr>
            </w:pPr>
            <w:r w:rsidRPr="007B2931">
              <w:rPr>
                <w:rFonts w:ascii="Cambria" w:hAnsi="Cambria"/>
                <w:noProof/>
                <w:color w:val="000000"/>
              </w:rPr>
              <w:t>47</w:t>
            </w:r>
          </w:p>
        </w:tc>
        <w:tc>
          <w:tcPr>
            <w:tcW w:w="1001" w:type="dxa"/>
            <w:tcBorders>
              <w:top w:val="nil"/>
              <w:left w:val="nil"/>
              <w:bottom w:val="single" w:sz="4" w:space="0" w:color="auto"/>
              <w:right w:val="single" w:sz="4" w:space="0" w:color="auto"/>
            </w:tcBorders>
            <w:shd w:val="clear" w:color="auto" w:fill="auto"/>
            <w:noWrap/>
            <w:vAlign w:val="center"/>
            <w:hideMark/>
          </w:tcPr>
          <w:p w14:paraId="521D7708" w14:textId="2814324D" w:rsidR="007B2931" w:rsidRPr="007B2931" w:rsidRDefault="007B2931" w:rsidP="00D62399">
            <w:pPr>
              <w:spacing w:after="0"/>
              <w:jc w:val="center"/>
              <w:rPr>
                <w:rFonts w:ascii="Cambria" w:hAnsi="Cambria"/>
                <w:noProof/>
                <w:color w:val="000000"/>
              </w:rPr>
            </w:pPr>
            <w:r w:rsidRPr="007B2931">
              <w:rPr>
                <w:rFonts w:ascii="Cambria" w:hAnsi="Cambria"/>
                <w:noProof/>
                <w:color w:val="000000"/>
              </w:rPr>
              <w:t>51</w:t>
            </w:r>
          </w:p>
        </w:tc>
        <w:tc>
          <w:tcPr>
            <w:tcW w:w="1002" w:type="dxa"/>
            <w:tcBorders>
              <w:top w:val="nil"/>
              <w:left w:val="nil"/>
              <w:bottom w:val="single" w:sz="4" w:space="0" w:color="auto"/>
              <w:right w:val="single" w:sz="4" w:space="0" w:color="auto"/>
            </w:tcBorders>
            <w:shd w:val="clear" w:color="auto" w:fill="auto"/>
            <w:noWrap/>
            <w:vAlign w:val="center"/>
            <w:hideMark/>
          </w:tcPr>
          <w:p w14:paraId="4F6C3DA1" w14:textId="3DECF3DA" w:rsidR="007B2931" w:rsidRPr="007B2931" w:rsidRDefault="007B2931" w:rsidP="00360F0F">
            <w:pPr>
              <w:spacing w:after="0"/>
              <w:jc w:val="center"/>
              <w:rPr>
                <w:rFonts w:ascii="Cambria" w:hAnsi="Cambria"/>
                <w:noProof/>
                <w:color w:val="000000"/>
              </w:rPr>
            </w:pPr>
            <w:r w:rsidRPr="007B2931">
              <w:rPr>
                <w:rFonts w:ascii="Cambria" w:hAnsi="Cambria"/>
                <w:noProof/>
                <w:color w:val="000000"/>
              </w:rPr>
              <w:t>58</w:t>
            </w:r>
          </w:p>
        </w:tc>
        <w:tc>
          <w:tcPr>
            <w:tcW w:w="1001" w:type="dxa"/>
            <w:tcBorders>
              <w:top w:val="nil"/>
              <w:left w:val="nil"/>
              <w:bottom w:val="single" w:sz="4" w:space="0" w:color="auto"/>
              <w:right w:val="single" w:sz="4" w:space="0" w:color="auto"/>
            </w:tcBorders>
            <w:shd w:val="clear" w:color="auto" w:fill="auto"/>
            <w:noWrap/>
            <w:vAlign w:val="center"/>
            <w:hideMark/>
          </w:tcPr>
          <w:p w14:paraId="06852D85" w14:textId="1568C23B" w:rsidR="007B2931" w:rsidRPr="007B2931" w:rsidRDefault="007B2931" w:rsidP="00360F0F">
            <w:pPr>
              <w:spacing w:after="0"/>
              <w:jc w:val="center"/>
              <w:rPr>
                <w:rFonts w:ascii="Cambria" w:hAnsi="Cambria"/>
                <w:noProof/>
                <w:color w:val="000000"/>
              </w:rPr>
            </w:pPr>
            <w:r w:rsidRPr="007B2931">
              <w:rPr>
                <w:rFonts w:ascii="Cambria" w:hAnsi="Cambria"/>
                <w:noProof/>
                <w:color w:val="000000"/>
              </w:rPr>
              <w:t>58</w:t>
            </w:r>
          </w:p>
        </w:tc>
        <w:tc>
          <w:tcPr>
            <w:tcW w:w="1001" w:type="dxa"/>
            <w:tcBorders>
              <w:top w:val="nil"/>
              <w:left w:val="nil"/>
              <w:bottom w:val="single" w:sz="4" w:space="0" w:color="auto"/>
              <w:right w:val="single" w:sz="4" w:space="0" w:color="auto"/>
            </w:tcBorders>
            <w:shd w:val="clear" w:color="auto" w:fill="auto"/>
            <w:noWrap/>
            <w:vAlign w:val="center"/>
            <w:hideMark/>
          </w:tcPr>
          <w:p w14:paraId="3E300D99" w14:textId="0CBC24FF" w:rsidR="007B2931" w:rsidRPr="007B2931" w:rsidRDefault="007B2931" w:rsidP="00360F0F">
            <w:pPr>
              <w:spacing w:after="0"/>
              <w:jc w:val="center"/>
              <w:rPr>
                <w:rFonts w:ascii="Cambria" w:hAnsi="Cambria"/>
                <w:noProof/>
                <w:color w:val="000000"/>
              </w:rPr>
            </w:pPr>
            <w:r w:rsidRPr="007B2931">
              <w:rPr>
                <w:rFonts w:ascii="Cambria" w:hAnsi="Cambria"/>
                <w:noProof/>
                <w:color w:val="000000"/>
              </w:rPr>
              <w:t>44</w:t>
            </w:r>
          </w:p>
        </w:tc>
        <w:tc>
          <w:tcPr>
            <w:tcW w:w="1001" w:type="dxa"/>
            <w:tcBorders>
              <w:top w:val="nil"/>
              <w:left w:val="nil"/>
              <w:bottom w:val="single" w:sz="4" w:space="0" w:color="auto"/>
              <w:right w:val="single" w:sz="4" w:space="0" w:color="auto"/>
            </w:tcBorders>
            <w:shd w:val="clear" w:color="auto" w:fill="auto"/>
            <w:noWrap/>
            <w:vAlign w:val="center"/>
            <w:hideMark/>
          </w:tcPr>
          <w:p w14:paraId="54868EF5" w14:textId="4D9E2FF3" w:rsidR="007B2931" w:rsidRPr="007B2931" w:rsidRDefault="007B2931" w:rsidP="00360F0F">
            <w:pPr>
              <w:spacing w:after="0"/>
              <w:jc w:val="center"/>
              <w:rPr>
                <w:rFonts w:ascii="Cambria" w:hAnsi="Cambria"/>
                <w:noProof/>
                <w:color w:val="000000"/>
              </w:rPr>
            </w:pPr>
            <w:r w:rsidRPr="007B2931">
              <w:rPr>
                <w:rFonts w:ascii="Cambria" w:hAnsi="Cambria"/>
                <w:noProof/>
                <w:color w:val="000000"/>
              </w:rPr>
              <w:t>44</w:t>
            </w:r>
          </w:p>
        </w:tc>
        <w:tc>
          <w:tcPr>
            <w:tcW w:w="1002" w:type="dxa"/>
            <w:tcBorders>
              <w:top w:val="nil"/>
              <w:left w:val="nil"/>
              <w:bottom w:val="single" w:sz="4" w:space="0" w:color="auto"/>
              <w:right w:val="single" w:sz="4" w:space="0" w:color="auto"/>
            </w:tcBorders>
            <w:vAlign w:val="center"/>
          </w:tcPr>
          <w:p w14:paraId="492727D1" w14:textId="15A77A93" w:rsidR="007B2931" w:rsidRPr="007B2931" w:rsidRDefault="007B2931" w:rsidP="00360F0F">
            <w:pPr>
              <w:spacing w:after="0"/>
              <w:jc w:val="center"/>
              <w:rPr>
                <w:rFonts w:ascii="Cambria" w:hAnsi="Cambria"/>
                <w:noProof/>
                <w:color w:val="000000"/>
              </w:rPr>
            </w:pPr>
            <w:r w:rsidRPr="007B2931">
              <w:rPr>
                <w:rFonts w:ascii="Cambria" w:hAnsi="Cambria"/>
                <w:noProof/>
                <w:color w:val="000000"/>
              </w:rPr>
              <w:t>21</w:t>
            </w:r>
          </w:p>
        </w:tc>
      </w:tr>
      <w:tr w:rsidR="007B2931" w:rsidRPr="007B2931" w14:paraId="5D9E5806" w14:textId="77777777" w:rsidTr="00DE6B82">
        <w:trPr>
          <w:trHeight w:val="297"/>
        </w:trPr>
        <w:tc>
          <w:tcPr>
            <w:tcW w:w="152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9FAE50B" w14:textId="77777777" w:rsidR="007B2931" w:rsidRPr="007B2931" w:rsidRDefault="007B2931" w:rsidP="00360F0F">
            <w:pPr>
              <w:spacing w:after="0"/>
              <w:jc w:val="center"/>
              <w:rPr>
                <w:rFonts w:ascii="Cambria" w:hAnsi="Cambria"/>
                <w:b/>
                <w:bCs/>
                <w:noProof/>
              </w:rPr>
            </w:pPr>
            <w:r w:rsidRPr="007B2931">
              <w:rPr>
                <w:rFonts w:ascii="Cambria" w:hAnsi="Cambria"/>
                <w:b/>
                <w:bCs/>
                <w:noProof/>
              </w:rPr>
              <w:t>Ukupno</w:t>
            </w:r>
          </w:p>
        </w:tc>
        <w:tc>
          <w:tcPr>
            <w:tcW w:w="1001" w:type="dxa"/>
            <w:tcBorders>
              <w:top w:val="nil"/>
              <w:left w:val="nil"/>
              <w:bottom w:val="single" w:sz="4" w:space="0" w:color="auto"/>
              <w:right w:val="single" w:sz="4" w:space="0" w:color="auto"/>
            </w:tcBorders>
            <w:shd w:val="clear" w:color="auto" w:fill="auto"/>
            <w:noWrap/>
            <w:vAlign w:val="center"/>
            <w:hideMark/>
          </w:tcPr>
          <w:p w14:paraId="2931D09B" w14:textId="4C8E07AA" w:rsidR="007B2931" w:rsidRPr="007B2931" w:rsidRDefault="007B2931" w:rsidP="0011359D">
            <w:pPr>
              <w:spacing w:after="0"/>
              <w:jc w:val="center"/>
              <w:rPr>
                <w:rFonts w:ascii="Cambria" w:hAnsi="Cambria"/>
                <w:b/>
                <w:noProof/>
                <w:color w:val="000000"/>
              </w:rPr>
            </w:pPr>
            <w:r w:rsidRPr="007B2931">
              <w:rPr>
                <w:rFonts w:ascii="Cambria" w:hAnsi="Cambria"/>
                <w:b/>
                <w:noProof/>
                <w:color w:val="000000"/>
              </w:rPr>
              <w:t>60</w:t>
            </w:r>
          </w:p>
        </w:tc>
        <w:tc>
          <w:tcPr>
            <w:tcW w:w="1001" w:type="dxa"/>
            <w:tcBorders>
              <w:top w:val="nil"/>
              <w:left w:val="nil"/>
              <w:bottom w:val="single" w:sz="4" w:space="0" w:color="auto"/>
              <w:right w:val="single" w:sz="4" w:space="0" w:color="auto"/>
            </w:tcBorders>
            <w:shd w:val="clear" w:color="auto" w:fill="auto"/>
            <w:noWrap/>
            <w:vAlign w:val="center"/>
            <w:hideMark/>
          </w:tcPr>
          <w:p w14:paraId="771C9CA7" w14:textId="59AE52A1" w:rsidR="007B2931" w:rsidRPr="007B2931" w:rsidRDefault="007B2931" w:rsidP="00D62399">
            <w:pPr>
              <w:spacing w:after="0"/>
              <w:jc w:val="center"/>
              <w:rPr>
                <w:rFonts w:ascii="Cambria" w:hAnsi="Cambria"/>
                <w:b/>
                <w:noProof/>
                <w:color w:val="000000"/>
              </w:rPr>
            </w:pPr>
            <w:r w:rsidRPr="007B2931">
              <w:rPr>
                <w:rFonts w:ascii="Cambria" w:hAnsi="Cambria"/>
                <w:b/>
                <w:noProof/>
                <w:color w:val="000000"/>
              </w:rPr>
              <w:t>71</w:t>
            </w:r>
          </w:p>
        </w:tc>
        <w:tc>
          <w:tcPr>
            <w:tcW w:w="1001" w:type="dxa"/>
            <w:tcBorders>
              <w:top w:val="nil"/>
              <w:left w:val="nil"/>
              <w:bottom w:val="single" w:sz="4" w:space="0" w:color="auto"/>
              <w:right w:val="single" w:sz="4" w:space="0" w:color="auto"/>
            </w:tcBorders>
            <w:shd w:val="clear" w:color="auto" w:fill="auto"/>
            <w:noWrap/>
            <w:vAlign w:val="center"/>
            <w:hideMark/>
          </w:tcPr>
          <w:p w14:paraId="1FB2A469" w14:textId="420EF987" w:rsidR="007B2931" w:rsidRPr="007B2931" w:rsidRDefault="007B2931" w:rsidP="00D62399">
            <w:pPr>
              <w:spacing w:after="0"/>
              <w:jc w:val="center"/>
              <w:rPr>
                <w:rFonts w:ascii="Cambria" w:hAnsi="Cambria"/>
                <w:b/>
                <w:noProof/>
                <w:color w:val="000000"/>
              </w:rPr>
            </w:pPr>
            <w:r w:rsidRPr="007B2931">
              <w:rPr>
                <w:rFonts w:ascii="Cambria" w:hAnsi="Cambria"/>
                <w:b/>
                <w:noProof/>
                <w:color w:val="000000"/>
              </w:rPr>
              <w:t>95</w:t>
            </w:r>
          </w:p>
        </w:tc>
        <w:tc>
          <w:tcPr>
            <w:tcW w:w="1002" w:type="dxa"/>
            <w:tcBorders>
              <w:top w:val="nil"/>
              <w:left w:val="nil"/>
              <w:bottom w:val="single" w:sz="4" w:space="0" w:color="auto"/>
              <w:right w:val="single" w:sz="4" w:space="0" w:color="auto"/>
            </w:tcBorders>
            <w:shd w:val="clear" w:color="auto" w:fill="auto"/>
            <w:noWrap/>
            <w:vAlign w:val="center"/>
            <w:hideMark/>
          </w:tcPr>
          <w:p w14:paraId="235A1FCC" w14:textId="12E6A796" w:rsidR="007B2931" w:rsidRPr="007B2931" w:rsidRDefault="007B2931" w:rsidP="00360F0F">
            <w:pPr>
              <w:spacing w:after="0"/>
              <w:jc w:val="center"/>
              <w:rPr>
                <w:rFonts w:ascii="Cambria" w:hAnsi="Cambria"/>
                <w:b/>
                <w:noProof/>
                <w:color w:val="000000"/>
              </w:rPr>
            </w:pPr>
            <w:r w:rsidRPr="007B2931">
              <w:rPr>
                <w:rFonts w:ascii="Cambria" w:hAnsi="Cambria"/>
                <w:b/>
                <w:noProof/>
                <w:color w:val="000000"/>
              </w:rPr>
              <w:t>94</w:t>
            </w:r>
          </w:p>
        </w:tc>
        <w:tc>
          <w:tcPr>
            <w:tcW w:w="1001" w:type="dxa"/>
            <w:tcBorders>
              <w:top w:val="nil"/>
              <w:left w:val="nil"/>
              <w:bottom w:val="single" w:sz="4" w:space="0" w:color="auto"/>
              <w:right w:val="single" w:sz="4" w:space="0" w:color="auto"/>
            </w:tcBorders>
            <w:shd w:val="clear" w:color="auto" w:fill="auto"/>
            <w:noWrap/>
            <w:vAlign w:val="center"/>
            <w:hideMark/>
          </w:tcPr>
          <w:p w14:paraId="53828BCE" w14:textId="693971B2" w:rsidR="007B2931" w:rsidRPr="007B2931" w:rsidRDefault="007B2931" w:rsidP="00360F0F">
            <w:pPr>
              <w:spacing w:after="0"/>
              <w:jc w:val="center"/>
              <w:rPr>
                <w:rFonts w:ascii="Cambria" w:hAnsi="Cambria"/>
                <w:b/>
                <w:noProof/>
                <w:color w:val="000000"/>
              </w:rPr>
            </w:pPr>
            <w:r w:rsidRPr="007B2931">
              <w:rPr>
                <w:rFonts w:ascii="Cambria" w:hAnsi="Cambria"/>
                <w:b/>
                <w:noProof/>
                <w:color w:val="000000"/>
              </w:rPr>
              <w:t>104</w:t>
            </w:r>
          </w:p>
        </w:tc>
        <w:tc>
          <w:tcPr>
            <w:tcW w:w="1001" w:type="dxa"/>
            <w:tcBorders>
              <w:top w:val="nil"/>
              <w:left w:val="nil"/>
              <w:bottom w:val="single" w:sz="4" w:space="0" w:color="auto"/>
              <w:right w:val="single" w:sz="4" w:space="0" w:color="auto"/>
            </w:tcBorders>
            <w:shd w:val="clear" w:color="auto" w:fill="auto"/>
            <w:noWrap/>
            <w:vAlign w:val="center"/>
            <w:hideMark/>
          </w:tcPr>
          <w:p w14:paraId="523A4E9A" w14:textId="2D733BB1" w:rsidR="007B2931" w:rsidRPr="007B2931" w:rsidRDefault="007B2931" w:rsidP="00360F0F">
            <w:pPr>
              <w:spacing w:after="0"/>
              <w:jc w:val="center"/>
              <w:rPr>
                <w:rFonts w:ascii="Cambria" w:hAnsi="Cambria"/>
                <w:b/>
                <w:noProof/>
                <w:color w:val="000000"/>
              </w:rPr>
            </w:pPr>
            <w:r w:rsidRPr="007B2931">
              <w:rPr>
                <w:rFonts w:ascii="Cambria" w:hAnsi="Cambria"/>
                <w:b/>
                <w:noProof/>
                <w:color w:val="000000"/>
              </w:rPr>
              <w:t>91</w:t>
            </w:r>
          </w:p>
        </w:tc>
        <w:tc>
          <w:tcPr>
            <w:tcW w:w="1001" w:type="dxa"/>
            <w:tcBorders>
              <w:top w:val="nil"/>
              <w:left w:val="nil"/>
              <w:bottom w:val="single" w:sz="4" w:space="0" w:color="auto"/>
              <w:right w:val="single" w:sz="4" w:space="0" w:color="auto"/>
            </w:tcBorders>
            <w:shd w:val="clear" w:color="auto" w:fill="auto"/>
            <w:noWrap/>
            <w:vAlign w:val="center"/>
            <w:hideMark/>
          </w:tcPr>
          <w:p w14:paraId="21E651F3" w14:textId="12DA211B" w:rsidR="007B2931" w:rsidRPr="007B2931" w:rsidRDefault="007B2931" w:rsidP="00360F0F">
            <w:pPr>
              <w:spacing w:after="0"/>
              <w:jc w:val="center"/>
              <w:rPr>
                <w:rFonts w:ascii="Cambria" w:hAnsi="Cambria"/>
                <w:b/>
                <w:noProof/>
                <w:color w:val="000000"/>
              </w:rPr>
            </w:pPr>
            <w:r w:rsidRPr="007B2931">
              <w:rPr>
                <w:rFonts w:ascii="Cambria" w:hAnsi="Cambria"/>
                <w:b/>
                <w:noProof/>
                <w:color w:val="000000"/>
              </w:rPr>
              <w:t>79</w:t>
            </w:r>
          </w:p>
        </w:tc>
        <w:tc>
          <w:tcPr>
            <w:tcW w:w="1002" w:type="dxa"/>
            <w:tcBorders>
              <w:top w:val="nil"/>
              <w:left w:val="nil"/>
              <w:bottom w:val="single" w:sz="4" w:space="0" w:color="auto"/>
              <w:right w:val="single" w:sz="4" w:space="0" w:color="auto"/>
            </w:tcBorders>
            <w:vAlign w:val="center"/>
          </w:tcPr>
          <w:p w14:paraId="1BE28F40" w14:textId="62F45084" w:rsidR="007B2931" w:rsidRPr="007B2931" w:rsidRDefault="007B2931" w:rsidP="00360F0F">
            <w:pPr>
              <w:spacing w:after="0"/>
              <w:jc w:val="center"/>
              <w:rPr>
                <w:rFonts w:ascii="Cambria" w:hAnsi="Cambria"/>
                <w:b/>
                <w:noProof/>
                <w:color w:val="000000"/>
              </w:rPr>
            </w:pPr>
            <w:r w:rsidRPr="007B2931">
              <w:rPr>
                <w:rFonts w:ascii="Cambria" w:hAnsi="Cambria"/>
                <w:b/>
                <w:noProof/>
                <w:color w:val="000000"/>
              </w:rPr>
              <w:t>54</w:t>
            </w:r>
          </w:p>
        </w:tc>
      </w:tr>
    </w:tbl>
    <w:p w14:paraId="17020157" w14:textId="77777777" w:rsidR="007B2931" w:rsidRPr="00C75EA0" w:rsidRDefault="007B2931" w:rsidP="00360F0F">
      <w:pPr>
        <w:spacing w:after="0"/>
        <w:jc w:val="center"/>
        <w:rPr>
          <w:rFonts w:ascii="Cambria" w:hAnsi="Cambria"/>
          <w:bCs/>
          <w:noProof/>
        </w:rPr>
      </w:pPr>
    </w:p>
    <w:p w14:paraId="3C8661FB" w14:textId="5CCBC9D6" w:rsidR="00A3121A" w:rsidRDefault="000F6800" w:rsidP="0011359D">
      <w:pPr>
        <w:jc w:val="both"/>
        <w:rPr>
          <w:rFonts w:ascii="Cambria" w:eastAsia="Calibri" w:hAnsi="Cambria"/>
          <w:noProof/>
          <w:lang w:val="sr-Latn-CS"/>
        </w:rPr>
      </w:pPr>
      <w:r w:rsidRPr="00AB15C7">
        <w:rPr>
          <w:rFonts w:ascii="Cambria" w:hAnsi="Cambria"/>
          <w:noProof/>
          <w:lang w:val="sr-Latn-ME"/>
        </w:rPr>
        <w:t>Kada govorimo o bolničkim l</w:t>
      </w:r>
      <w:r w:rsidR="00745774">
        <w:rPr>
          <w:rFonts w:ascii="Cambria" w:hAnsi="Cambria"/>
          <w:noProof/>
          <w:lang w:val="sr-Latn-ME"/>
        </w:rPr>
        <w:t>ij</w:t>
      </w:r>
      <w:r w:rsidRPr="00AB15C7">
        <w:rPr>
          <w:rFonts w:ascii="Cambria" w:hAnsi="Cambria"/>
          <w:noProof/>
          <w:lang w:val="sr-Latn-ME"/>
        </w:rPr>
        <w:t>ečenjima</w:t>
      </w:r>
      <w:r w:rsidRPr="00AB15C7">
        <w:rPr>
          <w:rFonts w:ascii="Cambria" w:eastAsia="Calibri" w:hAnsi="Cambria"/>
          <w:noProof/>
          <w:lang w:val="sr-Latn-CS"/>
        </w:rPr>
        <w:t xml:space="preserve"> </w:t>
      </w:r>
      <w:r w:rsidR="003D4102" w:rsidRPr="00AB15C7">
        <w:rPr>
          <w:rFonts w:ascii="Cambria" w:eastAsia="Calibri" w:hAnsi="Cambria"/>
          <w:noProof/>
          <w:lang w:val="sr-Latn-CS"/>
        </w:rPr>
        <w:t xml:space="preserve">u Crnoj Gori </w:t>
      </w:r>
      <w:r w:rsidRPr="00AB15C7">
        <w:rPr>
          <w:rFonts w:ascii="Cambria" w:eastAsia="Calibri" w:hAnsi="Cambria"/>
          <w:noProof/>
          <w:lang w:val="sr-Latn-CS"/>
        </w:rPr>
        <w:t xml:space="preserve">zbog </w:t>
      </w:r>
      <w:r w:rsidRPr="00AB15C7">
        <w:rPr>
          <w:rFonts w:ascii="Cambria" w:hAnsi="Cambria"/>
          <w:bCs/>
          <w:noProof/>
          <w:color w:val="000000"/>
        </w:rPr>
        <w:t>trovanja</w:t>
      </w:r>
      <w:r w:rsidR="00D74AAC" w:rsidRPr="00AB15C7">
        <w:rPr>
          <w:rFonts w:ascii="Cambria" w:hAnsi="Cambria"/>
          <w:bCs/>
          <w:noProof/>
          <w:color w:val="000000"/>
        </w:rPr>
        <w:t xml:space="preserve"> hemijskim agensima</w:t>
      </w:r>
      <w:r w:rsidRPr="00AB15C7">
        <w:rPr>
          <w:rFonts w:ascii="Cambria" w:hAnsi="Cambria"/>
          <w:bCs/>
          <w:noProof/>
          <w:color w:val="000000"/>
        </w:rPr>
        <w:t xml:space="preserve"> (</w:t>
      </w:r>
      <w:r w:rsidR="00D74AAC" w:rsidRPr="00AB15C7">
        <w:rPr>
          <w:rFonts w:ascii="Cambria" w:hAnsi="Cambria"/>
          <w:bCs/>
          <w:noProof/>
          <w:color w:val="000000"/>
        </w:rPr>
        <w:t xml:space="preserve">šifre </w:t>
      </w:r>
      <w:r w:rsidRPr="00AB15C7">
        <w:rPr>
          <w:rFonts w:ascii="Cambria" w:hAnsi="Cambria"/>
          <w:bCs/>
          <w:noProof/>
          <w:color w:val="000000"/>
        </w:rPr>
        <w:t>T36-T50</w:t>
      </w:r>
      <w:r w:rsidR="004E35B8">
        <w:rPr>
          <w:rFonts w:ascii="Cambria" w:hAnsi="Cambria"/>
          <w:bCs/>
          <w:noProof/>
          <w:color w:val="000000"/>
        </w:rPr>
        <w:t xml:space="preserve"> </w:t>
      </w:r>
      <w:r w:rsidRPr="00AB15C7">
        <w:rPr>
          <w:rFonts w:ascii="Cambria" w:hAnsi="Cambria"/>
          <w:bCs/>
          <w:noProof/>
          <w:color w:val="000000"/>
        </w:rPr>
        <w:t xml:space="preserve"> </w:t>
      </w:r>
      <w:r w:rsidR="00D74AAC" w:rsidRPr="00AB15C7">
        <w:rPr>
          <w:rFonts w:ascii="Cambria" w:hAnsi="Cambria"/>
          <w:bCs/>
          <w:noProof/>
          <w:color w:val="000000"/>
        </w:rPr>
        <w:t xml:space="preserve">i </w:t>
      </w:r>
      <w:r w:rsidRPr="00AB15C7">
        <w:rPr>
          <w:rFonts w:ascii="Cambria" w:hAnsi="Cambria"/>
          <w:bCs/>
          <w:noProof/>
          <w:color w:val="000000"/>
        </w:rPr>
        <w:t>T51-T65</w:t>
      </w:r>
      <w:r w:rsidR="007B2931">
        <w:rPr>
          <w:rFonts w:ascii="Cambria" w:hAnsi="Cambria"/>
          <w:bCs/>
          <w:noProof/>
          <w:color w:val="000000"/>
        </w:rPr>
        <w:t>)</w:t>
      </w:r>
      <w:r w:rsidRPr="00AB15C7">
        <w:rPr>
          <w:rFonts w:ascii="Cambria" w:hAnsi="Cambria"/>
          <w:bCs/>
          <w:noProof/>
          <w:color w:val="000000"/>
        </w:rPr>
        <w:t xml:space="preserve"> </w:t>
      </w:r>
      <w:r w:rsidRPr="00AB15C7">
        <w:rPr>
          <w:rFonts w:ascii="Cambria" w:eastAsia="Calibri" w:hAnsi="Cambria"/>
          <w:noProof/>
          <w:lang w:val="sr-Latn-CS"/>
        </w:rPr>
        <w:t xml:space="preserve">, Institut za javno zdravlje raspolaže podacima </w:t>
      </w:r>
      <w:r w:rsidR="00D74AAC" w:rsidRPr="00AB15C7">
        <w:rPr>
          <w:rFonts w:ascii="Cambria" w:eastAsia="Calibri" w:hAnsi="Cambria"/>
          <w:noProof/>
          <w:lang w:val="sr-Latn-CS"/>
        </w:rPr>
        <w:t xml:space="preserve">prikazanim u </w:t>
      </w:r>
      <w:r w:rsidR="00D74AAC" w:rsidRPr="00C75EA0">
        <w:rPr>
          <w:rFonts w:ascii="Cambria" w:eastAsia="Calibri" w:hAnsi="Cambria"/>
          <w:noProof/>
          <w:lang w:val="sr-Latn-CS"/>
        </w:rPr>
        <w:t>tab</w:t>
      </w:r>
      <w:r w:rsidR="00745774">
        <w:rPr>
          <w:rFonts w:ascii="Cambria" w:eastAsia="Calibri" w:hAnsi="Cambria"/>
          <w:noProof/>
          <w:lang w:val="sr-Latn-CS"/>
        </w:rPr>
        <w:t>e</w:t>
      </w:r>
      <w:r w:rsidR="00D74AAC" w:rsidRPr="00C75EA0">
        <w:rPr>
          <w:rFonts w:ascii="Cambria" w:eastAsia="Calibri" w:hAnsi="Cambria"/>
          <w:noProof/>
          <w:lang w:val="sr-Latn-CS"/>
        </w:rPr>
        <w:t xml:space="preserve">li </w:t>
      </w:r>
      <w:r w:rsidRPr="00C75EA0">
        <w:rPr>
          <w:rFonts w:ascii="Cambria" w:eastAsia="Calibri" w:hAnsi="Cambria"/>
          <w:noProof/>
          <w:lang w:val="sr-Latn-CS"/>
        </w:rPr>
        <w:t xml:space="preserve"> </w:t>
      </w:r>
      <w:r w:rsidR="009D6E0E" w:rsidRPr="00C75EA0">
        <w:rPr>
          <w:rFonts w:ascii="Cambria" w:eastAsia="Calibri" w:hAnsi="Cambria"/>
          <w:noProof/>
          <w:lang w:val="sr-Latn-CS"/>
        </w:rPr>
        <w:t>20.</w:t>
      </w:r>
    </w:p>
    <w:p w14:paraId="10FBC095" w14:textId="77777777" w:rsidR="00895CE0" w:rsidRPr="009D6E0E" w:rsidRDefault="00895CE0" w:rsidP="009A2099">
      <w:pPr>
        <w:spacing w:after="120"/>
        <w:contextualSpacing/>
        <w:jc w:val="center"/>
        <w:rPr>
          <w:rFonts w:ascii="Cambria" w:hAnsi="Cambria"/>
          <w:bCs/>
          <w:noProof/>
          <w:color w:val="000000"/>
        </w:rPr>
      </w:pPr>
      <w:bookmarkStart w:id="122" w:name="_Hlk524089734"/>
      <w:r w:rsidRPr="009A2099">
        <w:rPr>
          <w:rFonts w:ascii="Cambria" w:eastAsia="Calibri" w:hAnsi="Cambria"/>
          <w:i/>
          <w:noProof/>
          <w:lang w:val="sr-Latn-CS"/>
        </w:rPr>
        <w:t xml:space="preserve">Tabela </w:t>
      </w:r>
      <w:r w:rsidR="009D6E0E" w:rsidRPr="009A2099">
        <w:rPr>
          <w:rFonts w:ascii="Cambria" w:eastAsia="Calibri" w:hAnsi="Cambria"/>
          <w:i/>
          <w:noProof/>
          <w:lang w:val="sr-Latn-CS"/>
        </w:rPr>
        <w:t>20.</w:t>
      </w:r>
      <w:r w:rsidRPr="00C75EA0">
        <w:rPr>
          <w:rFonts w:ascii="Cambria" w:eastAsia="Calibri" w:hAnsi="Cambria"/>
          <w:noProof/>
          <w:lang w:val="sr-Latn-CS"/>
        </w:rPr>
        <w:t xml:space="preserve">  Broj bolničkih</w:t>
      </w:r>
      <w:r w:rsidRPr="00C75EA0">
        <w:rPr>
          <w:rFonts w:ascii="Cambria" w:hAnsi="Cambria"/>
          <w:bCs/>
          <w:noProof/>
        </w:rPr>
        <w:t xml:space="preserve"> otpusta u Crnoj Gori zbog trovanja</w:t>
      </w:r>
      <w:r w:rsidRPr="009D6E0E">
        <w:rPr>
          <w:rFonts w:ascii="Cambria" w:hAnsi="Cambria"/>
          <w:bCs/>
          <w:noProof/>
          <w:color w:val="000000"/>
        </w:rPr>
        <w:t xml:space="preserve"> ljekovima, ljekovitim i biološkim materijama (T36-T50) i toksičnog dejstva neljekovitih supstanci (T51-T65) </w:t>
      </w:r>
      <w:r w:rsidRPr="009D6E0E">
        <w:rPr>
          <w:rFonts w:ascii="Cambria" w:eastAsia="Calibri" w:hAnsi="Cambria"/>
          <w:noProof/>
          <w:lang w:val="sr-Latn-CS"/>
        </w:rPr>
        <w:t>za period od 2010-2016.</w:t>
      </w:r>
    </w:p>
    <w:tbl>
      <w:tblPr>
        <w:tblW w:w="9532" w:type="dxa"/>
        <w:tblInd w:w="93" w:type="dxa"/>
        <w:tblLayout w:type="fixed"/>
        <w:tblLook w:val="04A0" w:firstRow="1" w:lastRow="0" w:firstColumn="1" w:lastColumn="0" w:noHBand="0" w:noVBand="1"/>
      </w:tblPr>
      <w:tblGrid>
        <w:gridCol w:w="1522"/>
        <w:gridCol w:w="1001"/>
        <w:gridCol w:w="1001"/>
        <w:gridCol w:w="1001"/>
        <w:gridCol w:w="1002"/>
        <w:gridCol w:w="1001"/>
        <w:gridCol w:w="1001"/>
        <w:gridCol w:w="1001"/>
        <w:gridCol w:w="1002"/>
      </w:tblGrid>
      <w:tr w:rsidR="00317DB9" w:rsidRPr="00AB15C7" w14:paraId="484273DB" w14:textId="4D743BC0" w:rsidTr="00360F0F">
        <w:trPr>
          <w:trHeight w:val="297"/>
        </w:trPr>
        <w:tc>
          <w:tcPr>
            <w:tcW w:w="15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22"/>
          <w:p w14:paraId="1F2B7622" w14:textId="77777777" w:rsidR="00317DB9" w:rsidRPr="00AB15C7" w:rsidRDefault="00317DB9" w:rsidP="005921EF">
            <w:pPr>
              <w:spacing w:after="0"/>
              <w:rPr>
                <w:rFonts w:ascii="Cambria" w:hAnsi="Cambria"/>
                <w:b/>
                <w:bCs/>
                <w:noProof/>
                <w:color w:val="000000"/>
              </w:rPr>
            </w:pPr>
            <w:r w:rsidRPr="00AB15C7">
              <w:rPr>
                <w:rFonts w:ascii="Cambria" w:hAnsi="Cambria"/>
                <w:b/>
                <w:bCs/>
                <w:noProof/>
                <w:color w:val="000000"/>
              </w:rPr>
              <w:t>Dijagnoze</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15FC4CD" w14:textId="77777777" w:rsidR="00317DB9" w:rsidRPr="00AB15C7" w:rsidRDefault="00317DB9" w:rsidP="005921EF">
            <w:pPr>
              <w:spacing w:after="0"/>
              <w:jc w:val="center"/>
              <w:rPr>
                <w:rFonts w:ascii="Cambria" w:hAnsi="Cambria"/>
                <w:b/>
                <w:bCs/>
                <w:noProof/>
                <w:color w:val="000000"/>
              </w:rPr>
            </w:pPr>
            <w:r w:rsidRPr="00AB15C7">
              <w:rPr>
                <w:rFonts w:ascii="Cambria" w:hAnsi="Cambria"/>
                <w:b/>
                <w:bCs/>
                <w:noProof/>
                <w:color w:val="000000"/>
              </w:rPr>
              <w:t>2010</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20DCD22" w14:textId="77777777" w:rsidR="00317DB9" w:rsidRPr="00AB15C7" w:rsidRDefault="00317DB9" w:rsidP="005921EF">
            <w:pPr>
              <w:spacing w:after="0"/>
              <w:jc w:val="center"/>
              <w:rPr>
                <w:rFonts w:ascii="Cambria" w:hAnsi="Cambria"/>
                <w:b/>
                <w:bCs/>
                <w:noProof/>
                <w:color w:val="000000"/>
              </w:rPr>
            </w:pPr>
            <w:r w:rsidRPr="00AB15C7">
              <w:rPr>
                <w:rFonts w:ascii="Cambria" w:hAnsi="Cambria"/>
                <w:b/>
                <w:bCs/>
                <w:noProof/>
                <w:color w:val="000000"/>
              </w:rPr>
              <w:t>2011</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68350F7" w14:textId="77777777" w:rsidR="00317DB9" w:rsidRPr="00AB15C7" w:rsidRDefault="00317DB9" w:rsidP="005921EF">
            <w:pPr>
              <w:spacing w:after="0"/>
              <w:jc w:val="center"/>
              <w:rPr>
                <w:rFonts w:ascii="Cambria" w:hAnsi="Cambria"/>
                <w:b/>
                <w:bCs/>
                <w:noProof/>
                <w:color w:val="000000"/>
              </w:rPr>
            </w:pPr>
            <w:r w:rsidRPr="00AB15C7">
              <w:rPr>
                <w:rFonts w:ascii="Cambria" w:hAnsi="Cambria"/>
                <w:b/>
                <w:bCs/>
                <w:noProof/>
                <w:color w:val="000000"/>
              </w:rPr>
              <w:t>2012</w:t>
            </w:r>
          </w:p>
        </w:tc>
        <w:tc>
          <w:tcPr>
            <w:tcW w:w="10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C5F5BE" w14:textId="77777777" w:rsidR="00317DB9" w:rsidRPr="00AB15C7" w:rsidRDefault="00317DB9" w:rsidP="005921EF">
            <w:pPr>
              <w:spacing w:after="0"/>
              <w:jc w:val="center"/>
              <w:rPr>
                <w:rFonts w:ascii="Cambria" w:hAnsi="Cambria"/>
                <w:b/>
                <w:bCs/>
                <w:noProof/>
                <w:color w:val="000000"/>
              </w:rPr>
            </w:pPr>
            <w:r w:rsidRPr="00AB15C7">
              <w:rPr>
                <w:rFonts w:ascii="Cambria" w:hAnsi="Cambria"/>
                <w:b/>
                <w:bCs/>
                <w:noProof/>
                <w:color w:val="000000"/>
              </w:rPr>
              <w:t>2013</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3711D9D" w14:textId="77777777" w:rsidR="00317DB9" w:rsidRPr="00AB15C7" w:rsidRDefault="00317DB9" w:rsidP="005921EF">
            <w:pPr>
              <w:spacing w:after="0"/>
              <w:jc w:val="center"/>
              <w:rPr>
                <w:rFonts w:ascii="Cambria" w:hAnsi="Cambria"/>
                <w:b/>
                <w:bCs/>
                <w:noProof/>
                <w:color w:val="000000"/>
              </w:rPr>
            </w:pPr>
            <w:r w:rsidRPr="00AB15C7">
              <w:rPr>
                <w:rFonts w:ascii="Cambria" w:hAnsi="Cambria"/>
                <w:b/>
                <w:bCs/>
                <w:noProof/>
                <w:color w:val="000000"/>
              </w:rPr>
              <w:t>2014</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589F497" w14:textId="77777777" w:rsidR="00317DB9" w:rsidRPr="00AB15C7" w:rsidRDefault="00317DB9" w:rsidP="005921EF">
            <w:pPr>
              <w:spacing w:after="0"/>
              <w:jc w:val="center"/>
              <w:rPr>
                <w:rFonts w:ascii="Cambria" w:hAnsi="Cambria"/>
                <w:b/>
                <w:bCs/>
                <w:noProof/>
                <w:color w:val="000000"/>
              </w:rPr>
            </w:pPr>
            <w:r w:rsidRPr="00AB15C7">
              <w:rPr>
                <w:rFonts w:ascii="Cambria" w:hAnsi="Cambria"/>
                <w:b/>
                <w:bCs/>
                <w:noProof/>
                <w:color w:val="000000"/>
              </w:rPr>
              <w:t>2015</w:t>
            </w:r>
          </w:p>
        </w:tc>
        <w:tc>
          <w:tcPr>
            <w:tcW w:w="10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87915B4" w14:textId="77777777" w:rsidR="00317DB9" w:rsidRPr="00AB15C7" w:rsidRDefault="00317DB9" w:rsidP="005921EF">
            <w:pPr>
              <w:spacing w:after="0"/>
              <w:jc w:val="center"/>
              <w:rPr>
                <w:rFonts w:ascii="Cambria" w:hAnsi="Cambria"/>
                <w:b/>
                <w:bCs/>
                <w:noProof/>
                <w:color w:val="000000"/>
              </w:rPr>
            </w:pPr>
            <w:r w:rsidRPr="00AB15C7">
              <w:rPr>
                <w:rFonts w:ascii="Cambria" w:hAnsi="Cambria"/>
                <w:b/>
                <w:bCs/>
                <w:noProof/>
                <w:color w:val="000000"/>
              </w:rPr>
              <w:t>2016</w:t>
            </w:r>
          </w:p>
        </w:tc>
        <w:tc>
          <w:tcPr>
            <w:tcW w:w="1002" w:type="dxa"/>
            <w:tcBorders>
              <w:top w:val="single" w:sz="4" w:space="0" w:color="auto"/>
              <w:left w:val="nil"/>
              <w:bottom w:val="single" w:sz="4" w:space="0" w:color="auto"/>
              <w:right w:val="single" w:sz="4" w:space="0" w:color="auto"/>
            </w:tcBorders>
            <w:shd w:val="clear" w:color="auto" w:fill="D9D9D9" w:themeFill="background1" w:themeFillShade="D9"/>
          </w:tcPr>
          <w:p w14:paraId="7F2500B9" w14:textId="28AE561C" w:rsidR="00317DB9" w:rsidRPr="00AB15C7" w:rsidRDefault="00317DB9" w:rsidP="005921EF">
            <w:pPr>
              <w:spacing w:after="0"/>
              <w:jc w:val="center"/>
              <w:rPr>
                <w:rFonts w:ascii="Cambria" w:hAnsi="Cambria"/>
                <w:b/>
                <w:bCs/>
                <w:noProof/>
                <w:color w:val="000000"/>
              </w:rPr>
            </w:pPr>
            <w:r>
              <w:rPr>
                <w:rFonts w:ascii="Cambria" w:hAnsi="Cambria"/>
                <w:b/>
                <w:bCs/>
                <w:noProof/>
                <w:color w:val="000000"/>
              </w:rPr>
              <w:t>2017</w:t>
            </w:r>
          </w:p>
        </w:tc>
      </w:tr>
      <w:tr w:rsidR="00317DB9" w:rsidRPr="00AB15C7" w14:paraId="06121F1C" w14:textId="4999C074" w:rsidTr="00360F0F">
        <w:trPr>
          <w:trHeight w:val="297"/>
        </w:trPr>
        <w:tc>
          <w:tcPr>
            <w:tcW w:w="152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38636DC1" w14:textId="2BC3FDC8" w:rsidR="00317DB9" w:rsidRPr="00AB15C7" w:rsidRDefault="00317DB9" w:rsidP="00317DB9">
            <w:pPr>
              <w:spacing w:after="0"/>
              <w:jc w:val="center"/>
              <w:rPr>
                <w:rFonts w:ascii="Cambria" w:hAnsi="Cambria"/>
                <w:b/>
                <w:bCs/>
                <w:noProof/>
                <w:color w:val="000000"/>
              </w:rPr>
            </w:pPr>
            <w:r w:rsidRPr="00AB15C7">
              <w:rPr>
                <w:rFonts w:ascii="Cambria" w:hAnsi="Cambria"/>
                <w:b/>
                <w:bCs/>
                <w:noProof/>
                <w:color w:val="000000"/>
              </w:rPr>
              <w:t>T36-T50</w:t>
            </w:r>
          </w:p>
        </w:tc>
        <w:tc>
          <w:tcPr>
            <w:tcW w:w="1001" w:type="dxa"/>
            <w:tcBorders>
              <w:top w:val="nil"/>
              <w:left w:val="nil"/>
              <w:bottom w:val="single" w:sz="4" w:space="0" w:color="auto"/>
              <w:right w:val="single" w:sz="4" w:space="0" w:color="auto"/>
            </w:tcBorders>
            <w:shd w:val="clear" w:color="auto" w:fill="auto"/>
            <w:noWrap/>
            <w:vAlign w:val="center"/>
            <w:hideMark/>
          </w:tcPr>
          <w:p w14:paraId="59764CBE"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114</w:t>
            </w:r>
          </w:p>
        </w:tc>
        <w:tc>
          <w:tcPr>
            <w:tcW w:w="1001" w:type="dxa"/>
            <w:tcBorders>
              <w:top w:val="nil"/>
              <w:left w:val="nil"/>
              <w:bottom w:val="single" w:sz="4" w:space="0" w:color="auto"/>
              <w:right w:val="single" w:sz="4" w:space="0" w:color="auto"/>
            </w:tcBorders>
            <w:shd w:val="clear" w:color="auto" w:fill="auto"/>
            <w:noWrap/>
            <w:vAlign w:val="center"/>
            <w:hideMark/>
          </w:tcPr>
          <w:p w14:paraId="2A6B07BE"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137</w:t>
            </w:r>
          </w:p>
        </w:tc>
        <w:tc>
          <w:tcPr>
            <w:tcW w:w="1001" w:type="dxa"/>
            <w:tcBorders>
              <w:top w:val="nil"/>
              <w:left w:val="nil"/>
              <w:bottom w:val="single" w:sz="4" w:space="0" w:color="auto"/>
              <w:right w:val="single" w:sz="4" w:space="0" w:color="auto"/>
            </w:tcBorders>
            <w:shd w:val="clear" w:color="auto" w:fill="auto"/>
            <w:noWrap/>
            <w:vAlign w:val="center"/>
            <w:hideMark/>
          </w:tcPr>
          <w:p w14:paraId="6714BB05"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133</w:t>
            </w:r>
          </w:p>
        </w:tc>
        <w:tc>
          <w:tcPr>
            <w:tcW w:w="1002" w:type="dxa"/>
            <w:tcBorders>
              <w:top w:val="nil"/>
              <w:left w:val="nil"/>
              <w:bottom w:val="single" w:sz="4" w:space="0" w:color="auto"/>
              <w:right w:val="single" w:sz="4" w:space="0" w:color="auto"/>
            </w:tcBorders>
            <w:shd w:val="clear" w:color="auto" w:fill="auto"/>
            <w:noWrap/>
            <w:vAlign w:val="center"/>
            <w:hideMark/>
          </w:tcPr>
          <w:p w14:paraId="21579519"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141</w:t>
            </w:r>
          </w:p>
        </w:tc>
        <w:tc>
          <w:tcPr>
            <w:tcW w:w="1001" w:type="dxa"/>
            <w:tcBorders>
              <w:top w:val="nil"/>
              <w:left w:val="nil"/>
              <w:bottom w:val="single" w:sz="4" w:space="0" w:color="auto"/>
              <w:right w:val="single" w:sz="4" w:space="0" w:color="auto"/>
            </w:tcBorders>
            <w:shd w:val="clear" w:color="auto" w:fill="auto"/>
            <w:noWrap/>
            <w:vAlign w:val="center"/>
            <w:hideMark/>
          </w:tcPr>
          <w:p w14:paraId="37FF913C"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110</w:t>
            </w:r>
          </w:p>
        </w:tc>
        <w:tc>
          <w:tcPr>
            <w:tcW w:w="1001" w:type="dxa"/>
            <w:tcBorders>
              <w:top w:val="nil"/>
              <w:left w:val="nil"/>
              <w:bottom w:val="single" w:sz="4" w:space="0" w:color="auto"/>
              <w:right w:val="single" w:sz="4" w:space="0" w:color="auto"/>
            </w:tcBorders>
            <w:shd w:val="clear" w:color="auto" w:fill="auto"/>
            <w:noWrap/>
            <w:vAlign w:val="center"/>
            <w:hideMark/>
          </w:tcPr>
          <w:p w14:paraId="62738AA1"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137</w:t>
            </w:r>
          </w:p>
        </w:tc>
        <w:tc>
          <w:tcPr>
            <w:tcW w:w="1001" w:type="dxa"/>
            <w:tcBorders>
              <w:top w:val="nil"/>
              <w:left w:val="nil"/>
              <w:bottom w:val="single" w:sz="4" w:space="0" w:color="auto"/>
              <w:right w:val="single" w:sz="4" w:space="0" w:color="auto"/>
            </w:tcBorders>
            <w:shd w:val="clear" w:color="auto" w:fill="auto"/>
            <w:noWrap/>
            <w:vAlign w:val="center"/>
            <w:hideMark/>
          </w:tcPr>
          <w:p w14:paraId="059A288B"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106</w:t>
            </w:r>
          </w:p>
        </w:tc>
        <w:tc>
          <w:tcPr>
            <w:tcW w:w="1002" w:type="dxa"/>
            <w:tcBorders>
              <w:top w:val="nil"/>
              <w:left w:val="nil"/>
              <w:bottom w:val="single" w:sz="4" w:space="0" w:color="auto"/>
              <w:right w:val="single" w:sz="4" w:space="0" w:color="auto"/>
            </w:tcBorders>
          </w:tcPr>
          <w:p w14:paraId="2A78F6BC" w14:textId="73DEE7A3" w:rsidR="00317DB9" w:rsidRPr="00AB15C7" w:rsidRDefault="00317DB9" w:rsidP="00317DB9">
            <w:pPr>
              <w:spacing w:after="0"/>
              <w:jc w:val="center"/>
              <w:rPr>
                <w:rFonts w:ascii="Cambria" w:hAnsi="Cambria"/>
                <w:noProof/>
                <w:color w:val="000000"/>
              </w:rPr>
            </w:pPr>
            <w:r w:rsidRPr="00360F0F">
              <w:rPr>
                <w:rFonts w:ascii="Cambria" w:hAnsi="Cambria"/>
                <w:noProof/>
                <w:color w:val="000000"/>
              </w:rPr>
              <w:t>65</w:t>
            </w:r>
          </w:p>
        </w:tc>
      </w:tr>
      <w:tr w:rsidR="00317DB9" w:rsidRPr="00AB15C7" w14:paraId="0A9F4E4D" w14:textId="7D9E66E8" w:rsidTr="00360F0F">
        <w:trPr>
          <w:trHeight w:val="297"/>
        </w:trPr>
        <w:tc>
          <w:tcPr>
            <w:tcW w:w="152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0403B02" w14:textId="2D6C3898" w:rsidR="00317DB9" w:rsidRPr="00AB15C7" w:rsidRDefault="00317DB9" w:rsidP="00317DB9">
            <w:pPr>
              <w:spacing w:after="0"/>
              <w:jc w:val="center"/>
              <w:rPr>
                <w:rFonts w:ascii="Cambria" w:hAnsi="Cambria"/>
                <w:b/>
                <w:bCs/>
                <w:noProof/>
                <w:color w:val="000000"/>
              </w:rPr>
            </w:pPr>
            <w:r w:rsidRPr="00AB15C7">
              <w:rPr>
                <w:rFonts w:ascii="Cambria" w:hAnsi="Cambria"/>
                <w:b/>
                <w:bCs/>
                <w:noProof/>
                <w:color w:val="000000"/>
              </w:rPr>
              <w:t>T51-T65</w:t>
            </w:r>
          </w:p>
        </w:tc>
        <w:tc>
          <w:tcPr>
            <w:tcW w:w="1001" w:type="dxa"/>
            <w:tcBorders>
              <w:top w:val="nil"/>
              <w:left w:val="nil"/>
              <w:bottom w:val="single" w:sz="4" w:space="0" w:color="auto"/>
              <w:right w:val="single" w:sz="4" w:space="0" w:color="auto"/>
            </w:tcBorders>
            <w:shd w:val="clear" w:color="auto" w:fill="auto"/>
            <w:noWrap/>
            <w:vAlign w:val="center"/>
            <w:hideMark/>
          </w:tcPr>
          <w:p w14:paraId="3B247A4B"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78</w:t>
            </w:r>
          </w:p>
        </w:tc>
        <w:tc>
          <w:tcPr>
            <w:tcW w:w="1001" w:type="dxa"/>
            <w:tcBorders>
              <w:top w:val="nil"/>
              <w:left w:val="nil"/>
              <w:bottom w:val="single" w:sz="4" w:space="0" w:color="auto"/>
              <w:right w:val="single" w:sz="4" w:space="0" w:color="auto"/>
            </w:tcBorders>
            <w:shd w:val="clear" w:color="auto" w:fill="auto"/>
            <w:noWrap/>
            <w:vAlign w:val="center"/>
            <w:hideMark/>
          </w:tcPr>
          <w:p w14:paraId="01745C6E"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67</w:t>
            </w:r>
          </w:p>
        </w:tc>
        <w:tc>
          <w:tcPr>
            <w:tcW w:w="1001" w:type="dxa"/>
            <w:tcBorders>
              <w:top w:val="nil"/>
              <w:left w:val="nil"/>
              <w:bottom w:val="single" w:sz="4" w:space="0" w:color="auto"/>
              <w:right w:val="single" w:sz="4" w:space="0" w:color="auto"/>
            </w:tcBorders>
            <w:shd w:val="clear" w:color="auto" w:fill="auto"/>
            <w:noWrap/>
            <w:vAlign w:val="center"/>
            <w:hideMark/>
          </w:tcPr>
          <w:p w14:paraId="680A86E7"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78</w:t>
            </w:r>
          </w:p>
        </w:tc>
        <w:tc>
          <w:tcPr>
            <w:tcW w:w="1002" w:type="dxa"/>
            <w:tcBorders>
              <w:top w:val="nil"/>
              <w:left w:val="nil"/>
              <w:bottom w:val="single" w:sz="4" w:space="0" w:color="auto"/>
              <w:right w:val="single" w:sz="4" w:space="0" w:color="auto"/>
            </w:tcBorders>
            <w:shd w:val="clear" w:color="auto" w:fill="auto"/>
            <w:noWrap/>
            <w:vAlign w:val="center"/>
            <w:hideMark/>
          </w:tcPr>
          <w:p w14:paraId="76E64CCB"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59</w:t>
            </w:r>
          </w:p>
        </w:tc>
        <w:tc>
          <w:tcPr>
            <w:tcW w:w="1001" w:type="dxa"/>
            <w:tcBorders>
              <w:top w:val="nil"/>
              <w:left w:val="nil"/>
              <w:bottom w:val="single" w:sz="4" w:space="0" w:color="auto"/>
              <w:right w:val="single" w:sz="4" w:space="0" w:color="auto"/>
            </w:tcBorders>
            <w:shd w:val="clear" w:color="auto" w:fill="auto"/>
            <w:noWrap/>
            <w:vAlign w:val="center"/>
            <w:hideMark/>
          </w:tcPr>
          <w:p w14:paraId="7C1CFD3B"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66</w:t>
            </w:r>
          </w:p>
        </w:tc>
        <w:tc>
          <w:tcPr>
            <w:tcW w:w="1001" w:type="dxa"/>
            <w:tcBorders>
              <w:top w:val="nil"/>
              <w:left w:val="nil"/>
              <w:bottom w:val="single" w:sz="4" w:space="0" w:color="auto"/>
              <w:right w:val="single" w:sz="4" w:space="0" w:color="auto"/>
            </w:tcBorders>
            <w:shd w:val="clear" w:color="auto" w:fill="auto"/>
            <w:noWrap/>
            <w:vAlign w:val="center"/>
            <w:hideMark/>
          </w:tcPr>
          <w:p w14:paraId="7F2BB970"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85</w:t>
            </w:r>
          </w:p>
        </w:tc>
        <w:tc>
          <w:tcPr>
            <w:tcW w:w="1001" w:type="dxa"/>
            <w:tcBorders>
              <w:top w:val="nil"/>
              <w:left w:val="nil"/>
              <w:bottom w:val="single" w:sz="4" w:space="0" w:color="auto"/>
              <w:right w:val="single" w:sz="4" w:space="0" w:color="auto"/>
            </w:tcBorders>
            <w:shd w:val="clear" w:color="auto" w:fill="auto"/>
            <w:noWrap/>
            <w:vAlign w:val="center"/>
            <w:hideMark/>
          </w:tcPr>
          <w:p w14:paraId="4B760B60" w14:textId="77777777" w:rsidR="00317DB9" w:rsidRPr="00AB15C7" w:rsidRDefault="00317DB9" w:rsidP="00317DB9">
            <w:pPr>
              <w:spacing w:after="0"/>
              <w:jc w:val="center"/>
              <w:rPr>
                <w:rFonts w:ascii="Cambria" w:hAnsi="Cambria"/>
                <w:noProof/>
                <w:color w:val="000000"/>
              </w:rPr>
            </w:pPr>
            <w:r w:rsidRPr="00AB15C7">
              <w:rPr>
                <w:rFonts w:ascii="Cambria" w:hAnsi="Cambria"/>
                <w:noProof/>
                <w:color w:val="000000"/>
              </w:rPr>
              <w:t>67</w:t>
            </w:r>
          </w:p>
        </w:tc>
        <w:tc>
          <w:tcPr>
            <w:tcW w:w="1002" w:type="dxa"/>
            <w:tcBorders>
              <w:top w:val="nil"/>
              <w:left w:val="nil"/>
              <w:bottom w:val="single" w:sz="4" w:space="0" w:color="auto"/>
              <w:right w:val="single" w:sz="4" w:space="0" w:color="auto"/>
            </w:tcBorders>
          </w:tcPr>
          <w:p w14:paraId="40DEBF9A" w14:textId="496956B2" w:rsidR="00317DB9" w:rsidRPr="00AB15C7" w:rsidRDefault="00317DB9" w:rsidP="00317DB9">
            <w:pPr>
              <w:spacing w:after="0"/>
              <w:jc w:val="center"/>
              <w:rPr>
                <w:rFonts w:ascii="Cambria" w:hAnsi="Cambria"/>
                <w:noProof/>
                <w:color w:val="000000"/>
              </w:rPr>
            </w:pPr>
            <w:r w:rsidRPr="00360F0F">
              <w:rPr>
                <w:rFonts w:ascii="Cambria" w:hAnsi="Cambria"/>
                <w:noProof/>
                <w:color w:val="000000"/>
              </w:rPr>
              <w:t>38</w:t>
            </w:r>
          </w:p>
        </w:tc>
      </w:tr>
      <w:tr w:rsidR="00317DB9" w:rsidRPr="00AB15C7" w14:paraId="45FF124D" w14:textId="3C695162" w:rsidTr="00360F0F">
        <w:trPr>
          <w:trHeight w:val="297"/>
        </w:trPr>
        <w:tc>
          <w:tcPr>
            <w:tcW w:w="152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C8B8D15" w14:textId="77777777" w:rsidR="00317DB9" w:rsidRPr="00AB15C7" w:rsidRDefault="00317DB9" w:rsidP="00317DB9">
            <w:pPr>
              <w:spacing w:after="0"/>
              <w:jc w:val="center"/>
              <w:rPr>
                <w:rFonts w:ascii="Cambria" w:hAnsi="Cambria"/>
                <w:b/>
                <w:bCs/>
                <w:noProof/>
                <w:color w:val="000000"/>
              </w:rPr>
            </w:pPr>
            <w:r w:rsidRPr="00AB15C7">
              <w:rPr>
                <w:rFonts w:ascii="Cambria" w:hAnsi="Cambria"/>
                <w:b/>
                <w:bCs/>
                <w:noProof/>
                <w:color w:val="000000"/>
              </w:rPr>
              <w:t>Ukupno</w:t>
            </w:r>
          </w:p>
        </w:tc>
        <w:tc>
          <w:tcPr>
            <w:tcW w:w="1001" w:type="dxa"/>
            <w:tcBorders>
              <w:top w:val="nil"/>
              <w:left w:val="nil"/>
              <w:bottom w:val="single" w:sz="4" w:space="0" w:color="auto"/>
              <w:right w:val="single" w:sz="4" w:space="0" w:color="auto"/>
            </w:tcBorders>
            <w:shd w:val="clear" w:color="auto" w:fill="auto"/>
            <w:noWrap/>
            <w:vAlign w:val="center"/>
            <w:hideMark/>
          </w:tcPr>
          <w:p w14:paraId="30B01F71" w14:textId="77777777" w:rsidR="00317DB9" w:rsidRPr="00AB15C7" w:rsidRDefault="00317DB9" w:rsidP="00317DB9">
            <w:pPr>
              <w:spacing w:after="0"/>
              <w:jc w:val="center"/>
              <w:rPr>
                <w:rFonts w:ascii="Cambria" w:hAnsi="Cambria"/>
                <w:b/>
                <w:bCs/>
                <w:noProof/>
                <w:color w:val="000000"/>
              </w:rPr>
            </w:pPr>
            <w:r w:rsidRPr="00AB15C7">
              <w:rPr>
                <w:rFonts w:ascii="Cambria" w:hAnsi="Cambria"/>
                <w:b/>
                <w:bCs/>
                <w:noProof/>
                <w:color w:val="000000"/>
              </w:rPr>
              <w:t>192</w:t>
            </w:r>
          </w:p>
        </w:tc>
        <w:tc>
          <w:tcPr>
            <w:tcW w:w="1001" w:type="dxa"/>
            <w:tcBorders>
              <w:top w:val="nil"/>
              <w:left w:val="nil"/>
              <w:bottom w:val="single" w:sz="4" w:space="0" w:color="auto"/>
              <w:right w:val="single" w:sz="4" w:space="0" w:color="auto"/>
            </w:tcBorders>
            <w:shd w:val="clear" w:color="auto" w:fill="auto"/>
            <w:noWrap/>
            <w:vAlign w:val="center"/>
            <w:hideMark/>
          </w:tcPr>
          <w:p w14:paraId="6FB31075" w14:textId="77777777" w:rsidR="00317DB9" w:rsidRPr="00AB15C7" w:rsidRDefault="00317DB9" w:rsidP="00317DB9">
            <w:pPr>
              <w:spacing w:after="0"/>
              <w:jc w:val="center"/>
              <w:rPr>
                <w:rFonts w:ascii="Cambria" w:hAnsi="Cambria"/>
                <w:b/>
                <w:bCs/>
                <w:noProof/>
                <w:color w:val="000000"/>
              </w:rPr>
            </w:pPr>
            <w:r w:rsidRPr="00AB15C7">
              <w:rPr>
                <w:rFonts w:ascii="Cambria" w:hAnsi="Cambria"/>
                <w:b/>
                <w:bCs/>
                <w:noProof/>
                <w:color w:val="000000"/>
              </w:rPr>
              <w:t>204</w:t>
            </w:r>
          </w:p>
        </w:tc>
        <w:tc>
          <w:tcPr>
            <w:tcW w:w="1001" w:type="dxa"/>
            <w:tcBorders>
              <w:top w:val="nil"/>
              <w:left w:val="nil"/>
              <w:bottom w:val="single" w:sz="4" w:space="0" w:color="auto"/>
              <w:right w:val="single" w:sz="4" w:space="0" w:color="auto"/>
            </w:tcBorders>
            <w:shd w:val="clear" w:color="auto" w:fill="auto"/>
            <w:noWrap/>
            <w:vAlign w:val="center"/>
            <w:hideMark/>
          </w:tcPr>
          <w:p w14:paraId="438B539C" w14:textId="77777777" w:rsidR="00317DB9" w:rsidRPr="00AB15C7" w:rsidRDefault="00317DB9" w:rsidP="00317DB9">
            <w:pPr>
              <w:spacing w:after="0"/>
              <w:jc w:val="center"/>
              <w:rPr>
                <w:rFonts w:ascii="Cambria" w:hAnsi="Cambria"/>
                <w:b/>
                <w:bCs/>
                <w:noProof/>
                <w:color w:val="000000"/>
              </w:rPr>
            </w:pPr>
            <w:r w:rsidRPr="00AB15C7">
              <w:rPr>
                <w:rFonts w:ascii="Cambria" w:hAnsi="Cambria"/>
                <w:b/>
                <w:bCs/>
                <w:noProof/>
                <w:color w:val="000000"/>
              </w:rPr>
              <w:t>211</w:t>
            </w:r>
          </w:p>
        </w:tc>
        <w:tc>
          <w:tcPr>
            <w:tcW w:w="1002" w:type="dxa"/>
            <w:tcBorders>
              <w:top w:val="nil"/>
              <w:left w:val="nil"/>
              <w:bottom w:val="single" w:sz="4" w:space="0" w:color="auto"/>
              <w:right w:val="single" w:sz="4" w:space="0" w:color="auto"/>
            </w:tcBorders>
            <w:shd w:val="clear" w:color="auto" w:fill="auto"/>
            <w:noWrap/>
            <w:vAlign w:val="center"/>
            <w:hideMark/>
          </w:tcPr>
          <w:p w14:paraId="5313724B" w14:textId="77777777" w:rsidR="00317DB9" w:rsidRPr="00AB15C7" w:rsidRDefault="00317DB9" w:rsidP="00317DB9">
            <w:pPr>
              <w:spacing w:after="0"/>
              <w:jc w:val="center"/>
              <w:rPr>
                <w:rFonts w:ascii="Cambria" w:hAnsi="Cambria"/>
                <w:b/>
                <w:bCs/>
                <w:noProof/>
                <w:color w:val="000000"/>
              </w:rPr>
            </w:pPr>
            <w:r w:rsidRPr="00AB15C7">
              <w:rPr>
                <w:rFonts w:ascii="Cambria" w:hAnsi="Cambria"/>
                <w:b/>
                <w:bCs/>
                <w:noProof/>
                <w:color w:val="000000"/>
              </w:rPr>
              <w:t>200</w:t>
            </w:r>
          </w:p>
        </w:tc>
        <w:tc>
          <w:tcPr>
            <w:tcW w:w="1001" w:type="dxa"/>
            <w:tcBorders>
              <w:top w:val="nil"/>
              <w:left w:val="nil"/>
              <w:bottom w:val="single" w:sz="4" w:space="0" w:color="auto"/>
              <w:right w:val="single" w:sz="4" w:space="0" w:color="auto"/>
            </w:tcBorders>
            <w:shd w:val="clear" w:color="auto" w:fill="auto"/>
            <w:noWrap/>
            <w:vAlign w:val="center"/>
            <w:hideMark/>
          </w:tcPr>
          <w:p w14:paraId="2C14934B" w14:textId="77777777" w:rsidR="00317DB9" w:rsidRPr="00AB15C7" w:rsidRDefault="00317DB9" w:rsidP="00317DB9">
            <w:pPr>
              <w:spacing w:after="0"/>
              <w:jc w:val="center"/>
              <w:rPr>
                <w:rFonts w:ascii="Cambria" w:hAnsi="Cambria"/>
                <w:b/>
                <w:bCs/>
                <w:noProof/>
                <w:color w:val="000000"/>
              </w:rPr>
            </w:pPr>
            <w:r w:rsidRPr="00AB15C7">
              <w:rPr>
                <w:rFonts w:ascii="Cambria" w:hAnsi="Cambria"/>
                <w:b/>
                <w:bCs/>
                <w:noProof/>
                <w:color w:val="000000"/>
              </w:rPr>
              <w:t>176</w:t>
            </w:r>
          </w:p>
        </w:tc>
        <w:tc>
          <w:tcPr>
            <w:tcW w:w="1001" w:type="dxa"/>
            <w:tcBorders>
              <w:top w:val="nil"/>
              <w:left w:val="nil"/>
              <w:bottom w:val="single" w:sz="4" w:space="0" w:color="auto"/>
              <w:right w:val="single" w:sz="4" w:space="0" w:color="auto"/>
            </w:tcBorders>
            <w:shd w:val="clear" w:color="auto" w:fill="auto"/>
            <w:noWrap/>
            <w:vAlign w:val="center"/>
            <w:hideMark/>
          </w:tcPr>
          <w:p w14:paraId="2C637B3D" w14:textId="77777777" w:rsidR="00317DB9" w:rsidRPr="00AB15C7" w:rsidRDefault="00317DB9" w:rsidP="00317DB9">
            <w:pPr>
              <w:spacing w:after="0"/>
              <w:jc w:val="center"/>
              <w:rPr>
                <w:rFonts w:ascii="Cambria" w:hAnsi="Cambria"/>
                <w:b/>
                <w:bCs/>
                <w:noProof/>
                <w:color w:val="000000"/>
              </w:rPr>
            </w:pPr>
            <w:r w:rsidRPr="00AB15C7">
              <w:rPr>
                <w:rFonts w:ascii="Cambria" w:hAnsi="Cambria"/>
                <w:b/>
                <w:bCs/>
                <w:noProof/>
                <w:color w:val="000000"/>
              </w:rPr>
              <w:t>222</w:t>
            </w:r>
          </w:p>
        </w:tc>
        <w:tc>
          <w:tcPr>
            <w:tcW w:w="1001" w:type="dxa"/>
            <w:tcBorders>
              <w:top w:val="nil"/>
              <w:left w:val="nil"/>
              <w:bottom w:val="single" w:sz="4" w:space="0" w:color="auto"/>
              <w:right w:val="single" w:sz="4" w:space="0" w:color="auto"/>
            </w:tcBorders>
            <w:shd w:val="clear" w:color="auto" w:fill="auto"/>
            <w:noWrap/>
            <w:vAlign w:val="center"/>
            <w:hideMark/>
          </w:tcPr>
          <w:p w14:paraId="7F7BA893" w14:textId="77777777" w:rsidR="00317DB9" w:rsidRPr="00AB15C7" w:rsidRDefault="00317DB9" w:rsidP="00317DB9">
            <w:pPr>
              <w:spacing w:after="0"/>
              <w:jc w:val="center"/>
              <w:rPr>
                <w:rFonts w:ascii="Cambria" w:hAnsi="Cambria"/>
                <w:b/>
                <w:bCs/>
                <w:noProof/>
                <w:color w:val="000000"/>
              </w:rPr>
            </w:pPr>
            <w:r w:rsidRPr="00AB15C7">
              <w:rPr>
                <w:rFonts w:ascii="Cambria" w:hAnsi="Cambria"/>
                <w:b/>
                <w:bCs/>
                <w:noProof/>
                <w:color w:val="000000"/>
              </w:rPr>
              <w:t>173</w:t>
            </w:r>
          </w:p>
        </w:tc>
        <w:tc>
          <w:tcPr>
            <w:tcW w:w="1002" w:type="dxa"/>
            <w:tcBorders>
              <w:top w:val="nil"/>
              <w:left w:val="nil"/>
              <w:bottom w:val="single" w:sz="4" w:space="0" w:color="auto"/>
              <w:right w:val="single" w:sz="4" w:space="0" w:color="auto"/>
            </w:tcBorders>
          </w:tcPr>
          <w:p w14:paraId="2F63FFA8" w14:textId="692FB584" w:rsidR="00317DB9" w:rsidRPr="00317DB9" w:rsidRDefault="00317DB9" w:rsidP="00317DB9">
            <w:pPr>
              <w:spacing w:after="0"/>
              <w:jc w:val="center"/>
              <w:rPr>
                <w:rFonts w:ascii="Cambria" w:hAnsi="Cambria"/>
                <w:b/>
                <w:noProof/>
                <w:color w:val="000000"/>
              </w:rPr>
            </w:pPr>
            <w:r w:rsidRPr="00360F0F">
              <w:rPr>
                <w:rFonts w:ascii="Cambria" w:hAnsi="Cambria"/>
                <w:b/>
                <w:noProof/>
                <w:color w:val="000000"/>
              </w:rPr>
              <w:t>103</w:t>
            </w:r>
          </w:p>
        </w:tc>
      </w:tr>
    </w:tbl>
    <w:p w14:paraId="656DFA66" w14:textId="77777777" w:rsidR="002525A4" w:rsidRPr="00360F0F" w:rsidRDefault="002525A4" w:rsidP="005921EF">
      <w:pPr>
        <w:contextualSpacing/>
        <w:jc w:val="both"/>
        <w:rPr>
          <w:rFonts w:ascii="Cambria" w:eastAsia="Calibri" w:hAnsi="Cambria"/>
          <w:noProof/>
          <w:sz w:val="12"/>
          <w:lang w:val="sr-Latn-CS"/>
        </w:rPr>
      </w:pPr>
    </w:p>
    <w:p w14:paraId="15C57040" w14:textId="3C9DC2AB" w:rsidR="000B19F7" w:rsidRPr="00360F0F" w:rsidRDefault="00D3512F" w:rsidP="00360F0F">
      <w:pPr>
        <w:spacing w:after="120"/>
        <w:jc w:val="both"/>
        <w:rPr>
          <w:rFonts w:ascii="Cambria" w:hAnsi="Cambria"/>
          <w:noProof/>
          <w:lang w:val="sr-Latn-ME"/>
        </w:rPr>
      </w:pPr>
      <w:r>
        <w:rPr>
          <w:rFonts w:ascii="Cambria" w:eastAsia="Calibri" w:hAnsi="Cambria"/>
          <w:noProof/>
          <w:lang w:val="sr-Latn-ME"/>
        </w:rPr>
        <w:t>Navedeni p</w:t>
      </w:r>
      <w:r w:rsidR="002525A4" w:rsidRPr="00AB15C7">
        <w:rPr>
          <w:rFonts w:ascii="Cambria" w:eastAsia="Calibri" w:hAnsi="Cambria"/>
          <w:noProof/>
          <w:lang w:val="sr-Latn-ME"/>
        </w:rPr>
        <w:t xml:space="preserve">odaci su usko vezani za šifre dijagnoza po Međunarodnoj klasifikaciji bolesti MKB-10 ne </w:t>
      </w:r>
      <w:r>
        <w:rPr>
          <w:rFonts w:ascii="Cambria" w:eastAsia="Calibri" w:hAnsi="Cambria"/>
          <w:noProof/>
          <w:lang w:val="sr-Latn-ME"/>
        </w:rPr>
        <w:t>pružaju mogućnost za dalje</w:t>
      </w:r>
      <w:r w:rsidR="002525A4" w:rsidRPr="00AB15C7">
        <w:rPr>
          <w:rFonts w:ascii="Cambria" w:eastAsia="Calibri" w:hAnsi="Cambria"/>
          <w:noProof/>
          <w:lang w:val="sr-Latn-ME"/>
        </w:rPr>
        <w:t xml:space="preserve"> razdvajanje broja pacijenata prema </w:t>
      </w:r>
      <w:r w:rsidR="008A0329">
        <w:rPr>
          <w:rFonts w:ascii="Cambria" w:eastAsia="Calibri" w:hAnsi="Cambria"/>
          <w:noProof/>
          <w:lang w:val="sr-Latn-ME"/>
        </w:rPr>
        <w:t xml:space="preserve">pojedinačnom </w:t>
      </w:r>
      <w:r w:rsidR="002525A4" w:rsidRPr="00AB15C7">
        <w:rPr>
          <w:rFonts w:ascii="Cambria" w:eastAsia="Calibri" w:hAnsi="Cambria"/>
          <w:noProof/>
          <w:lang w:val="sr-Latn-ME"/>
        </w:rPr>
        <w:t xml:space="preserve">tipu hemijskog agensa </w:t>
      </w:r>
      <w:r w:rsidR="002525A4" w:rsidRPr="00360F0F">
        <w:rPr>
          <w:rFonts w:ascii="Cambria" w:hAnsi="Cambria"/>
          <w:noProof/>
          <w:lang w:val="sr-Latn-ME"/>
        </w:rPr>
        <w:t>koji je uzrokovao trovanje</w:t>
      </w:r>
      <w:r w:rsidR="008A0329" w:rsidRPr="00360F0F">
        <w:rPr>
          <w:rFonts w:ascii="Cambria" w:hAnsi="Cambria"/>
          <w:noProof/>
          <w:lang w:val="sr-Latn-ME"/>
        </w:rPr>
        <w:t xml:space="preserve"> u okviru šifr</w:t>
      </w:r>
      <w:r w:rsidR="00C65473" w:rsidRPr="00360F0F">
        <w:rPr>
          <w:rFonts w:ascii="Cambria" w:hAnsi="Cambria"/>
          <w:noProof/>
          <w:lang w:val="sr-Latn-ME"/>
        </w:rPr>
        <w:t>e</w:t>
      </w:r>
      <w:r w:rsidR="008A0329" w:rsidRPr="00360F0F">
        <w:rPr>
          <w:rFonts w:ascii="Cambria" w:hAnsi="Cambria"/>
          <w:noProof/>
          <w:lang w:val="sr-Latn-ME"/>
        </w:rPr>
        <w:t xml:space="preserve"> T36-T50,</w:t>
      </w:r>
      <w:r w:rsidR="00C65473" w:rsidRPr="00360F0F">
        <w:rPr>
          <w:rFonts w:ascii="Cambria" w:hAnsi="Cambria"/>
          <w:noProof/>
          <w:lang w:val="sr-Latn-ME"/>
        </w:rPr>
        <w:t xml:space="preserve"> odnosno šifre T51-T65</w:t>
      </w:r>
      <w:r w:rsidR="008A0329" w:rsidRPr="00360F0F">
        <w:rPr>
          <w:rFonts w:ascii="Cambria" w:hAnsi="Cambria"/>
          <w:noProof/>
          <w:lang w:val="sr-Latn-ME"/>
        </w:rPr>
        <w:t xml:space="preserve">. </w:t>
      </w:r>
    </w:p>
    <w:p w14:paraId="254F7B81" w14:textId="46E02F56" w:rsidR="004071DC" w:rsidRPr="00AB15C7" w:rsidRDefault="004071DC" w:rsidP="00360F0F">
      <w:pPr>
        <w:spacing w:after="120"/>
        <w:jc w:val="both"/>
        <w:rPr>
          <w:rFonts w:ascii="Cambria" w:hAnsi="Cambria"/>
          <w:noProof/>
          <w:lang w:val="sr-Latn-ME"/>
        </w:rPr>
      </w:pPr>
      <w:r w:rsidRPr="00AB15C7">
        <w:rPr>
          <w:rFonts w:ascii="Cambria" w:hAnsi="Cambria"/>
          <w:noProof/>
          <w:lang w:val="sr-Latn-ME"/>
        </w:rPr>
        <w:lastRenderedPageBreak/>
        <w:t xml:space="preserve">Pored vođenja evidencija </w:t>
      </w:r>
      <w:r w:rsidRPr="00AB15C7">
        <w:rPr>
          <w:rFonts w:ascii="Cambria" w:hAnsi="Cambria"/>
          <w:noProof/>
          <w:lang w:val="sr-Latn-CS"/>
        </w:rPr>
        <w:t xml:space="preserve">i zdravstveno-statističkih podataka </w:t>
      </w:r>
      <w:r w:rsidRPr="00AB15C7">
        <w:rPr>
          <w:rFonts w:ascii="Cambria" w:hAnsi="Cambria"/>
          <w:noProof/>
          <w:lang w:val="sr-Latn-ME"/>
        </w:rPr>
        <w:t xml:space="preserve">Institut za javno zdravlje, u sklopu svojih aktivnosti </w:t>
      </w:r>
      <w:r w:rsidRPr="00EF2DF7">
        <w:rPr>
          <w:rFonts w:ascii="Cambria" w:hAnsi="Cambria"/>
          <w:b/>
          <w:noProof/>
          <w:lang w:val="sr-Latn-ME"/>
        </w:rPr>
        <w:t>vrši i edukaciju i podizanje svijesti</w:t>
      </w:r>
      <w:r w:rsidRPr="00AB15C7">
        <w:rPr>
          <w:rFonts w:ascii="Cambria" w:hAnsi="Cambria"/>
          <w:noProof/>
          <w:lang w:val="sr-Latn-ME"/>
        </w:rPr>
        <w:t xml:space="preserve"> o opasnostima hemikalija i biocidnih proizvoda. Akcenat edukacija tokom 2017. bio je na ličnoj higijeni i mjerama prevencij</w:t>
      </w:r>
      <w:r w:rsidR="00C55EBF" w:rsidRPr="00AB15C7">
        <w:rPr>
          <w:rFonts w:ascii="Cambria" w:hAnsi="Cambria"/>
          <w:noProof/>
          <w:lang w:val="sr-Latn-ME"/>
        </w:rPr>
        <w:t>e</w:t>
      </w:r>
      <w:r w:rsidRPr="00AB15C7">
        <w:rPr>
          <w:rFonts w:ascii="Cambria" w:hAnsi="Cambria"/>
          <w:noProof/>
          <w:lang w:val="sr-Latn-ME"/>
        </w:rPr>
        <w:t xml:space="preserve"> javljanja vašljivosti</w:t>
      </w:r>
      <w:r w:rsidR="00C55EBF" w:rsidRPr="00AB15C7">
        <w:rPr>
          <w:rFonts w:ascii="Cambria" w:hAnsi="Cambria"/>
          <w:noProof/>
          <w:lang w:val="sr-Latn-ME"/>
        </w:rPr>
        <w:t xml:space="preserve"> u predškolskim ustanovama</w:t>
      </w:r>
      <w:r w:rsidRPr="00AB15C7">
        <w:rPr>
          <w:rFonts w:ascii="Cambria" w:hAnsi="Cambria"/>
          <w:noProof/>
          <w:lang w:val="sr-Latn-ME"/>
        </w:rPr>
        <w:t xml:space="preserve">, sa posebnim fokusom na adekvatan tretman, imajući u vidu da je zbog nepravilnog rukovanja etiolom došlo do smrtnog ishoda djeteta u Rožajama (decembar 2016.). U skladu sa svojim nadležnostima, IJZ je u pogledu navedene edukacije održao sastanak i edukaciju epidemiologa iz Crne Gore. Sve prezentacije i materijali za edukaciju predati su edukatorima-epidemiolozima i isti su dati na korišćenje zaposlenima u predškolskim i školskim ustanovama. </w:t>
      </w:r>
    </w:p>
    <w:p w14:paraId="7541C6D9" w14:textId="331F26CF" w:rsidR="00D74AAC" w:rsidRDefault="00C55EBF" w:rsidP="005921EF">
      <w:pPr>
        <w:jc w:val="both"/>
        <w:rPr>
          <w:rFonts w:ascii="Cambria" w:hAnsi="Cambria"/>
          <w:noProof/>
          <w:lang w:val="sr-Latn-ME"/>
        </w:rPr>
      </w:pPr>
      <w:r w:rsidRPr="00AB15C7">
        <w:rPr>
          <w:rFonts w:ascii="Cambria" w:hAnsi="Cambria"/>
          <w:noProof/>
          <w:lang w:val="sr-Latn-ME"/>
        </w:rPr>
        <w:t>Ipak</w:t>
      </w:r>
      <w:r w:rsidR="005E5106" w:rsidRPr="00AB15C7">
        <w:rPr>
          <w:rFonts w:ascii="Cambria" w:hAnsi="Cambria"/>
          <w:noProof/>
          <w:lang w:val="sr-Latn-ME"/>
        </w:rPr>
        <w:t>, t</w:t>
      </w:r>
      <w:r w:rsidR="00D74AAC" w:rsidRPr="00AB15C7">
        <w:rPr>
          <w:rFonts w:ascii="Cambria" w:hAnsi="Cambria"/>
          <w:noProof/>
          <w:lang w:val="sr-Latn-ME"/>
        </w:rPr>
        <w:t>reba napomenuti da postoji nedostatak u pogledu pružanja informacija</w:t>
      </w:r>
      <w:r w:rsidRPr="00AB15C7">
        <w:rPr>
          <w:rFonts w:ascii="Cambria" w:hAnsi="Cambria"/>
          <w:noProof/>
          <w:lang w:val="sr-Latn-ME"/>
        </w:rPr>
        <w:t xml:space="preserve"> o adekvatnom tretmanu i reagovanju u slučaju trovanja </w:t>
      </w:r>
      <w:r w:rsidR="00D74AAC" w:rsidRPr="00AB15C7">
        <w:rPr>
          <w:rFonts w:ascii="Cambria" w:hAnsi="Cambria"/>
          <w:noProof/>
          <w:lang w:val="sr-Latn-ME"/>
        </w:rPr>
        <w:t xml:space="preserve">sa aspekta stručnjaka iz oblasti toksikologije, jer u Crnoj Gori </w:t>
      </w:r>
      <w:r w:rsidR="00D74AAC" w:rsidRPr="00EF2DF7">
        <w:rPr>
          <w:rFonts w:ascii="Cambria" w:hAnsi="Cambria"/>
          <w:b/>
          <w:noProof/>
          <w:lang w:val="sr-Latn-ME"/>
        </w:rPr>
        <w:t>nije uspostavljen Centar za kontrolu trovanja</w:t>
      </w:r>
      <w:r w:rsidR="00D74AAC" w:rsidRPr="00AB15C7">
        <w:rPr>
          <w:rFonts w:ascii="Cambria" w:hAnsi="Cambria"/>
          <w:noProof/>
          <w:lang w:val="sr-Latn-ME"/>
        </w:rPr>
        <w:t xml:space="preserve"> kao </w:t>
      </w:r>
      <w:r w:rsidR="004644E2" w:rsidRPr="00AB15C7">
        <w:rPr>
          <w:rFonts w:ascii="Cambria" w:hAnsi="Cambria"/>
          <w:noProof/>
          <w:lang w:val="sr-Latn-ME"/>
        </w:rPr>
        <w:t xml:space="preserve">centralna </w:t>
      </w:r>
      <w:r w:rsidR="00711DB3">
        <w:rPr>
          <w:rFonts w:ascii="Cambria" w:hAnsi="Cambria"/>
          <w:noProof/>
          <w:lang w:val="sr-Latn-ME"/>
        </w:rPr>
        <w:t>tačka za prikupljanje i objedinjavanje svih informacija o trovanjima u Crnoj Gori</w:t>
      </w:r>
      <w:r w:rsidRPr="00AB15C7">
        <w:rPr>
          <w:rFonts w:ascii="Cambria" w:hAnsi="Cambria"/>
          <w:noProof/>
          <w:lang w:val="sr-Latn-ME"/>
        </w:rPr>
        <w:t xml:space="preserve">. </w:t>
      </w:r>
      <w:r w:rsidR="00D74AAC" w:rsidRPr="00AB15C7">
        <w:rPr>
          <w:rFonts w:ascii="Cambria" w:hAnsi="Cambria"/>
          <w:noProof/>
          <w:lang w:val="sr-Latn-ME"/>
        </w:rPr>
        <w:t xml:space="preserve"> </w:t>
      </w:r>
      <w:r w:rsidR="004644E2" w:rsidRPr="00AB15C7">
        <w:rPr>
          <w:rFonts w:ascii="Cambria" w:hAnsi="Cambria"/>
          <w:noProof/>
          <w:lang w:val="sr-Latn-ME"/>
        </w:rPr>
        <w:t>Takođe, Centar za kontrolu trovanja treba da</w:t>
      </w:r>
      <w:r w:rsidR="00537E0C">
        <w:rPr>
          <w:rFonts w:ascii="Cambria" w:hAnsi="Cambria"/>
          <w:noProof/>
          <w:lang w:val="sr-Latn-ME"/>
        </w:rPr>
        <w:t xml:space="preserve"> bude</w:t>
      </w:r>
      <w:r w:rsidR="00711DB3" w:rsidRPr="00711DB3">
        <w:rPr>
          <w:rFonts w:ascii="Cambria" w:hAnsi="Cambria"/>
          <w:noProof/>
          <w:lang w:val="sr-Latn-ME"/>
        </w:rPr>
        <w:t xml:space="preserve"> </w:t>
      </w:r>
      <w:r w:rsidR="00711DB3">
        <w:rPr>
          <w:rFonts w:ascii="Cambria" w:hAnsi="Cambria"/>
          <w:noProof/>
          <w:lang w:val="sr-Latn-ME"/>
        </w:rPr>
        <w:t>centralna institucija koja zdravstvenim radnicima</w:t>
      </w:r>
      <w:r w:rsidR="00C65473">
        <w:rPr>
          <w:rFonts w:ascii="Cambria" w:hAnsi="Cambria"/>
          <w:noProof/>
          <w:lang w:val="sr-Latn-ME"/>
        </w:rPr>
        <w:t>,</w:t>
      </w:r>
      <w:r w:rsidR="00711DB3" w:rsidRPr="00AB15C7">
        <w:rPr>
          <w:rFonts w:ascii="Cambria" w:hAnsi="Cambria"/>
          <w:noProof/>
          <w:lang w:val="sr-Latn-ME"/>
        </w:rPr>
        <w:t xml:space="preserve"> ali i gradjanima pruža </w:t>
      </w:r>
      <w:r w:rsidR="00711DB3">
        <w:rPr>
          <w:rFonts w:ascii="Cambria" w:hAnsi="Cambria"/>
          <w:noProof/>
          <w:lang w:val="sr-Latn-ME"/>
        </w:rPr>
        <w:t>medicinske sav</w:t>
      </w:r>
      <w:r w:rsidR="00745774">
        <w:rPr>
          <w:rFonts w:ascii="Cambria" w:hAnsi="Cambria"/>
          <w:noProof/>
          <w:lang w:val="sr-Latn-ME"/>
        </w:rPr>
        <w:t>j</w:t>
      </w:r>
      <w:r w:rsidR="00711DB3">
        <w:rPr>
          <w:rFonts w:ascii="Cambria" w:hAnsi="Cambria"/>
          <w:noProof/>
          <w:lang w:val="sr-Latn-ME"/>
        </w:rPr>
        <w:t>ete u slučaju</w:t>
      </w:r>
      <w:r w:rsidR="00711DB3" w:rsidRPr="00AB15C7">
        <w:rPr>
          <w:rFonts w:ascii="Cambria" w:hAnsi="Cambria"/>
          <w:noProof/>
          <w:lang w:val="sr-Latn-ME"/>
        </w:rPr>
        <w:t xml:space="preserve"> trovanja</w:t>
      </w:r>
      <w:r w:rsidR="00740301">
        <w:rPr>
          <w:rFonts w:ascii="Cambria" w:hAnsi="Cambria"/>
          <w:noProof/>
          <w:lang w:val="sr-Latn-ME"/>
        </w:rPr>
        <w:t xml:space="preserve">, </w:t>
      </w:r>
      <w:r w:rsidR="0014748D">
        <w:rPr>
          <w:rFonts w:ascii="Cambria" w:hAnsi="Cambria"/>
          <w:noProof/>
          <w:lang w:val="sr-Latn-ME"/>
        </w:rPr>
        <w:t xml:space="preserve">te </w:t>
      </w:r>
      <w:r w:rsidR="00740301">
        <w:rPr>
          <w:rFonts w:ascii="Cambria" w:hAnsi="Cambria"/>
          <w:noProof/>
          <w:lang w:val="sr-Latn-ME"/>
        </w:rPr>
        <w:t xml:space="preserve">sa aspekta </w:t>
      </w:r>
      <w:r w:rsidR="00D70F07">
        <w:rPr>
          <w:rFonts w:ascii="Cambria" w:hAnsi="Cambria"/>
          <w:noProof/>
          <w:lang w:val="sr-Latn-ME"/>
        </w:rPr>
        <w:t>l</w:t>
      </w:r>
      <w:r w:rsidR="00745774">
        <w:rPr>
          <w:rFonts w:ascii="Cambria" w:hAnsi="Cambria"/>
          <w:noProof/>
          <w:lang w:val="sr-Latn-ME"/>
        </w:rPr>
        <w:t>j</w:t>
      </w:r>
      <w:r w:rsidR="00D70F07">
        <w:rPr>
          <w:rFonts w:ascii="Cambria" w:hAnsi="Cambria"/>
          <w:noProof/>
          <w:lang w:val="sr-Latn-ME"/>
        </w:rPr>
        <w:t>ekara</w:t>
      </w:r>
      <w:r w:rsidR="00740301">
        <w:rPr>
          <w:rFonts w:ascii="Cambria" w:hAnsi="Cambria"/>
          <w:noProof/>
          <w:lang w:val="sr-Latn-ME"/>
        </w:rPr>
        <w:t xml:space="preserve"> </w:t>
      </w:r>
      <w:r w:rsidR="00711DB3">
        <w:rPr>
          <w:rFonts w:ascii="Cambria" w:hAnsi="Cambria"/>
          <w:noProof/>
          <w:lang w:val="sr-Latn-ME"/>
        </w:rPr>
        <w:t>pru</w:t>
      </w:r>
      <w:r w:rsidR="00711DB3">
        <w:rPr>
          <w:rFonts w:ascii="Cambria" w:hAnsi="Cambria"/>
          <w:noProof/>
          <w:lang w:val="sr-Latn-RS"/>
        </w:rPr>
        <w:t>ža pomoć</w:t>
      </w:r>
      <w:r w:rsidR="0014748D">
        <w:rPr>
          <w:rFonts w:ascii="Cambria" w:hAnsi="Cambria"/>
          <w:noProof/>
          <w:lang w:val="sr-Latn-ME"/>
        </w:rPr>
        <w:t xml:space="preserve"> u pripremi i realizaciji </w:t>
      </w:r>
      <w:r w:rsidR="00711DB3">
        <w:rPr>
          <w:rFonts w:ascii="Cambria" w:hAnsi="Cambria"/>
          <w:noProof/>
          <w:lang w:val="sr-Latn-ME"/>
        </w:rPr>
        <w:t>edukativnih</w:t>
      </w:r>
      <w:r w:rsidR="0014748D">
        <w:rPr>
          <w:rFonts w:ascii="Cambria" w:hAnsi="Cambria"/>
          <w:noProof/>
          <w:lang w:val="sr-Latn-ME"/>
        </w:rPr>
        <w:t xml:space="preserve"> </w:t>
      </w:r>
      <w:r w:rsidR="00B87016" w:rsidRPr="00AB15C7">
        <w:rPr>
          <w:rFonts w:ascii="Cambria" w:hAnsi="Cambria"/>
          <w:noProof/>
          <w:lang w:val="sr-Latn-ME"/>
        </w:rPr>
        <w:t>mjer</w:t>
      </w:r>
      <w:r w:rsidR="0014748D">
        <w:rPr>
          <w:rFonts w:ascii="Cambria" w:hAnsi="Cambria"/>
          <w:noProof/>
          <w:lang w:val="sr-Latn-ME"/>
        </w:rPr>
        <w:t>a</w:t>
      </w:r>
      <w:r w:rsidR="00D74AAC" w:rsidRPr="00AB15C7">
        <w:rPr>
          <w:rFonts w:ascii="Cambria" w:hAnsi="Cambria"/>
          <w:noProof/>
          <w:lang w:val="sr-Latn-ME"/>
        </w:rPr>
        <w:t xml:space="preserve"> zaštite od trovanja i podizanj</w:t>
      </w:r>
      <w:r w:rsidR="0014748D">
        <w:rPr>
          <w:rFonts w:ascii="Cambria" w:hAnsi="Cambria"/>
          <w:noProof/>
          <w:lang w:val="sr-Latn-ME"/>
        </w:rPr>
        <w:t>u</w:t>
      </w:r>
      <w:r w:rsidR="00D74AAC" w:rsidRPr="00AB15C7">
        <w:rPr>
          <w:rFonts w:ascii="Cambria" w:hAnsi="Cambria"/>
          <w:noProof/>
          <w:lang w:val="sr-Latn-ME"/>
        </w:rPr>
        <w:t xml:space="preserve"> svijesti o mogućim štetnim efektima hemikalija po zdravlje ljudi. </w:t>
      </w:r>
    </w:p>
    <w:p w14:paraId="12A15AA1" w14:textId="77777777" w:rsidR="001C310D" w:rsidRPr="00AB15C7" w:rsidRDefault="0052290F" w:rsidP="00237FAE">
      <w:pPr>
        <w:pStyle w:val="Heading2"/>
        <w:spacing w:after="120"/>
        <w:rPr>
          <w:noProof/>
          <w:sz w:val="22"/>
          <w:szCs w:val="22"/>
          <w:lang w:val="en-US"/>
        </w:rPr>
      </w:pPr>
      <w:bookmarkStart w:id="123" w:name="_Toc527353227"/>
      <w:bookmarkEnd w:id="120"/>
      <w:r w:rsidRPr="00AB15C7">
        <w:rPr>
          <w:noProof/>
          <w:sz w:val="22"/>
          <w:szCs w:val="22"/>
          <w:lang w:val="en-US"/>
        </w:rPr>
        <w:t>2.</w:t>
      </w:r>
      <w:r w:rsidR="0069329C" w:rsidRPr="00AB15C7">
        <w:rPr>
          <w:noProof/>
          <w:sz w:val="22"/>
          <w:szCs w:val="22"/>
          <w:lang w:val="en-US"/>
        </w:rPr>
        <w:t>10.2</w:t>
      </w:r>
      <w:r w:rsidR="00C10F06">
        <w:rPr>
          <w:noProof/>
          <w:sz w:val="22"/>
          <w:szCs w:val="22"/>
          <w:lang w:val="en-US"/>
        </w:rPr>
        <w:t>.</w:t>
      </w:r>
      <w:r w:rsidR="0069329C" w:rsidRPr="00AB15C7">
        <w:rPr>
          <w:noProof/>
          <w:sz w:val="22"/>
          <w:szCs w:val="22"/>
          <w:lang w:val="en-US"/>
        </w:rPr>
        <w:t xml:space="preserve"> </w:t>
      </w:r>
      <w:r w:rsidR="001C310D" w:rsidRPr="00AB15C7">
        <w:rPr>
          <w:noProof/>
          <w:sz w:val="22"/>
          <w:szCs w:val="22"/>
          <w:lang w:val="en-US"/>
        </w:rPr>
        <w:t xml:space="preserve">Informisanje i edukacija </w:t>
      </w:r>
      <w:r w:rsidR="0069329C" w:rsidRPr="00AB15C7">
        <w:rPr>
          <w:noProof/>
          <w:sz w:val="22"/>
          <w:szCs w:val="22"/>
          <w:lang w:val="en-US"/>
        </w:rPr>
        <w:t>ciljnih grupa i profesionalnih korisnika</w:t>
      </w:r>
      <w:bookmarkEnd w:id="123"/>
    </w:p>
    <w:p w14:paraId="531E8237" w14:textId="226839FE" w:rsidR="001C310D" w:rsidRDefault="00056187" w:rsidP="005921EF">
      <w:pPr>
        <w:jc w:val="both"/>
        <w:rPr>
          <w:rFonts w:ascii="Cambria" w:hAnsi="Cambria"/>
          <w:noProof/>
          <w:lang w:val="sr-Latn-ME"/>
        </w:rPr>
      </w:pPr>
      <w:r w:rsidRPr="00AB15C7">
        <w:rPr>
          <w:rFonts w:ascii="Cambria" w:hAnsi="Cambria"/>
          <w:noProof/>
          <w:lang w:val="sr-Latn-ME"/>
        </w:rPr>
        <w:t>Odjeljenje za upravljanje hemikalijama u AZ</w:t>
      </w:r>
      <w:r w:rsidR="00CD52E9" w:rsidRPr="00AB15C7">
        <w:rPr>
          <w:rFonts w:ascii="Cambria" w:hAnsi="Cambria"/>
          <w:noProof/>
          <w:lang w:val="sr-Latn-ME"/>
        </w:rPr>
        <w:t>P</w:t>
      </w:r>
      <w:r w:rsidRPr="00AB15C7">
        <w:rPr>
          <w:rFonts w:ascii="Cambria" w:hAnsi="Cambria"/>
          <w:noProof/>
          <w:lang w:val="sr-Latn-ME"/>
        </w:rPr>
        <w:t>ŽS u okviru svojih kapaciteta pruža stručnu pomoć iz oblasti upravljanja hemikalijama, kao i bezbjednog čuvanja i korišćenja hemikalija svim pravnim i fizičkim licima koji joj se obrate</w:t>
      </w:r>
      <w:r w:rsidR="00F26B60" w:rsidRPr="00AB15C7">
        <w:rPr>
          <w:rFonts w:ascii="Cambria" w:hAnsi="Cambria"/>
          <w:noProof/>
          <w:lang w:val="sr-Latn-ME"/>
        </w:rPr>
        <w:t xml:space="preserve">. </w:t>
      </w:r>
      <w:r w:rsidR="00C96A78" w:rsidRPr="00AB15C7">
        <w:rPr>
          <w:rFonts w:ascii="Cambria" w:hAnsi="Cambria"/>
          <w:noProof/>
          <w:lang w:val="sr-Latn-ME"/>
        </w:rPr>
        <w:t>S ti</w:t>
      </w:r>
      <w:r w:rsidR="001C310D" w:rsidRPr="00AB15C7">
        <w:rPr>
          <w:rFonts w:ascii="Cambria" w:hAnsi="Cambria"/>
          <w:noProof/>
          <w:lang w:val="sr-Latn-ME"/>
        </w:rPr>
        <w:t>m</w:t>
      </w:r>
      <w:r w:rsidR="00C96A78" w:rsidRPr="00AB15C7">
        <w:rPr>
          <w:rFonts w:ascii="Cambria" w:hAnsi="Cambria"/>
          <w:noProof/>
          <w:lang w:val="sr-Latn-ME"/>
        </w:rPr>
        <w:t xml:space="preserve"> u vezi, u julu 2017, sajtu MORT objavljen je prevod ECHA brošure o izvozu hemikalija u EU</w:t>
      </w:r>
      <w:r w:rsidR="00A70DFA">
        <w:rPr>
          <w:rStyle w:val="FootnoteReference"/>
          <w:rFonts w:ascii="Cambria" w:hAnsi="Cambria"/>
          <w:noProof/>
          <w:lang w:val="sr-Latn-ME"/>
        </w:rPr>
        <w:footnoteReference w:id="52"/>
      </w:r>
      <w:r w:rsidR="00C96A78" w:rsidRPr="00AB15C7">
        <w:rPr>
          <w:rFonts w:ascii="Cambria" w:hAnsi="Cambria"/>
          <w:noProof/>
          <w:lang w:val="sr-Latn-ME"/>
        </w:rPr>
        <w:t xml:space="preserve">. Ova brošura je preko AZPŽS distribuirana zainteresovanim stranama. </w:t>
      </w:r>
    </w:p>
    <w:p w14:paraId="54766CDE" w14:textId="40CB65EB" w:rsidR="00C96A78" w:rsidRPr="00AB15C7" w:rsidRDefault="00683287" w:rsidP="005921EF">
      <w:pPr>
        <w:jc w:val="both"/>
        <w:rPr>
          <w:rFonts w:ascii="Cambria" w:hAnsi="Cambria"/>
          <w:noProof/>
          <w:lang w:val="sr-Latn-ME"/>
        </w:rPr>
      </w:pPr>
      <w:r>
        <w:rPr>
          <w:rFonts w:ascii="Cambria" w:hAnsi="Cambria"/>
          <w:noProof/>
          <w:lang w:val="sr-Latn-ME"/>
        </w:rPr>
        <w:t>Takođe</w:t>
      </w:r>
      <w:r w:rsidR="00FC44BB" w:rsidRPr="00AB15C7">
        <w:rPr>
          <w:rFonts w:ascii="Cambria" w:hAnsi="Cambria"/>
          <w:noProof/>
          <w:lang w:val="sr-Latn-ME"/>
        </w:rPr>
        <w:t xml:space="preserve">, u skladu sa ovlašćenjima iz Zakona o hemikalijama iz 2017, u maju 2018. uspostavljen </w:t>
      </w:r>
      <w:r>
        <w:rPr>
          <w:rFonts w:ascii="Cambria" w:hAnsi="Cambria"/>
          <w:noProof/>
          <w:lang w:val="sr-Latn-ME"/>
        </w:rPr>
        <w:t xml:space="preserve">je </w:t>
      </w:r>
      <w:r w:rsidR="00FC44BB" w:rsidRPr="00AB15C7">
        <w:rPr>
          <w:rFonts w:ascii="Cambria" w:hAnsi="Cambria"/>
          <w:noProof/>
          <w:lang w:val="sr-Latn-ME"/>
        </w:rPr>
        <w:t>helpdesk  za oblast hemikalija i biocida</w:t>
      </w:r>
      <w:r>
        <w:rPr>
          <w:rFonts w:ascii="Cambria" w:hAnsi="Cambria"/>
          <w:noProof/>
          <w:lang w:val="sr-Latn-ME"/>
        </w:rPr>
        <w:t xml:space="preserve">, ali </w:t>
      </w:r>
      <w:r w:rsidR="00FC44BB" w:rsidRPr="00AB15C7">
        <w:rPr>
          <w:rFonts w:ascii="Cambria" w:hAnsi="Cambria"/>
          <w:noProof/>
          <w:lang w:val="sr-Latn-ME"/>
        </w:rPr>
        <w:t xml:space="preserve"> u okviru AZPŽS treba dalje raditi na njegovom razvoju </w:t>
      </w:r>
      <w:r w:rsidR="001C310D" w:rsidRPr="00AB15C7">
        <w:rPr>
          <w:rFonts w:ascii="Cambria" w:hAnsi="Cambria"/>
          <w:noProof/>
          <w:lang w:val="sr-Latn-ME"/>
        </w:rPr>
        <w:t xml:space="preserve">po ugledu na slične informacione pultove u EU. </w:t>
      </w:r>
      <w:r w:rsidR="00FC44BB" w:rsidRPr="00AB15C7">
        <w:rPr>
          <w:rFonts w:ascii="Cambria" w:hAnsi="Cambria"/>
          <w:noProof/>
          <w:lang w:val="sr-Latn-ME"/>
        </w:rPr>
        <w:t>S tim u vezi, u</w:t>
      </w:r>
      <w:r w:rsidR="001C310D" w:rsidRPr="00AB15C7">
        <w:rPr>
          <w:rFonts w:ascii="Cambria" w:hAnsi="Cambria"/>
          <w:noProof/>
          <w:lang w:val="sr-Latn-ME"/>
        </w:rPr>
        <w:t xml:space="preserve"> avgustu 2017. </w:t>
      </w:r>
      <w:r w:rsidR="00C96A78" w:rsidRPr="00AB15C7">
        <w:rPr>
          <w:rFonts w:ascii="Cambria" w:hAnsi="Cambria"/>
          <w:noProof/>
          <w:lang w:val="sr-Latn-ME"/>
        </w:rPr>
        <w:t xml:space="preserve">predstavnici AZPŽS su imali TAIEX studijsku posjetu „Uspostavljanje helpdeska“ </w:t>
      </w:r>
      <w:r w:rsidR="001C310D" w:rsidRPr="00AB15C7">
        <w:rPr>
          <w:rFonts w:ascii="Cambria" w:hAnsi="Cambria"/>
          <w:noProof/>
          <w:lang w:val="sr-Latn-ME"/>
        </w:rPr>
        <w:t>kolegama iz Hrvatske</w:t>
      </w:r>
      <w:r w:rsidR="00C96A78" w:rsidRPr="00AB15C7">
        <w:rPr>
          <w:rFonts w:ascii="Cambria" w:hAnsi="Cambria"/>
          <w:noProof/>
          <w:lang w:val="sr-Latn-ME"/>
        </w:rPr>
        <w:t>, na kojoj su, između ostalog upoznati sa regulatornim okvirom službe helpdeska, najčešćim pitanjima i sl. kako bi ova iskustva iskoristili u uspostavljanju funkcionalnog helpdeska u  Crnoj Gori.</w:t>
      </w:r>
      <w:r w:rsidR="000C3C5C" w:rsidRPr="000C3C5C">
        <w:t xml:space="preserve"> </w:t>
      </w:r>
      <w:r w:rsidR="000C3C5C" w:rsidRPr="000C3C5C">
        <w:rPr>
          <w:rFonts w:ascii="Cambria" w:hAnsi="Cambria"/>
          <w:noProof/>
          <w:lang w:val="sr-Latn-ME"/>
        </w:rPr>
        <w:t xml:space="preserve">Takođe, kroz navedeni projekat izrađeni su informativni letci: “Smjernice i instrumenti za dalje korisnike”, “Informacije o hemikalijama” i “Bezbjednosni listovi i scenariji izloženosti” i isti postavljeni na web site </w:t>
      </w:r>
      <w:r w:rsidR="000B19F7" w:rsidRPr="000B19F7">
        <w:rPr>
          <w:rFonts w:ascii="Cambria" w:hAnsi="Cambria"/>
          <w:noProof/>
          <w:lang w:val="sr-Latn-ME"/>
        </w:rPr>
        <w:t xml:space="preserve">AZPŽS </w:t>
      </w:r>
      <w:r w:rsidR="000C3C5C" w:rsidRPr="000C3C5C">
        <w:rPr>
          <w:rFonts w:ascii="Cambria" w:hAnsi="Cambria"/>
          <w:noProof/>
          <w:lang w:val="sr-Latn-ME"/>
        </w:rPr>
        <w:t xml:space="preserve">i </w:t>
      </w:r>
      <w:r w:rsidR="000B19F7">
        <w:rPr>
          <w:rFonts w:ascii="Cambria" w:hAnsi="Cambria"/>
          <w:noProof/>
          <w:lang w:val="sr-Latn-ME"/>
        </w:rPr>
        <w:t>MORT</w:t>
      </w:r>
      <w:r w:rsidR="000C3C5C" w:rsidRPr="000C3C5C">
        <w:rPr>
          <w:rFonts w:ascii="Cambria" w:hAnsi="Cambria"/>
          <w:noProof/>
          <w:lang w:val="sr-Latn-ME"/>
        </w:rPr>
        <w:t>.</w:t>
      </w:r>
    </w:p>
    <w:p w14:paraId="7DC4D680" w14:textId="4338D30B" w:rsidR="00EF2DF7" w:rsidRPr="00EF2DF7" w:rsidRDefault="00F26B60" w:rsidP="00360F0F">
      <w:pPr>
        <w:spacing w:after="0"/>
        <w:jc w:val="both"/>
        <w:rPr>
          <w:rFonts w:ascii="Cambria" w:hAnsi="Cambria"/>
          <w:noProof/>
        </w:rPr>
      </w:pPr>
      <w:r w:rsidRPr="00AB15C7">
        <w:rPr>
          <w:rFonts w:ascii="Cambria" w:hAnsi="Cambria"/>
          <w:noProof/>
          <w:lang w:val="sr-Latn-ME"/>
        </w:rPr>
        <w:t>U</w:t>
      </w:r>
      <w:r w:rsidR="00056187" w:rsidRPr="00AB15C7">
        <w:rPr>
          <w:rFonts w:ascii="Cambria" w:hAnsi="Cambria"/>
          <w:noProof/>
          <w:lang w:val="sr-Latn-ME"/>
        </w:rPr>
        <w:t xml:space="preserve"> pogledu radnika koji u profesionaloj aktivnosti dolaze u kontakt sa različitim hemikalijama </w:t>
      </w:r>
      <w:r w:rsidR="00737B73" w:rsidRPr="00AB15C7">
        <w:rPr>
          <w:rFonts w:ascii="Cambria" w:hAnsi="Cambria"/>
          <w:noProof/>
          <w:lang w:val="sr-Latn-ME"/>
        </w:rPr>
        <w:t xml:space="preserve">potrebno je </w:t>
      </w:r>
      <w:r w:rsidR="00056187" w:rsidRPr="00AB15C7">
        <w:rPr>
          <w:rFonts w:ascii="Cambria" w:hAnsi="Cambria"/>
          <w:noProof/>
          <w:lang w:val="sr-Latn-ME"/>
        </w:rPr>
        <w:t>kontinuirano raditi na obučavanju</w:t>
      </w:r>
      <w:r w:rsidR="00737B73" w:rsidRPr="00AB15C7">
        <w:rPr>
          <w:rFonts w:ascii="Cambria" w:hAnsi="Cambria"/>
          <w:noProof/>
          <w:lang w:val="sr-Latn-ME"/>
        </w:rPr>
        <w:t xml:space="preserve"> </w:t>
      </w:r>
      <w:r w:rsidR="00056187" w:rsidRPr="00AB15C7">
        <w:rPr>
          <w:rFonts w:ascii="Cambria" w:hAnsi="Cambria"/>
          <w:noProof/>
          <w:lang w:val="sr-Latn-ME"/>
        </w:rPr>
        <w:t xml:space="preserve">za bezbjedno korišćenje hemikalija </w:t>
      </w:r>
      <w:r w:rsidR="00CD52E9" w:rsidRPr="00AB15C7">
        <w:rPr>
          <w:rFonts w:ascii="Cambria" w:hAnsi="Cambria"/>
          <w:noProof/>
          <w:lang w:val="sr-Latn-ME"/>
        </w:rPr>
        <w:t>i</w:t>
      </w:r>
      <w:r w:rsidR="00056187" w:rsidRPr="00AB15C7">
        <w:rPr>
          <w:rFonts w:ascii="Cambria" w:hAnsi="Cambria"/>
          <w:noProof/>
          <w:lang w:val="sr-Latn-ME"/>
        </w:rPr>
        <w:t xml:space="preserve"> mjere koje je potrebno preduzeti radi zaštite na radu.</w:t>
      </w:r>
      <w:r w:rsidR="00CD52E9" w:rsidRPr="00AB15C7">
        <w:rPr>
          <w:rFonts w:ascii="Cambria" w:hAnsi="Cambria"/>
          <w:noProof/>
          <w:lang w:val="sr-Latn-ME"/>
        </w:rPr>
        <w:t xml:space="preserve"> </w:t>
      </w:r>
      <w:bookmarkStart w:id="124" w:name="_Hlk519450809"/>
      <w:r w:rsidR="00947E72">
        <w:rPr>
          <w:rFonts w:ascii="Cambria" w:hAnsi="Cambria"/>
          <w:noProof/>
        </w:rPr>
        <w:t xml:space="preserve">S tim u vezi, </w:t>
      </w:r>
      <w:r w:rsidR="00947E72" w:rsidRPr="00947E72">
        <w:rPr>
          <w:rFonts w:ascii="Cambria" w:hAnsi="Cambria"/>
          <w:noProof/>
        </w:rPr>
        <w:t xml:space="preserve"> </w:t>
      </w:r>
      <w:r w:rsidR="00947E72">
        <w:rPr>
          <w:rFonts w:ascii="Cambria" w:hAnsi="Cambria"/>
          <w:noProof/>
        </w:rPr>
        <w:t>MRSS-direkcija za zaštitu na radu</w:t>
      </w:r>
      <w:r w:rsidR="00947E72" w:rsidRPr="00947E72">
        <w:rPr>
          <w:rFonts w:ascii="Cambria" w:hAnsi="Cambria"/>
          <w:noProof/>
        </w:rPr>
        <w:t xml:space="preserve">, </w:t>
      </w:r>
      <w:r w:rsidR="00EF2DF7">
        <w:rPr>
          <w:rFonts w:ascii="Cambria" w:hAnsi="Cambria"/>
          <w:noProof/>
        </w:rPr>
        <w:t xml:space="preserve">u okviru svojih nadležnosti sprovodi potrebne procedure i edukacije, a </w:t>
      </w:r>
      <w:r w:rsidR="00947E72" w:rsidRPr="00947E72">
        <w:rPr>
          <w:rFonts w:ascii="Cambria" w:hAnsi="Cambria"/>
          <w:noProof/>
        </w:rPr>
        <w:t>svi privredni subjekti koji u svom radu rukuju sa hemikalijama ili ih koriste u proizvodnji treba da sprovedu detaljnu procjenu rizika pri izlaganju hemijskim materijama na radnim mjestima i utvrde načine bezbjednog rukovanja da bi se izbjeglo nepotrebno izlaganje ili stepen izlaganja sveo na minimum. Nivo svijesti zaposlenih stručnih lica je uglavnom na zadovoljavajučem nivou, ali potrebno je nastaviti sa edukacijom zaposlenih o potencijalnim opasnostima i mjerama zaštite, te uspostavljanjem odgovarajuće tehničke kontrole i/ili primjenom opreme za ličnu zaštitu minimizovati izloženost na radnim mjestima</w:t>
      </w:r>
      <w:r w:rsidR="00EF2DF7">
        <w:rPr>
          <w:rFonts w:ascii="Cambria" w:hAnsi="Cambria"/>
          <w:noProof/>
        </w:rPr>
        <w:t xml:space="preserve">. </w:t>
      </w:r>
    </w:p>
    <w:p w14:paraId="5BE84D59" w14:textId="32DFDE5A" w:rsidR="00CD52E9" w:rsidRPr="00AB15C7" w:rsidRDefault="00CD52E9" w:rsidP="00360F0F">
      <w:pPr>
        <w:spacing w:after="0"/>
        <w:jc w:val="both"/>
        <w:rPr>
          <w:rFonts w:ascii="Cambria" w:hAnsi="Cambria"/>
          <w:noProof/>
          <w:lang w:val="sr-Latn-ME"/>
        </w:rPr>
      </w:pPr>
      <w:r w:rsidRPr="00AB15C7">
        <w:rPr>
          <w:rFonts w:ascii="Cambria" w:hAnsi="Cambria"/>
          <w:noProof/>
          <w:lang w:val="sr-Latn-ME"/>
        </w:rPr>
        <w:t xml:space="preserve">UBHVFP </w:t>
      </w:r>
      <w:bookmarkEnd w:id="124"/>
      <w:r w:rsidRPr="00AB15C7">
        <w:rPr>
          <w:rFonts w:ascii="Cambria" w:hAnsi="Cambria"/>
          <w:noProof/>
          <w:lang w:val="sr-Latn-ME"/>
        </w:rPr>
        <w:t xml:space="preserve">je, u cilju podizanja svijesti </w:t>
      </w:r>
      <w:r w:rsidR="00EF2DF7">
        <w:rPr>
          <w:rFonts w:ascii="Cambria" w:hAnsi="Cambria"/>
          <w:noProof/>
          <w:lang w:val="sr-Latn-ME"/>
        </w:rPr>
        <w:t>o</w:t>
      </w:r>
      <w:r w:rsidR="00683287">
        <w:rPr>
          <w:rFonts w:ascii="Cambria" w:hAnsi="Cambria"/>
          <w:noProof/>
          <w:lang w:val="sr-Latn-ME"/>
        </w:rPr>
        <w:t xml:space="preserve"> sredstvima za zaštitu bilja</w:t>
      </w:r>
      <w:r w:rsidR="00EF2DF7">
        <w:rPr>
          <w:rFonts w:ascii="Cambria" w:hAnsi="Cambria"/>
          <w:noProof/>
          <w:lang w:val="sr-Latn-ME"/>
        </w:rPr>
        <w:t xml:space="preserve"> (SZB)</w:t>
      </w:r>
      <w:r w:rsidR="00683287">
        <w:rPr>
          <w:rFonts w:ascii="Cambria" w:hAnsi="Cambria"/>
          <w:noProof/>
          <w:lang w:val="sr-Latn-ME"/>
        </w:rPr>
        <w:t xml:space="preserve"> </w:t>
      </w:r>
      <w:r w:rsidRPr="00AB15C7">
        <w:rPr>
          <w:rFonts w:ascii="Cambria" w:hAnsi="Cambria"/>
          <w:noProof/>
          <w:lang w:val="sr-Latn-ME"/>
        </w:rPr>
        <w:t xml:space="preserve"> </w:t>
      </w:r>
      <w:r w:rsidR="00683287">
        <w:rPr>
          <w:rFonts w:ascii="Cambria" w:hAnsi="Cambria"/>
          <w:noProof/>
          <w:lang w:val="sr-Latn-ME"/>
        </w:rPr>
        <w:t xml:space="preserve">sprovela </w:t>
      </w:r>
      <w:r w:rsidRPr="00AB15C7">
        <w:rPr>
          <w:rFonts w:ascii="Cambria" w:hAnsi="Cambria"/>
          <w:noProof/>
          <w:lang w:val="sr-Latn-ME"/>
        </w:rPr>
        <w:t xml:space="preserve">medijsku kampanju </w:t>
      </w:r>
      <w:r w:rsidR="00EF2DF7">
        <w:rPr>
          <w:rFonts w:ascii="Cambria" w:hAnsi="Cambria"/>
          <w:noProof/>
          <w:lang w:val="sr-Latn-ME"/>
        </w:rPr>
        <w:t>u</w:t>
      </w:r>
      <w:r w:rsidRPr="00AB15C7">
        <w:rPr>
          <w:rFonts w:ascii="Cambria" w:hAnsi="Cambria"/>
          <w:noProof/>
          <w:lang w:val="sr-Latn-ME"/>
        </w:rPr>
        <w:t xml:space="preserve"> 2017. godin</w:t>
      </w:r>
      <w:r w:rsidR="00EF2DF7">
        <w:rPr>
          <w:rFonts w:ascii="Cambria" w:hAnsi="Cambria"/>
          <w:noProof/>
          <w:lang w:val="sr-Latn-ME"/>
        </w:rPr>
        <w:t>i</w:t>
      </w:r>
      <w:r w:rsidRPr="00AB15C7">
        <w:rPr>
          <w:rFonts w:ascii="Cambria" w:hAnsi="Cambria"/>
          <w:noProof/>
          <w:lang w:val="sr-Latn-ME"/>
        </w:rPr>
        <w:t>;</w:t>
      </w:r>
      <w:r w:rsidR="00683287">
        <w:rPr>
          <w:rFonts w:ascii="Cambria" w:hAnsi="Cambria"/>
          <w:noProof/>
          <w:lang w:val="sr-Latn-ME"/>
        </w:rPr>
        <w:t xml:space="preserve"> i izradila </w:t>
      </w:r>
      <w:r w:rsidRPr="00AB15C7">
        <w:rPr>
          <w:rFonts w:ascii="Cambria" w:hAnsi="Cambria"/>
          <w:noProof/>
          <w:lang w:val="sr-Latn-ME"/>
        </w:rPr>
        <w:t xml:space="preserve">kratki film </w:t>
      </w:r>
      <w:r w:rsidR="00EF2DF7">
        <w:rPr>
          <w:rFonts w:ascii="Cambria" w:hAnsi="Cambria"/>
          <w:noProof/>
          <w:lang w:val="sr-Latn-ME"/>
        </w:rPr>
        <w:t xml:space="preserve">o </w:t>
      </w:r>
      <w:r w:rsidRPr="00AB15C7">
        <w:rPr>
          <w:rFonts w:ascii="Cambria" w:hAnsi="Cambria"/>
          <w:noProof/>
          <w:lang w:val="sr-Latn-ME"/>
        </w:rPr>
        <w:t>praviln</w:t>
      </w:r>
      <w:r w:rsidR="00EF2DF7">
        <w:rPr>
          <w:rFonts w:ascii="Cambria" w:hAnsi="Cambria"/>
          <w:noProof/>
          <w:lang w:val="sr-Latn-ME"/>
        </w:rPr>
        <w:t>oj</w:t>
      </w:r>
      <w:r w:rsidRPr="00AB15C7">
        <w:rPr>
          <w:rFonts w:ascii="Cambria" w:hAnsi="Cambria"/>
          <w:noProof/>
          <w:lang w:val="sr-Latn-ME"/>
        </w:rPr>
        <w:t xml:space="preserve"> upotreb</w:t>
      </w:r>
      <w:r w:rsidR="00EF2DF7">
        <w:rPr>
          <w:rFonts w:ascii="Cambria" w:hAnsi="Cambria"/>
          <w:noProof/>
          <w:lang w:val="sr-Latn-ME"/>
        </w:rPr>
        <w:t>i</w:t>
      </w:r>
      <w:r w:rsidRPr="00AB15C7">
        <w:rPr>
          <w:rFonts w:ascii="Cambria" w:hAnsi="Cambria"/>
          <w:noProof/>
          <w:lang w:val="sr-Latn-ME"/>
        </w:rPr>
        <w:t xml:space="preserve"> SZB </w:t>
      </w:r>
      <w:r w:rsidRPr="00AB15C7">
        <w:rPr>
          <w:rStyle w:val="FootnoteReference"/>
          <w:rFonts w:ascii="Cambria" w:hAnsi="Cambria"/>
          <w:noProof/>
          <w:lang w:val="sr-Latn-ME"/>
        </w:rPr>
        <w:footnoteReference w:id="53"/>
      </w:r>
      <w:r w:rsidRPr="00AB15C7">
        <w:rPr>
          <w:rFonts w:ascii="Cambria" w:hAnsi="Cambria"/>
          <w:noProof/>
          <w:lang w:val="sr-Latn-ME"/>
        </w:rPr>
        <w:t xml:space="preserve"> </w:t>
      </w:r>
      <w:r w:rsidR="00683287">
        <w:rPr>
          <w:rFonts w:ascii="Cambria" w:hAnsi="Cambria"/>
          <w:noProof/>
          <w:lang w:val="sr-Latn-ME"/>
        </w:rPr>
        <w:t xml:space="preserve">, kao i </w:t>
      </w:r>
      <w:r w:rsidRPr="00AB15C7">
        <w:rPr>
          <w:rFonts w:ascii="Cambria" w:hAnsi="Cambria"/>
          <w:noProof/>
          <w:lang w:val="sr-Latn-ME"/>
        </w:rPr>
        <w:t>edukativni materijal, i to:</w:t>
      </w:r>
    </w:p>
    <w:p w14:paraId="79EC45A4" w14:textId="77777777" w:rsidR="00CD52E9" w:rsidRPr="00AB15C7" w:rsidRDefault="00CD52E9" w:rsidP="00557C13">
      <w:pPr>
        <w:numPr>
          <w:ilvl w:val="0"/>
          <w:numId w:val="6"/>
        </w:numPr>
        <w:spacing w:after="0"/>
        <w:ind w:left="284" w:firstLine="0"/>
        <w:contextualSpacing/>
        <w:jc w:val="both"/>
        <w:rPr>
          <w:rFonts w:ascii="Cambria" w:hAnsi="Cambria"/>
          <w:noProof/>
          <w:lang w:val="sr-Latn-ME"/>
        </w:rPr>
      </w:pPr>
      <w:r w:rsidRPr="00AB15C7">
        <w:rPr>
          <w:rFonts w:ascii="Cambria" w:hAnsi="Cambria"/>
          <w:noProof/>
          <w:lang w:val="sr-Latn-ME"/>
        </w:rPr>
        <w:t>Promet i pravilna upotreba SZB u Crnoj Gori</w:t>
      </w:r>
      <w:r w:rsidRPr="00AB15C7">
        <w:rPr>
          <w:rStyle w:val="FootnoteReference"/>
          <w:rFonts w:ascii="Cambria" w:hAnsi="Cambria"/>
          <w:noProof/>
          <w:lang w:val="sr-Latn-ME"/>
        </w:rPr>
        <w:footnoteReference w:id="54"/>
      </w:r>
      <w:r w:rsidRPr="00AB15C7">
        <w:rPr>
          <w:rFonts w:ascii="Cambria" w:hAnsi="Cambria"/>
          <w:noProof/>
          <w:lang w:val="sr-Latn-ME"/>
        </w:rPr>
        <w:t>;</w:t>
      </w:r>
    </w:p>
    <w:p w14:paraId="78389D82" w14:textId="77777777" w:rsidR="00CD52E9" w:rsidRPr="00AB15C7" w:rsidRDefault="00CD52E9" w:rsidP="00557C13">
      <w:pPr>
        <w:numPr>
          <w:ilvl w:val="0"/>
          <w:numId w:val="6"/>
        </w:numPr>
        <w:spacing w:after="0"/>
        <w:ind w:left="284" w:firstLine="0"/>
        <w:contextualSpacing/>
        <w:jc w:val="both"/>
        <w:rPr>
          <w:rFonts w:ascii="Cambria" w:hAnsi="Cambria"/>
          <w:noProof/>
          <w:lang w:val="sr-Latn-ME"/>
        </w:rPr>
      </w:pPr>
      <w:r w:rsidRPr="00AB15C7">
        <w:rPr>
          <w:rFonts w:ascii="Cambria" w:hAnsi="Cambria"/>
          <w:noProof/>
          <w:lang w:val="sr-Latn-ME"/>
        </w:rPr>
        <w:lastRenderedPageBreak/>
        <w:t>Lična zaštitna oprema obavezna pri rukovanju SZB</w:t>
      </w:r>
      <w:r w:rsidRPr="00AB15C7">
        <w:rPr>
          <w:rStyle w:val="FootnoteReference"/>
          <w:rFonts w:ascii="Cambria" w:hAnsi="Cambria"/>
          <w:noProof/>
          <w:lang w:val="sr-Latn-ME"/>
        </w:rPr>
        <w:footnoteReference w:id="55"/>
      </w:r>
      <w:r w:rsidRPr="00AB15C7">
        <w:rPr>
          <w:rFonts w:ascii="Cambria" w:hAnsi="Cambria"/>
          <w:noProof/>
          <w:lang w:val="sr-Latn-ME"/>
        </w:rPr>
        <w:t xml:space="preserve"> </w:t>
      </w:r>
    </w:p>
    <w:p w14:paraId="2EFF8B06" w14:textId="77777777" w:rsidR="00CD52E9" w:rsidRPr="00AB15C7" w:rsidRDefault="00CD52E9" w:rsidP="00557C13">
      <w:pPr>
        <w:numPr>
          <w:ilvl w:val="0"/>
          <w:numId w:val="6"/>
        </w:numPr>
        <w:spacing w:after="0"/>
        <w:ind w:left="284" w:firstLine="0"/>
        <w:contextualSpacing/>
        <w:jc w:val="both"/>
        <w:rPr>
          <w:rFonts w:ascii="Cambria" w:hAnsi="Cambria"/>
          <w:noProof/>
          <w:lang w:val="sr-Latn-ME"/>
        </w:rPr>
      </w:pPr>
      <w:r w:rsidRPr="00AB15C7">
        <w:rPr>
          <w:rFonts w:ascii="Cambria" w:hAnsi="Cambria"/>
          <w:noProof/>
          <w:lang w:val="sr-Latn-ME"/>
        </w:rPr>
        <w:t xml:space="preserve">Uputstvo za čišćenje ambalaže SZB (trostruko ispiranje) </w:t>
      </w:r>
      <w:r w:rsidRPr="00AB15C7">
        <w:rPr>
          <w:rStyle w:val="FootnoteReference"/>
          <w:rFonts w:ascii="Cambria" w:hAnsi="Cambria"/>
          <w:noProof/>
          <w:lang w:val="sr-Latn-ME"/>
        </w:rPr>
        <w:footnoteReference w:id="56"/>
      </w:r>
      <w:r w:rsidRPr="00AB15C7">
        <w:rPr>
          <w:rFonts w:ascii="Cambria" w:hAnsi="Cambria"/>
          <w:noProof/>
          <w:lang w:val="sr-Latn-ME"/>
        </w:rPr>
        <w:t xml:space="preserve"> </w:t>
      </w:r>
    </w:p>
    <w:p w14:paraId="1C853654" w14:textId="77777777" w:rsidR="00CD52E9" w:rsidRPr="00AB15C7" w:rsidRDefault="00CD52E9" w:rsidP="00557C13">
      <w:pPr>
        <w:numPr>
          <w:ilvl w:val="0"/>
          <w:numId w:val="6"/>
        </w:numPr>
        <w:spacing w:after="0"/>
        <w:ind w:left="284" w:firstLine="0"/>
        <w:contextualSpacing/>
        <w:jc w:val="both"/>
        <w:rPr>
          <w:rFonts w:ascii="Cambria" w:hAnsi="Cambria"/>
          <w:noProof/>
          <w:lang w:val="sr-Latn-ME"/>
        </w:rPr>
      </w:pPr>
      <w:r w:rsidRPr="00AB15C7">
        <w:rPr>
          <w:rFonts w:ascii="Cambria" w:hAnsi="Cambria"/>
          <w:noProof/>
          <w:lang w:val="sr-Latn-ME"/>
        </w:rPr>
        <w:t>Pčele i pesticidi</w:t>
      </w:r>
      <w:r w:rsidRPr="00AB15C7">
        <w:rPr>
          <w:rStyle w:val="FootnoteReference"/>
          <w:rFonts w:ascii="Cambria" w:hAnsi="Cambria"/>
          <w:noProof/>
          <w:lang w:val="sr-Latn-ME"/>
        </w:rPr>
        <w:footnoteReference w:id="57"/>
      </w:r>
      <w:r w:rsidRPr="00AB15C7">
        <w:rPr>
          <w:rFonts w:ascii="Cambria" w:hAnsi="Cambria"/>
          <w:noProof/>
          <w:lang w:val="sr-Latn-ME"/>
        </w:rPr>
        <w:t xml:space="preserve"> </w:t>
      </w:r>
    </w:p>
    <w:p w14:paraId="3D82037E" w14:textId="77777777" w:rsidR="00CD52E9" w:rsidRPr="00AB15C7" w:rsidRDefault="00CD52E9" w:rsidP="00557C13">
      <w:pPr>
        <w:numPr>
          <w:ilvl w:val="0"/>
          <w:numId w:val="6"/>
        </w:numPr>
        <w:spacing w:after="0"/>
        <w:ind w:left="284" w:firstLine="0"/>
        <w:contextualSpacing/>
        <w:jc w:val="both"/>
        <w:rPr>
          <w:rFonts w:ascii="Cambria" w:hAnsi="Cambria"/>
          <w:noProof/>
          <w:lang w:val="sr-Latn-ME"/>
        </w:rPr>
      </w:pPr>
      <w:r w:rsidRPr="00AB15C7">
        <w:rPr>
          <w:rFonts w:ascii="Cambria" w:hAnsi="Cambria"/>
          <w:noProof/>
          <w:lang w:val="sr-Latn-ME"/>
        </w:rPr>
        <w:t>Ne krivotvorenim i ilegalnim pesticidima</w:t>
      </w:r>
      <w:r w:rsidRPr="00AB15C7">
        <w:rPr>
          <w:rStyle w:val="FootnoteReference"/>
          <w:rFonts w:ascii="Cambria" w:hAnsi="Cambria"/>
          <w:noProof/>
          <w:lang w:val="sr-Latn-ME"/>
        </w:rPr>
        <w:footnoteReference w:id="58"/>
      </w:r>
      <w:r w:rsidRPr="00AB15C7">
        <w:rPr>
          <w:rFonts w:ascii="Cambria" w:hAnsi="Cambria"/>
          <w:noProof/>
          <w:lang w:val="sr-Latn-ME"/>
        </w:rPr>
        <w:t xml:space="preserve"> </w:t>
      </w:r>
    </w:p>
    <w:p w14:paraId="3FCCBD7C" w14:textId="77777777" w:rsidR="00CD52E9" w:rsidRPr="00AB15C7" w:rsidRDefault="00CD52E9" w:rsidP="00557C13">
      <w:pPr>
        <w:numPr>
          <w:ilvl w:val="0"/>
          <w:numId w:val="6"/>
        </w:numPr>
        <w:ind w:left="288" w:firstLine="0"/>
        <w:jc w:val="both"/>
        <w:rPr>
          <w:rFonts w:ascii="Cambria" w:hAnsi="Cambria" w:cs="Arial"/>
          <w:noProof/>
          <w:lang w:val="sr-Latn-CS"/>
        </w:rPr>
      </w:pPr>
      <w:r w:rsidRPr="00AB15C7">
        <w:rPr>
          <w:rFonts w:ascii="Cambria" w:hAnsi="Cambria" w:cs="Arial"/>
          <w:noProof/>
          <w:lang w:val="sr-Latn-CS"/>
        </w:rPr>
        <w:t xml:space="preserve">Sredstva za zaštitu bilja i bezbjednost </w:t>
      </w:r>
      <w:r w:rsidRPr="00AB15C7">
        <w:rPr>
          <w:rStyle w:val="FootnoteReference"/>
          <w:rFonts w:ascii="Cambria" w:hAnsi="Cambria" w:cs="Arial"/>
          <w:noProof/>
          <w:lang w:val="sr-Latn-CS"/>
        </w:rPr>
        <w:footnoteReference w:id="59"/>
      </w:r>
      <w:r w:rsidRPr="00AB15C7">
        <w:rPr>
          <w:rFonts w:ascii="Cambria" w:hAnsi="Cambria" w:cs="Arial"/>
          <w:noProof/>
          <w:lang w:val="sr-Latn-CS"/>
        </w:rPr>
        <w:t xml:space="preserve"> </w:t>
      </w:r>
    </w:p>
    <w:p w14:paraId="5FB62DFA" w14:textId="77777777" w:rsidR="00C96A78" w:rsidRPr="00AB15C7" w:rsidRDefault="00C96A78" w:rsidP="005921EF">
      <w:pPr>
        <w:jc w:val="both"/>
        <w:rPr>
          <w:rFonts w:ascii="Cambria" w:hAnsi="Cambria"/>
          <w:noProof/>
          <w:lang w:val="sr-Latn-ME"/>
        </w:rPr>
      </w:pPr>
      <w:r w:rsidRPr="00AB15C7">
        <w:rPr>
          <w:rFonts w:ascii="Cambria" w:hAnsi="Cambria"/>
          <w:noProof/>
          <w:lang w:val="sr-Latn-ME"/>
        </w:rPr>
        <w:t>Pored toga</w:t>
      </w:r>
      <w:r w:rsidR="00CC34B2" w:rsidRPr="00AB15C7">
        <w:rPr>
          <w:rFonts w:ascii="Cambria" w:hAnsi="Cambria"/>
          <w:noProof/>
          <w:lang w:val="sr-Latn-ME"/>
        </w:rPr>
        <w:t xml:space="preserve">, </w:t>
      </w:r>
      <w:r w:rsidRPr="00AB15C7">
        <w:rPr>
          <w:rFonts w:ascii="Cambria" w:hAnsi="Cambria"/>
          <w:noProof/>
          <w:lang w:val="sr-Latn-ME"/>
        </w:rPr>
        <w:t>za predstavnike UBHVFP</w:t>
      </w:r>
      <w:r w:rsidR="00CC34B2" w:rsidRPr="00AB15C7">
        <w:rPr>
          <w:rFonts w:ascii="Cambria" w:hAnsi="Cambria"/>
          <w:noProof/>
          <w:lang w:val="sr-Latn-ME"/>
        </w:rPr>
        <w:t xml:space="preserve">, savjetodavne službe, predstavnike ovlašćenih institucija za obuke distributera i korisnika sredstava za zaštitu bilja, u sklopu TAIEX programa </w:t>
      </w:r>
      <w:r w:rsidRPr="00AB15C7">
        <w:rPr>
          <w:rFonts w:ascii="Cambria" w:hAnsi="Cambria"/>
          <w:noProof/>
          <w:lang w:val="sr-Latn-ME"/>
        </w:rPr>
        <w:t>sprovedena je Obuka na temu: „Jačanje kapaciteta za vršenje obuka u okviru održive upotrebe pesticida“</w:t>
      </w:r>
      <w:r w:rsidR="007401D9" w:rsidRPr="00AB15C7">
        <w:rPr>
          <w:rFonts w:ascii="Cambria" w:hAnsi="Cambria"/>
          <w:noProof/>
          <w:lang w:val="sr-Latn-ME"/>
        </w:rPr>
        <w:t xml:space="preserve"> </w:t>
      </w:r>
      <w:r w:rsidR="00CC34B2" w:rsidRPr="00AB15C7">
        <w:rPr>
          <w:rFonts w:ascii="Cambria" w:hAnsi="Cambria"/>
          <w:noProof/>
          <w:lang w:val="sr-Latn-ME"/>
        </w:rPr>
        <w:t xml:space="preserve">na kojoj su </w:t>
      </w:r>
      <w:r w:rsidRPr="00AB15C7">
        <w:rPr>
          <w:rFonts w:ascii="Cambria" w:hAnsi="Cambria"/>
          <w:noProof/>
          <w:lang w:val="sr-Latn-ME"/>
        </w:rPr>
        <w:t xml:space="preserve"> italijanski i španski eksperti prenijeli su iskustva u sprovođenju programa treninga i obuke poljoprivrednih proizvođača, distributera pesticida i savjetnika u biljnoj proizvodnji.</w:t>
      </w:r>
      <w:r w:rsidR="00CC34B2" w:rsidRPr="00AB15C7">
        <w:rPr>
          <w:rFonts w:ascii="Cambria" w:hAnsi="Cambria"/>
          <w:noProof/>
          <w:vertAlign w:val="superscript"/>
        </w:rPr>
        <w:footnoteReference w:id="60"/>
      </w:r>
    </w:p>
    <w:p w14:paraId="22A0140F" w14:textId="77777777" w:rsidR="00BA24C7" w:rsidRPr="00AB15C7" w:rsidRDefault="00BA24C7" w:rsidP="00557C13">
      <w:pPr>
        <w:pStyle w:val="Heading1"/>
        <w:numPr>
          <w:ilvl w:val="1"/>
          <w:numId w:val="33"/>
        </w:numPr>
        <w:spacing w:before="0"/>
        <w:rPr>
          <w:noProof/>
          <w:sz w:val="22"/>
          <w:szCs w:val="22"/>
          <w:lang w:val="en-US"/>
        </w:rPr>
      </w:pPr>
      <w:bookmarkStart w:id="125" w:name="_Toc527227132"/>
      <w:bookmarkStart w:id="126" w:name="_Toc527353228"/>
      <w:bookmarkEnd w:id="125"/>
      <w:r w:rsidRPr="00AB15C7">
        <w:rPr>
          <w:noProof/>
          <w:sz w:val="22"/>
          <w:szCs w:val="22"/>
          <w:lang w:val="en-US"/>
        </w:rPr>
        <w:t>MEĐUNARODNI SPORAZUMI U VEZI SA UPRAVLJANJEM HEMIKALIJAMA</w:t>
      </w:r>
      <w:bookmarkEnd w:id="126"/>
    </w:p>
    <w:p w14:paraId="0619EA69" w14:textId="77777777" w:rsidR="000C3C5C" w:rsidRDefault="000C3C5C" w:rsidP="005921EF">
      <w:pPr>
        <w:pBdr>
          <w:top w:val="nil"/>
          <w:left w:val="nil"/>
          <w:bottom w:val="nil"/>
          <w:right w:val="nil"/>
          <w:between w:val="nil"/>
          <w:bar w:val="nil"/>
        </w:pBdr>
        <w:spacing w:after="0"/>
        <w:jc w:val="both"/>
        <w:rPr>
          <w:rFonts w:ascii="Cambria" w:hAnsi="Cambria"/>
          <w:noProof/>
          <w:lang w:eastAsia="x-none"/>
        </w:rPr>
      </w:pPr>
    </w:p>
    <w:p w14:paraId="730C279C" w14:textId="151C9F5A" w:rsidR="00DC4B9D" w:rsidRPr="00AB15C7" w:rsidRDefault="00E20433" w:rsidP="005921EF">
      <w:pPr>
        <w:pBdr>
          <w:top w:val="nil"/>
          <w:left w:val="nil"/>
          <w:bottom w:val="nil"/>
          <w:right w:val="nil"/>
          <w:between w:val="nil"/>
          <w:bar w:val="nil"/>
        </w:pBdr>
        <w:spacing w:after="0"/>
        <w:jc w:val="both"/>
        <w:rPr>
          <w:rFonts w:ascii="Cambria" w:eastAsia="Arial Unicode MS" w:hAnsi="Cambria" w:cs="Calibri"/>
          <w:noProof/>
          <w:color w:val="000000"/>
          <w:bdr w:val="nil"/>
        </w:rPr>
      </w:pPr>
      <w:r w:rsidRPr="00AB15C7">
        <w:rPr>
          <w:rFonts w:ascii="Cambria" w:eastAsia="Arial Unicode MS" w:hAnsi="Cambria" w:cs="Calibri"/>
          <w:noProof/>
          <w:color w:val="000000"/>
          <w:bdr w:val="nil"/>
        </w:rPr>
        <w:t xml:space="preserve">Od obnavljanja nezavisnosti 2006. godine, Crna Gora pristupila je glavnim međunarodnim forumima za zaštitu životne sredine, uspostavila institucije za zaštitu životne sredine i usvojila savremene zakonske norme u ovoj oblasti. Crna Gora pristupila je određenom broju multilateralnih sporazuma (konvencija) </w:t>
      </w:r>
      <w:r w:rsidR="00DC4B9D" w:rsidRPr="00AB15C7">
        <w:rPr>
          <w:rFonts w:ascii="Cambria" w:eastAsia="Arial Unicode MS" w:hAnsi="Cambria" w:cs="Calibri"/>
          <w:noProof/>
          <w:color w:val="000000"/>
          <w:bdr w:val="nil"/>
        </w:rPr>
        <w:t>iz oblasti</w:t>
      </w:r>
      <w:r w:rsidRPr="00AB15C7">
        <w:rPr>
          <w:rFonts w:ascii="Cambria" w:eastAsia="Arial Unicode MS" w:hAnsi="Cambria" w:cs="Calibri"/>
          <w:noProof/>
          <w:color w:val="000000"/>
          <w:bdr w:val="nil"/>
        </w:rPr>
        <w:t xml:space="preserve"> zaštiti životne sredine usvajanjem instrumenata sukcesije ili postupkom pristupanja odnosno ratifikacije.</w:t>
      </w:r>
      <w:r w:rsidRPr="00AB15C7">
        <w:rPr>
          <w:rFonts w:ascii="Cambria" w:eastAsia="Arial Unicode MS" w:hAnsi="Cambria" w:cs="Calibri"/>
          <w:noProof/>
          <w:color w:val="000000"/>
          <w:bdr w:val="nil"/>
          <w:vertAlign w:val="superscript"/>
        </w:rPr>
        <w:footnoteReference w:id="61"/>
      </w:r>
      <w:r w:rsidRPr="00AB15C7">
        <w:rPr>
          <w:rFonts w:ascii="Cambria" w:eastAsia="Arial Unicode MS" w:hAnsi="Cambria" w:cs="Calibri"/>
          <w:noProof/>
          <w:color w:val="000000"/>
          <w:bdr w:val="nil"/>
        </w:rPr>
        <w:t xml:space="preserve"> </w:t>
      </w:r>
      <w:r w:rsidR="00643962" w:rsidRPr="00AB15C7">
        <w:rPr>
          <w:rFonts w:ascii="Cambria" w:eastAsia="Arial Unicode MS" w:hAnsi="Cambria" w:cs="Calibri"/>
          <w:noProof/>
          <w:color w:val="000000"/>
          <w:bdr w:val="nil"/>
        </w:rPr>
        <w:t>Za izvršavanje svih obaveza koje proi</w:t>
      </w:r>
      <w:r w:rsidR="009B6E34" w:rsidRPr="00AB15C7">
        <w:rPr>
          <w:rFonts w:ascii="Cambria" w:eastAsia="Arial Unicode MS" w:hAnsi="Cambria" w:cs="Calibri"/>
          <w:noProof/>
          <w:color w:val="000000"/>
          <w:bdr w:val="nil"/>
        </w:rPr>
        <w:t>s</w:t>
      </w:r>
      <w:r w:rsidR="00643962" w:rsidRPr="00AB15C7">
        <w:rPr>
          <w:rFonts w:ascii="Cambria" w:eastAsia="Arial Unicode MS" w:hAnsi="Cambria" w:cs="Calibri"/>
          <w:noProof/>
          <w:color w:val="000000"/>
          <w:bdr w:val="nil"/>
        </w:rPr>
        <w:t xml:space="preserve">tiču iz </w:t>
      </w:r>
      <w:r w:rsidR="009B6E34" w:rsidRPr="00AB15C7">
        <w:rPr>
          <w:rFonts w:ascii="Cambria" w:eastAsia="Arial Unicode MS" w:hAnsi="Cambria" w:cs="Calibri"/>
          <w:noProof/>
          <w:color w:val="000000"/>
          <w:bdr w:val="nil"/>
        </w:rPr>
        <w:t>ovih multilateralnih sporazuma direktno je nadležno MORT uz koordinaciju sa Ministarstvom vanjskih poslova.</w:t>
      </w:r>
    </w:p>
    <w:p w14:paraId="345887AE" w14:textId="77777777" w:rsidR="00DC4B9D" w:rsidRPr="00AB15C7" w:rsidRDefault="00DC4B9D" w:rsidP="005921EF">
      <w:pPr>
        <w:pBdr>
          <w:top w:val="nil"/>
          <w:left w:val="nil"/>
          <w:bottom w:val="nil"/>
          <w:right w:val="nil"/>
          <w:between w:val="nil"/>
          <w:bar w:val="nil"/>
        </w:pBdr>
        <w:spacing w:after="0"/>
        <w:jc w:val="both"/>
        <w:rPr>
          <w:rFonts w:ascii="Cambria" w:eastAsia="Arial Unicode MS" w:hAnsi="Cambria" w:cs="Calibri"/>
          <w:noProof/>
          <w:color w:val="000000"/>
          <w:bdr w:val="nil"/>
        </w:rPr>
      </w:pPr>
    </w:p>
    <w:p w14:paraId="4359E95D" w14:textId="77777777" w:rsidR="00DC4B9D" w:rsidRPr="00AB15C7" w:rsidRDefault="00E20433" w:rsidP="005921EF">
      <w:pPr>
        <w:pBdr>
          <w:top w:val="nil"/>
          <w:left w:val="nil"/>
          <w:bottom w:val="nil"/>
          <w:right w:val="nil"/>
          <w:between w:val="nil"/>
          <w:bar w:val="nil"/>
        </w:pBdr>
        <w:spacing w:after="0"/>
        <w:jc w:val="both"/>
        <w:rPr>
          <w:rFonts w:ascii="Cambria" w:hAnsi="Cambria"/>
          <w:noProof/>
          <w:lang w:eastAsia="x-none"/>
        </w:rPr>
      </w:pPr>
      <w:r w:rsidRPr="00AB15C7">
        <w:rPr>
          <w:rFonts w:ascii="Cambria" w:hAnsi="Cambria"/>
          <w:noProof/>
          <w:lang w:eastAsia="x-none"/>
        </w:rPr>
        <w:t xml:space="preserve">U </w:t>
      </w:r>
      <w:r w:rsidR="00DC4B9D" w:rsidRPr="00AB15C7">
        <w:rPr>
          <w:rFonts w:ascii="Cambria" w:hAnsi="Cambria"/>
          <w:noProof/>
          <w:lang w:eastAsia="x-none"/>
        </w:rPr>
        <w:t xml:space="preserve">direktnoj </w:t>
      </w:r>
      <w:r w:rsidRPr="00AB15C7">
        <w:rPr>
          <w:rFonts w:ascii="Cambria" w:hAnsi="Cambria"/>
          <w:noProof/>
          <w:lang w:eastAsia="x-none"/>
        </w:rPr>
        <w:t>vezi sa upravljanjem hemikalijama Crna Gora je potpisnica: Roterdamske konvencije, Stokholmske konvencije, kao i Minamata konvencije.</w:t>
      </w:r>
      <w:r w:rsidR="00DC4B9D" w:rsidRPr="00AB15C7">
        <w:rPr>
          <w:rFonts w:ascii="Cambria" w:hAnsi="Cambria"/>
          <w:noProof/>
          <w:lang w:eastAsia="x-none"/>
        </w:rPr>
        <w:t xml:space="preserve"> Ove konvencije regulišu slijedeće goruće izazove na medjunarodnom nivou:</w:t>
      </w:r>
    </w:p>
    <w:p w14:paraId="6B5A75BD" w14:textId="77777777" w:rsidR="00DC4B9D" w:rsidRPr="00AB15C7" w:rsidRDefault="00DC4B9D" w:rsidP="00557C13">
      <w:pPr>
        <w:numPr>
          <w:ilvl w:val="0"/>
          <w:numId w:val="20"/>
        </w:numPr>
        <w:spacing w:before="60" w:after="60"/>
        <w:ind w:left="360" w:hanging="270"/>
        <w:jc w:val="both"/>
        <w:rPr>
          <w:rFonts w:ascii="Cambria" w:hAnsi="Cambria"/>
          <w:noProof/>
          <w:lang w:eastAsia="x-none"/>
        </w:rPr>
      </w:pPr>
      <w:r w:rsidRPr="00AB15C7">
        <w:rPr>
          <w:rFonts w:ascii="Cambria" w:hAnsi="Cambria"/>
          <w:b/>
          <w:noProof/>
          <w:lang w:eastAsia="x-none"/>
        </w:rPr>
        <w:t xml:space="preserve">Roterdamska konvencija </w:t>
      </w:r>
      <w:r w:rsidRPr="00AB15C7">
        <w:rPr>
          <w:rFonts w:ascii="Cambria" w:hAnsi="Cambria"/>
          <w:noProof/>
          <w:lang w:eastAsia="x-none"/>
        </w:rPr>
        <w:t>o postupku davanja saglasnosti na osnovu prethodnog obavještavanja za određene opasne hemikalije i pesticide u međunarodnoj trgovini ima za cilj  podijelu odgovornosti i saradnju između strana ugovornica na polju međunarodne trgovine određenim opasnim hemikalijama da bi se zaštitilo zdravlje ljudi i životna sredina od potencijalne štete i da bi se doprinijelo korišćenju tih hemikalija na način koji je prihvatljiv za životnu sredinu i to lakšim protokom informacija o njihovim karakteristikama, starajući se o procesu donošenja odluka na nacionalnom planu o uvozu i izvozu i prenošenju ovih odluka drugim zemljama potpisnicama.</w:t>
      </w:r>
    </w:p>
    <w:p w14:paraId="0863D584" w14:textId="77777777" w:rsidR="00DC4B9D" w:rsidRPr="00AB15C7" w:rsidRDefault="00DC4B9D" w:rsidP="00557C13">
      <w:pPr>
        <w:numPr>
          <w:ilvl w:val="0"/>
          <w:numId w:val="20"/>
        </w:numPr>
        <w:spacing w:before="60" w:after="60"/>
        <w:ind w:left="360" w:hanging="270"/>
        <w:jc w:val="both"/>
        <w:rPr>
          <w:rFonts w:ascii="Cambria" w:hAnsi="Cambria"/>
          <w:noProof/>
          <w:lang w:eastAsia="x-none"/>
        </w:rPr>
      </w:pPr>
      <w:r w:rsidRPr="00AB15C7">
        <w:rPr>
          <w:rFonts w:ascii="Cambria" w:hAnsi="Cambria"/>
          <w:b/>
          <w:noProof/>
          <w:lang w:eastAsia="x-none"/>
        </w:rPr>
        <w:t>Stokholmska konvencija</w:t>
      </w:r>
      <w:r w:rsidRPr="00AB15C7">
        <w:rPr>
          <w:rFonts w:ascii="Cambria" w:hAnsi="Cambria"/>
          <w:noProof/>
          <w:lang w:eastAsia="x-none"/>
        </w:rPr>
        <w:t xml:space="preserve"> o dugotrajnim organskim zagađujućim supstancama propisuje ciljeve, principe i postupke i uslove koje svaka strana potpisnica Konvencije mora ispuniti kako bi se postiglo ukidanje proizvodnje, upotrebe, uvoz i izvoz POPs jedinjenja na globalnom nivou. Stokholmska konvencija je globalni sporazum o zaštiti zdravlja ljudi i životne sredine smanjenjem ili potpunom eliminacijom ispuštanja </w:t>
      </w:r>
      <w:r w:rsidR="00237FAE" w:rsidRPr="00237FAE">
        <w:rPr>
          <w:rFonts w:ascii="Cambria" w:hAnsi="Cambria"/>
          <w:noProof/>
          <w:lang w:eastAsia="x-none"/>
        </w:rPr>
        <w:t xml:space="preserve">POPs jedinjenja </w:t>
      </w:r>
      <w:r w:rsidRPr="00AB15C7">
        <w:rPr>
          <w:rFonts w:ascii="Cambria" w:hAnsi="Cambria"/>
          <w:noProof/>
          <w:lang w:eastAsia="x-none"/>
        </w:rPr>
        <w:t xml:space="preserve">u životnu sredinu. </w:t>
      </w:r>
      <w:r w:rsidR="008D188A">
        <w:rPr>
          <w:rFonts w:ascii="Cambria" w:hAnsi="Cambria"/>
          <w:noProof/>
          <w:lang w:eastAsia="x-none"/>
        </w:rPr>
        <w:t>Do 2009. godine</w:t>
      </w:r>
      <w:r w:rsidR="008D188A" w:rsidRPr="008D188A">
        <w:rPr>
          <w:rFonts w:ascii="Cambria" w:hAnsi="Cambria"/>
          <w:noProof/>
          <w:lang w:eastAsia="x-none"/>
        </w:rPr>
        <w:t xml:space="preserve"> </w:t>
      </w:r>
      <w:r w:rsidR="008D188A" w:rsidRPr="008D188A">
        <w:rPr>
          <w:rFonts w:ascii="Cambria" w:hAnsi="Cambria"/>
          <w:noProof/>
          <w:lang w:eastAsia="x-none"/>
        </w:rPr>
        <w:lastRenderedPageBreak/>
        <w:t>Stokholmska konvencija je obuhvatala 12 POPs hemikalija, ali je amandmanima na anekse Stokholmske konvencije</w:t>
      </w:r>
      <w:r w:rsidR="008D188A">
        <w:rPr>
          <w:rFonts w:ascii="Cambria" w:hAnsi="Cambria"/>
          <w:noProof/>
          <w:lang w:eastAsia="x-none"/>
        </w:rPr>
        <w:t xml:space="preserve">, </w:t>
      </w:r>
      <w:r w:rsidR="008D188A" w:rsidRPr="008D188A">
        <w:rPr>
          <w:rFonts w:ascii="Cambria" w:hAnsi="Cambria"/>
          <w:noProof/>
          <w:lang w:eastAsia="x-none"/>
        </w:rPr>
        <w:t>do 2018. godine,  ovaj broj proširen za 16 novih POPs hemikalija (</w:t>
      </w:r>
      <w:r w:rsidR="008D188A">
        <w:rPr>
          <w:rFonts w:ascii="Cambria" w:hAnsi="Cambria"/>
          <w:noProof/>
          <w:lang w:eastAsia="x-none"/>
        </w:rPr>
        <w:t xml:space="preserve">videti </w:t>
      </w:r>
      <w:r w:rsidR="008D188A" w:rsidRPr="008D188A">
        <w:rPr>
          <w:rFonts w:ascii="Cambria" w:hAnsi="Cambria"/>
          <w:noProof/>
          <w:lang w:eastAsia="x-none"/>
        </w:rPr>
        <w:t>tabe</w:t>
      </w:r>
      <w:r w:rsidR="008D188A">
        <w:rPr>
          <w:rFonts w:ascii="Cambria" w:hAnsi="Cambria"/>
          <w:noProof/>
          <w:lang w:eastAsia="x-none"/>
        </w:rPr>
        <w:t>lu</w:t>
      </w:r>
      <w:r w:rsidR="008D188A" w:rsidRPr="008D188A">
        <w:rPr>
          <w:rFonts w:ascii="Cambria" w:hAnsi="Cambria"/>
          <w:noProof/>
          <w:lang w:eastAsia="x-none"/>
        </w:rPr>
        <w:t xml:space="preserve"> 17.), od kojih neke spadaju u više grupa POPs (POPs pesticidi, industrijske i/ili nenamjerno proizvedene POPs hemikalije).</w:t>
      </w:r>
    </w:p>
    <w:p w14:paraId="7902D42F" w14:textId="53F7AC30" w:rsidR="00DC4B9D" w:rsidRPr="00AB15C7" w:rsidRDefault="00DC4B9D" w:rsidP="00557C13">
      <w:pPr>
        <w:numPr>
          <w:ilvl w:val="0"/>
          <w:numId w:val="20"/>
        </w:numPr>
        <w:spacing w:before="60"/>
        <w:ind w:left="360" w:hanging="270"/>
        <w:jc w:val="both"/>
        <w:rPr>
          <w:rFonts w:ascii="Cambria" w:hAnsi="Cambria"/>
          <w:noProof/>
          <w:lang w:eastAsia="x-none"/>
        </w:rPr>
      </w:pPr>
      <w:r w:rsidRPr="00AB15C7">
        <w:rPr>
          <w:rFonts w:ascii="Cambria" w:hAnsi="Cambria"/>
          <w:b/>
          <w:noProof/>
          <w:lang w:eastAsia="x-none"/>
        </w:rPr>
        <w:t>Minamata konvencij</w:t>
      </w:r>
      <w:r w:rsidR="00103DDF" w:rsidRPr="00AB15C7">
        <w:rPr>
          <w:rFonts w:ascii="Cambria" w:hAnsi="Cambria"/>
          <w:b/>
          <w:noProof/>
          <w:lang w:eastAsia="x-none"/>
        </w:rPr>
        <w:t>a</w:t>
      </w:r>
      <w:r w:rsidRPr="00AB15C7">
        <w:rPr>
          <w:rFonts w:ascii="Cambria" w:hAnsi="Cambria"/>
          <w:noProof/>
          <w:lang w:eastAsia="x-none"/>
        </w:rPr>
        <w:t xml:space="preserve"> o živi ima za cilj </w:t>
      </w:r>
      <w:r w:rsidR="00CC7331" w:rsidRPr="00AB15C7">
        <w:rPr>
          <w:rFonts w:ascii="Cambria" w:hAnsi="Cambria"/>
          <w:noProof/>
          <w:lang w:eastAsia="x-none"/>
        </w:rPr>
        <w:t>da</w:t>
      </w:r>
      <w:r w:rsidRPr="00AB15C7">
        <w:rPr>
          <w:rFonts w:ascii="Cambria" w:hAnsi="Cambria"/>
          <w:noProof/>
          <w:lang w:eastAsia="x-none"/>
        </w:rPr>
        <w:t xml:space="preserve"> spriječ</w:t>
      </w:r>
      <w:r w:rsidR="00CC7331" w:rsidRPr="00AB15C7">
        <w:rPr>
          <w:rFonts w:ascii="Cambria" w:hAnsi="Cambria"/>
          <w:noProof/>
          <w:lang w:eastAsia="x-none"/>
        </w:rPr>
        <w:t>i</w:t>
      </w:r>
      <w:r w:rsidRPr="00AB15C7">
        <w:rPr>
          <w:rFonts w:ascii="Cambria" w:hAnsi="Cambria"/>
          <w:noProof/>
          <w:lang w:eastAsia="x-none"/>
        </w:rPr>
        <w:t xml:space="preserve"> globalno zagađenj</w:t>
      </w:r>
      <w:r w:rsidR="00CC7331" w:rsidRPr="00AB15C7">
        <w:rPr>
          <w:rFonts w:ascii="Cambria" w:hAnsi="Cambria"/>
          <w:noProof/>
          <w:lang w:eastAsia="x-none"/>
        </w:rPr>
        <w:t>e</w:t>
      </w:r>
      <w:r w:rsidRPr="00AB15C7">
        <w:rPr>
          <w:rFonts w:ascii="Cambria" w:hAnsi="Cambria"/>
          <w:noProof/>
          <w:lang w:eastAsia="x-none"/>
        </w:rPr>
        <w:t xml:space="preserve"> živom. Konvencija pokriva sve aspekte "životnog ciklusa" žive i, ako se bude adekvatno sprovodila, imaće globalne efekte, s obzirom da zagađenje živom prelazi velike razdaljine vazduhom. Implementacijom Konvencije trebalo bi da dođe do zaštite zdravlja ljudi i životne sredine od antropogenih emisija i ispuštanja žive i jedinjena žive. Konvencijom je, između ostalog, predviđena zabrana proizvodnje, uvoza i izvoza proizvoda datih u Aneksu A dio I nakon 2020 (barometri, manometri, termometri...), dok su u Dijelu II Aneksa A date mjere koje je potrebno preduzeti za dentalni amalgam (uspostaviti nacionalne ciljeve usmjerene ka minimizaciji upotrebe dentalnih amalgama, promovisanje upotrebe alternativa...). Konvencija, takođe, reguliše i pitanja skladištenja žive i otpada. Konvencija podstiče zemlje da izrade strategije u cilju procjene prioriteta, upravljanja i po potrebi sanaciju kontaminiranih lokacija. </w:t>
      </w:r>
      <w:r w:rsidR="00FC004B" w:rsidRPr="00AB15C7">
        <w:rPr>
          <w:rFonts w:ascii="Cambria" w:hAnsi="Cambria"/>
          <w:noProof/>
          <w:lang w:eastAsia="x-none"/>
        </w:rPr>
        <w:t xml:space="preserve">Crna Gora je država potpisnica Minamata konvencije o živi od 24.09.2014. U cilju jačanja nacionalnih kapaciteta i pripreme za ratifikaciju i implementaciju Konvencije, preko GEF-a, obezbijeđena su sredstva za realizaciju projekta „Minamata inicijalna procjena za Crnu Goru”.  </w:t>
      </w:r>
      <w:r w:rsidR="000C3C5C">
        <w:rPr>
          <w:rFonts w:ascii="Cambria" w:hAnsi="Cambria"/>
          <w:noProof/>
          <w:lang w:eastAsia="x-none"/>
        </w:rPr>
        <w:t>R</w:t>
      </w:r>
      <w:r w:rsidR="00FC004B" w:rsidRPr="00AB15C7">
        <w:rPr>
          <w:rFonts w:ascii="Cambria" w:hAnsi="Cambria"/>
          <w:noProof/>
          <w:lang w:eastAsia="x-none"/>
        </w:rPr>
        <w:t>atifikacija Minamata konvencije o živi</w:t>
      </w:r>
      <w:r w:rsidR="000C3C5C">
        <w:rPr>
          <w:rFonts w:ascii="Cambria" w:hAnsi="Cambria"/>
          <w:noProof/>
          <w:lang w:eastAsia="x-none"/>
        </w:rPr>
        <w:t xml:space="preserve"> je u toku</w:t>
      </w:r>
      <w:r w:rsidR="00FC004B" w:rsidRPr="00AB15C7">
        <w:rPr>
          <w:rFonts w:ascii="Cambria" w:hAnsi="Cambria"/>
          <w:noProof/>
          <w:lang w:eastAsia="x-none"/>
        </w:rPr>
        <w:t>.</w:t>
      </w:r>
    </w:p>
    <w:p w14:paraId="7C9307DB" w14:textId="77777777" w:rsidR="00E20433" w:rsidRPr="00AB15C7" w:rsidRDefault="00DC4B9D" w:rsidP="005921EF">
      <w:pPr>
        <w:pBdr>
          <w:top w:val="nil"/>
          <w:left w:val="nil"/>
          <w:bottom w:val="nil"/>
          <w:right w:val="nil"/>
          <w:between w:val="nil"/>
          <w:bar w:val="nil"/>
        </w:pBdr>
        <w:spacing w:after="0"/>
        <w:jc w:val="both"/>
        <w:rPr>
          <w:rFonts w:ascii="Cambria" w:eastAsia="Arial Unicode MS" w:hAnsi="Cambria" w:cs="Calibri"/>
          <w:noProof/>
          <w:color w:val="000000"/>
          <w:bdr w:val="nil"/>
        </w:rPr>
      </w:pPr>
      <w:r w:rsidRPr="00AB15C7">
        <w:rPr>
          <w:rFonts w:ascii="Cambria" w:eastAsia="Arial Unicode MS" w:hAnsi="Cambria" w:cs="Calibri"/>
          <w:noProof/>
          <w:color w:val="000000"/>
          <w:bdr w:val="nil"/>
        </w:rPr>
        <w:t xml:space="preserve">Takođe, za upravljanje hemikalijama od značaja su </w:t>
      </w:r>
      <w:r w:rsidR="00CC7331" w:rsidRPr="00AB15C7">
        <w:rPr>
          <w:rFonts w:ascii="Cambria" w:eastAsia="Arial Unicode MS" w:hAnsi="Cambria" w:cs="Calibri"/>
          <w:noProof/>
          <w:color w:val="000000"/>
          <w:bdr w:val="nil"/>
        </w:rPr>
        <w:t>i</w:t>
      </w:r>
      <w:r w:rsidRPr="00AB15C7">
        <w:rPr>
          <w:rFonts w:ascii="Cambria" w:eastAsia="Arial Unicode MS" w:hAnsi="Cambria" w:cs="Calibri"/>
          <w:noProof/>
          <w:color w:val="000000"/>
          <w:bdr w:val="nil"/>
        </w:rPr>
        <w:t xml:space="preserve"> sledeće konvenc</w:t>
      </w:r>
      <w:r w:rsidR="00CC7331" w:rsidRPr="00AB15C7">
        <w:rPr>
          <w:rFonts w:ascii="Cambria" w:eastAsia="Arial Unicode MS" w:hAnsi="Cambria" w:cs="Calibri"/>
          <w:noProof/>
          <w:color w:val="000000"/>
          <w:bdr w:val="nil"/>
        </w:rPr>
        <w:t>i</w:t>
      </w:r>
      <w:r w:rsidRPr="00AB15C7">
        <w:rPr>
          <w:rFonts w:ascii="Cambria" w:eastAsia="Arial Unicode MS" w:hAnsi="Cambria" w:cs="Calibri"/>
          <w:noProof/>
          <w:color w:val="000000"/>
          <w:bdr w:val="nil"/>
        </w:rPr>
        <w:t>je koje su u direktnoj nadležnosti u drugih podsektora zaštite životne sredine među kojima treba posebno istaći</w:t>
      </w:r>
      <w:r w:rsidR="00E905AA" w:rsidRPr="00AB15C7">
        <w:rPr>
          <w:rFonts w:ascii="Cambria" w:eastAsia="Arial Unicode MS" w:hAnsi="Cambria" w:cs="Calibri"/>
          <w:noProof/>
          <w:color w:val="000000"/>
          <w:bdr w:val="nil"/>
        </w:rPr>
        <w:t xml:space="preserve"> sljedeće</w:t>
      </w:r>
      <w:r w:rsidR="00CC7331" w:rsidRPr="00AB15C7">
        <w:rPr>
          <w:rFonts w:ascii="Cambria" w:eastAsia="Arial Unicode MS" w:hAnsi="Cambria" w:cs="Calibri"/>
          <w:noProof/>
          <w:color w:val="000000"/>
          <w:bdr w:val="nil"/>
        </w:rPr>
        <w:t>:</w:t>
      </w:r>
    </w:p>
    <w:p w14:paraId="2FA15545" w14:textId="5573153E" w:rsidR="00103DDF" w:rsidRPr="00AB15C7" w:rsidRDefault="00CC7331" w:rsidP="00557C13">
      <w:pPr>
        <w:numPr>
          <w:ilvl w:val="0"/>
          <w:numId w:val="21"/>
        </w:numPr>
        <w:spacing w:before="60" w:after="60"/>
        <w:ind w:left="360" w:hanging="270"/>
        <w:jc w:val="both"/>
        <w:rPr>
          <w:rFonts w:ascii="Cambria" w:hAnsi="Cambria"/>
          <w:noProof/>
          <w:lang w:val="sr-Latn-CS" w:eastAsia="x-none"/>
        </w:rPr>
      </w:pPr>
      <w:r w:rsidRPr="00AB15C7">
        <w:rPr>
          <w:rFonts w:ascii="Cambria" w:hAnsi="Cambria"/>
          <w:b/>
          <w:noProof/>
          <w:lang w:eastAsia="x-none"/>
        </w:rPr>
        <w:t>Bazelsk</w:t>
      </w:r>
      <w:r w:rsidR="00E905AA" w:rsidRPr="00AB15C7">
        <w:rPr>
          <w:rFonts w:ascii="Cambria" w:hAnsi="Cambria"/>
          <w:b/>
          <w:noProof/>
          <w:lang w:eastAsia="x-none"/>
        </w:rPr>
        <w:t>a</w:t>
      </w:r>
      <w:r w:rsidRPr="00AB15C7">
        <w:rPr>
          <w:rFonts w:ascii="Cambria" w:hAnsi="Cambria"/>
          <w:b/>
          <w:noProof/>
          <w:lang w:eastAsia="x-none"/>
        </w:rPr>
        <w:t xml:space="preserve"> konvencij</w:t>
      </w:r>
      <w:r w:rsidR="00103DDF" w:rsidRPr="00AB15C7">
        <w:rPr>
          <w:rFonts w:ascii="Cambria" w:hAnsi="Cambria"/>
          <w:b/>
          <w:noProof/>
          <w:lang w:eastAsia="x-none"/>
        </w:rPr>
        <w:t>a</w:t>
      </w:r>
      <w:r w:rsidRPr="00AB15C7">
        <w:rPr>
          <w:rFonts w:ascii="Cambria" w:hAnsi="Cambria"/>
          <w:noProof/>
          <w:lang w:eastAsia="x-none"/>
        </w:rPr>
        <w:t xml:space="preserve"> o kontroli prekograničnog kretanja opasnih otpada i njihovom odlaganju </w:t>
      </w:r>
      <w:r w:rsidR="00103DDF" w:rsidRPr="00AB15C7">
        <w:rPr>
          <w:rFonts w:ascii="Cambria" w:hAnsi="Cambria"/>
          <w:noProof/>
          <w:lang w:eastAsia="x-none"/>
        </w:rPr>
        <w:t xml:space="preserve">koja </w:t>
      </w:r>
      <w:r w:rsidR="00103DDF" w:rsidRPr="00AB15C7">
        <w:rPr>
          <w:rFonts w:ascii="Cambria" w:hAnsi="Cambria"/>
          <w:noProof/>
          <w:lang w:val="sr-Latn-CS" w:eastAsia="x-none"/>
        </w:rPr>
        <w:t>tretira problematiku prekograničnog kretanja opasnog otpada kroz uspostavljanje međunarodnog sistema obav</w:t>
      </w:r>
      <w:r w:rsidR="006B7DAE">
        <w:rPr>
          <w:rFonts w:ascii="Cambria" w:hAnsi="Cambria"/>
          <w:noProof/>
          <w:lang w:val="sr-Latn-CS" w:eastAsia="x-none"/>
        </w:rPr>
        <w:t>j</w:t>
      </w:r>
      <w:r w:rsidR="00103DDF" w:rsidRPr="00AB15C7">
        <w:rPr>
          <w:rFonts w:ascii="Cambria" w:hAnsi="Cambria"/>
          <w:noProof/>
          <w:lang w:val="sr-Latn-CS" w:eastAsia="x-none"/>
        </w:rPr>
        <w:t>eštavanja i kontrole i obezb</w:t>
      </w:r>
      <w:r w:rsidR="00B4116A">
        <w:rPr>
          <w:rFonts w:ascii="Cambria" w:hAnsi="Cambria"/>
          <w:noProof/>
          <w:lang w:val="sr-Latn-CS" w:eastAsia="x-none"/>
        </w:rPr>
        <w:t>j</w:t>
      </w:r>
      <w:r w:rsidR="00103DDF" w:rsidRPr="00AB15C7">
        <w:rPr>
          <w:rFonts w:ascii="Cambria" w:hAnsi="Cambria"/>
          <w:noProof/>
          <w:lang w:val="sr-Latn-CS" w:eastAsia="x-none"/>
        </w:rPr>
        <w:t>eđuje da se opasnim otpadom upravlja na bezb</w:t>
      </w:r>
      <w:r w:rsidR="006B7DAE">
        <w:rPr>
          <w:rFonts w:ascii="Cambria" w:hAnsi="Cambria"/>
          <w:noProof/>
          <w:lang w:val="sr-Latn-CS" w:eastAsia="x-none"/>
        </w:rPr>
        <w:t>j</w:t>
      </w:r>
      <w:r w:rsidR="00103DDF" w:rsidRPr="00AB15C7">
        <w:rPr>
          <w:rFonts w:ascii="Cambria" w:hAnsi="Cambria"/>
          <w:noProof/>
          <w:lang w:val="sr-Latn-CS" w:eastAsia="x-none"/>
        </w:rPr>
        <w:t>edan način uz poštovanje principa zaštite životne sredine i spr</w:t>
      </w:r>
      <w:r w:rsidR="006B7DAE">
        <w:rPr>
          <w:rFonts w:ascii="Cambria" w:hAnsi="Cambria"/>
          <w:noProof/>
          <w:lang w:val="sr-Latn-CS" w:eastAsia="x-none"/>
        </w:rPr>
        <w:t>j</w:t>
      </w:r>
      <w:r w:rsidR="00103DDF" w:rsidRPr="00AB15C7">
        <w:rPr>
          <w:rFonts w:ascii="Cambria" w:hAnsi="Cambria"/>
          <w:noProof/>
          <w:lang w:val="sr-Latn-CS" w:eastAsia="x-none"/>
        </w:rPr>
        <w:t xml:space="preserve">ečavanje ilegalnog transporta opasnog otpada između država. </w:t>
      </w:r>
    </w:p>
    <w:p w14:paraId="5B510385" w14:textId="77777777" w:rsidR="00DC4B9D" w:rsidRPr="00AB15C7" w:rsidRDefault="00DC4B9D" w:rsidP="00557C13">
      <w:pPr>
        <w:numPr>
          <w:ilvl w:val="0"/>
          <w:numId w:val="21"/>
        </w:numPr>
        <w:spacing w:before="60" w:after="60"/>
        <w:ind w:left="360" w:hanging="270"/>
        <w:jc w:val="both"/>
        <w:rPr>
          <w:rFonts w:ascii="Cambria" w:hAnsi="Cambria"/>
          <w:noProof/>
          <w:lang w:eastAsia="x-none"/>
        </w:rPr>
      </w:pPr>
      <w:bookmarkStart w:id="127" w:name="_Hlk524301379"/>
      <w:r w:rsidRPr="007451BE">
        <w:rPr>
          <w:rFonts w:ascii="Cambria" w:hAnsi="Cambria"/>
          <w:b/>
          <w:noProof/>
          <w:lang w:eastAsia="x-none"/>
        </w:rPr>
        <w:t>Konvencija o prekograničnom zagađenju vazduha na velikim udaljenostima</w:t>
      </w:r>
      <w:r w:rsidR="00E905AA" w:rsidRPr="007451BE">
        <w:rPr>
          <w:rFonts w:ascii="Cambria" w:hAnsi="Cambria"/>
          <w:noProof/>
          <w:lang w:val="sr-Cyrl-RS" w:eastAsia="x-none"/>
        </w:rPr>
        <w:t xml:space="preserve"> </w:t>
      </w:r>
      <w:bookmarkEnd w:id="127"/>
      <w:r w:rsidR="00CC7331" w:rsidRPr="007451BE">
        <w:rPr>
          <w:rFonts w:ascii="Cambria" w:eastAsia="Arial Unicode MS" w:hAnsi="Cambria" w:cs="Calibri"/>
          <w:noProof/>
          <w:color w:val="000000"/>
          <w:bdr w:val="nil"/>
        </w:rPr>
        <w:t>(CLRTAP)</w:t>
      </w:r>
      <w:r w:rsidRPr="007451BE">
        <w:rPr>
          <w:rFonts w:ascii="Cambria" w:hAnsi="Cambria"/>
          <w:noProof/>
          <w:lang w:eastAsia="x-none"/>
        </w:rPr>
        <w:t xml:space="preserve"> sa pripadajućim Protokolima obuhvata najveće ekološk</w:t>
      </w:r>
      <w:r w:rsidR="007451BE" w:rsidRPr="007451BE">
        <w:rPr>
          <w:rFonts w:ascii="Cambria" w:hAnsi="Cambria"/>
          <w:noProof/>
          <w:lang w:eastAsia="x-none"/>
        </w:rPr>
        <w:t>e</w:t>
      </w:r>
      <w:r w:rsidRPr="007451BE">
        <w:rPr>
          <w:rFonts w:ascii="Cambria" w:hAnsi="Cambria"/>
          <w:noProof/>
          <w:lang w:eastAsia="x-none"/>
        </w:rPr>
        <w:t xml:space="preserve"> probleme u oblasti zaštite vazduha. Cilj Konvencije je da se u najvećoj mogućoj mjeri ograniči i postepeno smanji i spriječi zagađivanje vazduha, uključujući i prekogranični prenos zagađenja. Članice Konvencije dužne su da izrade planove i strategije za smanjenje zagađenja vazduha uz razmjenu informacija, konsultacije i monitoring. </w:t>
      </w:r>
      <w:r w:rsidR="007451BE" w:rsidRPr="007451BE">
        <w:rPr>
          <w:rFonts w:ascii="Cambria" w:hAnsi="Cambria"/>
          <w:noProof/>
          <w:lang w:eastAsia="x-none"/>
        </w:rPr>
        <w:t xml:space="preserve">U pogledu značaja za upravljanje hemikalijama </w:t>
      </w:r>
      <w:r w:rsidR="00F2672B">
        <w:rPr>
          <w:rFonts w:ascii="Cambria" w:hAnsi="Cambria"/>
          <w:noProof/>
          <w:lang w:eastAsia="x-none"/>
        </w:rPr>
        <w:t xml:space="preserve">posebno </w:t>
      </w:r>
      <w:r w:rsidR="007451BE" w:rsidRPr="007451BE">
        <w:rPr>
          <w:rFonts w:ascii="Cambria" w:hAnsi="Cambria"/>
          <w:noProof/>
          <w:lang w:eastAsia="x-none"/>
        </w:rPr>
        <w:t xml:space="preserve">treba istaći </w:t>
      </w:r>
      <w:r w:rsidR="007451BE" w:rsidRPr="00AB15C7">
        <w:rPr>
          <w:rFonts w:ascii="Cambria" w:hAnsi="Cambria"/>
          <w:noProof/>
          <w:lang w:eastAsia="x-none"/>
        </w:rPr>
        <w:t>Protokol o dugotrajnim organskim zagađujućim materijama(POPs Protokol)</w:t>
      </w:r>
      <w:r w:rsidR="00F2672B">
        <w:rPr>
          <w:rFonts w:ascii="Cambria" w:hAnsi="Cambria"/>
          <w:noProof/>
          <w:lang w:eastAsia="x-none"/>
        </w:rPr>
        <w:t xml:space="preserve">, kao </w:t>
      </w:r>
      <w:r w:rsidR="007451BE">
        <w:rPr>
          <w:rFonts w:ascii="Cambria" w:hAnsi="Cambria"/>
          <w:noProof/>
          <w:lang w:eastAsia="x-none"/>
        </w:rPr>
        <w:t>i P</w:t>
      </w:r>
      <w:r w:rsidRPr="007451BE">
        <w:rPr>
          <w:rFonts w:ascii="Cambria" w:hAnsi="Cambria"/>
          <w:noProof/>
          <w:lang w:eastAsia="x-none"/>
        </w:rPr>
        <w:t>rotokol o teškim metalima</w:t>
      </w:r>
      <w:r w:rsidR="007451BE">
        <w:rPr>
          <w:rFonts w:ascii="Cambria" w:hAnsi="Cambria"/>
          <w:noProof/>
          <w:lang w:eastAsia="x-none"/>
        </w:rPr>
        <w:t>.</w:t>
      </w:r>
    </w:p>
    <w:p w14:paraId="4E00DBC8" w14:textId="2AE77397" w:rsidR="00E905AA" w:rsidRPr="00AB15C7" w:rsidRDefault="00E905AA" w:rsidP="00557C13">
      <w:pPr>
        <w:numPr>
          <w:ilvl w:val="0"/>
          <w:numId w:val="21"/>
        </w:numPr>
        <w:spacing w:before="60" w:after="60"/>
        <w:ind w:left="360" w:hanging="270"/>
        <w:jc w:val="both"/>
        <w:rPr>
          <w:rFonts w:ascii="Cambria" w:hAnsi="Cambria"/>
          <w:noProof/>
          <w:lang w:val="sr-Latn-CS" w:eastAsia="x-none"/>
        </w:rPr>
      </w:pPr>
      <w:r w:rsidRPr="00AB15C7">
        <w:rPr>
          <w:rFonts w:ascii="Cambria" w:hAnsi="Cambria"/>
          <w:b/>
          <w:noProof/>
          <w:lang w:eastAsia="x-none"/>
        </w:rPr>
        <w:t>Аrhuska</w:t>
      </w:r>
      <w:r w:rsidRPr="00AB15C7">
        <w:rPr>
          <w:rFonts w:ascii="Cambria" w:hAnsi="Cambria"/>
          <w:b/>
          <w:noProof/>
          <w:lang w:val="sr-Latn-CS" w:eastAsia="x-none"/>
        </w:rPr>
        <w:t xml:space="preserve"> konvencija</w:t>
      </w:r>
      <w:r w:rsidRPr="00AB15C7">
        <w:rPr>
          <w:rFonts w:ascii="Cambria" w:hAnsi="Cambria"/>
          <w:noProof/>
          <w:lang w:val="sr-Latn-CS" w:eastAsia="x-none"/>
        </w:rPr>
        <w:t xml:space="preserve"> o pristupu informacijama, učešću javnosti u odlučivanju i pristupu pravdi u pitanjima životne sredine predstavlja jedan od najnaprednijih međunarodnih ugovora koji se tiču životne sredine, definiše pravac održivog razvoja i jača osnovne demokratske principe. Konvencija sadrži zaht</w:t>
      </w:r>
      <w:r w:rsidR="00A95211">
        <w:rPr>
          <w:rFonts w:ascii="Cambria" w:hAnsi="Cambria"/>
          <w:noProof/>
          <w:lang w:val="sr-Latn-CS" w:eastAsia="x-none"/>
        </w:rPr>
        <w:t>j</w:t>
      </w:r>
      <w:r w:rsidRPr="00AB15C7">
        <w:rPr>
          <w:rFonts w:ascii="Cambria" w:hAnsi="Cambria"/>
          <w:noProof/>
          <w:lang w:val="sr-Latn-CS" w:eastAsia="x-none"/>
        </w:rPr>
        <w:t>ev da se podacima vezanim za životnu sredinu upravlja na transparentan način i da se informacije učine dostupnim civilnom sektoru i predstavnicima svih relevantnih zainteresovanih strana, te da im se dozvoli da učestvuju u formulisanju politike i poštuje njihovo pravo na život u zdravoj životnoj sredini.</w:t>
      </w:r>
    </w:p>
    <w:p w14:paraId="11FC7907" w14:textId="5F95943D" w:rsidR="00643962" w:rsidRPr="00AB15C7" w:rsidRDefault="00643962" w:rsidP="00557C13">
      <w:pPr>
        <w:numPr>
          <w:ilvl w:val="0"/>
          <w:numId w:val="21"/>
        </w:numPr>
        <w:spacing w:before="60"/>
        <w:ind w:left="360" w:hanging="274"/>
        <w:jc w:val="both"/>
        <w:rPr>
          <w:rFonts w:ascii="Cambria" w:hAnsi="Cambria"/>
          <w:noProof/>
          <w:lang w:val="sr-Latn-CS" w:eastAsia="x-none"/>
        </w:rPr>
      </w:pPr>
      <w:r w:rsidRPr="00AB15C7">
        <w:rPr>
          <w:rFonts w:ascii="Cambria" w:hAnsi="Cambria"/>
          <w:b/>
          <w:noProof/>
          <w:lang w:val="sr-Latn-CS" w:eastAsia="x-none"/>
        </w:rPr>
        <w:t>Bečka konvencija</w:t>
      </w:r>
      <w:r w:rsidRPr="00AB15C7">
        <w:rPr>
          <w:rFonts w:ascii="Cambria" w:hAnsi="Cambria"/>
          <w:noProof/>
          <w:lang w:val="sr-Latn-CS" w:eastAsia="x-none"/>
        </w:rPr>
        <w:t xml:space="preserve"> o zaštiti ozonskog omotača i </w:t>
      </w:r>
      <w:r w:rsidRPr="00AB15C7">
        <w:rPr>
          <w:rFonts w:ascii="Cambria" w:hAnsi="Cambria"/>
          <w:b/>
          <w:noProof/>
          <w:lang w:val="sr-Latn-CS" w:eastAsia="x-none"/>
        </w:rPr>
        <w:t>Montrealski protokol</w:t>
      </w:r>
      <w:r w:rsidRPr="00AB15C7">
        <w:rPr>
          <w:rFonts w:ascii="Cambria" w:hAnsi="Cambria"/>
          <w:noProof/>
          <w:lang w:val="sr-Latn-CS" w:eastAsia="x-none"/>
        </w:rPr>
        <w:t xml:space="preserve"> o supstancama koje oštećuju ozonski omotač koji precizno određuju uslove i način postepenog isključivanja iz upotrebe ovih supstanci, te propisuju postupanje sa ovim supstancama, smješama, proizvodima i opremom koje sadrže ove supstance.</w:t>
      </w:r>
      <w:r w:rsidR="007401D9" w:rsidRPr="00AB15C7">
        <w:rPr>
          <w:rFonts w:ascii="Cambria" w:hAnsi="Cambria"/>
          <w:noProof/>
        </w:rPr>
        <w:t xml:space="preserve"> </w:t>
      </w:r>
      <w:r w:rsidR="007401D9" w:rsidRPr="00AB15C7">
        <w:rPr>
          <w:rFonts w:ascii="Cambria" w:hAnsi="Cambria"/>
          <w:noProof/>
          <w:lang w:val="sr-Latn-CS" w:eastAsia="x-none"/>
        </w:rPr>
        <w:t>U skladu sa odredbama Montrea</w:t>
      </w:r>
      <w:r w:rsidR="00572851">
        <w:rPr>
          <w:rFonts w:ascii="Cambria" w:hAnsi="Cambria"/>
          <w:noProof/>
          <w:lang w:val="sr-Latn-CS" w:eastAsia="x-none"/>
        </w:rPr>
        <w:t>l</w:t>
      </w:r>
      <w:r w:rsidR="007401D9" w:rsidRPr="00AB15C7">
        <w:rPr>
          <w:rFonts w:ascii="Cambria" w:hAnsi="Cambria"/>
          <w:noProof/>
          <w:lang w:val="sr-Latn-CS" w:eastAsia="x-none"/>
        </w:rPr>
        <w:t>skog protokola, kao i nacionalnog zakonodavstva, uvoz supstanci koje oštećuju ozonski omotač, izuzev grupe HCFC supstanci, je zabranjen. Uvoz ove grupe supstanci dozvoljen je do 2040.</w:t>
      </w:r>
      <w:r w:rsidR="00C75EA0">
        <w:rPr>
          <w:rFonts w:ascii="Cambria" w:hAnsi="Cambria"/>
          <w:noProof/>
          <w:lang w:val="sr-Latn-CS" w:eastAsia="x-none"/>
        </w:rPr>
        <w:t xml:space="preserve"> </w:t>
      </w:r>
      <w:r w:rsidR="007401D9" w:rsidRPr="00AB15C7">
        <w:rPr>
          <w:rFonts w:ascii="Cambria" w:hAnsi="Cambria"/>
          <w:noProof/>
          <w:lang w:val="sr-Latn-CS" w:eastAsia="x-none"/>
        </w:rPr>
        <w:t>godine, međutim rokovi za eliminaciju istih  će se revidirati u skladu sa dinamikom procesa pristupanja Crne Gore Evropskoj uniji.</w:t>
      </w:r>
    </w:p>
    <w:p w14:paraId="1DBBAE34" w14:textId="77777777" w:rsidR="00103DDF" w:rsidRPr="00AB15C7" w:rsidRDefault="00103DDF" w:rsidP="00237FAE">
      <w:pPr>
        <w:spacing w:after="0"/>
        <w:jc w:val="both"/>
        <w:rPr>
          <w:rFonts w:ascii="Cambria" w:hAnsi="Cambria"/>
          <w:noProof/>
          <w:lang w:eastAsia="x-none"/>
        </w:rPr>
      </w:pPr>
      <w:r w:rsidRPr="00AB15C7">
        <w:rPr>
          <w:rFonts w:ascii="Cambria" w:hAnsi="Cambria"/>
          <w:noProof/>
          <w:lang w:eastAsia="x-none"/>
        </w:rPr>
        <w:lastRenderedPageBreak/>
        <w:t>Pored navedenih međunarodno-pravnih instrumenata Crna Gora sa aspekta međunarodnog prava</w:t>
      </w:r>
      <w:r w:rsidR="00FC004B" w:rsidRPr="00AB15C7">
        <w:rPr>
          <w:rFonts w:ascii="Cambria" w:hAnsi="Cambria"/>
          <w:noProof/>
          <w:lang w:eastAsia="x-none"/>
        </w:rPr>
        <w:t xml:space="preserve"> u oblasti transporta  </w:t>
      </w:r>
      <w:r w:rsidRPr="00AB15C7">
        <w:rPr>
          <w:rFonts w:ascii="Cambria" w:hAnsi="Cambria"/>
          <w:noProof/>
          <w:lang w:eastAsia="x-none"/>
        </w:rPr>
        <w:t>opasnih materija sprovodi i sljedeće</w:t>
      </w:r>
      <w:r w:rsidR="00FC004B" w:rsidRPr="00AB15C7">
        <w:rPr>
          <w:rFonts w:ascii="Cambria" w:hAnsi="Cambria"/>
          <w:noProof/>
          <w:lang w:eastAsia="x-none"/>
        </w:rPr>
        <w:t xml:space="preserve"> konvencije i sporazume</w:t>
      </w:r>
      <w:r w:rsidRPr="00AB15C7">
        <w:rPr>
          <w:rFonts w:ascii="Cambria" w:hAnsi="Cambria"/>
          <w:noProof/>
          <w:lang w:eastAsia="x-none"/>
        </w:rPr>
        <w:t>:</w:t>
      </w:r>
    </w:p>
    <w:p w14:paraId="4416BE42" w14:textId="77777777" w:rsidR="00103DDF" w:rsidRPr="00AB15C7" w:rsidRDefault="00103DDF" w:rsidP="00557C13">
      <w:pPr>
        <w:numPr>
          <w:ilvl w:val="0"/>
          <w:numId w:val="22"/>
        </w:numPr>
        <w:spacing w:after="0"/>
        <w:jc w:val="both"/>
        <w:rPr>
          <w:rFonts w:ascii="Cambria" w:hAnsi="Cambria"/>
          <w:noProof/>
          <w:lang w:eastAsia="x-none"/>
        </w:rPr>
      </w:pPr>
      <w:r w:rsidRPr="00AB15C7">
        <w:rPr>
          <w:rFonts w:ascii="Cambria" w:hAnsi="Cambria"/>
          <w:noProof/>
          <w:lang w:eastAsia="x-none"/>
        </w:rPr>
        <w:t xml:space="preserve">Evropski sporazum o međunarodnom drumskom prevozu opasnih materija (ADR sporazum) sa njegovim sastavnim dijelovima, prilozima A i B; </w:t>
      </w:r>
    </w:p>
    <w:p w14:paraId="378DBAC0" w14:textId="77777777" w:rsidR="00103DDF" w:rsidRPr="00AB15C7" w:rsidRDefault="00103DDF" w:rsidP="00557C13">
      <w:pPr>
        <w:numPr>
          <w:ilvl w:val="0"/>
          <w:numId w:val="22"/>
        </w:numPr>
        <w:spacing w:after="0"/>
        <w:jc w:val="both"/>
        <w:rPr>
          <w:rFonts w:ascii="Cambria" w:hAnsi="Cambria"/>
          <w:noProof/>
          <w:lang w:eastAsia="x-none"/>
        </w:rPr>
      </w:pPr>
      <w:r w:rsidRPr="00AB15C7">
        <w:rPr>
          <w:rFonts w:ascii="Cambria" w:hAnsi="Cambria"/>
          <w:noProof/>
          <w:lang w:eastAsia="x-none"/>
        </w:rPr>
        <w:t>Konvenciju o međunarodnom željezničkom prevozu – (COTIF);</w:t>
      </w:r>
    </w:p>
    <w:p w14:paraId="53422A3F" w14:textId="77777777" w:rsidR="00103DDF" w:rsidRPr="00AB15C7" w:rsidRDefault="00103DDF" w:rsidP="00557C13">
      <w:pPr>
        <w:numPr>
          <w:ilvl w:val="0"/>
          <w:numId w:val="22"/>
        </w:numPr>
        <w:spacing w:after="0"/>
        <w:jc w:val="both"/>
        <w:rPr>
          <w:rFonts w:ascii="Cambria" w:hAnsi="Cambria"/>
          <w:noProof/>
          <w:lang w:eastAsia="x-none"/>
        </w:rPr>
      </w:pPr>
      <w:r w:rsidRPr="00AB15C7">
        <w:rPr>
          <w:rFonts w:ascii="Cambria" w:hAnsi="Cambria"/>
          <w:noProof/>
          <w:lang w:eastAsia="x-none"/>
        </w:rPr>
        <w:t>Pravilnik o međunarodnom prevozu opasnih materija željeznicom – RID;</w:t>
      </w:r>
    </w:p>
    <w:p w14:paraId="2C5B8C34" w14:textId="77777777" w:rsidR="00103DDF" w:rsidRPr="00AB15C7" w:rsidRDefault="00103DDF" w:rsidP="00557C13">
      <w:pPr>
        <w:numPr>
          <w:ilvl w:val="0"/>
          <w:numId w:val="22"/>
        </w:numPr>
        <w:spacing w:after="0"/>
        <w:jc w:val="both"/>
        <w:rPr>
          <w:rFonts w:ascii="Cambria" w:hAnsi="Cambria"/>
          <w:noProof/>
          <w:lang w:eastAsia="x-none"/>
        </w:rPr>
      </w:pPr>
      <w:r w:rsidRPr="00AB15C7">
        <w:rPr>
          <w:rFonts w:ascii="Cambria" w:hAnsi="Cambria"/>
          <w:noProof/>
          <w:lang w:eastAsia="x-none"/>
        </w:rPr>
        <w:t xml:space="preserve">Konvenciju o međunarodnom civilnom vazduhoplovstvu; </w:t>
      </w:r>
    </w:p>
    <w:p w14:paraId="4F1E6E26" w14:textId="77777777" w:rsidR="00103DDF" w:rsidRPr="00AB15C7" w:rsidRDefault="00103DDF" w:rsidP="00557C13">
      <w:pPr>
        <w:numPr>
          <w:ilvl w:val="0"/>
          <w:numId w:val="22"/>
        </w:numPr>
        <w:spacing w:after="0"/>
        <w:jc w:val="both"/>
        <w:rPr>
          <w:rFonts w:ascii="Cambria" w:hAnsi="Cambria"/>
          <w:noProof/>
          <w:lang w:eastAsia="x-none"/>
        </w:rPr>
      </w:pPr>
      <w:r w:rsidRPr="00AB15C7">
        <w:rPr>
          <w:rFonts w:ascii="Cambria" w:hAnsi="Cambria"/>
          <w:noProof/>
          <w:lang w:eastAsia="x-none"/>
        </w:rPr>
        <w:t>Tehničke instrukcije za siguran prevoz opasnih materija u vazdušnom saobraćaju (ICAO Doc. 9284 AN/905), uključujući dodatke, izmjene i korekcije;</w:t>
      </w:r>
    </w:p>
    <w:p w14:paraId="5D7477AD" w14:textId="77777777" w:rsidR="00AB13CF" w:rsidRDefault="00103DDF" w:rsidP="00557C13">
      <w:pPr>
        <w:numPr>
          <w:ilvl w:val="0"/>
          <w:numId w:val="22"/>
        </w:numPr>
        <w:spacing w:after="0"/>
        <w:jc w:val="both"/>
        <w:rPr>
          <w:rFonts w:ascii="Cambria" w:hAnsi="Cambria"/>
          <w:noProof/>
          <w:lang w:eastAsia="x-none"/>
        </w:rPr>
      </w:pPr>
      <w:r w:rsidRPr="00AB13CF">
        <w:rPr>
          <w:rFonts w:ascii="Cambria" w:hAnsi="Cambria"/>
          <w:noProof/>
          <w:lang w:eastAsia="x-none"/>
        </w:rPr>
        <w:t>Evropski sporazum o međunarodnom transportu opasnog tereta unutrašnjim plovnim putevima (ADN)</w:t>
      </w:r>
      <w:r w:rsidR="00AB13CF" w:rsidRPr="00AB13CF">
        <w:rPr>
          <w:rFonts w:ascii="Cambria" w:hAnsi="Cambria"/>
          <w:noProof/>
          <w:lang w:eastAsia="x-none"/>
        </w:rPr>
        <w:t>;</w:t>
      </w:r>
    </w:p>
    <w:p w14:paraId="582019D0" w14:textId="77777777" w:rsidR="00FC004B" w:rsidRPr="00AB13CF" w:rsidRDefault="00FC004B" w:rsidP="00557C13">
      <w:pPr>
        <w:numPr>
          <w:ilvl w:val="0"/>
          <w:numId w:val="22"/>
        </w:numPr>
        <w:jc w:val="both"/>
        <w:rPr>
          <w:rFonts w:ascii="Cambria" w:hAnsi="Cambria"/>
          <w:noProof/>
          <w:lang w:eastAsia="x-none"/>
        </w:rPr>
      </w:pPr>
      <w:r w:rsidRPr="00AB13CF">
        <w:rPr>
          <w:rFonts w:ascii="Cambria" w:hAnsi="Cambria"/>
          <w:noProof/>
          <w:lang w:eastAsia="x-none"/>
        </w:rPr>
        <w:t xml:space="preserve">Međunarodnu </w:t>
      </w:r>
      <w:r w:rsidRPr="00AB13CF">
        <w:rPr>
          <w:rFonts w:ascii="Cambria" w:hAnsi="Cambria"/>
          <w:noProof/>
          <w:lang w:val="sr-Latn-CS" w:eastAsia="x-none"/>
        </w:rPr>
        <w:t>konvenciju</w:t>
      </w:r>
      <w:r w:rsidRPr="00AB13CF">
        <w:rPr>
          <w:rFonts w:ascii="Cambria" w:hAnsi="Cambria"/>
          <w:noProof/>
          <w:lang w:eastAsia="x-none"/>
        </w:rPr>
        <w:t xml:space="preserve"> o sprečavanju zagađivanja sa brodova (MARPOL konvencija)</w:t>
      </w:r>
      <w:r w:rsidR="00AB13CF" w:rsidRPr="00AB13CF">
        <w:rPr>
          <w:rFonts w:ascii="Cambria" w:hAnsi="Cambria"/>
          <w:noProof/>
          <w:lang w:eastAsia="x-none"/>
        </w:rPr>
        <w:t>.</w:t>
      </w:r>
    </w:p>
    <w:p w14:paraId="628B24F7" w14:textId="77777777" w:rsidR="00FC004B" w:rsidRPr="00AB15C7" w:rsidRDefault="00103DDF" w:rsidP="005921EF">
      <w:pPr>
        <w:jc w:val="both"/>
        <w:rPr>
          <w:rFonts w:ascii="Cambria" w:hAnsi="Cambria"/>
          <w:noProof/>
          <w:lang w:eastAsia="x-none"/>
        </w:rPr>
      </w:pPr>
      <w:r w:rsidRPr="00AB15C7">
        <w:rPr>
          <w:rFonts w:ascii="Cambria" w:hAnsi="Cambria"/>
          <w:noProof/>
          <w:lang w:eastAsia="x-none"/>
        </w:rPr>
        <w:t xml:space="preserve">S obzirom da </w:t>
      </w:r>
      <w:r w:rsidR="00FC004B" w:rsidRPr="00AB15C7">
        <w:rPr>
          <w:rFonts w:ascii="Cambria" w:hAnsi="Cambria"/>
          <w:noProof/>
          <w:lang w:eastAsia="x-none"/>
        </w:rPr>
        <w:t xml:space="preserve">pored </w:t>
      </w:r>
      <w:r w:rsidR="006F4F6E" w:rsidRPr="00AB15C7">
        <w:rPr>
          <w:rFonts w:ascii="Cambria" w:hAnsi="Cambria"/>
          <w:noProof/>
          <w:lang w:eastAsia="x-none"/>
        </w:rPr>
        <w:t>domaćeg zakonodavstva, Crnu Goru obavezuju i međunarodne Konvencije kojima je pristupila</w:t>
      </w:r>
      <w:r w:rsidRPr="00AB15C7">
        <w:rPr>
          <w:rFonts w:ascii="Cambria" w:hAnsi="Cambria"/>
          <w:noProof/>
          <w:lang w:eastAsia="x-none"/>
        </w:rPr>
        <w:t xml:space="preserve">, </w:t>
      </w:r>
      <w:r w:rsidR="006F4F6E" w:rsidRPr="00AB15C7">
        <w:rPr>
          <w:rFonts w:ascii="Cambria" w:hAnsi="Cambria"/>
          <w:noProof/>
          <w:lang w:eastAsia="x-none"/>
        </w:rPr>
        <w:t xml:space="preserve">ciljevi i zadaci </w:t>
      </w:r>
      <w:r w:rsidR="00FC004B" w:rsidRPr="00AB15C7">
        <w:rPr>
          <w:rFonts w:ascii="Cambria" w:hAnsi="Cambria"/>
          <w:noProof/>
          <w:lang w:eastAsia="x-none"/>
        </w:rPr>
        <w:t xml:space="preserve">i obaveze </w:t>
      </w:r>
      <w:r w:rsidR="006F4F6E" w:rsidRPr="00AB15C7">
        <w:rPr>
          <w:rFonts w:ascii="Cambria" w:hAnsi="Cambria"/>
          <w:noProof/>
          <w:lang w:eastAsia="x-none"/>
        </w:rPr>
        <w:t>utvrđen</w:t>
      </w:r>
      <w:r w:rsidR="00FC004B" w:rsidRPr="00AB15C7">
        <w:rPr>
          <w:rFonts w:ascii="Cambria" w:hAnsi="Cambria"/>
          <w:noProof/>
          <w:lang w:eastAsia="x-none"/>
        </w:rPr>
        <w:t>e</w:t>
      </w:r>
      <w:r w:rsidR="006F4F6E" w:rsidRPr="00AB15C7">
        <w:rPr>
          <w:rFonts w:ascii="Cambria" w:hAnsi="Cambria"/>
          <w:noProof/>
          <w:lang w:eastAsia="x-none"/>
        </w:rPr>
        <w:t xml:space="preserve"> preuzetim Konvencijama </w:t>
      </w:r>
      <w:r w:rsidR="00AE2A80" w:rsidRPr="00AB15C7">
        <w:rPr>
          <w:rFonts w:ascii="Cambria" w:hAnsi="Cambria"/>
          <w:noProof/>
          <w:lang w:eastAsia="x-none"/>
        </w:rPr>
        <w:t xml:space="preserve">se </w:t>
      </w:r>
      <w:r w:rsidR="006F4F6E" w:rsidRPr="00AB15C7">
        <w:rPr>
          <w:rFonts w:ascii="Cambria" w:hAnsi="Cambria"/>
          <w:noProof/>
          <w:lang w:eastAsia="x-none"/>
        </w:rPr>
        <w:t>moraju uzeti u obzir prilikom kreiranja nacionalne politike.</w:t>
      </w:r>
      <w:r w:rsidRPr="00AB15C7">
        <w:rPr>
          <w:rFonts w:ascii="Cambria" w:hAnsi="Cambria"/>
          <w:noProof/>
          <w:lang w:eastAsia="x-none"/>
        </w:rPr>
        <w:t xml:space="preserve"> </w:t>
      </w:r>
    </w:p>
    <w:p w14:paraId="0F1600DC" w14:textId="77777777" w:rsidR="00352EF2" w:rsidRDefault="00352EF2" w:rsidP="005921EF">
      <w:pPr>
        <w:jc w:val="both"/>
        <w:rPr>
          <w:rFonts w:ascii="Cambria" w:hAnsi="Cambria"/>
          <w:noProof/>
          <w:lang w:eastAsia="x-none"/>
        </w:rPr>
        <w:sectPr w:rsidR="00352EF2" w:rsidSect="00283534">
          <w:footerReference w:type="default" r:id="rId27"/>
          <w:pgSz w:w="11907" w:h="16840" w:code="9"/>
          <w:pgMar w:top="1134" w:right="1134" w:bottom="1134" w:left="1134" w:header="709" w:footer="709" w:gutter="0"/>
          <w:cols w:space="720"/>
          <w:docGrid w:linePitch="360"/>
        </w:sectPr>
      </w:pPr>
    </w:p>
    <w:p w14:paraId="5A2BA554" w14:textId="77777777" w:rsidR="00BA24C7" w:rsidRPr="00AB15C7" w:rsidRDefault="00BA24C7" w:rsidP="00557C13">
      <w:pPr>
        <w:pStyle w:val="Heading1"/>
        <w:numPr>
          <w:ilvl w:val="1"/>
          <w:numId w:val="33"/>
        </w:numPr>
        <w:rPr>
          <w:bCs w:val="0"/>
          <w:noProof/>
          <w:sz w:val="22"/>
          <w:szCs w:val="22"/>
        </w:rPr>
      </w:pPr>
      <w:bookmarkStart w:id="128" w:name="_Toc527353229"/>
      <w:bookmarkStart w:id="129" w:name="_Hlk525819392"/>
      <w:r w:rsidRPr="00AB15C7">
        <w:rPr>
          <w:bCs w:val="0"/>
          <w:noProof/>
          <w:sz w:val="22"/>
          <w:szCs w:val="22"/>
        </w:rPr>
        <w:lastRenderedPageBreak/>
        <w:t>ZAKLJUČCI I PREPORUKE</w:t>
      </w:r>
      <w:bookmarkEnd w:id="128"/>
      <w:r w:rsidRPr="00AB15C7">
        <w:rPr>
          <w:bCs w:val="0"/>
          <w:noProof/>
          <w:sz w:val="22"/>
          <w:szCs w:val="22"/>
        </w:rPr>
        <w:t xml:space="preserve"> </w:t>
      </w:r>
    </w:p>
    <w:bookmarkEnd w:id="129"/>
    <w:p w14:paraId="57726433" w14:textId="1332FF8E" w:rsidR="006D6411" w:rsidRDefault="006D6411" w:rsidP="005921EF">
      <w:pPr>
        <w:rPr>
          <w:rFonts w:ascii="Cambria" w:hAnsi="Cambria"/>
          <w:noProof/>
          <w:lang w:eastAsia="x-none"/>
        </w:rPr>
      </w:pPr>
    </w:p>
    <w:p w14:paraId="65BB5BB9" w14:textId="1525C2CA" w:rsidR="001B7BB6" w:rsidRPr="00855EB6" w:rsidRDefault="00855EB6" w:rsidP="00855EB6">
      <w:pPr>
        <w:pStyle w:val="Heading2"/>
        <w:spacing w:after="120"/>
        <w:rPr>
          <w:noProof/>
          <w:sz w:val="22"/>
          <w:szCs w:val="22"/>
          <w:lang w:val="en-US"/>
        </w:rPr>
      </w:pPr>
      <w:bookmarkStart w:id="130" w:name="_Toc527353230"/>
      <w:r>
        <w:rPr>
          <w:noProof/>
          <w:sz w:val="22"/>
          <w:szCs w:val="22"/>
          <w:lang w:val="en-US"/>
        </w:rPr>
        <w:t xml:space="preserve">2.12.1.   </w:t>
      </w:r>
      <w:r w:rsidR="001B7BB6" w:rsidRPr="00855EB6">
        <w:rPr>
          <w:noProof/>
          <w:sz w:val="22"/>
          <w:szCs w:val="22"/>
          <w:lang w:val="en-US"/>
        </w:rPr>
        <w:t>Osvrt na realizaciju prethodnog strateškog dokumenta</w:t>
      </w:r>
      <w:bookmarkEnd w:id="130"/>
    </w:p>
    <w:p w14:paraId="07D575EB" w14:textId="4CD64428" w:rsidR="00A97321" w:rsidRPr="00A97321" w:rsidRDefault="00573BFF" w:rsidP="00A97321">
      <w:pPr>
        <w:jc w:val="both"/>
        <w:rPr>
          <w:rFonts w:ascii="Cambria" w:hAnsi="Cambria"/>
          <w:noProof/>
          <w:lang w:eastAsia="x-none"/>
        </w:rPr>
      </w:pPr>
      <w:r w:rsidRPr="00AB15C7">
        <w:rPr>
          <w:rFonts w:ascii="Cambria" w:hAnsi="Cambria"/>
          <w:noProof/>
          <w:lang w:eastAsia="x-none"/>
        </w:rPr>
        <w:t>Crna Gora je nezavisna država</w:t>
      </w:r>
      <w:r w:rsidR="001D63E4">
        <w:rPr>
          <w:rFonts w:ascii="Cambria" w:hAnsi="Cambria"/>
          <w:noProof/>
          <w:lang w:eastAsia="x-none"/>
        </w:rPr>
        <w:t xml:space="preserve">, </w:t>
      </w:r>
      <w:r w:rsidRPr="00AB15C7">
        <w:rPr>
          <w:rFonts w:ascii="Cambria" w:hAnsi="Cambria"/>
          <w:noProof/>
          <w:lang w:eastAsia="x-none"/>
        </w:rPr>
        <w:t xml:space="preserve"> strateški opred</w:t>
      </w:r>
      <w:r w:rsidR="00572851">
        <w:rPr>
          <w:rFonts w:ascii="Cambria" w:hAnsi="Cambria"/>
          <w:noProof/>
          <w:lang w:eastAsia="x-none"/>
        </w:rPr>
        <w:t>ij</w:t>
      </w:r>
      <w:r w:rsidRPr="00AB15C7">
        <w:rPr>
          <w:rFonts w:ascii="Cambria" w:hAnsi="Cambria"/>
          <w:noProof/>
          <w:lang w:eastAsia="x-none"/>
        </w:rPr>
        <w:t>eljena pridruživanju EU</w:t>
      </w:r>
      <w:r w:rsidR="0085640A">
        <w:rPr>
          <w:rFonts w:ascii="Cambria" w:hAnsi="Cambria"/>
          <w:noProof/>
          <w:lang w:eastAsia="x-none"/>
        </w:rPr>
        <w:t>.</w:t>
      </w:r>
      <w:r w:rsidR="00A97321">
        <w:rPr>
          <w:rFonts w:ascii="Cambria" w:hAnsi="Cambria"/>
          <w:noProof/>
          <w:lang w:eastAsia="x-none"/>
        </w:rPr>
        <w:t xml:space="preserve"> </w:t>
      </w:r>
      <w:r w:rsidR="0085640A" w:rsidRPr="00AB15C7">
        <w:rPr>
          <w:rFonts w:ascii="Cambria" w:hAnsi="Cambria"/>
          <w:noProof/>
          <w:lang w:eastAsia="x-none"/>
        </w:rPr>
        <w:t>Već decenij</w:t>
      </w:r>
      <w:r w:rsidR="007A49A5">
        <w:rPr>
          <w:rFonts w:ascii="Cambria" w:hAnsi="Cambria"/>
          <w:noProof/>
          <w:lang w:eastAsia="x-none"/>
        </w:rPr>
        <w:t>u</w:t>
      </w:r>
      <w:r w:rsidR="0085640A" w:rsidRPr="00AB15C7">
        <w:rPr>
          <w:rFonts w:ascii="Cambria" w:hAnsi="Cambria"/>
          <w:noProof/>
          <w:lang w:eastAsia="x-none"/>
        </w:rPr>
        <w:t xml:space="preserve"> postupak približavanja EU oblikuje razvoj okvira, politika i institucija u svim oblastima, uključujući </w:t>
      </w:r>
      <w:r w:rsidR="0085640A">
        <w:rPr>
          <w:rFonts w:ascii="Cambria" w:hAnsi="Cambria"/>
          <w:noProof/>
          <w:lang w:eastAsia="x-none"/>
        </w:rPr>
        <w:t>oblast upravljanja hemikalijama</w:t>
      </w:r>
      <w:r w:rsidRPr="00AB15C7">
        <w:rPr>
          <w:rFonts w:ascii="Cambria" w:hAnsi="Cambria"/>
          <w:noProof/>
          <w:lang w:eastAsia="x-none"/>
        </w:rPr>
        <w:t xml:space="preserve">. </w:t>
      </w:r>
      <w:r w:rsidR="00A97321">
        <w:rPr>
          <w:rFonts w:ascii="Cambria" w:hAnsi="Cambria"/>
          <w:noProof/>
          <w:lang w:eastAsia="x-none"/>
        </w:rPr>
        <w:t>Uspostavljanje</w:t>
      </w:r>
      <w:r w:rsidR="00A97321" w:rsidRPr="00A97321">
        <w:rPr>
          <w:rFonts w:ascii="Cambria" w:hAnsi="Cambria"/>
          <w:noProof/>
          <w:lang w:eastAsia="x-none"/>
        </w:rPr>
        <w:t xml:space="preserve"> </w:t>
      </w:r>
      <w:r w:rsidR="00A97321">
        <w:rPr>
          <w:rFonts w:ascii="Cambria" w:hAnsi="Cambria"/>
          <w:noProof/>
          <w:lang w:eastAsia="x-none"/>
        </w:rPr>
        <w:t>sistema upravljanja hemikalijama u skladu sa principima preuzetim iz EU</w:t>
      </w:r>
      <w:r w:rsidR="00A97321" w:rsidRPr="00A97321">
        <w:rPr>
          <w:rFonts w:ascii="Cambria" w:hAnsi="Cambria"/>
          <w:noProof/>
          <w:lang w:eastAsia="x-none"/>
        </w:rPr>
        <w:t xml:space="preserve"> pratilo je donošenje Strategije upravljanja hemikalijama za period 2015-2018. Veći dio mjera predloženih ovom strategijom je realizovano, ali još uvjek ostaje da se dovrši realizacija određenih mjera</w:t>
      </w:r>
      <w:r w:rsidR="001B7BB6">
        <w:rPr>
          <w:rFonts w:ascii="Cambria" w:hAnsi="Cambria"/>
          <w:noProof/>
          <w:lang w:eastAsia="x-none"/>
        </w:rPr>
        <w:t xml:space="preserve">, naročito onih za koje je </w:t>
      </w:r>
      <w:r w:rsidR="001B7BB6" w:rsidRPr="00A97321">
        <w:rPr>
          <w:rFonts w:ascii="Cambria" w:hAnsi="Cambria"/>
          <w:noProof/>
          <w:lang w:eastAsia="x-none"/>
        </w:rPr>
        <w:t>predviđeno kontinuirano sprovođenje sa kojim treba nastaviti i u narednom periodu</w:t>
      </w:r>
      <w:r w:rsidR="001B7BB6">
        <w:rPr>
          <w:rFonts w:ascii="Cambria" w:hAnsi="Cambria"/>
          <w:noProof/>
          <w:lang w:eastAsia="x-none"/>
        </w:rPr>
        <w:t xml:space="preserve">. </w:t>
      </w:r>
      <w:r w:rsidR="00966FF1">
        <w:rPr>
          <w:rFonts w:ascii="Cambria" w:hAnsi="Cambria"/>
          <w:noProof/>
          <w:color w:val="000000"/>
        </w:rPr>
        <w:t xml:space="preserve">Realizacija je naročito ostvarena u pogledu donošenja relevantnih propisa, uključujući podzakonske akte, i njihovog sprovođenja, s tim da je potrebno dalje usaglašavanje sa propisima EU s obzirom na prilagođavanje tehničkom progresu koje je učinjeno u skorašnjem periodu. Djelimična realizacija se odnosi na mjere u pogledu jačanja administrativnih kapaciteta i stručne osposobljenosti kadrova gdje su pojedine obuke sprovedene ali </w:t>
      </w:r>
      <w:r w:rsidR="00966FF1" w:rsidRPr="00151B33">
        <w:rPr>
          <w:rFonts w:ascii="Cambria" w:hAnsi="Cambria"/>
          <w:noProof/>
          <w:color w:val="000000"/>
          <w:lang w:val="pl-PL"/>
        </w:rPr>
        <w:t>zapošljavanj</w:t>
      </w:r>
      <w:r w:rsidR="00966FF1">
        <w:rPr>
          <w:rFonts w:ascii="Cambria" w:hAnsi="Cambria"/>
          <w:noProof/>
          <w:color w:val="000000"/>
          <w:lang w:val="pl-PL"/>
        </w:rPr>
        <w:t>e</w:t>
      </w:r>
      <w:r w:rsidR="00966FF1" w:rsidRPr="00151B33">
        <w:rPr>
          <w:rFonts w:ascii="Cambria" w:hAnsi="Cambria"/>
          <w:noProof/>
          <w:color w:val="000000"/>
          <w:lang w:val="pl-PL"/>
        </w:rPr>
        <w:t xml:space="preserve"> novih službenika</w:t>
      </w:r>
      <w:r w:rsidR="00966FF1">
        <w:rPr>
          <w:rFonts w:ascii="Cambria" w:hAnsi="Cambria"/>
          <w:noProof/>
          <w:color w:val="000000"/>
          <w:lang w:val="pl-PL"/>
        </w:rPr>
        <w:t xml:space="preserve"> </w:t>
      </w:r>
      <w:r w:rsidR="001B7BB6">
        <w:rPr>
          <w:rFonts w:ascii="Cambria" w:hAnsi="Cambria"/>
          <w:noProof/>
          <w:color w:val="000000"/>
          <w:lang w:val="pl-PL"/>
        </w:rPr>
        <w:t xml:space="preserve">i njihovo obučavanje </w:t>
      </w:r>
      <w:r w:rsidR="00966FF1">
        <w:rPr>
          <w:rFonts w:ascii="Cambria" w:hAnsi="Cambria"/>
          <w:noProof/>
          <w:color w:val="000000"/>
          <w:lang w:val="pl-PL"/>
        </w:rPr>
        <w:t xml:space="preserve">ostaje da se sprovede u narednom periodu.  Treba posebno istaći da treba dalje raditi na obezbeđivanju kadrova </w:t>
      </w:r>
      <w:r w:rsidR="00966FF1" w:rsidRPr="00151B33">
        <w:rPr>
          <w:rFonts w:ascii="Cambria" w:hAnsi="Cambria"/>
          <w:noProof/>
          <w:color w:val="000000"/>
          <w:lang w:val="sr-Latn-ME"/>
        </w:rPr>
        <w:t xml:space="preserve">za vršenje poslova evaluacije i ocjene tehničkih dosijea za hemikalije i </w:t>
      </w:r>
      <w:r w:rsidR="00966FF1">
        <w:rPr>
          <w:rFonts w:ascii="Cambria" w:hAnsi="Cambria"/>
          <w:noProof/>
          <w:color w:val="000000"/>
          <w:lang w:val="sr-Latn-ME"/>
        </w:rPr>
        <w:t xml:space="preserve">biocidne </w:t>
      </w:r>
      <w:r w:rsidR="00966FF1" w:rsidRPr="00151B33">
        <w:rPr>
          <w:rFonts w:ascii="Cambria" w:hAnsi="Cambria"/>
          <w:noProof/>
          <w:color w:val="000000"/>
          <w:lang w:val="sr-Latn-ME"/>
        </w:rPr>
        <w:t>proizvode</w:t>
      </w:r>
      <w:r w:rsidR="00966FF1">
        <w:rPr>
          <w:rFonts w:ascii="Cambria" w:hAnsi="Cambria"/>
          <w:noProof/>
          <w:color w:val="000000"/>
        </w:rPr>
        <w:t xml:space="preserve">. </w:t>
      </w:r>
      <w:r w:rsidR="00966FF1">
        <w:rPr>
          <w:rFonts w:ascii="Cambria" w:hAnsi="Cambria"/>
          <w:noProof/>
          <w:color w:val="000000"/>
          <w:lang w:val="pl-PL"/>
        </w:rPr>
        <w:t xml:space="preserve">Takođe, aktivnosti na podizanju svijesti javnosti i drugih relevantnih subjekata van državne uprave treba nastaviti u narednom periodu.  Nabavka </w:t>
      </w:r>
      <w:r w:rsidR="00966FF1" w:rsidRPr="00151B33">
        <w:rPr>
          <w:rFonts w:ascii="Cambria" w:hAnsi="Cambria"/>
          <w:noProof/>
          <w:color w:val="000000"/>
          <w:lang w:val="sr-Latn-ME"/>
        </w:rPr>
        <w:t xml:space="preserve">specijalnog, baznog, vozila za reagovanje </w:t>
      </w:r>
      <w:r w:rsidR="00966FF1" w:rsidRPr="009D62DB">
        <w:rPr>
          <w:rFonts w:ascii="Cambria" w:hAnsi="Cambria"/>
          <w:noProof/>
          <w:color w:val="000000"/>
          <w:lang w:val="sr-Latn-ME"/>
        </w:rPr>
        <w:t>u hemijskom udesu</w:t>
      </w:r>
      <w:r w:rsidR="00966FF1" w:rsidRPr="00151B33">
        <w:rPr>
          <w:rFonts w:ascii="Cambria" w:hAnsi="Cambria"/>
          <w:noProof/>
          <w:color w:val="000000"/>
          <w:lang w:val="sr-Latn-ME"/>
        </w:rPr>
        <w:t xml:space="preserve"> </w:t>
      </w:r>
      <w:r w:rsidR="00966FF1">
        <w:rPr>
          <w:rFonts w:ascii="Cambria" w:hAnsi="Cambria"/>
          <w:noProof/>
          <w:color w:val="000000"/>
          <w:lang w:val="sr-Latn-ME"/>
        </w:rPr>
        <w:t>nije ostvarena z</w:t>
      </w:r>
      <w:r w:rsidR="00966FF1" w:rsidRPr="009D62DB">
        <w:rPr>
          <w:rFonts w:ascii="Cambria" w:hAnsi="Cambria"/>
          <w:noProof/>
          <w:color w:val="000000"/>
          <w:lang w:val="sr-Latn-ME"/>
        </w:rPr>
        <w:t>bog nedostatka materijalnih sredstava</w:t>
      </w:r>
      <w:r w:rsidR="00966FF1">
        <w:rPr>
          <w:rFonts w:ascii="Cambria" w:hAnsi="Cambria"/>
          <w:noProof/>
          <w:color w:val="000000"/>
          <w:lang w:val="sr-Latn-ME"/>
        </w:rPr>
        <w:t xml:space="preserve"> kao i racionalnosti ovakve nabavke, ali je </w:t>
      </w:r>
      <w:r w:rsidR="00966FF1" w:rsidRPr="009D62DB">
        <w:rPr>
          <w:rFonts w:ascii="Cambria" w:hAnsi="Cambria"/>
          <w:noProof/>
          <w:color w:val="000000"/>
          <w:lang w:val="sr-Latn-ME"/>
        </w:rPr>
        <w:t xml:space="preserve">obezbijeđena je </w:t>
      </w:r>
      <w:r w:rsidR="00966FF1">
        <w:rPr>
          <w:rFonts w:ascii="Cambria" w:hAnsi="Cambria"/>
          <w:noProof/>
          <w:color w:val="000000"/>
          <w:lang w:val="sr-Latn-ME"/>
        </w:rPr>
        <w:t>druga oprema koja odgovara potrebama za</w:t>
      </w:r>
      <w:r w:rsidR="00966FF1" w:rsidRPr="00910365">
        <w:rPr>
          <w:rFonts w:ascii="Cambria" w:hAnsi="Cambria"/>
          <w:noProof/>
          <w:color w:val="000000"/>
          <w:lang w:val="sr-Latn-ME"/>
        </w:rPr>
        <w:t xml:space="preserve"> reagovanje u hemijskom udesu</w:t>
      </w:r>
      <w:r w:rsidR="00966FF1">
        <w:rPr>
          <w:rFonts w:ascii="Cambria" w:hAnsi="Cambria"/>
          <w:noProof/>
          <w:color w:val="000000"/>
          <w:lang w:val="sr-Latn-ME"/>
        </w:rPr>
        <w:t xml:space="preserve"> u Crnoj Gori, kao i</w:t>
      </w:r>
      <w:r w:rsidR="00966FF1" w:rsidRPr="009D62DB">
        <w:rPr>
          <w:rFonts w:ascii="Cambria" w:hAnsi="Cambria"/>
          <w:noProof/>
          <w:color w:val="000000"/>
          <w:lang w:val="sr-Latn-ME"/>
        </w:rPr>
        <w:t xml:space="preserve"> odgovarajuće obuke za jedan tim spasilaca Službe zaštite Glavnog grada i dvije vježbe za testiranje odgovora ne hemijski udes (terenska–FTX i simulaciona TTX).</w:t>
      </w:r>
      <w:r w:rsidR="00966FF1">
        <w:rPr>
          <w:rFonts w:ascii="Cambria" w:hAnsi="Cambria"/>
          <w:noProof/>
          <w:color w:val="000000"/>
          <w:lang w:val="sr-Latn-ME"/>
        </w:rPr>
        <w:t xml:space="preserve"> </w:t>
      </w:r>
      <w:r w:rsidR="00966FF1">
        <w:rPr>
          <w:rFonts w:ascii="Cambria" w:hAnsi="Cambria"/>
          <w:noProof/>
          <w:color w:val="000000"/>
        </w:rPr>
        <w:t xml:space="preserve">Vezano za stepen realizacije akcionog plana iz </w:t>
      </w:r>
      <w:r w:rsidR="00966FF1" w:rsidRPr="00910365">
        <w:rPr>
          <w:rFonts w:ascii="Cambria" w:hAnsi="Cambria"/>
          <w:noProof/>
          <w:color w:val="000000"/>
          <w:lang w:val="sr-Latn-ME"/>
        </w:rPr>
        <w:t>Strategij</w:t>
      </w:r>
      <w:r w:rsidR="00966FF1">
        <w:rPr>
          <w:rFonts w:ascii="Cambria" w:hAnsi="Cambria"/>
          <w:noProof/>
          <w:color w:val="000000"/>
          <w:lang w:val="sr-Latn-ME"/>
        </w:rPr>
        <w:t>e</w:t>
      </w:r>
      <w:r w:rsidR="00966FF1" w:rsidRPr="00910365">
        <w:rPr>
          <w:rFonts w:ascii="Cambria" w:hAnsi="Cambria"/>
          <w:noProof/>
          <w:color w:val="000000"/>
          <w:lang w:val="sr-Latn-ME"/>
        </w:rPr>
        <w:t xml:space="preserve"> upravljanja hemikalijama za period 2015-2018</w:t>
      </w:r>
      <w:r w:rsidR="00966FF1">
        <w:rPr>
          <w:rFonts w:ascii="Cambria" w:hAnsi="Cambria"/>
          <w:noProof/>
          <w:color w:val="000000"/>
          <w:lang w:val="sr-Latn-ME"/>
        </w:rPr>
        <w:t xml:space="preserve">, </w:t>
      </w:r>
      <w:r w:rsidR="00966FF1" w:rsidRPr="00910365">
        <w:rPr>
          <w:rFonts w:ascii="Cambria" w:hAnsi="Cambria"/>
          <w:noProof/>
          <w:color w:val="000000"/>
          <w:lang w:val="sr-Latn-ME"/>
        </w:rPr>
        <w:t xml:space="preserve"> </w:t>
      </w:r>
      <w:r w:rsidR="00966FF1">
        <w:rPr>
          <w:rFonts w:ascii="Cambria" w:hAnsi="Cambria"/>
          <w:noProof/>
          <w:color w:val="000000"/>
        </w:rPr>
        <w:t>do kraja 2017. godine</w:t>
      </w:r>
      <w:r w:rsidR="00966FF1" w:rsidRPr="009D62DB">
        <w:rPr>
          <w:rFonts w:ascii="Cambria" w:hAnsi="Cambria" w:cs="Arial"/>
          <w:sz w:val="24"/>
          <w:szCs w:val="24"/>
          <w:lang w:val="sr-Latn-ME"/>
        </w:rPr>
        <w:t xml:space="preserve"> </w:t>
      </w:r>
      <w:r w:rsidR="00966FF1" w:rsidRPr="009D62DB">
        <w:rPr>
          <w:rFonts w:ascii="Cambria" w:hAnsi="Cambria"/>
          <w:noProof/>
          <w:color w:val="000000"/>
          <w:lang w:val="sr-Latn-ME"/>
        </w:rPr>
        <w:t xml:space="preserve">realizovano je 84% mjera, </w:t>
      </w:r>
      <w:r w:rsidR="00966FF1">
        <w:rPr>
          <w:rFonts w:ascii="Cambria" w:hAnsi="Cambria"/>
          <w:noProof/>
          <w:color w:val="000000"/>
          <w:lang w:val="sr-Latn-ME"/>
        </w:rPr>
        <w:t>dok</w:t>
      </w:r>
      <w:r w:rsidR="00966FF1" w:rsidRPr="009D62DB">
        <w:rPr>
          <w:rFonts w:ascii="Cambria" w:hAnsi="Cambria"/>
          <w:noProof/>
          <w:color w:val="000000"/>
          <w:lang w:val="sr-Latn-ME"/>
        </w:rPr>
        <w:t xml:space="preserve"> je </w:t>
      </w:r>
      <w:r w:rsidR="00966FF1">
        <w:rPr>
          <w:rFonts w:ascii="Cambria" w:hAnsi="Cambria"/>
          <w:noProof/>
          <w:color w:val="000000"/>
          <w:lang w:val="sr-Latn-ME"/>
        </w:rPr>
        <w:t>16</w:t>
      </w:r>
      <w:r w:rsidR="00966FF1" w:rsidRPr="00B131FB">
        <w:rPr>
          <w:rFonts w:ascii="Cambria" w:hAnsi="Cambria"/>
          <w:noProof/>
          <w:color w:val="000000"/>
          <w:lang w:val="sr-Latn-ME"/>
        </w:rPr>
        <w:t xml:space="preserve">% </w:t>
      </w:r>
      <w:r w:rsidR="00966FF1" w:rsidRPr="009D62DB">
        <w:rPr>
          <w:rFonts w:ascii="Cambria" w:hAnsi="Cambria"/>
          <w:noProof/>
          <w:color w:val="000000"/>
          <w:lang w:val="sr-Latn-ME"/>
        </w:rPr>
        <w:t>ostalo nerealizovano</w:t>
      </w:r>
      <w:r w:rsidR="00966FF1">
        <w:rPr>
          <w:rFonts w:ascii="Cambria" w:hAnsi="Cambria"/>
          <w:noProof/>
          <w:color w:val="000000"/>
          <w:lang w:val="sr-Latn-ME"/>
        </w:rPr>
        <w:t xml:space="preserve"> ili djelimično realizovano</w:t>
      </w:r>
      <w:r w:rsidR="00966FF1" w:rsidRPr="009D62DB">
        <w:rPr>
          <w:rFonts w:ascii="Cambria" w:hAnsi="Cambria"/>
          <w:noProof/>
          <w:color w:val="000000"/>
          <w:lang w:val="sr-Latn-ME"/>
        </w:rPr>
        <w:t>.</w:t>
      </w:r>
      <w:r w:rsidR="00966FF1">
        <w:rPr>
          <w:rFonts w:ascii="Cambria" w:hAnsi="Cambria"/>
          <w:noProof/>
          <w:color w:val="000000"/>
          <w:lang w:val="sr-Latn-ME"/>
        </w:rPr>
        <w:t xml:space="preserve"> Takođe, tokom 2018. godine uspostavljen je nacionalni helpdesk za upravljanje hemikalijama na čijem razvoju treba dalje raditi u narednom periodu, ali i samo njegovo uspostavljanje predstavlja realizaciju još jedne od aktivnosti iz akcionog plana 2015-2018 i dodatno podiže nivo realizacije. Pored toga, treba naglasiti da je u toku definisanje potrebnih aktivnosti na uspostavljanju Nacionalnog centra za kontrolu trovanja, u okviru neke od zdravstvenih institucija pod okriljem Ministarstva zdravlja.</w:t>
      </w:r>
    </w:p>
    <w:p w14:paraId="1A14BB25" w14:textId="64AE8E81" w:rsidR="00483135" w:rsidRPr="00855EB6" w:rsidRDefault="00855EB6" w:rsidP="00855EB6">
      <w:pPr>
        <w:pStyle w:val="Heading2"/>
        <w:spacing w:after="120"/>
        <w:rPr>
          <w:noProof/>
          <w:sz w:val="22"/>
          <w:szCs w:val="22"/>
          <w:lang w:val="en-US"/>
        </w:rPr>
      </w:pPr>
      <w:bookmarkStart w:id="131" w:name="_Toc527353231"/>
      <w:r>
        <w:rPr>
          <w:noProof/>
          <w:sz w:val="22"/>
          <w:szCs w:val="22"/>
          <w:lang w:val="en-US"/>
        </w:rPr>
        <w:t xml:space="preserve">2.12.2.    </w:t>
      </w:r>
      <w:r w:rsidR="00483135" w:rsidRPr="00855EB6">
        <w:rPr>
          <w:noProof/>
          <w:sz w:val="22"/>
          <w:szCs w:val="22"/>
          <w:lang w:val="en-US"/>
        </w:rPr>
        <w:t>Ključni nalazi analize stanja</w:t>
      </w:r>
      <w:r w:rsidR="00DA6287" w:rsidRPr="00855EB6">
        <w:rPr>
          <w:noProof/>
          <w:sz w:val="22"/>
          <w:szCs w:val="22"/>
          <w:lang w:val="en-US"/>
        </w:rPr>
        <w:t xml:space="preserve"> i identifikacija prioritetnh problema</w:t>
      </w:r>
      <w:r w:rsidR="009F5700" w:rsidRPr="00855EB6">
        <w:rPr>
          <w:noProof/>
          <w:sz w:val="22"/>
          <w:szCs w:val="22"/>
          <w:lang w:val="en-US"/>
        </w:rPr>
        <w:t xml:space="preserve"> i izazova</w:t>
      </w:r>
      <w:bookmarkEnd w:id="131"/>
    </w:p>
    <w:p w14:paraId="08F8605E" w14:textId="5642A89D" w:rsidR="0085640A" w:rsidRPr="0085640A" w:rsidRDefault="00483135" w:rsidP="00557C13">
      <w:pPr>
        <w:pStyle w:val="ListParagraph"/>
        <w:numPr>
          <w:ilvl w:val="0"/>
          <w:numId w:val="59"/>
        </w:numPr>
        <w:rPr>
          <w:rFonts w:ascii="Cambria" w:hAnsi="Cambria"/>
          <w:b/>
          <w:bCs/>
          <w:noProof/>
          <w:lang w:val="sr-Latn-CS" w:eastAsia="x-none"/>
        </w:rPr>
      </w:pPr>
      <w:r>
        <w:rPr>
          <w:rFonts w:ascii="Cambria" w:hAnsi="Cambria"/>
          <w:b/>
          <w:bCs/>
          <w:noProof/>
          <w:lang w:val="sr-Latn-CS" w:eastAsia="x-none"/>
        </w:rPr>
        <w:t>S</w:t>
      </w:r>
      <w:r w:rsidR="001B7BB6" w:rsidRPr="0085640A">
        <w:rPr>
          <w:rFonts w:ascii="Cambria" w:hAnsi="Cambria"/>
          <w:b/>
          <w:bCs/>
          <w:noProof/>
          <w:lang w:val="sr-Latn-CS" w:eastAsia="x-none"/>
        </w:rPr>
        <w:t>ituacij</w:t>
      </w:r>
      <w:r w:rsidR="007D1CDD">
        <w:rPr>
          <w:rFonts w:ascii="Cambria" w:hAnsi="Cambria"/>
          <w:b/>
          <w:bCs/>
          <w:noProof/>
          <w:lang w:val="sr-Latn-CS" w:eastAsia="x-none"/>
        </w:rPr>
        <w:t>a</w:t>
      </w:r>
      <w:r w:rsidR="001B7BB6" w:rsidRPr="0085640A">
        <w:rPr>
          <w:rFonts w:ascii="Cambria" w:hAnsi="Cambria"/>
          <w:b/>
          <w:bCs/>
          <w:noProof/>
          <w:lang w:val="sr-Latn-CS" w:eastAsia="x-none"/>
        </w:rPr>
        <w:t xml:space="preserve"> u privredi i životnoj sredini sa </w:t>
      </w:r>
      <w:r w:rsidR="0085640A" w:rsidRPr="0085640A">
        <w:rPr>
          <w:rFonts w:ascii="Cambria" w:hAnsi="Cambria"/>
          <w:b/>
          <w:bCs/>
          <w:noProof/>
          <w:lang w:val="sr-Latn-CS" w:eastAsia="x-none"/>
        </w:rPr>
        <w:t>fokusom na proizvodnj</w:t>
      </w:r>
      <w:r w:rsidR="0085640A">
        <w:rPr>
          <w:rFonts w:ascii="Cambria" w:hAnsi="Cambria"/>
          <w:b/>
          <w:bCs/>
          <w:noProof/>
          <w:lang w:val="sr-Latn-CS" w:eastAsia="x-none"/>
        </w:rPr>
        <w:t>u</w:t>
      </w:r>
      <w:r w:rsidR="0085640A" w:rsidRPr="0085640A">
        <w:rPr>
          <w:rFonts w:ascii="Cambria" w:hAnsi="Cambria"/>
          <w:b/>
          <w:bCs/>
          <w:noProof/>
          <w:lang w:val="sr-Latn-CS" w:eastAsia="x-none"/>
        </w:rPr>
        <w:t>, uvoz, izvoz, upotreba hemikalija i odlaganje otpada</w:t>
      </w:r>
    </w:p>
    <w:p w14:paraId="5A7AECD1" w14:textId="2DE7A5DB" w:rsidR="00B27AB2" w:rsidRPr="0085640A" w:rsidRDefault="00846C39" w:rsidP="0085640A">
      <w:pPr>
        <w:jc w:val="both"/>
        <w:rPr>
          <w:rFonts w:ascii="Cambria" w:hAnsi="Cambria"/>
          <w:bCs/>
          <w:noProof/>
          <w:lang w:eastAsia="x-none"/>
        </w:rPr>
      </w:pPr>
      <w:r>
        <w:rPr>
          <w:rFonts w:ascii="Cambria" w:hAnsi="Cambria"/>
          <w:noProof/>
          <w:lang w:eastAsia="x-none"/>
        </w:rPr>
        <w:t>Privreda Crne Gore ima karakteristično visok udeo</w:t>
      </w:r>
      <w:r w:rsidR="00940A11" w:rsidRPr="00940A11">
        <w:rPr>
          <w:rFonts w:ascii="Cambria" w:hAnsi="Cambria"/>
          <w:noProof/>
          <w:lang w:eastAsia="x-none"/>
        </w:rPr>
        <w:t xml:space="preserve"> učešća usluga</w:t>
      </w:r>
      <w:r w:rsidR="00940A11">
        <w:rPr>
          <w:rFonts w:ascii="Cambria" w:hAnsi="Cambria"/>
          <w:noProof/>
          <w:lang w:eastAsia="x-none"/>
        </w:rPr>
        <w:t xml:space="preserve"> </w:t>
      </w:r>
      <w:r w:rsidR="00940A11" w:rsidRPr="0085640A">
        <w:rPr>
          <w:rFonts w:ascii="Cambria" w:hAnsi="Cambria"/>
          <w:noProof/>
          <w:lang w:eastAsia="x-none"/>
        </w:rPr>
        <w:t>(preko 75%</w:t>
      </w:r>
      <w:r w:rsidR="00940A11" w:rsidRPr="00940A11">
        <w:rPr>
          <w:rFonts w:ascii="Cambria" w:hAnsi="Cambria"/>
          <w:noProof/>
          <w:lang w:eastAsia="x-none"/>
        </w:rPr>
        <w:t xml:space="preserve"> </w:t>
      </w:r>
      <w:r w:rsidR="00940A11" w:rsidRPr="0085640A">
        <w:rPr>
          <w:rFonts w:ascii="Cambria" w:hAnsi="Cambria"/>
          <w:noProof/>
          <w:lang w:eastAsia="x-none"/>
        </w:rPr>
        <w:t>u ukupnom BDP)</w:t>
      </w:r>
      <w:r w:rsidR="00940A11" w:rsidRPr="00940A11">
        <w:rPr>
          <w:rFonts w:ascii="Cambria" w:hAnsi="Cambria"/>
          <w:noProof/>
          <w:lang w:eastAsia="x-none"/>
        </w:rPr>
        <w:t xml:space="preserve"> </w:t>
      </w:r>
      <w:r>
        <w:rPr>
          <w:rFonts w:ascii="Cambria" w:hAnsi="Cambria"/>
          <w:noProof/>
          <w:lang w:eastAsia="x-none"/>
        </w:rPr>
        <w:t>i</w:t>
      </w:r>
      <w:r w:rsidR="00940A11" w:rsidRPr="00940A11">
        <w:rPr>
          <w:rFonts w:ascii="Cambria" w:hAnsi="Cambria"/>
          <w:noProof/>
          <w:lang w:eastAsia="x-none"/>
        </w:rPr>
        <w:t xml:space="preserve"> </w:t>
      </w:r>
      <w:r>
        <w:rPr>
          <w:rFonts w:ascii="Cambria" w:hAnsi="Cambria"/>
          <w:noProof/>
          <w:lang w:eastAsia="x-none"/>
        </w:rPr>
        <w:t>relativno malo</w:t>
      </w:r>
      <w:r w:rsidR="00940A11" w:rsidRPr="00940A11">
        <w:rPr>
          <w:rFonts w:ascii="Cambria" w:hAnsi="Cambria"/>
          <w:noProof/>
          <w:lang w:eastAsia="x-none"/>
        </w:rPr>
        <w:t xml:space="preserve"> učešć</w:t>
      </w:r>
      <w:r>
        <w:rPr>
          <w:rFonts w:ascii="Cambria" w:hAnsi="Cambria"/>
          <w:noProof/>
          <w:lang w:eastAsia="x-none"/>
        </w:rPr>
        <w:t>e</w:t>
      </w:r>
      <w:r w:rsidR="00940A11" w:rsidRPr="00940A11">
        <w:rPr>
          <w:rFonts w:ascii="Cambria" w:hAnsi="Cambria"/>
          <w:noProof/>
          <w:lang w:eastAsia="x-none"/>
        </w:rPr>
        <w:t xml:space="preserve"> industrije i poljoprivrede u ukupnoj ekonomskoj aktivnosti.</w:t>
      </w:r>
      <w:r w:rsidR="00940A11">
        <w:rPr>
          <w:rFonts w:ascii="Cambria" w:hAnsi="Cambria"/>
          <w:noProof/>
          <w:lang w:eastAsia="x-none"/>
        </w:rPr>
        <w:t xml:space="preserve"> </w:t>
      </w:r>
      <w:r>
        <w:rPr>
          <w:rFonts w:ascii="Cambria" w:hAnsi="Cambria"/>
          <w:noProof/>
          <w:lang w:eastAsia="x-none"/>
        </w:rPr>
        <w:t xml:space="preserve">Nakon </w:t>
      </w:r>
      <w:r w:rsidRPr="00846C39">
        <w:rPr>
          <w:rFonts w:ascii="Cambria" w:hAnsi="Cambria"/>
          <w:noProof/>
          <w:lang w:eastAsia="x-none"/>
        </w:rPr>
        <w:t>značajno</w:t>
      </w:r>
      <w:r>
        <w:rPr>
          <w:rFonts w:ascii="Cambria" w:hAnsi="Cambria"/>
          <w:noProof/>
          <w:lang w:eastAsia="x-none"/>
        </w:rPr>
        <w:t>g</w:t>
      </w:r>
      <w:r w:rsidRPr="00846C39">
        <w:rPr>
          <w:rFonts w:ascii="Cambria" w:hAnsi="Cambria"/>
          <w:noProof/>
          <w:lang w:eastAsia="x-none"/>
        </w:rPr>
        <w:t xml:space="preserve"> pad</w:t>
      </w:r>
      <w:r>
        <w:rPr>
          <w:rFonts w:ascii="Cambria" w:hAnsi="Cambria"/>
          <w:noProof/>
          <w:lang w:eastAsia="x-none"/>
        </w:rPr>
        <w:t>a</w:t>
      </w:r>
      <w:r w:rsidRPr="00846C39">
        <w:rPr>
          <w:rFonts w:ascii="Cambria" w:hAnsi="Cambria"/>
          <w:noProof/>
          <w:lang w:eastAsia="x-none"/>
        </w:rPr>
        <w:t xml:space="preserve"> ekonomske aktivnosti uzrokovanih globalnom ekonomskom krizom, crnogorska ekonomija u posljednjih godina bilježi trendove oporavka</w:t>
      </w:r>
      <w:r w:rsidR="00940A11">
        <w:rPr>
          <w:rFonts w:ascii="Cambria" w:hAnsi="Cambria"/>
          <w:noProof/>
          <w:lang w:eastAsia="x-none"/>
        </w:rPr>
        <w:t xml:space="preserve">. </w:t>
      </w:r>
      <w:r w:rsidR="00047270" w:rsidRPr="0085640A">
        <w:rPr>
          <w:rFonts w:ascii="Cambria" w:hAnsi="Cambria"/>
          <w:noProof/>
          <w:lang w:eastAsia="x-none"/>
        </w:rPr>
        <w:t xml:space="preserve"> </w:t>
      </w:r>
      <w:r>
        <w:rPr>
          <w:rFonts w:ascii="Cambria" w:hAnsi="Cambria"/>
          <w:noProof/>
          <w:lang w:eastAsia="x-none"/>
        </w:rPr>
        <w:t>Ipak, n</w:t>
      </w:r>
      <w:r w:rsidR="00392F98" w:rsidRPr="0085640A">
        <w:rPr>
          <w:rFonts w:ascii="Cambria" w:hAnsi="Cambria"/>
          <w:bCs/>
          <w:noProof/>
          <w:lang w:eastAsia="x-none"/>
        </w:rPr>
        <w:t>ajveća industrijska postrojenja, poput KAP i željezare Toščelik, su u granama</w:t>
      </w:r>
      <w:r w:rsidR="00392F98" w:rsidRPr="0085640A">
        <w:rPr>
          <w:rFonts w:ascii="Cambria" w:hAnsi="Cambria"/>
          <w:noProof/>
          <w:lang w:eastAsia="x-none"/>
        </w:rPr>
        <w:t xml:space="preserve"> </w:t>
      </w:r>
      <w:r w:rsidR="00392F98" w:rsidRPr="0085640A">
        <w:rPr>
          <w:rFonts w:ascii="Cambria" w:hAnsi="Cambria"/>
          <w:bCs/>
          <w:noProof/>
          <w:lang w:eastAsia="x-none"/>
        </w:rPr>
        <w:t xml:space="preserve">metalurgije i metaloprerade kod kojih dominiraju </w:t>
      </w:r>
      <w:r w:rsidR="00392F98" w:rsidRPr="00A23E6C">
        <w:rPr>
          <w:rFonts w:ascii="Cambria" w:hAnsi="Cambria"/>
          <w:b/>
          <w:bCs/>
          <w:noProof/>
          <w:lang w:eastAsia="x-none"/>
        </w:rPr>
        <w:t xml:space="preserve">zastarjele tehnologije </w:t>
      </w:r>
      <w:r w:rsidR="00392F98" w:rsidRPr="00A23E6C">
        <w:rPr>
          <w:rFonts w:ascii="Cambria" w:hAnsi="Cambria"/>
          <w:bCs/>
          <w:noProof/>
          <w:lang w:eastAsia="x-none"/>
        </w:rPr>
        <w:t>za koje je karakterističan visok stepen emisija</w:t>
      </w:r>
      <w:r w:rsidR="00B27AB2" w:rsidRPr="0085640A">
        <w:rPr>
          <w:rFonts w:ascii="Cambria" w:hAnsi="Cambria"/>
          <w:bCs/>
          <w:noProof/>
          <w:lang w:eastAsia="x-none"/>
        </w:rPr>
        <w:t xml:space="preserve">. </w:t>
      </w:r>
    </w:p>
    <w:p w14:paraId="38DBE42B" w14:textId="26A3BB74" w:rsidR="00B27AB2" w:rsidRDefault="009B67DD" w:rsidP="005921EF">
      <w:pPr>
        <w:jc w:val="both"/>
        <w:rPr>
          <w:rFonts w:ascii="Cambria" w:hAnsi="Cambria"/>
          <w:noProof/>
          <w:lang w:eastAsia="x-none"/>
        </w:rPr>
      </w:pPr>
      <w:r w:rsidRPr="00A23E6C">
        <w:rPr>
          <w:rFonts w:ascii="Cambria" w:hAnsi="Cambria"/>
          <w:b/>
          <w:noProof/>
          <w:lang w:eastAsia="x-none"/>
        </w:rPr>
        <w:t>Hemikalije na tržište Crne Gore dosp</w:t>
      </w:r>
      <w:r w:rsidR="00940B64" w:rsidRPr="00A23E6C">
        <w:rPr>
          <w:rFonts w:ascii="Cambria" w:hAnsi="Cambria"/>
          <w:b/>
          <w:noProof/>
          <w:lang w:eastAsia="x-none"/>
        </w:rPr>
        <w:t>ij</w:t>
      </w:r>
      <w:r w:rsidRPr="00A23E6C">
        <w:rPr>
          <w:rFonts w:ascii="Cambria" w:hAnsi="Cambria"/>
          <w:b/>
          <w:noProof/>
          <w:lang w:eastAsia="x-none"/>
        </w:rPr>
        <w:t>evaju uglavnom uvozom</w:t>
      </w:r>
      <w:r w:rsidRPr="00AB15C7">
        <w:rPr>
          <w:rFonts w:ascii="Cambria" w:hAnsi="Cambria"/>
          <w:noProof/>
          <w:lang w:eastAsia="x-none"/>
        </w:rPr>
        <w:t xml:space="preserve">, a najveće količine uvezenih hemikalija </w:t>
      </w:r>
      <w:r w:rsidRPr="00A23E6C">
        <w:rPr>
          <w:rFonts w:ascii="Cambria" w:hAnsi="Cambria"/>
          <w:b/>
          <w:noProof/>
          <w:lang w:eastAsia="x-none"/>
        </w:rPr>
        <w:t>koriste se kao sirovine u industrijskoj proizvodnji ili za profesionalnu upotrebu</w:t>
      </w:r>
      <w:r w:rsidRPr="00AB15C7">
        <w:rPr>
          <w:rFonts w:ascii="Cambria" w:hAnsi="Cambria"/>
          <w:noProof/>
          <w:lang w:eastAsia="x-none"/>
        </w:rPr>
        <w:t xml:space="preserve"> prilikom obavljanja registrovane d</w:t>
      </w:r>
      <w:r w:rsidR="00940B64">
        <w:rPr>
          <w:rFonts w:ascii="Cambria" w:hAnsi="Cambria"/>
          <w:noProof/>
          <w:lang w:eastAsia="x-none"/>
        </w:rPr>
        <w:t>j</w:t>
      </w:r>
      <w:r w:rsidRPr="00AB15C7">
        <w:rPr>
          <w:rFonts w:ascii="Cambria" w:hAnsi="Cambria"/>
          <w:noProof/>
          <w:lang w:eastAsia="x-none"/>
        </w:rPr>
        <w:t>elatnosti. Postrojenja u kojima se vrši sinteza hemikalija ne postoje u Crnoj Gori, a eventualna proizvodnja hemikalija i hemijskih proizvoda svodi se na um</w:t>
      </w:r>
      <w:r w:rsidR="00586C5E">
        <w:rPr>
          <w:rFonts w:ascii="Cambria" w:hAnsi="Cambria"/>
          <w:noProof/>
          <w:lang w:eastAsia="x-none"/>
        </w:rPr>
        <w:t>j</w:t>
      </w:r>
      <w:r w:rsidRPr="00AB15C7">
        <w:rPr>
          <w:rFonts w:ascii="Cambria" w:hAnsi="Cambria"/>
          <w:noProof/>
          <w:lang w:eastAsia="x-none"/>
        </w:rPr>
        <w:t>ešavanje sm</w:t>
      </w:r>
      <w:r w:rsidR="00586C5E">
        <w:rPr>
          <w:rFonts w:ascii="Cambria" w:hAnsi="Cambria"/>
          <w:noProof/>
          <w:lang w:eastAsia="x-none"/>
        </w:rPr>
        <w:t>j</w:t>
      </w:r>
      <w:r w:rsidRPr="00AB15C7">
        <w:rPr>
          <w:rFonts w:ascii="Cambria" w:hAnsi="Cambria"/>
          <w:noProof/>
          <w:lang w:eastAsia="x-none"/>
        </w:rPr>
        <w:t>eša nam</w:t>
      </w:r>
      <w:r w:rsidR="00586C5E">
        <w:rPr>
          <w:rFonts w:ascii="Cambria" w:hAnsi="Cambria"/>
          <w:noProof/>
          <w:lang w:eastAsia="x-none"/>
        </w:rPr>
        <w:t>ij</w:t>
      </w:r>
      <w:r w:rsidRPr="00AB15C7">
        <w:rPr>
          <w:rFonts w:ascii="Cambria" w:hAnsi="Cambria"/>
          <w:noProof/>
          <w:lang w:eastAsia="x-none"/>
        </w:rPr>
        <w:t xml:space="preserve">enjenih za čišćenje i održavanje domaćinstva (tzv. kućna hemija).  </w:t>
      </w:r>
      <w:r w:rsidR="00A97570">
        <w:rPr>
          <w:rFonts w:ascii="Cambria" w:hAnsi="Cambria"/>
          <w:noProof/>
          <w:lang w:eastAsia="x-none"/>
        </w:rPr>
        <w:t xml:space="preserve">Potrošnja hemikalija u domaćinstvima </w:t>
      </w:r>
      <w:r w:rsidR="006A0A64">
        <w:rPr>
          <w:rFonts w:ascii="Cambria" w:hAnsi="Cambria"/>
          <w:noProof/>
          <w:lang w:eastAsia="x-none"/>
        </w:rPr>
        <w:t xml:space="preserve">prvenstveno </w:t>
      </w:r>
      <w:r w:rsidR="00A97570">
        <w:rPr>
          <w:rFonts w:ascii="Cambria" w:hAnsi="Cambria"/>
          <w:noProof/>
          <w:lang w:eastAsia="x-none"/>
        </w:rPr>
        <w:t xml:space="preserve">je </w:t>
      </w:r>
      <w:r w:rsidR="006A0A64">
        <w:rPr>
          <w:rFonts w:ascii="Cambria" w:hAnsi="Cambria"/>
          <w:noProof/>
          <w:lang w:eastAsia="x-none"/>
        </w:rPr>
        <w:t xml:space="preserve">bazirana </w:t>
      </w:r>
      <w:r w:rsidR="00A97570">
        <w:rPr>
          <w:rFonts w:ascii="Cambria" w:hAnsi="Cambria"/>
          <w:noProof/>
          <w:lang w:eastAsia="x-none"/>
        </w:rPr>
        <w:t xml:space="preserve">na korišćenju sredstava za čišćenje i održavanje lične higijene. </w:t>
      </w:r>
      <w:r w:rsidR="006D54B8">
        <w:rPr>
          <w:rFonts w:ascii="Cambria" w:hAnsi="Cambria"/>
          <w:noProof/>
          <w:lang w:eastAsia="x-none"/>
        </w:rPr>
        <w:lastRenderedPageBreak/>
        <w:t>U</w:t>
      </w:r>
      <w:r w:rsidR="006A0A64">
        <w:rPr>
          <w:rFonts w:ascii="Cambria" w:hAnsi="Cambria"/>
          <w:noProof/>
          <w:lang w:eastAsia="x-none"/>
        </w:rPr>
        <w:t>d</w:t>
      </w:r>
      <w:r w:rsidR="006D54B8">
        <w:rPr>
          <w:rFonts w:ascii="Cambria" w:hAnsi="Cambria"/>
          <w:noProof/>
          <w:lang w:eastAsia="x-none"/>
        </w:rPr>
        <w:t>i</w:t>
      </w:r>
      <w:r w:rsidR="006A0A64">
        <w:rPr>
          <w:rFonts w:ascii="Cambria" w:hAnsi="Cambria"/>
          <w:noProof/>
          <w:lang w:eastAsia="x-none"/>
        </w:rPr>
        <w:t xml:space="preserve">o poljoprivrednog zemljišta </w:t>
      </w:r>
      <w:r w:rsidR="006D54B8">
        <w:rPr>
          <w:rFonts w:ascii="Cambria" w:hAnsi="Cambria"/>
          <w:noProof/>
          <w:lang w:eastAsia="x-none"/>
        </w:rPr>
        <w:t>pod zasadima gajenih biljaka</w:t>
      </w:r>
      <w:r w:rsidR="006D54B8" w:rsidRPr="006D54B8">
        <w:rPr>
          <w:rFonts w:ascii="Cambria" w:hAnsi="Cambria"/>
          <w:noProof/>
          <w:lang w:eastAsia="x-none"/>
        </w:rPr>
        <w:t xml:space="preserve"> </w:t>
      </w:r>
      <w:r w:rsidR="006D54B8">
        <w:rPr>
          <w:rFonts w:ascii="Cambria" w:hAnsi="Cambria"/>
          <w:noProof/>
          <w:lang w:eastAsia="x-none"/>
        </w:rPr>
        <w:t>je relativno mali</w:t>
      </w:r>
      <w:r w:rsidR="006A0A64">
        <w:rPr>
          <w:rFonts w:ascii="Cambria" w:hAnsi="Cambria"/>
          <w:noProof/>
          <w:lang w:eastAsia="x-none"/>
        </w:rPr>
        <w:t xml:space="preserve">, </w:t>
      </w:r>
      <w:r w:rsidR="006D54B8">
        <w:rPr>
          <w:rFonts w:ascii="Cambria" w:hAnsi="Cambria"/>
          <w:noProof/>
          <w:lang w:eastAsia="x-none"/>
        </w:rPr>
        <w:t xml:space="preserve">a shodno tome i količine </w:t>
      </w:r>
      <w:r w:rsidR="006A0A64">
        <w:rPr>
          <w:rFonts w:ascii="Cambria" w:hAnsi="Cambria"/>
          <w:noProof/>
          <w:lang w:eastAsia="x-none"/>
        </w:rPr>
        <w:t>korišćen</w:t>
      </w:r>
      <w:r w:rsidR="006D54B8">
        <w:rPr>
          <w:rFonts w:ascii="Cambria" w:hAnsi="Cambria"/>
          <w:noProof/>
          <w:lang w:eastAsia="x-none"/>
        </w:rPr>
        <w:t xml:space="preserve">ih </w:t>
      </w:r>
      <w:r w:rsidR="006A0A64">
        <w:rPr>
          <w:rFonts w:ascii="Cambria" w:hAnsi="Cambria"/>
          <w:noProof/>
          <w:lang w:eastAsia="x-none"/>
        </w:rPr>
        <w:t>sredstava za zaštitu bilja</w:t>
      </w:r>
      <w:r w:rsidR="006D54B8">
        <w:rPr>
          <w:rFonts w:ascii="Cambria" w:hAnsi="Cambria"/>
          <w:noProof/>
          <w:lang w:eastAsia="x-none"/>
        </w:rPr>
        <w:t xml:space="preserve"> odgovaraju zastupljenosti poljoprivredne proizvodnje</w:t>
      </w:r>
      <w:r w:rsidR="00A97570">
        <w:rPr>
          <w:rFonts w:ascii="Cambria" w:hAnsi="Cambria"/>
          <w:noProof/>
          <w:lang w:eastAsia="x-none"/>
        </w:rPr>
        <w:t xml:space="preserve">.  </w:t>
      </w:r>
      <w:r w:rsidRPr="00AB15C7">
        <w:rPr>
          <w:rFonts w:ascii="Cambria" w:hAnsi="Cambria"/>
          <w:noProof/>
          <w:lang w:eastAsia="x-none"/>
        </w:rPr>
        <w:t>Izvoza hemikalija iz Crne Gore poslednjih godina nema. Transport opasnih hemikalija se obavlja u skladu sa nacionalnim propisima i međunarodnim pravilima o prevozu opasnih materija (</w:t>
      </w:r>
      <w:r w:rsidRPr="00AB15C7">
        <w:rPr>
          <w:rFonts w:ascii="Cambria" w:hAnsi="Cambria"/>
          <w:bCs/>
          <w:noProof/>
          <w:lang w:eastAsia="x-none"/>
        </w:rPr>
        <w:t>ADR/RID/AND, IMDG, IATA).</w:t>
      </w:r>
      <w:r w:rsidRPr="00AB15C7">
        <w:rPr>
          <w:rFonts w:ascii="Cambria" w:hAnsi="Cambria"/>
          <w:noProof/>
          <w:lang w:eastAsia="x-none"/>
        </w:rPr>
        <w:t xml:space="preserve"> U Crnoj Gori se ne vrši spaljivanje opasnog otpada niti postoje deponije projektovane za prihvat opasnih materija.  Kada se sakupi, opasni otpad se čuva na za to predviđenoj lokaciji, a zatim se izvozi uglavnom u zemlje E</w:t>
      </w:r>
      <w:r w:rsidR="001D63E4">
        <w:rPr>
          <w:rFonts w:ascii="Cambria" w:hAnsi="Cambria"/>
          <w:noProof/>
          <w:lang w:eastAsia="x-none"/>
        </w:rPr>
        <w:t>U</w:t>
      </w:r>
      <w:r w:rsidRPr="00AB15C7">
        <w:rPr>
          <w:rFonts w:ascii="Cambria" w:hAnsi="Cambria"/>
          <w:noProof/>
          <w:lang w:eastAsia="x-none"/>
        </w:rPr>
        <w:t xml:space="preserve"> gdje se obrađuje i spaljuje. </w:t>
      </w:r>
      <w:r w:rsidR="00181346" w:rsidRPr="00D872CC">
        <w:rPr>
          <w:rFonts w:ascii="Cambria" w:hAnsi="Cambria" w:cs="TimesNewRomanPSMT"/>
          <w:b/>
          <w:noProof/>
          <w:lang w:val="hr-HR"/>
        </w:rPr>
        <w:t>Otpad i zastarjele zagađujuće tehnologije</w:t>
      </w:r>
      <w:r w:rsidR="00181346" w:rsidRPr="00AB15C7">
        <w:rPr>
          <w:rFonts w:ascii="Cambria" w:hAnsi="Cambria" w:cs="TimesNewRomanPSMT"/>
          <w:noProof/>
          <w:lang w:val="hr-HR"/>
        </w:rPr>
        <w:t xml:space="preserve"> koje su primjenjivane u industriji predstavljaju glavne uzročnike zagađenja</w:t>
      </w:r>
      <w:r w:rsidR="00181346" w:rsidRPr="00AB15C7">
        <w:rPr>
          <w:rFonts w:ascii="Cambria" w:hAnsi="Cambria" w:cs="TimesNewRomanPSMT"/>
          <w:noProof/>
          <w:lang w:val="sr-Latn-ME"/>
        </w:rPr>
        <w:t>, ka</w:t>
      </w:r>
      <w:r w:rsidR="00181346">
        <w:rPr>
          <w:rFonts w:ascii="Cambria" w:hAnsi="Cambria" w:cs="TimesNewRomanPSMT"/>
          <w:noProof/>
          <w:lang w:val="sr-Latn-ME"/>
        </w:rPr>
        <w:t>o</w:t>
      </w:r>
      <w:r w:rsidR="00181346" w:rsidRPr="00AB15C7">
        <w:rPr>
          <w:rFonts w:ascii="Cambria" w:hAnsi="Cambria" w:cs="TimesNewRomanPSMT"/>
          <w:noProof/>
          <w:lang w:val="sr-Latn-ME"/>
        </w:rPr>
        <w:t xml:space="preserve"> i </w:t>
      </w:r>
      <w:r w:rsidR="00181346" w:rsidRPr="00E55FA3">
        <w:rPr>
          <w:rFonts w:ascii="Cambria" w:hAnsi="Cambria" w:cs="TimesNewRomanPSMT"/>
          <w:b/>
          <w:noProof/>
          <w:lang w:val="sr-Latn-ME"/>
        </w:rPr>
        <w:t>iz</w:t>
      </w:r>
      <w:r w:rsidR="00181346" w:rsidRPr="00E55FA3">
        <w:rPr>
          <w:rFonts w:ascii="Cambria" w:hAnsi="Cambria" w:cs="TimesNewRomanPSMT"/>
          <w:b/>
          <w:noProof/>
          <w:lang w:val="hr-HR"/>
        </w:rPr>
        <w:t>ostanak adekvatnih mjera prevenci</w:t>
      </w:r>
      <w:r w:rsidR="00181346" w:rsidRPr="001D63E4">
        <w:rPr>
          <w:rFonts w:ascii="Cambria" w:hAnsi="Cambria" w:cs="TimesNewRomanPSMT"/>
          <w:b/>
          <w:noProof/>
          <w:lang w:val="hr-HR"/>
        </w:rPr>
        <w:t>je</w:t>
      </w:r>
      <w:r w:rsidR="00181346" w:rsidRPr="00AB15C7">
        <w:rPr>
          <w:rFonts w:ascii="Cambria" w:hAnsi="Cambria" w:cs="TimesNewRomanPSMT"/>
          <w:noProof/>
          <w:lang w:val="hr-HR"/>
        </w:rPr>
        <w:t xml:space="preserve"> zagađenja. </w:t>
      </w:r>
      <w:r w:rsidR="000D7B62" w:rsidRPr="00D872CC">
        <w:rPr>
          <w:rFonts w:ascii="Cambria" w:hAnsi="Cambria"/>
          <w:noProof/>
          <w:lang w:eastAsia="x-none"/>
        </w:rPr>
        <w:t>Industrijski otpad</w:t>
      </w:r>
      <w:r w:rsidR="000D7B62" w:rsidRPr="00AB15C7">
        <w:rPr>
          <w:rFonts w:ascii="Cambria" w:hAnsi="Cambria"/>
          <w:noProof/>
          <w:lang w:eastAsia="x-none"/>
        </w:rPr>
        <w:t xml:space="preserve"> predstavlja izvor izuzetnog pritiska na sve segmente životne sredine, a posebno u slučajevima neadekvatnog upravljanja istim. </w:t>
      </w:r>
      <w:r w:rsidR="00181346" w:rsidRPr="00AB15C7">
        <w:rPr>
          <w:rFonts w:ascii="Cambria" w:hAnsi="Cambria"/>
          <w:noProof/>
          <w:lang w:eastAsia="x-none"/>
        </w:rPr>
        <w:t xml:space="preserve">Na nacionalnom nivou, </w:t>
      </w:r>
      <w:r w:rsidR="000D7B62">
        <w:rPr>
          <w:rFonts w:ascii="Cambria" w:hAnsi="Cambria"/>
          <w:noProof/>
          <w:lang w:eastAsia="x-none"/>
        </w:rPr>
        <w:t xml:space="preserve">pokrenut je projekat čije aktivnosti uključuju </w:t>
      </w:r>
      <w:r w:rsidR="00181346">
        <w:rPr>
          <w:rFonts w:ascii="Cambria" w:hAnsi="Cambria"/>
          <w:noProof/>
          <w:lang w:eastAsia="x-none"/>
        </w:rPr>
        <w:t>r</w:t>
      </w:r>
      <w:r w:rsidR="00586C5E">
        <w:rPr>
          <w:rFonts w:ascii="Cambria" w:hAnsi="Cambria"/>
          <w:noProof/>
          <w:lang w:eastAsia="x-none"/>
        </w:rPr>
        <w:t>j</w:t>
      </w:r>
      <w:r w:rsidR="00181346">
        <w:rPr>
          <w:rFonts w:ascii="Cambria" w:hAnsi="Cambria"/>
          <w:noProof/>
          <w:lang w:eastAsia="x-none"/>
        </w:rPr>
        <w:t xml:space="preserve">ešavanje </w:t>
      </w:r>
      <w:r w:rsidR="00181346" w:rsidRPr="00AB15C7">
        <w:rPr>
          <w:rFonts w:ascii="Cambria" w:hAnsi="Cambria"/>
          <w:noProof/>
          <w:lang w:eastAsia="x-none"/>
        </w:rPr>
        <w:t xml:space="preserve">problema </w:t>
      </w:r>
      <w:r w:rsidR="00181346" w:rsidRPr="009F5700">
        <w:rPr>
          <w:rFonts w:ascii="Cambria" w:hAnsi="Cambria" w:cs="TimesNewRomanPSMT"/>
          <w:b/>
          <w:noProof/>
          <w:lang w:val="sr-Latn-ME"/>
        </w:rPr>
        <w:t>deponija industrijskog otpada</w:t>
      </w:r>
      <w:r w:rsidR="00181346" w:rsidRPr="00AB15C7">
        <w:rPr>
          <w:rFonts w:ascii="Cambria" w:hAnsi="Cambria" w:cs="TimesNewRomanPSMT"/>
          <w:noProof/>
          <w:lang w:val="sr-Latn-ME"/>
        </w:rPr>
        <w:t>: baseni crvenog mulja i odlagalište industrijskog otpada u KAP-u, odlagalište industrijskog otpada – grit u Jadranskom brodogradilištu Bijela, odlagalište pepela i šljake „Maljevac“ u Pljevljima i flotacijsko jalovište olova i cinka Gradac - rudnik „Šuplja stijena“ u Pljevljima.</w:t>
      </w:r>
      <w:r w:rsidRPr="00AB15C7">
        <w:rPr>
          <w:rFonts w:ascii="Cambria" w:hAnsi="Cambria"/>
          <w:noProof/>
          <w:lang w:eastAsia="x-none"/>
        </w:rPr>
        <w:t xml:space="preserve"> Poseban problem predstavljaju </w:t>
      </w:r>
      <w:r w:rsidRPr="004E256B">
        <w:rPr>
          <w:rFonts w:ascii="Cambria" w:hAnsi="Cambria"/>
          <w:b/>
          <w:noProof/>
          <w:lang w:eastAsia="x-none"/>
        </w:rPr>
        <w:t>zaostale hemikalije</w:t>
      </w:r>
      <w:r w:rsidRPr="00AB15C7">
        <w:rPr>
          <w:rFonts w:ascii="Cambria" w:hAnsi="Cambria"/>
          <w:noProof/>
          <w:lang w:eastAsia="x-none"/>
        </w:rPr>
        <w:t xml:space="preserve"> u starim fabrikama iz vremena  SFRJ  koje su prošle kroz brojne transformacije i poslovne krize koje su uzrokovale neadekvatno staranje o hemikalijama u krugu fabrike. </w:t>
      </w:r>
    </w:p>
    <w:p w14:paraId="036A0BE5" w14:textId="7E309C43" w:rsidR="0085640A" w:rsidRDefault="00842E1A" w:rsidP="005921EF">
      <w:pPr>
        <w:jc w:val="both"/>
        <w:rPr>
          <w:rFonts w:ascii="Cambria" w:hAnsi="Cambria"/>
          <w:noProof/>
          <w:lang w:val="sr-Latn-RS" w:eastAsia="x-none"/>
        </w:rPr>
      </w:pPr>
      <w:bookmarkStart w:id="132" w:name="_Hlk525815639"/>
      <w:r w:rsidRPr="00AB15C7">
        <w:rPr>
          <w:rFonts w:ascii="Cambria" w:hAnsi="Cambria"/>
          <w:noProof/>
          <w:lang w:val="sr-Latn-CS" w:eastAsia="x-none"/>
        </w:rPr>
        <w:t xml:space="preserve">Stanje životne sredine Crne Gore prati se na osnovu rezultata mjerenja ostvarenih realizacijom Programa </w:t>
      </w:r>
      <w:r w:rsidRPr="001D63E4">
        <w:rPr>
          <w:rFonts w:ascii="Cambria" w:hAnsi="Cambria"/>
          <w:b/>
          <w:noProof/>
          <w:lang w:val="sr-Latn-CS" w:eastAsia="x-none"/>
        </w:rPr>
        <w:t>monitoringa životne sredine</w:t>
      </w:r>
      <w:r w:rsidRPr="00AB15C7">
        <w:rPr>
          <w:rFonts w:ascii="Cambria" w:hAnsi="Cambria"/>
          <w:noProof/>
          <w:lang w:val="sr-Latn-CS" w:eastAsia="x-none"/>
        </w:rPr>
        <w:t xml:space="preserve"> i prikupljenih podataka, kroz direktnu saradnju institucija</w:t>
      </w:r>
      <w:r w:rsidR="00210FCC">
        <w:rPr>
          <w:rFonts w:ascii="Cambria" w:hAnsi="Cambria"/>
          <w:noProof/>
          <w:lang w:val="sr-Latn-CS" w:eastAsia="x-none"/>
        </w:rPr>
        <w:t xml:space="preserve"> </w:t>
      </w:r>
      <w:r w:rsidRPr="00AB15C7">
        <w:rPr>
          <w:rFonts w:ascii="Cambria" w:hAnsi="Cambria"/>
          <w:noProof/>
          <w:lang w:val="sr-Latn-CS" w:eastAsia="x-none"/>
        </w:rPr>
        <w:t>nadležni</w:t>
      </w:r>
      <w:r w:rsidR="00210FCC">
        <w:rPr>
          <w:rFonts w:ascii="Cambria" w:hAnsi="Cambria"/>
          <w:noProof/>
          <w:lang w:val="sr-Latn-CS" w:eastAsia="x-none"/>
        </w:rPr>
        <w:t>h</w:t>
      </w:r>
      <w:r w:rsidRPr="00AB15C7">
        <w:rPr>
          <w:rFonts w:ascii="Cambria" w:hAnsi="Cambria"/>
          <w:noProof/>
          <w:lang w:val="sr-Latn-CS" w:eastAsia="x-none"/>
        </w:rPr>
        <w:t xml:space="preserve"> za pojedine tematske oblasti</w:t>
      </w:r>
      <w:r w:rsidR="00210FCC">
        <w:rPr>
          <w:rFonts w:ascii="Cambria" w:hAnsi="Cambria"/>
          <w:noProof/>
          <w:lang w:val="sr-Latn-CS" w:eastAsia="x-none"/>
        </w:rPr>
        <w:t xml:space="preserve"> i ovlašćenih laboratorija. </w:t>
      </w:r>
      <w:r w:rsidRPr="00AB15C7">
        <w:rPr>
          <w:rFonts w:ascii="Cambria" w:hAnsi="Cambria"/>
          <w:noProof/>
          <w:lang w:val="sr-Latn-CS" w:eastAsia="x-none"/>
        </w:rPr>
        <w:t xml:space="preserve">Informacije o stanju </w:t>
      </w:r>
      <w:r w:rsidRPr="00AB15C7">
        <w:rPr>
          <w:rFonts w:ascii="Cambria" w:hAnsi="Cambria"/>
          <w:noProof/>
          <w:lang w:val="sr-Latn-RS" w:eastAsia="x-none"/>
        </w:rPr>
        <w:t>životne sredine objavljuju se svake godine na web sajtu</w:t>
      </w:r>
      <w:r w:rsidRPr="00AB15C7">
        <w:rPr>
          <w:rFonts w:ascii="Cambria" w:hAnsi="Cambria"/>
          <w:noProof/>
          <w:lang w:val="sr-Latn-CS" w:eastAsia="x-none"/>
        </w:rPr>
        <w:t xml:space="preserve"> Agencije za zaštitu prirode i životne sredine</w:t>
      </w:r>
      <w:r w:rsidR="006E7A62" w:rsidRPr="00AB15C7">
        <w:rPr>
          <w:rFonts w:ascii="Cambria" w:hAnsi="Cambria"/>
          <w:noProof/>
          <w:lang w:val="sr-Latn-RS" w:eastAsia="x-none"/>
        </w:rPr>
        <w:t>.</w:t>
      </w:r>
      <w:r w:rsidRPr="00AB15C7">
        <w:rPr>
          <w:rFonts w:ascii="Cambria" w:hAnsi="Cambria"/>
          <w:noProof/>
          <w:lang w:val="sr-Latn-RS" w:eastAsia="x-none"/>
        </w:rPr>
        <w:t xml:space="preserve"> </w:t>
      </w:r>
    </w:p>
    <w:p w14:paraId="66A15F03" w14:textId="309D0409" w:rsidR="00842E1A" w:rsidRDefault="00210FCC" w:rsidP="005921EF">
      <w:pPr>
        <w:jc w:val="both"/>
        <w:rPr>
          <w:rFonts w:ascii="Cambria" w:hAnsi="Cambria"/>
          <w:noProof/>
          <w:lang w:val="sr-Latn-RS" w:eastAsia="x-none"/>
        </w:rPr>
      </w:pPr>
      <w:r>
        <w:rPr>
          <w:rFonts w:ascii="Cambria" w:hAnsi="Cambria"/>
          <w:b/>
          <w:noProof/>
          <w:lang w:val="sr-Latn-RS" w:eastAsia="x-none"/>
        </w:rPr>
        <w:t>I</w:t>
      </w:r>
      <w:r w:rsidR="00CA3593" w:rsidRPr="001D63E4">
        <w:rPr>
          <w:rFonts w:ascii="Cambria" w:hAnsi="Cambria"/>
          <w:b/>
          <w:noProof/>
          <w:lang w:val="sr-Latn-RS" w:eastAsia="x-none"/>
        </w:rPr>
        <w:t>spitivanj</w:t>
      </w:r>
      <w:r>
        <w:rPr>
          <w:rFonts w:ascii="Cambria" w:hAnsi="Cambria"/>
          <w:b/>
          <w:noProof/>
          <w:lang w:val="sr-Latn-RS" w:eastAsia="x-none"/>
        </w:rPr>
        <w:t xml:space="preserve">a </w:t>
      </w:r>
      <w:r w:rsidR="00CA3593" w:rsidRPr="001D63E4">
        <w:rPr>
          <w:rFonts w:ascii="Cambria" w:hAnsi="Cambria"/>
          <w:b/>
          <w:noProof/>
          <w:lang w:val="sr-Latn-RS" w:eastAsia="x-none"/>
        </w:rPr>
        <w:t xml:space="preserve">uzoraka </w:t>
      </w:r>
      <w:r w:rsidR="007803B4">
        <w:rPr>
          <w:rFonts w:ascii="Cambria" w:hAnsi="Cambria"/>
          <w:b/>
          <w:noProof/>
          <w:lang w:val="sr-Latn-RS" w:eastAsia="x-none"/>
        </w:rPr>
        <w:t>namirnica</w:t>
      </w:r>
      <w:r w:rsidR="007803B4" w:rsidRPr="001D63E4">
        <w:rPr>
          <w:rFonts w:ascii="Cambria" w:hAnsi="Cambria"/>
          <w:b/>
          <w:noProof/>
          <w:lang w:val="sr-Latn-RS" w:eastAsia="x-none"/>
        </w:rPr>
        <w:t xml:space="preserve"> </w:t>
      </w:r>
      <w:r w:rsidR="00CA3593" w:rsidRPr="001D63E4">
        <w:rPr>
          <w:rFonts w:ascii="Cambria" w:hAnsi="Cambria"/>
          <w:b/>
          <w:noProof/>
          <w:lang w:val="sr-Latn-RS" w:eastAsia="x-none"/>
        </w:rPr>
        <w:t>i predmeta opšte upotrebe</w:t>
      </w:r>
      <w:r w:rsidR="00C65473">
        <w:rPr>
          <w:rFonts w:ascii="Cambria" w:hAnsi="Cambria"/>
          <w:b/>
          <w:noProof/>
          <w:lang w:val="sr-Latn-RS" w:eastAsia="x-none"/>
        </w:rPr>
        <w:t>, kao i vode za piće</w:t>
      </w:r>
      <w:r w:rsidR="007803B4">
        <w:rPr>
          <w:rFonts w:ascii="Cambria" w:hAnsi="Cambria"/>
          <w:b/>
          <w:noProof/>
          <w:lang w:val="sr-Latn-RS" w:eastAsia="x-none"/>
        </w:rPr>
        <w:t>,</w:t>
      </w:r>
      <w:r w:rsidR="00CA3593" w:rsidRPr="00AB15C7">
        <w:rPr>
          <w:rFonts w:ascii="Cambria" w:hAnsi="Cambria"/>
          <w:noProof/>
          <w:lang w:val="sr-Latn-RS" w:eastAsia="x-none"/>
        </w:rPr>
        <w:t xml:space="preserve"> </w:t>
      </w:r>
      <w:r>
        <w:rPr>
          <w:rFonts w:ascii="Cambria" w:hAnsi="Cambria"/>
          <w:noProof/>
          <w:lang w:val="sr-Latn-RS" w:eastAsia="x-none"/>
        </w:rPr>
        <w:t>vrše akreditovane la</w:t>
      </w:r>
      <w:r w:rsidR="001D24CA">
        <w:rPr>
          <w:rFonts w:ascii="Cambria" w:hAnsi="Cambria"/>
          <w:noProof/>
          <w:lang w:val="sr-Latn-RS" w:eastAsia="x-none"/>
        </w:rPr>
        <w:t>b</w:t>
      </w:r>
      <w:r>
        <w:rPr>
          <w:rFonts w:ascii="Cambria" w:hAnsi="Cambria"/>
          <w:noProof/>
          <w:lang w:val="sr-Latn-RS" w:eastAsia="x-none"/>
        </w:rPr>
        <w:t>oratorije, a p</w:t>
      </w:r>
      <w:r w:rsidRPr="00AB15C7">
        <w:rPr>
          <w:rFonts w:ascii="Cambria" w:hAnsi="Cambria"/>
          <w:noProof/>
          <w:lang w:val="sr-Latn-RS" w:eastAsia="x-none"/>
        </w:rPr>
        <w:t xml:space="preserve">odatke </w:t>
      </w:r>
      <w:r w:rsidR="00CA3593" w:rsidRPr="00AB15C7">
        <w:rPr>
          <w:rFonts w:ascii="Cambria" w:hAnsi="Cambria"/>
          <w:noProof/>
          <w:lang w:val="sr-Latn-RS" w:eastAsia="x-none"/>
        </w:rPr>
        <w:t>sakuplja i statistički obra</w:t>
      </w:r>
      <w:r w:rsidR="007803B4">
        <w:rPr>
          <w:rFonts w:ascii="Cambria" w:hAnsi="Cambria"/>
          <w:noProof/>
          <w:lang w:val="sr-Latn-RS" w:eastAsia="x-none"/>
        </w:rPr>
        <w:t>đ</w:t>
      </w:r>
      <w:r w:rsidR="00CA3593" w:rsidRPr="00AB15C7">
        <w:rPr>
          <w:rFonts w:ascii="Cambria" w:hAnsi="Cambria"/>
          <w:noProof/>
          <w:lang w:val="sr-Latn-RS" w:eastAsia="x-none"/>
        </w:rPr>
        <w:t>uje Institut za javno zdravlje</w:t>
      </w:r>
      <w:r w:rsidR="002D2869">
        <w:rPr>
          <w:rFonts w:ascii="Cambria" w:hAnsi="Cambria"/>
          <w:noProof/>
          <w:lang w:val="sr-Latn-RS" w:eastAsia="x-none"/>
        </w:rPr>
        <w:t xml:space="preserve">. Podaci koji se </w:t>
      </w:r>
      <w:r w:rsidR="00276F01">
        <w:rPr>
          <w:rFonts w:ascii="Cambria" w:hAnsi="Cambria"/>
          <w:noProof/>
          <w:lang w:val="sr-Latn-RS" w:eastAsia="x-none"/>
        </w:rPr>
        <w:t>objavljuj</w:t>
      </w:r>
      <w:r w:rsidR="002D2869">
        <w:rPr>
          <w:rFonts w:ascii="Cambria" w:hAnsi="Cambria"/>
          <w:noProof/>
          <w:lang w:val="sr-Latn-RS" w:eastAsia="x-none"/>
        </w:rPr>
        <w:t>u</w:t>
      </w:r>
      <w:r w:rsidR="00276F01">
        <w:rPr>
          <w:rFonts w:ascii="Cambria" w:hAnsi="Cambria"/>
          <w:noProof/>
          <w:lang w:val="sr-Latn-RS" w:eastAsia="x-none"/>
        </w:rPr>
        <w:t xml:space="preserve"> </w:t>
      </w:r>
      <w:r w:rsidR="00CA3593" w:rsidRPr="00AB15C7">
        <w:rPr>
          <w:rFonts w:ascii="Cambria" w:hAnsi="Cambria"/>
          <w:noProof/>
          <w:lang w:val="sr-Latn-RS" w:eastAsia="x-none"/>
        </w:rPr>
        <w:t xml:space="preserve">u </w:t>
      </w:r>
      <w:r w:rsidR="00561436" w:rsidRPr="00AB15C7">
        <w:rPr>
          <w:rFonts w:ascii="Cambria" w:hAnsi="Cambria"/>
          <w:noProof/>
          <w:lang w:val="sr-Latn-RS" w:eastAsia="x-none"/>
        </w:rPr>
        <w:t>S</w:t>
      </w:r>
      <w:r w:rsidR="00CA3593" w:rsidRPr="00AB15C7">
        <w:rPr>
          <w:rFonts w:ascii="Cambria" w:hAnsi="Cambria"/>
          <w:noProof/>
          <w:lang w:val="sr-Latn-RS" w:eastAsia="x-none"/>
        </w:rPr>
        <w:t>tatisti</w:t>
      </w:r>
      <w:r w:rsidR="00561436" w:rsidRPr="00AB15C7">
        <w:rPr>
          <w:rFonts w:ascii="Cambria" w:hAnsi="Cambria"/>
          <w:noProof/>
          <w:lang w:val="sr-Latn-RS" w:eastAsia="x-none"/>
        </w:rPr>
        <w:t xml:space="preserve">čkom godišnjaku prikazani </w:t>
      </w:r>
      <w:r w:rsidR="002D2869">
        <w:rPr>
          <w:rFonts w:ascii="Cambria" w:hAnsi="Cambria"/>
          <w:noProof/>
          <w:lang w:val="sr-Latn-RS" w:eastAsia="x-none"/>
        </w:rPr>
        <w:t xml:space="preserve">su </w:t>
      </w:r>
      <w:r w:rsidR="007803B4">
        <w:rPr>
          <w:rFonts w:ascii="Cambria" w:hAnsi="Cambria"/>
          <w:noProof/>
          <w:lang w:val="sr-Latn-RS" w:eastAsia="x-none"/>
        </w:rPr>
        <w:t>na osnovu</w:t>
      </w:r>
      <w:r w:rsidR="00561436" w:rsidRPr="00AB15C7">
        <w:rPr>
          <w:rFonts w:ascii="Cambria" w:hAnsi="Cambria"/>
          <w:noProof/>
          <w:lang w:val="sr-Latn-RS" w:eastAsia="x-none"/>
        </w:rPr>
        <w:t xml:space="preserve"> broja</w:t>
      </w:r>
      <w:r w:rsidR="002D2869">
        <w:rPr>
          <w:rFonts w:ascii="Cambria" w:hAnsi="Cambria"/>
          <w:noProof/>
          <w:lang w:val="sr-Latn-RS" w:eastAsia="x-none"/>
        </w:rPr>
        <w:t xml:space="preserve"> ukupno</w:t>
      </w:r>
      <w:r w:rsidR="00561436" w:rsidRPr="00AB15C7">
        <w:rPr>
          <w:rFonts w:ascii="Cambria" w:hAnsi="Cambria"/>
          <w:noProof/>
          <w:lang w:val="sr-Latn-RS" w:eastAsia="x-none"/>
        </w:rPr>
        <w:t xml:space="preserve"> </w:t>
      </w:r>
      <w:r w:rsidR="002D2869">
        <w:rPr>
          <w:rFonts w:ascii="Cambria" w:hAnsi="Cambria"/>
          <w:noProof/>
          <w:lang w:val="sr-Latn-RS" w:eastAsia="x-none"/>
        </w:rPr>
        <w:t xml:space="preserve">ispitanih i </w:t>
      </w:r>
      <w:r w:rsidR="00561436" w:rsidRPr="00AB15C7">
        <w:rPr>
          <w:rFonts w:ascii="Cambria" w:hAnsi="Cambria"/>
          <w:noProof/>
          <w:lang w:val="sr-Latn-RS" w:eastAsia="x-none"/>
        </w:rPr>
        <w:t>neispravnih uzoraka</w:t>
      </w:r>
      <w:r w:rsidR="002D2869">
        <w:rPr>
          <w:rFonts w:ascii="Cambria" w:hAnsi="Cambria"/>
          <w:noProof/>
          <w:lang w:val="sr-Latn-RS" w:eastAsia="x-none"/>
        </w:rPr>
        <w:t xml:space="preserve"> u pogledu fizičkohemijskih i mikrobioloških parametara</w:t>
      </w:r>
      <w:r w:rsidR="007803B4">
        <w:rPr>
          <w:rFonts w:ascii="Cambria" w:hAnsi="Cambria"/>
          <w:noProof/>
          <w:lang w:val="sr-Latn-RS" w:eastAsia="x-none"/>
        </w:rPr>
        <w:t>,</w:t>
      </w:r>
      <w:r w:rsidR="00561436" w:rsidRPr="00AB15C7">
        <w:rPr>
          <w:rFonts w:ascii="Cambria" w:hAnsi="Cambria"/>
          <w:noProof/>
          <w:lang w:val="sr-Latn-RS" w:eastAsia="x-none"/>
        </w:rPr>
        <w:t xml:space="preserve"> </w:t>
      </w:r>
      <w:r w:rsidR="007803B4">
        <w:rPr>
          <w:rFonts w:ascii="Cambria" w:hAnsi="Cambria"/>
          <w:noProof/>
          <w:lang w:val="sr-Latn-RS" w:eastAsia="x-none"/>
        </w:rPr>
        <w:t>al</w:t>
      </w:r>
      <w:r w:rsidR="00561436" w:rsidRPr="00AB15C7">
        <w:rPr>
          <w:rFonts w:ascii="Cambria" w:hAnsi="Cambria"/>
          <w:noProof/>
          <w:lang w:val="sr-Latn-RS" w:eastAsia="x-none"/>
        </w:rPr>
        <w:t>i ne oslikavaju da li je i u kojoj m</w:t>
      </w:r>
      <w:r w:rsidR="00586C5E">
        <w:rPr>
          <w:rFonts w:ascii="Cambria" w:hAnsi="Cambria"/>
          <w:noProof/>
          <w:lang w:val="sr-Latn-RS" w:eastAsia="x-none"/>
        </w:rPr>
        <w:t>j</w:t>
      </w:r>
      <w:r w:rsidR="00561436" w:rsidRPr="00AB15C7">
        <w:rPr>
          <w:rFonts w:ascii="Cambria" w:hAnsi="Cambria"/>
          <w:noProof/>
          <w:lang w:val="sr-Latn-RS" w:eastAsia="x-none"/>
        </w:rPr>
        <w:t>eri do neispravnosti</w:t>
      </w:r>
      <w:r w:rsidR="002D2869">
        <w:rPr>
          <w:rFonts w:ascii="Cambria" w:hAnsi="Cambria"/>
          <w:noProof/>
          <w:lang w:val="sr-Latn-RS" w:eastAsia="x-none"/>
        </w:rPr>
        <w:t xml:space="preserve"> ispitivanih uzoraka</w:t>
      </w:r>
      <w:r w:rsidR="00561436" w:rsidRPr="00AB15C7">
        <w:rPr>
          <w:rFonts w:ascii="Cambria" w:hAnsi="Cambria"/>
          <w:noProof/>
          <w:lang w:val="sr-Latn-RS" w:eastAsia="x-none"/>
        </w:rPr>
        <w:t xml:space="preserve"> došlo zbog prisustva hemikalija u nedozvoljenoj količini.</w:t>
      </w:r>
    </w:p>
    <w:p w14:paraId="3E6E3272" w14:textId="5FED682D" w:rsidR="003773FE" w:rsidRPr="0037290F" w:rsidRDefault="0037290F" w:rsidP="009F5700">
      <w:pPr>
        <w:pBdr>
          <w:top w:val="single" w:sz="4" w:space="1" w:color="auto"/>
          <w:left w:val="single" w:sz="4" w:space="4" w:color="auto"/>
          <w:bottom w:val="single" w:sz="4" w:space="1" w:color="auto"/>
          <w:right w:val="single" w:sz="4" w:space="4" w:color="auto"/>
        </w:pBdr>
        <w:jc w:val="both"/>
        <w:rPr>
          <w:rFonts w:ascii="Cambria" w:hAnsi="Cambria"/>
          <w:noProof/>
          <w:lang w:val="sr-Latn-RS" w:eastAsia="x-none"/>
        </w:rPr>
      </w:pPr>
      <w:r>
        <w:rPr>
          <w:rFonts w:ascii="Cambria" w:hAnsi="Cambria"/>
          <w:b/>
          <w:bCs/>
          <w:noProof/>
          <w:lang w:val="sr-Latn-CS" w:eastAsia="x-none"/>
        </w:rPr>
        <w:t>P</w:t>
      </w:r>
      <w:r w:rsidRPr="0037290F">
        <w:rPr>
          <w:rFonts w:ascii="Cambria" w:hAnsi="Cambria"/>
          <w:b/>
          <w:bCs/>
          <w:noProof/>
          <w:lang w:val="sr-Latn-CS" w:eastAsia="x-none"/>
        </w:rPr>
        <w:t>rioritetn</w:t>
      </w:r>
      <w:r>
        <w:rPr>
          <w:rFonts w:ascii="Cambria" w:hAnsi="Cambria"/>
          <w:b/>
          <w:bCs/>
          <w:noProof/>
          <w:lang w:val="sr-Latn-CS" w:eastAsia="x-none"/>
        </w:rPr>
        <w:t>i</w:t>
      </w:r>
      <w:r w:rsidRPr="0037290F">
        <w:rPr>
          <w:rFonts w:ascii="Cambria" w:hAnsi="Cambria"/>
          <w:b/>
          <w:bCs/>
          <w:noProof/>
          <w:lang w:val="sr-Latn-CS" w:eastAsia="x-none"/>
        </w:rPr>
        <w:t xml:space="preserve"> </w:t>
      </w:r>
      <w:r w:rsidR="003773FE" w:rsidRPr="003773FE">
        <w:rPr>
          <w:rFonts w:ascii="Cambria" w:hAnsi="Cambria"/>
          <w:b/>
          <w:noProof/>
          <w:lang w:val="sr-Latn-RS" w:eastAsia="x-none"/>
        </w:rPr>
        <w:t>problem</w:t>
      </w:r>
      <w:r>
        <w:rPr>
          <w:rFonts w:ascii="Cambria" w:hAnsi="Cambria"/>
          <w:b/>
          <w:noProof/>
          <w:lang w:val="sr-Latn-RS" w:eastAsia="x-none"/>
        </w:rPr>
        <w:t>i</w:t>
      </w:r>
      <w:r w:rsidR="003773FE">
        <w:rPr>
          <w:rFonts w:ascii="Cambria" w:hAnsi="Cambria"/>
          <w:b/>
          <w:noProof/>
          <w:lang w:val="sr-Latn-RS" w:eastAsia="x-none"/>
        </w:rPr>
        <w:t xml:space="preserve"> </w:t>
      </w:r>
      <w:r w:rsidR="003773FE" w:rsidRPr="0037290F">
        <w:rPr>
          <w:rFonts w:ascii="Cambria" w:hAnsi="Cambria"/>
          <w:noProof/>
          <w:lang w:val="sr-Latn-RS" w:eastAsia="x-none"/>
        </w:rPr>
        <w:t xml:space="preserve">u ovom segmentu </w:t>
      </w:r>
      <w:r w:rsidR="00F4086B" w:rsidRPr="0037290F">
        <w:rPr>
          <w:rFonts w:ascii="Cambria" w:hAnsi="Cambria"/>
          <w:noProof/>
          <w:lang w:val="sr-Latn-RS" w:eastAsia="x-none"/>
        </w:rPr>
        <w:t xml:space="preserve">analize </w:t>
      </w:r>
      <w:r w:rsidRPr="0037290F">
        <w:rPr>
          <w:rFonts w:ascii="Cambria" w:hAnsi="Cambria"/>
          <w:noProof/>
          <w:lang w:val="sr-Latn-RS" w:eastAsia="x-none"/>
        </w:rPr>
        <w:t>su</w:t>
      </w:r>
      <w:r w:rsidR="003773FE" w:rsidRPr="0037290F">
        <w:rPr>
          <w:rFonts w:ascii="Cambria" w:hAnsi="Cambria"/>
          <w:noProof/>
          <w:lang w:val="sr-Latn-RS" w:eastAsia="x-none"/>
        </w:rPr>
        <w:t xml:space="preserve"> </w:t>
      </w:r>
      <w:r w:rsidR="003773FE" w:rsidRPr="009F5700">
        <w:rPr>
          <w:rFonts w:ascii="Cambria" w:hAnsi="Cambria"/>
          <w:b/>
          <w:noProof/>
          <w:lang w:val="sr-Latn-RS" w:eastAsia="x-none"/>
        </w:rPr>
        <w:t>zagađenje</w:t>
      </w:r>
      <w:r w:rsidR="003773FE" w:rsidRPr="0037290F">
        <w:rPr>
          <w:rFonts w:ascii="Cambria" w:hAnsi="Cambria"/>
          <w:noProof/>
          <w:lang w:val="sr-Latn-RS" w:eastAsia="x-none"/>
        </w:rPr>
        <w:t xml:space="preserve"> uzrokovano korišćenjem hemikalija u industr</w:t>
      </w:r>
      <w:r w:rsidR="001D24CA">
        <w:rPr>
          <w:rFonts w:ascii="Cambria" w:hAnsi="Cambria"/>
          <w:noProof/>
          <w:lang w:val="sr-Latn-RS" w:eastAsia="x-none"/>
        </w:rPr>
        <w:t>i</w:t>
      </w:r>
      <w:r w:rsidR="003773FE" w:rsidRPr="0037290F">
        <w:rPr>
          <w:rFonts w:ascii="Cambria" w:hAnsi="Cambria"/>
          <w:noProof/>
          <w:lang w:val="sr-Latn-RS" w:eastAsia="x-none"/>
        </w:rPr>
        <w:t xml:space="preserve">jskoj proizvodnji </w:t>
      </w:r>
      <w:r w:rsidR="00F4086B" w:rsidRPr="0037290F">
        <w:rPr>
          <w:rFonts w:ascii="Cambria" w:hAnsi="Cambria"/>
          <w:noProof/>
          <w:lang w:val="sr-Latn-RS" w:eastAsia="x-none"/>
        </w:rPr>
        <w:t xml:space="preserve">sa </w:t>
      </w:r>
      <w:r w:rsidR="00F4086B" w:rsidRPr="002D2869">
        <w:rPr>
          <w:rFonts w:ascii="Cambria" w:hAnsi="Cambria"/>
          <w:b/>
          <w:noProof/>
          <w:lang w:val="sr-Latn-RS" w:eastAsia="x-none"/>
        </w:rPr>
        <w:t>zastarijelim tehnologijama</w:t>
      </w:r>
      <w:r w:rsidR="00F4086B" w:rsidRPr="0037290F">
        <w:rPr>
          <w:rFonts w:ascii="Cambria" w:hAnsi="Cambria"/>
          <w:noProof/>
          <w:lang w:val="sr-Latn-RS" w:eastAsia="x-none"/>
        </w:rPr>
        <w:t xml:space="preserve"> </w:t>
      </w:r>
      <w:r w:rsidRPr="0037290F">
        <w:rPr>
          <w:rFonts w:ascii="Cambria" w:hAnsi="Cambria"/>
          <w:noProof/>
          <w:lang w:val="sr-Latn-RS" w:eastAsia="x-none"/>
        </w:rPr>
        <w:t>i decenijskim odlaganjem nastalog otpada na privremene deponije</w:t>
      </w:r>
      <w:r w:rsidR="003773FE" w:rsidRPr="0037290F">
        <w:rPr>
          <w:rFonts w:ascii="Cambria" w:hAnsi="Cambria"/>
          <w:noProof/>
          <w:lang w:val="sr-Latn-RS" w:eastAsia="x-none"/>
        </w:rPr>
        <w:t xml:space="preserve">, kao i </w:t>
      </w:r>
      <w:r w:rsidRPr="009F5700">
        <w:rPr>
          <w:rFonts w:ascii="Cambria" w:hAnsi="Cambria"/>
          <w:b/>
          <w:noProof/>
          <w:lang w:val="sr-Latn-RS" w:eastAsia="x-none"/>
        </w:rPr>
        <w:t xml:space="preserve">izostanak </w:t>
      </w:r>
      <w:r w:rsidR="001D24CA">
        <w:rPr>
          <w:rFonts w:ascii="Cambria" w:hAnsi="Cambria"/>
          <w:b/>
          <w:noProof/>
          <w:lang w:val="sr-Latn-RS" w:eastAsia="x-none"/>
        </w:rPr>
        <w:t>finalnog</w:t>
      </w:r>
      <w:r w:rsidRPr="009F5700">
        <w:rPr>
          <w:rFonts w:ascii="Cambria" w:hAnsi="Cambria"/>
          <w:b/>
          <w:noProof/>
          <w:lang w:val="sr-Latn-RS" w:eastAsia="x-none"/>
        </w:rPr>
        <w:t xml:space="preserve"> </w:t>
      </w:r>
      <w:r w:rsidR="003773FE" w:rsidRPr="009F5700">
        <w:rPr>
          <w:rFonts w:ascii="Cambria" w:hAnsi="Cambria"/>
          <w:b/>
          <w:noProof/>
          <w:lang w:val="sr-Latn-RS" w:eastAsia="x-none"/>
        </w:rPr>
        <w:t>zbrinjavanj</w:t>
      </w:r>
      <w:r w:rsidRPr="009F5700">
        <w:rPr>
          <w:rFonts w:ascii="Cambria" w:hAnsi="Cambria"/>
          <w:b/>
          <w:noProof/>
          <w:lang w:val="sr-Latn-RS" w:eastAsia="x-none"/>
        </w:rPr>
        <w:t xml:space="preserve">a </w:t>
      </w:r>
      <w:r w:rsidR="00F4086B" w:rsidRPr="009F5700">
        <w:rPr>
          <w:rFonts w:ascii="Cambria" w:hAnsi="Cambria"/>
          <w:b/>
          <w:noProof/>
          <w:lang w:val="sr-Latn-RS" w:eastAsia="x-none"/>
        </w:rPr>
        <w:t xml:space="preserve">hemijskog /opasnog </w:t>
      </w:r>
      <w:r w:rsidR="003773FE" w:rsidRPr="009F5700">
        <w:rPr>
          <w:rFonts w:ascii="Cambria" w:hAnsi="Cambria"/>
          <w:b/>
          <w:noProof/>
          <w:lang w:val="sr-Latn-RS" w:eastAsia="x-none"/>
        </w:rPr>
        <w:t xml:space="preserve">otpada </w:t>
      </w:r>
      <w:r w:rsidR="00F4086B" w:rsidRPr="009F5700">
        <w:rPr>
          <w:rFonts w:ascii="Cambria" w:hAnsi="Cambria"/>
          <w:b/>
          <w:noProof/>
          <w:lang w:val="sr-Latn-RS" w:eastAsia="x-none"/>
        </w:rPr>
        <w:t>i zaostalih hemikalija</w:t>
      </w:r>
      <w:r w:rsidR="00F4086B" w:rsidRPr="009F5700">
        <w:rPr>
          <w:rFonts w:ascii="Cambria" w:hAnsi="Cambria"/>
          <w:noProof/>
          <w:lang w:val="sr-Latn-RS" w:eastAsia="x-none"/>
        </w:rPr>
        <w:t>.</w:t>
      </w:r>
      <w:r w:rsidR="003773FE" w:rsidRPr="0037290F">
        <w:rPr>
          <w:rFonts w:ascii="Cambria" w:hAnsi="Cambria"/>
          <w:noProof/>
          <w:lang w:val="sr-Latn-RS" w:eastAsia="x-none"/>
        </w:rPr>
        <w:t xml:space="preserve"> </w:t>
      </w:r>
      <w:r w:rsidR="00F4086B" w:rsidRPr="0037290F">
        <w:rPr>
          <w:rFonts w:ascii="Cambria" w:hAnsi="Cambria"/>
          <w:noProof/>
          <w:lang w:val="sr-Latn-RS" w:eastAsia="x-none"/>
        </w:rPr>
        <w:t xml:space="preserve"> Stoga </w:t>
      </w:r>
      <w:r w:rsidRPr="0037290F">
        <w:rPr>
          <w:rFonts w:ascii="Cambria" w:hAnsi="Cambria"/>
          <w:noProof/>
          <w:lang w:val="sr-Latn-RS" w:eastAsia="x-none"/>
        </w:rPr>
        <w:t xml:space="preserve">deo </w:t>
      </w:r>
      <w:r w:rsidR="00F4086B" w:rsidRPr="0037290F">
        <w:rPr>
          <w:rFonts w:ascii="Cambria" w:hAnsi="Cambria"/>
          <w:noProof/>
          <w:lang w:val="sr-Latn-RS" w:eastAsia="x-none"/>
        </w:rPr>
        <w:t xml:space="preserve">aktivnosti </w:t>
      </w:r>
      <w:r w:rsidRPr="0037290F">
        <w:rPr>
          <w:rFonts w:ascii="Cambria" w:hAnsi="Cambria"/>
          <w:noProof/>
          <w:lang w:val="sr-Latn-RS" w:eastAsia="x-none"/>
        </w:rPr>
        <w:t xml:space="preserve">u okviru ove strategije </w:t>
      </w:r>
      <w:r w:rsidR="00F4086B" w:rsidRPr="0037290F">
        <w:rPr>
          <w:rFonts w:ascii="Cambria" w:hAnsi="Cambria"/>
          <w:noProof/>
          <w:lang w:val="sr-Latn-RS" w:eastAsia="x-none"/>
        </w:rPr>
        <w:t xml:space="preserve">treba usmeriti </w:t>
      </w:r>
      <w:r>
        <w:rPr>
          <w:rFonts w:ascii="Cambria" w:hAnsi="Cambria"/>
          <w:noProof/>
          <w:lang w:val="sr-Latn-RS" w:eastAsia="x-none"/>
        </w:rPr>
        <w:t>na</w:t>
      </w:r>
      <w:r w:rsidRPr="0037290F">
        <w:rPr>
          <w:rFonts w:ascii="Cambria" w:hAnsi="Cambria"/>
          <w:noProof/>
          <w:lang w:val="sr-Latn-RS" w:eastAsia="x-none"/>
        </w:rPr>
        <w:t xml:space="preserve"> unaprijeđenj</w:t>
      </w:r>
      <w:r>
        <w:rPr>
          <w:rFonts w:ascii="Cambria" w:hAnsi="Cambria"/>
          <w:noProof/>
          <w:lang w:val="sr-Latn-RS" w:eastAsia="x-none"/>
        </w:rPr>
        <w:t>e</w:t>
      </w:r>
      <w:r w:rsidRPr="0037290F">
        <w:rPr>
          <w:rFonts w:ascii="Cambria" w:hAnsi="Cambria"/>
          <w:noProof/>
          <w:lang w:val="sr-Latn-RS" w:eastAsia="x-none"/>
        </w:rPr>
        <w:t xml:space="preserve"> tehnologije u industrijskim postrojenjima</w:t>
      </w:r>
      <w:r w:rsidR="00F4086B" w:rsidRPr="0037290F">
        <w:rPr>
          <w:rFonts w:ascii="Cambria" w:hAnsi="Cambria"/>
          <w:noProof/>
          <w:lang w:val="sr-Latn-RS" w:eastAsia="x-none"/>
        </w:rPr>
        <w:t xml:space="preserve"> i rješavanje pitanja industrijskog otpada i zastarijelih hemikalija</w:t>
      </w:r>
      <w:r w:rsidRPr="0037290F">
        <w:rPr>
          <w:rFonts w:ascii="Cambria" w:hAnsi="Cambria"/>
          <w:noProof/>
          <w:lang w:val="sr-Latn-RS" w:eastAsia="x-none"/>
        </w:rPr>
        <w:t>.</w:t>
      </w:r>
    </w:p>
    <w:bookmarkEnd w:id="132"/>
    <w:p w14:paraId="42D5D5B8" w14:textId="2892FD42" w:rsidR="0085640A" w:rsidRPr="0085640A" w:rsidRDefault="007D1CDD" w:rsidP="00557C13">
      <w:pPr>
        <w:pStyle w:val="ListParagraph"/>
        <w:numPr>
          <w:ilvl w:val="0"/>
          <w:numId w:val="59"/>
        </w:numPr>
        <w:jc w:val="both"/>
        <w:rPr>
          <w:rFonts w:ascii="Cambria" w:hAnsi="Cambria"/>
          <w:b/>
          <w:bCs/>
          <w:noProof/>
          <w:lang w:val="sr-Latn-CS" w:eastAsia="x-none"/>
        </w:rPr>
      </w:pPr>
      <w:r>
        <w:rPr>
          <w:rFonts w:ascii="Cambria" w:hAnsi="Cambria"/>
          <w:b/>
          <w:bCs/>
          <w:noProof/>
          <w:lang w:val="sr-Latn-CS" w:eastAsia="x-none"/>
        </w:rPr>
        <w:t>Z</w:t>
      </w:r>
      <w:r w:rsidR="0085640A">
        <w:rPr>
          <w:rFonts w:ascii="Cambria" w:hAnsi="Cambria"/>
          <w:b/>
          <w:bCs/>
          <w:noProof/>
          <w:lang w:val="sr-Latn-CS" w:eastAsia="x-none"/>
        </w:rPr>
        <w:t xml:space="preserve">akonodavni </w:t>
      </w:r>
      <w:r w:rsidR="00BE2F7B">
        <w:rPr>
          <w:rFonts w:ascii="Cambria" w:hAnsi="Cambria"/>
          <w:b/>
          <w:bCs/>
          <w:noProof/>
          <w:lang w:eastAsia="x-none"/>
        </w:rPr>
        <w:t>okvir</w:t>
      </w:r>
      <w:r w:rsidR="00A84E04" w:rsidRPr="00A84E04">
        <w:rPr>
          <w:rFonts w:ascii="Cambria" w:hAnsi="Cambria"/>
          <w:b/>
          <w:bCs/>
          <w:noProof/>
          <w:lang w:eastAsia="x-none"/>
        </w:rPr>
        <w:t xml:space="preserve"> </w:t>
      </w:r>
      <w:r>
        <w:rPr>
          <w:rFonts w:ascii="Cambria" w:hAnsi="Cambria"/>
          <w:b/>
          <w:bCs/>
          <w:noProof/>
          <w:lang w:val="sr-Latn-CS" w:eastAsia="x-none"/>
        </w:rPr>
        <w:t>za</w:t>
      </w:r>
      <w:r w:rsidR="0085640A">
        <w:rPr>
          <w:rFonts w:ascii="Cambria" w:hAnsi="Cambria"/>
          <w:b/>
          <w:bCs/>
          <w:noProof/>
          <w:lang w:val="sr-Latn-CS" w:eastAsia="x-none"/>
        </w:rPr>
        <w:t xml:space="preserve"> upravljanj</w:t>
      </w:r>
      <w:r>
        <w:rPr>
          <w:rFonts w:ascii="Cambria" w:hAnsi="Cambria"/>
          <w:b/>
          <w:bCs/>
          <w:noProof/>
          <w:lang w:val="sr-Latn-CS" w:eastAsia="x-none"/>
        </w:rPr>
        <w:t>e</w:t>
      </w:r>
      <w:r w:rsidR="0085640A">
        <w:rPr>
          <w:rFonts w:ascii="Cambria" w:hAnsi="Cambria"/>
          <w:b/>
          <w:bCs/>
          <w:noProof/>
          <w:lang w:val="sr-Latn-CS" w:eastAsia="x-none"/>
        </w:rPr>
        <w:t xml:space="preserve"> hemikalijama</w:t>
      </w:r>
    </w:p>
    <w:p w14:paraId="57C6D8B2" w14:textId="63EBB65A" w:rsidR="00B6733A" w:rsidRPr="00AB15C7" w:rsidRDefault="00FC01DD" w:rsidP="005921EF">
      <w:pPr>
        <w:jc w:val="both"/>
        <w:rPr>
          <w:rFonts w:ascii="Cambria" w:hAnsi="Cambria"/>
          <w:noProof/>
          <w:lang w:eastAsia="x-none"/>
        </w:rPr>
      </w:pPr>
      <w:r w:rsidRPr="001D63E4">
        <w:rPr>
          <w:rFonts w:ascii="Cambria" w:hAnsi="Cambria"/>
          <w:b/>
          <w:noProof/>
          <w:lang w:eastAsia="x-none"/>
        </w:rPr>
        <w:t>Procedure i propisane obaveze u sektoru hemikalija u velikoj m</w:t>
      </w:r>
      <w:r w:rsidR="00586C5E">
        <w:rPr>
          <w:rFonts w:ascii="Cambria" w:hAnsi="Cambria"/>
          <w:b/>
          <w:noProof/>
          <w:lang w:eastAsia="x-none"/>
        </w:rPr>
        <w:t>j</w:t>
      </w:r>
      <w:r w:rsidRPr="001D63E4">
        <w:rPr>
          <w:rFonts w:ascii="Cambria" w:hAnsi="Cambria"/>
          <w:b/>
          <w:noProof/>
          <w:lang w:eastAsia="x-none"/>
        </w:rPr>
        <w:t>eri usaglašene su sa zaht</w:t>
      </w:r>
      <w:r w:rsidR="00586C5E">
        <w:rPr>
          <w:rFonts w:ascii="Cambria" w:hAnsi="Cambria"/>
          <w:b/>
          <w:noProof/>
          <w:lang w:eastAsia="x-none"/>
        </w:rPr>
        <w:t>j</w:t>
      </w:r>
      <w:r w:rsidRPr="001D63E4">
        <w:rPr>
          <w:rFonts w:ascii="Cambria" w:hAnsi="Cambria"/>
          <w:b/>
          <w:noProof/>
          <w:lang w:eastAsia="x-none"/>
        </w:rPr>
        <w:t>evima EU i relevantnim međunarodnim konvencijama</w:t>
      </w:r>
      <w:r w:rsidRPr="00AB15C7">
        <w:rPr>
          <w:rFonts w:ascii="Cambria" w:hAnsi="Cambria"/>
          <w:noProof/>
          <w:lang w:eastAsia="x-none"/>
        </w:rPr>
        <w:t xml:space="preserve">. </w:t>
      </w:r>
      <w:r w:rsidR="00B6733A" w:rsidRPr="00AB15C7">
        <w:rPr>
          <w:rFonts w:ascii="Cambria" w:hAnsi="Cambria"/>
          <w:noProof/>
          <w:lang w:eastAsia="x-none"/>
        </w:rPr>
        <w:t xml:space="preserve">U Nacionalnoj strategiji za transpoziciju, implementaciju i primjenu pravne tekovine EU u oblasti životne sredine i klimatskih promjena, s Akcionim planom za period 2016-2020. godine utvrđeni su vremenski okvir i aktivnosti u vezi s transpozicijom većeg dijela pravne tekovine EU u oblasti životne sredine i klimatskih promjena do kraja 2020. </w:t>
      </w:r>
      <w:r w:rsidR="00B6733A">
        <w:rPr>
          <w:rFonts w:ascii="Cambria" w:hAnsi="Cambria"/>
          <w:noProof/>
          <w:lang w:eastAsia="x-none"/>
        </w:rPr>
        <w:t>g</w:t>
      </w:r>
      <w:r w:rsidR="00B6733A" w:rsidRPr="00AB15C7">
        <w:rPr>
          <w:rFonts w:ascii="Cambria" w:hAnsi="Cambria"/>
          <w:noProof/>
          <w:lang w:eastAsia="x-none"/>
        </w:rPr>
        <w:t>odine</w:t>
      </w:r>
      <w:r w:rsidR="00B6733A">
        <w:rPr>
          <w:rFonts w:ascii="Cambria" w:hAnsi="Cambria"/>
          <w:noProof/>
          <w:lang w:eastAsia="x-none"/>
        </w:rPr>
        <w:t>, uključujući i sektor hemikalija</w:t>
      </w:r>
      <w:r w:rsidR="00B6733A" w:rsidRPr="00AB15C7">
        <w:rPr>
          <w:rFonts w:ascii="Cambria" w:hAnsi="Cambria"/>
          <w:noProof/>
          <w:lang w:eastAsia="x-none"/>
        </w:rPr>
        <w:t xml:space="preserve">. </w:t>
      </w:r>
      <w:r w:rsidR="00B6733A">
        <w:rPr>
          <w:rFonts w:ascii="Cambria" w:hAnsi="Cambria"/>
          <w:noProof/>
          <w:lang w:eastAsia="x-none"/>
        </w:rPr>
        <w:t>Usklađivanje propisa p</w:t>
      </w:r>
      <w:r w:rsidR="003773FE">
        <w:rPr>
          <w:rFonts w:ascii="Cambria" w:hAnsi="Cambria"/>
          <w:noProof/>
          <w:lang w:eastAsia="x-none"/>
        </w:rPr>
        <w:t>l</w:t>
      </w:r>
      <w:r w:rsidR="00B6733A">
        <w:rPr>
          <w:rFonts w:ascii="Cambria" w:hAnsi="Cambria"/>
          <w:noProof/>
          <w:lang w:eastAsia="x-none"/>
        </w:rPr>
        <w:t>anirano u sektoru hemikalija za period 2016-201</w:t>
      </w:r>
      <w:r w:rsidR="00BA3C2E">
        <w:rPr>
          <w:rFonts w:ascii="Cambria" w:hAnsi="Cambria"/>
          <w:noProof/>
          <w:lang w:eastAsia="x-none"/>
        </w:rPr>
        <w:t>7.</w:t>
      </w:r>
      <w:r w:rsidR="00B6733A">
        <w:rPr>
          <w:rFonts w:ascii="Cambria" w:hAnsi="Cambria"/>
          <w:noProof/>
          <w:lang w:eastAsia="x-none"/>
        </w:rPr>
        <w:t xml:space="preserve"> je u potpunosti realizovano.</w:t>
      </w:r>
    </w:p>
    <w:p w14:paraId="02740001" w14:textId="77777777" w:rsidR="00945E56" w:rsidRDefault="00FC01DD" w:rsidP="005921EF">
      <w:pPr>
        <w:jc w:val="both"/>
        <w:rPr>
          <w:rFonts w:ascii="Cambria" w:hAnsi="Cambria"/>
          <w:noProof/>
          <w:lang w:eastAsia="x-none"/>
        </w:rPr>
      </w:pPr>
      <w:r w:rsidRPr="00AB15C7">
        <w:rPr>
          <w:rFonts w:ascii="Cambria" w:hAnsi="Cambria"/>
          <w:noProof/>
          <w:lang w:eastAsia="x-none"/>
        </w:rPr>
        <w:t>U procesu harmo</w:t>
      </w:r>
      <w:r w:rsidR="00FA191C" w:rsidRPr="00AB15C7">
        <w:rPr>
          <w:rFonts w:ascii="Cambria" w:hAnsi="Cambria"/>
          <w:noProof/>
          <w:lang w:eastAsia="x-none"/>
        </w:rPr>
        <w:t>n</w:t>
      </w:r>
      <w:r w:rsidRPr="00AB15C7">
        <w:rPr>
          <w:rFonts w:ascii="Cambria" w:hAnsi="Cambria"/>
          <w:noProof/>
          <w:lang w:eastAsia="x-none"/>
        </w:rPr>
        <w:t>izacije sa zakonodavstvom EU, Crna Gora</w:t>
      </w:r>
      <w:r w:rsidR="006E7A62" w:rsidRPr="00AB15C7">
        <w:rPr>
          <w:rFonts w:ascii="Cambria" w:hAnsi="Cambria"/>
          <w:noProof/>
          <w:lang w:eastAsia="x-none"/>
        </w:rPr>
        <w:t xml:space="preserve"> je </w:t>
      </w:r>
      <w:r w:rsidR="004C7B70" w:rsidRPr="00AB15C7">
        <w:rPr>
          <w:rFonts w:ascii="Cambria" w:hAnsi="Cambria"/>
          <w:noProof/>
          <w:lang w:eastAsia="x-none"/>
        </w:rPr>
        <w:t>2012</w:t>
      </w:r>
      <w:r w:rsidR="000863BA">
        <w:rPr>
          <w:rFonts w:ascii="Cambria" w:hAnsi="Cambria"/>
          <w:noProof/>
          <w:lang w:eastAsia="x-none"/>
        </w:rPr>
        <w:t xml:space="preserve">. godine </w:t>
      </w:r>
      <w:r w:rsidR="000863BA" w:rsidRPr="00AB15C7">
        <w:rPr>
          <w:rFonts w:ascii="Cambria" w:hAnsi="Cambria"/>
          <w:noProof/>
          <w:lang w:eastAsia="x-none"/>
        </w:rPr>
        <w:t>donela</w:t>
      </w:r>
      <w:r w:rsidR="000863BA">
        <w:rPr>
          <w:rFonts w:ascii="Cambria" w:hAnsi="Cambria"/>
          <w:noProof/>
          <w:lang w:eastAsia="x-none"/>
        </w:rPr>
        <w:t xml:space="preserve"> </w:t>
      </w:r>
      <w:r w:rsidR="006E7A62" w:rsidRPr="00AB15C7">
        <w:rPr>
          <w:rFonts w:ascii="Cambria" w:hAnsi="Cambria"/>
          <w:noProof/>
          <w:lang w:eastAsia="x-none"/>
        </w:rPr>
        <w:t xml:space="preserve">Zakon o hemikalijama </w:t>
      </w:r>
      <w:r w:rsidR="000863BA">
        <w:rPr>
          <w:rFonts w:ascii="Cambria" w:hAnsi="Cambria"/>
          <w:noProof/>
          <w:lang w:eastAsia="x-none"/>
        </w:rPr>
        <w:t>kojim su preuzete određene odredbe REACH i</w:t>
      </w:r>
      <w:r w:rsidR="006E7A62" w:rsidRPr="00AB15C7">
        <w:rPr>
          <w:rFonts w:ascii="Cambria" w:hAnsi="Cambria"/>
          <w:noProof/>
          <w:lang w:eastAsia="x-none"/>
        </w:rPr>
        <w:t xml:space="preserve"> </w:t>
      </w:r>
      <w:r w:rsidR="000863BA">
        <w:rPr>
          <w:rFonts w:ascii="Cambria" w:hAnsi="Cambria"/>
          <w:noProof/>
          <w:lang w:eastAsia="x-none"/>
        </w:rPr>
        <w:t xml:space="preserve">otpočelo sa </w:t>
      </w:r>
      <w:r w:rsidR="006E7A62" w:rsidRPr="00AB15C7">
        <w:rPr>
          <w:rFonts w:ascii="Cambria" w:hAnsi="Cambria"/>
          <w:noProof/>
          <w:lang w:eastAsia="x-none"/>
        </w:rPr>
        <w:t>uspostavljanje</w:t>
      </w:r>
      <w:r w:rsidR="000863BA">
        <w:rPr>
          <w:rFonts w:ascii="Cambria" w:hAnsi="Cambria"/>
          <w:noProof/>
          <w:lang w:eastAsia="x-none"/>
        </w:rPr>
        <w:t>m</w:t>
      </w:r>
      <w:r w:rsidR="006E7A62" w:rsidRPr="00AB15C7">
        <w:rPr>
          <w:rFonts w:ascii="Cambria" w:hAnsi="Cambria"/>
          <w:noProof/>
          <w:lang w:eastAsia="x-none"/>
        </w:rPr>
        <w:t xml:space="preserve"> savremenog sistema upravljanja hemikalijama po modelu iz EU. </w:t>
      </w:r>
      <w:r w:rsidR="00037832" w:rsidRPr="00AB15C7">
        <w:rPr>
          <w:rFonts w:ascii="Cambria" w:hAnsi="Cambria"/>
          <w:noProof/>
          <w:lang w:eastAsia="x-none"/>
        </w:rPr>
        <w:t>Novim Zakonom o hemikalijama koji je done</w:t>
      </w:r>
      <w:r w:rsidR="000863BA">
        <w:rPr>
          <w:rFonts w:ascii="Cambria" w:hAnsi="Cambria"/>
          <w:noProof/>
          <w:lang w:eastAsia="x-none"/>
        </w:rPr>
        <w:t>š</w:t>
      </w:r>
      <w:r w:rsidR="00037832" w:rsidRPr="00AB15C7">
        <w:rPr>
          <w:rFonts w:ascii="Cambria" w:hAnsi="Cambria"/>
          <w:noProof/>
          <w:lang w:eastAsia="x-none"/>
        </w:rPr>
        <w:t xml:space="preserve">en 2017. </w:t>
      </w:r>
      <w:r w:rsidR="006832AA">
        <w:rPr>
          <w:rFonts w:ascii="Cambria" w:hAnsi="Cambria"/>
          <w:noProof/>
          <w:lang w:eastAsia="x-none"/>
        </w:rPr>
        <w:t>godine i</w:t>
      </w:r>
      <w:r w:rsidR="00037832" w:rsidRPr="00AB15C7">
        <w:rPr>
          <w:rFonts w:ascii="Cambria" w:hAnsi="Cambria"/>
          <w:noProof/>
          <w:lang w:eastAsia="x-none"/>
        </w:rPr>
        <w:t>zvrš</w:t>
      </w:r>
      <w:r w:rsidR="00130E54" w:rsidRPr="00AB15C7">
        <w:rPr>
          <w:rFonts w:ascii="Cambria" w:hAnsi="Cambria"/>
          <w:noProof/>
          <w:lang w:eastAsia="x-none"/>
        </w:rPr>
        <w:t>eno je</w:t>
      </w:r>
      <w:r w:rsidR="00037832" w:rsidRPr="00AB15C7">
        <w:rPr>
          <w:rFonts w:ascii="Cambria" w:hAnsi="Cambria"/>
          <w:noProof/>
          <w:lang w:eastAsia="x-none"/>
        </w:rPr>
        <w:t xml:space="preserve"> dalje usklađivanje s regulativama REACH i CLP, ali još treba raditi na uspostavljanju pune implementacije. </w:t>
      </w:r>
    </w:p>
    <w:p w14:paraId="6A8BE2F9" w14:textId="68700F82" w:rsidR="005668BA" w:rsidRDefault="005668BA" w:rsidP="005668BA">
      <w:pPr>
        <w:jc w:val="both"/>
        <w:rPr>
          <w:rFonts w:ascii="Cambria" w:hAnsi="Cambria"/>
          <w:noProof/>
          <w:lang w:eastAsia="x-none"/>
        </w:rPr>
      </w:pPr>
      <w:r w:rsidRPr="005668BA">
        <w:rPr>
          <w:rFonts w:ascii="Cambria" w:hAnsi="Cambria"/>
          <w:noProof/>
          <w:lang w:eastAsia="x-none"/>
        </w:rPr>
        <w:lastRenderedPageBreak/>
        <w:t>Prema Zakonu o hemikalijama iz 2017</w:t>
      </w:r>
      <w:r w:rsidR="002D2869">
        <w:rPr>
          <w:rFonts w:ascii="Cambria" w:hAnsi="Cambria"/>
          <w:noProof/>
          <w:lang w:eastAsia="x-none"/>
        </w:rPr>
        <w:t>. godine</w:t>
      </w:r>
      <w:r w:rsidRPr="005668BA">
        <w:rPr>
          <w:rFonts w:ascii="Cambria" w:hAnsi="Cambria"/>
          <w:noProof/>
          <w:lang w:eastAsia="x-none"/>
        </w:rPr>
        <w:t xml:space="preserve">, supstance pojedinačno, u smješama ili u proizvodu koje se proizvode ili stavljaju na tržište u ukupnim količinama preko 1t godišnje (u kalendarskoj godini), upisuju se u javno dostupan registar. </w:t>
      </w:r>
      <w:r w:rsidRPr="00E85FEC">
        <w:rPr>
          <w:rFonts w:ascii="Cambria" w:hAnsi="Cambria"/>
          <w:b/>
          <w:noProof/>
          <w:lang w:eastAsia="x-none"/>
        </w:rPr>
        <w:t>Registar hemikalija</w:t>
      </w:r>
      <w:r w:rsidRPr="005668BA">
        <w:rPr>
          <w:rFonts w:ascii="Cambria" w:hAnsi="Cambria"/>
          <w:noProof/>
          <w:lang w:eastAsia="x-none"/>
        </w:rPr>
        <w:t xml:space="preserve"> vodi Agencija za zaštitu prirode i životne sredine u elektronskoj formi. Upis hemikalija u registar hemikalija vrši se na osnovu prijave proizvođača odnosno uvoznika, koja se podnosi Agenciji i to najkasnije do 31. marta tekuće godine za hemikalije koje je su proizvedene, odnosno uvezene u prethodnoj godini. Formiranjem Registra hemikalija prema ovakvim zahtjevima stvoriće bazu podataka o hemikalijama koje su u Crnoj Gori prisutne u značajnim količinama, a na koje treba obratiti pažnju kako u pogledu primjene zaštitnih mjera,  tako i u pogledu obavjeza koje će nastupiti prema REACH nakon ulaska u EU. Naime, zaht</w:t>
      </w:r>
      <w:r w:rsidR="00586C5E">
        <w:rPr>
          <w:rFonts w:ascii="Cambria" w:hAnsi="Cambria"/>
          <w:noProof/>
          <w:lang w:eastAsia="x-none"/>
        </w:rPr>
        <w:t>j</w:t>
      </w:r>
      <w:r w:rsidRPr="005668BA">
        <w:rPr>
          <w:rFonts w:ascii="Cambria" w:hAnsi="Cambria"/>
          <w:noProof/>
          <w:lang w:eastAsia="x-none"/>
        </w:rPr>
        <w:t>evi u pogledu hemikalija koje podl</w:t>
      </w:r>
      <w:r w:rsidR="00586C5E">
        <w:rPr>
          <w:rFonts w:ascii="Cambria" w:hAnsi="Cambria"/>
          <w:noProof/>
          <w:lang w:eastAsia="x-none"/>
        </w:rPr>
        <w:t>ij</w:t>
      </w:r>
      <w:r w:rsidRPr="005668BA">
        <w:rPr>
          <w:rFonts w:ascii="Cambria" w:hAnsi="Cambria"/>
          <w:noProof/>
          <w:lang w:eastAsia="x-none"/>
        </w:rPr>
        <w:t>ežu upisu u Registar i donjeg limita godišnje količine su preuzeti iz EU propisa u pogledu reg</w:t>
      </w:r>
      <w:r w:rsidR="00586C5E">
        <w:rPr>
          <w:rFonts w:ascii="Cambria" w:hAnsi="Cambria"/>
          <w:noProof/>
          <w:lang w:eastAsia="x-none"/>
        </w:rPr>
        <w:t>i</w:t>
      </w:r>
      <w:r w:rsidRPr="005668BA">
        <w:rPr>
          <w:rFonts w:ascii="Cambria" w:hAnsi="Cambria"/>
          <w:noProof/>
          <w:lang w:eastAsia="x-none"/>
        </w:rPr>
        <w:t>stracije po REACH. Ipak, treba napomenuti da Registar hemikalija koji vodi AZPŽS nije u formi koja se zahtijeva EU propisima s obzirom da podaci koji se unose u bazu podataka nisu podržani softverskim rješenjem IUCLID 6 koji je razvijen u cilju prikupljanja i čuvanja podataka o supstancama u EU. Stoga, ne treba praviti paralelu između ovog registra i registra supstanci koje podležu postupku registracije po REACH</w:t>
      </w:r>
      <w:r>
        <w:rPr>
          <w:rFonts w:ascii="Cambria" w:hAnsi="Cambria"/>
          <w:noProof/>
          <w:lang w:eastAsia="x-none"/>
        </w:rPr>
        <w:t>. Naime</w:t>
      </w:r>
      <w:r w:rsidRPr="005668BA">
        <w:rPr>
          <w:rFonts w:ascii="Cambria" w:hAnsi="Cambria"/>
          <w:noProof/>
          <w:lang w:eastAsia="x-none"/>
        </w:rPr>
        <w:t>, postupak registracije po REACH je centralizovani postupak koji se sprovodi na nivou EU, a ne na nivou zemalja članica, te njegovo uvo</w:t>
      </w:r>
      <w:r w:rsidR="002D2869">
        <w:rPr>
          <w:rFonts w:ascii="Cambria" w:hAnsi="Cambria"/>
          <w:noProof/>
          <w:lang w:eastAsia="x-none"/>
        </w:rPr>
        <w:t>đ</w:t>
      </w:r>
      <w:r w:rsidRPr="005668BA">
        <w:rPr>
          <w:rFonts w:ascii="Cambria" w:hAnsi="Cambria"/>
          <w:noProof/>
          <w:lang w:eastAsia="x-none"/>
        </w:rPr>
        <w:t xml:space="preserve">enje u zakonodavstvo zemlje kandidata u predpristupnom periodu nije realno niti svrsishodno.  Ipak, u predpristupnom periodu važno je uspostaviti nacionalni registar koji će dati potrebne podatke o hemikalijama prisutnim na tržištu Crne Gore, a naročito o njihovom identitetu i količinama, kako bi se moglo adekvatno pristupiti pregovorima u okviru poglavlja 27 u pogledu hemikalija,  a u cilju pripreme za pristupanje EU kada </w:t>
      </w:r>
      <w:r w:rsidR="002D2869">
        <w:rPr>
          <w:rFonts w:ascii="Cambria" w:hAnsi="Cambria"/>
          <w:noProof/>
          <w:lang w:eastAsia="x-none"/>
        </w:rPr>
        <w:t>ć</w:t>
      </w:r>
      <w:r w:rsidRPr="005668BA">
        <w:rPr>
          <w:rFonts w:ascii="Cambria" w:hAnsi="Cambria"/>
          <w:noProof/>
          <w:lang w:eastAsia="x-none"/>
        </w:rPr>
        <w:t>e se REACH u potpunosti prim</w:t>
      </w:r>
      <w:r w:rsidR="009E6F26">
        <w:rPr>
          <w:rFonts w:ascii="Cambria" w:hAnsi="Cambria"/>
          <w:noProof/>
          <w:lang w:eastAsia="x-none"/>
        </w:rPr>
        <w:t>j</w:t>
      </w:r>
      <w:r w:rsidRPr="005668BA">
        <w:rPr>
          <w:rFonts w:ascii="Cambria" w:hAnsi="Cambria"/>
          <w:noProof/>
          <w:lang w:eastAsia="x-none"/>
        </w:rPr>
        <w:t>enjivati i u Crnoj Gori, uključujući i odredbe o registraciji po REACH. Treba napomenuti da je obaveza upisa u Registar hemikalija postojala i prema zakonu iz 2012., ali sa nešto drugačijim uslovima u pogledu hemikalija koje podležu upisu, te da će nova pravila doneti nešto drugačiju sadržinu hemikalija upisanih u registar nakon 2017</w:t>
      </w:r>
      <w:r w:rsidR="002D2869">
        <w:rPr>
          <w:rFonts w:ascii="Cambria" w:hAnsi="Cambria"/>
          <w:noProof/>
          <w:lang w:eastAsia="x-none"/>
        </w:rPr>
        <w:t>.</w:t>
      </w:r>
      <w:r w:rsidRPr="005668BA">
        <w:rPr>
          <w:rFonts w:ascii="Cambria" w:hAnsi="Cambria"/>
          <w:noProof/>
          <w:lang w:eastAsia="x-none"/>
        </w:rPr>
        <w:t>, odnosno da se očekuje da relativno mali broj privrednih subjekata ima ovu obavezu s obzirom na pove</w:t>
      </w:r>
      <w:r w:rsidR="000863BA">
        <w:rPr>
          <w:rFonts w:ascii="Cambria" w:hAnsi="Cambria"/>
          <w:noProof/>
          <w:lang w:eastAsia="x-none"/>
        </w:rPr>
        <w:t>ć</w:t>
      </w:r>
      <w:r w:rsidRPr="005668BA">
        <w:rPr>
          <w:rFonts w:ascii="Cambria" w:hAnsi="Cambria"/>
          <w:noProof/>
          <w:lang w:eastAsia="x-none"/>
        </w:rPr>
        <w:t xml:space="preserve">anje limita u pogledu količina sa 100kg na 1t. </w:t>
      </w:r>
    </w:p>
    <w:p w14:paraId="138F572E" w14:textId="77777777" w:rsidR="00D97D16" w:rsidRPr="00D97D16" w:rsidRDefault="00D97D16" w:rsidP="005C4DBB">
      <w:pPr>
        <w:jc w:val="both"/>
        <w:rPr>
          <w:rFonts w:ascii="Cambria" w:hAnsi="Cambria"/>
          <w:noProof/>
          <w:lang w:eastAsia="x-none"/>
        </w:rPr>
      </w:pPr>
      <w:bookmarkStart w:id="133" w:name="_Hlk522833019"/>
      <w:r w:rsidRPr="00D97D16">
        <w:rPr>
          <w:rFonts w:ascii="Cambria" w:hAnsi="Cambria"/>
          <w:noProof/>
          <w:lang w:val="sr-Latn-ME" w:eastAsia="x-none"/>
        </w:rPr>
        <w:t xml:space="preserve">Pravna lica i preduzetnici koji proizvode, uvoze, distribuiraju i dalje koriste i stavljaju u promet hemikalije i određene proizvode, dužna su da </w:t>
      </w:r>
      <w:r w:rsidRPr="00ED0462">
        <w:rPr>
          <w:rFonts w:ascii="Cambria" w:hAnsi="Cambria"/>
          <w:b/>
          <w:noProof/>
          <w:lang w:val="sr-Latn-ME" w:eastAsia="x-none"/>
        </w:rPr>
        <w:t>propisno klasifikuju, označavaju i pakuju hemikalije</w:t>
      </w:r>
      <w:r w:rsidRPr="00D97D16">
        <w:rPr>
          <w:rFonts w:ascii="Cambria" w:hAnsi="Cambria"/>
          <w:noProof/>
          <w:lang w:val="sr-Latn-ME" w:eastAsia="x-none"/>
        </w:rPr>
        <w:t xml:space="preserve">. </w:t>
      </w:r>
      <w:r w:rsidR="005C4DBB">
        <w:rPr>
          <w:rFonts w:ascii="Cambria" w:hAnsi="Cambria"/>
          <w:noProof/>
          <w:lang w:val="sr-Latn-ME" w:eastAsia="x-none"/>
        </w:rPr>
        <w:t xml:space="preserve">Način i kriterijumi za </w:t>
      </w:r>
      <w:r w:rsidRPr="00D97D16">
        <w:rPr>
          <w:rFonts w:ascii="Cambria" w:hAnsi="Cambria"/>
          <w:noProof/>
          <w:lang w:val="sr-Latn-ME" w:eastAsia="x-none"/>
        </w:rPr>
        <w:t>klasifikacij</w:t>
      </w:r>
      <w:r w:rsidR="005C4DBB">
        <w:rPr>
          <w:rFonts w:ascii="Cambria" w:hAnsi="Cambria"/>
          <w:noProof/>
          <w:lang w:val="sr-Latn-ME" w:eastAsia="x-none"/>
        </w:rPr>
        <w:t>u</w:t>
      </w:r>
      <w:r w:rsidRPr="00D97D16">
        <w:rPr>
          <w:rFonts w:ascii="Cambria" w:hAnsi="Cambria"/>
          <w:noProof/>
          <w:lang w:val="sr-Latn-ME" w:eastAsia="x-none"/>
        </w:rPr>
        <w:t>, označavanj</w:t>
      </w:r>
      <w:r w:rsidR="005C4DBB">
        <w:rPr>
          <w:rFonts w:ascii="Cambria" w:hAnsi="Cambria"/>
          <w:noProof/>
          <w:lang w:val="sr-Latn-ME" w:eastAsia="x-none"/>
        </w:rPr>
        <w:t>e</w:t>
      </w:r>
      <w:r w:rsidRPr="00D97D16">
        <w:rPr>
          <w:rFonts w:ascii="Cambria" w:hAnsi="Cambria"/>
          <w:noProof/>
          <w:lang w:val="sr-Latn-ME" w:eastAsia="x-none"/>
        </w:rPr>
        <w:t xml:space="preserve"> i pakovanj</w:t>
      </w:r>
      <w:r w:rsidR="005C4DBB">
        <w:rPr>
          <w:rFonts w:ascii="Cambria" w:hAnsi="Cambria"/>
          <w:noProof/>
          <w:lang w:val="sr-Latn-ME" w:eastAsia="x-none"/>
        </w:rPr>
        <w:t>e</w:t>
      </w:r>
      <w:r w:rsidRPr="00D97D16">
        <w:rPr>
          <w:rFonts w:ascii="Cambria" w:hAnsi="Cambria"/>
          <w:noProof/>
          <w:lang w:val="sr-Latn-ME" w:eastAsia="x-none"/>
        </w:rPr>
        <w:t xml:space="preserve"> hemikalije propis</w:t>
      </w:r>
      <w:r w:rsidR="005C4DBB">
        <w:rPr>
          <w:rFonts w:ascii="Cambria" w:hAnsi="Cambria"/>
          <w:noProof/>
          <w:lang w:val="sr-Latn-ME" w:eastAsia="x-none"/>
        </w:rPr>
        <w:t>i su</w:t>
      </w:r>
      <w:r w:rsidRPr="00D97D16">
        <w:rPr>
          <w:rFonts w:ascii="Cambria" w:hAnsi="Cambria"/>
          <w:noProof/>
          <w:lang w:val="sr-Latn-ME" w:eastAsia="x-none"/>
        </w:rPr>
        <w:t xml:space="preserve"> u skladu sa Globalno harmonizovanim sistemom (GHS)</w:t>
      </w:r>
      <w:r w:rsidR="005C4DBB">
        <w:rPr>
          <w:rFonts w:ascii="Cambria" w:hAnsi="Cambria"/>
          <w:noProof/>
          <w:lang w:val="sr-Latn-ME" w:eastAsia="x-none"/>
        </w:rPr>
        <w:t xml:space="preserve"> i uključuju </w:t>
      </w:r>
      <w:r w:rsidR="005C4DBB" w:rsidRPr="00ED0462">
        <w:rPr>
          <w:rFonts w:ascii="Cambria" w:hAnsi="Cambria"/>
          <w:b/>
          <w:noProof/>
          <w:lang w:val="sr-Latn-ME" w:eastAsia="x-none"/>
        </w:rPr>
        <w:t>procjenu opasnosti</w:t>
      </w:r>
      <w:r w:rsidR="005C4DBB">
        <w:rPr>
          <w:rFonts w:ascii="Cambria" w:hAnsi="Cambria"/>
          <w:noProof/>
          <w:lang w:val="sr-Latn-ME" w:eastAsia="x-none"/>
        </w:rPr>
        <w:t xml:space="preserve"> za koju su potrebna određena </w:t>
      </w:r>
      <w:r w:rsidR="005C4DBB" w:rsidRPr="00ED0462">
        <w:rPr>
          <w:rFonts w:ascii="Cambria" w:hAnsi="Cambria"/>
          <w:b/>
          <w:noProof/>
          <w:lang w:val="sr-Latn-ME" w:eastAsia="x-none"/>
        </w:rPr>
        <w:t>stručna znanja i obuke</w:t>
      </w:r>
      <w:r w:rsidR="005C4DBB">
        <w:rPr>
          <w:rFonts w:ascii="Cambria" w:hAnsi="Cambria"/>
          <w:noProof/>
          <w:lang w:val="sr-Latn-ME" w:eastAsia="x-none"/>
        </w:rPr>
        <w:t xml:space="preserve">. </w:t>
      </w:r>
      <w:r w:rsidR="00C62D36">
        <w:rPr>
          <w:rFonts w:ascii="Cambria" w:hAnsi="Cambria"/>
          <w:noProof/>
          <w:lang w:val="sr-Latn-ME" w:eastAsia="x-none"/>
        </w:rPr>
        <w:t xml:space="preserve">S tim u vezi, radi efikasne implementacije propisa kojima se uređuje klasifikacija, pakovanje i označavanje hemikalija potrebno je podići administrativne kapacitete kako u AZPŽS, tako i kod nadležnih inspekcija i drugih nadležnih organa koji u svom radu između ostalog </w:t>
      </w:r>
      <w:r w:rsidR="00ED0462">
        <w:rPr>
          <w:rFonts w:ascii="Cambria" w:hAnsi="Cambria"/>
          <w:noProof/>
          <w:lang w:val="sr-Latn-ME" w:eastAsia="x-none"/>
        </w:rPr>
        <w:t xml:space="preserve">kontrolišu primjenu </w:t>
      </w:r>
      <w:r w:rsidR="00C62D36">
        <w:rPr>
          <w:rFonts w:ascii="Cambria" w:hAnsi="Cambria"/>
          <w:noProof/>
          <w:lang w:val="sr-Latn-ME" w:eastAsia="x-none"/>
        </w:rPr>
        <w:t>i ov</w:t>
      </w:r>
      <w:r w:rsidR="00ED0462">
        <w:rPr>
          <w:rFonts w:ascii="Cambria" w:hAnsi="Cambria"/>
          <w:noProof/>
          <w:lang w:val="sr-Latn-ME" w:eastAsia="x-none"/>
        </w:rPr>
        <w:t>ih</w:t>
      </w:r>
      <w:r w:rsidR="00C62D36">
        <w:rPr>
          <w:rFonts w:ascii="Cambria" w:hAnsi="Cambria"/>
          <w:noProof/>
          <w:lang w:val="sr-Latn-ME" w:eastAsia="x-none"/>
        </w:rPr>
        <w:t xml:space="preserve"> propis</w:t>
      </w:r>
      <w:r w:rsidR="00ED0462">
        <w:rPr>
          <w:rFonts w:ascii="Cambria" w:hAnsi="Cambria"/>
          <w:noProof/>
          <w:lang w:val="sr-Latn-ME" w:eastAsia="x-none"/>
        </w:rPr>
        <w:t>a</w:t>
      </w:r>
      <w:r w:rsidR="00C62D36">
        <w:rPr>
          <w:rFonts w:ascii="Cambria" w:hAnsi="Cambria"/>
          <w:noProof/>
          <w:lang w:val="sr-Latn-ME" w:eastAsia="x-none"/>
        </w:rPr>
        <w:t>.</w:t>
      </w:r>
    </w:p>
    <w:bookmarkEnd w:id="133"/>
    <w:p w14:paraId="7D1048B0" w14:textId="1863CF24" w:rsidR="00D97D16" w:rsidRPr="00D97D16" w:rsidRDefault="00CA7A72" w:rsidP="00922792">
      <w:pPr>
        <w:jc w:val="both"/>
        <w:rPr>
          <w:rFonts w:ascii="Cambria" w:hAnsi="Cambria"/>
          <w:noProof/>
          <w:lang w:eastAsia="x-none"/>
        </w:rPr>
      </w:pPr>
      <w:r>
        <w:rPr>
          <w:rFonts w:ascii="Cambria" w:hAnsi="Cambria"/>
          <w:noProof/>
          <w:lang w:eastAsia="x-none"/>
        </w:rPr>
        <w:t>Zakonom je utvrđeno da se n</w:t>
      </w:r>
      <w:r w:rsidR="00D97D16" w:rsidRPr="00D97D16">
        <w:rPr>
          <w:rFonts w:ascii="Cambria" w:hAnsi="Cambria"/>
          <w:noProof/>
          <w:lang w:eastAsia="x-none"/>
        </w:rPr>
        <w:t>ova ispitivanja hemikalija vrše se po propisanim metodama</w:t>
      </w:r>
      <w:r w:rsidR="00922792">
        <w:rPr>
          <w:rFonts w:ascii="Cambria" w:hAnsi="Cambria"/>
          <w:noProof/>
          <w:lang w:eastAsia="x-none"/>
        </w:rPr>
        <w:t xml:space="preserve"> ispitivanja opasnih svojstava hemikalija</w:t>
      </w:r>
      <w:r w:rsidR="00D97D16" w:rsidRPr="00D97D16">
        <w:rPr>
          <w:rFonts w:ascii="Cambria" w:hAnsi="Cambria"/>
          <w:noProof/>
          <w:lang w:eastAsia="x-none"/>
        </w:rPr>
        <w:t>.</w:t>
      </w:r>
      <w:r w:rsidR="00922792">
        <w:rPr>
          <w:rFonts w:ascii="Cambria" w:hAnsi="Cambria"/>
          <w:noProof/>
          <w:lang w:eastAsia="x-none"/>
        </w:rPr>
        <w:t xml:space="preserve"> </w:t>
      </w:r>
      <w:r w:rsidR="00D97D16" w:rsidRPr="00026AE3">
        <w:rPr>
          <w:rFonts w:ascii="Cambria" w:hAnsi="Cambria"/>
          <w:noProof/>
          <w:lang w:eastAsia="x-none"/>
        </w:rPr>
        <w:t xml:space="preserve">Toksikološka i ekotoksikološka ispitivanja može da vrši laboratorija čiji je rad usklađen sa smjernicama dobre laboratorijske prakse (DLP). </w:t>
      </w:r>
      <w:r w:rsidR="00D97D16" w:rsidRPr="00D97D16">
        <w:rPr>
          <w:rFonts w:ascii="Cambria" w:hAnsi="Cambria"/>
          <w:noProof/>
          <w:lang w:eastAsia="x-none"/>
        </w:rPr>
        <w:t xml:space="preserve">Smjernice i uslove za DLP propisuje Ministarstvo, a </w:t>
      </w:r>
      <w:r w:rsidR="00922792">
        <w:rPr>
          <w:rFonts w:ascii="Cambria" w:hAnsi="Cambria"/>
          <w:noProof/>
          <w:lang w:eastAsia="x-none"/>
        </w:rPr>
        <w:t>po zahtjevu laboratorije, i</w:t>
      </w:r>
      <w:r w:rsidR="00D97D16" w:rsidRPr="00D97D16">
        <w:rPr>
          <w:rFonts w:ascii="Cambria" w:hAnsi="Cambria"/>
          <w:noProof/>
          <w:lang w:eastAsia="x-none"/>
        </w:rPr>
        <w:t xml:space="preserve">spunjenost uslova DLP utvrđuje </w:t>
      </w:r>
      <w:r>
        <w:rPr>
          <w:rFonts w:ascii="Cambria" w:hAnsi="Cambria"/>
          <w:noProof/>
          <w:lang w:eastAsia="x-none"/>
        </w:rPr>
        <w:t>AZPŽS</w:t>
      </w:r>
      <w:r w:rsidR="00D97D16" w:rsidRPr="00D97D16">
        <w:rPr>
          <w:rFonts w:ascii="Cambria" w:hAnsi="Cambria"/>
          <w:noProof/>
          <w:lang w:eastAsia="x-none"/>
        </w:rPr>
        <w:t xml:space="preserve"> i izdaje DLP sertifikat. </w:t>
      </w:r>
      <w:r w:rsidR="00D97D16" w:rsidRPr="00D97D16">
        <w:rPr>
          <w:rFonts w:ascii="Cambria" w:hAnsi="Cambria"/>
          <w:noProof/>
          <w:lang w:val="sr-Latn-ME" w:eastAsia="x-none"/>
        </w:rPr>
        <w:t xml:space="preserve">DLP sertifikat izdat od strane nadležnog organa države članice Radne grupe za DLP Organizacije za ekonomsku saradnju i razvoj (OECD) priznaje se u Crnoj Gori. </w:t>
      </w:r>
    </w:p>
    <w:p w14:paraId="74C184FD" w14:textId="3AF698B4" w:rsidR="00D97D16" w:rsidRPr="00026AE3" w:rsidRDefault="00D97D16" w:rsidP="007770DA">
      <w:pPr>
        <w:jc w:val="both"/>
        <w:rPr>
          <w:rFonts w:ascii="Cambria" w:hAnsi="Cambria"/>
          <w:noProof/>
          <w:lang w:eastAsia="x-none"/>
        </w:rPr>
      </w:pPr>
      <w:r w:rsidRPr="00D97D16">
        <w:rPr>
          <w:rFonts w:ascii="Cambria" w:hAnsi="Cambria"/>
          <w:noProof/>
          <w:lang w:val="sr-Latn-ME" w:eastAsia="x-none"/>
        </w:rPr>
        <w:t xml:space="preserve">Opasnu hemikaliju, kao i hemikaliju koja nije klasifikovana ali sadrži opasne supstance mora da prati </w:t>
      </w:r>
      <w:r w:rsidR="00586C5E" w:rsidRPr="00026AE3">
        <w:rPr>
          <w:rFonts w:ascii="Cambria" w:hAnsi="Cambria"/>
          <w:b/>
          <w:noProof/>
          <w:lang w:val="sr-Latn-ME" w:eastAsia="x-none"/>
        </w:rPr>
        <w:t xml:space="preserve">bezbjednosni </w:t>
      </w:r>
      <w:r w:rsidRPr="00026AE3">
        <w:rPr>
          <w:rFonts w:ascii="Cambria" w:hAnsi="Cambria"/>
          <w:b/>
          <w:noProof/>
          <w:lang w:val="sr-Latn-ME" w:eastAsia="x-none"/>
        </w:rPr>
        <w:t>list</w:t>
      </w:r>
      <w:r w:rsidRPr="00D97D16">
        <w:rPr>
          <w:rFonts w:ascii="Cambria" w:hAnsi="Cambria"/>
          <w:noProof/>
          <w:lang w:val="sr-Latn-ME" w:eastAsia="x-none"/>
        </w:rPr>
        <w:t xml:space="preserve"> (safety data sheet), koji naročito sadrži identifikaciju hemikalije, podatke načinu korišćenja, svojstvima hemikalije, mjere zaštite, kao i podatke o snabdjevaču hemikalije i dr. </w:t>
      </w:r>
      <w:r w:rsidR="007770DA">
        <w:rPr>
          <w:rFonts w:ascii="Cambria" w:hAnsi="Cambria"/>
          <w:noProof/>
          <w:lang w:val="sr-Latn-ME" w:eastAsia="x-none"/>
        </w:rPr>
        <w:t>Ovo je dokument namenjen profesionalnim korisnicima i drugim zainteresovanim stranama i pruža ključne informacije o hemi</w:t>
      </w:r>
      <w:r w:rsidR="00ED0462">
        <w:rPr>
          <w:rFonts w:ascii="Cambria" w:hAnsi="Cambria"/>
          <w:noProof/>
          <w:lang w:val="sr-Latn-ME" w:eastAsia="x-none"/>
        </w:rPr>
        <w:t>k</w:t>
      </w:r>
      <w:r w:rsidR="007770DA">
        <w:rPr>
          <w:rFonts w:ascii="Cambria" w:hAnsi="Cambria"/>
          <w:noProof/>
          <w:lang w:val="sr-Latn-ME" w:eastAsia="x-none"/>
        </w:rPr>
        <w:t xml:space="preserve">aliji.  Stoga je kvalitet bezbjednosnog lista </w:t>
      </w:r>
      <w:r w:rsidR="007770DA" w:rsidRPr="00026AE3">
        <w:rPr>
          <w:rFonts w:ascii="Cambria" w:hAnsi="Cambria"/>
          <w:b/>
          <w:noProof/>
          <w:lang w:val="sr-Latn-ME" w:eastAsia="x-none"/>
        </w:rPr>
        <w:t xml:space="preserve">od suštinskog značaja za komunikaciju </w:t>
      </w:r>
      <w:r w:rsidR="00ED0462" w:rsidRPr="00026AE3">
        <w:rPr>
          <w:rFonts w:ascii="Cambria" w:hAnsi="Cambria"/>
          <w:b/>
          <w:noProof/>
          <w:lang w:val="sr-Latn-ME" w:eastAsia="x-none"/>
        </w:rPr>
        <w:t xml:space="preserve">o </w:t>
      </w:r>
      <w:r w:rsidR="00800102" w:rsidRPr="00026AE3">
        <w:rPr>
          <w:rFonts w:ascii="Cambria" w:hAnsi="Cambria"/>
          <w:b/>
          <w:noProof/>
          <w:lang w:val="sr-Latn-ME" w:eastAsia="x-none"/>
        </w:rPr>
        <w:t>opasnostima i mjerama zaštite</w:t>
      </w:r>
      <w:r w:rsidR="007770DA" w:rsidRPr="00026AE3">
        <w:rPr>
          <w:rFonts w:ascii="Cambria" w:hAnsi="Cambria"/>
          <w:b/>
          <w:noProof/>
          <w:lang w:val="sr-Latn-ME" w:eastAsia="x-none"/>
        </w:rPr>
        <w:t xml:space="preserve"> </w:t>
      </w:r>
      <w:r w:rsidR="00800102" w:rsidRPr="00026AE3">
        <w:rPr>
          <w:rFonts w:ascii="Cambria" w:hAnsi="Cambria"/>
          <w:b/>
          <w:noProof/>
          <w:lang w:val="sr-Latn-ME" w:eastAsia="x-none"/>
        </w:rPr>
        <w:t xml:space="preserve">u vezi </w:t>
      </w:r>
      <w:r w:rsidR="007770DA" w:rsidRPr="00026AE3">
        <w:rPr>
          <w:rFonts w:ascii="Cambria" w:hAnsi="Cambria"/>
          <w:b/>
          <w:noProof/>
          <w:lang w:val="sr-Latn-ME" w:eastAsia="x-none"/>
        </w:rPr>
        <w:t>sa konkretnom hemikalijom</w:t>
      </w:r>
      <w:r w:rsidR="007770DA">
        <w:rPr>
          <w:rFonts w:ascii="Cambria" w:hAnsi="Cambria"/>
          <w:noProof/>
          <w:lang w:val="sr-Latn-ME" w:eastAsia="x-none"/>
        </w:rPr>
        <w:t>. S tim u vezi, neophodno je podići kapacitete nadle</w:t>
      </w:r>
      <w:r w:rsidR="00ED0462">
        <w:rPr>
          <w:rFonts w:ascii="Cambria" w:hAnsi="Cambria"/>
          <w:noProof/>
          <w:lang w:val="sr-Latn-ME" w:eastAsia="x-none"/>
        </w:rPr>
        <w:t>ž</w:t>
      </w:r>
      <w:r w:rsidR="007770DA">
        <w:rPr>
          <w:rFonts w:ascii="Cambria" w:hAnsi="Cambria"/>
          <w:noProof/>
          <w:lang w:val="sr-Latn-ME" w:eastAsia="x-none"/>
        </w:rPr>
        <w:t xml:space="preserve">nih organa i privrede kroz obuke o </w:t>
      </w:r>
      <w:r w:rsidR="007770DA" w:rsidRPr="00026AE3">
        <w:rPr>
          <w:rFonts w:ascii="Cambria" w:hAnsi="Cambria"/>
          <w:noProof/>
          <w:lang w:val="sr-Latn-ME" w:eastAsia="x-none"/>
        </w:rPr>
        <w:t xml:space="preserve">izradi i sadržaju bezbjednosnog lista. </w:t>
      </w:r>
    </w:p>
    <w:p w14:paraId="3F17E442" w14:textId="2BF7E126" w:rsidR="005F4568" w:rsidRPr="00026AE3" w:rsidRDefault="00FD5637" w:rsidP="005F4568">
      <w:pPr>
        <w:jc w:val="both"/>
        <w:rPr>
          <w:rFonts w:ascii="Cambria" w:hAnsi="Cambria"/>
          <w:noProof/>
          <w:lang w:val="sr-Latn-ME" w:eastAsia="x-none"/>
        </w:rPr>
      </w:pPr>
      <w:r w:rsidRPr="00FD5637">
        <w:rPr>
          <w:rFonts w:ascii="Cambria" w:hAnsi="Cambria"/>
          <w:noProof/>
          <w:lang w:val="sr-Latn-ME" w:eastAsia="x-none"/>
        </w:rPr>
        <w:lastRenderedPageBreak/>
        <w:t xml:space="preserve">Zabrane i ograničenja za hemikalije za koje je detaljnom </w:t>
      </w:r>
      <w:r w:rsidR="00747C56">
        <w:rPr>
          <w:rFonts w:ascii="Cambria" w:hAnsi="Cambria"/>
          <w:noProof/>
          <w:lang w:val="sr-Latn-ME" w:eastAsia="x-none"/>
        </w:rPr>
        <w:t>procjen</w:t>
      </w:r>
      <w:r w:rsidRPr="00FD5637">
        <w:rPr>
          <w:rFonts w:ascii="Cambria" w:hAnsi="Cambria"/>
          <w:noProof/>
          <w:lang w:val="sr-Latn-ME" w:eastAsia="x-none"/>
        </w:rPr>
        <w:t xml:space="preserve">om rizika u centralizovanoj proceduri u EU utvrđeno da  predstavljaju neprihvatljiv rizik po zdravlje ljudi i životnu sredinu za određene načine upotrebe ili kada se nađu u određenim proizvodima (Aneks XVII REACH) preuzete su u nacionalno zakonodavstvo podzakonskim propisom o zabrani i ograničenju korišćenja, stavljanja u promet i proizvodnji hemikalija koje predstavljaju neprihvatljiv rizik po zdravlje ljudi i životnu sredinu. Ove </w:t>
      </w:r>
      <w:r w:rsidRPr="0089255C">
        <w:rPr>
          <w:rFonts w:ascii="Cambria" w:hAnsi="Cambria"/>
          <w:b/>
          <w:noProof/>
          <w:lang w:val="sr-Latn-ME" w:eastAsia="x-none"/>
        </w:rPr>
        <w:t xml:space="preserve">zabrane i ograničenja odnose se na </w:t>
      </w:r>
      <w:r w:rsidR="00A50135" w:rsidRPr="0089255C">
        <w:rPr>
          <w:rFonts w:ascii="Cambria" w:hAnsi="Cambria"/>
          <w:b/>
          <w:noProof/>
          <w:lang w:val="sr-Latn-ME" w:eastAsia="x-none"/>
        </w:rPr>
        <w:t xml:space="preserve">određenje </w:t>
      </w:r>
      <w:r w:rsidRPr="0089255C">
        <w:rPr>
          <w:rFonts w:ascii="Cambria" w:hAnsi="Cambria"/>
          <w:b/>
          <w:noProof/>
          <w:lang w:val="sr-Latn-ME" w:eastAsia="x-none"/>
        </w:rPr>
        <w:t>supstance</w:t>
      </w:r>
      <w:r w:rsidR="0089255C">
        <w:rPr>
          <w:rFonts w:ascii="Cambria" w:hAnsi="Cambria"/>
          <w:b/>
          <w:noProof/>
          <w:lang w:val="sr-Latn-ME" w:eastAsia="x-none"/>
        </w:rPr>
        <w:t xml:space="preserve">, pojedinačno, </w:t>
      </w:r>
      <w:r w:rsidRPr="0089255C">
        <w:rPr>
          <w:rFonts w:ascii="Cambria" w:hAnsi="Cambria"/>
          <w:b/>
          <w:noProof/>
          <w:lang w:val="sr-Latn-ME" w:eastAsia="x-none"/>
        </w:rPr>
        <w:t xml:space="preserve"> u sm</w:t>
      </w:r>
      <w:r w:rsidR="00002F49">
        <w:rPr>
          <w:rFonts w:ascii="Cambria" w:hAnsi="Cambria"/>
          <w:b/>
          <w:noProof/>
          <w:lang w:val="sr-Latn-ME" w:eastAsia="x-none"/>
        </w:rPr>
        <w:t>j</w:t>
      </w:r>
      <w:r w:rsidRPr="0089255C">
        <w:rPr>
          <w:rFonts w:ascii="Cambria" w:hAnsi="Cambria"/>
          <w:b/>
          <w:noProof/>
          <w:lang w:val="sr-Latn-ME" w:eastAsia="x-none"/>
        </w:rPr>
        <w:t>ešama i</w:t>
      </w:r>
      <w:r w:rsidR="0089255C">
        <w:rPr>
          <w:rFonts w:ascii="Cambria" w:hAnsi="Cambria"/>
          <w:b/>
          <w:noProof/>
          <w:lang w:val="sr-Latn-ME" w:eastAsia="x-none"/>
        </w:rPr>
        <w:t>/ili u</w:t>
      </w:r>
      <w:r w:rsidRPr="0089255C">
        <w:rPr>
          <w:rFonts w:ascii="Cambria" w:hAnsi="Cambria"/>
          <w:b/>
          <w:noProof/>
          <w:lang w:val="sr-Latn-ME" w:eastAsia="x-none"/>
        </w:rPr>
        <w:t xml:space="preserve"> proizvodima</w:t>
      </w:r>
      <w:r>
        <w:rPr>
          <w:rFonts w:ascii="Cambria" w:hAnsi="Cambria"/>
          <w:noProof/>
          <w:lang w:val="sr-Latn-ME" w:eastAsia="x-none"/>
        </w:rPr>
        <w:t xml:space="preserve"> najrazličitije</w:t>
      </w:r>
      <w:r w:rsidR="00A50135">
        <w:rPr>
          <w:rFonts w:ascii="Cambria" w:hAnsi="Cambria"/>
          <w:noProof/>
          <w:lang w:val="sr-Latn-ME" w:eastAsia="x-none"/>
        </w:rPr>
        <w:t xml:space="preserve"> nam</w:t>
      </w:r>
      <w:r w:rsidR="00586C5E">
        <w:rPr>
          <w:rFonts w:ascii="Cambria" w:hAnsi="Cambria"/>
          <w:noProof/>
          <w:lang w:val="sr-Latn-ME" w:eastAsia="x-none"/>
        </w:rPr>
        <w:t>j</w:t>
      </w:r>
      <w:r w:rsidR="00A50135">
        <w:rPr>
          <w:rFonts w:ascii="Cambria" w:hAnsi="Cambria"/>
          <w:noProof/>
          <w:lang w:val="sr-Latn-ME" w:eastAsia="x-none"/>
        </w:rPr>
        <w:t>ene i tipa</w:t>
      </w:r>
      <w:r>
        <w:rPr>
          <w:rFonts w:ascii="Cambria" w:hAnsi="Cambria"/>
          <w:noProof/>
          <w:lang w:val="sr-Latn-ME" w:eastAsia="x-none"/>
        </w:rPr>
        <w:t xml:space="preserve">, između ostalog </w:t>
      </w:r>
      <w:r w:rsidR="00A50135">
        <w:rPr>
          <w:rFonts w:ascii="Cambria" w:hAnsi="Cambria"/>
          <w:noProof/>
          <w:lang w:val="sr-Latn-ME" w:eastAsia="x-none"/>
        </w:rPr>
        <w:t xml:space="preserve">i u igračkama, sredstvima za čišćenje, tekstilu, </w:t>
      </w:r>
      <w:r w:rsidR="00A50135" w:rsidRPr="00A50135">
        <w:rPr>
          <w:rFonts w:ascii="Cambria" w:hAnsi="Cambria"/>
          <w:noProof/>
          <w:lang w:val="sr-Latn-ME" w:eastAsia="x-none"/>
        </w:rPr>
        <w:t>materijali</w:t>
      </w:r>
      <w:r w:rsidR="00A50135">
        <w:rPr>
          <w:rFonts w:ascii="Cambria" w:hAnsi="Cambria"/>
          <w:noProof/>
          <w:lang w:val="sr-Latn-ME" w:eastAsia="x-none"/>
        </w:rPr>
        <w:t>ma</w:t>
      </w:r>
      <w:r w:rsidR="00A50135" w:rsidRPr="00A50135">
        <w:rPr>
          <w:rFonts w:ascii="Cambria" w:hAnsi="Cambria"/>
          <w:noProof/>
          <w:lang w:val="sr-Latn-ME" w:eastAsia="x-none"/>
        </w:rPr>
        <w:t xml:space="preserve"> i predmeti</w:t>
      </w:r>
      <w:r w:rsidR="00A50135">
        <w:rPr>
          <w:rFonts w:ascii="Cambria" w:hAnsi="Cambria"/>
          <w:noProof/>
          <w:lang w:val="sr-Latn-ME" w:eastAsia="x-none"/>
        </w:rPr>
        <w:t>ma</w:t>
      </w:r>
      <w:r w:rsidR="00A50135" w:rsidRPr="00A50135">
        <w:rPr>
          <w:rFonts w:ascii="Cambria" w:hAnsi="Cambria"/>
          <w:noProof/>
          <w:lang w:val="sr-Latn-ME" w:eastAsia="x-none"/>
        </w:rPr>
        <w:t xml:space="preserve"> koji dolaze u dodir s hranom;</w:t>
      </w:r>
      <w:r w:rsidR="00A50135" w:rsidRPr="00A50135">
        <w:rPr>
          <w:noProof/>
        </w:rPr>
        <w:t xml:space="preserve"> </w:t>
      </w:r>
      <w:r w:rsidR="00A50135" w:rsidRPr="00A50135">
        <w:rPr>
          <w:rFonts w:ascii="Cambria" w:hAnsi="Cambria"/>
          <w:noProof/>
          <w:lang w:val="sr-Latn-ME" w:eastAsia="x-none"/>
        </w:rPr>
        <w:t>elektronskoj i elektronskoj opremi</w:t>
      </w:r>
      <w:r w:rsidR="00A50135">
        <w:rPr>
          <w:rFonts w:ascii="Cambria" w:hAnsi="Cambria"/>
          <w:noProof/>
          <w:lang w:val="sr-Latn-ME" w:eastAsia="x-none"/>
        </w:rPr>
        <w:t xml:space="preserve"> i dr, te predstavljaju odraz propisa o hemikaljama na druge oblasti koja zaht</w:t>
      </w:r>
      <w:r w:rsidR="00586C5E">
        <w:rPr>
          <w:rFonts w:ascii="Cambria" w:hAnsi="Cambria"/>
          <w:noProof/>
          <w:lang w:val="sr-Latn-ME" w:eastAsia="x-none"/>
        </w:rPr>
        <w:t>ij</w:t>
      </w:r>
      <w:r w:rsidR="00A50135">
        <w:rPr>
          <w:rFonts w:ascii="Cambria" w:hAnsi="Cambria"/>
          <w:noProof/>
          <w:lang w:val="sr-Latn-ME" w:eastAsia="x-none"/>
        </w:rPr>
        <w:t xml:space="preserve">eva dobru </w:t>
      </w:r>
      <w:r w:rsidR="00A50135" w:rsidRPr="00026AE3">
        <w:rPr>
          <w:rFonts w:ascii="Cambria" w:hAnsi="Cambria"/>
          <w:noProof/>
          <w:lang w:val="sr-Latn-ME" w:eastAsia="x-none"/>
        </w:rPr>
        <w:t>međuresornu komunikaciju.</w:t>
      </w:r>
    </w:p>
    <w:p w14:paraId="129C85AE" w14:textId="6566EB21" w:rsidR="00D97D16" w:rsidRDefault="00D97D16" w:rsidP="005F4568">
      <w:pPr>
        <w:jc w:val="both"/>
        <w:rPr>
          <w:rFonts w:ascii="Cambria" w:hAnsi="Cambria"/>
          <w:noProof/>
          <w:lang w:eastAsia="x-none"/>
        </w:rPr>
      </w:pPr>
      <w:r w:rsidRPr="00326EC7">
        <w:rPr>
          <w:rFonts w:ascii="Cambria" w:hAnsi="Cambria"/>
          <w:b/>
          <w:noProof/>
          <w:lang w:eastAsia="x-none"/>
        </w:rPr>
        <w:t>Detergenti</w:t>
      </w:r>
      <w:r w:rsidRPr="00D97D16">
        <w:rPr>
          <w:rFonts w:ascii="Cambria" w:hAnsi="Cambria"/>
          <w:noProof/>
          <w:lang w:eastAsia="x-none"/>
        </w:rPr>
        <w:t xml:space="preserve"> se mogu stavljati na tržište samo ako </w:t>
      </w:r>
      <w:r w:rsidRPr="00026AE3">
        <w:rPr>
          <w:rFonts w:ascii="Cambria" w:hAnsi="Cambria"/>
          <w:b/>
          <w:noProof/>
          <w:lang w:eastAsia="x-none"/>
        </w:rPr>
        <w:t>površinski aktivne supstance ispunjavaju propisane uslove u pogledu biorazgradljivosti</w:t>
      </w:r>
      <w:r w:rsidRPr="00D97D16">
        <w:rPr>
          <w:rFonts w:ascii="Cambria" w:hAnsi="Cambria"/>
          <w:noProof/>
          <w:lang w:eastAsia="x-none"/>
        </w:rPr>
        <w:t xml:space="preserve">, kao i druge propisane uslove, a naročito one u pogledu </w:t>
      </w:r>
      <w:r w:rsidRPr="00026AE3">
        <w:rPr>
          <w:rFonts w:ascii="Cambria" w:hAnsi="Cambria"/>
          <w:b/>
          <w:noProof/>
          <w:lang w:eastAsia="x-none"/>
        </w:rPr>
        <w:t xml:space="preserve">specifičnog </w:t>
      </w:r>
      <w:r w:rsidR="00825CF8" w:rsidRPr="00026AE3">
        <w:rPr>
          <w:rFonts w:ascii="Cambria" w:hAnsi="Cambria"/>
          <w:b/>
          <w:noProof/>
          <w:lang w:eastAsia="x-none"/>
        </w:rPr>
        <w:t>načina obilježavanja</w:t>
      </w:r>
      <w:r w:rsidRPr="00D97D16">
        <w:rPr>
          <w:rFonts w:ascii="Cambria" w:hAnsi="Cambria"/>
          <w:noProof/>
          <w:lang w:eastAsia="x-none"/>
        </w:rPr>
        <w:t xml:space="preserve"> za detergente za opštu upotrebu uključujući i </w:t>
      </w:r>
      <w:r w:rsidRPr="00026AE3">
        <w:rPr>
          <w:rFonts w:ascii="Cambria" w:hAnsi="Cambria"/>
          <w:b/>
          <w:noProof/>
          <w:lang w:eastAsia="x-none"/>
        </w:rPr>
        <w:t>naznačavanje sasta</w:t>
      </w:r>
      <w:r w:rsidRPr="001933FA">
        <w:rPr>
          <w:rFonts w:ascii="Cambria" w:hAnsi="Cambria"/>
          <w:b/>
          <w:noProof/>
          <w:lang w:eastAsia="x-none"/>
        </w:rPr>
        <w:t>va</w:t>
      </w:r>
      <w:r w:rsidRPr="00D97D16">
        <w:rPr>
          <w:rFonts w:ascii="Cambria" w:hAnsi="Cambria"/>
          <w:noProof/>
          <w:lang w:eastAsia="x-none"/>
        </w:rPr>
        <w:t>.</w:t>
      </w:r>
      <w:r w:rsidR="007770DA">
        <w:rPr>
          <w:rFonts w:ascii="Cambria" w:hAnsi="Cambria"/>
          <w:noProof/>
          <w:lang w:eastAsia="x-none"/>
        </w:rPr>
        <w:t xml:space="preserve"> </w:t>
      </w:r>
      <w:r w:rsidR="00571CC8">
        <w:rPr>
          <w:rFonts w:ascii="Cambria" w:hAnsi="Cambria"/>
          <w:noProof/>
          <w:lang w:eastAsia="x-none"/>
        </w:rPr>
        <w:t xml:space="preserve">Uslovi u pogledu </w:t>
      </w:r>
      <w:r w:rsidR="007B16F6">
        <w:rPr>
          <w:rFonts w:ascii="Cambria" w:hAnsi="Cambria"/>
          <w:noProof/>
          <w:lang w:eastAsia="x-none"/>
        </w:rPr>
        <w:t>detergen</w:t>
      </w:r>
      <w:r w:rsidR="00571CC8">
        <w:rPr>
          <w:rFonts w:ascii="Cambria" w:hAnsi="Cambria"/>
          <w:noProof/>
          <w:lang w:eastAsia="x-none"/>
        </w:rPr>
        <w:t>a</w:t>
      </w:r>
      <w:r w:rsidR="007B16F6">
        <w:rPr>
          <w:rFonts w:ascii="Cambria" w:hAnsi="Cambria"/>
          <w:noProof/>
          <w:lang w:eastAsia="x-none"/>
        </w:rPr>
        <w:t>t</w:t>
      </w:r>
      <w:r w:rsidR="00326EC7">
        <w:rPr>
          <w:rFonts w:ascii="Cambria" w:hAnsi="Cambria"/>
          <w:noProof/>
          <w:lang w:eastAsia="x-none"/>
        </w:rPr>
        <w:t>a</w:t>
      </w:r>
      <w:r w:rsidR="00E16A8F">
        <w:rPr>
          <w:rFonts w:ascii="Cambria" w:hAnsi="Cambria"/>
          <w:noProof/>
          <w:lang w:eastAsia="x-none"/>
        </w:rPr>
        <w:t xml:space="preserve"> </w:t>
      </w:r>
      <w:r w:rsidR="00571CC8">
        <w:rPr>
          <w:rFonts w:ascii="Cambria" w:hAnsi="Cambria"/>
          <w:noProof/>
          <w:lang w:eastAsia="x-none"/>
        </w:rPr>
        <w:t xml:space="preserve">zasnovani su na </w:t>
      </w:r>
      <w:r w:rsidR="00E16A8F">
        <w:rPr>
          <w:rFonts w:ascii="Cambria" w:hAnsi="Cambria"/>
          <w:noProof/>
          <w:lang w:eastAsia="x-none"/>
        </w:rPr>
        <w:t>principim</w:t>
      </w:r>
      <w:r w:rsidR="00C03CBF">
        <w:rPr>
          <w:rFonts w:ascii="Cambria" w:hAnsi="Cambria"/>
          <w:noProof/>
          <w:lang w:eastAsia="x-none"/>
        </w:rPr>
        <w:t>a</w:t>
      </w:r>
      <w:r w:rsidR="00E16A8F">
        <w:rPr>
          <w:rFonts w:ascii="Cambria" w:hAnsi="Cambria"/>
          <w:noProof/>
          <w:lang w:eastAsia="x-none"/>
        </w:rPr>
        <w:t xml:space="preserve"> ustanovljenim u EU (</w:t>
      </w:r>
      <w:r w:rsidR="007B16F6">
        <w:rPr>
          <w:rFonts w:ascii="Cambria" w:hAnsi="Cambria"/>
          <w:noProof/>
          <w:lang w:eastAsia="x-none"/>
        </w:rPr>
        <w:t xml:space="preserve">koji ne </w:t>
      </w:r>
      <w:r w:rsidR="00571CC8">
        <w:rPr>
          <w:rFonts w:ascii="Cambria" w:hAnsi="Cambria"/>
          <w:noProof/>
          <w:lang w:eastAsia="x-none"/>
        </w:rPr>
        <w:t>obuhvataju</w:t>
      </w:r>
      <w:r w:rsidR="007B16F6">
        <w:rPr>
          <w:rFonts w:ascii="Cambria" w:hAnsi="Cambria"/>
          <w:noProof/>
          <w:lang w:eastAsia="x-none"/>
        </w:rPr>
        <w:t xml:space="preserve"> koncep</w:t>
      </w:r>
      <w:r w:rsidR="00E16A8F">
        <w:rPr>
          <w:rFonts w:ascii="Cambria" w:hAnsi="Cambria"/>
          <w:noProof/>
          <w:lang w:eastAsia="x-none"/>
        </w:rPr>
        <w:t>t</w:t>
      </w:r>
      <w:r w:rsidR="00571CC8">
        <w:rPr>
          <w:rFonts w:ascii="Cambria" w:hAnsi="Cambria"/>
          <w:noProof/>
          <w:lang w:eastAsia="x-none"/>
        </w:rPr>
        <w:t xml:space="preserve"> </w:t>
      </w:r>
      <w:r w:rsidR="007B16F6">
        <w:rPr>
          <w:rFonts w:ascii="Cambria" w:hAnsi="Cambria"/>
          <w:noProof/>
          <w:lang w:eastAsia="x-none"/>
        </w:rPr>
        <w:t>zdravstvene ispravnosti</w:t>
      </w:r>
      <w:r w:rsidR="00C03CBF" w:rsidRPr="00C03CBF">
        <w:rPr>
          <w:rFonts w:ascii="Cambria" w:hAnsi="Cambria"/>
          <w:b/>
          <w:noProof/>
          <w:lang w:eastAsia="x-none"/>
        </w:rPr>
        <w:t xml:space="preserve"> </w:t>
      </w:r>
      <w:r w:rsidR="00C03CBF" w:rsidRPr="00C03CBF">
        <w:rPr>
          <w:rFonts w:ascii="Cambria" w:hAnsi="Cambria"/>
          <w:noProof/>
          <w:lang w:eastAsia="x-none"/>
        </w:rPr>
        <w:t>predmeta opšte upotrebe</w:t>
      </w:r>
      <w:r w:rsidR="00571CC8">
        <w:rPr>
          <w:rFonts w:ascii="Cambria" w:hAnsi="Cambria"/>
          <w:noProof/>
          <w:lang w:eastAsia="x-none"/>
        </w:rPr>
        <w:t>, s obzirom da su kroz ograničenja i zabrane</w:t>
      </w:r>
      <w:r w:rsidR="00571CC8" w:rsidRPr="00571CC8">
        <w:t xml:space="preserve"> </w:t>
      </w:r>
      <w:r w:rsidR="00571CC8">
        <w:t xml:space="preserve">koje se odnose na supstance </w:t>
      </w:r>
      <w:r w:rsidR="00D30271">
        <w:t xml:space="preserve">u </w:t>
      </w:r>
      <w:r w:rsidR="00571CC8" w:rsidRPr="00571CC8">
        <w:rPr>
          <w:rFonts w:ascii="Cambria" w:hAnsi="Cambria"/>
          <w:noProof/>
          <w:lang w:eastAsia="x-none"/>
        </w:rPr>
        <w:t>sredstvima za čišćenje</w:t>
      </w:r>
      <w:r w:rsidR="00571CC8">
        <w:rPr>
          <w:rFonts w:ascii="Cambria" w:hAnsi="Cambria"/>
          <w:noProof/>
          <w:lang w:eastAsia="x-none"/>
        </w:rPr>
        <w:t xml:space="preserve">, utvrđeni ključni parametri kada su u pitanju  potencijalni </w:t>
      </w:r>
      <w:r w:rsidR="00D30271">
        <w:rPr>
          <w:rFonts w:ascii="Cambria" w:hAnsi="Cambria"/>
          <w:noProof/>
          <w:lang w:eastAsia="x-none"/>
        </w:rPr>
        <w:t xml:space="preserve">opasni </w:t>
      </w:r>
      <w:r w:rsidR="00571CC8">
        <w:rPr>
          <w:rFonts w:ascii="Cambria" w:hAnsi="Cambria"/>
          <w:noProof/>
          <w:lang w:eastAsia="x-none"/>
        </w:rPr>
        <w:t>sastojci detergenata</w:t>
      </w:r>
      <w:r w:rsidR="00D30271">
        <w:rPr>
          <w:rFonts w:ascii="Cambria" w:hAnsi="Cambria"/>
          <w:noProof/>
          <w:lang w:eastAsia="x-none"/>
        </w:rPr>
        <w:t>)</w:t>
      </w:r>
      <w:r w:rsidR="007B16F6">
        <w:rPr>
          <w:rFonts w:ascii="Cambria" w:hAnsi="Cambria"/>
          <w:noProof/>
          <w:lang w:eastAsia="x-none"/>
        </w:rPr>
        <w:t>.</w:t>
      </w:r>
      <w:r w:rsidR="00825CF8">
        <w:rPr>
          <w:rFonts w:ascii="Cambria" w:hAnsi="Cambria"/>
          <w:noProof/>
          <w:lang w:eastAsia="x-none"/>
        </w:rPr>
        <w:t xml:space="preserve"> </w:t>
      </w:r>
    </w:p>
    <w:p w14:paraId="19C1258D" w14:textId="77777777" w:rsidR="005F4568" w:rsidRDefault="005F4568" w:rsidP="005F4568">
      <w:pPr>
        <w:jc w:val="both"/>
        <w:rPr>
          <w:rFonts w:ascii="Cambria" w:hAnsi="Cambria"/>
          <w:noProof/>
          <w:lang w:eastAsia="x-none"/>
        </w:rPr>
      </w:pPr>
      <w:r w:rsidRPr="005F4568">
        <w:rPr>
          <w:rFonts w:ascii="Cambria" w:hAnsi="Cambria"/>
          <w:noProof/>
          <w:lang w:eastAsia="x-none"/>
        </w:rPr>
        <w:t>Postupak davanja saglasnosti po prethodnom obavještavanju  (</w:t>
      </w:r>
      <w:r w:rsidRPr="00326EC7">
        <w:rPr>
          <w:rFonts w:ascii="Cambria" w:hAnsi="Cambria"/>
          <w:b/>
          <w:noProof/>
          <w:lang w:eastAsia="x-none"/>
        </w:rPr>
        <w:t>PIC postupak</w:t>
      </w:r>
      <w:r w:rsidRPr="005F4568">
        <w:rPr>
          <w:rFonts w:ascii="Cambria" w:hAnsi="Cambria"/>
          <w:noProof/>
          <w:lang w:eastAsia="x-none"/>
        </w:rPr>
        <w:t xml:space="preserve">)  sprovodi se za </w:t>
      </w:r>
      <w:r w:rsidRPr="00365DE8">
        <w:rPr>
          <w:rFonts w:ascii="Cambria" w:hAnsi="Cambria"/>
          <w:b/>
          <w:noProof/>
          <w:lang w:eastAsia="x-none"/>
        </w:rPr>
        <w:t>izvoz</w:t>
      </w:r>
      <w:r w:rsidRPr="005F4568">
        <w:rPr>
          <w:rFonts w:ascii="Cambria" w:hAnsi="Cambria"/>
          <w:noProof/>
          <w:lang w:eastAsia="x-none"/>
        </w:rPr>
        <w:t xml:space="preserve"> hemikalije koja se nalazi na Listi hemikalija za PIC postupak, odnosno za hemikalije sa Liste Roterdamske konvencije i ove hemikalije se mogu izvoziti samo pod uslovom da se o izvozu saglasi država uvoznica. </w:t>
      </w:r>
      <w:r w:rsidRPr="00365DE8">
        <w:rPr>
          <w:rFonts w:ascii="Cambria" w:hAnsi="Cambria"/>
          <w:b/>
          <w:noProof/>
          <w:lang w:eastAsia="x-none"/>
        </w:rPr>
        <w:t>Uvoz</w:t>
      </w:r>
      <w:r w:rsidRPr="005F4568">
        <w:rPr>
          <w:rFonts w:ascii="Cambria" w:hAnsi="Cambria"/>
          <w:noProof/>
          <w:lang w:eastAsia="x-none"/>
        </w:rPr>
        <w:t xml:space="preserve"> hemikalija sa </w:t>
      </w:r>
      <w:r>
        <w:rPr>
          <w:rFonts w:ascii="Cambria" w:hAnsi="Cambria"/>
          <w:noProof/>
          <w:lang w:eastAsia="x-none"/>
        </w:rPr>
        <w:t xml:space="preserve">ove </w:t>
      </w:r>
      <w:r w:rsidRPr="005F4568">
        <w:rPr>
          <w:rFonts w:ascii="Cambria" w:hAnsi="Cambria"/>
          <w:noProof/>
          <w:lang w:eastAsia="x-none"/>
        </w:rPr>
        <w:t xml:space="preserve">Liste </w:t>
      </w:r>
      <w:r>
        <w:rPr>
          <w:rFonts w:ascii="Cambria" w:hAnsi="Cambria"/>
          <w:noProof/>
          <w:lang w:eastAsia="x-none"/>
        </w:rPr>
        <w:t xml:space="preserve">u Crnu Goru </w:t>
      </w:r>
      <w:r w:rsidRPr="005F4568">
        <w:rPr>
          <w:rFonts w:ascii="Cambria" w:hAnsi="Cambria"/>
          <w:noProof/>
          <w:lang w:eastAsia="x-none"/>
        </w:rPr>
        <w:t xml:space="preserve">može se izvršiti ukoliko </w:t>
      </w:r>
      <w:r w:rsidR="0089255C">
        <w:rPr>
          <w:rFonts w:ascii="Cambria" w:hAnsi="Cambria"/>
          <w:noProof/>
          <w:lang w:eastAsia="x-none"/>
        </w:rPr>
        <w:t xml:space="preserve">se  </w:t>
      </w:r>
      <w:r w:rsidRPr="005F4568">
        <w:rPr>
          <w:rFonts w:ascii="Cambria" w:hAnsi="Cambria"/>
          <w:noProof/>
          <w:lang w:eastAsia="x-none"/>
        </w:rPr>
        <w:t>izda saglasnost na osnovu prethodnog obavještenja nadležnog organa zemlje izvoznice.</w:t>
      </w:r>
      <w:r>
        <w:rPr>
          <w:rFonts w:ascii="Cambria" w:hAnsi="Cambria"/>
          <w:noProof/>
          <w:lang w:eastAsia="x-none"/>
        </w:rPr>
        <w:t xml:space="preserve"> </w:t>
      </w:r>
      <w:r w:rsidR="0089255C">
        <w:rPr>
          <w:rFonts w:ascii="Cambria" w:hAnsi="Cambria"/>
          <w:noProof/>
          <w:lang w:eastAsia="x-none"/>
        </w:rPr>
        <w:t>AZPŽS sprovodi upravne postupke vezano za PIC proceduru, a</w:t>
      </w:r>
      <w:r w:rsidR="0089255C" w:rsidRPr="005F4568">
        <w:rPr>
          <w:rFonts w:ascii="Cambria" w:hAnsi="Cambria"/>
          <w:noProof/>
          <w:lang w:eastAsia="x-none"/>
        </w:rPr>
        <w:t xml:space="preserve"> </w:t>
      </w:r>
      <w:r>
        <w:rPr>
          <w:rFonts w:ascii="Cambria" w:hAnsi="Cambria"/>
          <w:noProof/>
          <w:lang w:eastAsia="x-none"/>
        </w:rPr>
        <w:t>Uprava carina kontroliše sprovođenje navedenih odredbi.</w:t>
      </w:r>
      <w:r w:rsidR="00CA7A72">
        <w:rPr>
          <w:rFonts w:ascii="Cambria" w:hAnsi="Cambria"/>
          <w:noProof/>
          <w:lang w:eastAsia="x-none"/>
        </w:rPr>
        <w:t xml:space="preserve"> U daljem radu treba nastaviti sa sprođenjem PIC procedure po uspostavljenom konceptu, uz nastavak saradnje AZPŽS i Uprave carina.</w:t>
      </w:r>
    </w:p>
    <w:p w14:paraId="21CA54B0" w14:textId="77777777" w:rsidR="00EE4D37" w:rsidRDefault="00800102" w:rsidP="005921EF">
      <w:pPr>
        <w:jc w:val="both"/>
        <w:rPr>
          <w:rFonts w:ascii="Cambria" w:hAnsi="Cambria"/>
          <w:noProof/>
          <w:lang w:eastAsia="x-none"/>
        </w:rPr>
      </w:pPr>
      <w:r w:rsidRPr="00A45CCE">
        <w:rPr>
          <w:rFonts w:ascii="Cambria" w:hAnsi="Cambria"/>
          <w:noProof/>
          <w:lang w:val="sr-Latn-ME" w:eastAsia="x-none"/>
        </w:rPr>
        <w:t xml:space="preserve">Slobodan promet opasnih hemikalija </w:t>
      </w:r>
      <w:r>
        <w:rPr>
          <w:rFonts w:ascii="Cambria" w:hAnsi="Cambria"/>
          <w:noProof/>
          <w:lang w:val="sr-Latn-ME" w:eastAsia="x-none"/>
        </w:rPr>
        <w:t xml:space="preserve">može da </w:t>
      </w:r>
      <w:r w:rsidRPr="00A45CCE">
        <w:rPr>
          <w:rFonts w:ascii="Cambria" w:hAnsi="Cambria"/>
          <w:noProof/>
          <w:lang w:val="sr-Latn-ME" w:eastAsia="x-none"/>
        </w:rPr>
        <w:t>vrši dobavljač</w:t>
      </w:r>
      <w:r>
        <w:rPr>
          <w:rFonts w:ascii="Cambria" w:hAnsi="Cambria"/>
          <w:noProof/>
          <w:lang w:val="sr-Latn-ME" w:eastAsia="x-none"/>
        </w:rPr>
        <w:t xml:space="preserve"> kome izdata </w:t>
      </w:r>
      <w:r w:rsidRPr="00D30271">
        <w:rPr>
          <w:rFonts w:ascii="Cambria" w:hAnsi="Cambria"/>
          <w:b/>
          <w:noProof/>
          <w:lang w:val="sr-Latn-ME" w:eastAsia="x-none"/>
        </w:rPr>
        <w:t xml:space="preserve">dozvola za </w:t>
      </w:r>
      <w:r w:rsidRPr="00D30271">
        <w:rPr>
          <w:rFonts w:ascii="Cambria" w:hAnsi="Cambria"/>
          <w:b/>
          <w:noProof/>
          <w:lang w:eastAsia="x-none"/>
        </w:rPr>
        <w:t>obavljanje slobodnog prometa opasnih hemikalija</w:t>
      </w:r>
      <w:r>
        <w:rPr>
          <w:rFonts w:ascii="Cambria" w:hAnsi="Cambria"/>
          <w:noProof/>
          <w:lang w:eastAsia="x-none"/>
        </w:rPr>
        <w:t xml:space="preserve">. </w:t>
      </w:r>
      <w:r w:rsidRPr="00A45CCE">
        <w:rPr>
          <w:rFonts w:ascii="Cambria" w:hAnsi="Cambria"/>
          <w:noProof/>
          <w:lang w:eastAsia="x-none"/>
        </w:rPr>
        <w:t xml:space="preserve">Dozvola se može izdati dobavljaču koji ima </w:t>
      </w:r>
      <w:r w:rsidRPr="00D30271">
        <w:rPr>
          <w:rFonts w:ascii="Cambria" w:hAnsi="Cambria"/>
          <w:b/>
          <w:noProof/>
          <w:lang w:eastAsia="x-none"/>
        </w:rPr>
        <w:t>odgovarajući prostor za skladištenje i čuvanje opasnih hemikalija na način kojim se onemogućava dostupnost licima za upotrebu u nedozvoljene svrhe.</w:t>
      </w:r>
      <w:r>
        <w:rPr>
          <w:rFonts w:ascii="Cambria" w:hAnsi="Cambria"/>
          <w:noProof/>
          <w:lang w:eastAsia="x-none"/>
        </w:rPr>
        <w:t xml:space="preserve"> Postupak izdavanja dozvole vodi AZPŽS, na</w:t>
      </w:r>
      <w:r w:rsidRPr="00A45CCE">
        <w:rPr>
          <w:rFonts w:ascii="Cambria" w:hAnsi="Cambria"/>
          <w:noProof/>
          <w:lang w:eastAsia="x-none"/>
        </w:rPr>
        <w:t xml:space="preserve"> zahtjev dobavljača</w:t>
      </w:r>
      <w:r>
        <w:rPr>
          <w:rFonts w:ascii="Cambria" w:hAnsi="Cambria"/>
          <w:noProof/>
          <w:lang w:eastAsia="x-none"/>
        </w:rPr>
        <w:t xml:space="preserve">. Ova mjera doprinosi prevenciji neadekvatnog skladištenja i rukovanja hemikalijama. </w:t>
      </w:r>
    </w:p>
    <w:p w14:paraId="6A1F9BD5" w14:textId="214D0E3B" w:rsidR="007B3E99" w:rsidRDefault="00945E56" w:rsidP="005921EF">
      <w:pPr>
        <w:jc w:val="both"/>
        <w:rPr>
          <w:rFonts w:ascii="Cambria" w:hAnsi="Cambria"/>
          <w:noProof/>
          <w:lang w:val="sr-Latn-ME" w:eastAsia="x-none"/>
        </w:rPr>
      </w:pPr>
      <w:r w:rsidRPr="0089255C">
        <w:rPr>
          <w:rFonts w:ascii="Cambria" w:hAnsi="Cambria"/>
          <w:b/>
          <w:noProof/>
          <w:lang w:eastAsia="x-none"/>
        </w:rPr>
        <w:t>Zakon o biocidnim proizvodima</w:t>
      </w:r>
      <w:r>
        <w:rPr>
          <w:rFonts w:ascii="Cambria" w:hAnsi="Cambria"/>
          <w:noProof/>
          <w:lang w:eastAsia="x-none"/>
        </w:rPr>
        <w:t xml:space="preserve"> usaglašen sa odgovaraju</w:t>
      </w:r>
      <w:r>
        <w:rPr>
          <w:rFonts w:ascii="Cambria" w:hAnsi="Cambria"/>
          <w:noProof/>
          <w:lang w:val="sr-Latn-RS" w:eastAsia="x-none"/>
        </w:rPr>
        <w:t>ć</w:t>
      </w:r>
      <w:r>
        <w:rPr>
          <w:rFonts w:ascii="Cambria" w:hAnsi="Cambria"/>
          <w:noProof/>
          <w:lang w:eastAsia="x-none"/>
        </w:rPr>
        <w:t>im EU propisom (BPR) je done</w:t>
      </w:r>
      <w:r w:rsidR="0089255C">
        <w:rPr>
          <w:rFonts w:ascii="Cambria" w:hAnsi="Cambria"/>
          <w:noProof/>
          <w:lang w:eastAsia="x-none"/>
        </w:rPr>
        <w:t>š</w:t>
      </w:r>
      <w:r>
        <w:rPr>
          <w:rFonts w:ascii="Cambria" w:hAnsi="Cambria"/>
          <w:noProof/>
          <w:lang w:eastAsia="x-none"/>
        </w:rPr>
        <w:t xml:space="preserve">en 2016. </w:t>
      </w:r>
      <w:bookmarkStart w:id="134" w:name="_Hlk522808596"/>
      <w:r>
        <w:rPr>
          <w:rFonts w:ascii="Cambria" w:hAnsi="Cambria"/>
          <w:noProof/>
          <w:lang w:eastAsia="x-none"/>
        </w:rPr>
        <w:t xml:space="preserve">Ovaj zakon je </w:t>
      </w:r>
      <w:r w:rsidRPr="0089255C">
        <w:rPr>
          <w:rFonts w:ascii="Cambria" w:hAnsi="Cambria"/>
          <w:b/>
          <w:noProof/>
          <w:lang w:eastAsia="x-none"/>
        </w:rPr>
        <w:t>u ranoj fazi implementacije</w:t>
      </w:r>
      <w:r>
        <w:rPr>
          <w:rFonts w:ascii="Cambria" w:hAnsi="Cambria"/>
          <w:noProof/>
          <w:lang w:eastAsia="x-none"/>
        </w:rPr>
        <w:t xml:space="preserve"> s obzirom da je u prim</w:t>
      </w:r>
      <w:r w:rsidR="009E6F26">
        <w:rPr>
          <w:rFonts w:ascii="Cambria" w:hAnsi="Cambria"/>
          <w:noProof/>
          <w:lang w:eastAsia="x-none"/>
        </w:rPr>
        <w:t>j</w:t>
      </w:r>
      <w:r>
        <w:rPr>
          <w:rFonts w:ascii="Cambria" w:hAnsi="Cambria"/>
          <w:noProof/>
          <w:lang w:eastAsia="x-none"/>
        </w:rPr>
        <w:t>eni od po</w:t>
      </w:r>
      <w:r w:rsidR="001D0B03">
        <w:rPr>
          <w:rFonts w:ascii="Cambria" w:hAnsi="Cambria"/>
          <w:noProof/>
          <w:lang w:eastAsia="x-none"/>
        </w:rPr>
        <w:t>č</w:t>
      </w:r>
      <w:r>
        <w:rPr>
          <w:rFonts w:ascii="Cambria" w:hAnsi="Cambria"/>
          <w:noProof/>
          <w:lang w:eastAsia="x-none"/>
        </w:rPr>
        <w:t>etka 2017.</w:t>
      </w:r>
      <w:r w:rsidR="007B3E99">
        <w:rPr>
          <w:rFonts w:ascii="Cambria" w:hAnsi="Cambria"/>
          <w:noProof/>
          <w:lang w:eastAsia="x-none"/>
        </w:rPr>
        <w:t xml:space="preserve"> godine, </w:t>
      </w:r>
      <w:r>
        <w:rPr>
          <w:rFonts w:ascii="Cambria" w:hAnsi="Cambria"/>
          <w:noProof/>
          <w:lang w:eastAsia="x-none"/>
        </w:rPr>
        <w:t xml:space="preserve"> a </w:t>
      </w:r>
      <w:r w:rsidR="007B3E99">
        <w:rPr>
          <w:rFonts w:ascii="Cambria" w:hAnsi="Cambria"/>
          <w:noProof/>
          <w:lang w:eastAsia="x-none"/>
        </w:rPr>
        <w:t xml:space="preserve">da </w:t>
      </w:r>
      <w:r>
        <w:rPr>
          <w:rFonts w:ascii="Cambria" w:hAnsi="Cambria"/>
          <w:noProof/>
          <w:lang w:eastAsia="x-none"/>
        </w:rPr>
        <w:t xml:space="preserve">je privredi ostavljeno godinu dana tranzicionog perioda da prilagodi svoje poslovanje. Za sada se u pogledu odobravanja stavljanja biocidnih proizvoda sprovodi </w:t>
      </w:r>
      <w:r w:rsidRPr="00365DE8">
        <w:rPr>
          <w:rFonts w:ascii="Cambria" w:hAnsi="Cambria"/>
          <w:b/>
          <w:noProof/>
          <w:lang w:eastAsia="x-none"/>
        </w:rPr>
        <w:t>prva faza tj. upis u Privremenu listu</w:t>
      </w:r>
      <w:r>
        <w:rPr>
          <w:rFonts w:ascii="Cambria" w:hAnsi="Cambria"/>
          <w:noProof/>
          <w:lang w:eastAsia="x-none"/>
        </w:rPr>
        <w:t xml:space="preserve"> koja je daleko manje zaht</w:t>
      </w:r>
      <w:r w:rsidR="00A95211">
        <w:rPr>
          <w:rFonts w:ascii="Cambria" w:hAnsi="Cambria"/>
          <w:noProof/>
          <w:lang w:eastAsia="x-none"/>
        </w:rPr>
        <w:t>j</w:t>
      </w:r>
      <w:r>
        <w:rPr>
          <w:rFonts w:ascii="Cambria" w:hAnsi="Cambria"/>
          <w:noProof/>
          <w:lang w:eastAsia="x-none"/>
        </w:rPr>
        <w:t xml:space="preserve">evna od druge faze </w:t>
      </w:r>
      <w:r w:rsidR="00AF42DB">
        <w:rPr>
          <w:rFonts w:ascii="Cambria" w:hAnsi="Cambria"/>
          <w:noProof/>
          <w:lang w:eastAsia="x-none"/>
        </w:rPr>
        <w:t xml:space="preserve">izdavanja dozvole </w:t>
      </w:r>
      <w:r>
        <w:rPr>
          <w:rFonts w:ascii="Cambria" w:hAnsi="Cambria"/>
          <w:noProof/>
          <w:lang w:eastAsia="x-none"/>
        </w:rPr>
        <w:t>koja je usaglašena sa postupkom autorizacije po BPR</w:t>
      </w:r>
      <w:r w:rsidR="00F83EF1">
        <w:rPr>
          <w:rFonts w:ascii="Cambria" w:hAnsi="Cambria"/>
          <w:noProof/>
          <w:lang w:eastAsia="x-none"/>
        </w:rPr>
        <w:t xml:space="preserve"> i za koju se treba adekvatno pripremiti</w:t>
      </w:r>
      <w:r>
        <w:rPr>
          <w:rFonts w:ascii="Cambria" w:hAnsi="Cambria"/>
          <w:noProof/>
          <w:lang w:eastAsia="x-none"/>
        </w:rPr>
        <w:t xml:space="preserve">. </w:t>
      </w:r>
      <w:r w:rsidRPr="00800102">
        <w:rPr>
          <w:rFonts w:ascii="Cambria" w:hAnsi="Cambria"/>
          <w:b/>
          <w:noProof/>
          <w:lang w:eastAsia="x-none"/>
        </w:rPr>
        <w:t>Zaht</w:t>
      </w:r>
      <w:r w:rsidR="00586C5E">
        <w:rPr>
          <w:rFonts w:ascii="Cambria" w:hAnsi="Cambria"/>
          <w:b/>
          <w:noProof/>
          <w:lang w:eastAsia="x-none"/>
        </w:rPr>
        <w:t>j</w:t>
      </w:r>
      <w:r w:rsidRPr="00800102">
        <w:rPr>
          <w:rFonts w:ascii="Cambria" w:hAnsi="Cambria"/>
          <w:b/>
          <w:noProof/>
          <w:lang w:eastAsia="x-none"/>
        </w:rPr>
        <w:t>evnost postupka autori</w:t>
      </w:r>
      <w:r w:rsidR="001D0B03" w:rsidRPr="00800102">
        <w:rPr>
          <w:rFonts w:ascii="Cambria" w:hAnsi="Cambria"/>
          <w:b/>
          <w:noProof/>
          <w:lang w:eastAsia="x-none"/>
        </w:rPr>
        <w:t>z</w:t>
      </w:r>
      <w:r w:rsidRPr="00800102">
        <w:rPr>
          <w:rFonts w:ascii="Cambria" w:hAnsi="Cambria"/>
          <w:b/>
          <w:noProof/>
          <w:lang w:eastAsia="x-none"/>
        </w:rPr>
        <w:t>acije</w:t>
      </w:r>
      <w:r>
        <w:rPr>
          <w:rFonts w:ascii="Cambria" w:hAnsi="Cambria"/>
          <w:noProof/>
          <w:lang w:eastAsia="x-none"/>
        </w:rPr>
        <w:t xml:space="preserve"> reflekt</w:t>
      </w:r>
      <w:r w:rsidR="0089255C">
        <w:rPr>
          <w:rFonts w:ascii="Cambria" w:hAnsi="Cambria"/>
          <w:noProof/>
          <w:lang w:eastAsia="x-none"/>
        </w:rPr>
        <w:t>ovaće se</w:t>
      </w:r>
      <w:r>
        <w:rPr>
          <w:rFonts w:ascii="Cambria" w:hAnsi="Cambria"/>
          <w:noProof/>
          <w:lang w:eastAsia="x-none"/>
        </w:rPr>
        <w:t xml:space="preserve"> i na nadležne organe i na privredu</w:t>
      </w:r>
      <w:r w:rsidR="001D0B03">
        <w:rPr>
          <w:rFonts w:ascii="Cambria" w:hAnsi="Cambria"/>
          <w:noProof/>
          <w:lang w:eastAsia="x-none"/>
        </w:rPr>
        <w:t xml:space="preserve">. Naime, privreda mora </w:t>
      </w:r>
      <w:r w:rsidR="00586C5E">
        <w:rPr>
          <w:rFonts w:ascii="Cambria" w:hAnsi="Cambria"/>
          <w:noProof/>
          <w:lang w:eastAsia="x-none"/>
        </w:rPr>
        <w:t xml:space="preserve">da </w:t>
      </w:r>
      <w:r w:rsidR="00BC4E5E">
        <w:rPr>
          <w:rFonts w:ascii="Cambria" w:hAnsi="Cambria"/>
          <w:noProof/>
          <w:lang w:eastAsia="x-none"/>
        </w:rPr>
        <w:t>podigne svoje kapacitete</w:t>
      </w:r>
      <w:r w:rsidR="00024186">
        <w:rPr>
          <w:rFonts w:ascii="Cambria" w:hAnsi="Cambria"/>
          <w:noProof/>
          <w:lang w:eastAsia="x-none"/>
        </w:rPr>
        <w:t xml:space="preserve"> radi ispunjavanja obaveza u pogledu autorizacije biocida (tj. druge faze izdavanja dozvole)</w:t>
      </w:r>
      <w:r w:rsidR="00BC4E5E">
        <w:rPr>
          <w:rFonts w:ascii="Cambria" w:hAnsi="Cambria"/>
          <w:noProof/>
          <w:lang w:eastAsia="x-none"/>
        </w:rPr>
        <w:t xml:space="preserve"> </w:t>
      </w:r>
      <w:r w:rsidR="00024186">
        <w:rPr>
          <w:rFonts w:ascii="Cambria" w:hAnsi="Cambria"/>
          <w:noProof/>
          <w:lang w:eastAsia="x-none"/>
        </w:rPr>
        <w:t>i da</w:t>
      </w:r>
      <w:r w:rsidR="00BC4E5E">
        <w:rPr>
          <w:rFonts w:ascii="Cambria" w:hAnsi="Cambria"/>
          <w:noProof/>
          <w:lang w:eastAsia="x-none"/>
        </w:rPr>
        <w:t xml:space="preserve"> </w:t>
      </w:r>
      <w:r w:rsidR="00024186">
        <w:rPr>
          <w:rFonts w:ascii="Cambria" w:hAnsi="Cambria"/>
          <w:noProof/>
          <w:lang w:eastAsia="x-none"/>
        </w:rPr>
        <w:t>obezb</w:t>
      </w:r>
      <w:r w:rsidR="00C65B0A">
        <w:rPr>
          <w:rFonts w:ascii="Cambria" w:hAnsi="Cambria"/>
          <w:noProof/>
          <w:lang w:eastAsia="x-none"/>
        </w:rPr>
        <w:t>ij</w:t>
      </w:r>
      <w:r w:rsidR="00024186">
        <w:rPr>
          <w:rFonts w:ascii="Cambria" w:hAnsi="Cambria"/>
          <w:noProof/>
          <w:lang w:eastAsia="x-none"/>
        </w:rPr>
        <w:t xml:space="preserve">editi </w:t>
      </w:r>
      <w:r w:rsidR="001D0B03">
        <w:rPr>
          <w:rFonts w:ascii="Cambria" w:hAnsi="Cambria"/>
          <w:noProof/>
          <w:lang w:eastAsia="x-none"/>
        </w:rPr>
        <w:t xml:space="preserve">sredstva za potrebna ispitivanja i izradu tehničkog dosijea, </w:t>
      </w:r>
      <w:r w:rsidR="0089255C">
        <w:rPr>
          <w:rFonts w:ascii="Cambria" w:hAnsi="Cambria"/>
          <w:noProof/>
          <w:lang w:eastAsia="x-none"/>
        </w:rPr>
        <w:t>odnosno</w:t>
      </w:r>
      <w:r w:rsidR="001D0B03">
        <w:rPr>
          <w:rFonts w:ascii="Cambria" w:hAnsi="Cambria"/>
          <w:noProof/>
          <w:lang w:eastAsia="x-none"/>
        </w:rPr>
        <w:t xml:space="preserve"> sredstva za dobijanje pristupa relevantnim podacima o aktivnoj supstanci ili sličnom biocidnom proizvodu od vlasnika takvih podataka</w:t>
      </w:r>
      <w:r w:rsidR="00024186">
        <w:rPr>
          <w:rFonts w:ascii="Cambria" w:hAnsi="Cambria"/>
          <w:noProof/>
          <w:lang w:eastAsia="x-none"/>
        </w:rPr>
        <w:t xml:space="preserve">. </w:t>
      </w:r>
      <w:r w:rsidR="008551E6">
        <w:rPr>
          <w:rFonts w:ascii="Cambria" w:hAnsi="Cambria"/>
          <w:noProof/>
          <w:lang w:eastAsia="x-none"/>
        </w:rPr>
        <w:t>N</w:t>
      </w:r>
      <w:r w:rsidR="001D0B03">
        <w:rPr>
          <w:rFonts w:ascii="Cambria" w:hAnsi="Cambria"/>
          <w:noProof/>
          <w:lang w:eastAsia="x-none"/>
        </w:rPr>
        <w:t>adležni organi</w:t>
      </w:r>
      <w:r>
        <w:rPr>
          <w:rFonts w:ascii="Cambria" w:hAnsi="Cambria"/>
          <w:noProof/>
          <w:lang w:eastAsia="x-none"/>
        </w:rPr>
        <w:t xml:space="preserve"> moraju </w:t>
      </w:r>
      <w:r w:rsidRPr="00EE4D37">
        <w:rPr>
          <w:rFonts w:ascii="Cambria" w:hAnsi="Cambria"/>
          <w:b/>
          <w:noProof/>
          <w:lang w:eastAsia="x-none"/>
        </w:rPr>
        <w:t>obezb</w:t>
      </w:r>
      <w:r w:rsidR="00C65B0A">
        <w:rPr>
          <w:rFonts w:ascii="Cambria" w:hAnsi="Cambria"/>
          <w:b/>
          <w:noProof/>
          <w:lang w:eastAsia="x-none"/>
        </w:rPr>
        <w:t>ij</w:t>
      </w:r>
      <w:r w:rsidRPr="00EE4D37">
        <w:rPr>
          <w:rFonts w:ascii="Cambria" w:hAnsi="Cambria"/>
          <w:b/>
          <w:noProof/>
          <w:lang w:eastAsia="x-none"/>
        </w:rPr>
        <w:t xml:space="preserve">editi kapacitete </w:t>
      </w:r>
      <w:r w:rsidR="001D0B03" w:rsidRPr="00EE4D37">
        <w:rPr>
          <w:rFonts w:ascii="Cambria" w:hAnsi="Cambria"/>
          <w:b/>
          <w:noProof/>
          <w:lang w:eastAsia="x-none"/>
        </w:rPr>
        <w:t xml:space="preserve">koji </w:t>
      </w:r>
      <w:r w:rsidR="008551E6" w:rsidRPr="00EE4D37">
        <w:rPr>
          <w:rFonts w:ascii="Cambria" w:hAnsi="Cambria"/>
          <w:b/>
          <w:noProof/>
          <w:lang w:eastAsia="x-none"/>
        </w:rPr>
        <w:t xml:space="preserve">će vršiti </w:t>
      </w:r>
      <w:r w:rsidR="00AF42DB" w:rsidRPr="00EE4D37">
        <w:rPr>
          <w:rFonts w:ascii="Cambria" w:hAnsi="Cambria"/>
          <w:b/>
          <w:noProof/>
          <w:lang w:eastAsia="x-none"/>
        </w:rPr>
        <w:t>procjen</w:t>
      </w:r>
      <w:r w:rsidR="008551E6" w:rsidRPr="00EE4D37">
        <w:rPr>
          <w:rFonts w:ascii="Cambria" w:hAnsi="Cambria"/>
          <w:b/>
          <w:noProof/>
          <w:lang w:eastAsia="x-none"/>
        </w:rPr>
        <w:t>u biocidnog proizvod</w:t>
      </w:r>
      <w:r w:rsidR="00F83EF1" w:rsidRPr="00EE4D37">
        <w:rPr>
          <w:rFonts w:ascii="Cambria" w:hAnsi="Cambria"/>
          <w:b/>
          <w:noProof/>
          <w:lang w:eastAsia="x-none"/>
        </w:rPr>
        <w:t>a</w:t>
      </w:r>
      <w:r w:rsidR="008551E6">
        <w:rPr>
          <w:rFonts w:ascii="Cambria" w:hAnsi="Cambria"/>
          <w:noProof/>
          <w:lang w:eastAsia="x-none"/>
        </w:rPr>
        <w:t xml:space="preserve"> na osnovu tehničkog dosijea, </w:t>
      </w:r>
      <w:r w:rsidR="00024186">
        <w:rPr>
          <w:rFonts w:ascii="Cambria" w:hAnsi="Cambria"/>
          <w:noProof/>
          <w:lang w:eastAsia="x-none"/>
        </w:rPr>
        <w:t>odno</w:t>
      </w:r>
      <w:r w:rsidR="007B3E99">
        <w:rPr>
          <w:rFonts w:ascii="Cambria" w:hAnsi="Cambria"/>
          <w:noProof/>
          <w:lang w:eastAsia="x-none"/>
        </w:rPr>
        <w:t>s</w:t>
      </w:r>
      <w:r w:rsidR="00024186">
        <w:rPr>
          <w:rFonts w:ascii="Cambria" w:hAnsi="Cambria"/>
          <w:noProof/>
          <w:lang w:eastAsia="x-none"/>
        </w:rPr>
        <w:t xml:space="preserve">no </w:t>
      </w:r>
      <w:r w:rsidR="00AC38A0" w:rsidRPr="00AC38A0">
        <w:rPr>
          <w:rFonts w:ascii="Cambria" w:hAnsi="Cambria"/>
          <w:noProof/>
          <w:lang w:eastAsia="x-none"/>
        </w:rPr>
        <w:t>proc</w:t>
      </w:r>
      <w:r w:rsidR="00586C5E">
        <w:rPr>
          <w:rFonts w:ascii="Cambria" w:hAnsi="Cambria"/>
          <w:noProof/>
          <w:lang w:eastAsia="x-none"/>
        </w:rPr>
        <w:t>i</w:t>
      </w:r>
      <w:r w:rsidR="00AC38A0" w:rsidRPr="00AC38A0">
        <w:rPr>
          <w:rFonts w:ascii="Cambria" w:hAnsi="Cambria"/>
          <w:noProof/>
          <w:lang w:eastAsia="x-none"/>
        </w:rPr>
        <w:t>jen</w:t>
      </w:r>
      <w:r w:rsidR="00024186">
        <w:rPr>
          <w:rFonts w:ascii="Cambria" w:hAnsi="Cambria"/>
          <w:noProof/>
          <w:lang w:eastAsia="x-none"/>
        </w:rPr>
        <w:t>iti</w:t>
      </w:r>
      <w:r w:rsidR="00AC38A0" w:rsidRPr="00AC38A0">
        <w:rPr>
          <w:rFonts w:ascii="Cambria" w:hAnsi="Cambria"/>
          <w:noProof/>
          <w:lang w:eastAsia="x-none"/>
        </w:rPr>
        <w:t xml:space="preserve"> rizik i utvr</w:t>
      </w:r>
      <w:r w:rsidR="00722762">
        <w:rPr>
          <w:rFonts w:ascii="Cambria" w:hAnsi="Cambria"/>
          <w:noProof/>
          <w:lang w:eastAsia="x-none"/>
        </w:rPr>
        <w:t xml:space="preserve">diti </w:t>
      </w:r>
      <w:r w:rsidR="00AC38A0" w:rsidRPr="00AC38A0">
        <w:rPr>
          <w:rFonts w:ascii="Cambria" w:hAnsi="Cambria"/>
          <w:noProof/>
          <w:lang w:eastAsia="x-none"/>
        </w:rPr>
        <w:t>uticaj</w:t>
      </w:r>
      <w:r w:rsidR="00722762">
        <w:rPr>
          <w:rFonts w:ascii="Cambria" w:hAnsi="Cambria"/>
          <w:noProof/>
          <w:lang w:eastAsia="x-none"/>
        </w:rPr>
        <w:t xml:space="preserve"> biocida</w:t>
      </w:r>
      <w:r w:rsidR="00AC38A0" w:rsidRPr="00AC38A0">
        <w:rPr>
          <w:rFonts w:ascii="Cambria" w:hAnsi="Cambria"/>
          <w:noProof/>
          <w:lang w:eastAsia="x-none"/>
        </w:rPr>
        <w:t xml:space="preserve"> na zdravlje ljudi, životinja i životnu sredinu i na ciljane</w:t>
      </w:r>
      <w:r w:rsidR="00AC38A0">
        <w:rPr>
          <w:rFonts w:ascii="Cambria" w:hAnsi="Cambria"/>
          <w:noProof/>
          <w:lang w:eastAsia="x-none"/>
        </w:rPr>
        <w:t xml:space="preserve"> </w:t>
      </w:r>
      <w:r w:rsidR="00AC38A0" w:rsidRPr="00AC38A0">
        <w:rPr>
          <w:rFonts w:ascii="Cambria" w:hAnsi="Cambria"/>
          <w:noProof/>
          <w:lang w:eastAsia="x-none"/>
        </w:rPr>
        <w:t>organizme, njegov</w:t>
      </w:r>
      <w:r w:rsidR="00722762">
        <w:rPr>
          <w:rFonts w:ascii="Cambria" w:hAnsi="Cambria"/>
          <w:noProof/>
          <w:lang w:eastAsia="x-none"/>
        </w:rPr>
        <w:t>u</w:t>
      </w:r>
      <w:r w:rsidR="00AC38A0" w:rsidRPr="00AC38A0">
        <w:rPr>
          <w:rFonts w:ascii="Cambria" w:hAnsi="Cambria"/>
          <w:noProof/>
          <w:lang w:eastAsia="x-none"/>
        </w:rPr>
        <w:t xml:space="preserve"> efikasnost i rizik</w:t>
      </w:r>
      <w:r w:rsidR="00722762">
        <w:rPr>
          <w:rFonts w:ascii="Cambria" w:hAnsi="Cambria"/>
          <w:noProof/>
          <w:lang w:eastAsia="x-none"/>
        </w:rPr>
        <w:t>e</w:t>
      </w:r>
      <w:r w:rsidR="00AC38A0" w:rsidRPr="00AC38A0">
        <w:rPr>
          <w:rFonts w:ascii="Cambria" w:hAnsi="Cambria"/>
          <w:noProof/>
          <w:lang w:eastAsia="x-none"/>
        </w:rPr>
        <w:t xml:space="preserve"> prilikom upotrebe. </w:t>
      </w:r>
      <w:r w:rsidR="00AC38A0">
        <w:rPr>
          <w:rFonts w:ascii="Cambria" w:hAnsi="Cambria"/>
          <w:noProof/>
          <w:lang w:eastAsia="x-none"/>
        </w:rPr>
        <w:t xml:space="preserve">Stoga </w:t>
      </w:r>
      <w:r w:rsidR="0089255C">
        <w:rPr>
          <w:rFonts w:ascii="Cambria" w:hAnsi="Cambria"/>
          <w:noProof/>
          <w:lang w:eastAsia="x-none"/>
        </w:rPr>
        <w:t>je propisano da nad</w:t>
      </w:r>
      <w:r w:rsidR="00CA7A72">
        <w:rPr>
          <w:rFonts w:ascii="Cambria" w:hAnsi="Cambria"/>
          <w:noProof/>
          <w:lang w:eastAsia="x-none"/>
        </w:rPr>
        <w:t>ležni organ</w:t>
      </w:r>
      <w:r w:rsidR="00AC38A0">
        <w:rPr>
          <w:rFonts w:ascii="Cambria" w:hAnsi="Cambria"/>
          <w:noProof/>
          <w:lang w:eastAsia="x-none"/>
        </w:rPr>
        <w:t xml:space="preserve"> treba da </w:t>
      </w:r>
      <w:r w:rsidR="00EE4D37" w:rsidRPr="00EE4D37">
        <w:rPr>
          <w:rFonts w:ascii="Cambria" w:hAnsi="Cambria"/>
          <w:b/>
          <w:noProof/>
          <w:lang w:eastAsia="x-none"/>
        </w:rPr>
        <w:t>obrazuje</w:t>
      </w:r>
      <w:r w:rsidR="0089255C">
        <w:rPr>
          <w:rFonts w:ascii="Cambria" w:hAnsi="Cambria"/>
          <w:noProof/>
          <w:lang w:eastAsia="x-none"/>
        </w:rPr>
        <w:t xml:space="preserve"> </w:t>
      </w:r>
      <w:r w:rsidR="00AC38A0" w:rsidRPr="00800102">
        <w:rPr>
          <w:rFonts w:ascii="Cambria" w:hAnsi="Cambria"/>
          <w:b/>
          <w:noProof/>
          <w:lang w:eastAsia="x-none"/>
        </w:rPr>
        <w:t>stru</w:t>
      </w:r>
      <w:r w:rsidR="00AC38A0" w:rsidRPr="00800102">
        <w:rPr>
          <w:rFonts w:ascii="Cambria" w:hAnsi="Cambria"/>
          <w:b/>
          <w:noProof/>
          <w:lang w:val="sr-Latn-RS" w:eastAsia="x-none"/>
        </w:rPr>
        <w:t>č</w:t>
      </w:r>
      <w:r w:rsidR="00AC38A0" w:rsidRPr="00800102">
        <w:rPr>
          <w:rFonts w:ascii="Cambria" w:hAnsi="Cambria"/>
          <w:b/>
          <w:noProof/>
          <w:lang w:eastAsia="x-none"/>
        </w:rPr>
        <w:t>nu komisiju</w:t>
      </w:r>
      <w:r w:rsidR="00AC38A0">
        <w:rPr>
          <w:rFonts w:ascii="Cambria" w:hAnsi="Cambria"/>
          <w:noProof/>
          <w:lang w:eastAsia="x-none"/>
        </w:rPr>
        <w:t xml:space="preserve"> </w:t>
      </w:r>
      <w:r w:rsidR="00AC38A0" w:rsidRPr="00AC38A0">
        <w:rPr>
          <w:rFonts w:ascii="Cambria" w:hAnsi="Cambria"/>
          <w:noProof/>
          <w:lang w:eastAsia="x-none"/>
        </w:rPr>
        <w:t>od sedam članova iz reda stručnjaka iz toksikologije, veterinarske</w:t>
      </w:r>
      <w:r w:rsidR="00AC38A0">
        <w:rPr>
          <w:rFonts w:ascii="Cambria" w:hAnsi="Cambria"/>
          <w:noProof/>
          <w:lang w:eastAsia="x-none"/>
        </w:rPr>
        <w:t xml:space="preserve"> </w:t>
      </w:r>
      <w:r w:rsidR="00AC38A0" w:rsidRPr="00AC38A0">
        <w:rPr>
          <w:rFonts w:ascii="Cambria" w:hAnsi="Cambria"/>
          <w:noProof/>
          <w:lang w:eastAsia="x-none"/>
        </w:rPr>
        <w:t>medicine, farmacije, biologije, poljoprivrede, ekologije i humane medicine</w:t>
      </w:r>
      <w:r w:rsidR="00CA7A72">
        <w:rPr>
          <w:rFonts w:ascii="Cambria" w:hAnsi="Cambria"/>
          <w:noProof/>
          <w:lang w:eastAsia="x-none"/>
        </w:rPr>
        <w:t>,</w:t>
      </w:r>
      <w:r w:rsidR="008551E6">
        <w:rPr>
          <w:rFonts w:ascii="Cambria" w:hAnsi="Cambria"/>
          <w:noProof/>
          <w:lang w:eastAsia="x-none"/>
        </w:rPr>
        <w:t xml:space="preserve"> sa specifičnim stručnim znanjima u pogledu regulatorne </w:t>
      </w:r>
      <w:r w:rsidR="00AF42DB">
        <w:rPr>
          <w:rFonts w:ascii="Cambria" w:hAnsi="Cambria"/>
          <w:noProof/>
          <w:lang w:eastAsia="x-none"/>
        </w:rPr>
        <w:t>procjen</w:t>
      </w:r>
      <w:r w:rsidR="008551E6">
        <w:rPr>
          <w:rFonts w:ascii="Cambria" w:hAnsi="Cambria"/>
          <w:noProof/>
          <w:lang w:eastAsia="x-none"/>
        </w:rPr>
        <w:t>e rizika.</w:t>
      </w:r>
      <w:r w:rsidR="00F83EF1">
        <w:rPr>
          <w:rFonts w:ascii="Cambria" w:hAnsi="Cambria"/>
          <w:noProof/>
          <w:lang w:eastAsia="x-none"/>
        </w:rPr>
        <w:t xml:space="preserve"> Takođe, zakon ostavlja </w:t>
      </w:r>
      <w:r w:rsidR="00F83EF1">
        <w:rPr>
          <w:rFonts w:ascii="Cambria" w:hAnsi="Cambria"/>
          <w:noProof/>
          <w:lang w:eastAsia="x-none"/>
        </w:rPr>
        <w:lastRenderedPageBreak/>
        <w:t xml:space="preserve">mogućnost </w:t>
      </w:r>
      <w:r w:rsidR="00AC38A0">
        <w:rPr>
          <w:rFonts w:ascii="Cambria" w:hAnsi="Cambria"/>
          <w:noProof/>
          <w:lang w:eastAsia="x-none"/>
        </w:rPr>
        <w:t xml:space="preserve">izdavanja dozvole na osnovu </w:t>
      </w:r>
      <w:r w:rsidR="00F83EF1">
        <w:rPr>
          <w:rFonts w:ascii="Cambria" w:hAnsi="Cambria"/>
          <w:noProof/>
          <w:lang w:eastAsia="x-none"/>
        </w:rPr>
        <w:t xml:space="preserve">priznavanja akta o autorizaciji biocidnog proizvoda izdatog u </w:t>
      </w:r>
      <w:r w:rsidR="009A309B">
        <w:rPr>
          <w:rFonts w:ascii="Cambria" w:hAnsi="Cambria"/>
          <w:noProof/>
          <w:lang w:eastAsia="x-none"/>
        </w:rPr>
        <w:t xml:space="preserve">skladu sa propisima </w:t>
      </w:r>
      <w:r w:rsidR="00F83EF1">
        <w:rPr>
          <w:rFonts w:ascii="Cambria" w:hAnsi="Cambria"/>
          <w:noProof/>
          <w:lang w:eastAsia="x-none"/>
        </w:rPr>
        <w:t xml:space="preserve">EU, ali i u pogledu </w:t>
      </w:r>
      <w:r w:rsidR="00AF42DB">
        <w:rPr>
          <w:rFonts w:ascii="Cambria" w:hAnsi="Cambria"/>
          <w:noProof/>
          <w:lang w:eastAsia="x-none"/>
        </w:rPr>
        <w:t>procjen</w:t>
      </w:r>
      <w:r w:rsidR="00F83EF1">
        <w:rPr>
          <w:rFonts w:ascii="Cambria" w:hAnsi="Cambria"/>
          <w:noProof/>
          <w:lang w:eastAsia="x-none"/>
        </w:rPr>
        <w:t>e takvih zaht</w:t>
      </w:r>
      <w:r w:rsidR="00A95211">
        <w:rPr>
          <w:rFonts w:ascii="Cambria" w:hAnsi="Cambria"/>
          <w:noProof/>
          <w:lang w:eastAsia="x-none"/>
        </w:rPr>
        <w:t>j</w:t>
      </w:r>
      <w:r w:rsidR="00F83EF1">
        <w:rPr>
          <w:rFonts w:ascii="Cambria" w:hAnsi="Cambria"/>
          <w:noProof/>
          <w:lang w:eastAsia="x-none"/>
        </w:rPr>
        <w:t>eva treba obezbjediti adekvatno obučeno osoblje</w:t>
      </w:r>
      <w:r w:rsidR="009A309B">
        <w:rPr>
          <w:rFonts w:ascii="Cambria" w:hAnsi="Cambria"/>
          <w:noProof/>
          <w:lang w:eastAsia="x-none"/>
        </w:rPr>
        <w:t xml:space="preserve"> koje će izvršiti </w:t>
      </w:r>
      <w:r w:rsidR="00AF42DB">
        <w:rPr>
          <w:rFonts w:ascii="Cambria" w:hAnsi="Cambria"/>
          <w:noProof/>
          <w:lang w:eastAsia="x-none"/>
        </w:rPr>
        <w:t>procjen</w:t>
      </w:r>
      <w:r w:rsidR="009A309B">
        <w:rPr>
          <w:rFonts w:ascii="Cambria" w:hAnsi="Cambria"/>
          <w:noProof/>
          <w:lang w:eastAsia="x-none"/>
        </w:rPr>
        <w:t xml:space="preserve">u </w:t>
      </w:r>
      <w:r w:rsidR="009A309B" w:rsidRPr="009A309B">
        <w:rPr>
          <w:rFonts w:ascii="Cambria" w:hAnsi="Cambria"/>
          <w:noProof/>
          <w:lang w:eastAsia="x-none"/>
        </w:rPr>
        <w:t>rezimea dosijea</w:t>
      </w:r>
      <w:r w:rsidR="009A309B">
        <w:rPr>
          <w:rFonts w:ascii="Cambria" w:hAnsi="Cambria"/>
          <w:noProof/>
          <w:lang w:eastAsia="x-none"/>
        </w:rPr>
        <w:t>.</w:t>
      </w:r>
      <w:r w:rsidR="00096FE6">
        <w:rPr>
          <w:rFonts w:ascii="Cambria" w:hAnsi="Cambria"/>
          <w:noProof/>
          <w:lang w:eastAsia="x-none"/>
        </w:rPr>
        <w:t xml:space="preserve"> Podaci </w:t>
      </w:r>
      <w:r w:rsidR="00096FE6" w:rsidRPr="00096FE6">
        <w:rPr>
          <w:rFonts w:ascii="Cambria" w:hAnsi="Cambria"/>
          <w:noProof/>
          <w:lang w:val="sr-Latn-ME" w:eastAsia="x-none"/>
        </w:rPr>
        <w:t xml:space="preserve">iz </w:t>
      </w:r>
      <w:r w:rsidR="00096FE6">
        <w:rPr>
          <w:rFonts w:ascii="Cambria" w:hAnsi="Cambria"/>
          <w:noProof/>
          <w:lang w:val="sr-Latn-ME" w:eastAsia="x-none"/>
        </w:rPr>
        <w:t>izdat</w:t>
      </w:r>
      <w:r w:rsidR="00CA7A72">
        <w:rPr>
          <w:rFonts w:ascii="Cambria" w:hAnsi="Cambria"/>
          <w:noProof/>
          <w:lang w:val="sr-Latn-ME" w:eastAsia="x-none"/>
        </w:rPr>
        <w:t>e</w:t>
      </w:r>
      <w:r w:rsidR="00096FE6">
        <w:rPr>
          <w:rFonts w:ascii="Cambria" w:hAnsi="Cambria"/>
          <w:noProof/>
          <w:lang w:val="sr-Latn-ME" w:eastAsia="x-none"/>
        </w:rPr>
        <w:t xml:space="preserve"> </w:t>
      </w:r>
      <w:r w:rsidR="00096FE6" w:rsidRPr="00096FE6">
        <w:rPr>
          <w:rFonts w:ascii="Cambria" w:hAnsi="Cambria"/>
          <w:noProof/>
          <w:lang w:val="sr-Latn-ME" w:eastAsia="x-none"/>
        </w:rPr>
        <w:t>dozvole</w:t>
      </w:r>
      <w:r w:rsidR="00096FE6">
        <w:rPr>
          <w:rFonts w:ascii="Cambria" w:hAnsi="Cambria"/>
          <w:noProof/>
          <w:lang w:val="sr-Latn-ME" w:eastAsia="x-none"/>
        </w:rPr>
        <w:t xml:space="preserve"> o</w:t>
      </w:r>
      <w:r w:rsidR="00096FE6">
        <w:rPr>
          <w:rFonts w:ascii="Cambria" w:hAnsi="Cambria"/>
          <w:noProof/>
          <w:lang w:eastAsia="x-none"/>
        </w:rPr>
        <w:t xml:space="preserve"> biocidnom proizvodu upisuju se u </w:t>
      </w:r>
      <w:r w:rsidR="00096FE6" w:rsidRPr="00365DE8">
        <w:rPr>
          <w:rFonts w:ascii="Cambria" w:hAnsi="Cambria"/>
          <w:b/>
          <w:noProof/>
          <w:lang w:eastAsia="x-none"/>
        </w:rPr>
        <w:t>Registar biocida koji je sastavni dio Registra hemikalija</w:t>
      </w:r>
      <w:bookmarkEnd w:id="134"/>
      <w:r w:rsidR="00096FE6">
        <w:rPr>
          <w:rFonts w:ascii="Cambria" w:hAnsi="Cambria"/>
          <w:noProof/>
          <w:lang w:val="sr-Latn-ME" w:eastAsia="x-none"/>
        </w:rPr>
        <w:t xml:space="preserve">. </w:t>
      </w:r>
      <w:r w:rsidR="00CA7A72">
        <w:rPr>
          <w:rFonts w:ascii="Cambria" w:hAnsi="Cambria"/>
          <w:noProof/>
          <w:lang w:val="sr-Latn-ME" w:eastAsia="x-none"/>
        </w:rPr>
        <w:t>S</w:t>
      </w:r>
      <w:r w:rsidR="008A5EBA">
        <w:rPr>
          <w:rFonts w:ascii="Cambria" w:hAnsi="Cambria"/>
          <w:noProof/>
          <w:lang w:val="sr-Latn-ME" w:eastAsia="x-none"/>
        </w:rPr>
        <w:t xml:space="preserve"> </w:t>
      </w:r>
      <w:r w:rsidR="00E16A8F">
        <w:rPr>
          <w:rFonts w:ascii="Cambria" w:hAnsi="Cambria"/>
          <w:noProof/>
          <w:lang w:val="sr-Latn-ME" w:eastAsia="x-none"/>
        </w:rPr>
        <w:t>obzirom da dobijanje adekvatne dozvole predstavlja uslov za stavljanje biocida na tržište</w:t>
      </w:r>
      <w:r w:rsidR="008A5EBA">
        <w:rPr>
          <w:rFonts w:ascii="Cambria" w:hAnsi="Cambria"/>
          <w:noProof/>
          <w:lang w:val="sr-Latn-ME" w:eastAsia="x-none"/>
        </w:rPr>
        <w:t xml:space="preserve">, </w:t>
      </w:r>
      <w:r w:rsidR="00E16A8F">
        <w:rPr>
          <w:rFonts w:ascii="Cambria" w:hAnsi="Cambria"/>
          <w:noProof/>
          <w:lang w:val="sr-Latn-ME" w:eastAsia="x-none"/>
        </w:rPr>
        <w:t xml:space="preserve"> inspeksijski nadzor u pogledu biocida treba da se zasniva na </w:t>
      </w:r>
      <w:r w:rsidR="008A5EBA">
        <w:rPr>
          <w:rFonts w:ascii="Cambria" w:hAnsi="Cambria"/>
          <w:noProof/>
          <w:lang w:val="sr-Latn-ME" w:eastAsia="x-none"/>
        </w:rPr>
        <w:t xml:space="preserve">identifikaciji proizvoda koji spadaju u biocide, </w:t>
      </w:r>
      <w:r w:rsidR="00E16A8F">
        <w:rPr>
          <w:rFonts w:ascii="Cambria" w:hAnsi="Cambria"/>
          <w:noProof/>
          <w:lang w:val="sr-Latn-ME" w:eastAsia="x-none"/>
        </w:rPr>
        <w:t>kontroli da li je za konkretan biocid izdata dozvola, odnosno rešenje o upisu u</w:t>
      </w:r>
      <w:r w:rsidR="008A5EBA">
        <w:rPr>
          <w:rFonts w:ascii="Cambria" w:hAnsi="Cambria"/>
          <w:noProof/>
          <w:lang w:val="sr-Latn-ME" w:eastAsia="x-none"/>
        </w:rPr>
        <w:t xml:space="preserve"> </w:t>
      </w:r>
      <w:r w:rsidR="00E16A8F">
        <w:rPr>
          <w:rFonts w:ascii="Cambria" w:hAnsi="Cambria"/>
          <w:noProof/>
          <w:lang w:val="sr-Latn-ME" w:eastAsia="x-none"/>
        </w:rPr>
        <w:t>privremenu listu u prvoj fazi, te na kontrol</w:t>
      </w:r>
      <w:r w:rsidR="008A5EBA">
        <w:rPr>
          <w:rFonts w:ascii="Cambria" w:hAnsi="Cambria"/>
          <w:noProof/>
          <w:lang w:val="sr-Latn-ME" w:eastAsia="x-none"/>
        </w:rPr>
        <w:t>i</w:t>
      </w:r>
      <w:r w:rsidR="00E16A8F">
        <w:rPr>
          <w:rFonts w:ascii="Cambria" w:hAnsi="Cambria"/>
          <w:noProof/>
          <w:lang w:val="sr-Latn-ME" w:eastAsia="x-none"/>
        </w:rPr>
        <w:t xml:space="preserve"> klasifikacije i označavanja</w:t>
      </w:r>
      <w:r w:rsidR="008A5EBA">
        <w:rPr>
          <w:rFonts w:ascii="Cambria" w:hAnsi="Cambria"/>
          <w:noProof/>
          <w:lang w:val="sr-Latn-ME" w:eastAsia="x-none"/>
        </w:rPr>
        <w:t xml:space="preserve">  i bezbjednosnog lista. S obzirom da se radi o propisima koji su u ranoj fazi implementacije, te da ranije biocidi nisu bili pod nadzorom kao posebna vrsta proizvoda neophodno je </w:t>
      </w:r>
      <w:r w:rsidR="008A5EBA" w:rsidRPr="00EE4D37">
        <w:rPr>
          <w:rFonts w:ascii="Cambria" w:hAnsi="Cambria"/>
          <w:b/>
          <w:noProof/>
          <w:lang w:val="sr-Latn-ME" w:eastAsia="x-none"/>
        </w:rPr>
        <w:t xml:space="preserve">podići </w:t>
      </w:r>
      <w:r w:rsidR="008A5EBA" w:rsidRPr="00EE4D37">
        <w:rPr>
          <w:rFonts w:ascii="Cambria" w:hAnsi="Cambria"/>
          <w:b/>
          <w:noProof/>
          <w:lang w:eastAsia="x-none"/>
        </w:rPr>
        <w:t>kapacitete nadležnih organa</w:t>
      </w:r>
      <w:r w:rsidR="00EE4D37">
        <w:rPr>
          <w:rFonts w:ascii="Cambria" w:hAnsi="Cambria"/>
          <w:b/>
          <w:noProof/>
          <w:lang w:eastAsia="x-none"/>
        </w:rPr>
        <w:t xml:space="preserve"> kroz specifične obuke </w:t>
      </w:r>
      <w:r w:rsidR="00EE4D37" w:rsidRPr="00EE4D37">
        <w:rPr>
          <w:rFonts w:ascii="Cambria" w:hAnsi="Cambria"/>
          <w:noProof/>
          <w:lang w:eastAsia="x-none"/>
        </w:rPr>
        <w:t xml:space="preserve">kako u pogledu procjene biocidnog proizvoda u fazi autorizacije, tako i u pogledu </w:t>
      </w:r>
      <w:r w:rsidR="00586C5E" w:rsidRPr="00EE4D37">
        <w:rPr>
          <w:rFonts w:ascii="Cambria" w:hAnsi="Cambria"/>
          <w:noProof/>
          <w:lang w:eastAsia="x-none"/>
        </w:rPr>
        <w:t>kontrol</w:t>
      </w:r>
      <w:r w:rsidR="00586C5E">
        <w:rPr>
          <w:rFonts w:ascii="Cambria" w:hAnsi="Cambria"/>
          <w:noProof/>
          <w:lang w:eastAsia="x-none"/>
        </w:rPr>
        <w:t>e</w:t>
      </w:r>
      <w:r w:rsidR="00586C5E" w:rsidRPr="00EE4D37">
        <w:rPr>
          <w:rFonts w:ascii="Cambria" w:hAnsi="Cambria"/>
          <w:noProof/>
          <w:lang w:eastAsia="x-none"/>
        </w:rPr>
        <w:t xml:space="preserve"> </w:t>
      </w:r>
      <w:r w:rsidR="008A5EBA" w:rsidRPr="00EE4D37">
        <w:rPr>
          <w:rFonts w:ascii="Cambria" w:hAnsi="Cambria"/>
          <w:noProof/>
          <w:lang w:eastAsia="x-none"/>
        </w:rPr>
        <w:t>sta</w:t>
      </w:r>
      <w:r w:rsidR="008A5EBA">
        <w:rPr>
          <w:rFonts w:ascii="Cambria" w:hAnsi="Cambria"/>
          <w:noProof/>
          <w:lang w:eastAsia="x-none"/>
        </w:rPr>
        <w:t xml:space="preserve">vljanja na tržište biocida </w:t>
      </w:r>
      <w:r w:rsidR="008A5EBA" w:rsidRPr="008A5EBA">
        <w:rPr>
          <w:rFonts w:ascii="Cambria" w:hAnsi="Cambria"/>
          <w:noProof/>
          <w:lang w:eastAsia="x-none"/>
        </w:rPr>
        <w:t>po principim</w:t>
      </w:r>
      <w:r w:rsidR="008A5EBA">
        <w:rPr>
          <w:rFonts w:ascii="Cambria" w:hAnsi="Cambria"/>
          <w:noProof/>
          <w:lang w:eastAsia="x-none"/>
        </w:rPr>
        <w:t>a</w:t>
      </w:r>
      <w:r w:rsidR="008A5EBA" w:rsidRPr="008A5EBA">
        <w:rPr>
          <w:rFonts w:ascii="Cambria" w:hAnsi="Cambria"/>
          <w:noProof/>
          <w:lang w:eastAsia="x-none"/>
        </w:rPr>
        <w:t xml:space="preserve"> ustanovljenim u EU</w:t>
      </w:r>
      <w:r w:rsidR="008A5EBA">
        <w:rPr>
          <w:rFonts w:ascii="Cambria" w:hAnsi="Cambria"/>
          <w:noProof/>
          <w:lang w:eastAsia="x-none"/>
        </w:rPr>
        <w:t>.</w:t>
      </w:r>
    </w:p>
    <w:p w14:paraId="59AA278C" w14:textId="58D7D2E4" w:rsidR="00115BD9" w:rsidRDefault="00115BD9" w:rsidP="00115BD9">
      <w:pPr>
        <w:jc w:val="both"/>
        <w:rPr>
          <w:rFonts w:ascii="Cambria" w:hAnsi="Cambria"/>
          <w:noProof/>
          <w:lang w:val="sr-Latn-ME" w:eastAsia="x-none"/>
        </w:rPr>
      </w:pPr>
      <w:r w:rsidRPr="00115BD9">
        <w:rPr>
          <w:rFonts w:ascii="Cambria" w:hAnsi="Cambria"/>
          <w:b/>
          <w:noProof/>
          <w:lang w:val="sr-Latn-ME" w:eastAsia="x-none"/>
        </w:rPr>
        <w:t>Sistem upravljanja sredstvima za zaštitu bilja</w:t>
      </w:r>
      <w:r w:rsidRPr="00115BD9">
        <w:rPr>
          <w:rFonts w:ascii="Cambria" w:hAnsi="Cambria"/>
          <w:noProof/>
          <w:lang w:val="sr-Latn-ME" w:eastAsia="x-none"/>
        </w:rPr>
        <w:t xml:space="preserve"> usklađen sa relevantnim propisima EU je </w:t>
      </w:r>
      <w:r w:rsidRPr="00115BD9">
        <w:rPr>
          <w:rFonts w:ascii="Cambria" w:hAnsi="Cambria"/>
          <w:b/>
          <w:noProof/>
          <w:lang w:val="sr-Latn-ME" w:eastAsia="x-none"/>
        </w:rPr>
        <w:t>uspostavljen</w:t>
      </w:r>
      <w:r w:rsidRPr="00115BD9">
        <w:rPr>
          <w:rFonts w:ascii="Cambria" w:hAnsi="Cambria"/>
          <w:noProof/>
          <w:lang w:val="sr-Latn-ME" w:eastAsia="x-none"/>
        </w:rPr>
        <w:t xml:space="preserve">. </w:t>
      </w:r>
      <w:r w:rsidR="00C03CBF">
        <w:rPr>
          <w:rFonts w:ascii="Cambria" w:hAnsi="Cambria"/>
          <w:noProof/>
          <w:lang w:val="sr-Latn-ME" w:eastAsia="x-none"/>
        </w:rPr>
        <w:t>O</w:t>
      </w:r>
      <w:r w:rsidR="00C03CBF" w:rsidRPr="00115BD9">
        <w:rPr>
          <w:rFonts w:ascii="Cambria" w:hAnsi="Cambria"/>
          <w:noProof/>
          <w:lang w:val="sr-Latn-ME" w:eastAsia="x-none"/>
        </w:rPr>
        <w:t>tpoče</w:t>
      </w:r>
      <w:r w:rsidR="00C03CBF">
        <w:rPr>
          <w:rFonts w:ascii="Cambria" w:hAnsi="Cambria"/>
          <w:noProof/>
          <w:lang w:val="sr-Latn-ME" w:eastAsia="x-none"/>
        </w:rPr>
        <w:t>lo se sa inicijalnim aktivnostima u vezi sa p</w:t>
      </w:r>
      <w:r w:rsidRPr="00115BD9">
        <w:rPr>
          <w:rFonts w:ascii="Cambria" w:hAnsi="Cambria"/>
          <w:noProof/>
          <w:lang w:val="sr-Latn-ME" w:eastAsia="x-none"/>
        </w:rPr>
        <w:t>roces</w:t>
      </w:r>
      <w:r w:rsidR="00C03CBF">
        <w:rPr>
          <w:rFonts w:ascii="Cambria" w:hAnsi="Cambria"/>
          <w:noProof/>
          <w:lang w:val="sr-Latn-ME" w:eastAsia="x-none"/>
        </w:rPr>
        <w:t>om</w:t>
      </w:r>
      <w:r w:rsidRPr="00115BD9">
        <w:rPr>
          <w:rFonts w:ascii="Cambria" w:hAnsi="Cambria"/>
          <w:noProof/>
          <w:lang w:val="sr-Latn-ME" w:eastAsia="x-none"/>
        </w:rPr>
        <w:t xml:space="preserve"> registracije sredstava za zaštitu bilja po principu priznavanja registracija iz EU.  Veliki napredak je učinjen u pogledu uvođenja principa održive upotrebe sredstava za zaštitu bilja. Ipak, treba nastaviti sa relevantnim aktivnostima kako bi se sistem održavao i dalje razvijao.</w:t>
      </w:r>
    </w:p>
    <w:p w14:paraId="0EB24A98" w14:textId="41830D06" w:rsidR="009F5700" w:rsidRPr="009F5700" w:rsidRDefault="009F5700" w:rsidP="0016713E">
      <w:pPr>
        <w:pBdr>
          <w:top w:val="single" w:sz="4" w:space="1" w:color="auto"/>
          <w:left w:val="single" w:sz="4" w:space="4" w:color="auto"/>
          <w:bottom w:val="single" w:sz="4" w:space="1" w:color="auto"/>
          <w:right w:val="single" w:sz="4" w:space="4" w:color="auto"/>
        </w:pBdr>
        <w:jc w:val="both"/>
        <w:rPr>
          <w:rFonts w:ascii="Cambria" w:hAnsi="Cambria"/>
          <w:noProof/>
          <w:lang w:val="sr-Latn-RS" w:eastAsia="x-none"/>
        </w:rPr>
      </w:pPr>
      <w:bookmarkStart w:id="135" w:name="_Hlk527313928"/>
      <w:r w:rsidRPr="009F5700">
        <w:rPr>
          <w:rFonts w:ascii="Cambria" w:hAnsi="Cambria"/>
          <w:b/>
          <w:bCs/>
          <w:noProof/>
          <w:lang w:val="sr-Latn-CS" w:eastAsia="x-none"/>
        </w:rPr>
        <w:t xml:space="preserve">Prioritetni </w:t>
      </w:r>
      <w:r w:rsidR="0016713E">
        <w:rPr>
          <w:rFonts w:ascii="Cambria" w:hAnsi="Cambria"/>
          <w:b/>
          <w:noProof/>
          <w:lang w:val="sr-Latn-RS" w:eastAsia="x-none"/>
        </w:rPr>
        <w:t>izazov</w:t>
      </w:r>
      <w:r w:rsidRPr="009F5700">
        <w:rPr>
          <w:rFonts w:ascii="Cambria" w:hAnsi="Cambria"/>
          <w:b/>
          <w:noProof/>
          <w:lang w:val="sr-Latn-RS" w:eastAsia="x-none"/>
        </w:rPr>
        <w:t xml:space="preserve"> </w:t>
      </w:r>
      <w:r w:rsidRPr="009F5700">
        <w:rPr>
          <w:rFonts w:ascii="Cambria" w:hAnsi="Cambria"/>
          <w:noProof/>
          <w:lang w:val="sr-Latn-RS" w:eastAsia="x-none"/>
        </w:rPr>
        <w:t xml:space="preserve">u ovom segmentu analize </w:t>
      </w:r>
      <w:r w:rsidR="0016713E">
        <w:rPr>
          <w:rFonts w:ascii="Cambria" w:hAnsi="Cambria"/>
          <w:noProof/>
          <w:lang w:val="sr-Latn-RS" w:eastAsia="x-none"/>
        </w:rPr>
        <w:t xml:space="preserve">je dalje unapređenje zakonodavnog okvira kroz </w:t>
      </w:r>
      <w:r w:rsidR="0016713E" w:rsidRPr="00326EC7">
        <w:rPr>
          <w:rFonts w:ascii="Cambria" w:hAnsi="Cambria"/>
          <w:b/>
          <w:noProof/>
          <w:lang w:val="sr-Latn-RS" w:eastAsia="x-none"/>
        </w:rPr>
        <w:t>nastavak usaglašavanja postojećih propisa sa relevantnim propisima EU</w:t>
      </w:r>
      <w:r w:rsidR="00326EC7">
        <w:rPr>
          <w:rFonts w:ascii="Cambria" w:hAnsi="Cambria"/>
          <w:noProof/>
          <w:lang w:val="sr-Latn-RS" w:eastAsia="x-none"/>
        </w:rPr>
        <w:t>,</w:t>
      </w:r>
      <w:r w:rsidR="0016713E">
        <w:rPr>
          <w:rFonts w:ascii="Cambria" w:hAnsi="Cambria"/>
          <w:noProof/>
          <w:lang w:val="sr-Latn-RS" w:eastAsia="x-none"/>
        </w:rPr>
        <w:t xml:space="preserve"> imajući u vidu relativno česte izmene EU propisa u ovoj oblasti radi prilagođavanja tehničkom progresu i/ili usaglašavanja sa zahtevima međunarodnih sporazuma</w:t>
      </w:r>
      <w:r w:rsidRPr="009F5700">
        <w:rPr>
          <w:rFonts w:ascii="Cambria" w:hAnsi="Cambria"/>
          <w:noProof/>
          <w:lang w:val="sr-Latn-RS" w:eastAsia="x-none"/>
        </w:rPr>
        <w:t>.</w:t>
      </w:r>
      <w:r w:rsidR="0016713E">
        <w:rPr>
          <w:rFonts w:ascii="Cambria" w:hAnsi="Cambria"/>
          <w:noProof/>
          <w:lang w:val="sr-Latn-RS" w:eastAsia="x-none"/>
        </w:rPr>
        <w:t xml:space="preserve"> Stoga, deo aktivnosti u okviru ove strategije treba da bude usmeren na izmene i dopune postojećih propisa</w:t>
      </w:r>
      <w:r w:rsidR="00D30271">
        <w:rPr>
          <w:rFonts w:ascii="Cambria" w:hAnsi="Cambria"/>
          <w:noProof/>
          <w:lang w:val="sr-Latn-RS" w:eastAsia="x-none"/>
        </w:rPr>
        <w:t xml:space="preserve"> radi dalje harmonzacije i ispunjavanja uslova za pristupanje EU</w:t>
      </w:r>
      <w:r w:rsidR="00326EC7">
        <w:rPr>
          <w:rFonts w:ascii="Cambria" w:hAnsi="Cambria"/>
          <w:noProof/>
          <w:lang w:val="sr-Latn-RS" w:eastAsia="x-none"/>
        </w:rPr>
        <w:t>,</w:t>
      </w:r>
      <w:r w:rsidR="0016713E">
        <w:rPr>
          <w:rFonts w:ascii="Cambria" w:hAnsi="Cambria"/>
          <w:noProof/>
          <w:lang w:val="sr-Latn-RS" w:eastAsia="x-none"/>
        </w:rPr>
        <w:t xml:space="preserve"> ali i na </w:t>
      </w:r>
      <w:r w:rsidR="00326EC7">
        <w:rPr>
          <w:rFonts w:ascii="Cambria" w:hAnsi="Cambria"/>
          <w:noProof/>
          <w:lang w:val="sr-Latn-RS" w:eastAsia="x-none"/>
        </w:rPr>
        <w:t xml:space="preserve">detaljno </w:t>
      </w:r>
      <w:r w:rsidR="0016713E">
        <w:rPr>
          <w:rFonts w:ascii="Cambria" w:hAnsi="Cambria"/>
          <w:noProof/>
          <w:lang w:val="sr-Latn-RS" w:eastAsia="x-none"/>
        </w:rPr>
        <w:t>izvještavanje u</w:t>
      </w:r>
      <w:r w:rsidR="0016713E" w:rsidRPr="0016713E">
        <w:rPr>
          <w:rFonts w:ascii="Cambria" w:hAnsi="Cambria"/>
          <w:noProof/>
          <w:lang w:val="sr-Latn-RS" w:eastAsia="x-none"/>
        </w:rPr>
        <w:t xml:space="preserve"> vezi sa </w:t>
      </w:r>
      <w:r w:rsidR="00326EC7">
        <w:rPr>
          <w:rFonts w:ascii="Cambria" w:hAnsi="Cambria"/>
          <w:noProof/>
          <w:lang w:val="sr-Latn-RS" w:eastAsia="x-none"/>
        </w:rPr>
        <w:t xml:space="preserve">učinjenim izmjenama, a radi </w:t>
      </w:r>
      <w:r w:rsidR="00326EC7" w:rsidRPr="0016713E">
        <w:rPr>
          <w:rFonts w:ascii="Cambria" w:hAnsi="Cambria"/>
          <w:noProof/>
          <w:lang w:val="sr-Latn-RS" w:eastAsia="x-none"/>
        </w:rPr>
        <w:t>ažuriran</w:t>
      </w:r>
      <w:r w:rsidR="00326EC7">
        <w:rPr>
          <w:rFonts w:ascii="Cambria" w:hAnsi="Cambria"/>
          <w:noProof/>
          <w:lang w:val="sr-Latn-RS" w:eastAsia="x-none"/>
        </w:rPr>
        <w:t>ja</w:t>
      </w:r>
      <w:r w:rsidR="00326EC7" w:rsidRPr="0016713E">
        <w:rPr>
          <w:rFonts w:ascii="Cambria" w:hAnsi="Cambria"/>
          <w:noProof/>
          <w:lang w:val="sr-Latn-RS" w:eastAsia="x-none"/>
        </w:rPr>
        <w:t xml:space="preserve"> informacij</w:t>
      </w:r>
      <w:r w:rsidR="00326EC7">
        <w:rPr>
          <w:rFonts w:ascii="Cambria" w:hAnsi="Cambria"/>
          <w:noProof/>
          <w:lang w:val="sr-Latn-RS" w:eastAsia="x-none"/>
        </w:rPr>
        <w:t xml:space="preserve">a potrebnih za </w:t>
      </w:r>
      <w:r w:rsidR="0016713E" w:rsidRPr="0016713E">
        <w:rPr>
          <w:rFonts w:ascii="Cambria" w:hAnsi="Cambria"/>
          <w:noProof/>
          <w:lang w:val="sr-Latn-RS" w:eastAsia="x-none"/>
        </w:rPr>
        <w:t>pregovor</w:t>
      </w:r>
      <w:r w:rsidR="00326EC7">
        <w:rPr>
          <w:rFonts w:ascii="Cambria" w:hAnsi="Cambria"/>
          <w:noProof/>
          <w:lang w:val="sr-Latn-RS" w:eastAsia="x-none"/>
        </w:rPr>
        <w:t>e</w:t>
      </w:r>
      <w:r w:rsidR="0016713E" w:rsidRPr="0016713E">
        <w:rPr>
          <w:rFonts w:ascii="Cambria" w:hAnsi="Cambria"/>
          <w:noProof/>
          <w:lang w:val="sr-Latn-RS" w:eastAsia="x-none"/>
        </w:rPr>
        <w:t xml:space="preserve"> o pristupanju EU </w:t>
      </w:r>
      <w:r w:rsidR="00326EC7">
        <w:rPr>
          <w:rFonts w:ascii="Cambria" w:hAnsi="Cambria"/>
          <w:noProof/>
          <w:lang w:val="sr-Latn-RS" w:eastAsia="x-none"/>
        </w:rPr>
        <w:t xml:space="preserve">nakon otvaranja </w:t>
      </w:r>
      <w:r w:rsidR="0016713E" w:rsidRPr="0016713E">
        <w:rPr>
          <w:rFonts w:ascii="Cambria" w:hAnsi="Cambria"/>
          <w:noProof/>
          <w:lang w:val="sr-Latn-RS" w:eastAsia="x-none"/>
        </w:rPr>
        <w:t>poglavlja relevantnih za hemikalije</w:t>
      </w:r>
      <w:r w:rsidR="00326EC7">
        <w:rPr>
          <w:rFonts w:ascii="Cambria" w:hAnsi="Cambria"/>
          <w:noProof/>
          <w:lang w:val="sr-Latn-RS" w:eastAsia="x-none"/>
        </w:rPr>
        <w:t>.</w:t>
      </w:r>
    </w:p>
    <w:bookmarkEnd w:id="135"/>
    <w:p w14:paraId="4C87F36E" w14:textId="77777777" w:rsidR="009F5700" w:rsidRPr="00115BD9" w:rsidRDefault="009F5700" w:rsidP="00115BD9">
      <w:pPr>
        <w:jc w:val="both"/>
        <w:rPr>
          <w:rFonts w:ascii="Cambria" w:hAnsi="Cambria"/>
          <w:noProof/>
          <w:lang w:val="sr-Latn-ME" w:eastAsia="x-none"/>
        </w:rPr>
      </w:pPr>
    </w:p>
    <w:p w14:paraId="796BE11B" w14:textId="06E54942" w:rsidR="00E41841" w:rsidRPr="00E41841" w:rsidRDefault="00BE2F7B" w:rsidP="00557C13">
      <w:pPr>
        <w:pStyle w:val="ListParagraph"/>
        <w:numPr>
          <w:ilvl w:val="0"/>
          <w:numId w:val="59"/>
        </w:numPr>
        <w:jc w:val="both"/>
        <w:rPr>
          <w:rFonts w:ascii="Cambria" w:hAnsi="Cambria"/>
          <w:b/>
          <w:noProof/>
          <w:lang w:val="sr-Latn-ME" w:eastAsia="x-none"/>
        </w:rPr>
      </w:pPr>
      <w:r>
        <w:rPr>
          <w:rFonts w:ascii="Cambria" w:hAnsi="Cambria"/>
          <w:b/>
          <w:noProof/>
          <w:lang w:val="sr-Latn-ME" w:eastAsia="x-none"/>
        </w:rPr>
        <w:t>Institucionalni okvir za u</w:t>
      </w:r>
      <w:r w:rsidR="00E41841">
        <w:rPr>
          <w:rFonts w:ascii="Cambria" w:hAnsi="Cambria"/>
          <w:b/>
          <w:noProof/>
          <w:lang w:val="sr-Latn-ME" w:eastAsia="x-none"/>
        </w:rPr>
        <w:t>pravljanj</w:t>
      </w:r>
      <w:r>
        <w:rPr>
          <w:rFonts w:ascii="Cambria" w:hAnsi="Cambria"/>
          <w:b/>
          <w:noProof/>
          <w:lang w:val="sr-Latn-ME" w:eastAsia="x-none"/>
        </w:rPr>
        <w:t>e</w:t>
      </w:r>
      <w:r w:rsidR="00E41841">
        <w:rPr>
          <w:rFonts w:ascii="Cambria" w:hAnsi="Cambria"/>
          <w:b/>
          <w:noProof/>
          <w:lang w:val="sr-Latn-ME" w:eastAsia="x-none"/>
        </w:rPr>
        <w:t xml:space="preserve"> hemikalijama</w:t>
      </w:r>
      <w:r w:rsidR="0085708F">
        <w:rPr>
          <w:rFonts w:ascii="Cambria" w:hAnsi="Cambria"/>
          <w:b/>
          <w:noProof/>
          <w:lang w:val="sr-Latn-ME" w:eastAsia="x-none"/>
        </w:rPr>
        <w:t>;</w:t>
      </w:r>
      <w:r w:rsidR="00E41841">
        <w:rPr>
          <w:rFonts w:ascii="Cambria" w:hAnsi="Cambria"/>
          <w:b/>
          <w:noProof/>
          <w:lang w:val="sr-Latn-ME" w:eastAsia="x-none"/>
        </w:rPr>
        <w:t xml:space="preserve"> </w:t>
      </w:r>
      <w:r w:rsidR="0085708F" w:rsidRPr="0085708F">
        <w:rPr>
          <w:rFonts w:ascii="Cambria" w:hAnsi="Cambria"/>
          <w:b/>
          <w:noProof/>
          <w:lang w:eastAsia="x-none"/>
        </w:rPr>
        <w:t>međuresorna saradnja i koordinacioni mehanizmi</w:t>
      </w:r>
    </w:p>
    <w:p w14:paraId="0F5A4518" w14:textId="77777777" w:rsidR="0085708F" w:rsidRDefault="00E41841" w:rsidP="00E41841">
      <w:pPr>
        <w:jc w:val="both"/>
        <w:rPr>
          <w:rFonts w:ascii="Cambria" w:hAnsi="Cambria"/>
          <w:noProof/>
          <w:lang w:eastAsia="x-none"/>
        </w:rPr>
      </w:pPr>
      <w:r w:rsidRPr="00E41841">
        <w:rPr>
          <w:rFonts w:ascii="Cambria" w:hAnsi="Cambria"/>
          <w:b/>
          <w:noProof/>
          <w:lang w:eastAsia="x-none"/>
        </w:rPr>
        <w:t>Nadležna ministarstva, agencije i druge državne institucije</w:t>
      </w:r>
      <w:r w:rsidRPr="00E41841">
        <w:rPr>
          <w:rFonts w:ascii="Cambria" w:hAnsi="Cambria"/>
          <w:noProof/>
          <w:lang w:eastAsia="x-none"/>
        </w:rPr>
        <w:t xml:space="preserve"> za upravljanje hemikalijama su uspostavljene i operativne (izuzev Centra za kontrolu trovanja), kao i međuresorna saradnja i koordinacioni mehanizmi. Imajući u vidu da inspekcijski nadzor nad hemikalijama i biocidima uključuje više nadležnih inspekcija potrebno je održavati kontinuiranu razmjenu informacija između nadležnih inspekcija. </w:t>
      </w:r>
    </w:p>
    <w:p w14:paraId="6D763E83" w14:textId="57BD2C53" w:rsidR="00E41841" w:rsidRPr="00E41841" w:rsidRDefault="00E41841" w:rsidP="00E41841">
      <w:pPr>
        <w:jc w:val="both"/>
        <w:rPr>
          <w:rFonts w:ascii="Cambria" w:hAnsi="Cambria"/>
          <w:bCs/>
          <w:noProof/>
          <w:lang w:eastAsia="x-none"/>
        </w:rPr>
      </w:pPr>
      <w:r w:rsidRPr="00E41841">
        <w:rPr>
          <w:rFonts w:ascii="Cambria" w:hAnsi="Cambria"/>
          <w:noProof/>
          <w:lang w:eastAsia="x-none"/>
        </w:rPr>
        <w:t>Realizacijom P</w:t>
      </w:r>
      <w:r w:rsidRPr="00E41841">
        <w:rPr>
          <w:rFonts w:ascii="Cambria" w:hAnsi="Cambria"/>
          <w:bCs/>
          <w:noProof/>
          <w:lang w:eastAsia="x-none"/>
        </w:rPr>
        <w:t xml:space="preserve">lana reorganizacije i jačanja administrativnih kapaciteta za sektore životne sredine i klimatskih promjena u Crnoj Gori koji predviđa povećanje broja zaposlenih </w:t>
      </w:r>
      <w:r w:rsidRPr="00E41841">
        <w:rPr>
          <w:rFonts w:ascii="Cambria" w:hAnsi="Cambria"/>
          <w:noProof/>
          <w:lang w:eastAsia="x-none"/>
        </w:rPr>
        <w:t xml:space="preserve">u svim resorima relevantnim za upravljanje hemikalijama </w:t>
      </w:r>
      <w:r w:rsidRPr="00E41841">
        <w:rPr>
          <w:rFonts w:ascii="Cambria" w:hAnsi="Cambria"/>
          <w:bCs/>
          <w:noProof/>
          <w:lang w:eastAsia="x-none"/>
        </w:rPr>
        <w:t xml:space="preserve">za period 2017-2020 </w:t>
      </w:r>
      <w:r w:rsidRPr="00E41841">
        <w:rPr>
          <w:rFonts w:ascii="Cambria" w:hAnsi="Cambria"/>
          <w:bCs/>
          <w:noProof/>
          <w:lang w:val="sr-Latn-RS" w:eastAsia="x-none"/>
        </w:rPr>
        <w:t>biće</w:t>
      </w:r>
      <w:r w:rsidRPr="00E41841">
        <w:rPr>
          <w:rFonts w:ascii="Cambria" w:hAnsi="Cambria"/>
          <w:bCs/>
          <w:noProof/>
          <w:lang w:eastAsia="x-none"/>
        </w:rPr>
        <w:t xml:space="preserve"> stvoreni kapaciteti u pogledu ljudstva potrebni i za aktivnosti u pogledu hemijalija u svim fazama njihovog životnog ciklusa. </w:t>
      </w:r>
    </w:p>
    <w:p w14:paraId="6FBC18A6" w14:textId="16F3E4AF" w:rsidR="00ED4158" w:rsidRDefault="0085708F" w:rsidP="005921EF">
      <w:pPr>
        <w:jc w:val="both"/>
        <w:rPr>
          <w:rFonts w:ascii="Cambria" w:hAnsi="Cambria"/>
          <w:noProof/>
          <w:lang w:eastAsia="x-none"/>
        </w:rPr>
      </w:pPr>
      <w:r>
        <w:rPr>
          <w:rFonts w:ascii="Cambria" w:hAnsi="Cambria"/>
          <w:b/>
          <w:noProof/>
          <w:lang w:val="sr-Latn-ME" w:eastAsia="x-none"/>
        </w:rPr>
        <w:t>V</w:t>
      </w:r>
      <w:r w:rsidR="00F75761" w:rsidRPr="004B2219">
        <w:rPr>
          <w:rFonts w:ascii="Cambria" w:hAnsi="Cambria"/>
          <w:b/>
          <w:noProof/>
          <w:lang w:val="sr-Latn-ME" w:eastAsia="x-none"/>
        </w:rPr>
        <w:t>idan napredak u implementaciji</w:t>
      </w:r>
      <w:r w:rsidR="00F75761" w:rsidRPr="00F75761">
        <w:rPr>
          <w:rFonts w:ascii="Cambria" w:hAnsi="Cambria"/>
          <w:noProof/>
          <w:lang w:val="sr-Latn-ME" w:eastAsia="x-none"/>
        </w:rPr>
        <w:t xml:space="preserve"> </w:t>
      </w:r>
      <w:r w:rsidRPr="00F75761">
        <w:rPr>
          <w:rFonts w:ascii="Cambria" w:hAnsi="Cambria"/>
          <w:noProof/>
          <w:lang w:val="sr-Latn-ME" w:eastAsia="x-none"/>
        </w:rPr>
        <w:t>nacionaln</w:t>
      </w:r>
      <w:r>
        <w:rPr>
          <w:rFonts w:ascii="Cambria" w:hAnsi="Cambria"/>
          <w:noProof/>
          <w:lang w:val="sr-Latn-ME" w:eastAsia="x-none"/>
        </w:rPr>
        <w:t>e</w:t>
      </w:r>
      <w:r w:rsidRPr="00F75761">
        <w:rPr>
          <w:rFonts w:ascii="Cambria" w:hAnsi="Cambria"/>
          <w:noProof/>
          <w:lang w:val="sr-Latn-ME" w:eastAsia="x-none"/>
        </w:rPr>
        <w:t xml:space="preserve"> legislativ</w:t>
      </w:r>
      <w:r>
        <w:rPr>
          <w:rFonts w:ascii="Cambria" w:hAnsi="Cambria"/>
          <w:noProof/>
          <w:lang w:val="sr-Latn-ME" w:eastAsia="x-none"/>
        </w:rPr>
        <w:t>e</w:t>
      </w:r>
      <w:r w:rsidRPr="00F75761">
        <w:rPr>
          <w:rFonts w:ascii="Cambria" w:hAnsi="Cambria"/>
          <w:noProof/>
          <w:lang w:val="sr-Latn-ME" w:eastAsia="x-none"/>
        </w:rPr>
        <w:t xml:space="preserve"> </w:t>
      </w:r>
      <w:r>
        <w:rPr>
          <w:rFonts w:ascii="Cambria" w:hAnsi="Cambria"/>
          <w:noProof/>
          <w:lang w:val="sr-Latn-ME" w:eastAsia="x-none"/>
        </w:rPr>
        <w:t xml:space="preserve">u sektoru hemikalija </w:t>
      </w:r>
      <w:r w:rsidRPr="00F75761">
        <w:rPr>
          <w:rFonts w:ascii="Cambria" w:hAnsi="Cambria"/>
          <w:noProof/>
          <w:lang w:val="sr-Latn-ME" w:eastAsia="x-none"/>
        </w:rPr>
        <w:t xml:space="preserve">ostvaren je </w:t>
      </w:r>
      <w:r w:rsidR="00F75761" w:rsidRPr="00F75761">
        <w:rPr>
          <w:rFonts w:ascii="Cambria" w:hAnsi="Cambria"/>
          <w:noProof/>
          <w:lang w:val="sr-Latn-ME" w:eastAsia="x-none"/>
        </w:rPr>
        <w:t xml:space="preserve">u pogledu sprovođenja administrativnih procedura, operativnosti </w:t>
      </w:r>
      <w:r w:rsidR="00F75761" w:rsidRPr="00F75761">
        <w:rPr>
          <w:rFonts w:ascii="Cambria" w:hAnsi="Cambria"/>
          <w:bCs/>
          <w:noProof/>
          <w:lang w:val="sr-Latn-ME" w:eastAsia="x-none"/>
        </w:rPr>
        <w:t>nadležnih tijela</w:t>
      </w:r>
      <w:r w:rsidR="00E90C02">
        <w:rPr>
          <w:rFonts w:ascii="Cambria" w:hAnsi="Cambria"/>
          <w:bCs/>
          <w:noProof/>
          <w:lang w:val="sr-Latn-ME" w:eastAsia="x-none"/>
        </w:rPr>
        <w:t>,</w:t>
      </w:r>
      <w:r w:rsidR="00F75761" w:rsidRPr="00F75761">
        <w:rPr>
          <w:rFonts w:ascii="Cambria" w:hAnsi="Cambria"/>
          <w:bCs/>
          <w:noProof/>
          <w:lang w:val="sr-Latn-ME" w:eastAsia="x-none"/>
        </w:rPr>
        <w:t xml:space="preserve"> </w:t>
      </w:r>
      <w:r w:rsidR="00E90C02" w:rsidRPr="00F75761">
        <w:rPr>
          <w:rFonts w:ascii="Cambria" w:hAnsi="Cambria"/>
          <w:noProof/>
          <w:lang w:val="sr-Latn-ME" w:eastAsia="x-none"/>
        </w:rPr>
        <w:t>uspostavljanja sistema kontrole i nadzora</w:t>
      </w:r>
      <w:r>
        <w:rPr>
          <w:rFonts w:ascii="Cambria" w:hAnsi="Cambria"/>
          <w:noProof/>
          <w:lang w:val="sr-Latn-ME" w:eastAsia="x-none"/>
        </w:rPr>
        <w:t xml:space="preserve">. Ipak, </w:t>
      </w:r>
      <w:r w:rsidR="00F75761" w:rsidRPr="00F75761">
        <w:rPr>
          <w:rFonts w:ascii="Cambria" w:hAnsi="Cambria"/>
          <w:noProof/>
          <w:lang w:eastAsia="x-none"/>
        </w:rPr>
        <w:t xml:space="preserve">veliki napor će biti potreban u smislu jačanja administrativnih </w:t>
      </w:r>
      <w:r w:rsidR="00DD6737">
        <w:rPr>
          <w:rFonts w:ascii="Cambria" w:hAnsi="Cambria"/>
          <w:noProof/>
          <w:lang w:eastAsia="x-none"/>
        </w:rPr>
        <w:t xml:space="preserve">i stručnih </w:t>
      </w:r>
      <w:r w:rsidR="00F75761" w:rsidRPr="00F75761">
        <w:rPr>
          <w:rFonts w:ascii="Cambria" w:hAnsi="Cambria"/>
          <w:noProof/>
          <w:lang w:eastAsia="x-none"/>
        </w:rPr>
        <w:t>kapaciteta kako bi se obezb</w:t>
      </w:r>
      <w:r w:rsidR="00C65B0A">
        <w:rPr>
          <w:rFonts w:ascii="Cambria" w:hAnsi="Cambria"/>
          <w:noProof/>
          <w:lang w:eastAsia="x-none"/>
        </w:rPr>
        <w:t>ij</w:t>
      </w:r>
      <w:r w:rsidR="00F75761" w:rsidRPr="00F75761">
        <w:rPr>
          <w:rFonts w:ascii="Cambria" w:hAnsi="Cambria"/>
          <w:noProof/>
          <w:lang w:eastAsia="x-none"/>
        </w:rPr>
        <w:t xml:space="preserve">edila </w:t>
      </w:r>
      <w:r w:rsidR="00E41841">
        <w:rPr>
          <w:rFonts w:ascii="Cambria" w:hAnsi="Cambria"/>
          <w:noProof/>
          <w:lang w:eastAsia="x-none"/>
        </w:rPr>
        <w:t>puna</w:t>
      </w:r>
      <w:r w:rsidR="00F75761" w:rsidRPr="00F75761">
        <w:rPr>
          <w:rFonts w:ascii="Cambria" w:hAnsi="Cambria"/>
          <w:noProof/>
          <w:lang w:eastAsia="x-none"/>
        </w:rPr>
        <w:t xml:space="preserve"> implementacija propisa </w:t>
      </w:r>
      <w:r w:rsidR="00115BD9" w:rsidRPr="00F75761">
        <w:rPr>
          <w:rFonts w:ascii="Cambria" w:hAnsi="Cambria"/>
          <w:noProof/>
          <w:lang w:val="sr-Latn-ME" w:eastAsia="x-none"/>
        </w:rPr>
        <w:t>u oblasti hemikalija i biocidnih proizvoda</w:t>
      </w:r>
      <w:r w:rsidR="00115BD9" w:rsidRPr="00F75761">
        <w:rPr>
          <w:rFonts w:ascii="Cambria" w:hAnsi="Cambria"/>
          <w:noProof/>
          <w:lang w:eastAsia="x-none"/>
        </w:rPr>
        <w:t xml:space="preserve"> </w:t>
      </w:r>
      <w:r w:rsidR="00F75761" w:rsidRPr="00F75761">
        <w:rPr>
          <w:rFonts w:ascii="Cambria" w:hAnsi="Cambria"/>
          <w:noProof/>
          <w:lang w:eastAsia="x-none"/>
        </w:rPr>
        <w:t xml:space="preserve">u narednom periodu i potpuno spremilo za obaveze koje ce nastupiti kada Crna Gora postane članica EU. </w:t>
      </w:r>
      <w:r w:rsidR="00ED4158">
        <w:rPr>
          <w:rFonts w:ascii="Cambria" w:hAnsi="Cambria"/>
          <w:noProof/>
          <w:lang w:eastAsia="x-none"/>
        </w:rPr>
        <w:t>Potreba j</w:t>
      </w:r>
      <w:r w:rsidR="00ED4158" w:rsidRPr="00ED4158">
        <w:rPr>
          <w:rFonts w:ascii="Cambria" w:hAnsi="Cambria"/>
          <w:noProof/>
          <w:lang w:eastAsia="x-none"/>
        </w:rPr>
        <w:t xml:space="preserve">ačanja administrativnih kapaciteta </w:t>
      </w:r>
      <w:r w:rsidR="00F75761" w:rsidRPr="00F75761">
        <w:rPr>
          <w:rFonts w:ascii="Cambria" w:hAnsi="Cambria"/>
          <w:noProof/>
          <w:lang w:eastAsia="x-none"/>
        </w:rPr>
        <w:t xml:space="preserve">se odnosi i na </w:t>
      </w:r>
      <w:r w:rsidR="00F75761" w:rsidRPr="006861E1">
        <w:rPr>
          <w:rFonts w:ascii="Cambria" w:hAnsi="Cambria"/>
          <w:b/>
          <w:noProof/>
          <w:lang w:eastAsia="x-none"/>
        </w:rPr>
        <w:t>povećan</w:t>
      </w:r>
      <w:r w:rsidR="00315759">
        <w:rPr>
          <w:rFonts w:ascii="Cambria" w:hAnsi="Cambria"/>
          <w:b/>
          <w:noProof/>
          <w:lang w:eastAsia="x-none"/>
        </w:rPr>
        <w:t>j</w:t>
      </w:r>
      <w:r w:rsidR="00F75761" w:rsidRPr="006861E1">
        <w:rPr>
          <w:rFonts w:ascii="Cambria" w:hAnsi="Cambria"/>
          <w:b/>
          <w:noProof/>
          <w:lang w:eastAsia="x-none"/>
        </w:rPr>
        <w:t>e broja zaposlenih</w:t>
      </w:r>
      <w:r w:rsidR="00F75761" w:rsidRPr="00F75761">
        <w:rPr>
          <w:rFonts w:ascii="Cambria" w:hAnsi="Cambria"/>
          <w:noProof/>
          <w:lang w:eastAsia="x-none"/>
        </w:rPr>
        <w:t xml:space="preserve"> sa odgovarajućom stručnom spremom i posebnom obukom u pogledu sprovođenja relevantnih propisa, ali </w:t>
      </w:r>
      <w:r w:rsidR="00F75761" w:rsidRPr="00F75761">
        <w:rPr>
          <w:rFonts w:ascii="Cambria" w:hAnsi="Cambria"/>
          <w:noProof/>
          <w:lang w:eastAsia="x-none"/>
        </w:rPr>
        <w:lastRenderedPageBreak/>
        <w:t xml:space="preserve">i na </w:t>
      </w:r>
      <w:bookmarkStart w:id="136" w:name="_Hlk523077390"/>
      <w:r w:rsidR="00F75761" w:rsidRPr="006861E1">
        <w:rPr>
          <w:rFonts w:ascii="Cambria" w:hAnsi="Cambria"/>
          <w:b/>
          <w:noProof/>
          <w:lang w:eastAsia="x-none"/>
        </w:rPr>
        <w:t xml:space="preserve">poboljšanje </w:t>
      </w:r>
      <w:r w:rsidR="00E90C02" w:rsidRPr="006861E1">
        <w:rPr>
          <w:rFonts w:ascii="Cambria" w:hAnsi="Cambria"/>
          <w:b/>
          <w:noProof/>
          <w:lang w:eastAsia="x-none"/>
        </w:rPr>
        <w:t>IT alata</w:t>
      </w:r>
      <w:r w:rsidR="00E90C02" w:rsidRPr="00E90C02">
        <w:rPr>
          <w:rFonts w:ascii="Cambria" w:hAnsi="Cambria"/>
          <w:noProof/>
          <w:lang w:eastAsia="x-none"/>
        </w:rPr>
        <w:t xml:space="preserve"> </w:t>
      </w:r>
      <w:bookmarkEnd w:id="136"/>
      <w:r w:rsidR="00F75761" w:rsidRPr="00F75761">
        <w:rPr>
          <w:rFonts w:ascii="Cambria" w:hAnsi="Cambria"/>
          <w:noProof/>
          <w:lang w:eastAsia="x-none"/>
        </w:rPr>
        <w:t>prvenstveno kako bi se osigirala sigurna veza EU bazama i alatima koji su neophodn</w:t>
      </w:r>
      <w:r w:rsidR="00E90C02">
        <w:rPr>
          <w:rFonts w:ascii="Cambria" w:hAnsi="Cambria"/>
          <w:noProof/>
          <w:lang w:eastAsia="x-none"/>
        </w:rPr>
        <w:t>i</w:t>
      </w:r>
      <w:r w:rsidR="00F75761" w:rsidRPr="00F75761">
        <w:rPr>
          <w:rFonts w:ascii="Cambria" w:hAnsi="Cambria"/>
          <w:noProof/>
          <w:lang w:eastAsia="x-none"/>
        </w:rPr>
        <w:t xml:space="preserve"> za sprovođenje procedura u skladu sa REACH i BPR, kao i  međusobn</w:t>
      </w:r>
      <w:r w:rsidR="00315759">
        <w:rPr>
          <w:rFonts w:ascii="Cambria" w:hAnsi="Cambria"/>
          <w:noProof/>
          <w:lang w:eastAsia="x-none"/>
        </w:rPr>
        <w:t>a</w:t>
      </w:r>
      <w:r w:rsidR="00F75761" w:rsidRPr="00F75761">
        <w:rPr>
          <w:rFonts w:ascii="Cambria" w:hAnsi="Cambria"/>
          <w:noProof/>
          <w:lang w:eastAsia="x-none"/>
        </w:rPr>
        <w:t xml:space="preserve"> razmjen</w:t>
      </w:r>
      <w:r w:rsidR="00315759">
        <w:rPr>
          <w:rFonts w:ascii="Cambria" w:hAnsi="Cambria"/>
          <w:noProof/>
          <w:lang w:eastAsia="x-none"/>
        </w:rPr>
        <w:t xml:space="preserve">a </w:t>
      </w:r>
      <w:r w:rsidR="00F75761" w:rsidRPr="00F75761">
        <w:rPr>
          <w:rFonts w:ascii="Cambria" w:hAnsi="Cambria"/>
          <w:noProof/>
          <w:lang w:eastAsia="x-none"/>
        </w:rPr>
        <w:t xml:space="preserve">informacija. </w:t>
      </w:r>
      <w:r w:rsidR="00E85FEC">
        <w:rPr>
          <w:rFonts w:ascii="Cambria" w:hAnsi="Cambria"/>
          <w:noProof/>
          <w:lang w:eastAsia="x-none"/>
        </w:rPr>
        <w:t>Pored toga, p</w:t>
      </w:r>
      <w:r w:rsidR="00E85FEC" w:rsidRPr="00E85FEC">
        <w:rPr>
          <w:rFonts w:ascii="Cambria" w:hAnsi="Cambria"/>
          <w:noProof/>
          <w:lang w:eastAsia="x-none"/>
        </w:rPr>
        <w:t xml:space="preserve">odaci iz registra </w:t>
      </w:r>
      <w:r w:rsidR="00E85FEC">
        <w:rPr>
          <w:rFonts w:ascii="Cambria" w:hAnsi="Cambria"/>
          <w:noProof/>
          <w:lang w:eastAsia="x-none"/>
        </w:rPr>
        <w:t xml:space="preserve">hemikalija </w:t>
      </w:r>
      <w:r w:rsidR="00E85FEC" w:rsidRPr="00E85FEC">
        <w:rPr>
          <w:rFonts w:ascii="Cambria" w:hAnsi="Cambria"/>
          <w:noProof/>
          <w:lang w:eastAsia="x-none"/>
        </w:rPr>
        <w:t xml:space="preserve">još uvjek nisu dostupni u </w:t>
      </w:r>
      <w:r w:rsidR="00315759">
        <w:rPr>
          <w:rFonts w:ascii="Cambria" w:hAnsi="Cambria"/>
          <w:noProof/>
          <w:lang w:eastAsia="x-none"/>
        </w:rPr>
        <w:t xml:space="preserve">adekvatnoj </w:t>
      </w:r>
      <w:r w:rsidR="00E85FEC" w:rsidRPr="00E85FEC">
        <w:rPr>
          <w:rFonts w:ascii="Cambria" w:hAnsi="Cambria"/>
          <w:noProof/>
          <w:lang w:eastAsia="x-none"/>
        </w:rPr>
        <w:t xml:space="preserve">elektronskoj formi te je potrebna </w:t>
      </w:r>
      <w:r w:rsidR="00315759">
        <w:rPr>
          <w:rFonts w:ascii="Cambria" w:hAnsi="Cambria"/>
          <w:noProof/>
          <w:lang w:eastAsia="x-none"/>
        </w:rPr>
        <w:t>nabavka i instalacija</w:t>
      </w:r>
      <w:r w:rsidR="00E85FEC" w:rsidRPr="00E85FEC">
        <w:rPr>
          <w:rFonts w:ascii="Cambria" w:hAnsi="Cambria"/>
          <w:noProof/>
          <w:lang w:eastAsia="x-none"/>
        </w:rPr>
        <w:t xml:space="preserve"> IT alata kako bi se uspostavio </w:t>
      </w:r>
      <w:r w:rsidR="00E85FEC" w:rsidRPr="00E85FEC">
        <w:rPr>
          <w:rFonts w:ascii="Cambria" w:hAnsi="Cambria"/>
          <w:b/>
          <w:noProof/>
          <w:lang w:eastAsia="x-none"/>
        </w:rPr>
        <w:t>funkcionalan registar hemikalija</w:t>
      </w:r>
      <w:r w:rsidR="00E85FEC" w:rsidRPr="00E85FEC">
        <w:rPr>
          <w:rFonts w:ascii="Cambria" w:hAnsi="Cambria"/>
          <w:noProof/>
          <w:lang w:eastAsia="x-none"/>
        </w:rPr>
        <w:t xml:space="preserve"> </w:t>
      </w:r>
      <w:r w:rsidR="00E85FEC">
        <w:rPr>
          <w:rFonts w:ascii="Cambria" w:hAnsi="Cambria"/>
          <w:noProof/>
          <w:lang w:eastAsia="x-none"/>
        </w:rPr>
        <w:t xml:space="preserve">(uključujući </w:t>
      </w:r>
      <w:r w:rsidR="00315759">
        <w:rPr>
          <w:rFonts w:ascii="Cambria" w:hAnsi="Cambria"/>
          <w:noProof/>
          <w:lang w:eastAsia="x-none"/>
        </w:rPr>
        <w:t>i</w:t>
      </w:r>
      <w:r w:rsidR="00E85FEC">
        <w:rPr>
          <w:rFonts w:ascii="Cambria" w:hAnsi="Cambria"/>
          <w:noProof/>
          <w:lang w:eastAsia="x-none"/>
        </w:rPr>
        <w:t xml:space="preserve"> registar biocidnih proizvoda) </w:t>
      </w:r>
      <w:r w:rsidR="00E85FEC" w:rsidRPr="00E85FEC">
        <w:rPr>
          <w:rFonts w:ascii="Cambria" w:hAnsi="Cambria"/>
          <w:noProof/>
          <w:lang w:eastAsia="x-none"/>
        </w:rPr>
        <w:t xml:space="preserve">koji bi omogućio razmjenu informacija između relevantnih nadležnih organa. Takođe, poželjno je objavljivanje statistički obrađenih podataka iz Registra hemikalija preko Informacionog sistema zaštite životne sredine kako bi se relevantne informacije iz registra učinile dostupnim javnosti. Ovaj portal je u probnoj fazi i </w:t>
      </w:r>
      <w:r w:rsidR="00E85FEC">
        <w:rPr>
          <w:rFonts w:ascii="Cambria" w:hAnsi="Cambria"/>
          <w:noProof/>
          <w:lang w:eastAsia="x-none"/>
        </w:rPr>
        <w:t xml:space="preserve">sadrži </w:t>
      </w:r>
      <w:r w:rsidR="00E85FEC" w:rsidRPr="00E85FEC">
        <w:rPr>
          <w:rFonts w:ascii="Cambria" w:hAnsi="Cambria"/>
          <w:noProof/>
          <w:lang w:eastAsia="x-none"/>
        </w:rPr>
        <w:t>veoma mali broj informacija. Uspostavljanje operativnosti ovog sistema je od veoma velikog značaja za čitavu oblast zaštite životne sredine, te treba dalje raditi na njegovom razvoju.</w:t>
      </w:r>
    </w:p>
    <w:p w14:paraId="1E0A7CA3" w14:textId="77777777" w:rsidR="008A5EBA" w:rsidRDefault="00F75761" w:rsidP="005921EF">
      <w:pPr>
        <w:jc w:val="both"/>
        <w:rPr>
          <w:rFonts w:ascii="Cambria" w:hAnsi="Cambria"/>
          <w:noProof/>
          <w:lang w:eastAsia="x-none"/>
        </w:rPr>
      </w:pPr>
      <w:r w:rsidRPr="00F75761">
        <w:rPr>
          <w:rFonts w:ascii="Cambria" w:hAnsi="Cambria"/>
          <w:noProof/>
          <w:lang w:eastAsia="x-none"/>
        </w:rPr>
        <w:t xml:space="preserve">Takođe, treba dodatno raditi na </w:t>
      </w:r>
      <w:r w:rsidRPr="006861E1">
        <w:rPr>
          <w:rFonts w:ascii="Cambria" w:hAnsi="Cambria"/>
          <w:b/>
          <w:noProof/>
          <w:lang w:eastAsia="x-none"/>
        </w:rPr>
        <w:t>postizanju funkcionalnosti help deska</w:t>
      </w:r>
      <w:r w:rsidRPr="00F75761">
        <w:rPr>
          <w:rFonts w:ascii="Cambria" w:hAnsi="Cambria"/>
          <w:noProof/>
          <w:lang w:eastAsia="x-none"/>
        </w:rPr>
        <w:t xml:space="preserve"> koji je uspostavljen u maju 2018, kroz </w:t>
      </w:r>
      <w:r w:rsidR="00E90C02">
        <w:rPr>
          <w:rFonts w:ascii="Cambria" w:hAnsi="Cambria"/>
          <w:noProof/>
          <w:lang w:eastAsia="x-none"/>
        </w:rPr>
        <w:t xml:space="preserve">dodatno </w:t>
      </w:r>
      <w:r w:rsidRPr="00F75761">
        <w:rPr>
          <w:rFonts w:ascii="Cambria" w:hAnsi="Cambria"/>
          <w:noProof/>
          <w:lang w:eastAsia="x-none"/>
        </w:rPr>
        <w:t xml:space="preserve">obučavanje kadra </w:t>
      </w:r>
      <w:r w:rsidR="00E90C02">
        <w:rPr>
          <w:rFonts w:ascii="Cambria" w:hAnsi="Cambria"/>
          <w:noProof/>
          <w:lang w:eastAsia="x-none"/>
        </w:rPr>
        <w:t>u pogledu ovih specifičnih poslova</w:t>
      </w:r>
      <w:r w:rsidRPr="00F75761">
        <w:rPr>
          <w:rFonts w:ascii="Cambria" w:hAnsi="Cambria"/>
          <w:noProof/>
          <w:lang w:eastAsia="x-none"/>
        </w:rPr>
        <w:t xml:space="preserve">, </w:t>
      </w:r>
      <w:r w:rsidR="00626317">
        <w:rPr>
          <w:rFonts w:ascii="Cambria" w:hAnsi="Cambria"/>
          <w:noProof/>
          <w:lang w:eastAsia="x-none"/>
        </w:rPr>
        <w:t xml:space="preserve">ali i kroz uvođenje </w:t>
      </w:r>
      <w:r w:rsidRPr="00F75761">
        <w:rPr>
          <w:rFonts w:ascii="Cambria" w:hAnsi="Cambria"/>
          <w:noProof/>
          <w:lang w:eastAsia="x-none"/>
        </w:rPr>
        <w:t xml:space="preserve">web alata kako bi se što više informacija koje treba pružati u okviru help deska učinilo lako dostupnim </w:t>
      </w:r>
      <w:r w:rsidR="00626317">
        <w:rPr>
          <w:rFonts w:ascii="Cambria" w:hAnsi="Cambria"/>
          <w:noProof/>
          <w:lang w:eastAsia="x-none"/>
        </w:rPr>
        <w:t xml:space="preserve">bez potrebe za personalnom komunikacijom sa službenicima. </w:t>
      </w:r>
      <w:r w:rsidRPr="00F75761">
        <w:rPr>
          <w:rFonts w:ascii="Cambria" w:hAnsi="Cambria"/>
          <w:noProof/>
          <w:lang w:eastAsia="x-none"/>
        </w:rPr>
        <w:t xml:space="preserve"> </w:t>
      </w:r>
      <w:r w:rsidR="00E90C02">
        <w:rPr>
          <w:rFonts w:ascii="Cambria" w:hAnsi="Cambria"/>
          <w:noProof/>
          <w:lang w:eastAsia="x-none"/>
        </w:rPr>
        <w:t>Treba naglasiti da EU legislativa predviđa help desk za pružanje informacija u vezi REACH, CLP i BPR</w:t>
      </w:r>
      <w:r w:rsidR="00AD0051">
        <w:rPr>
          <w:rFonts w:ascii="Cambria" w:hAnsi="Cambria"/>
          <w:noProof/>
          <w:lang w:eastAsia="x-none"/>
        </w:rPr>
        <w:t>, te da osoblje angažovano na helpdesku treba da ima administrativna i stručna znanja iz svih ovih oblasti, kao i komunikacione veštine prilagođene radu na info pultu</w:t>
      </w:r>
      <w:r w:rsidR="00626317">
        <w:rPr>
          <w:rFonts w:ascii="Cambria" w:hAnsi="Cambria"/>
          <w:noProof/>
          <w:lang w:eastAsia="x-none"/>
        </w:rPr>
        <w:t>, koja se mogu dostići kroz odgovarajuće obuke i prenošenje iskustava od kolega koji u drugim državama rade na  ovakvim poslovima</w:t>
      </w:r>
      <w:r w:rsidR="00AD0051">
        <w:rPr>
          <w:rFonts w:ascii="Cambria" w:hAnsi="Cambria"/>
          <w:noProof/>
          <w:lang w:eastAsia="x-none"/>
        </w:rPr>
        <w:t xml:space="preserve">. </w:t>
      </w:r>
    </w:p>
    <w:p w14:paraId="536D457D" w14:textId="3A830C32" w:rsidR="00ED4158" w:rsidRDefault="00F75761" w:rsidP="005921EF">
      <w:pPr>
        <w:jc w:val="both"/>
        <w:rPr>
          <w:rFonts w:ascii="Cambria" w:hAnsi="Cambria"/>
          <w:noProof/>
          <w:lang w:eastAsia="x-none"/>
        </w:rPr>
      </w:pPr>
      <w:r w:rsidRPr="00F75761">
        <w:rPr>
          <w:rFonts w:ascii="Cambria" w:hAnsi="Cambria"/>
          <w:noProof/>
          <w:lang w:eastAsia="x-none"/>
        </w:rPr>
        <w:t>Kada se radi o poslovima koji zaht</w:t>
      </w:r>
      <w:r w:rsidR="00586C5E">
        <w:rPr>
          <w:rFonts w:ascii="Cambria" w:hAnsi="Cambria"/>
          <w:noProof/>
          <w:lang w:eastAsia="x-none"/>
        </w:rPr>
        <w:t>i</w:t>
      </w:r>
      <w:r w:rsidRPr="00F75761">
        <w:rPr>
          <w:rFonts w:ascii="Cambria" w:hAnsi="Cambria"/>
          <w:noProof/>
          <w:lang w:eastAsia="x-none"/>
        </w:rPr>
        <w:t xml:space="preserve">jevaju specifična stručna znanja u oblasti toksikologije, ekotoksikologije i drugih oblasti povezanih sa </w:t>
      </w:r>
      <w:r w:rsidR="00D8294C">
        <w:rPr>
          <w:rFonts w:ascii="Cambria" w:hAnsi="Cambria"/>
          <w:noProof/>
          <w:lang w:eastAsia="x-none"/>
        </w:rPr>
        <w:t xml:space="preserve">regulatornom </w:t>
      </w:r>
      <w:r w:rsidRPr="00F75761">
        <w:rPr>
          <w:rFonts w:ascii="Cambria" w:hAnsi="Cambria"/>
          <w:noProof/>
          <w:lang w:eastAsia="x-none"/>
        </w:rPr>
        <w:t xml:space="preserve">procjenom rizika, </w:t>
      </w:r>
      <w:r w:rsidRPr="00272DF2">
        <w:rPr>
          <w:rFonts w:ascii="Cambria" w:hAnsi="Cambria"/>
          <w:b/>
          <w:noProof/>
          <w:lang w:eastAsia="x-none"/>
        </w:rPr>
        <w:t>nadogradnja potrebnih kapaciteta se može ostvariti kroz saradnju sa naučnim i istraživačkim institucijama uz dodatn</w:t>
      </w:r>
      <w:r w:rsidR="00AD0051" w:rsidRPr="00272DF2">
        <w:rPr>
          <w:rFonts w:ascii="Cambria" w:hAnsi="Cambria"/>
          <w:b/>
          <w:noProof/>
          <w:lang w:eastAsia="x-none"/>
        </w:rPr>
        <w:t xml:space="preserve">e </w:t>
      </w:r>
      <w:r w:rsidRPr="00272DF2">
        <w:rPr>
          <w:rFonts w:ascii="Cambria" w:hAnsi="Cambria"/>
          <w:b/>
          <w:noProof/>
          <w:lang w:eastAsia="x-none"/>
        </w:rPr>
        <w:t>obuke eksternih stručnjaka u oblasti regulatorne procjene rizika</w:t>
      </w:r>
      <w:r w:rsidRPr="00F75761">
        <w:rPr>
          <w:rFonts w:ascii="Cambria" w:hAnsi="Cambria"/>
          <w:noProof/>
          <w:lang w:eastAsia="x-none"/>
        </w:rPr>
        <w:t>. S tim u vezi, treba imati u vidu strateško opredeljenje Crne Gore za pristupanje EU, te da EU propisi u oblasti hemikalija i biocidnih proizvoda predstavljaju u stručnom pogledu možda najzaht</w:t>
      </w:r>
      <w:r w:rsidR="00586C5E">
        <w:rPr>
          <w:rFonts w:ascii="Cambria" w:hAnsi="Cambria"/>
          <w:noProof/>
          <w:lang w:eastAsia="x-none"/>
        </w:rPr>
        <w:t>j</w:t>
      </w:r>
      <w:r w:rsidRPr="00F75761">
        <w:rPr>
          <w:rFonts w:ascii="Cambria" w:hAnsi="Cambria"/>
          <w:noProof/>
          <w:lang w:eastAsia="x-none"/>
        </w:rPr>
        <w:t>evnije propise EU i da se od buduće države članice EU zaht</w:t>
      </w:r>
      <w:r w:rsidR="00586C5E">
        <w:rPr>
          <w:rFonts w:ascii="Cambria" w:hAnsi="Cambria"/>
          <w:noProof/>
          <w:lang w:eastAsia="x-none"/>
        </w:rPr>
        <w:t>j</w:t>
      </w:r>
      <w:r w:rsidRPr="00F75761">
        <w:rPr>
          <w:rFonts w:ascii="Cambria" w:hAnsi="Cambria"/>
          <w:noProof/>
          <w:lang w:eastAsia="x-none"/>
        </w:rPr>
        <w:t>eva da  obezb</w:t>
      </w:r>
      <w:r w:rsidR="00586C5E">
        <w:rPr>
          <w:rFonts w:ascii="Cambria" w:hAnsi="Cambria"/>
          <w:noProof/>
          <w:lang w:eastAsia="x-none"/>
        </w:rPr>
        <w:t>i</w:t>
      </w:r>
      <w:r w:rsidRPr="00F75761">
        <w:rPr>
          <w:rFonts w:ascii="Cambria" w:hAnsi="Cambria"/>
          <w:noProof/>
          <w:lang w:eastAsia="x-none"/>
        </w:rPr>
        <w:t>jedi kadrove koji će biti osposobljeni da efikasno sprovode ove propise, uključujući i regulatornu procjenu rizika.</w:t>
      </w:r>
    </w:p>
    <w:p w14:paraId="4D2A79C4" w14:textId="48605DB6" w:rsidR="00ED4158" w:rsidRDefault="00ED4158" w:rsidP="005921EF">
      <w:pPr>
        <w:jc w:val="both"/>
        <w:rPr>
          <w:rFonts w:ascii="Cambria" w:hAnsi="Cambria"/>
          <w:noProof/>
          <w:lang w:eastAsia="x-none"/>
        </w:rPr>
      </w:pPr>
      <w:r>
        <w:rPr>
          <w:rFonts w:ascii="Cambria" w:hAnsi="Cambria"/>
          <w:noProof/>
          <w:lang w:eastAsia="x-none"/>
        </w:rPr>
        <w:t>U</w:t>
      </w:r>
      <w:r w:rsidR="00F75761" w:rsidRPr="00F75761">
        <w:rPr>
          <w:rFonts w:ascii="Cambria" w:hAnsi="Cambria"/>
          <w:noProof/>
          <w:lang w:eastAsia="x-none"/>
        </w:rPr>
        <w:t xml:space="preserve"> predpristupnom periodu treba iskoristiti tehničku pomoć</w:t>
      </w:r>
      <w:r>
        <w:rPr>
          <w:rFonts w:ascii="Cambria" w:hAnsi="Cambria"/>
          <w:noProof/>
          <w:lang w:eastAsia="x-none"/>
        </w:rPr>
        <w:t xml:space="preserve"> raspoloživu iz EU fondova</w:t>
      </w:r>
      <w:r w:rsidR="00F75761" w:rsidRPr="00F75761">
        <w:rPr>
          <w:rFonts w:ascii="Cambria" w:hAnsi="Cambria"/>
          <w:noProof/>
          <w:lang w:eastAsia="x-none"/>
        </w:rPr>
        <w:t xml:space="preserve"> koja je na raspolaganju zemljama kandidatima za članstvo u EU i </w:t>
      </w:r>
      <w:r w:rsidR="00F75761" w:rsidRPr="006861E1">
        <w:rPr>
          <w:rFonts w:ascii="Cambria" w:hAnsi="Cambria"/>
          <w:b/>
          <w:noProof/>
          <w:lang w:eastAsia="x-none"/>
        </w:rPr>
        <w:t>obučiti administrativno osoblje i eksterne stručnjake za obavljanje poslova u oblasti upravljanja hemikalijama u punom obimu</w:t>
      </w:r>
      <w:r w:rsidR="006861E1">
        <w:rPr>
          <w:rFonts w:ascii="Cambria" w:hAnsi="Cambria"/>
          <w:b/>
          <w:noProof/>
          <w:lang w:eastAsia="x-none"/>
        </w:rPr>
        <w:t>,</w:t>
      </w:r>
      <w:r w:rsidR="00F75761" w:rsidRPr="00F75761">
        <w:rPr>
          <w:rFonts w:ascii="Cambria" w:hAnsi="Cambria"/>
          <w:noProof/>
          <w:lang w:eastAsia="x-none"/>
        </w:rPr>
        <w:t xml:space="preserve"> onakvom kakav će biti neophodan kada Crna Gora postane članica i dođe do pune primjene EU propisa u ovoj oblasti. </w:t>
      </w:r>
      <w:r w:rsidR="00DD6737">
        <w:rPr>
          <w:rFonts w:ascii="Cambria" w:hAnsi="Cambria"/>
          <w:noProof/>
          <w:lang w:eastAsia="x-none"/>
        </w:rPr>
        <w:t>S</w:t>
      </w:r>
      <w:r w:rsidR="00F75761" w:rsidRPr="00F75761">
        <w:rPr>
          <w:rFonts w:ascii="Cambria" w:hAnsi="Cambria"/>
          <w:noProof/>
          <w:lang w:eastAsia="x-none"/>
        </w:rPr>
        <w:t xml:space="preserve"> obzirom na kontinuirano prilago</w:t>
      </w:r>
      <w:r w:rsidR="00315759">
        <w:rPr>
          <w:rFonts w:ascii="Cambria" w:hAnsi="Cambria"/>
          <w:noProof/>
          <w:lang w:eastAsia="x-none"/>
        </w:rPr>
        <w:t>đ</w:t>
      </w:r>
      <w:r w:rsidR="00F75761" w:rsidRPr="00F75761">
        <w:rPr>
          <w:rFonts w:ascii="Cambria" w:hAnsi="Cambria"/>
          <w:noProof/>
          <w:lang w:eastAsia="x-none"/>
        </w:rPr>
        <w:t xml:space="preserve">avanje EU propisa tehničkom napretku biće potrebna </w:t>
      </w:r>
      <w:r w:rsidR="00F75761" w:rsidRPr="00272DF2">
        <w:rPr>
          <w:rFonts w:ascii="Cambria" w:hAnsi="Cambria"/>
          <w:noProof/>
          <w:lang w:eastAsia="x-none"/>
        </w:rPr>
        <w:t>dalja harmonizacija domaćeg zakonodavstva</w:t>
      </w:r>
      <w:r w:rsidR="00F75761" w:rsidRPr="00F75761">
        <w:rPr>
          <w:rFonts w:ascii="Cambria" w:hAnsi="Cambria"/>
          <w:noProof/>
          <w:lang w:eastAsia="x-none"/>
        </w:rPr>
        <w:t xml:space="preserve">, kao i </w:t>
      </w:r>
      <w:bookmarkStart w:id="137" w:name="_Hlk527316691"/>
      <w:r w:rsidR="00F75761" w:rsidRPr="006861E1">
        <w:rPr>
          <w:rFonts w:ascii="Cambria" w:hAnsi="Cambria"/>
          <w:b/>
          <w:noProof/>
          <w:lang w:eastAsia="x-none"/>
        </w:rPr>
        <w:t>obezb</w:t>
      </w:r>
      <w:r w:rsidR="00C65B0A">
        <w:rPr>
          <w:rFonts w:ascii="Cambria" w:hAnsi="Cambria"/>
          <w:b/>
          <w:noProof/>
          <w:lang w:eastAsia="x-none"/>
        </w:rPr>
        <w:t>ij</w:t>
      </w:r>
      <w:r w:rsidR="00F75761" w:rsidRPr="006861E1">
        <w:rPr>
          <w:rFonts w:ascii="Cambria" w:hAnsi="Cambria"/>
          <w:b/>
          <w:noProof/>
          <w:lang w:eastAsia="x-none"/>
        </w:rPr>
        <w:t xml:space="preserve">editi učešće </w:t>
      </w:r>
      <w:r w:rsidR="006861E1" w:rsidRPr="006861E1">
        <w:rPr>
          <w:rFonts w:ascii="Cambria" w:hAnsi="Cambria"/>
          <w:b/>
          <w:noProof/>
          <w:lang w:eastAsia="x-none"/>
        </w:rPr>
        <w:t>p</w:t>
      </w:r>
      <w:r w:rsidR="00F75761" w:rsidRPr="006861E1">
        <w:rPr>
          <w:rFonts w:ascii="Cambria" w:hAnsi="Cambria"/>
          <w:b/>
          <w:noProof/>
          <w:lang w:eastAsia="x-none"/>
        </w:rPr>
        <w:t xml:space="preserve">redstavnika Crne Gore </w:t>
      </w:r>
      <w:r w:rsidR="00B529F1" w:rsidRPr="00B529F1">
        <w:rPr>
          <w:rFonts w:ascii="Cambria" w:hAnsi="Cambria"/>
          <w:b/>
          <w:noProof/>
          <w:lang w:eastAsia="x-none"/>
        </w:rPr>
        <w:t xml:space="preserve">u svojstvu posmatrača </w:t>
      </w:r>
      <w:r w:rsidR="00F75761" w:rsidRPr="006861E1">
        <w:rPr>
          <w:rFonts w:ascii="Cambria" w:hAnsi="Cambria"/>
          <w:b/>
          <w:noProof/>
          <w:lang w:eastAsia="x-none"/>
        </w:rPr>
        <w:t xml:space="preserve">u radu </w:t>
      </w:r>
      <w:bookmarkEnd w:id="137"/>
      <w:r w:rsidR="00B529F1">
        <w:rPr>
          <w:rFonts w:ascii="Cambria" w:hAnsi="Cambria"/>
          <w:b/>
          <w:noProof/>
          <w:lang w:eastAsia="x-none"/>
        </w:rPr>
        <w:t>tjela ECHA</w:t>
      </w:r>
      <w:r w:rsidR="00F75761" w:rsidRPr="00F75761">
        <w:rPr>
          <w:rFonts w:ascii="Cambria" w:hAnsi="Cambria"/>
          <w:noProof/>
          <w:lang w:eastAsia="x-none"/>
        </w:rPr>
        <w:t xml:space="preserve"> </w:t>
      </w:r>
      <w:r w:rsidR="00B529F1">
        <w:rPr>
          <w:rFonts w:ascii="Cambria" w:hAnsi="Cambria"/>
          <w:noProof/>
          <w:lang w:eastAsia="x-none"/>
        </w:rPr>
        <w:t>(</w:t>
      </w:r>
      <w:r w:rsidR="00F75761" w:rsidRPr="00F75761">
        <w:rPr>
          <w:rFonts w:ascii="Cambria" w:hAnsi="Cambria"/>
          <w:noProof/>
          <w:lang w:eastAsia="x-none"/>
        </w:rPr>
        <w:t>poput CARACAL</w:t>
      </w:r>
      <w:r w:rsidR="00F75761" w:rsidRPr="00F75761">
        <w:rPr>
          <w:rFonts w:ascii="Cambria" w:hAnsi="Cambria"/>
          <w:noProof/>
          <w:vertAlign w:val="superscript"/>
          <w:lang w:eastAsia="x-none"/>
        </w:rPr>
        <w:footnoteReference w:id="62"/>
      </w:r>
      <w:r w:rsidR="00272DF2">
        <w:rPr>
          <w:rFonts w:ascii="Cambria" w:hAnsi="Cambria"/>
          <w:noProof/>
          <w:lang w:eastAsia="x-none"/>
        </w:rPr>
        <w:t xml:space="preserve"> i</w:t>
      </w:r>
      <w:r w:rsidR="00F75761" w:rsidRPr="00F75761">
        <w:rPr>
          <w:rFonts w:ascii="Cambria" w:hAnsi="Cambria"/>
          <w:noProof/>
          <w:lang w:eastAsia="x-none"/>
        </w:rPr>
        <w:t xml:space="preserve"> HelpNet</w:t>
      </w:r>
      <w:r w:rsidR="00F75761" w:rsidRPr="00F75761">
        <w:rPr>
          <w:rFonts w:ascii="Cambria" w:hAnsi="Cambria"/>
          <w:noProof/>
          <w:vertAlign w:val="superscript"/>
          <w:lang w:eastAsia="x-none"/>
        </w:rPr>
        <w:footnoteReference w:id="63"/>
      </w:r>
      <w:r w:rsidR="00F75761" w:rsidRPr="00F75761">
        <w:rPr>
          <w:rFonts w:ascii="Cambria" w:hAnsi="Cambria"/>
          <w:noProof/>
          <w:lang w:eastAsia="x-none"/>
        </w:rPr>
        <w:t>) kako bi se pravovremeno dobile adekvatne informacije kako o izm</w:t>
      </w:r>
      <w:r w:rsidR="00586C5E">
        <w:rPr>
          <w:rFonts w:ascii="Cambria" w:hAnsi="Cambria"/>
          <w:noProof/>
          <w:lang w:eastAsia="x-none"/>
        </w:rPr>
        <w:t>j</w:t>
      </w:r>
      <w:r w:rsidR="00F75761" w:rsidRPr="00F75761">
        <w:rPr>
          <w:rFonts w:ascii="Cambria" w:hAnsi="Cambria"/>
          <w:noProof/>
          <w:lang w:eastAsia="x-none"/>
        </w:rPr>
        <w:t>enama EU legislative</w:t>
      </w:r>
      <w:r w:rsidR="00AF0B42">
        <w:rPr>
          <w:rFonts w:ascii="Cambria" w:hAnsi="Cambria"/>
          <w:noProof/>
          <w:lang w:eastAsia="x-none"/>
        </w:rPr>
        <w:t>,</w:t>
      </w:r>
      <w:r w:rsidR="00F75761" w:rsidRPr="00F75761">
        <w:rPr>
          <w:rFonts w:ascii="Cambria" w:hAnsi="Cambria"/>
          <w:noProof/>
          <w:lang w:eastAsia="x-none"/>
        </w:rPr>
        <w:t xml:space="preserve"> tako i mjerama za  implementaciju</w:t>
      </w:r>
      <w:r w:rsidR="00AD0051">
        <w:rPr>
          <w:rFonts w:ascii="Cambria" w:hAnsi="Cambria"/>
          <w:noProof/>
          <w:lang w:eastAsia="x-none"/>
        </w:rPr>
        <w:t xml:space="preserve">, ali i uspostavila komunikacija i razmjena iskustava sa predstavnicima ECHA i zemalja članica u ovim tijelima. </w:t>
      </w:r>
    </w:p>
    <w:p w14:paraId="05B57FA2" w14:textId="467A8A27" w:rsidR="00272DF2" w:rsidRPr="00272DF2" w:rsidRDefault="00272DF2" w:rsidP="00272DF2">
      <w:pPr>
        <w:pBdr>
          <w:top w:val="single" w:sz="4" w:space="1" w:color="auto"/>
          <w:left w:val="single" w:sz="4" w:space="4" w:color="auto"/>
          <w:bottom w:val="single" w:sz="4" w:space="1" w:color="auto"/>
          <w:right w:val="single" w:sz="4" w:space="4" w:color="auto"/>
        </w:pBdr>
        <w:jc w:val="both"/>
        <w:rPr>
          <w:rFonts w:ascii="Cambria" w:hAnsi="Cambria"/>
          <w:noProof/>
          <w:lang w:val="sr-Latn-RS" w:eastAsia="x-none"/>
        </w:rPr>
      </w:pPr>
      <w:r w:rsidRPr="00272DF2">
        <w:rPr>
          <w:rFonts w:ascii="Cambria" w:hAnsi="Cambria"/>
          <w:b/>
          <w:bCs/>
          <w:noProof/>
          <w:lang w:val="sr-Latn-CS" w:eastAsia="x-none"/>
        </w:rPr>
        <w:t xml:space="preserve">Prioritetni </w:t>
      </w:r>
      <w:r w:rsidRPr="00272DF2">
        <w:rPr>
          <w:rFonts w:ascii="Cambria" w:hAnsi="Cambria"/>
          <w:b/>
          <w:noProof/>
          <w:lang w:val="sr-Latn-RS" w:eastAsia="x-none"/>
        </w:rPr>
        <w:t xml:space="preserve">izazov </w:t>
      </w:r>
      <w:r w:rsidRPr="00272DF2">
        <w:rPr>
          <w:rFonts w:ascii="Cambria" w:hAnsi="Cambria"/>
          <w:noProof/>
          <w:lang w:val="sr-Latn-RS" w:eastAsia="x-none"/>
        </w:rPr>
        <w:t xml:space="preserve">u ovom segmentu analize je </w:t>
      </w:r>
      <w:r w:rsidRPr="00272DF2">
        <w:rPr>
          <w:rFonts w:ascii="Cambria" w:hAnsi="Cambria"/>
          <w:b/>
          <w:noProof/>
          <w:lang w:val="sr-Latn-RS" w:eastAsia="x-none"/>
        </w:rPr>
        <w:t xml:space="preserve">dalje </w:t>
      </w:r>
      <w:r w:rsidRPr="00A515D5">
        <w:rPr>
          <w:rFonts w:ascii="Cambria" w:hAnsi="Cambria"/>
          <w:b/>
          <w:noProof/>
          <w:lang w:val="sr-Latn-RS" w:eastAsia="x-none"/>
        </w:rPr>
        <w:t>unaprijeđenje implementacije i jačanje institucinalnih i adminis</w:t>
      </w:r>
      <w:r w:rsidR="00E85FEC" w:rsidRPr="00A515D5">
        <w:rPr>
          <w:rFonts w:ascii="Cambria" w:hAnsi="Cambria"/>
          <w:b/>
          <w:noProof/>
          <w:lang w:val="sr-Latn-RS" w:eastAsia="x-none"/>
        </w:rPr>
        <w:t>t</w:t>
      </w:r>
      <w:r w:rsidRPr="00A515D5">
        <w:rPr>
          <w:rFonts w:ascii="Cambria" w:hAnsi="Cambria"/>
          <w:b/>
          <w:noProof/>
          <w:lang w:val="sr-Latn-RS" w:eastAsia="x-none"/>
        </w:rPr>
        <w:t>rativnih kapaciteta</w:t>
      </w:r>
      <w:r w:rsidR="00B529F1">
        <w:rPr>
          <w:rFonts w:ascii="Cambria" w:hAnsi="Cambria"/>
          <w:noProof/>
          <w:lang w:val="sr-Latn-RS" w:eastAsia="x-none"/>
        </w:rPr>
        <w:t xml:space="preserve"> radi  ostvarivanja uslova za </w:t>
      </w:r>
      <w:r w:rsidR="00B529F1" w:rsidRPr="00B529F1">
        <w:rPr>
          <w:rFonts w:ascii="Cambria" w:hAnsi="Cambria"/>
          <w:noProof/>
          <w:lang w:eastAsia="x-none"/>
        </w:rPr>
        <w:t xml:space="preserve">za obavljanje poslova u </w:t>
      </w:r>
      <w:r w:rsidR="00B529F1" w:rsidRPr="00B529F1">
        <w:rPr>
          <w:rFonts w:ascii="Cambria" w:hAnsi="Cambria"/>
          <w:noProof/>
          <w:lang w:eastAsia="x-none"/>
        </w:rPr>
        <w:lastRenderedPageBreak/>
        <w:t>oblasti upravljanja hemikalijama u punom obimu</w:t>
      </w:r>
      <w:r w:rsidR="00B529F1">
        <w:rPr>
          <w:rFonts w:ascii="Cambria" w:hAnsi="Cambria"/>
          <w:noProof/>
          <w:lang w:eastAsia="x-none"/>
        </w:rPr>
        <w:t xml:space="preserve">, </w:t>
      </w:r>
      <w:r w:rsidR="00735DD8">
        <w:rPr>
          <w:rFonts w:ascii="Cambria" w:hAnsi="Cambria"/>
          <w:noProof/>
          <w:lang w:eastAsia="x-none"/>
        </w:rPr>
        <w:t xml:space="preserve">kako </w:t>
      </w:r>
      <w:r w:rsidR="00B529F1">
        <w:rPr>
          <w:rFonts w:ascii="Cambria" w:hAnsi="Cambria"/>
          <w:noProof/>
          <w:lang w:eastAsia="x-none"/>
        </w:rPr>
        <w:t xml:space="preserve">u vezi sa </w:t>
      </w:r>
      <w:r w:rsidR="00735DD8">
        <w:rPr>
          <w:rFonts w:ascii="Cambria" w:hAnsi="Cambria"/>
          <w:noProof/>
          <w:lang w:eastAsia="x-none"/>
        </w:rPr>
        <w:t xml:space="preserve">poslovima u vezi sa procedurama pruzetim kroz nacionalno zakonodavstvo, tako i u pogledu obaveze zemlje kandidata da obezbjedi adekvatne kadrove za izvršavanje poslova koje će preuzeti kada postane punopravna članica. </w:t>
      </w:r>
      <w:r w:rsidR="006A4E27">
        <w:rPr>
          <w:rFonts w:ascii="Cambria" w:hAnsi="Cambria"/>
          <w:noProof/>
          <w:lang w:val="sr-Latn-RS" w:eastAsia="x-none"/>
        </w:rPr>
        <w:t xml:space="preserve"> </w:t>
      </w:r>
      <w:r w:rsidR="00B529F1" w:rsidRPr="00B529F1">
        <w:rPr>
          <w:rFonts w:ascii="Cambria" w:hAnsi="Cambria"/>
          <w:noProof/>
          <w:lang w:eastAsia="x-none"/>
        </w:rPr>
        <w:t>Stoga, deo aktivnosti u okviru ove strategije treba da bude usmeren na</w:t>
      </w:r>
      <w:r w:rsidR="00B529F1">
        <w:rPr>
          <w:rFonts w:ascii="Cambria" w:hAnsi="Cambria"/>
          <w:noProof/>
          <w:lang w:eastAsia="x-none"/>
        </w:rPr>
        <w:t xml:space="preserve"> </w:t>
      </w:r>
      <w:r w:rsidR="00B529F1" w:rsidRPr="00A515D5">
        <w:rPr>
          <w:rFonts w:ascii="Cambria" w:hAnsi="Cambria"/>
          <w:b/>
          <w:noProof/>
          <w:lang w:val="sr-Latn-RS" w:eastAsia="x-none"/>
        </w:rPr>
        <w:t>povećanje broja zaposlenih i poboljšanj</w:t>
      </w:r>
      <w:r w:rsidR="00735DD8" w:rsidRPr="00A515D5">
        <w:rPr>
          <w:rFonts w:ascii="Cambria" w:hAnsi="Cambria"/>
          <w:b/>
          <w:noProof/>
          <w:lang w:val="sr-Latn-RS" w:eastAsia="x-none"/>
        </w:rPr>
        <w:t>e</w:t>
      </w:r>
      <w:r w:rsidR="00B529F1" w:rsidRPr="00A515D5">
        <w:rPr>
          <w:rFonts w:ascii="Cambria" w:hAnsi="Cambria"/>
          <w:b/>
          <w:noProof/>
          <w:lang w:val="sr-Latn-RS" w:eastAsia="x-none"/>
        </w:rPr>
        <w:t xml:space="preserve"> IT alata, uspostavljanje registra hemikalija (uključujući i registar biocidnih proizvoda) u elektronskoj formi, </w:t>
      </w:r>
      <w:r w:rsidR="00B529F1" w:rsidRPr="00A515D5">
        <w:rPr>
          <w:rFonts w:ascii="Cambria" w:hAnsi="Cambria"/>
          <w:b/>
          <w:noProof/>
          <w:lang w:eastAsia="x-none"/>
        </w:rPr>
        <w:t>postizanje funkcionalnosti help deska, obučavanje administrativnog osoblja i eksternih stručnjaka, ali i obezbijeđivanje učešć</w:t>
      </w:r>
      <w:r w:rsidR="00315759">
        <w:rPr>
          <w:rFonts w:ascii="Cambria" w:hAnsi="Cambria"/>
          <w:b/>
          <w:noProof/>
          <w:lang w:eastAsia="x-none"/>
        </w:rPr>
        <w:t>a</w:t>
      </w:r>
      <w:r w:rsidR="00B529F1" w:rsidRPr="00A515D5">
        <w:rPr>
          <w:rFonts w:ascii="Cambria" w:hAnsi="Cambria"/>
          <w:b/>
          <w:noProof/>
          <w:lang w:eastAsia="x-none"/>
        </w:rPr>
        <w:t xml:space="preserve"> predstavnika Crne Gore u tehničkom radu tjela ECHA, poput CARACAL i HelpNet</w:t>
      </w:r>
      <w:r w:rsidR="00B529F1">
        <w:rPr>
          <w:rFonts w:ascii="Cambria" w:hAnsi="Cambria"/>
          <w:noProof/>
          <w:lang w:eastAsia="x-none"/>
        </w:rPr>
        <w:t>.</w:t>
      </w:r>
    </w:p>
    <w:p w14:paraId="15FAE32B" w14:textId="77777777" w:rsidR="0085708F" w:rsidRPr="00BE7824" w:rsidRDefault="0085708F" w:rsidP="00557C13">
      <w:pPr>
        <w:pStyle w:val="ListParagraph"/>
        <w:numPr>
          <w:ilvl w:val="0"/>
          <w:numId w:val="60"/>
        </w:numPr>
        <w:jc w:val="both"/>
        <w:rPr>
          <w:rFonts w:ascii="Cambria" w:hAnsi="Cambria"/>
          <w:b/>
          <w:noProof/>
          <w:lang w:eastAsia="x-none"/>
        </w:rPr>
      </w:pPr>
      <w:r w:rsidRPr="00BE7824">
        <w:rPr>
          <w:rFonts w:ascii="Cambria" w:hAnsi="Cambria"/>
          <w:b/>
          <w:noProof/>
          <w:lang w:eastAsia="x-none"/>
        </w:rPr>
        <w:t xml:space="preserve">Laboratorijska infrastruktura za ispitivanja u oblasti upravljanja hemikalijama </w:t>
      </w:r>
    </w:p>
    <w:p w14:paraId="54E9AA8F" w14:textId="4EF727F0" w:rsidR="0085708F" w:rsidRDefault="00315759" w:rsidP="0085708F">
      <w:pPr>
        <w:jc w:val="both"/>
        <w:rPr>
          <w:rFonts w:ascii="Cambria" w:hAnsi="Cambria"/>
          <w:noProof/>
          <w:lang w:eastAsia="x-none"/>
        </w:rPr>
      </w:pPr>
      <w:r>
        <w:rPr>
          <w:rFonts w:ascii="Cambria" w:hAnsi="Cambria"/>
          <w:noProof/>
          <w:lang w:eastAsia="x-none"/>
        </w:rPr>
        <w:t>M</w:t>
      </w:r>
      <w:r w:rsidRPr="001A3E89">
        <w:rPr>
          <w:rFonts w:ascii="Cambria" w:hAnsi="Cambria"/>
          <w:noProof/>
          <w:lang w:eastAsia="x-none"/>
        </w:rPr>
        <w:t>etod</w:t>
      </w:r>
      <w:r>
        <w:rPr>
          <w:rFonts w:ascii="Cambria" w:hAnsi="Cambria"/>
          <w:noProof/>
          <w:lang w:eastAsia="x-none"/>
        </w:rPr>
        <w:t>e</w:t>
      </w:r>
      <w:r w:rsidRPr="001A3E89">
        <w:rPr>
          <w:rFonts w:ascii="Cambria" w:hAnsi="Cambria"/>
          <w:noProof/>
          <w:lang w:eastAsia="x-none"/>
        </w:rPr>
        <w:t xml:space="preserve"> </w:t>
      </w:r>
      <w:r>
        <w:rPr>
          <w:rFonts w:ascii="Cambria" w:hAnsi="Cambria"/>
          <w:noProof/>
          <w:lang w:eastAsia="x-none"/>
        </w:rPr>
        <w:t>i</w:t>
      </w:r>
      <w:r w:rsidR="0085708F" w:rsidRPr="001A3E89">
        <w:rPr>
          <w:rFonts w:ascii="Cambria" w:hAnsi="Cambria"/>
          <w:noProof/>
          <w:lang w:eastAsia="x-none"/>
        </w:rPr>
        <w:t>spitivanja hemikalija preuzet</w:t>
      </w:r>
      <w:r>
        <w:rPr>
          <w:rFonts w:ascii="Cambria" w:hAnsi="Cambria"/>
          <w:noProof/>
          <w:lang w:eastAsia="x-none"/>
        </w:rPr>
        <w:t>ete su</w:t>
      </w:r>
      <w:r w:rsidR="0085708F" w:rsidRPr="001A3E89">
        <w:rPr>
          <w:rFonts w:ascii="Cambria" w:hAnsi="Cambria"/>
          <w:noProof/>
          <w:lang w:eastAsia="x-none"/>
        </w:rPr>
        <w:t xml:space="preserve"> u Pravilnik o metodama ispitivanja opasnih svojstava hemikalije ("Sl. list CG", br. 68/17) iz EU Uredbe 440/2008.</w:t>
      </w:r>
    </w:p>
    <w:p w14:paraId="234103CC" w14:textId="52BC4599" w:rsidR="0085708F" w:rsidRDefault="0085708F" w:rsidP="0085708F">
      <w:pPr>
        <w:jc w:val="both"/>
        <w:rPr>
          <w:rFonts w:ascii="Cambria" w:hAnsi="Cambria"/>
          <w:noProof/>
          <w:lang w:eastAsia="x-none"/>
        </w:rPr>
      </w:pPr>
      <w:r w:rsidRPr="00BE7824">
        <w:rPr>
          <w:rFonts w:ascii="Cambria" w:hAnsi="Cambria"/>
          <w:b/>
          <w:noProof/>
          <w:lang w:eastAsia="x-none"/>
        </w:rPr>
        <w:t>Laboratorije u Crnoj Gori imaju kapacitete i opremu za fzičkohemijska ispitivanja</w:t>
      </w:r>
      <w:r>
        <w:rPr>
          <w:rFonts w:ascii="Cambria" w:hAnsi="Cambria"/>
          <w:noProof/>
          <w:lang w:eastAsia="x-none"/>
        </w:rPr>
        <w:t>, kao i određene ak</w:t>
      </w:r>
      <w:r w:rsidR="00315759">
        <w:rPr>
          <w:rFonts w:ascii="Cambria" w:hAnsi="Cambria"/>
          <w:noProof/>
          <w:lang w:eastAsia="x-none"/>
        </w:rPr>
        <w:t>r</w:t>
      </w:r>
      <w:r>
        <w:rPr>
          <w:rFonts w:ascii="Cambria" w:hAnsi="Cambria"/>
          <w:noProof/>
          <w:lang w:eastAsia="x-none"/>
        </w:rPr>
        <w:t>editacije</w:t>
      </w:r>
      <w:r w:rsidR="00735DD8">
        <w:rPr>
          <w:rFonts w:ascii="Cambria" w:hAnsi="Cambria"/>
          <w:noProof/>
          <w:lang w:eastAsia="x-none"/>
        </w:rPr>
        <w:t xml:space="preserve"> koje </w:t>
      </w:r>
      <w:r w:rsidR="00A515D5">
        <w:rPr>
          <w:rFonts w:ascii="Cambria" w:hAnsi="Cambria"/>
          <w:noProof/>
          <w:lang w:eastAsia="x-none"/>
        </w:rPr>
        <w:t xml:space="preserve">relativno lako </w:t>
      </w:r>
      <w:r w:rsidR="00735DD8">
        <w:rPr>
          <w:rFonts w:ascii="Cambria" w:hAnsi="Cambria"/>
          <w:noProof/>
          <w:lang w:eastAsia="x-none"/>
        </w:rPr>
        <w:t xml:space="preserve">mogu biti upotpunjene </w:t>
      </w:r>
      <w:r w:rsidR="00A515D5">
        <w:rPr>
          <w:rFonts w:ascii="Cambria" w:hAnsi="Cambria"/>
          <w:noProof/>
          <w:lang w:eastAsia="x-none"/>
        </w:rPr>
        <w:t>i drugim standardima zahtevanim u pogledu fizičkohemijskih ispitivanja iz gore pomenutog pravilnika</w:t>
      </w:r>
      <w:r w:rsidRPr="001A3E89">
        <w:rPr>
          <w:rFonts w:ascii="Cambria" w:hAnsi="Cambria"/>
          <w:noProof/>
          <w:lang w:eastAsia="x-none"/>
        </w:rPr>
        <w:t>.</w:t>
      </w:r>
      <w:r>
        <w:rPr>
          <w:rFonts w:ascii="Cambria" w:hAnsi="Cambria"/>
          <w:noProof/>
          <w:lang w:eastAsia="x-none"/>
        </w:rPr>
        <w:t xml:space="preserve"> To se prvenstveno odnosi na CETI i Institut za javno zdravlje, mada ima i drugih laboratorija koje rade pojedina fizičkohemijska ispitivanja.</w:t>
      </w:r>
    </w:p>
    <w:p w14:paraId="103B6667" w14:textId="19D1EB0E" w:rsidR="0085708F" w:rsidRDefault="0085708F" w:rsidP="0085708F">
      <w:pPr>
        <w:jc w:val="both"/>
        <w:rPr>
          <w:rFonts w:ascii="Cambria" w:hAnsi="Cambria"/>
          <w:noProof/>
          <w:lang w:val="sr-Latn-ME" w:eastAsia="x-none"/>
        </w:rPr>
      </w:pPr>
      <w:r w:rsidRPr="001A3E89">
        <w:rPr>
          <w:rFonts w:ascii="Cambria" w:hAnsi="Cambria"/>
          <w:noProof/>
          <w:lang w:eastAsia="x-none"/>
        </w:rPr>
        <w:t>U pogledu toksikoloških i ekotoksikoloških ispitivanja svojstava hemikalija</w:t>
      </w:r>
      <w:r w:rsidRPr="00BE7824">
        <w:rPr>
          <w:rFonts w:ascii="Cambria" w:hAnsi="Cambria"/>
          <w:noProof/>
          <w:lang w:eastAsia="x-none"/>
        </w:rPr>
        <w:t xml:space="preserve"> </w:t>
      </w:r>
      <w:r>
        <w:rPr>
          <w:rFonts w:ascii="Cambria" w:hAnsi="Cambria"/>
          <w:noProof/>
          <w:lang w:eastAsia="x-none"/>
        </w:rPr>
        <w:t xml:space="preserve">u skladu </w:t>
      </w:r>
      <w:r w:rsidRPr="001A3E89">
        <w:rPr>
          <w:rFonts w:ascii="Cambria" w:hAnsi="Cambria"/>
          <w:noProof/>
          <w:lang w:eastAsia="x-none"/>
        </w:rPr>
        <w:t>smjernicama OECD</w:t>
      </w:r>
      <w:r>
        <w:rPr>
          <w:rFonts w:ascii="Cambria" w:hAnsi="Cambria"/>
          <w:noProof/>
          <w:lang w:eastAsia="x-none"/>
        </w:rPr>
        <w:t xml:space="preserve"> </w:t>
      </w:r>
      <w:r w:rsidR="00315759">
        <w:rPr>
          <w:rFonts w:ascii="Cambria" w:hAnsi="Cambria"/>
          <w:noProof/>
          <w:lang w:eastAsia="x-none"/>
        </w:rPr>
        <w:t>i</w:t>
      </w:r>
      <w:r>
        <w:rPr>
          <w:rFonts w:ascii="Cambria" w:hAnsi="Cambria"/>
          <w:noProof/>
          <w:lang w:eastAsia="x-none"/>
        </w:rPr>
        <w:t xml:space="preserve"> gore pomenutim pravilnikom</w:t>
      </w:r>
      <w:r w:rsidRPr="001A3E89">
        <w:rPr>
          <w:rFonts w:ascii="Cambria" w:hAnsi="Cambria"/>
          <w:noProof/>
          <w:lang w:eastAsia="x-none"/>
        </w:rPr>
        <w:t>, u Crnoj Gori nema institucija koje sprovode ovakva ispitivanja niti onih koje su rade u skladu sa principima dobre laboratorijske prakse</w:t>
      </w:r>
      <w:r w:rsidR="00315759">
        <w:rPr>
          <w:rFonts w:ascii="Cambria" w:hAnsi="Cambria"/>
          <w:noProof/>
          <w:lang w:eastAsia="x-none"/>
        </w:rPr>
        <w:t xml:space="preserve"> (DLP)</w:t>
      </w:r>
      <w:r w:rsidRPr="001A3E89">
        <w:rPr>
          <w:rFonts w:ascii="Cambria" w:hAnsi="Cambria"/>
          <w:noProof/>
          <w:lang w:eastAsia="x-none"/>
        </w:rPr>
        <w:t xml:space="preserve">. </w:t>
      </w:r>
      <w:r>
        <w:rPr>
          <w:rFonts w:ascii="Cambria" w:hAnsi="Cambria"/>
          <w:noProof/>
          <w:lang w:eastAsia="x-none"/>
        </w:rPr>
        <w:t>Ipak, s</w:t>
      </w:r>
      <w:r w:rsidRPr="00BE7824">
        <w:rPr>
          <w:rFonts w:ascii="Cambria" w:hAnsi="Cambria"/>
          <w:noProof/>
          <w:lang w:val="sr-Latn-ME" w:eastAsia="x-none"/>
        </w:rPr>
        <w:t xml:space="preserve"> obzirom da najveći broj hemikalija na tržište Crne Gore dolazi iz uvoza, nije realno očekivati da se pojavi potražnja za većim brojem novih ispitivanja na tržištu Crne Gore. Stoga, verovatno ne postoji ekonomska isplativost za ulaganja u opremu i kadrove za takva ispitivanja u laboratorijama u Crnoj Gori, te se ni jedna laboratorija nije obratila nadležnom organu za izdavanje DLP sertifikata. Ipak, legislativni uslovi su stvoreni za prihvatanje toksikoloških i ekotoksikoloških ispitivanja urađenih od strane laboratorija koje imaju DLP sertifikat izdat strane nadležnog organa države članice OECD, te obraćanje takvim laboratorijama može biti opcija za slučaj da se sporadično pojavi potreba za takvim ispitivanjima. </w:t>
      </w:r>
    </w:p>
    <w:p w14:paraId="28A23D6C" w14:textId="58314AFE" w:rsidR="00735DD8" w:rsidRPr="00735DD8" w:rsidRDefault="00735DD8" w:rsidP="00735DD8">
      <w:pPr>
        <w:pBdr>
          <w:top w:val="single" w:sz="4" w:space="1" w:color="auto"/>
          <w:left w:val="single" w:sz="4" w:space="4" w:color="auto"/>
          <w:bottom w:val="single" w:sz="4" w:space="1" w:color="auto"/>
          <w:right w:val="single" w:sz="4" w:space="4" w:color="auto"/>
        </w:pBdr>
        <w:jc w:val="both"/>
        <w:rPr>
          <w:rFonts w:ascii="Cambria" w:hAnsi="Cambria"/>
          <w:noProof/>
          <w:lang w:eastAsia="x-none"/>
        </w:rPr>
      </w:pPr>
      <w:r w:rsidRPr="00735DD8">
        <w:rPr>
          <w:rFonts w:ascii="Cambria" w:hAnsi="Cambria"/>
          <w:noProof/>
          <w:lang w:eastAsia="x-none"/>
        </w:rPr>
        <w:t>S ob</w:t>
      </w:r>
      <w:r>
        <w:rPr>
          <w:rFonts w:ascii="Cambria" w:hAnsi="Cambria"/>
          <w:noProof/>
          <w:lang w:eastAsia="x-none"/>
        </w:rPr>
        <w:t>z</w:t>
      </w:r>
      <w:r w:rsidRPr="00735DD8">
        <w:rPr>
          <w:rFonts w:ascii="Cambria" w:hAnsi="Cambria"/>
          <w:noProof/>
          <w:lang w:eastAsia="x-none"/>
        </w:rPr>
        <w:t>irom na gore opisanu situaciju u pogledu laboratorijskih kapaciteta i potreba u vezi sa ispitivanjima opasnih svojstava hemikalija</w:t>
      </w:r>
      <w:r>
        <w:rPr>
          <w:rFonts w:ascii="Cambria" w:hAnsi="Cambria"/>
          <w:noProof/>
          <w:lang w:eastAsia="x-none"/>
        </w:rPr>
        <w:t>, u ovom segmentu nisu predviđene prioritetne aktivnosti za naredni četvorogodišnji period.</w:t>
      </w:r>
    </w:p>
    <w:p w14:paraId="39EF7A12" w14:textId="2AEFADD0" w:rsidR="008D6F0B" w:rsidRPr="008D6F0B" w:rsidRDefault="008D6F0B" w:rsidP="00557C13">
      <w:pPr>
        <w:pStyle w:val="ListParagraph"/>
        <w:numPr>
          <w:ilvl w:val="0"/>
          <w:numId w:val="59"/>
        </w:numPr>
        <w:jc w:val="both"/>
        <w:rPr>
          <w:rFonts w:ascii="Cambria" w:hAnsi="Cambria"/>
          <w:b/>
          <w:noProof/>
          <w:lang w:eastAsia="x-none"/>
        </w:rPr>
      </w:pPr>
      <w:r w:rsidRPr="00BE2F7B">
        <w:rPr>
          <w:rFonts w:ascii="Cambria" w:hAnsi="Cambria"/>
          <w:b/>
          <w:noProof/>
          <w:lang w:eastAsia="x-none"/>
        </w:rPr>
        <w:t>Upravljanje informacijama, pristup i korišćenje</w:t>
      </w:r>
    </w:p>
    <w:p w14:paraId="332AE9B2" w14:textId="77777777" w:rsidR="008D6F0B" w:rsidRDefault="008D6F0B" w:rsidP="008D6F0B">
      <w:pPr>
        <w:widowControl w:val="0"/>
        <w:autoSpaceDE w:val="0"/>
        <w:autoSpaceDN w:val="0"/>
        <w:adjustRightInd w:val="0"/>
        <w:jc w:val="both"/>
        <w:rPr>
          <w:rFonts w:ascii="Cambria" w:hAnsi="Cambria"/>
          <w:noProof/>
          <w:lang w:eastAsia="x-none"/>
        </w:rPr>
      </w:pPr>
      <w:r w:rsidRPr="00BE2F7B">
        <w:rPr>
          <w:rFonts w:ascii="Cambria" w:hAnsi="Cambria"/>
          <w:noProof/>
          <w:lang w:eastAsia="x-none"/>
        </w:rPr>
        <w:t xml:space="preserve">Pravo na </w:t>
      </w:r>
      <w:r w:rsidRPr="00BE2F7B">
        <w:rPr>
          <w:rFonts w:ascii="Cambria" w:hAnsi="Cambria"/>
          <w:b/>
          <w:noProof/>
          <w:lang w:eastAsia="x-none"/>
        </w:rPr>
        <w:t>informisanje o pitanjima zaštite životne sredine</w:t>
      </w:r>
      <w:r w:rsidRPr="00BE2F7B">
        <w:rPr>
          <w:rFonts w:ascii="Cambria" w:hAnsi="Cambria"/>
          <w:noProof/>
          <w:lang w:eastAsia="x-none"/>
        </w:rPr>
        <w:t xml:space="preserve"> uređeno je u više propisa, kojima su u potpunosti transponovane odgovarajuće odredbe propisa EU o javnom pristupu informacijama o životnoj sredini i učešću javnosti u donošenju odluka po pitanjima zaštite životne sredine, koji su u skladu sa Arhuskom konvencijom. </w:t>
      </w:r>
    </w:p>
    <w:p w14:paraId="10540D63" w14:textId="77777777" w:rsidR="008D6F0B" w:rsidRDefault="008D6F0B" w:rsidP="008D6F0B">
      <w:pPr>
        <w:widowControl w:val="0"/>
        <w:autoSpaceDE w:val="0"/>
        <w:autoSpaceDN w:val="0"/>
        <w:adjustRightInd w:val="0"/>
        <w:jc w:val="both"/>
        <w:rPr>
          <w:rFonts w:ascii="Cambria" w:hAnsi="Cambria"/>
          <w:noProof/>
          <w:lang w:eastAsia="x-none"/>
        </w:rPr>
      </w:pPr>
      <w:r w:rsidRPr="00BE2F7B">
        <w:rPr>
          <w:rFonts w:ascii="Cambria" w:hAnsi="Cambria"/>
          <w:noProof/>
          <w:lang w:val="it-IT" w:eastAsia="x-none"/>
        </w:rPr>
        <w:t xml:space="preserve">U Crnoj Gori postoje su </w:t>
      </w:r>
      <w:r w:rsidRPr="00BE2F7B">
        <w:rPr>
          <w:rFonts w:ascii="Cambria" w:hAnsi="Cambria"/>
          <w:b/>
          <w:noProof/>
          <w:lang w:val="it-IT" w:eastAsia="x-none"/>
        </w:rPr>
        <w:t>četiri Arhus centra</w:t>
      </w:r>
      <w:r w:rsidRPr="00BE2F7B">
        <w:rPr>
          <w:rFonts w:ascii="Cambria" w:hAnsi="Cambria"/>
          <w:noProof/>
          <w:lang w:val="it-IT" w:eastAsia="x-none"/>
        </w:rPr>
        <w:t xml:space="preserve"> od kojih dva funkcionišu kao vladini centri u sklopu AZPŽS, dok su druga dva osnovani u sklopu NVO sa zadatkom da </w:t>
      </w:r>
      <w:r w:rsidRPr="00BE2F7B">
        <w:rPr>
          <w:rFonts w:ascii="Cambria" w:hAnsi="Cambria"/>
          <w:b/>
          <w:noProof/>
          <w:lang w:val="it-IT" w:eastAsia="x-none"/>
        </w:rPr>
        <w:t xml:space="preserve">obezbijede </w:t>
      </w:r>
      <w:r w:rsidRPr="00BE2F7B">
        <w:rPr>
          <w:rFonts w:ascii="Cambria" w:hAnsi="Cambria"/>
          <w:b/>
          <w:noProof/>
          <w:lang w:eastAsia="x-none"/>
        </w:rPr>
        <w:t>dostupnost informacija, učešće javnosti u donošenju odluka i pravo na pravnu zaštitu u pitanjima životne sredine</w:t>
      </w:r>
      <w:r w:rsidRPr="00BE2F7B">
        <w:rPr>
          <w:rFonts w:ascii="Cambria" w:hAnsi="Cambria"/>
          <w:noProof/>
          <w:lang w:eastAsia="x-none"/>
        </w:rPr>
        <w:t xml:space="preserve">. </w:t>
      </w:r>
    </w:p>
    <w:p w14:paraId="03923987" w14:textId="77777777" w:rsidR="008D6F0B" w:rsidRPr="00BE2F7B" w:rsidRDefault="008D6F0B" w:rsidP="008D6F0B">
      <w:pPr>
        <w:widowControl w:val="0"/>
        <w:autoSpaceDE w:val="0"/>
        <w:autoSpaceDN w:val="0"/>
        <w:adjustRightInd w:val="0"/>
        <w:jc w:val="both"/>
        <w:rPr>
          <w:rFonts w:ascii="Cambria" w:hAnsi="Cambria"/>
          <w:noProof/>
          <w:lang w:val="it-IT" w:eastAsia="x-none"/>
        </w:rPr>
      </w:pPr>
      <w:r w:rsidRPr="00BE2F7B">
        <w:rPr>
          <w:rFonts w:ascii="Cambria" w:hAnsi="Cambria"/>
          <w:noProof/>
          <w:lang w:val="it-IT" w:eastAsia="x-none"/>
        </w:rPr>
        <w:t xml:space="preserve">Imajući u vidu </w:t>
      </w:r>
      <w:r w:rsidRPr="00BE2F7B">
        <w:rPr>
          <w:rFonts w:ascii="Cambria" w:hAnsi="Cambria"/>
          <w:b/>
          <w:noProof/>
          <w:lang w:val="it-IT" w:eastAsia="x-none"/>
        </w:rPr>
        <w:t>ulogu nevladinih organizacija</w:t>
      </w:r>
      <w:r w:rsidRPr="00BE2F7B">
        <w:rPr>
          <w:rFonts w:ascii="Cambria" w:hAnsi="Cambria"/>
          <w:noProof/>
          <w:lang w:val="it-IT" w:eastAsia="x-none"/>
        </w:rPr>
        <w:t xml:space="preserve"> i njihov doprinos u širenju ekoloških ideja i vrijednosti u oblasti zaštite životne sredine, neophodno je</w:t>
      </w:r>
      <w:r w:rsidRPr="00BE2F7B">
        <w:rPr>
          <w:rFonts w:ascii="Cambria" w:hAnsi="Cambria"/>
          <w:noProof/>
          <w:lang w:eastAsia="x-none"/>
        </w:rPr>
        <w:t xml:space="preserve"> održavati saradnju sa </w:t>
      </w:r>
      <w:r w:rsidRPr="00BE2F7B">
        <w:rPr>
          <w:rFonts w:ascii="Cambria" w:hAnsi="Cambria"/>
          <w:bCs/>
          <w:noProof/>
          <w:lang w:eastAsia="x-none"/>
        </w:rPr>
        <w:t xml:space="preserve">nevladinim organizacijama i </w:t>
      </w:r>
      <w:r w:rsidRPr="00BE2F7B">
        <w:rPr>
          <w:rFonts w:ascii="Cambria" w:hAnsi="Cambria"/>
          <w:noProof/>
          <w:lang w:eastAsia="x-none"/>
        </w:rPr>
        <w:t xml:space="preserve">kontinuirano ih </w:t>
      </w:r>
      <w:r w:rsidRPr="00BE2F7B">
        <w:rPr>
          <w:rFonts w:ascii="Cambria" w:hAnsi="Cambria"/>
          <w:b/>
          <w:noProof/>
          <w:lang w:eastAsia="x-none"/>
        </w:rPr>
        <w:t xml:space="preserve">uključivati </w:t>
      </w:r>
      <w:r w:rsidRPr="00BE2F7B">
        <w:rPr>
          <w:rFonts w:ascii="Cambria" w:hAnsi="Cambria"/>
          <w:b/>
          <w:bCs/>
          <w:noProof/>
          <w:lang w:eastAsia="x-none"/>
        </w:rPr>
        <w:t>u procese</w:t>
      </w:r>
      <w:r w:rsidRPr="00BE2F7B">
        <w:rPr>
          <w:rFonts w:ascii="Cambria" w:hAnsi="Cambria"/>
          <w:b/>
          <w:noProof/>
          <w:lang w:val="it-IT" w:eastAsia="x-none"/>
        </w:rPr>
        <w:t xml:space="preserve"> implementacije javnih politika</w:t>
      </w:r>
      <w:r w:rsidRPr="00BE2F7B">
        <w:rPr>
          <w:rFonts w:ascii="Cambria" w:hAnsi="Cambria"/>
          <w:noProof/>
          <w:lang w:val="it-IT" w:eastAsia="x-none"/>
        </w:rPr>
        <w:t xml:space="preserve"> u ovoj oblasti, uključujući podoblast upravljanja hemikalijama. </w:t>
      </w:r>
    </w:p>
    <w:p w14:paraId="38D0E0FB" w14:textId="484EB034" w:rsidR="00A515D5" w:rsidRDefault="00A515D5" w:rsidP="00A515D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mbria" w:hAnsi="Cambria"/>
          <w:noProof/>
          <w:lang w:eastAsia="x-none"/>
        </w:rPr>
      </w:pPr>
      <w:bookmarkStart w:id="138" w:name="_Hlk527321554"/>
      <w:r w:rsidRPr="00A515D5">
        <w:rPr>
          <w:rFonts w:ascii="Cambria" w:hAnsi="Cambria"/>
          <w:b/>
          <w:noProof/>
          <w:lang w:eastAsia="x-none"/>
        </w:rPr>
        <w:t>Prioritetni izazov</w:t>
      </w:r>
      <w:r w:rsidRPr="00A515D5">
        <w:rPr>
          <w:rFonts w:ascii="Cambria" w:hAnsi="Cambria"/>
          <w:noProof/>
          <w:lang w:eastAsia="x-none"/>
        </w:rPr>
        <w:t xml:space="preserve"> u ovom segmentu analize</w:t>
      </w:r>
      <w:bookmarkEnd w:id="138"/>
      <w:r w:rsidRPr="00A515D5">
        <w:rPr>
          <w:rFonts w:ascii="Cambria" w:hAnsi="Cambria"/>
          <w:noProof/>
          <w:lang w:eastAsia="x-none"/>
        </w:rPr>
        <w:t xml:space="preserve"> je </w:t>
      </w:r>
      <w:r w:rsidR="00B86968" w:rsidRPr="00B86968">
        <w:rPr>
          <w:rFonts w:ascii="Cambria" w:hAnsi="Cambria"/>
          <w:b/>
          <w:noProof/>
          <w:lang w:eastAsia="x-none"/>
        </w:rPr>
        <w:t>p</w:t>
      </w:r>
      <w:r w:rsidRPr="00B86968">
        <w:rPr>
          <w:rFonts w:ascii="Cambria" w:hAnsi="Cambria"/>
          <w:b/>
          <w:noProof/>
          <w:lang w:eastAsia="x-none"/>
        </w:rPr>
        <w:t xml:space="preserve">oboljšanje dostupnosti informacija o </w:t>
      </w:r>
      <w:r w:rsidRPr="00B86968">
        <w:rPr>
          <w:rFonts w:ascii="Cambria" w:hAnsi="Cambria"/>
          <w:b/>
          <w:noProof/>
          <w:lang w:eastAsia="x-none"/>
        </w:rPr>
        <w:lastRenderedPageBreak/>
        <w:t>hemikalijama</w:t>
      </w:r>
      <w:r w:rsidRPr="00A515D5">
        <w:rPr>
          <w:rFonts w:ascii="Cambria" w:hAnsi="Cambria"/>
          <w:noProof/>
          <w:lang w:eastAsia="x-none"/>
        </w:rPr>
        <w:t>.</w:t>
      </w:r>
      <w:r w:rsidR="008D6F0B" w:rsidRPr="008D6F0B">
        <w:rPr>
          <w:rFonts w:ascii="Cambria" w:hAnsi="Cambria"/>
          <w:noProof/>
          <w:lang w:val="sr-Latn-ME"/>
        </w:rPr>
        <w:t xml:space="preserve"> </w:t>
      </w:r>
      <w:r w:rsidR="00B86968" w:rsidRPr="008D6F0B">
        <w:rPr>
          <w:rFonts w:ascii="Cambria" w:hAnsi="Cambria"/>
          <w:noProof/>
          <w:lang w:val="sr-Latn-ME" w:eastAsia="x-none"/>
        </w:rPr>
        <w:t xml:space="preserve">Poželjno </w:t>
      </w:r>
      <w:r w:rsidR="00B86968">
        <w:rPr>
          <w:rFonts w:ascii="Cambria" w:hAnsi="Cambria"/>
          <w:noProof/>
          <w:lang w:val="sr-Latn-ME" w:eastAsia="x-none"/>
        </w:rPr>
        <w:t>je da p</w:t>
      </w:r>
      <w:r w:rsidR="008D6F0B" w:rsidRPr="008D6F0B">
        <w:rPr>
          <w:rFonts w:ascii="Cambria" w:hAnsi="Cambria"/>
          <w:noProof/>
          <w:lang w:val="sr-Latn-ME" w:eastAsia="x-none"/>
        </w:rPr>
        <w:t>odaci</w:t>
      </w:r>
      <w:r w:rsidR="008D6F0B">
        <w:rPr>
          <w:rFonts w:ascii="Cambria" w:hAnsi="Cambria"/>
          <w:noProof/>
          <w:lang w:val="sr-Latn-ME" w:eastAsia="x-none"/>
        </w:rPr>
        <w:t xml:space="preserve"> o</w:t>
      </w:r>
      <w:r w:rsidR="008D6F0B" w:rsidRPr="008D6F0B">
        <w:rPr>
          <w:rFonts w:ascii="Cambria" w:hAnsi="Cambria"/>
          <w:noProof/>
          <w:lang w:val="sr-Latn-ME" w:eastAsia="x-none"/>
        </w:rPr>
        <w:t xml:space="preserve"> broju izdatih dozvola i rješenja </w:t>
      </w:r>
      <w:r w:rsidR="008D6F0B">
        <w:rPr>
          <w:rFonts w:ascii="Cambria" w:hAnsi="Cambria"/>
          <w:noProof/>
          <w:lang w:val="sr-Latn-ME" w:eastAsia="x-none"/>
        </w:rPr>
        <w:t>o</w:t>
      </w:r>
      <w:r w:rsidR="008D6F0B" w:rsidRPr="008D6F0B">
        <w:rPr>
          <w:rFonts w:ascii="Cambria" w:hAnsi="Cambria"/>
          <w:noProof/>
          <w:lang w:val="sr-Latn-ME" w:eastAsia="x-none"/>
        </w:rPr>
        <w:t xml:space="preserve"> </w:t>
      </w:r>
      <w:r w:rsidR="008D6F0B">
        <w:rPr>
          <w:rFonts w:ascii="Cambria" w:hAnsi="Cambria"/>
          <w:noProof/>
          <w:lang w:val="sr-Latn-ME" w:eastAsia="x-none"/>
        </w:rPr>
        <w:t>hemikalijama</w:t>
      </w:r>
      <w:r w:rsidR="00554E1D">
        <w:rPr>
          <w:rFonts w:ascii="Cambria" w:hAnsi="Cambria"/>
          <w:noProof/>
          <w:lang w:val="sr-Latn-ME" w:eastAsia="x-none"/>
        </w:rPr>
        <w:t xml:space="preserve"> i </w:t>
      </w:r>
      <w:r w:rsidR="008D6F0B" w:rsidRPr="008D6F0B">
        <w:rPr>
          <w:rFonts w:ascii="Cambria" w:hAnsi="Cambria"/>
          <w:noProof/>
          <w:lang w:val="sr-Latn-ME" w:eastAsia="x-none"/>
        </w:rPr>
        <w:t xml:space="preserve">opisu upravnih postupaka </w:t>
      </w:r>
      <w:r w:rsidR="00B86968">
        <w:rPr>
          <w:rFonts w:ascii="Cambria" w:hAnsi="Cambria"/>
          <w:noProof/>
          <w:lang w:val="sr-Latn-ME" w:eastAsia="x-none"/>
        </w:rPr>
        <w:t xml:space="preserve">u oblasti upravljanja hemikalijama </w:t>
      </w:r>
      <w:r w:rsidR="008D6F0B">
        <w:rPr>
          <w:rFonts w:ascii="Cambria" w:hAnsi="Cambria"/>
          <w:noProof/>
          <w:lang w:val="sr-Latn-ME" w:eastAsia="x-none"/>
        </w:rPr>
        <w:t xml:space="preserve">koji su </w:t>
      </w:r>
      <w:r w:rsidR="00B86968">
        <w:rPr>
          <w:rFonts w:ascii="Cambria" w:hAnsi="Cambria"/>
          <w:noProof/>
          <w:lang w:val="sr-Latn-ME" w:eastAsia="x-none"/>
        </w:rPr>
        <w:t xml:space="preserve">do sada bili </w:t>
      </w:r>
      <w:r w:rsidR="008D6F0B" w:rsidRPr="008D6F0B">
        <w:rPr>
          <w:rFonts w:ascii="Cambria" w:hAnsi="Cambria"/>
          <w:noProof/>
          <w:lang w:val="sr-Latn-ME" w:eastAsia="x-none"/>
        </w:rPr>
        <w:t>sastavni dio izvještaja o stanju životne sredine</w:t>
      </w:r>
      <w:r w:rsidR="00B86968">
        <w:rPr>
          <w:rFonts w:ascii="Cambria" w:hAnsi="Cambria"/>
          <w:noProof/>
          <w:lang w:val="sr-Latn-ME" w:eastAsia="x-none"/>
        </w:rPr>
        <w:t xml:space="preserve"> budu </w:t>
      </w:r>
      <w:r w:rsidR="00B86968" w:rsidRPr="00F7528C">
        <w:rPr>
          <w:rFonts w:ascii="Cambria" w:hAnsi="Cambria"/>
          <w:b/>
          <w:noProof/>
          <w:lang w:val="sr-Latn-ME" w:eastAsia="x-none"/>
        </w:rPr>
        <w:t xml:space="preserve">upotpunjeni </w:t>
      </w:r>
      <w:r w:rsidR="008D6F0B" w:rsidRPr="00F7528C">
        <w:rPr>
          <w:rFonts w:ascii="Cambria" w:hAnsi="Cambria"/>
          <w:b/>
          <w:noProof/>
          <w:lang w:val="sr-Latn-ME" w:eastAsia="x-none"/>
        </w:rPr>
        <w:t>statistički obrađeni</w:t>
      </w:r>
      <w:r w:rsidR="00B86968" w:rsidRPr="00F7528C">
        <w:rPr>
          <w:rFonts w:ascii="Cambria" w:hAnsi="Cambria"/>
          <w:b/>
          <w:noProof/>
          <w:lang w:val="sr-Latn-ME" w:eastAsia="x-none"/>
        </w:rPr>
        <w:t>m</w:t>
      </w:r>
      <w:r w:rsidR="008D6F0B" w:rsidRPr="00F7528C">
        <w:rPr>
          <w:rFonts w:ascii="Cambria" w:hAnsi="Cambria"/>
          <w:b/>
          <w:noProof/>
          <w:lang w:val="sr-Latn-ME" w:eastAsia="x-none"/>
        </w:rPr>
        <w:t xml:space="preserve"> podaci</w:t>
      </w:r>
      <w:r w:rsidR="00B86968" w:rsidRPr="00F7528C">
        <w:rPr>
          <w:rFonts w:ascii="Cambria" w:hAnsi="Cambria"/>
          <w:b/>
          <w:noProof/>
          <w:lang w:val="sr-Latn-ME" w:eastAsia="x-none"/>
        </w:rPr>
        <w:t>ma</w:t>
      </w:r>
      <w:r w:rsidR="008D6F0B" w:rsidRPr="00F7528C">
        <w:rPr>
          <w:rFonts w:ascii="Cambria" w:hAnsi="Cambria"/>
          <w:b/>
          <w:noProof/>
          <w:lang w:val="sr-Latn-ME" w:eastAsia="x-none"/>
        </w:rPr>
        <w:t xml:space="preserve"> iz registra hemikalija</w:t>
      </w:r>
      <w:r w:rsidR="008D6F0B" w:rsidRPr="008D6F0B">
        <w:rPr>
          <w:rFonts w:ascii="Cambria" w:hAnsi="Cambria"/>
          <w:noProof/>
          <w:lang w:val="sr-Latn-ME" w:eastAsia="x-none"/>
        </w:rPr>
        <w:t xml:space="preserve"> koji će dati sliku o ključnim količinama hemikalija na tržištu Crne Gore i njihovoj raspodjeli po predviđenoj upotrebi, odnosno o privrednim sektorima u kojima se hemikalije koriste, kao i da relevantni podaci budu </w:t>
      </w:r>
      <w:r w:rsidR="008D6F0B" w:rsidRPr="00F7528C">
        <w:rPr>
          <w:rFonts w:ascii="Cambria" w:hAnsi="Cambria"/>
          <w:b/>
          <w:noProof/>
          <w:lang w:val="sr-Latn-ME" w:eastAsia="x-none"/>
        </w:rPr>
        <w:t>dostupni na internet portalu</w:t>
      </w:r>
      <w:r w:rsidR="008D6F0B" w:rsidRPr="008D6F0B">
        <w:rPr>
          <w:rFonts w:ascii="Cambria" w:hAnsi="Cambria"/>
          <w:noProof/>
          <w:lang w:val="sr-Latn-ME" w:eastAsia="x-none"/>
        </w:rPr>
        <w:t xml:space="preserve"> Informacionog sistema zaštite životne sredine shodno sadržini ovog sistema definisanoj u Zakonu o zaštiti životne sredine.</w:t>
      </w:r>
    </w:p>
    <w:p w14:paraId="7FB5599E" w14:textId="3C212CFF" w:rsidR="00BE7824" w:rsidRPr="00BE7824" w:rsidRDefault="00BE7824" w:rsidP="00557C13">
      <w:pPr>
        <w:pStyle w:val="ListParagraph"/>
        <w:widowControl w:val="0"/>
        <w:numPr>
          <w:ilvl w:val="0"/>
          <w:numId w:val="60"/>
        </w:numPr>
        <w:autoSpaceDE w:val="0"/>
        <w:autoSpaceDN w:val="0"/>
        <w:adjustRightInd w:val="0"/>
        <w:jc w:val="both"/>
        <w:rPr>
          <w:rFonts w:ascii="Cambria" w:hAnsi="Cambria"/>
          <w:b/>
          <w:noProof/>
          <w:lang w:eastAsia="x-none"/>
        </w:rPr>
      </w:pPr>
      <w:r w:rsidRPr="00BE7824">
        <w:rPr>
          <w:rFonts w:ascii="Cambria" w:hAnsi="Cambria"/>
          <w:b/>
          <w:noProof/>
          <w:lang w:eastAsia="x-none"/>
        </w:rPr>
        <w:t xml:space="preserve">Svijest o rizicima od hemikalija; informisanje i edukacija; </w:t>
      </w:r>
      <w:r w:rsidR="00947E72">
        <w:rPr>
          <w:rFonts w:ascii="Cambria" w:hAnsi="Cambria"/>
          <w:b/>
          <w:noProof/>
          <w:lang w:eastAsia="x-none"/>
        </w:rPr>
        <w:t>A</w:t>
      </w:r>
      <w:r w:rsidR="00947E72" w:rsidRPr="007D1CDD">
        <w:rPr>
          <w:rFonts w:ascii="Cambria" w:hAnsi="Cambria"/>
          <w:b/>
          <w:noProof/>
          <w:lang w:eastAsia="x-none"/>
        </w:rPr>
        <w:t>ktivnosti nevladinog sektora</w:t>
      </w:r>
      <w:r w:rsidR="00546C17">
        <w:rPr>
          <w:rFonts w:ascii="Cambria" w:hAnsi="Cambria"/>
          <w:b/>
          <w:noProof/>
          <w:lang w:eastAsia="x-none"/>
        </w:rPr>
        <w:t>;</w:t>
      </w:r>
      <w:r w:rsidR="00546C17" w:rsidRPr="00546C17">
        <w:rPr>
          <w:rFonts w:ascii="Cambria" w:hAnsi="Cambria"/>
          <w:b/>
          <w:noProof/>
          <w:lang w:eastAsia="x-none"/>
        </w:rPr>
        <w:t xml:space="preserve"> </w:t>
      </w:r>
      <w:r w:rsidR="00546C17" w:rsidRPr="00BE2F7B">
        <w:rPr>
          <w:rFonts w:ascii="Cambria" w:hAnsi="Cambria"/>
          <w:b/>
          <w:noProof/>
          <w:lang w:eastAsia="x-none"/>
        </w:rPr>
        <w:t>Pripremljenost za vanredne situacije</w:t>
      </w:r>
    </w:p>
    <w:p w14:paraId="5E7574BF" w14:textId="44C9AF2D" w:rsidR="00250F22" w:rsidRDefault="00250F22" w:rsidP="00250F22">
      <w:pPr>
        <w:widowControl w:val="0"/>
        <w:autoSpaceDE w:val="0"/>
        <w:autoSpaceDN w:val="0"/>
        <w:adjustRightInd w:val="0"/>
        <w:jc w:val="both"/>
        <w:rPr>
          <w:rFonts w:ascii="Cambria" w:hAnsi="Cambria" w:cs="TimesNewRomanPSMT"/>
          <w:noProof/>
          <w:lang w:val="hr-HR"/>
        </w:rPr>
      </w:pPr>
      <w:r w:rsidRPr="000D7B62">
        <w:rPr>
          <w:rFonts w:ascii="Cambria" w:hAnsi="Cambria" w:cs="TimesNewRomanPSMT"/>
          <w:b/>
          <w:noProof/>
        </w:rPr>
        <w:t>Svijest potrošača i opšte javnosti</w:t>
      </w:r>
      <w:r w:rsidRPr="009B5F08">
        <w:rPr>
          <w:rFonts w:ascii="Cambria" w:hAnsi="Cambria" w:cs="TimesNewRomanPSMT"/>
          <w:noProof/>
        </w:rPr>
        <w:t xml:space="preserve"> o rizicima od hemikalija</w:t>
      </w:r>
      <w:r w:rsidRPr="009B5F08">
        <w:rPr>
          <w:rFonts w:ascii="Cambria" w:hAnsi="Cambria" w:cs="TimesNewRomanPSMT"/>
          <w:noProof/>
          <w:lang w:val="hr-HR"/>
        </w:rPr>
        <w:t xml:space="preserve"> </w:t>
      </w:r>
      <w:r w:rsidRPr="004A39F6">
        <w:rPr>
          <w:rFonts w:ascii="Cambria" w:hAnsi="Cambria" w:cs="TimesNewRomanPSMT"/>
          <w:noProof/>
          <w:lang w:val="hr-HR"/>
        </w:rPr>
        <w:t>i potrebi adekvatnog upravljanja hemikalijama</w:t>
      </w:r>
      <w:r w:rsidRPr="00AB15C7">
        <w:rPr>
          <w:rFonts w:ascii="Cambria" w:hAnsi="Cambria" w:cs="TimesNewRomanPSMT"/>
          <w:noProof/>
          <w:lang w:val="hr-HR"/>
        </w:rPr>
        <w:t xml:space="preserve"> je na niskom nivou</w:t>
      </w:r>
      <w:r w:rsidR="00B86968">
        <w:rPr>
          <w:rFonts w:ascii="Cambria" w:hAnsi="Cambria" w:cs="TimesNewRomanPSMT"/>
          <w:noProof/>
          <w:lang w:val="hr-HR"/>
        </w:rPr>
        <w:t>, iako nadležni organi</w:t>
      </w:r>
      <w:r w:rsidR="002E260B">
        <w:rPr>
          <w:rFonts w:ascii="Cambria" w:hAnsi="Cambria" w:cs="TimesNewRomanPSMT"/>
          <w:noProof/>
          <w:lang w:val="hr-HR"/>
        </w:rPr>
        <w:t xml:space="preserve"> i ovlašćene institucije (IJZ)</w:t>
      </w:r>
      <w:r w:rsidR="00B86968">
        <w:rPr>
          <w:rFonts w:ascii="Cambria" w:hAnsi="Cambria" w:cs="TimesNewRomanPSMT"/>
          <w:noProof/>
          <w:lang w:val="hr-HR"/>
        </w:rPr>
        <w:t xml:space="preserve"> u okviru svojih </w:t>
      </w:r>
      <w:r w:rsidR="002E260B">
        <w:rPr>
          <w:rFonts w:ascii="Cambria" w:hAnsi="Cambria" w:cs="TimesNewRomanPSMT"/>
          <w:noProof/>
          <w:lang w:val="hr-HR"/>
        </w:rPr>
        <w:t>zaduženja</w:t>
      </w:r>
      <w:r w:rsidR="00B86968">
        <w:rPr>
          <w:rFonts w:ascii="Cambria" w:hAnsi="Cambria" w:cs="TimesNewRomanPSMT"/>
          <w:noProof/>
          <w:lang w:val="hr-HR"/>
        </w:rPr>
        <w:t xml:space="preserve"> sprovode informisanje i edukaciju</w:t>
      </w:r>
      <w:r w:rsidRPr="00AB15C7">
        <w:rPr>
          <w:rFonts w:ascii="Cambria" w:hAnsi="Cambria" w:cs="TimesNewRomanPSMT"/>
          <w:noProof/>
          <w:lang w:val="hr-HR"/>
        </w:rPr>
        <w:t xml:space="preserve">. </w:t>
      </w:r>
      <w:r w:rsidRPr="004A39F6">
        <w:rPr>
          <w:rFonts w:ascii="Cambria" w:hAnsi="Cambria" w:cs="TimesNewRomanPSMT"/>
          <w:noProof/>
          <w:lang w:val="hr-HR"/>
        </w:rPr>
        <w:t xml:space="preserve">Radi zaštite zdravlja ljudi i životne sredine, veoma je važno podići svijest o mogućem štetnom uticaju hemikalija i </w:t>
      </w:r>
      <w:r>
        <w:rPr>
          <w:rFonts w:ascii="Cambria" w:hAnsi="Cambria" w:cs="TimesNewRomanPSMT"/>
          <w:noProof/>
          <w:lang w:val="hr-HR"/>
        </w:rPr>
        <w:t>proizvoda koji ih sadrže</w:t>
      </w:r>
      <w:r w:rsidRPr="004A39F6">
        <w:rPr>
          <w:rFonts w:ascii="Cambria" w:hAnsi="Cambria" w:cs="TimesNewRomanPSMT"/>
          <w:noProof/>
          <w:lang w:val="hr-HR"/>
        </w:rPr>
        <w:t xml:space="preserve"> na zdravlje ljudi i životnu sredinu, s posebnim osvrtom na hemikalije koje se upotrebljavaju u domaćinstvu</w:t>
      </w:r>
      <w:r>
        <w:rPr>
          <w:rFonts w:ascii="Cambria" w:hAnsi="Cambria" w:cs="TimesNewRomanPSMT"/>
          <w:noProof/>
          <w:lang w:val="hr-HR"/>
        </w:rPr>
        <w:t>, kao i na</w:t>
      </w:r>
      <w:r w:rsidRPr="004A39F6">
        <w:rPr>
          <w:rFonts w:ascii="Cambria" w:hAnsi="Cambria" w:cs="TimesNewRomanPSMT"/>
          <w:noProof/>
          <w:lang w:val="hr-HR"/>
        </w:rPr>
        <w:t xml:space="preserve"> izloženost os</w:t>
      </w:r>
      <w:r w:rsidR="00586C5E">
        <w:rPr>
          <w:rFonts w:ascii="Cambria" w:hAnsi="Cambria" w:cs="TimesNewRomanPSMT"/>
          <w:noProof/>
          <w:lang w:val="hr-HR"/>
        </w:rPr>
        <w:t>j</w:t>
      </w:r>
      <w:r w:rsidRPr="004A39F6">
        <w:rPr>
          <w:rFonts w:ascii="Cambria" w:hAnsi="Cambria" w:cs="TimesNewRomanPSMT"/>
          <w:noProof/>
          <w:lang w:val="hr-HR"/>
        </w:rPr>
        <w:t>etljivih grupa poput djece i trudnica</w:t>
      </w:r>
      <w:r>
        <w:rPr>
          <w:rFonts w:ascii="Cambria" w:hAnsi="Cambria" w:cs="TimesNewRomanPSMT"/>
          <w:noProof/>
          <w:lang w:val="hr-HR"/>
        </w:rPr>
        <w:t>. S tim u vezi, potrebno</w:t>
      </w:r>
      <w:r w:rsidR="00B86968">
        <w:rPr>
          <w:rFonts w:ascii="Cambria" w:hAnsi="Cambria" w:cs="TimesNewRomanPSMT"/>
          <w:noProof/>
          <w:lang w:val="hr-HR"/>
        </w:rPr>
        <w:t xml:space="preserve"> uključiti i druge zainteresovane strane u aktivnosti na podizanju svijesti, sa akcentom na u</w:t>
      </w:r>
      <w:r>
        <w:rPr>
          <w:rFonts w:ascii="Cambria" w:hAnsi="Cambria" w:cs="TimesNewRomanPSMT"/>
          <w:noProof/>
          <w:lang w:val="hr-HR"/>
        </w:rPr>
        <w:t>spostav</w:t>
      </w:r>
      <w:r w:rsidR="00B86968">
        <w:rPr>
          <w:rFonts w:ascii="Cambria" w:hAnsi="Cambria" w:cs="TimesNewRomanPSMT"/>
          <w:noProof/>
          <w:lang w:val="hr-HR"/>
        </w:rPr>
        <w:t xml:space="preserve">ljanje </w:t>
      </w:r>
      <w:r w:rsidRPr="000D7B62">
        <w:rPr>
          <w:rFonts w:ascii="Cambria" w:hAnsi="Cambria" w:cs="TimesNewRomanPSMT"/>
          <w:b/>
          <w:noProof/>
          <w:lang w:val="hr-HR"/>
        </w:rPr>
        <w:t>partnerstv</w:t>
      </w:r>
      <w:r w:rsidR="00B86968">
        <w:rPr>
          <w:rFonts w:ascii="Cambria" w:hAnsi="Cambria" w:cs="TimesNewRomanPSMT"/>
          <w:b/>
          <w:noProof/>
          <w:lang w:val="hr-HR"/>
        </w:rPr>
        <w:t>a</w:t>
      </w:r>
      <w:r>
        <w:rPr>
          <w:rFonts w:ascii="Cambria" w:hAnsi="Cambria" w:cs="TimesNewRomanPSMT"/>
          <w:noProof/>
          <w:lang w:val="hr-HR"/>
        </w:rPr>
        <w:t xml:space="preserve"> nadležnih organa</w:t>
      </w:r>
      <w:r w:rsidR="00947E72">
        <w:rPr>
          <w:rFonts w:ascii="Cambria" w:hAnsi="Cambria" w:cs="TimesNewRomanPSMT"/>
          <w:noProof/>
          <w:lang w:val="hr-HR"/>
        </w:rPr>
        <w:t xml:space="preserve"> sa</w:t>
      </w:r>
      <w:r>
        <w:rPr>
          <w:rFonts w:ascii="Cambria" w:hAnsi="Cambria" w:cs="TimesNewRomanPSMT"/>
          <w:noProof/>
          <w:lang w:val="hr-HR"/>
        </w:rPr>
        <w:t xml:space="preserve">  NVO, udruženjima potrošača i medijima na širenju informacija i podizanju svijesti u ovoj oblasti.</w:t>
      </w:r>
    </w:p>
    <w:p w14:paraId="64D0EB7C" w14:textId="77777777" w:rsidR="00947E72" w:rsidRDefault="00947E72" w:rsidP="00947E72">
      <w:pPr>
        <w:jc w:val="both"/>
        <w:rPr>
          <w:rFonts w:ascii="Cambria" w:hAnsi="Cambria"/>
          <w:noProof/>
          <w:lang w:eastAsia="x-none"/>
        </w:rPr>
      </w:pPr>
      <w:r w:rsidRPr="00AB15C7">
        <w:rPr>
          <w:rFonts w:ascii="Cambria" w:hAnsi="Cambria"/>
          <w:noProof/>
          <w:lang w:eastAsia="x-none"/>
        </w:rPr>
        <w:t xml:space="preserve">Aktivnosti </w:t>
      </w:r>
      <w:r w:rsidRPr="006861E1">
        <w:rPr>
          <w:rFonts w:ascii="Cambria" w:hAnsi="Cambria"/>
          <w:b/>
          <w:noProof/>
          <w:lang w:eastAsia="x-none"/>
        </w:rPr>
        <w:t>industrijskih udruženja</w:t>
      </w:r>
      <w:r>
        <w:rPr>
          <w:rFonts w:ascii="Cambria" w:hAnsi="Cambria"/>
          <w:noProof/>
          <w:lang w:eastAsia="x-none"/>
        </w:rPr>
        <w:t xml:space="preserve"> usmjerene su na pitanja</w:t>
      </w:r>
      <w:r w:rsidRPr="00032F9B">
        <w:rPr>
          <w:noProof/>
        </w:rPr>
        <w:t xml:space="preserve"> </w:t>
      </w:r>
      <w:r w:rsidRPr="00032F9B">
        <w:rPr>
          <w:rFonts w:ascii="Cambria" w:hAnsi="Cambria"/>
          <w:noProof/>
          <w:lang w:eastAsia="x-none"/>
        </w:rPr>
        <w:t>od interesa za poslovanje i razvoj privrede</w:t>
      </w:r>
      <w:r>
        <w:rPr>
          <w:rFonts w:ascii="Cambria" w:hAnsi="Cambria"/>
          <w:noProof/>
          <w:lang w:eastAsia="x-none"/>
        </w:rPr>
        <w:t>, i među njima ključnu ulogu ima PKCG, kao nacionalna privredna komora</w:t>
      </w:r>
      <w:r w:rsidRPr="00032F9B">
        <w:rPr>
          <w:rFonts w:ascii="Cambria" w:hAnsi="Cambria"/>
          <w:noProof/>
          <w:lang w:eastAsia="x-none"/>
        </w:rPr>
        <w:t xml:space="preserve">. Imajući u vidu značajan uticaj koji će novi propisi u oblasti hemikalija u Crnoj Gori imati na privredne subjekte, </w:t>
      </w:r>
      <w:r>
        <w:rPr>
          <w:rFonts w:ascii="Cambria" w:hAnsi="Cambria"/>
          <w:noProof/>
          <w:lang w:eastAsia="x-none"/>
        </w:rPr>
        <w:t>u narednom periodu</w:t>
      </w:r>
      <w:r w:rsidRPr="00032F9B">
        <w:rPr>
          <w:rFonts w:ascii="Cambria" w:hAnsi="Cambria"/>
          <w:noProof/>
          <w:lang w:eastAsia="x-none"/>
        </w:rPr>
        <w:t xml:space="preserve"> PKCG bi treb</w:t>
      </w:r>
      <w:r>
        <w:rPr>
          <w:rFonts w:ascii="Cambria" w:hAnsi="Cambria"/>
          <w:noProof/>
          <w:lang w:eastAsia="x-none"/>
        </w:rPr>
        <w:t>a</w:t>
      </w:r>
      <w:r w:rsidRPr="00032F9B">
        <w:rPr>
          <w:rFonts w:ascii="Cambria" w:hAnsi="Cambria"/>
          <w:noProof/>
          <w:lang w:eastAsia="x-none"/>
        </w:rPr>
        <w:t xml:space="preserve">lo </w:t>
      </w:r>
      <w:r>
        <w:rPr>
          <w:rFonts w:ascii="Cambria" w:hAnsi="Cambria"/>
          <w:noProof/>
          <w:lang w:eastAsia="x-none"/>
        </w:rPr>
        <w:t xml:space="preserve">usmjeri dio svojih aktivnosti na edukaciju privrednika o novinama u propisima o hemikalijama i biocidnim proizvodima i pomoć u ispunjavanju sa njima povezanim obavezama, sa posebnim akcentom na potrebu uvođenja </w:t>
      </w:r>
      <w:r w:rsidRPr="00C94A69">
        <w:rPr>
          <w:rFonts w:ascii="Cambria" w:hAnsi="Cambria"/>
          <w:noProof/>
          <w:lang w:val="sr-Latn-ME" w:eastAsia="x-none"/>
        </w:rPr>
        <w:t>bezb</w:t>
      </w:r>
      <w:r>
        <w:rPr>
          <w:rFonts w:ascii="Cambria" w:hAnsi="Cambria"/>
          <w:noProof/>
          <w:lang w:val="sr-Latn-ME" w:eastAsia="x-none"/>
        </w:rPr>
        <w:t>j</w:t>
      </w:r>
      <w:r w:rsidRPr="00C94A69">
        <w:rPr>
          <w:rFonts w:ascii="Cambria" w:hAnsi="Cambria"/>
          <w:noProof/>
          <w:lang w:val="sr-Latn-ME" w:eastAsia="x-none"/>
        </w:rPr>
        <w:t>ednij</w:t>
      </w:r>
      <w:r>
        <w:rPr>
          <w:rFonts w:ascii="Cambria" w:hAnsi="Cambria"/>
          <w:noProof/>
          <w:lang w:val="sr-Latn-ME" w:eastAsia="x-none"/>
        </w:rPr>
        <w:t>ih</w:t>
      </w:r>
      <w:r w:rsidRPr="00C94A69">
        <w:rPr>
          <w:rFonts w:ascii="Cambria" w:hAnsi="Cambria"/>
          <w:noProof/>
          <w:lang w:val="sr-Latn-ME" w:eastAsia="x-none"/>
        </w:rPr>
        <w:t xml:space="preserve"> hemikalij</w:t>
      </w:r>
      <w:r>
        <w:rPr>
          <w:rFonts w:ascii="Cambria" w:hAnsi="Cambria"/>
          <w:noProof/>
          <w:lang w:val="sr-Latn-ME" w:eastAsia="x-none"/>
        </w:rPr>
        <w:t>a</w:t>
      </w:r>
      <w:r w:rsidRPr="00C94A69">
        <w:rPr>
          <w:rFonts w:ascii="Cambria" w:hAnsi="Cambria"/>
          <w:noProof/>
          <w:lang w:val="sr-Latn-ME" w:eastAsia="x-none"/>
        </w:rPr>
        <w:t xml:space="preserve"> i tehnološki</w:t>
      </w:r>
      <w:r>
        <w:rPr>
          <w:rFonts w:ascii="Cambria" w:hAnsi="Cambria"/>
          <w:noProof/>
          <w:lang w:val="sr-Latn-ME" w:eastAsia="x-none"/>
        </w:rPr>
        <w:t>h</w:t>
      </w:r>
      <w:r w:rsidRPr="00C94A69">
        <w:rPr>
          <w:rFonts w:ascii="Cambria" w:hAnsi="Cambria"/>
          <w:noProof/>
          <w:lang w:val="sr-Latn-ME" w:eastAsia="x-none"/>
        </w:rPr>
        <w:t xml:space="preserve"> proces</w:t>
      </w:r>
      <w:r>
        <w:rPr>
          <w:rFonts w:ascii="Cambria" w:hAnsi="Cambria"/>
          <w:noProof/>
          <w:lang w:val="sr-Latn-ME" w:eastAsia="x-none"/>
        </w:rPr>
        <w:t>a</w:t>
      </w:r>
      <w:r w:rsidRPr="00C94A69">
        <w:rPr>
          <w:rFonts w:ascii="Cambria" w:hAnsi="Cambria"/>
          <w:noProof/>
          <w:lang w:val="sr-Latn-ME" w:eastAsia="x-none"/>
        </w:rPr>
        <w:t xml:space="preserve"> u industrijska postrojenja u Crnoj Gori</w:t>
      </w:r>
      <w:r>
        <w:rPr>
          <w:rFonts w:ascii="Cambria" w:hAnsi="Cambria"/>
          <w:noProof/>
          <w:lang w:eastAsia="x-none"/>
        </w:rPr>
        <w:t>.</w:t>
      </w:r>
    </w:p>
    <w:p w14:paraId="3DE6F18D" w14:textId="25B07D53" w:rsidR="00947E72" w:rsidRDefault="00947E72" w:rsidP="00947E72">
      <w:pPr>
        <w:jc w:val="both"/>
        <w:rPr>
          <w:rFonts w:ascii="Cambria" w:hAnsi="Cambria"/>
          <w:noProof/>
          <w:lang w:eastAsia="x-none"/>
        </w:rPr>
      </w:pPr>
      <w:r w:rsidRPr="00AB15C7">
        <w:rPr>
          <w:rFonts w:ascii="Cambria" w:hAnsi="Cambria" w:cs="TimesNewRomanPSMT"/>
          <w:noProof/>
          <w:lang w:val="hr-HR"/>
        </w:rPr>
        <w:t xml:space="preserve">Iako je </w:t>
      </w:r>
      <w:r w:rsidRPr="006861E1">
        <w:rPr>
          <w:rFonts w:ascii="Cambria" w:hAnsi="Cambria" w:cs="TimesNewRomanPSMT"/>
          <w:b/>
          <w:noProof/>
          <w:lang w:val="hr-HR"/>
        </w:rPr>
        <w:t>civilno društvo</w:t>
      </w:r>
      <w:r w:rsidRPr="00AB15C7">
        <w:rPr>
          <w:rFonts w:ascii="Cambria" w:hAnsi="Cambria" w:cs="TimesNewRomanPSMT"/>
          <w:noProof/>
          <w:lang w:val="hr-HR"/>
        </w:rPr>
        <w:t xml:space="preserve"> doživjelo snažan razvoj u periodu od uvođenja pluralizma i pozitivno uticalo na kreiranje i implementaciju politika u oblasti životne sredine, u Crnoj Gori nema organizacije civilnog društva koj</w:t>
      </w:r>
      <w:r>
        <w:rPr>
          <w:rFonts w:ascii="Cambria" w:hAnsi="Cambria" w:cs="TimesNewRomanPSMT"/>
          <w:noProof/>
          <w:lang w:val="hr-HR"/>
        </w:rPr>
        <w:t xml:space="preserve">oj je </w:t>
      </w:r>
      <w:r w:rsidRPr="00AB15C7">
        <w:rPr>
          <w:rFonts w:ascii="Cambria" w:hAnsi="Cambria" w:cs="TimesNewRomanPSMT"/>
          <w:noProof/>
          <w:lang w:val="hr-HR"/>
        </w:rPr>
        <w:t>upravljanj</w:t>
      </w:r>
      <w:r>
        <w:rPr>
          <w:rFonts w:ascii="Cambria" w:hAnsi="Cambria" w:cs="TimesNewRomanPSMT"/>
          <w:noProof/>
          <w:lang w:val="hr-HR"/>
        </w:rPr>
        <w:t>e</w:t>
      </w:r>
      <w:r w:rsidRPr="00AB15C7">
        <w:rPr>
          <w:rFonts w:ascii="Cambria" w:hAnsi="Cambria" w:cs="TimesNewRomanPSMT"/>
          <w:noProof/>
          <w:lang w:val="hr-HR"/>
        </w:rPr>
        <w:t xml:space="preserve"> hemikalijama </w:t>
      </w:r>
      <w:r>
        <w:rPr>
          <w:rFonts w:ascii="Cambria" w:hAnsi="Cambria" w:cs="TimesNewRomanPSMT"/>
          <w:noProof/>
          <w:lang w:val="hr-HR"/>
        </w:rPr>
        <w:t xml:space="preserve">u fokusu, </w:t>
      </w:r>
      <w:r w:rsidRPr="00AB15C7">
        <w:rPr>
          <w:rFonts w:ascii="Cambria" w:hAnsi="Cambria" w:cs="TimesNewRomanPSMT"/>
          <w:noProof/>
          <w:lang w:val="hr-HR"/>
        </w:rPr>
        <w:t>niti je ova oblast u aktivnostima NVO obra</w:t>
      </w:r>
      <w:r>
        <w:rPr>
          <w:rFonts w:ascii="Cambria" w:hAnsi="Cambria" w:cs="TimesNewRomanPSMT"/>
          <w:noProof/>
          <w:lang w:val="hr-HR"/>
        </w:rPr>
        <w:t>đ</w:t>
      </w:r>
      <w:r w:rsidRPr="00AB15C7">
        <w:rPr>
          <w:rFonts w:ascii="Cambria" w:hAnsi="Cambria" w:cs="TimesNewRomanPSMT"/>
          <w:noProof/>
          <w:lang w:val="hr-HR"/>
        </w:rPr>
        <w:t xml:space="preserve">ivana osim u okviru pitanja zaštite životne sredine. Takođe, pitanje zaštite zdravlja </w:t>
      </w:r>
      <w:r w:rsidR="00554E1D">
        <w:rPr>
          <w:rFonts w:ascii="Cambria" w:hAnsi="Cambria" w:cs="TimesNewRomanPSMT"/>
          <w:noProof/>
          <w:lang w:val="hr-HR"/>
        </w:rPr>
        <w:t xml:space="preserve">ljudi </w:t>
      </w:r>
      <w:r w:rsidRPr="00AB15C7">
        <w:rPr>
          <w:rFonts w:ascii="Cambria" w:hAnsi="Cambria" w:cs="TimesNewRomanPSMT"/>
          <w:noProof/>
          <w:lang w:val="hr-HR"/>
        </w:rPr>
        <w:t>od hemikalija u proizvodima u svakodnevnoj upotrebi i po</w:t>
      </w:r>
      <w:r>
        <w:rPr>
          <w:rFonts w:ascii="Cambria" w:hAnsi="Cambria" w:cs="TimesNewRomanPSMT"/>
          <w:noProof/>
          <w:lang w:val="hr-HR"/>
        </w:rPr>
        <w:t>di</w:t>
      </w:r>
      <w:r w:rsidRPr="00AB15C7">
        <w:rPr>
          <w:rFonts w:ascii="Cambria" w:hAnsi="Cambria" w:cs="TimesNewRomanPSMT"/>
          <w:noProof/>
          <w:lang w:val="hr-HR"/>
        </w:rPr>
        <w:t>zanje sv</w:t>
      </w:r>
      <w:r>
        <w:rPr>
          <w:rFonts w:ascii="Cambria" w:hAnsi="Cambria" w:cs="TimesNewRomanPSMT"/>
          <w:noProof/>
          <w:lang w:val="hr-HR"/>
        </w:rPr>
        <w:t>ij</w:t>
      </w:r>
      <w:r w:rsidRPr="00AB15C7">
        <w:rPr>
          <w:rFonts w:ascii="Cambria" w:hAnsi="Cambria" w:cs="TimesNewRomanPSMT"/>
          <w:noProof/>
          <w:lang w:val="hr-HR"/>
        </w:rPr>
        <w:t xml:space="preserve">esti opšte populacije o rizicima </w:t>
      </w:r>
      <w:r>
        <w:rPr>
          <w:rFonts w:ascii="Cambria" w:hAnsi="Cambria" w:cs="TimesNewRomanPSMT"/>
          <w:noProof/>
          <w:lang w:val="hr-HR"/>
        </w:rPr>
        <w:t>i mjerama zaštite prilikom</w:t>
      </w:r>
      <w:r w:rsidRPr="00AB15C7">
        <w:rPr>
          <w:rFonts w:ascii="Cambria" w:hAnsi="Cambria" w:cs="TimesNewRomanPSMT"/>
          <w:noProof/>
          <w:lang w:val="hr-HR"/>
        </w:rPr>
        <w:t xml:space="preserve"> upotreb</w:t>
      </w:r>
      <w:r>
        <w:rPr>
          <w:rFonts w:ascii="Cambria" w:hAnsi="Cambria" w:cs="TimesNewRomanPSMT"/>
          <w:noProof/>
          <w:lang w:val="hr-HR"/>
        </w:rPr>
        <w:t>e</w:t>
      </w:r>
      <w:r w:rsidRPr="00AB15C7">
        <w:rPr>
          <w:rFonts w:ascii="Cambria" w:hAnsi="Cambria" w:cs="TimesNewRomanPSMT"/>
          <w:noProof/>
          <w:lang w:val="hr-HR"/>
        </w:rPr>
        <w:t xml:space="preserve"> hemikalija ili proizvoda koji ih sadrže nije obrađivano </w:t>
      </w:r>
      <w:r>
        <w:rPr>
          <w:rFonts w:ascii="Cambria" w:hAnsi="Cambria" w:cs="TimesNewRomanPSMT"/>
          <w:noProof/>
          <w:lang w:val="hr-HR"/>
        </w:rPr>
        <w:t>od</w:t>
      </w:r>
      <w:r w:rsidRPr="00AB15C7">
        <w:rPr>
          <w:rFonts w:ascii="Cambria" w:hAnsi="Cambria" w:cs="TimesNewRomanPSMT"/>
          <w:noProof/>
          <w:lang w:val="hr-HR"/>
        </w:rPr>
        <w:t xml:space="preserve"> NVO</w:t>
      </w:r>
      <w:r>
        <w:rPr>
          <w:rFonts w:ascii="Cambria" w:hAnsi="Cambria"/>
          <w:noProof/>
          <w:lang w:eastAsia="x-none"/>
        </w:rPr>
        <w:t>, niti od udruženja potrošača</w:t>
      </w:r>
      <w:r>
        <w:rPr>
          <w:rFonts w:ascii="Cambria" w:hAnsi="Cambria" w:cs="TimesNewRomanPSMT"/>
          <w:noProof/>
          <w:lang w:val="hr-HR"/>
        </w:rPr>
        <w:t>.</w:t>
      </w:r>
      <w:r w:rsidRPr="00AB15C7">
        <w:rPr>
          <w:rFonts w:ascii="Cambria" w:hAnsi="Cambria" w:cs="TimesNewRomanPSMT"/>
          <w:noProof/>
          <w:lang w:val="hr-HR"/>
        </w:rPr>
        <w:t xml:space="preserve"> </w:t>
      </w:r>
      <w:r>
        <w:rPr>
          <w:rFonts w:ascii="Cambria" w:hAnsi="Cambria"/>
          <w:noProof/>
          <w:lang w:eastAsia="x-none"/>
        </w:rPr>
        <w:t>Ipak, s obzirom na rizike koje hemikalije predstavljaju po zdravlje ljudi i životnu sredinu, kao i novine koje uvođenje EU koncepta u upravljanju hemikalijama donosi, neka od ovih organizacija bi trebala svoja interesovanja i kapacitete usmjeriti na ovu oblast kako bi se podigla svijest javnosti o ovoj temi i na taj način podstaklo adekvatno upravljanje hemikalijama u Crnoj Gori. S tim u vezi, ovakve aktivnosti civilnog sektora treba podstaći kroz saradnju sa nadležnim organima na realizaciji zajedničkih projekata.</w:t>
      </w:r>
      <w:r w:rsidRPr="008D6F0B">
        <w:rPr>
          <w:rFonts w:ascii="Cambria" w:hAnsi="Cambria"/>
          <w:noProof/>
          <w:lang w:eastAsia="x-none"/>
        </w:rPr>
        <w:t xml:space="preserve"> </w:t>
      </w:r>
    </w:p>
    <w:p w14:paraId="5FCD9193" w14:textId="77777777" w:rsidR="00947E72" w:rsidRDefault="00947E72" w:rsidP="00947E72">
      <w:pPr>
        <w:jc w:val="both"/>
        <w:rPr>
          <w:rFonts w:ascii="Cambria" w:hAnsi="Cambria"/>
          <w:noProof/>
          <w:lang w:eastAsia="x-none"/>
        </w:rPr>
      </w:pPr>
      <w:r>
        <w:rPr>
          <w:rFonts w:ascii="Cambria" w:hAnsi="Cambria"/>
          <w:noProof/>
          <w:lang w:eastAsia="x-none"/>
        </w:rPr>
        <w:t xml:space="preserve">Kadar </w:t>
      </w:r>
      <w:r w:rsidRPr="006861E1">
        <w:rPr>
          <w:rFonts w:ascii="Cambria" w:hAnsi="Cambria"/>
          <w:b/>
          <w:noProof/>
          <w:lang w:eastAsia="x-none"/>
        </w:rPr>
        <w:t>naučno-istraživačkog sektora</w:t>
      </w:r>
      <w:r>
        <w:rPr>
          <w:rFonts w:ascii="Cambria" w:hAnsi="Cambria"/>
          <w:noProof/>
          <w:lang w:eastAsia="x-none"/>
        </w:rPr>
        <w:t xml:space="preserve"> koji radi u oblasti hemije, tehnologije, medicine i farmacije i sl.,  s obzirom na postojeća znanja i profesionalne kapacitete, a nakon nadogradnje znanja u pogledu regulatorne procjene rizika, predstavlja opciju za dodatno poboljšanje kapaciteta angažovanjem eksternih stručnjaka koji bi pružali pomoć nadležnim organima u pogledu procjene rizika od hemikalija i biocidnih proizvoda. Takođe, ovakvi stručnjaci sa izgrađenim profesionalnim autoritetom i </w:t>
      </w:r>
      <w:bookmarkStart w:id="139" w:name="_Hlk523392136"/>
      <w:r>
        <w:rPr>
          <w:rFonts w:ascii="Cambria" w:hAnsi="Cambria"/>
          <w:noProof/>
          <w:lang w:eastAsia="x-none"/>
        </w:rPr>
        <w:t xml:space="preserve">specijalističkim znanjima u oblasti hemije, toksikologije i ekotoksikologije mogu dati značajan doprinos </w:t>
      </w:r>
      <w:r w:rsidRPr="00762344">
        <w:rPr>
          <w:rFonts w:ascii="Cambria" w:hAnsi="Cambria"/>
          <w:noProof/>
          <w:lang w:eastAsia="x-none"/>
        </w:rPr>
        <w:t>upravljanju hemikalijama</w:t>
      </w:r>
      <w:r>
        <w:rPr>
          <w:rFonts w:ascii="Cambria" w:hAnsi="Cambria"/>
          <w:noProof/>
          <w:lang w:eastAsia="x-none"/>
        </w:rPr>
        <w:t xml:space="preserve"> učešćem u edukaciji ciljnih grupa i profesionalnih korisnika o opasnostima i rizicima od hemikalija.</w:t>
      </w:r>
      <w:r w:rsidRPr="00762344">
        <w:rPr>
          <w:rFonts w:ascii="Cambria" w:hAnsi="Cambria"/>
          <w:noProof/>
          <w:lang w:eastAsia="x-none"/>
        </w:rPr>
        <w:t xml:space="preserve"> </w:t>
      </w:r>
      <w:bookmarkEnd w:id="139"/>
    </w:p>
    <w:p w14:paraId="12FA9211" w14:textId="2DD1A374" w:rsidR="00115BD9" w:rsidRPr="00AB15C7" w:rsidRDefault="00115BD9" w:rsidP="00115BD9">
      <w:pPr>
        <w:jc w:val="both"/>
        <w:rPr>
          <w:rFonts w:ascii="Cambria" w:hAnsi="Cambria"/>
          <w:noProof/>
          <w:lang w:eastAsia="x-none"/>
        </w:rPr>
      </w:pPr>
      <w:r>
        <w:rPr>
          <w:rFonts w:ascii="Cambria" w:hAnsi="Cambria"/>
          <w:noProof/>
          <w:lang w:eastAsia="x-none"/>
        </w:rPr>
        <w:lastRenderedPageBreak/>
        <w:t xml:space="preserve">Vezano za oblast </w:t>
      </w:r>
      <w:r w:rsidR="002E260B">
        <w:rPr>
          <w:rFonts w:ascii="Cambria" w:hAnsi="Cambria"/>
          <w:b/>
          <w:noProof/>
          <w:lang w:eastAsia="x-none"/>
        </w:rPr>
        <w:t xml:space="preserve">zaštite </w:t>
      </w:r>
      <w:r w:rsidRPr="00115BD9">
        <w:rPr>
          <w:rFonts w:ascii="Cambria" w:hAnsi="Cambria"/>
          <w:b/>
          <w:noProof/>
          <w:lang w:eastAsia="x-none"/>
        </w:rPr>
        <w:t>na radu</w:t>
      </w:r>
      <w:r>
        <w:rPr>
          <w:rFonts w:ascii="Cambria" w:hAnsi="Cambria"/>
          <w:noProof/>
          <w:lang w:eastAsia="x-none"/>
        </w:rPr>
        <w:t>, s</w:t>
      </w:r>
      <w:r w:rsidRPr="00250F22">
        <w:rPr>
          <w:rFonts w:ascii="Cambria" w:hAnsi="Cambria"/>
          <w:noProof/>
          <w:lang w:eastAsia="x-none"/>
        </w:rPr>
        <w:t>vi privredni subjekti koji u svom radu rukuju sa hemikalijama ili ih koriste u proizvodnji treba da sprovedu detaljnu procjenu rizika pri izlaganju hemijskim materijama na radnim mjestima i utvrde načine bezbjednog rukovanja da bi se izbjeglo nepotrebno izlaganje ili stepen izlaganja sveo na minimum.</w:t>
      </w:r>
      <w:r w:rsidR="005B62D7">
        <w:rPr>
          <w:rFonts w:ascii="Cambria" w:hAnsi="Cambria"/>
          <w:noProof/>
          <w:lang w:eastAsia="x-none"/>
        </w:rPr>
        <w:t xml:space="preserve"> Nivo svijesti zaposlenih stručnih lica je uglavnom na zadovoljavajučem nivou, ali p</w:t>
      </w:r>
      <w:r w:rsidRPr="00250F22">
        <w:rPr>
          <w:rFonts w:ascii="Cambria" w:hAnsi="Cambria"/>
          <w:noProof/>
          <w:lang w:eastAsia="x-none"/>
        </w:rPr>
        <w:t xml:space="preserve">otrebno je </w:t>
      </w:r>
      <w:r w:rsidRPr="00F7528C">
        <w:rPr>
          <w:rFonts w:ascii="Cambria" w:hAnsi="Cambria"/>
          <w:b/>
          <w:noProof/>
          <w:lang w:eastAsia="x-none"/>
        </w:rPr>
        <w:t>nastaviti sa edukacijom zaposlenih</w:t>
      </w:r>
      <w:r w:rsidRPr="00250F22">
        <w:rPr>
          <w:rFonts w:ascii="Cambria" w:hAnsi="Cambria"/>
          <w:noProof/>
          <w:lang w:eastAsia="x-none"/>
        </w:rPr>
        <w:t xml:space="preserve"> o potencijalnim opasnostima i mjerama zaštite, te uspostavljanjem odgovarajuće tehničke kontrole i/ili prim</w:t>
      </w:r>
      <w:r w:rsidR="009E6F26">
        <w:rPr>
          <w:rFonts w:ascii="Cambria" w:hAnsi="Cambria"/>
          <w:noProof/>
          <w:lang w:eastAsia="x-none"/>
        </w:rPr>
        <w:t>j</w:t>
      </w:r>
      <w:r w:rsidRPr="00250F22">
        <w:rPr>
          <w:rFonts w:ascii="Cambria" w:hAnsi="Cambria"/>
          <w:noProof/>
          <w:lang w:eastAsia="x-none"/>
        </w:rPr>
        <w:t xml:space="preserve">enom opreme za ličnu zaštitu </w:t>
      </w:r>
      <w:r w:rsidRPr="00F7528C">
        <w:rPr>
          <w:rFonts w:ascii="Cambria" w:hAnsi="Cambria"/>
          <w:b/>
          <w:noProof/>
          <w:lang w:eastAsia="x-none"/>
        </w:rPr>
        <w:t>minimizovati izloženost na radnim mjestima</w:t>
      </w:r>
      <w:r w:rsidRPr="00250F22">
        <w:rPr>
          <w:rFonts w:ascii="Cambria" w:hAnsi="Cambria"/>
          <w:noProof/>
          <w:lang w:eastAsia="x-none"/>
        </w:rPr>
        <w:t>.</w:t>
      </w:r>
    </w:p>
    <w:p w14:paraId="4A741C69" w14:textId="59B12B5D" w:rsidR="00546C17" w:rsidRDefault="004B2219" w:rsidP="00546C17">
      <w:pPr>
        <w:jc w:val="both"/>
        <w:rPr>
          <w:rFonts w:ascii="Cambria" w:hAnsi="Cambria"/>
          <w:noProof/>
          <w:lang w:val="sr-Latn-ME" w:eastAsia="x-none"/>
        </w:rPr>
      </w:pPr>
      <w:r>
        <w:rPr>
          <w:rFonts w:ascii="Cambria" w:hAnsi="Cambria"/>
          <w:noProof/>
          <w:lang w:eastAsia="x-none"/>
        </w:rPr>
        <w:t>Pored toga</w:t>
      </w:r>
      <w:r w:rsidRPr="00F75761">
        <w:rPr>
          <w:rFonts w:ascii="Cambria" w:hAnsi="Cambria"/>
          <w:noProof/>
          <w:lang w:eastAsia="x-none"/>
        </w:rPr>
        <w:t xml:space="preserve">, potrebno je </w:t>
      </w:r>
      <w:r w:rsidRPr="006861E1">
        <w:rPr>
          <w:rFonts w:ascii="Cambria" w:hAnsi="Cambria"/>
          <w:b/>
          <w:noProof/>
          <w:lang w:val="sr-Latn-ME" w:eastAsia="x-none"/>
        </w:rPr>
        <w:t>uspostaviti Centar za kontrolu trovanja</w:t>
      </w:r>
      <w:r>
        <w:rPr>
          <w:rFonts w:ascii="Cambria" w:hAnsi="Cambria"/>
          <w:b/>
          <w:noProof/>
          <w:lang w:val="sr-Latn-ME" w:eastAsia="x-none"/>
        </w:rPr>
        <w:t xml:space="preserve"> </w:t>
      </w:r>
      <w:r w:rsidRPr="008570A3">
        <w:rPr>
          <w:rFonts w:ascii="Cambria" w:hAnsi="Cambria"/>
          <w:noProof/>
          <w:lang w:val="sr-Latn-ME" w:eastAsia="x-none"/>
        </w:rPr>
        <w:t xml:space="preserve">u </w:t>
      </w:r>
      <w:r>
        <w:rPr>
          <w:rFonts w:ascii="Cambria" w:hAnsi="Cambria"/>
          <w:noProof/>
          <w:lang w:val="sr-Latn-ME" w:eastAsia="x-none"/>
        </w:rPr>
        <w:t>sklopu</w:t>
      </w:r>
      <w:r w:rsidRPr="008570A3">
        <w:rPr>
          <w:rFonts w:ascii="Cambria" w:hAnsi="Cambria"/>
          <w:noProof/>
          <w:lang w:val="sr-Latn-ME" w:eastAsia="x-none"/>
        </w:rPr>
        <w:t xml:space="preserve"> </w:t>
      </w:r>
      <w:r>
        <w:rPr>
          <w:rFonts w:ascii="Cambria" w:hAnsi="Cambria"/>
          <w:noProof/>
          <w:lang w:val="sr-Latn-ME" w:eastAsia="x-none"/>
        </w:rPr>
        <w:t>jedne</w:t>
      </w:r>
      <w:r w:rsidRPr="008570A3">
        <w:rPr>
          <w:rFonts w:ascii="Cambria" w:hAnsi="Cambria"/>
          <w:noProof/>
          <w:lang w:val="sr-Latn-ME" w:eastAsia="x-none"/>
        </w:rPr>
        <w:t xml:space="preserve"> od institu</w:t>
      </w:r>
      <w:r w:rsidRPr="008570A3">
        <w:rPr>
          <w:rFonts w:ascii="Cambria" w:hAnsi="Cambria"/>
          <w:noProof/>
          <w:lang w:val="sr-Latn-RS" w:eastAsia="x-none"/>
        </w:rPr>
        <w:t>cija pod okriljem Ministarstva zdravlja</w:t>
      </w:r>
      <w:r w:rsidR="00554E1D">
        <w:rPr>
          <w:rFonts w:ascii="Cambria" w:hAnsi="Cambria"/>
          <w:noProof/>
          <w:lang w:val="sr-Latn-RS" w:eastAsia="x-none"/>
        </w:rPr>
        <w:t>,</w:t>
      </w:r>
      <w:r w:rsidRPr="00F75761">
        <w:rPr>
          <w:rFonts w:ascii="Cambria" w:hAnsi="Cambria"/>
          <w:noProof/>
          <w:lang w:val="sr-Latn-ME" w:eastAsia="x-none"/>
        </w:rPr>
        <w:t xml:space="preserve"> kao centralnu </w:t>
      </w:r>
      <w:r>
        <w:rPr>
          <w:rFonts w:ascii="Cambria" w:hAnsi="Cambria"/>
          <w:noProof/>
          <w:lang w:val="sr-Latn-ME" w:eastAsia="x-none"/>
        </w:rPr>
        <w:t>tačku</w:t>
      </w:r>
      <w:r w:rsidRPr="00F75761">
        <w:rPr>
          <w:rFonts w:ascii="Cambria" w:hAnsi="Cambria"/>
          <w:noProof/>
          <w:lang w:val="sr-Latn-ME" w:eastAsia="x-none"/>
        </w:rPr>
        <w:t xml:space="preserve"> za </w:t>
      </w:r>
      <w:r>
        <w:rPr>
          <w:rFonts w:ascii="Cambria" w:hAnsi="Cambria"/>
          <w:noProof/>
          <w:lang w:val="sr-Latn-ME" w:eastAsia="x-none"/>
        </w:rPr>
        <w:t xml:space="preserve">prijem i objedinjavanje informacija o trovanjima i hemikalijama kao potencijalnim uzročnicima trovanja, </w:t>
      </w:r>
      <w:r w:rsidRPr="00F75761">
        <w:rPr>
          <w:rFonts w:ascii="Cambria" w:hAnsi="Cambria"/>
          <w:noProof/>
          <w:lang w:val="sr-Latn-ME" w:eastAsia="x-none"/>
        </w:rPr>
        <w:t xml:space="preserve"> koja bi medicinskom osoblju ali i gradjanima </w:t>
      </w:r>
      <w:r>
        <w:rPr>
          <w:rFonts w:ascii="Cambria" w:hAnsi="Cambria"/>
          <w:noProof/>
          <w:lang w:val="sr-Latn-ME" w:eastAsia="x-none"/>
        </w:rPr>
        <w:t xml:space="preserve">bila kontinuirano na raspolaganju za </w:t>
      </w:r>
      <w:r w:rsidRPr="00F75761">
        <w:rPr>
          <w:rFonts w:ascii="Cambria" w:hAnsi="Cambria"/>
          <w:noProof/>
          <w:lang w:val="sr-Latn-ME" w:eastAsia="x-none"/>
        </w:rPr>
        <w:t xml:space="preserve">relevantne informacije o </w:t>
      </w:r>
      <w:r>
        <w:rPr>
          <w:rFonts w:ascii="Cambria" w:hAnsi="Cambria"/>
          <w:noProof/>
          <w:lang w:val="sr-Latn-ME" w:eastAsia="x-none"/>
        </w:rPr>
        <w:t xml:space="preserve">reagovanju u slučaju </w:t>
      </w:r>
      <w:r w:rsidRPr="00F75761">
        <w:rPr>
          <w:rFonts w:ascii="Cambria" w:hAnsi="Cambria"/>
          <w:noProof/>
          <w:lang w:val="sr-Latn-ME" w:eastAsia="x-none"/>
        </w:rPr>
        <w:t>trovanj</w:t>
      </w:r>
      <w:r>
        <w:rPr>
          <w:rFonts w:ascii="Cambria" w:hAnsi="Cambria"/>
          <w:noProof/>
          <w:lang w:val="sr-Latn-ME" w:eastAsia="x-none"/>
        </w:rPr>
        <w:t>a</w:t>
      </w:r>
      <w:r w:rsidRPr="00F75761">
        <w:rPr>
          <w:rFonts w:ascii="Cambria" w:hAnsi="Cambria"/>
          <w:noProof/>
          <w:lang w:val="sr-Latn-ME" w:eastAsia="x-none"/>
        </w:rPr>
        <w:t xml:space="preserve">, </w:t>
      </w:r>
      <w:r>
        <w:rPr>
          <w:rFonts w:ascii="Cambria" w:hAnsi="Cambria"/>
          <w:noProof/>
          <w:lang w:val="sr-Latn-ME" w:eastAsia="x-none"/>
        </w:rPr>
        <w:t xml:space="preserve">adekvatnom </w:t>
      </w:r>
      <w:r w:rsidRPr="00F75761">
        <w:rPr>
          <w:rFonts w:ascii="Cambria" w:hAnsi="Cambria"/>
          <w:noProof/>
          <w:lang w:val="sr-Latn-ME" w:eastAsia="x-none"/>
        </w:rPr>
        <w:t xml:space="preserve">tretmanu </w:t>
      </w:r>
      <w:r>
        <w:rPr>
          <w:rFonts w:ascii="Cambria" w:hAnsi="Cambria"/>
          <w:noProof/>
          <w:lang w:val="sr-Latn-ME" w:eastAsia="x-none"/>
        </w:rPr>
        <w:t xml:space="preserve">i </w:t>
      </w:r>
      <w:r w:rsidRPr="00F75761">
        <w:rPr>
          <w:rFonts w:ascii="Cambria" w:hAnsi="Cambria"/>
          <w:noProof/>
          <w:lang w:val="sr-Latn-ME" w:eastAsia="x-none"/>
        </w:rPr>
        <w:t xml:space="preserve">antidotima.  </w:t>
      </w:r>
      <w:r>
        <w:rPr>
          <w:rFonts w:ascii="Cambria" w:hAnsi="Cambria"/>
          <w:noProof/>
          <w:lang w:val="sr-Latn-ME" w:eastAsia="x-none"/>
        </w:rPr>
        <w:t xml:space="preserve">Obaveza uspostavljanja Centra za kontolu trovanja u </w:t>
      </w:r>
      <w:r w:rsidRPr="00F85773">
        <w:rPr>
          <w:rFonts w:ascii="Cambria" w:hAnsi="Cambria"/>
          <w:noProof/>
          <w:lang w:val="sr-Latn-ME" w:eastAsia="x-none"/>
        </w:rPr>
        <w:t xml:space="preserve">EU </w:t>
      </w:r>
      <w:r>
        <w:rPr>
          <w:rFonts w:ascii="Cambria" w:hAnsi="Cambria"/>
          <w:noProof/>
          <w:lang w:val="sr-Latn-ME" w:eastAsia="x-none"/>
        </w:rPr>
        <w:t xml:space="preserve">proističe iz CLP uredbe prema kojoj su zemlje članice EU dužne da uspostave </w:t>
      </w:r>
      <w:r w:rsidRPr="00F85773">
        <w:rPr>
          <w:rFonts w:ascii="Cambria" w:hAnsi="Cambria"/>
          <w:noProof/>
          <w:lang w:val="sr-Latn-ME" w:eastAsia="x-none"/>
        </w:rPr>
        <w:t xml:space="preserve">organe (često poznate kao centri za trovanje) za </w:t>
      </w:r>
      <w:r>
        <w:rPr>
          <w:rFonts w:ascii="Cambria" w:hAnsi="Cambria"/>
          <w:noProof/>
          <w:lang w:val="sr-Latn-ME" w:eastAsia="x-none"/>
        </w:rPr>
        <w:t xml:space="preserve">prikupljanje i objedinjavanje </w:t>
      </w:r>
      <w:r w:rsidRPr="00F85773">
        <w:rPr>
          <w:rFonts w:ascii="Cambria" w:hAnsi="Cambria"/>
          <w:noProof/>
          <w:lang w:val="sr-Latn-ME" w:eastAsia="x-none"/>
        </w:rPr>
        <w:t xml:space="preserve">informacija o </w:t>
      </w:r>
      <w:r>
        <w:rPr>
          <w:rFonts w:ascii="Cambria" w:hAnsi="Cambria"/>
          <w:noProof/>
          <w:lang w:val="sr-Latn-ME" w:eastAsia="x-none"/>
        </w:rPr>
        <w:t xml:space="preserve">trovanjima hemijskim agensima, a u cilju formulisanja odgovarajućih preventivnih i kurativnih mjera u slučaju trovanja. </w:t>
      </w:r>
      <w:r w:rsidRPr="00F85773">
        <w:rPr>
          <w:rFonts w:ascii="Cambria" w:hAnsi="Cambria"/>
          <w:noProof/>
          <w:lang w:val="sr-Latn-ME" w:eastAsia="x-none"/>
        </w:rPr>
        <w:t xml:space="preserve"> </w:t>
      </w:r>
      <w:r>
        <w:rPr>
          <w:rFonts w:ascii="Cambria" w:hAnsi="Cambria"/>
          <w:noProof/>
          <w:lang w:val="sr-Latn-ME" w:eastAsia="x-none"/>
        </w:rPr>
        <w:t>Centar treba da ima osoblje specijalizovano u oblasti toksikologije i/ili urgentne medicine, potrebne baze podataka o adekvatnom tretmanu i antidotima, sredstva za reagovanje u slučaju trovanja, kao i da ima adekvatne komunikacione veze sa svim relevantnim zdravstvenim ustanovama. Takođe, imajući u vidu da je</w:t>
      </w:r>
      <w:r w:rsidRPr="0061179A">
        <w:rPr>
          <w:rFonts w:ascii="Cambria" w:hAnsi="Cambria"/>
          <w:noProof/>
          <w:lang w:val="sr-Latn-ME" w:eastAsia="x-none"/>
        </w:rPr>
        <w:t xml:space="preserve"> Institut</w:t>
      </w:r>
      <w:r>
        <w:rPr>
          <w:rFonts w:ascii="Cambria" w:hAnsi="Cambria"/>
          <w:noProof/>
          <w:lang w:val="sr-Latn-ME" w:eastAsia="x-none"/>
        </w:rPr>
        <w:t xml:space="preserve"> </w:t>
      </w:r>
      <w:r w:rsidRPr="0061179A">
        <w:rPr>
          <w:rFonts w:ascii="Cambria" w:hAnsi="Cambria"/>
          <w:noProof/>
          <w:lang w:val="sr-Latn-ME" w:eastAsia="x-none"/>
        </w:rPr>
        <w:t>za javno zdravlje</w:t>
      </w:r>
      <w:r>
        <w:rPr>
          <w:rFonts w:ascii="Cambria" w:hAnsi="Cambria"/>
          <w:noProof/>
          <w:lang w:val="sr-Latn-ME" w:eastAsia="x-none"/>
        </w:rPr>
        <w:t xml:space="preserve"> zadužen za vođenje </w:t>
      </w:r>
      <w:r w:rsidRPr="0061179A">
        <w:rPr>
          <w:rFonts w:ascii="Cambria" w:hAnsi="Cambria"/>
          <w:noProof/>
          <w:lang w:val="sr-Latn-ME" w:eastAsia="x-none"/>
        </w:rPr>
        <w:t xml:space="preserve">evidencija </w:t>
      </w:r>
      <w:r w:rsidRPr="0061179A">
        <w:rPr>
          <w:rFonts w:ascii="Cambria" w:hAnsi="Cambria"/>
          <w:noProof/>
          <w:lang w:val="sr-Latn-CS" w:eastAsia="x-none"/>
        </w:rPr>
        <w:t>i zdravstveno-statističkih podataka</w:t>
      </w:r>
      <w:r>
        <w:rPr>
          <w:rFonts w:ascii="Cambria" w:hAnsi="Cambria"/>
          <w:noProof/>
          <w:lang w:val="sr-Latn-CS" w:eastAsia="x-none"/>
        </w:rPr>
        <w:t>,</w:t>
      </w:r>
      <w:r>
        <w:rPr>
          <w:rFonts w:ascii="Cambria" w:hAnsi="Cambria"/>
          <w:noProof/>
          <w:lang w:val="sr-Latn-ME" w:eastAsia="x-none"/>
        </w:rPr>
        <w:t xml:space="preserve"> potrebno je uspostaviti blisku saradnju budućeg Centra za kontrolu trovanja sa ovim institutom radi efikasne i detaljne razmjene podataka u vezi sa trovanjima. Pored toga, budući centar treba da ima komunikaciju sa AZPŽS, ali i </w:t>
      </w:r>
      <w:r w:rsidRPr="00920B64">
        <w:rPr>
          <w:rFonts w:ascii="Cambria" w:hAnsi="Cambria"/>
          <w:noProof/>
          <w:lang w:val="sr-Latn-ME" w:eastAsia="x-none"/>
        </w:rPr>
        <w:t>UBHVFP</w:t>
      </w:r>
      <w:r>
        <w:rPr>
          <w:rFonts w:ascii="Cambria" w:hAnsi="Cambria"/>
          <w:noProof/>
          <w:lang w:val="sr-Latn-ME" w:eastAsia="x-none"/>
        </w:rPr>
        <w:t xml:space="preserve"> radi efikasne razmjene informacija o potencijalnim uzročnicima trovanja (hemikalijama, biocidnim proizvodima i sredstvima za zaštitu bilja) koji se nalaze na tržištu Crne Gore, kao i  </w:t>
      </w:r>
      <w:r w:rsidRPr="00BA6F07">
        <w:rPr>
          <w:rFonts w:ascii="Cambria" w:hAnsi="Cambria"/>
          <w:noProof/>
          <w:lang w:val="sr-Latn-ME" w:eastAsia="x-none"/>
        </w:rPr>
        <w:t>preventivnim mjerama koje treba preduzeti za sprječavanje trovanja</w:t>
      </w:r>
      <w:r>
        <w:rPr>
          <w:rFonts w:ascii="Cambria" w:hAnsi="Cambria"/>
          <w:noProof/>
          <w:lang w:val="sr-Latn-ME" w:eastAsia="x-none"/>
        </w:rPr>
        <w:t>.</w:t>
      </w:r>
      <w:r w:rsidRPr="00BA6F07">
        <w:rPr>
          <w:rFonts w:ascii="Cambria" w:hAnsi="Cambria"/>
          <w:noProof/>
          <w:lang w:val="sr-Latn-ME" w:eastAsia="x-none"/>
        </w:rPr>
        <w:t xml:space="preserve"> </w:t>
      </w:r>
    </w:p>
    <w:p w14:paraId="34C2A6C7" w14:textId="0617E420" w:rsidR="00546C17" w:rsidRDefault="00546C17" w:rsidP="00546C17">
      <w:pPr>
        <w:jc w:val="both"/>
        <w:rPr>
          <w:rFonts w:ascii="Cambria" w:hAnsi="Cambria" w:cs="TimesNewRomanPSMT"/>
          <w:noProof/>
          <w:lang w:val="sr-Latn-ME"/>
        </w:rPr>
      </w:pPr>
      <w:r>
        <w:rPr>
          <w:rFonts w:ascii="Cambria" w:hAnsi="Cambria"/>
          <w:noProof/>
          <w:lang w:eastAsia="x-none"/>
        </w:rPr>
        <w:t xml:space="preserve">Legislativa i organi nadležni </w:t>
      </w:r>
      <w:r w:rsidRPr="00AB15C7">
        <w:rPr>
          <w:rFonts w:ascii="Cambria" w:hAnsi="Cambria"/>
          <w:noProof/>
          <w:lang w:eastAsia="x-none"/>
        </w:rPr>
        <w:t xml:space="preserve">za </w:t>
      </w:r>
      <w:r>
        <w:rPr>
          <w:rFonts w:ascii="Cambria" w:hAnsi="Cambria"/>
          <w:noProof/>
          <w:lang w:eastAsia="x-none"/>
        </w:rPr>
        <w:t xml:space="preserve">vanredne situacije, uključujuči i </w:t>
      </w:r>
      <w:r w:rsidRPr="00507E78">
        <w:rPr>
          <w:rFonts w:ascii="Cambria" w:hAnsi="Cambria"/>
          <w:b/>
          <w:noProof/>
          <w:lang w:eastAsia="x-none"/>
        </w:rPr>
        <w:t xml:space="preserve">hemijske </w:t>
      </w:r>
      <w:r>
        <w:rPr>
          <w:rFonts w:ascii="Cambria" w:hAnsi="Cambria"/>
          <w:b/>
          <w:noProof/>
          <w:lang w:eastAsia="x-none"/>
        </w:rPr>
        <w:t>udese</w:t>
      </w:r>
      <w:r w:rsidRPr="00AB15C7">
        <w:rPr>
          <w:rFonts w:ascii="Cambria" w:hAnsi="Cambria"/>
          <w:noProof/>
          <w:lang w:eastAsia="x-none"/>
        </w:rPr>
        <w:t xml:space="preserve">, </w:t>
      </w:r>
      <w:r>
        <w:rPr>
          <w:rFonts w:ascii="Cambria" w:hAnsi="Cambria"/>
          <w:noProof/>
          <w:lang w:eastAsia="x-none"/>
        </w:rPr>
        <w:t>kao i relevantni planovi i koordinacioni mehanizmi su uspostavljeni i operativni. O</w:t>
      </w:r>
      <w:r w:rsidRPr="00546C17">
        <w:rPr>
          <w:rFonts w:ascii="Cambria" w:hAnsi="Cambria"/>
          <w:noProof/>
          <w:lang w:eastAsia="x-none"/>
        </w:rPr>
        <w:t xml:space="preserve">bezbijeđena je oprema koja odgovara potrebama za reagovanje u hemijskom udesu  i </w:t>
      </w:r>
      <w:r>
        <w:rPr>
          <w:rFonts w:ascii="Cambria" w:hAnsi="Cambria"/>
          <w:noProof/>
          <w:lang w:eastAsia="x-none"/>
        </w:rPr>
        <w:t xml:space="preserve">sprovedene </w:t>
      </w:r>
      <w:r w:rsidRPr="00546C17">
        <w:rPr>
          <w:rFonts w:ascii="Cambria" w:hAnsi="Cambria"/>
          <w:noProof/>
          <w:lang w:eastAsia="x-none"/>
        </w:rPr>
        <w:t>obuke za jedan tim spasilaca Službe zaštite Glavnog grada i dvije vježbe za testiranje odgovora n</w:t>
      </w:r>
      <w:r>
        <w:rPr>
          <w:rFonts w:ascii="Cambria" w:hAnsi="Cambria"/>
          <w:noProof/>
          <w:lang w:eastAsia="x-none"/>
        </w:rPr>
        <w:t>a</w:t>
      </w:r>
      <w:r w:rsidRPr="00546C17">
        <w:rPr>
          <w:rFonts w:ascii="Cambria" w:hAnsi="Cambria"/>
          <w:noProof/>
          <w:lang w:eastAsia="x-none"/>
        </w:rPr>
        <w:t xml:space="preserve"> hemijski udes</w:t>
      </w:r>
      <w:r>
        <w:rPr>
          <w:rFonts w:ascii="Cambria" w:hAnsi="Cambria"/>
          <w:noProof/>
          <w:lang w:eastAsia="x-none"/>
        </w:rPr>
        <w:t>.</w:t>
      </w:r>
      <w:r w:rsidR="00D025A9" w:rsidRPr="00D025A9">
        <w:rPr>
          <w:rFonts w:ascii="Cambria" w:hAnsi="Cambria" w:cs="TimesNewRomanPSMT"/>
          <w:noProof/>
          <w:lang w:val="sr-Latn-ME"/>
        </w:rPr>
        <w:t xml:space="preserve"> Međutim, treba </w:t>
      </w:r>
      <w:r w:rsidR="00D025A9" w:rsidRPr="00F7528C">
        <w:rPr>
          <w:rFonts w:ascii="Cambria" w:hAnsi="Cambria" w:cs="TimesNewRomanPSMT"/>
          <w:b/>
          <w:noProof/>
          <w:lang w:val="sr-Latn-ME"/>
        </w:rPr>
        <w:t xml:space="preserve">nastaviti sa jačanjem kapaciteta </w:t>
      </w:r>
      <w:r w:rsidR="00F7528C" w:rsidRPr="00F7528C">
        <w:rPr>
          <w:rFonts w:ascii="Cambria" w:hAnsi="Cambria"/>
          <w:b/>
          <w:noProof/>
          <w:lang w:eastAsia="x-none"/>
        </w:rPr>
        <w:t>u lancu službi za reagovanje u slučaju hemijskog akcidenta</w:t>
      </w:r>
      <w:r w:rsidR="00F7528C" w:rsidRPr="00D025A9">
        <w:rPr>
          <w:rFonts w:ascii="Cambria" w:hAnsi="Cambria" w:cs="TimesNewRomanPSMT"/>
          <w:noProof/>
          <w:lang w:val="sr-Latn-ME"/>
        </w:rPr>
        <w:t xml:space="preserve"> </w:t>
      </w:r>
      <w:r w:rsidR="00D025A9" w:rsidRPr="00D025A9">
        <w:rPr>
          <w:rFonts w:ascii="Cambria" w:hAnsi="Cambria" w:cs="TimesNewRomanPSMT"/>
          <w:noProof/>
          <w:lang w:val="sr-Latn-ME"/>
        </w:rPr>
        <w:t>na svim nivoima</w:t>
      </w:r>
      <w:r w:rsidR="00F7528C">
        <w:rPr>
          <w:rFonts w:ascii="Cambria" w:hAnsi="Cambria" w:cs="TimesNewRomanPSMT"/>
          <w:noProof/>
          <w:lang w:val="sr-Latn-ME"/>
        </w:rPr>
        <w:t>,</w:t>
      </w:r>
      <w:r w:rsidR="00D025A9" w:rsidRPr="00D025A9">
        <w:rPr>
          <w:rFonts w:ascii="Cambria" w:hAnsi="Cambria" w:cs="TimesNewRomanPSMT"/>
          <w:noProof/>
          <w:lang w:val="sr-Latn-ME"/>
        </w:rPr>
        <w:t xml:space="preserve"> kroz organizovanje obuka i nabavku adekvatne lične i kolektivne opreme. S tim u vezi preporučuje se uspostavljanje Nacionalnog trening centra za stručno osposobljavanje i usavršavanje pripadnika operativnih jedinica za zaštitu i spašavanje i drugih učesnika sistema zaštite i spašavanja. Iako prevoz hemikalija predstavlja samo jednu od karika u sistemu u kojem se može dogoditi hemijski udes, tom sistemu treba posvetiti posebnu pažnju, jer iskustvo pokazuje da se značajan broj hemijskih udes događa upravo u prevozu. Pored toga, treba dodatno osigurati pripremljenost  operatera postrojenja u kojima se obavljaju aktivnosti sa značajnim količinama opasnih materija kroz kontrolu izvršavanja obaveza u pogledu izrada planova prevencije i zaštite od udesa.</w:t>
      </w:r>
    </w:p>
    <w:p w14:paraId="345E11CB" w14:textId="04C7C9D0" w:rsidR="00554E1D" w:rsidRDefault="00F7528C" w:rsidP="00856CE5">
      <w:pPr>
        <w:pBdr>
          <w:top w:val="single" w:sz="4" w:space="1" w:color="auto"/>
          <w:left w:val="single" w:sz="4" w:space="4" w:color="auto"/>
          <w:bottom w:val="single" w:sz="4" w:space="1" w:color="auto"/>
          <w:right w:val="single" w:sz="4" w:space="4" w:color="auto"/>
        </w:pBdr>
        <w:jc w:val="both"/>
        <w:rPr>
          <w:rFonts w:ascii="Cambria" w:hAnsi="Cambria"/>
          <w:lang w:val="sr-Latn-CS" w:eastAsia="x-none"/>
        </w:rPr>
      </w:pPr>
      <w:r w:rsidRPr="00F7528C">
        <w:rPr>
          <w:rFonts w:ascii="Cambria" w:hAnsi="Cambria"/>
          <w:b/>
          <w:lang w:val="sr-Latn-CS" w:eastAsia="x-none"/>
        </w:rPr>
        <w:t>Prioritetni izazov</w:t>
      </w:r>
      <w:r>
        <w:rPr>
          <w:rFonts w:ascii="Cambria" w:hAnsi="Cambria"/>
          <w:b/>
          <w:lang w:val="sr-Latn-CS" w:eastAsia="x-none"/>
        </w:rPr>
        <w:t>i</w:t>
      </w:r>
      <w:r w:rsidRPr="00F7528C">
        <w:rPr>
          <w:rFonts w:ascii="Cambria" w:hAnsi="Cambria"/>
          <w:b/>
          <w:lang w:val="sr-Latn-CS" w:eastAsia="x-none"/>
        </w:rPr>
        <w:t xml:space="preserve"> </w:t>
      </w:r>
      <w:r w:rsidR="00554E1D" w:rsidRPr="00C82968">
        <w:rPr>
          <w:rFonts w:ascii="Cambria" w:hAnsi="Cambria"/>
          <w:lang w:val="sr-Latn-CS" w:eastAsia="x-none"/>
        </w:rPr>
        <w:t xml:space="preserve">i aspekti djelovanja </w:t>
      </w:r>
      <w:r w:rsidRPr="00F7528C">
        <w:rPr>
          <w:rFonts w:ascii="Cambria" w:hAnsi="Cambria"/>
          <w:lang w:val="sr-Latn-CS" w:eastAsia="x-none"/>
        </w:rPr>
        <w:t xml:space="preserve">u ovom segmentu analize su višestruki. </w:t>
      </w:r>
    </w:p>
    <w:p w14:paraId="0BE9C7F5" w14:textId="77777777" w:rsidR="00554E1D" w:rsidRDefault="00F81D31" w:rsidP="00856CE5">
      <w:pPr>
        <w:pBdr>
          <w:top w:val="single" w:sz="4" w:space="1" w:color="auto"/>
          <w:left w:val="single" w:sz="4" w:space="4" w:color="auto"/>
          <w:bottom w:val="single" w:sz="4" w:space="1" w:color="auto"/>
          <w:right w:val="single" w:sz="4" w:space="4" w:color="auto"/>
        </w:pBdr>
        <w:jc w:val="both"/>
        <w:rPr>
          <w:rFonts w:ascii="Cambria" w:hAnsi="Cambria"/>
          <w:b/>
          <w:lang w:val="sr-Latn-CS" w:eastAsia="x-none"/>
        </w:rPr>
      </w:pPr>
      <w:r w:rsidRPr="00F81D31">
        <w:rPr>
          <w:rFonts w:ascii="Cambria" w:hAnsi="Cambria"/>
          <w:b/>
          <w:lang w:val="sr-Latn-CS" w:eastAsia="x-none"/>
        </w:rPr>
        <w:t>Nivo</w:t>
      </w:r>
      <w:r>
        <w:rPr>
          <w:rFonts w:ascii="Cambria" w:hAnsi="Cambria"/>
          <w:lang w:val="sr-Latn-CS" w:eastAsia="x-none"/>
        </w:rPr>
        <w:t xml:space="preserve"> </w:t>
      </w:r>
      <w:r w:rsidR="00F7528C" w:rsidRPr="00F7528C">
        <w:rPr>
          <w:rFonts w:ascii="Cambria" w:hAnsi="Cambria"/>
          <w:b/>
          <w:lang w:val="sr-Latn-CS" w:eastAsia="x-none"/>
        </w:rPr>
        <w:t xml:space="preserve">svijesti potrošača i opšte javnosti o rizicima od hemikalija </w:t>
      </w:r>
      <w:r w:rsidR="00F7528C" w:rsidRPr="00F7528C">
        <w:rPr>
          <w:rFonts w:ascii="Cambria" w:hAnsi="Cambria"/>
          <w:lang w:val="sr-Latn-CS" w:eastAsia="x-none"/>
        </w:rPr>
        <w:t>i potrebi adekvatnog upravljanja hemikalijama</w:t>
      </w:r>
      <w:r>
        <w:rPr>
          <w:rFonts w:ascii="Cambria" w:hAnsi="Cambria"/>
          <w:lang w:val="sr-Latn-CS" w:eastAsia="x-none"/>
        </w:rPr>
        <w:t xml:space="preserve">  je </w:t>
      </w:r>
      <w:r w:rsidRPr="00F81D31">
        <w:rPr>
          <w:rFonts w:ascii="Cambria" w:hAnsi="Cambria"/>
          <w:b/>
          <w:lang w:val="sr-Latn-CS" w:eastAsia="x-none"/>
        </w:rPr>
        <w:t>na niskom nivou</w:t>
      </w:r>
      <w:r w:rsidR="00F7528C" w:rsidRPr="00F7528C">
        <w:rPr>
          <w:rFonts w:ascii="Cambria" w:hAnsi="Cambria"/>
          <w:lang w:val="sr-Latn-CS" w:eastAsia="x-none"/>
        </w:rPr>
        <w:t xml:space="preserve">. Iako, nadležni organi i ovlašćene institucije (IJZ) u okviru svojih zaduženja i mogućnosti  sprovode informisanje i edukacije određenih ciljnih grupa, da bi se postigao zadovoljavajući nivo svijesti opšte populacije </w:t>
      </w:r>
      <w:r>
        <w:rPr>
          <w:rFonts w:ascii="Cambria" w:hAnsi="Cambria"/>
          <w:lang w:val="sr-Latn-CS" w:eastAsia="x-none"/>
        </w:rPr>
        <w:t xml:space="preserve">u aktivnosti na </w:t>
      </w:r>
      <w:r w:rsidR="00F7528C" w:rsidRPr="00F7528C">
        <w:rPr>
          <w:rFonts w:ascii="Cambria" w:hAnsi="Cambria"/>
          <w:lang w:val="sr-Latn-CS" w:eastAsia="x-none"/>
        </w:rPr>
        <w:t>podizanju svijesti o rizicima od hemikalija</w:t>
      </w:r>
      <w:r>
        <w:rPr>
          <w:rFonts w:ascii="Cambria" w:hAnsi="Cambria"/>
          <w:lang w:val="sr-Latn-CS" w:eastAsia="x-none"/>
        </w:rPr>
        <w:t xml:space="preserve"> </w:t>
      </w:r>
      <w:r w:rsidR="00F7528C" w:rsidRPr="00F7528C">
        <w:rPr>
          <w:rFonts w:ascii="Cambria" w:hAnsi="Cambria"/>
          <w:lang w:val="sr-Latn-CS" w:eastAsia="x-none"/>
        </w:rPr>
        <w:t>treba uključiti i druge zainteresovane strane, sa akcentom na</w:t>
      </w:r>
      <w:r w:rsidR="00F7528C" w:rsidRPr="00F7528C">
        <w:rPr>
          <w:rFonts w:ascii="Cambria" w:hAnsi="Cambria"/>
          <w:b/>
          <w:lang w:val="sr-Latn-CS" w:eastAsia="x-none"/>
        </w:rPr>
        <w:t xml:space="preserve"> uspostavljanje partnerstva nadležnih organa sa  NVO</w:t>
      </w:r>
      <w:r w:rsidR="00F7528C">
        <w:rPr>
          <w:rFonts w:ascii="Cambria" w:hAnsi="Cambria"/>
          <w:b/>
          <w:lang w:val="sr-Latn-CS" w:eastAsia="x-none"/>
        </w:rPr>
        <w:t xml:space="preserve"> i</w:t>
      </w:r>
      <w:r w:rsidR="00F7528C" w:rsidRPr="00F7528C">
        <w:rPr>
          <w:rFonts w:ascii="Cambria" w:hAnsi="Cambria"/>
          <w:b/>
          <w:lang w:val="sr-Latn-CS" w:eastAsia="x-none"/>
        </w:rPr>
        <w:t xml:space="preserve"> udruženjima potrošača na širenju informacija i podizanju svijesti u ovoj oblasti. </w:t>
      </w:r>
    </w:p>
    <w:p w14:paraId="35121D07" w14:textId="77777777" w:rsidR="00554E1D" w:rsidRDefault="00F7528C" w:rsidP="00856CE5">
      <w:pPr>
        <w:pBdr>
          <w:top w:val="single" w:sz="4" w:space="1" w:color="auto"/>
          <w:left w:val="single" w:sz="4" w:space="4" w:color="auto"/>
          <w:bottom w:val="single" w:sz="4" w:space="1" w:color="auto"/>
          <w:right w:val="single" w:sz="4" w:space="4" w:color="auto"/>
        </w:pBdr>
        <w:jc w:val="both"/>
        <w:rPr>
          <w:rFonts w:ascii="Cambria" w:hAnsi="Cambria"/>
          <w:lang w:val="sr-Latn-CS" w:eastAsia="x-none"/>
        </w:rPr>
      </w:pPr>
      <w:r w:rsidRPr="00856CE5">
        <w:rPr>
          <w:rFonts w:ascii="Cambria" w:hAnsi="Cambria"/>
          <w:lang w:val="sr-Latn-CS" w:eastAsia="x-none"/>
        </w:rPr>
        <w:lastRenderedPageBreak/>
        <w:t>Potrebno je</w:t>
      </w:r>
      <w:r w:rsidRPr="00F7528C">
        <w:rPr>
          <w:rFonts w:ascii="Cambria" w:hAnsi="Cambria"/>
          <w:b/>
          <w:lang w:val="sr-Latn-CS" w:eastAsia="x-none"/>
        </w:rPr>
        <w:t xml:space="preserve"> uspostaviti Centar za kontrolu trovanja </w:t>
      </w:r>
      <w:r w:rsidRPr="00856CE5">
        <w:rPr>
          <w:rFonts w:ascii="Cambria" w:hAnsi="Cambria"/>
          <w:lang w:val="sr-Latn-CS" w:eastAsia="x-none"/>
        </w:rPr>
        <w:t xml:space="preserve">koji ce pored obavljanja uloge centralne tačke za prijem i objedinjavanje informacija o trovanjima,  kontinuirano bila na raspolaganju medicinskom osoblju ali i gradjanima, za relevantne informacije o reagovanju u slučaju trovanja, adekvatnom tretmanu i antidotima.   </w:t>
      </w:r>
    </w:p>
    <w:p w14:paraId="781BE27C" w14:textId="77777777" w:rsidR="00542D5D" w:rsidRDefault="00F7528C" w:rsidP="00856CE5">
      <w:pPr>
        <w:pBdr>
          <w:top w:val="single" w:sz="4" w:space="1" w:color="auto"/>
          <w:left w:val="single" w:sz="4" w:space="4" w:color="auto"/>
          <w:bottom w:val="single" w:sz="4" w:space="1" w:color="auto"/>
          <w:right w:val="single" w:sz="4" w:space="4" w:color="auto"/>
        </w:pBdr>
        <w:jc w:val="both"/>
        <w:rPr>
          <w:rFonts w:ascii="Cambria" w:hAnsi="Cambria"/>
          <w:b/>
          <w:lang w:val="sr-Latn-CS" w:eastAsia="x-none"/>
        </w:rPr>
      </w:pPr>
      <w:r w:rsidRPr="00856CE5">
        <w:rPr>
          <w:rFonts w:ascii="Cambria" w:hAnsi="Cambria"/>
          <w:lang w:val="sr-Latn-CS" w:eastAsia="x-none"/>
        </w:rPr>
        <w:t xml:space="preserve">U vezi sa  </w:t>
      </w:r>
      <w:r w:rsidRPr="00856CE5">
        <w:rPr>
          <w:rFonts w:ascii="Cambria" w:hAnsi="Cambria"/>
          <w:b/>
          <w:lang w:val="sr-Latn-CS" w:eastAsia="x-none"/>
        </w:rPr>
        <w:t>mjerama zaštite pri izlaganju hemijskim materijama</w:t>
      </w:r>
      <w:r w:rsidRPr="00856CE5">
        <w:rPr>
          <w:rFonts w:ascii="Cambria" w:hAnsi="Cambria"/>
          <w:lang w:val="sr-Latn-CS" w:eastAsia="x-none"/>
        </w:rPr>
        <w:t xml:space="preserve"> na radnim mjestima, nivo svijesti</w:t>
      </w:r>
      <w:r w:rsidRPr="00F7528C">
        <w:rPr>
          <w:rFonts w:ascii="Cambria" w:hAnsi="Cambria"/>
          <w:b/>
          <w:lang w:val="sr-Latn-CS" w:eastAsia="x-none"/>
        </w:rPr>
        <w:t xml:space="preserve"> </w:t>
      </w:r>
      <w:r w:rsidRPr="00856CE5">
        <w:rPr>
          <w:rFonts w:ascii="Cambria" w:hAnsi="Cambria"/>
          <w:lang w:val="sr-Latn-CS" w:eastAsia="x-none"/>
        </w:rPr>
        <w:t>zaposlenih stručnih lica je uglavnom na zadovoljavajučem nivou, ali potrebno je</w:t>
      </w:r>
      <w:r w:rsidRPr="00F7528C">
        <w:rPr>
          <w:rFonts w:ascii="Cambria" w:hAnsi="Cambria"/>
          <w:b/>
          <w:lang w:val="sr-Latn-CS" w:eastAsia="x-none"/>
        </w:rPr>
        <w:t xml:space="preserve"> nastaviti sa edukacijom zaposlenih </w:t>
      </w:r>
      <w:r w:rsidRPr="00856CE5">
        <w:rPr>
          <w:rFonts w:ascii="Cambria" w:hAnsi="Cambria"/>
          <w:lang w:val="sr-Latn-CS" w:eastAsia="x-none"/>
        </w:rPr>
        <w:t>o potencijalnim opasnostima i mjerama zaštite te uspostavljanjem odgovarajuće tehničke kontrole i/ili primjenom opreme za ličnu zaštitu</w:t>
      </w:r>
      <w:r w:rsidRPr="00F7528C">
        <w:rPr>
          <w:rFonts w:ascii="Cambria" w:hAnsi="Cambria"/>
          <w:b/>
          <w:lang w:val="sr-Latn-CS" w:eastAsia="x-none"/>
        </w:rPr>
        <w:t xml:space="preserve"> minimizovati izloženost na radnim mjestima. </w:t>
      </w:r>
    </w:p>
    <w:p w14:paraId="6422DC60" w14:textId="71983AFD" w:rsidR="00EF2DF7" w:rsidRPr="00554E1D" w:rsidRDefault="00F7528C" w:rsidP="00856CE5">
      <w:pPr>
        <w:pBdr>
          <w:top w:val="single" w:sz="4" w:space="1" w:color="auto"/>
          <w:left w:val="single" w:sz="4" w:space="4" w:color="auto"/>
          <w:bottom w:val="single" w:sz="4" w:space="1" w:color="auto"/>
          <w:right w:val="single" w:sz="4" w:space="4" w:color="auto"/>
        </w:pBdr>
        <w:jc w:val="both"/>
        <w:rPr>
          <w:rFonts w:ascii="Cambria" w:hAnsi="Cambria"/>
          <w:lang w:val="sr-Latn-CS" w:eastAsia="x-none"/>
        </w:rPr>
      </w:pPr>
      <w:r w:rsidRPr="00856CE5">
        <w:rPr>
          <w:rFonts w:ascii="Cambria" w:hAnsi="Cambria"/>
          <w:lang w:val="sr-Latn-CS" w:eastAsia="x-none"/>
        </w:rPr>
        <w:t>Takođe, treba</w:t>
      </w:r>
      <w:r w:rsidRPr="00F7528C">
        <w:rPr>
          <w:rFonts w:ascii="Cambria" w:hAnsi="Cambria"/>
          <w:b/>
          <w:lang w:val="sr-Latn-CS" w:eastAsia="x-none"/>
        </w:rPr>
        <w:t xml:space="preserve"> nastaviti sa jačanjem kapaciteta u lancu službi za reagovanje u slučaju hemijskog akcidenta </w:t>
      </w:r>
      <w:r w:rsidRPr="00856CE5">
        <w:rPr>
          <w:rFonts w:ascii="Cambria" w:hAnsi="Cambria"/>
          <w:lang w:val="sr-Latn-CS" w:eastAsia="x-none"/>
        </w:rPr>
        <w:t>na svim nivoima kroz organizovanje obuka i nabavku adekvatne lične i kolektivne opreme</w:t>
      </w:r>
      <w:r w:rsidR="00856CE5">
        <w:rPr>
          <w:rFonts w:ascii="Cambria" w:hAnsi="Cambria"/>
          <w:lang w:val="sr-Latn-CS" w:eastAsia="x-none"/>
        </w:rPr>
        <w:t>.</w:t>
      </w:r>
    </w:p>
    <w:p w14:paraId="5D8A69BF" w14:textId="088E2C45" w:rsidR="00483135" w:rsidRPr="00483135" w:rsidRDefault="0085708F" w:rsidP="00557C13">
      <w:pPr>
        <w:pStyle w:val="ListParagraph"/>
        <w:widowControl w:val="0"/>
        <w:numPr>
          <w:ilvl w:val="0"/>
          <w:numId w:val="59"/>
        </w:numPr>
        <w:autoSpaceDE w:val="0"/>
        <w:autoSpaceDN w:val="0"/>
        <w:adjustRightInd w:val="0"/>
        <w:jc w:val="both"/>
        <w:rPr>
          <w:rFonts w:ascii="Cambria" w:hAnsi="Cambria"/>
          <w:b/>
          <w:noProof/>
          <w:lang w:eastAsia="x-none"/>
        </w:rPr>
      </w:pPr>
      <w:r>
        <w:rPr>
          <w:rFonts w:ascii="Cambria" w:hAnsi="Cambria"/>
          <w:b/>
          <w:noProof/>
          <w:lang w:val="sr-Latn-ME" w:eastAsia="x-none"/>
        </w:rPr>
        <w:t>M</w:t>
      </w:r>
      <w:r w:rsidR="00483135" w:rsidRPr="00483135">
        <w:rPr>
          <w:rFonts w:ascii="Cambria" w:hAnsi="Cambria"/>
          <w:b/>
          <w:noProof/>
          <w:lang w:val="sr-Latn-ME" w:eastAsia="x-none"/>
        </w:rPr>
        <w:t>eđunarodn</w:t>
      </w:r>
      <w:r w:rsidR="00483135">
        <w:rPr>
          <w:rFonts w:ascii="Cambria" w:hAnsi="Cambria"/>
          <w:b/>
          <w:noProof/>
          <w:lang w:val="sr-Latn-ME" w:eastAsia="x-none"/>
        </w:rPr>
        <w:t>i</w:t>
      </w:r>
      <w:r w:rsidR="00483135" w:rsidRPr="00483135">
        <w:rPr>
          <w:rFonts w:ascii="Cambria" w:hAnsi="Cambria"/>
          <w:b/>
          <w:noProof/>
          <w:lang w:val="sr-Latn-ME" w:eastAsia="x-none"/>
        </w:rPr>
        <w:t xml:space="preserve"> sporazum</w:t>
      </w:r>
      <w:r>
        <w:rPr>
          <w:rFonts w:ascii="Cambria" w:hAnsi="Cambria"/>
          <w:b/>
          <w:noProof/>
          <w:lang w:val="sr-Latn-ME" w:eastAsia="x-none"/>
        </w:rPr>
        <w:t>i</w:t>
      </w:r>
      <w:r w:rsidR="00483135" w:rsidRPr="00483135">
        <w:rPr>
          <w:rFonts w:ascii="Cambria" w:hAnsi="Cambria"/>
          <w:b/>
          <w:noProof/>
          <w:lang w:val="sr-Latn-ME" w:eastAsia="x-none"/>
        </w:rPr>
        <w:t xml:space="preserve"> u vezi sa upravljanjem hemikalijama</w:t>
      </w:r>
      <w:r w:rsidR="00483135" w:rsidRPr="00483135">
        <w:rPr>
          <w:rFonts w:ascii="Cambria" w:hAnsi="Cambria"/>
          <w:b/>
          <w:noProof/>
          <w:lang w:eastAsia="x-none"/>
        </w:rPr>
        <w:t xml:space="preserve"> </w:t>
      </w:r>
    </w:p>
    <w:p w14:paraId="62AB0DD3" w14:textId="4A1F9761" w:rsidR="00856CE5" w:rsidRDefault="00483135" w:rsidP="00483135">
      <w:pPr>
        <w:widowControl w:val="0"/>
        <w:autoSpaceDE w:val="0"/>
        <w:autoSpaceDN w:val="0"/>
        <w:adjustRightInd w:val="0"/>
        <w:jc w:val="both"/>
        <w:rPr>
          <w:rFonts w:ascii="Cambria" w:hAnsi="Cambria"/>
          <w:noProof/>
          <w:lang w:eastAsia="x-none"/>
        </w:rPr>
      </w:pPr>
      <w:r w:rsidRPr="00483135">
        <w:rPr>
          <w:rFonts w:ascii="Cambria" w:hAnsi="Cambria"/>
          <w:noProof/>
          <w:lang w:eastAsia="x-none"/>
        </w:rPr>
        <w:t xml:space="preserve">U pogledu politike u oblasti zaštite životne sredine, Crna Gora je pristupila glavnim </w:t>
      </w:r>
      <w:r w:rsidRPr="00483135">
        <w:rPr>
          <w:rFonts w:ascii="Cambria" w:hAnsi="Cambria"/>
          <w:b/>
          <w:noProof/>
          <w:lang w:eastAsia="x-none"/>
        </w:rPr>
        <w:t>međunarodnim sporazumima</w:t>
      </w:r>
      <w:r w:rsidRPr="00483135">
        <w:rPr>
          <w:rFonts w:ascii="Cambria" w:hAnsi="Cambria"/>
          <w:noProof/>
          <w:lang w:eastAsia="x-none"/>
        </w:rPr>
        <w:t xml:space="preserve"> za zaštitu životne sredine, uspostavila institucije i usvojila zakonske norme u ovoj oblasti. </w:t>
      </w:r>
      <w:r w:rsidR="00856CE5">
        <w:rPr>
          <w:rFonts w:ascii="Cambria" w:hAnsi="Cambria"/>
          <w:noProof/>
          <w:lang w:eastAsia="x-none"/>
        </w:rPr>
        <w:t xml:space="preserve">Ratifikovane konvencije u oblasti </w:t>
      </w:r>
      <w:r w:rsidR="00856CE5" w:rsidRPr="00856CE5">
        <w:rPr>
          <w:rFonts w:ascii="Cambria" w:hAnsi="Cambria"/>
          <w:noProof/>
          <w:lang w:eastAsia="x-none"/>
        </w:rPr>
        <w:t>u oblasti hemikalija i otpada</w:t>
      </w:r>
      <w:r w:rsidR="00856CE5">
        <w:rPr>
          <w:rFonts w:ascii="Cambria" w:hAnsi="Cambria"/>
          <w:noProof/>
          <w:lang w:eastAsia="x-none"/>
        </w:rPr>
        <w:t xml:space="preserve">, podrazumevaju </w:t>
      </w:r>
      <w:bookmarkStart w:id="140" w:name="_Hlk527325182"/>
      <w:r w:rsidR="00856CE5" w:rsidRPr="00542D5D">
        <w:rPr>
          <w:rFonts w:ascii="Cambria" w:hAnsi="Cambria"/>
          <w:b/>
          <w:noProof/>
          <w:lang w:eastAsia="x-none"/>
        </w:rPr>
        <w:t>izvršavanje preuzetih obaveza</w:t>
      </w:r>
      <w:bookmarkEnd w:id="140"/>
      <w:r w:rsidR="00856CE5" w:rsidRPr="00542D5D">
        <w:rPr>
          <w:rFonts w:ascii="Cambria" w:hAnsi="Cambria"/>
          <w:b/>
          <w:noProof/>
          <w:lang w:eastAsia="x-none"/>
        </w:rPr>
        <w:t xml:space="preserve"> i sprovođenje relevantnih konvencija</w:t>
      </w:r>
      <w:r w:rsidR="00856CE5">
        <w:rPr>
          <w:rFonts w:ascii="Cambria" w:hAnsi="Cambria"/>
          <w:noProof/>
          <w:lang w:eastAsia="x-none"/>
        </w:rPr>
        <w:t xml:space="preserve"> na nacionalnom nivou </w:t>
      </w:r>
      <w:r w:rsidR="00856CE5" w:rsidRPr="00856CE5">
        <w:rPr>
          <w:rFonts w:ascii="Cambria" w:hAnsi="Cambria"/>
          <w:noProof/>
          <w:lang w:eastAsia="x-none"/>
        </w:rPr>
        <w:t>prvenstveno Stokholmske, Roterdamske i Bazelske</w:t>
      </w:r>
      <w:r w:rsidR="00856CE5">
        <w:rPr>
          <w:rFonts w:ascii="Cambria" w:hAnsi="Cambria"/>
          <w:noProof/>
          <w:lang w:eastAsia="x-none"/>
        </w:rPr>
        <w:t xml:space="preserve">. Takođe, u završnoj fazi je priprema za ratifikaciju Minamata konvencije o živi kojom će se preuzeti i dodatne međunarodne obaveze. </w:t>
      </w:r>
      <w:r w:rsidR="00856CE5" w:rsidRPr="00483135">
        <w:rPr>
          <w:rFonts w:ascii="Cambria" w:hAnsi="Cambria"/>
          <w:noProof/>
          <w:lang w:eastAsia="x-none"/>
        </w:rPr>
        <w:t>Takođe, s obzirom na dodatne obaveze koje se uvode aneksima na već ratifikovane konvencije, treba kontinuirano pratiti tendencije i dalje diskusije na sastancima u okviru ovih konvencija i blagovremeno se pripremati za ratifikaciju relevantnih amandmana i izvršavanje s njima povezanim obavezama</w:t>
      </w:r>
      <w:r w:rsidR="00856CE5" w:rsidRPr="00542D5D">
        <w:rPr>
          <w:rFonts w:ascii="Cambria" w:hAnsi="Cambria"/>
          <w:b/>
          <w:noProof/>
          <w:lang w:eastAsia="x-none"/>
        </w:rPr>
        <w:t>.</w:t>
      </w:r>
      <w:r w:rsidR="00856CE5" w:rsidRPr="00542D5D">
        <w:rPr>
          <w:rFonts w:ascii="Cambria" w:hAnsi="Cambria"/>
          <w:b/>
          <w:noProof/>
          <w:lang w:val="sr-Latn-ME" w:eastAsia="x-none"/>
        </w:rPr>
        <w:t xml:space="preserve"> Jačanje međunarodne i regionalne saradnje</w:t>
      </w:r>
      <w:r w:rsidR="00856CE5" w:rsidRPr="00856CE5">
        <w:rPr>
          <w:rFonts w:ascii="Cambria" w:hAnsi="Cambria"/>
          <w:noProof/>
          <w:lang w:val="sr-Latn-ME" w:eastAsia="x-none"/>
        </w:rPr>
        <w:t xml:space="preserve"> bi trebalo da donese višestruke koristi Crnoj Gori </w:t>
      </w:r>
      <w:r w:rsidR="00856CE5" w:rsidRPr="00542D5D">
        <w:rPr>
          <w:rFonts w:ascii="Cambria" w:hAnsi="Cambria"/>
          <w:b/>
          <w:noProof/>
          <w:lang w:val="sr-Latn-ME" w:eastAsia="x-none"/>
        </w:rPr>
        <w:t>na polju unapređivanja stanja po pitanju hemijske bezbjednosti</w:t>
      </w:r>
      <w:r w:rsidR="00856CE5" w:rsidRPr="00856CE5">
        <w:rPr>
          <w:rFonts w:ascii="Cambria" w:hAnsi="Cambria"/>
          <w:noProof/>
          <w:lang w:val="sr-Latn-ME" w:eastAsia="x-none"/>
        </w:rPr>
        <w:t xml:space="preserve">, s </w:t>
      </w:r>
      <w:r w:rsidR="00856CE5" w:rsidRPr="00542D5D">
        <w:rPr>
          <w:rFonts w:ascii="Cambria" w:hAnsi="Cambria"/>
          <w:noProof/>
          <w:lang w:val="sr-Latn-ME" w:eastAsia="x-none"/>
        </w:rPr>
        <w:t>obzirom da razmjena iskustava</w:t>
      </w:r>
      <w:r w:rsidR="00856CE5" w:rsidRPr="00856CE5">
        <w:rPr>
          <w:rFonts w:ascii="Cambria" w:hAnsi="Cambria"/>
          <w:noProof/>
          <w:lang w:val="sr-Latn-ME" w:eastAsia="x-none"/>
        </w:rPr>
        <w:t xml:space="preserve"> u funkcionisanju sistema upravljanja hemikalijama uspostavljenog po principima definisanim u EU može biti od </w:t>
      </w:r>
      <w:r w:rsidR="00971F20">
        <w:rPr>
          <w:rFonts w:ascii="Cambria" w:hAnsi="Cambria"/>
          <w:noProof/>
          <w:lang w:val="sr-Latn-ME" w:eastAsia="x-none"/>
        </w:rPr>
        <w:t>velikog</w:t>
      </w:r>
      <w:r w:rsidR="00856CE5" w:rsidRPr="00856CE5">
        <w:rPr>
          <w:rFonts w:ascii="Cambria" w:hAnsi="Cambria"/>
          <w:noProof/>
          <w:lang w:val="sr-Latn-ME" w:eastAsia="x-none"/>
        </w:rPr>
        <w:t xml:space="preserve"> značaja </w:t>
      </w:r>
      <w:r w:rsidR="00971F20">
        <w:rPr>
          <w:rFonts w:ascii="Cambria" w:hAnsi="Cambria"/>
          <w:noProof/>
          <w:lang w:val="sr-Latn-ME" w:eastAsia="x-none"/>
        </w:rPr>
        <w:t>unaprijeđivanje</w:t>
      </w:r>
      <w:r w:rsidR="00856CE5" w:rsidRPr="00856CE5">
        <w:rPr>
          <w:rFonts w:ascii="Cambria" w:hAnsi="Cambria"/>
          <w:noProof/>
          <w:lang w:val="sr-Latn-ME" w:eastAsia="x-none"/>
        </w:rPr>
        <w:t xml:space="preserve"> sistema i definisanje izazova o kojima treba pregovarati u okviru poglavlja 27</w:t>
      </w:r>
      <w:r w:rsidR="00856CE5">
        <w:rPr>
          <w:rFonts w:ascii="Cambria" w:hAnsi="Cambria"/>
          <w:noProof/>
          <w:lang w:val="sr-Latn-ME" w:eastAsia="x-none"/>
        </w:rPr>
        <w:t xml:space="preserve">. </w:t>
      </w:r>
    </w:p>
    <w:p w14:paraId="427CCDCB" w14:textId="258351FC" w:rsidR="00483135" w:rsidRPr="00483135" w:rsidRDefault="00856CE5" w:rsidP="00971F20">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mbria" w:hAnsi="Cambria"/>
          <w:noProof/>
          <w:lang w:eastAsia="x-none"/>
        </w:rPr>
      </w:pPr>
      <w:r w:rsidRPr="00856CE5">
        <w:rPr>
          <w:rFonts w:ascii="Cambria" w:hAnsi="Cambria"/>
          <w:b/>
          <w:noProof/>
          <w:lang w:val="sr-Latn-CS" w:eastAsia="x-none"/>
        </w:rPr>
        <w:t xml:space="preserve">Prioritetni izazov </w:t>
      </w:r>
      <w:r w:rsidRPr="00856CE5">
        <w:rPr>
          <w:rFonts w:ascii="Cambria" w:hAnsi="Cambria"/>
          <w:noProof/>
          <w:lang w:val="sr-Latn-CS" w:eastAsia="x-none"/>
        </w:rPr>
        <w:t xml:space="preserve">u ovom segmentu analize </w:t>
      </w:r>
      <w:r>
        <w:rPr>
          <w:rFonts w:ascii="Cambria" w:hAnsi="Cambria"/>
          <w:noProof/>
          <w:lang w:eastAsia="x-none"/>
        </w:rPr>
        <w:t>predstavlj</w:t>
      </w:r>
      <w:r w:rsidR="00971F20">
        <w:rPr>
          <w:rFonts w:ascii="Cambria" w:hAnsi="Cambria"/>
          <w:noProof/>
          <w:lang w:eastAsia="x-none"/>
        </w:rPr>
        <w:t xml:space="preserve">a </w:t>
      </w:r>
      <w:r w:rsidR="00F81D31">
        <w:rPr>
          <w:rFonts w:ascii="Cambria" w:hAnsi="Cambria"/>
          <w:noProof/>
          <w:lang w:eastAsia="x-none"/>
        </w:rPr>
        <w:t>činjenje završnih</w:t>
      </w:r>
      <w:r w:rsidR="00971F20" w:rsidRPr="00483135">
        <w:rPr>
          <w:rFonts w:ascii="Cambria" w:hAnsi="Cambria"/>
          <w:noProof/>
          <w:lang w:eastAsia="x-none"/>
        </w:rPr>
        <w:t xml:space="preserve"> </w:t>
      </w:r>
      <w:r w:rsidR="00971F20">
        <w:rPr>
          <w:rFonts w:ascii="Cambria" w:hAnsi="Cambria"/>
          <w:noProof/>
          <w:lang w:eastAsia="x-none"/>
        </w:rPr>
        <w:t>korak</w:t>
      </w:r>
      <w:r w:rsidR="00F81D31">
        <w:rPr>
          <w:rFonts w:ascii="Cambria" w:hAnsi="Cambria"/>
          <w:noProof/>
          <w:lang w:eastAsia="x-none"/>
        </w:rPr>
        <w:t>a</w:t>
      </w:r>
      <w:r w:rsidR="00971F20" w:rsidRPr="00483135">
        <w:rPr>
          <w:rFonts w:ascii="Cambria" w:hAnsi="Cambria"/>
          <w:noProof/>
          <w:lang w:eastAsia="x-none"/>
        </w:rPr>
        <w:t xml:space="preserve"> u pogledu </w:t>
      </w:r>
      <w:r w:rsidR="00971F20" w:rsidRPr="00971F20">
        <w:rPr>
          <w:rFonts w:ascii="Cambria" w:hAnsi="Cambria"/>
          <w:b/>
          <w:noProof/>
          <w:lang w:eastAsia="x-none"/>
        </w:rPr>
        <w:t>ratifikacije Minamata konvencije</w:t>
      </w:r>
      <w:r w:rsidR="00971F20">
        <w:rPr>
          <w:rFonts w:ascii="Cambria" w:hAnsi="Cambria"/>
          <w:noProof/>
          <w:lang w:eastAsia="x-none"/>
        </w:rPr>
        <w:t>, ali i rad na</w:t>
      </w:r>
      <w:r w:rsidR="00971F20" w:rsidRPr="00483135">
        <w:rPr>
          <w:rFonts w:ascii="Cambria" w:hAnsi="Cambria"/>
          <w:noProof/>
          <w:lang w:eastAsia="x-none"/>
        </w:rPr>
        <w:t xml:space="preserve"> </w:t>
      </w:r>
      <w:r w:rsidR="00483135" w:rsidRPr="00483135">
        <w:rPr>
          <w:rFonts w:ascii="Cambria" w:hAnsi="Cambria"/>
          <w:b/>
          <w:noProof/>
          <w:lang w:eastAsia="x-none"/>
        </w:rPr>
        <w:t>dalj</w:t>
      </w:r>
      <w:r w:rsidR="00971F20">
        <w:rPr>
          <w:rFonts w:ascii="Cambria" w:hAnsi="Cambria"/>
          <w:b/>
          <w:noProof/>
          <w:lang w:eastAsia="x-none"/>
        </w:rPr>
        <w:t>em</w:t>
      </w:r>
      <w:r w:rsidR="00483135" w:rsidRPr="00483135">
        <w:rPr>
          <w:rFonts w:ascii="Cambria" w:hAnsi="Cambria"/>
          <w:b/>
          <w:noProof/>
          <w:lang w:eastAsia="x-none"/>
        </w:rPr>
        <w:t xml:space="preserve"> </w:t>
      </w:r>
      <w:r w:rsidR="00971F20" w:rsidRPr="00971F20">
        <w:rPr>
          <w:rFonts w:ascii="Cambria" w:hAnsi="Cambria"/>
          <w:b/>
          <w:noProof/>
          <w:lang w:eastAsia="x-none"/>
        </w:rPr>
        <w:t>izvršavanj</w:t>
      </w:r>
      <w:r w:rsidR="00542D5D">
        <w:rPr>
          <w:rFonts w:ascii="Cambria" w:hAnsi="Cambria"/>
          <w:b/>
          <w:noProof/>
          <w:lang w:eastAsia="x-none"/>
        </w:rPr>
        <w:t>u</w:t>
      </w:r>
      <w:r w:rsidR="00971F20" w:rsidRPr="00971F20">
        <w:rPr>
          <w:rFonts w:ascii="Cambria" w:hAnsi="Cambria"/>
          <w:b/>
          <w:noProof/>
          <w:lang w:eastAsia="x-none"/>
        </w:rPr>
        <w:t xml:space="preserve"> preuzetih obaveza </w:t>
      </w:r>
      <w:r w:rsidR="00971F20">
        <w:rPr>
          <w:rFonts w:ascii="Cambria" w:hAnsi="Cambria"/>
          <w:b/>
          <w:noProof/>
          <w:lang w:eastAsia="x-none"/>
        </w:rPr>
        <w:t xml:space="preserve">u pogledu </w:t>
      </w:r>
      <w:r w:rsidR="00483135" w:rsidRPr="00483135">
        <w:rPr>
          <w:rFonts w:ascii="Cambria" w:hAnsi="Cambria"/>
          <w:b/>
          <w:noProof/>
          <w:lang w:eastAsia="x-none"/>
        </w:rPr>
        <w:t>ratifikovanih konvenvencija u oblasti hemikalija i otpada</w:t>
      </w:r>
      <w:r w:rsidR="00971F20">
        <w:rPr>
          <w:rFonts w:ascii="Cambria" w:hAnsi="Cambria"/>
          <w:noProof/>
          <w:lang w:eastAsia="x-none"/>
        </w:rPr>
        <w:t xml:space="preserve">. Takođe, s obzirom na strateško oprijedeljenje Crne Gore pridruživanju EU,  </w:t>
      </w:r>
      <w:r w:rsidR="00971F20" w:rsidRPr="00F81D31">
        <w:rPr>
          <w:rFonts w:ascii="Cambria" w:hAnsi="Cambria"/>
          <w:b/>
          <w:noProof/>
          <w:lang w:eastAsia="x-none"/>
        </w:rPr>
        <w:t xml:space="preserve">jačanje međunarodne i regionalne saradnje na polju unapređivanja stanja po pitanju hemijske bezbjednosti </w:t>
      </w:r>
      <w:r w:rsidR="00971F20">
        <w:rPr>
          <w:rFonts w:ascii="Cambria" w:hAnsi="Cambria"/>
          <w:noProof/>
          <w:lang w:eastAsia="x-none"/>
        </w:rPr>
        <w:t>i</w:t>
      </w:r>
      <w:r w:rsidR="00971F20" w:rsidRPr="00971F20">
        <w:rPr>
          <w:rFonts w:ascii="Cambria" w:hAnsi="Cambria"/>
          <w:noProof/>
          <w:lang w:eastAsia="x-none"/>
        </w:rPr>
        <w:t xml:space="preserve"> razmjena iskustava u funkcionisanju sistema upravljanja hemikalijama uspostavljenog po principima definisanim u EU</w:t>
      </w:r>
      <w:r w:rsidR="00971F20">
        <w:rPr>
          <w:rFonts w:ascii="Cambria" w:hAnsi="Cambria"/>
          <w:noProof/>
          <w:lang w:eastAsia="x-none"/>
        </w:rPr>
        <w:t xml:space="preserve"> je </w:t>
      </w:r>
      <w:r w:rsidR="00971F20" w:rsidRPr="00971F20">
        <w:rPr>
          <w:rFonts w:ascii="Cambria" w:hAnsi="Cambria"/>
          <w:noProof/>
          <w:lang w:eastAsia="x-none"/>
        </w:rPr>
        <w:t xml:space="preserve">od </w:t>
      </w:r>
      <w:r w:rsidR="00971F20">
        <w:rPr>
          <w:rFonts w:ascii="Cambria" w:hAnsi="Cambria"/>
          <w:noProof/>
          <w:lang w:eastAsia="x-none"/>
        </w:rPr>
        <w:t>velikog</w:t>
      </w:r>
      <w:r w:rsidR="00971F20" w:rsidRPr="00971F20">
        <w:rPr>
          <w:rFonts w:ascii="Cambria" w:hAnsi="Cambria"/>
          <w:noProof/>
          <w:lang w:eastAsia="x-none"/>
        </w:rPr>
        <w:t xml:space="preserve"> značaja za </w:t>
      </w:r>
      <w:r w:rsidR="00971F20" w:rsidRPr="00971F20">
        <w:rPr>
          <w:rFonts w:ascii="Cambria" w:hAnsi="Cambria"/>
          <w:noProof/>
          <w:lang w:val="sr-Latn-ME" w:eastAsia="x-none"/>
        </w:rPr>
        <w:t xml:space="preserve">unaprijeđivanje </w:t>
      </w:r>
      <w:r w:rsidR="00971F20" w:rsidRPr="00971F20">
        <w:rPr>
          <w:rFonts w:ascii="Cambria" w:hAnsi="Cambria"/>
          <w:noProof/>
          <w:lang w:eastAsia="x-none"/>
        </w:rPr>
        <w:t>sistema i definisanje izazova o kojima treba pregovarati u okviru poglavlja 27.</w:t>
      </w:r>
    </w:p>
    <w:p w14:paraId="0603582C" w14:textId="77777777" w:rsidR="00F2672B" w:rsidRPr="00774E21" w:rsidRDefault="00F2672B" w:rsidP="00F2672B">
      <w:pPr>
        <w:widowControl w:val="0"/>
        <w:autoSpaceDE w:val="0"/>
        <w:autoSpaceDN w:val="0"/>
        <w:adjustRightInd w:val="0"/>
        <w:jc w:val="both"/>
        <w:rPr>
          <w:rFonts w:ascii="Cambria" w:hAnsi="Cambria"/>
          <w:noProof/>
          <w:lang w:val="sr-Latn-RS" w:eastAsia="x-none"/>
        </w:rPr>
      </w:pPr>
    </w:p>
    <w:p w14:paraId="495A379F" w14:textId="77777777" w:rsidR="00CF0414" w:rsidRPr="00AB15C7" w:rsidRDefault="00CF0414" w:rsidP="005921EF">
      <w:pPr>
        <w:spacing w:before="120" w:after="0"/>
        <w:jc w:val="both"/>
        <w:rPr>
          <w:rFonts w:ascii="Cambria" w:hAnsi="Cambria" w:cs="Arial"/>
          <w:b/>
          <w:noProof/>
          <w:lang w:val="sr-Latn-ME"/>
        </w:rPr>
      </w:pPr>
    </w:p>
    <w:p w14:paraId="308DC608" w14:textId="77777777" w:rsidR="00115BD9" w:rsidRDefault="00115BD9" w:rsidP="005921EF">
      <w:pPr>
        <w:widowControl w:val="0"/>
        <w:autoSpaceDE w:val="0"/>
        <w:autoSpaceDN w:val="0"/>
        <w:adjustRightInd w:val="0"/>
        <w:jc w:val="both"/>
        <w:rPr>
          <w:rFonts w:ascii="Cambria" w:hAnsi="Cambria" w:cs="TimesNewRomanPSMT"/>
          <w:noProof/>
          <w:lang w:val="sr-Latn-ME"/>
        </w:rPr>
      </w:pPr>
    </w:p>
    <w:p w14:paraId="49F2E65D" w14:textId="77777777" w:rsidR="00115BD9" w:rsidRDefault="00115BD9" w:rsidP="005921EF">
      <w:pPr>
        <w:widowControl w:val="0"/>
        <w:autoSpaceDE w:val="0"/>
        <w:autoSpaceDN w:val="0"/>
        <w:adjustRightInd w:val="0"/>
        <w:jc w:val="both"/>
        <w:rPr>
          <w:rFonts w:ascii="Cambria" w:hAnsi="Cambria" w:cs="TimesNewRomanPSMT"/>
          <w:noProof/>
          <w:lang w:val="sr-Latn-ME"/>
        </w:rPr>
      </w:pPr>
    </w:p>
    <w:bookmarkEnd w:id="45"/>
    <w:p w14:paraId="04AAE905" w14:textId="38FF4845" w:rsidR="00A275C9" w:rsidRDefault="00A275C9" w:rsidP="005921EF">
      <w:pPr>
        <w:spacing w:after="0"/>
        <w:jc w:val="both"/>
        <w:rPr>
          <w:rFonts w:ascii="Cambria" w:hAnsi="Cambria" w:cs="Arial"/>
          <w:noProof/>
          <w:lang w:val="sr-Latn-CS"/>
        </w:rPr>
      </w:pPr>
    </w:p>
    <w:p w14:paraId="3484455A" w14:textId="51654FB5" w:rsidR="00971F20" w:rsidRDefault="00971F20" w:rsidP="005921EF">
      <w:pPr>
        <w:spacing w:after="0"/>
        <w:jc w:val="both"/>
        <w:rPr>
          <w:rFonts w:ascii="Cambria" w:hAnsi="Cambria" w:cs="Arial"/>
          <w:noProof/>
          <w:lang w:val="sr-Latn-CS"/>
        </w:rPr>
      </w:pPr>
    </w:p>
    <w:p w14:paraId="36AFAD91" w14:textId="0CA27336" w:rsidR="00971F20" w:rsidRDefault="00971F20" w:rsidP="005921EF">
      <w:pPr>
        <w:spacing w:after="0"/>
        <w:jc w:val="both"/>
        <w:rPr>
          <w:rFonts w:ascii="Cambria" w:hAnsi="Cambria" w:cs="Arial"/>
          <w:noProof/>
          <w:lang w:val="sr-Latn-CS"/>
        </w:rPr>
      </w:pPr>
    </w:p>
    <w:p w14:paraId="4F2AA8CC" w14:textId="329A6D35" w:rsidR="00971F20" w:rsidRDefault="00971F20" w:rsidP="005921EF">
      <w:pPr>
        <w:spacing w:after="0"/>
        <w:jc w:val="both"/>
        <w:rPr>
          <w:rFonts w:ascii="Cambria" w:hAnsi="Cambria" w:cs="Arial"/>
          <w:noProof/>
          <w:lang w:val="sr-Latn-CS"/>
        </w:rPr>
      </w:pPr>
    </w:p>
    <w:p w14:paraId="695C4E96" w14:textId="153FC383" w:rsidR="00971F20" w:rsidRDefault="00971F20" w:rsidP="005921EF">
      <w:pPr>
        <w:spacing w:after="0"/>
        <w:jc w:val="both"/>
        <w:rPr>
          <w:rFonts w:ascii="Cambria" w:hAnsi="Cambria" w:cs="Arial"/>
          <w:noProof/>
          <w:lang w:val="sr-Latn-CS"/>
        </w:rPr>
      </w:pPr>
    </w:p>
    <w:p w14:paraId="4A3C2519" w14:textId="77777777" w:rsidR="00971F20" w:rsidRDefault="00971F20" w:rsidP="005921EF">
      <w:pPr>
        <w:spacing w:after="0"/>
        <w:jc w:val="both"/>
        <w:rPr>
          <w:rFonts w:ascii="Cambria" w:hAnsi="Cambria" w:cs="Arial"/>
          <w:noProof/>
          <w:lang w:val="sr-Latn-CS"/>
        </w:rPr>
      </w:pPr>
    </w:p>
    <w:p w14:paraId="1A85667A" w14:textId="0AB91171" w:rsidR="00A275C9" w:rsidRDefault="00A275C9" w:rsidP="005921EF">
      <w:pPr>
        <w:spacing w:after="0"/>
        <w:jc w:val="both"/>
        <w:rPr>
          <w:rFonts w:ascii="Cambria" w:hAnsi="Cambria" w:cs="Arial"/>
          <w:noProof/>
          <w:lang w:val="sr-Latn-CS"/>
        </w:rPr>
      </w:pPr>
    </w:p>
    <w:p w14:paraId="78DEDB96" w14:textId="189B0AE5" w:rsidR="00A275C9" w:rsidRDefault="00A275C9" w:rsidP="005921EF">
      <w:pPr>
        <w:spacing w:after="0"/>
        <w:jc w:val="both"/>
        <w:rPr>
          <w:rFonts w:ascii="Cambria" w:hAnsi="Cambria" w:cs="Arial"/>
          <w:noProof/>
          <w:lang w:val="sr-Latn-CS"/>
        </w:rPr>
      </w:pPr>
    </w:p>
    <w:p w14:paraId="0EFDC158" w14:textId="37EF11C1" w:rsidR="00A275C9" w:rsidRDefault="00A275C9" w:rsidP="005921EF">
      <w:pPr>
        <w:spacing w:after="0"/>
        <w:jc w:val="both"/>
        <w:rPr>
          <w:rFonts w:ascii="Cambria" w:hAnsi="Cambria" w:cs="Arial"/>
          <w:noProof/>
          <w:lang w:val="sr-Latn-CS"/>
        </w:rPr>
      </w:pPr>
    </w:p>
    <w:p w14:paraId="6988E936" w14:textId="44679D20" w:rsidR="00A275C9" w:rsidRDefault="00A275C9" w:rsidP="005921EF">
      <w:pPr>
        <w:spacing w:after="0"/>
        <w:jc w:val="both"/>
        <w:rPr>
          <w:rFonts w:ascii="Cambria" w:hAnsi="Cambria" w:cs="Arial"/>
          <w:noProof/>
          <w:lang w:val="sr-Latn-CS"/>
        </w:rPr>
      </w:pPr>
    </w:p>
    <w:p w14:paraId="5603ACAA" w14:textId="6603E001" w:rsidR="00A275C9" w:rsidRDefault="00A275C9" w:rsidP="005921EF">
      <w:pPr>
        <w:spacing w:after="0"/>
        <w:jc w:val="both"/>
        <w:rPr>
          <w:rFonts w:ascii="Cambria" w:hAnsi="Cambria" w:cs="Arial"/>
          <w:noProof/>
          <w:lang w:val="sr-Latn-CS"/>
        </w:rPr>
      </w:pPr>
    </w:p>
    <w:p w14:paraId="3DB575EF" w14:textId="757A170E" w:rsidR="00A275C9" w:rsidRDefault="00A275C9" w:rsidP="005921EF">
      <w:pPr>
        <w:spacing w:after="0"/>
        <w:jc w:val="both"/>
        <w:rPr>
          <w:rFonts w:ascii="Cambria" w:hAnsi="Cambria" w:cs="Arial"/>
          <w:noProof/>
          <w:lang w:val="sr-Latn-CS"/>
        </w:rPr>
      </w:pPr>
    </w:p>
    <w:p w14:paraId="67D36DFE" w14:textId="352F977E" w:rsidR="00A275C9" w:rsidRDefault="00A275C9" w:rsidP="005921EF">
      <w:pPr>
        <w:spacing w:after="0"/>
        <w:jc w:val="both"/>
        <w:rPr>
          <w:rFonts w:ascii="Cambria" w:hAnsi="Cambria" w:cs="Arial"/>
          <w:noProof/>
          <w:lang w:val="sr-Latn-CS"/>
        </w:rPr>
      </w:pPr>
    </w:p>
    <w:p w14:paraId="7DD39E07" w14:textId="3A6269E8" w:rsidR="00A275C9" w:rsidRDefault="00A275C9" w:rsidP="005921EF">
      <w:pPr>
        <w:spacing w:after="0"/>
        <w:jc w:val="both"/>
        <w:rPr>
          <w:rFonts w:ascii="Cambria" w:hAnsi="Cambria" w:cs="Arial"/>
          <w:noProof/>
          <w:lang w:val="sr-Latn-CS"/>
        </w:rPr>
      </w:pPr>
    </w:p>
    <w:p w14:paraId="6C85AA64" w14:textId="5EE6B89C" w:rsidR="00A275C9" w:rsidRDefault="00A275C9" w:rsidP="005921EF">
      <w:pPr>
        <w:spacing w:after="0"/>
        <w:jc w:val="both"/>
        <w:rPr>
          <w:rFonts w:ascii="Cambria" w:hAnsi="Cambria" w:cs="Arial"/>
          <w:noProof/>
          <w:lang w:val="sr-Latn-CS"/>
        </w:rPr>
      </w:pPr>
    </w:p>
    <w:p w14:paraId="5445234B" w14:textId="7B67E04A" w:rsidR="00A275C9" w:rsidRDefault="00A275C9" w:rsidP="005921EF">
      <w:pPr>
        <w:spacing w:after="0"/>
        <w:jc w:val="both"/>
        <w:rPr>
          <w:rFonts w:ascii="Cambria" w:hAnsi="Cambria" w:cs="Arial"/>
          <w:noProof/>
          <w:lang w:val="sr-Latn-CS"/>
        </w:rPr>
      </w:pPr>
    </w:p>
    <w:p w14:paraId="5B14743D" w14:textId="77777777" w:rsidR="00A275C9" w:rsidRDefault="00A275C9" w:rsidP="005921EF">
      <w:pPr>
        <w:spacing w:after="0"/>
        <w:jc w:val="both"/>
        <w:rPr>
          <w:rFonts w:ascii="Cambria" w:hAnsi="Cambria" w:cs="Arial"/>
          <w:noProof/>
          <w:lang w:val="sr-Latn-CS"/>
        </w:rPr>
      </w:pPr>
    </w:p>
    <w:p w14:paraId="7FA73149" w14:textId="77777777" w:rsidR="009D6E0E" w:rsidRDefault="009D6E0E" w:rsidP="005921EF">
      <w:pPr>
        <w:spacing w:after="0"/>
        <w:jc w:val="both"/>
        <w:rPr>
          <w:rFonts w:ascii="Cambria" w:hAnsi="Cambria" w:cs="Arial"/>
          <w:noProof/>
          <w:lang w:val="sr-Latn-CS"/>
        </w:rPr>
      </w:pPr>
    </w:p>
    <w:p w14:paraId="4C1AAAD7" w14:textId="77777777" w:rsidR="009D6E0E" w:rsidRDefault="009D6E0E" w:rsidP="005921EF">
      <w:pPr>
        <w:spacing w:after="0"/>
        <w:jc w:val="both"/>
        <w:rPr>
          <w:rFonts w:ascii="Cambria" w:hAnsi="Cambria" w:cs="Arial"/>
          <w:noProof/>
          <w:lang w:val="sr-Latn-CS"/>
        </w:rPr>
      </w:pPr>
    </w:p>
    <w:p w14:paraId="3618D48B" w14:textId="77777777" w:rsidR="009D6E0E" w:rsidRPr="00AB15C7" w:rsidRDefault="009D6E0E" w:rsidP="005921EF">
      <w:pPr>
        <w:spacing w:after="0"/>
        <w:jc w:val="both"/>
        <w:rPr>
          <w:rFonts w:ascii="Cambria" w:hAnsi="Cambria" w:cs="Arial"/>
          <w:noProof/>
          <w:lang w:val="sr-Latn-CS"/>
        </w:rPr>
      </w:pPr>
    </w:p>
    <w:tbl>
      <w:tblPr>
        <w:tblW w:w="0" w:type="auto"/>
        <w:tblInd w:w="108" w:type="dxa"/>
        <w:tblBorders>
          <w:insideH w:val="single" w:sz="4" w:space="0" w:color="000000"/>
        </w:tblBorders>
        <w:shd w:val="clear" w:color="auto" w:fill="B2A1C7"/>
        <w:tblLayout w:type="fixed"/>
        <w:tblLook w:val="04A0" w:firstRow="1" w:lastRow="0" w:firstColumn="1" w:lastColumn="0" w:noHBand="0" w:noVBand="1"/>
      </w:tblPr>
      <w:tblGrid>
        <w:gridCol w:w="9597"/>
      </w:tblGrid>
      <w:tr w:rsidR="00C91B63" w:rsidRPr="00F70A79" w14:paraId="6D16F105" w14:textId="77777777" w:rsidTr="00C91B63">
        <w:trPr>
          <w:trHeight w:val="427"/>
        </w:trPr>
        <w:tc>
          <w:tcPr>
            <w:tcW w:w="9597" w:type="dxa"/>
            <w:tcBorders>
              <w:top w:val="nil"/>
              <w:bottom w:val="nil"/>
            </w:tcBorders>
            <w:shd w:val="clear" w:color="auto" w:fill="B2A1C7"/>
          </w:tcPr>
          <w:p w14:paraId="719EBB8C" w14:textId="77777777" w:rsidR="00C91B63" w:rsidRDefault="00D1372E" w:rsidP="00557C13">
            <w:pPr>
              <w:pStyle w:val="Heading1"/>
              <w:numPr>
                <w:ilvl w:val="0"/>
                <w:numId w:val="11"/>
              </w:numPr>
              <w:rPr>
                <w:noProof/>
                <w:szCs w:val="22"/>
                <w:lang w:val="en-US" w:eastAsia="en-US"/>
              </w:rPr>
            </w:pPr>
            <w:bookmarkStart w:id="141" w:name="_Toc527353232"/>
            <w:bookmarkStart w:id="142" w:name="_Hlk522356346"/>
            <w:r w:rsidRPr="00F70A79">
              <w:rPr>
                <w:noProof/>
                <w:szCs w:val="22"/>
                <w:lang w:val="en-US" w:eastAsia="en-US"/>
              </w:rPr>
              <w:t>CILJEVI, AKTIVNOSTI I</w:t>
            </w:r>
            <w:r>
              <w:rPr>
                <w:noProof/>
                <w:szCs w:val="22"/>
                <w:lang w:val="en-US" w:eastAsia="en-US"/>
              </w:rPr>
              <w:t xml:space="preserve"> PRAĆENJE SPROVOĐENJA STRATEGIJE</w:t>
            </w:r>
            <w:bookmarkEnd w:id="141"/>
            <w:r w:rsidRPr="00F70A79">
              <w:rPr>
                <w:noProof/>
                <w:szCs w:val="22"/>
                <w:lang w:val="en-US" w:eastAsia="en-US"/>
              </w:rPr>
              <w:t xml:space="preserve"> </w:t>
            </w:r>
          </w:p>
          <w:p w14:paraId="718DEF01" w14:textId="77777777" w:rsidR="00F70A79" w:rsidRPr="00F70A79" w:rsidRDefault="00F70A79" w:rsidP="00F70A79">
            <w:pPr>
              <w:rPr>
                <w:noProof/>
              </w:rPr>
            </w:pPr>
          </w:p>
        </w:tc>
      </w:tr>
      <w:bookmarkEnd w:id="142"/>
    </w:tbl>
    <w:p w14:paraId="2429502B" w14:textId="77777777" w:rsidR="00BA6431" w:rsidRDefault="00BA6431" w:rsidP="005921EF">
      <w:pPr>
        <w:pStyle w:val="Heading2"/>
        <w:tabs>
          <w:tab w:val="left" w:pos="720"/>
          <w:tab w:val="left" w:pos="1440"/>
        </w:tabs>
        <w:spacing w:before="120"/>
        <w:rPr>
          <w:rFonts w:cs="Arial"/>
          <w:b w:val="0"/>
          <w:bCs w:val="0"/>
          <w:noProof/>
          <w:sz w:val="22"/>
          <w:szCs w:val="22"/>
          <w:lang w:val="sr-Latn-CS"/>
        </w:rPr>
      </w:pPr>
    </w:p>
    <w:p w14:paraId="5FF54521" w14:textId="77777777" w:rsidR="009D6E0E" w:rsidRDefault="009D6E0E" w:rsidP="009D6E0E">
      <w:pPr>
        <w:rPr>
          <w:noProof/>
          <w:lang w:val="sr-Latn-CS" w:eastAsia="x-none"/>
        </w:rPr>
      </w:pPr>
    </w:p>
    <w:p w14:paraId="5F69F614" w14:textId="77777777" w:rsidR="009D6E0E" w:rsidRDefault="009D6E0E" w:rsidP="009D6E0E">
      <w:pPr>
        <w:rPr>
          <w:noProof/>
          <w:lang w:val="sr-Latn-CS" w:eastAsia="x-none"/>
        </w:rPr>
      </w:pPr>
    </w:p>
    <w:p w14:paraId="7F12371A" w14:textId="77777777" w:rsidR="009D6E0E" w:rsidRDefault="009D6E0E" w:rsidP="009D6E0E">
      <w:pPr>
        <w:rPr>
          <w:noProof/>
          <w:lang w:val="sr-Latn-CS" w:eastAsia="x-none"/>
        </w:rPr>
      </w:pPr>
    </w:p>
    <w:p w14:paraId="78D8D87A" w14:textId="77777777" w:rsidR="009D6E0E" w:rsidRDefault="009D6E0E" w:rsidP="009D6E0E">
      <w:pPr>
        <w:rPr>
          <w:noProof/>
          <w:lang w:val="sr-Latn-CS" w:eastAsia="x-none"/>
        </w:rPr>
      </w:pPr>
    </w:p>
    <w:p w14:paraId="31F5C039" w14:textId="77777777" w:rsidR="00115BD9" w:rsidRDefault="00115BD9" w:rsidP="009D6E0E">
      <w:pPr>
        <w:rPr>
          <w:noProof/>
          <w:lang w:val="sr-Latn-CS" w:eastAsia="x-none"/>
        </w:rPr>
      </w:pPr>
    </w:p>
    <w:p w14:paraId="3BDC26F2" w14:textId="77777777" w:rsidR="00115BD9" w:rsidRDefault="00115BD9" w:rsidP="009D6E0E">
      <w:pPr>
        <w:rPr>
          <w:noProof/>
          <w:lang w:val="sr-Latn-CS" w:eastAsia="x-none"/>
        </w:rPr>
      </w:pPr>
    </w:p>
    <w:p w14:paraId="07CEDC66" w14:textId="006805E1" w:rsidR="00115BD9" w:rsidRDefault="00115BD9" w:rsidP="009D6E0E">
      <w:pPr>
        <w:rPr>
          <w:noProof/>
          <w:lang w:val="sr-Latn-CS" w:eastAsia="x-none"/>
        </w:rPr>
      </w:pPr>
    </w:p>
    <w:p w14:paraId="31B63B64" w14:textId="37113D14" w:rsidR="00971F20" w:rsidRDefault="00971F20" w:rsidP="009D6E0E">
      <w:pPr>
        <w:rPr>
          <w:noProof/>
          <w:lang w:val="sr-Latn-CS" w:eastAsia="x-none"/>
        </w:rPr>
      </w:pPr>
    </w:p>
    <w:p w14:paraId="2B60F0A6" w14:textId="77777777" w:rsidR="00971F20" w:rsidRDefault="00971F20" w:rsidP="009D6E0E">
      <w:pPr>
        <w:rPr>
          <w:noProof/>
          <w:lang w:val="sr-Latn-CS" w:eastAsia="x-none"/>
        </w:rPr>
      </w:pPr>
    </w:p>
    <w:p w14:paraId="25E9D74D" w14:textId="77777777" w:rsidR="009D6E0E" w:rsidRDefault="009D6E0E" w:rsidP="009D6E0E">
      <w:pPr>
        <w:rPr>
          <w:noProof/>
          <w:lang w:val="sr-Latn-CS" w:eastAsia="x-none"/>
        </w:rPr>
      </w:pPr>
    </w:p>
    <w:p w14:paraId="16F558D3" w14:textId="49554A0C" w:rsidR="009D6E0E" w:rsidRDefault="009D6E0E" w:rsidP="009D6E0E">
      <w:pPr>
        <w:rPr>
          <w:noProof/>
          <w:lang w:val="sr-Latn-CS" w:eastAsia="x-none"/>
        </w:rPr>
      </w:pPr>
    </w:p>
    <w:p w14:paraId="68069130" w14:textId="6D06DCFD" w:rsidR="00685AEA" w:rsidRDefault="00685AEA" w:rsidP="009D6E0E">
      <w:pPr>
        <w:rPr>
          <w:noProof/>
          <w:lang w:val="sr-Latn-CS" w:eastAsia="x-none"/>
        </w:rPr>
      </w:pPr>
    </w:p>
    <w:p w14:paraId="3B58D7C3" w14:textId="6CCBC135" w:rsidR="00685AEA" w:rsidRDefault="00685AEA" w:rsidP="009D6E0E">
      <w:pPr>
        <w:rPr>
          <w:noProof/>
          <w:lang w:val="sr-Latn-CS" w:eastAsia="x-none"/>
        </w:rPr>
      </w:pPr>
    </w:p>
    <w:p w14:paraId="5FBFECE3" w14:textId="77777777" w:rsidR="00685AEA" w:rsidRDefault="00685AEA" w:rsidP="009D6E0E">
      <w:pPr>
        <w:rPr>
          <w:noProof/>
          <w:lang w:val="sr-Latn-CS" w:eastAsia="x-none"/>
        </w:rPr>
      </w:pPr>
    </w:p>
    <w:p w14:paraId="069C9A01" w14:textId="25B989B6" w:rsidR="002311EB" w:rsidRPr="00AB15C7" w:rsidRDefault="00EC4DE1" w:rsidP="00557C13">
      <w:pPr>
        <w:pStyle w:val="Heading1"/>
        <w:numPr>
          <w:ilvl w:val="1"/>
          <w:numId w:val="34"/>
        </w:numPr>
        <w:rPr>
          <w:bCs w:val="0"/>
          <w:noProof/>
          <w:sz w:val="22"/>
          <w:szCs w:val="22"/>
        </w:rPr>
      </w:pPr>
      <w:bookmarkStart w:id="143" w:name="_Toc527353233"/>
      <w:r w:rsidRPr="00AB15C7">
        <w:rPr>
          <w:bCs w:val="0"/>
          <w:noProof/>
          <w:sz w:val="22"/>
          <w:szCs w:val="22"/>
        </w:rPr>
        <w:lastRenderedPageBreak/>
        <w:t>STRATE</w:t>
      </w:r>
      <w:r>
        <w:rPr>
          <w:bCs w:val="0"/>
          <w:noProof/>
          <w:sz w:val="22"/>
          <w:szCs w:val="22"/>
          <w:lang w:val="sr-Latn-RS"/>
        </w:rPr>
        <w:t>ŠKI</w:t>
      </w:r>
      <w:r w:rsidRPr="00AB15C7">
        <w:rPr>
          <w:bCs w:val="0"/>
          <w:noProof/>
          <w:sz w:val="22"/>
          <w:szCs w:val="22"/>
        </w:rPr>
        <w:t xml:space="preserve"> </w:t>
      </w:r>
      <w:r w:rsidR="00B23B08">
        <w:rPr>
          <w:bCs w:val="0"/>
          <w:noProof/>
          <w:sz w:val="22"/>
          <w:szCs w:val="22"/>
          <w:lang w:val="sr-Latn-RS"/>
        </w:rPr>
        <w:t>I</w:t>
      </w:r>
      <w:r w:rsidR="00B23B08" w:rsidRPr="00AB15C7">
        <w:rPr>
          <w:bCs w:val="0"/>
          <w:noProof/>
          <w:sz w:val="22"/>
          <w:szCs w:val="22"/>
        </w:rPr>
        <w:t xml:space="preserve"> OPE</w:t>
      </w:r>
      <w:r w:rsidR="002311EB" w:rsidRPr="00AB15C7">
        <w:rPr>
          <w:bCs w:val="0"/>
          <w:noProof/>
          <w:sz w:val="22"/>
          <w:szCs w:val="22"/>
        </w:rPr>
        <w:t xml:space="preserve">RATIVNI CILJEVI </w:t>
      </w:r>
      <w:r w:rsidR="00CD4905" w:rsidRPr="00AB15C7">
        <w:rPr>
          <w:bCs w:val="0"/>
          <w:noProof/>
          <w:sz w:val="22"/>
          <w:szCs w:val="22"/>
        </w:rPr>
        <w:t>SA PRATEĆIM INDIKATORIMA USPJEHA</w:t>
      </w:r>
      <w:r w:rsidR="00210FCC">
        <w:rPr>
          <w:bCs w:val="0"/>
          <w:noProof/>
          <w:sz w:val="22"/>
          <w:szCs w:val="22"/>
          <w:lang w:val="sr-Latn-RS"/>
        </w:rPr>
        <w:t xml:space="preserve"> </w:t>
      </w:r>
      <w:r w:rsidR="00C94088">
        <w:rPr>
          <w:bCs w:val="0"/>
          <w:noProof/>
          <w:sz w:val="22"/>
          <w:szCs w:val="22"/>
          <w:lang w:val="sr-Latn-RS"/>
        </w:rPr>
        <w:t>I AKTIVNOSTIMA</w:t>
      </w:r>
      <w:bookmarkEnd w:id="143"/>
    </w:p>
    <w:p w14:paraId="40CCDC40" w14:textId="77777777" w:rsidR="0093398B" w:rsidRDefault="0093398B" w:rsidP="0093398B">
      <w:pPr>
        <w:ind w:left="1080"/>
        <w:rPr>
          <w:rFonts w:ascii="Cambria" w:hAnsi="Cambria"/>
          <w:noProof/>
          <w:lang w:eastAsia="x-none"/>
        </w:rPr>
      </w:pPr>
    </w:p>
    <w:p w14:paraId="0E2A4C75" w14:textId="77777777" w:rsidR="008105D8" w:rsidRPr="00AB15C7" w:rsidRDefault="00F02212" w:rsidP="00BD0892">
      <w:pPr>
        <w:spacing w:after="120"/>
        <w:rPr>
          <w:rFonts w:ascii="Cambria" w:hAnsi="Cambria"/>
          <w:noProof/>
          <w:lang w:eastAsia="x-none"/>
        </w:rPr>
      </w:pPr>
      <w:bookmarkStart w:id="144" w:name="_Hlk524093767"/>
      <w:r>
        <w:rPr>
          <w:rFonts w:ascii="Cambria" w:hAnsi="Cambria"/>
          <w:noProof/>
          <w:lang w:eastAsia="x-none"/>
        </w:rPr>
        <w:t>Opšti</w:t>
      </w:r>
      <w:r w:rsidR="0093398B">
        <w:rPr>
          <w:rFonts w:ascii="Cambria" w:hAnsi="Cambria"/>
          <w:noProof/>
          <w:lang w:eastAsia="x-none"/>
        </w:rPr>
        <w:t xml:space="preserve"> </w:t>
      </w:r>
      <w:r w:rsidR="000E46E4">
        <w:rPr>
          <w:rFonts w:ascii="Cambria" w:hAnsi="Cambria"/>
          <w:noProof/>
          <w:lang w:eastAsia="x-none"/>
        </w:rPr>
        <w:t xml:space="preserve">strateški </w:t>
      </w:r>
      <w:r w:rsidR="0093398B">
        <w:rPr>
          <w:rFonts w:ascii="Cambria" w:hAnsi="Cambria"/>
          <w:noProof/>
          <w:lang w:eastAsia="x-none"/>
        </w:rPr>
        <w:t xml:space="preserve">cilj </w:t>
      </w:r>
      <w:r w:rsidR="00C75EA0">
        <w:rPr>
          <w:rFonts w:ascii="Cambria" w:hAnsi="Cambria"/>
          <w:noProof/>
          <w:lang w:eastAsia="x-none"/>
        </w:rPr>
        <w:t xml:space="preserve">koji se želi postići ovom strategijom </w:t>
      </w:r>
      <w:r w:rsidR="0093398B">
        <w:rPr>
          <w:rFonts w:ascii="Cambria" w:hAnsi="Cambria"/>
          <w:noProof/>
          <w:lang w:eastAsia="x-none"/>
        </w:rPr>
        <w:t>je:</w:t>
      </w:r>
    </w:p>
    <w:p w14:paraId="07C3E9BE" w14:textId="3F124686" w:rsidR="00A7574A" w:rsidRDefault="00EE5CC6" w:rsidP="00557C13">
      <w:pPr>
        <w:numPr>
          <w:ilvl w:val="0"/>
          <w:numId w:val="35"/>
        </w:numPr>
        <w:spacing w:before="120" w:after="0"/>
        <w:jc w:val="both"/>
        <w:rPr>
          <w:rFonts w:ascii="Cambria" w:hAnsi="Cambria"/>
          <w:b/>
          <w:noProof/>
          <w:lang w:val="sr-Latn-ME"/>
        </w:rPr>
      </w:pPr>
      <w:r w:rsidRPr="00023F5E">
        <w:rPr>
          <w:rFonts w:ascii="Cambria" w:hAnsi="Cambria"/>
          <w:b/>
          <w:noProof/>
          <w:lang w:val="sr-Latn-ME"/>
        </w:rPr>
        <w:t>I</w:t>
      </w:r>
      <w:r w:rsidR="00A7574A" w:rsidRPr="00023F5E">
        <w:rPr>
          <w:rFonts w:ascii="Cambria" w:hAnsi="Cambria"/>
          <w:b/>
          <w:noProof/>
          <w:lang w:val="sr-Latn-ME"/>
        </w:rPr>
        <w:t>zgrad</w:t>
      </w:r>
      <w:r w:rsidR="00D47750">
        <w:rPr>
          <w:rFonts w:ascii="Cambria" w:hAnsi="Cambria"/>
          <w:b/>
          <w:noProof/>
          <w:lang w:val="sr-Latn-ME"/>
        </w:rPr>
        <w:t>nja</w:t>
      </w:r>
      <w:r w:rsidR="00A7574A" w:rsidRPr="00023F5E">
        <w:rPr>
          <w:rFonts w:ascii="Cambria" w:hAnsi="Cambria"/>
          <w:b/>
          <w:noProof/>
          <w:lang w:val="sr-Latn-ME"/>
        </w:rPr>
        <w:t xml:space="preserve"> sistem</w:t>
      </w:r>
      <w:r w:rsidR="00D47750">
        <w:rPr>
          <w:rFonts w:ascii="Cambria" w:hAnsi="Cambria"/>
          <w:b/>
          <w:noProof/>
          <w:lang w:val="sr-Latn-ME"/>
        </w:rPr>
        <w:t>a</w:t>
      </w:r>
      <w:r w:rsidR="00A7574A" w:rsidRPr="00023F5E">
        <w:rPr>
          <w:rFonts w:ascii="Cambria" w:hAnsi="Cambria"/>
          <w:b/>
          <w:noProof/>
          <w:lang w:val="sr-Latn-ME"/>
        </w:rPr>
        <w:t xml:space="preserve"> upravljanja hemikalijama koji </w:t>
      </w:r>
      <w:r w:rsidR="00B23B08" w:rsidRPr="00023F5E">
        <w:rPr>
          <w:rFonts w:ascii="Cambria" w:hAnsi="Cambria"/>
          <w:b/>
          <w:noProof/>
          <w:lang w:val="sr-Latn-ME"/>
        </w:rPr>
        <w:t>obezbje</w:t>
      </w:r>
      <w:r w:rsidR="00B23B08" w:rsidRPr="00023F5E">
        <w:rPr>
          <w:rFonts w:ascii="Cambria" w:hAnsi="Cambria"/>
          <w:b/>
          <w:noProof/>
          <w:lang w:val="sr-Latn-RS"/>
        </w:rPr>
        <w:t>đuje</w:t>
      </w:r>
      <w:r w:rsidR="00A7574A" w:rsidRPr="00023F5E">
        <w:rPr>
          <w:rFonts w:ascii="Cambria" w:hAnsi="Cambria"/>
          <w:b/>
          <w:noProof/>
          <w:lang w:val="sr-Latn-ME"/>
        </w:rPr>
        <w:t xml:space="preserve"> visok</w:t>
      </w:r>
      <w:r w:rsidR="0093398B">
        <w:rPr>
          <w:rFonts w:ascii="Cambria" w:hAnsi="Cambria"/>
          <w:b/>
          <w:noProof/>
          <w:lang w:val="sr-Latn-ME"/>
        </w:rPr>
        <w:t xml:space="preserve"> </w:t>
      </w:r>
      <w:r w:rsidR="00A7574A" w:rsidRPr="00023F5E">
        <w:rPr>
          <w:rFonts w:ascii="Cambria" w:hAnsi="Cambria"/>
          <w:b/>
          <w:noProof/>
          <w:lang w:val="sr-Latn-ME"/>
        </w:rPr>
        <w:t>nivo zaštite zdravlja ljudi i životne sredine</w:t>
      </w:r>
      <w:r w:rsidR="0093398B">
        <w:rPr>
          <w:rFonts w:ascii="Cambria" w:hAnsi="Cambria"/>
          <w:b/>
          <w:noProof/>
          <w:lang w:val="sr-Latn-ME"/>
        </w:rPr>
        <w:t>, kao</w:t>
      </w:r>
      <w:r w:rsidR="00B23B08" w:rsidRPr="00023F5E">
        <w:rPr>
          <w:rFonts w:ascii="Cambria" w:hAnsi="Cambria"/>
          <w:b/>
          <w:noProof/>
          <w:lang w:val="sr-Latn-ME"/>
        </w:rPr>
        <w:t xml:space="preserve"> i </w:t>
      </w:r>
      <w:r w:rsidR="00673FC8">
        <w:rPr>
          <w:rFonts w:ascii="Cambria" w:hAnsi="Cambria"/>
          <w:b/>
          <w:noProof/>
          <w:lang w:val="sr-Latn-ME" w:eastAsia="x-none"/>
        </w:rPr>
        <w:t>poboljšanje</w:t>
      </w:r>
      <w:r w:rsidR="00673FC8" w:rsidRPr="00023F5E">
        <w:rPr>
          <w:rFonts w:ascii="Cambria" w:hAnsi="Cambria"/>
          <w:b/>
          <w:noProof/>
          <w:lang w:val="sr-Latn-ME" w:eastAsia="x-none"/>
        </w:rPr>
        <w:t xml:space="preserve"> </w:t>
      </w:r>
      <w:r w:rsidR="00B23B08" w:rsidRPr="00023F5E">
        <w:rPr>
          <w:rFonts w:ascii="Cambria" w:hAnsi="Cambria"/>
          <w:b/>
          <w:noProof/>
          <w:lang w:val="sr-Latn-ME" w:eastAsia="x-none"/>
        </w:rPr>
        <w:t>slobod</w:t>
      </w:r>
      <w:r w:rsidR="00673FC8">
        <w:rPr>
          <w:rFonts w:ascii="Cambria" w:hAnsi="Cambria"/>
          <w:b/>
          <w:noProof/>
          <w:lang w:val="sr-Latn-ME" w:eastAsia="x-none"/>
        </w:rPr>
        <w:t>nog</w:t>
      </w:r>
      <w:r w:rsidR="00B23B08" w:rsidRPr="00023F5E">
        <w:rPr>
          <w:rFonts w:ascii="Cambria" w:hAnsi="Cambria"/>
          <w:b/>
          <w:noProof/>
          <w:lang w:val="sr-Latn-ME" w:eastAsia="x-none"/>
        </w:rPr>
        <w:t xml:space="preserve"> </w:t>
      </w:r>
      <w:r w:rsidR="00673FC8">
        <w:rPr>
          <w:rFonts w:ascii="Cambria" w:hAnsi="Cambria"/>
          <w:b/>
          <w:noProof/>
          <w:lang w:val="sr-Latn-ME" w:eastAsia="x-none"/>
        </w:rPr>
        <w:t xml:space="preserve">prometa </w:t>
      </w:r>
      <w:r w:rsidR="00A8049C">
        <w:rPr>
          <w:rFonts w:ascii="Cambria" w:hAnsi="Cambria"/>
          <w:b/>
          <w:noProof/>
          <w:lang w:val="sr-Latn-ME" w:eastAsia="x-none"/>
        </w:rPr>
        <w:t>sa zemljama EU i drugim zemljama uz podsticanje konkurentnosti crnogorske privrede kroz uvođenje bezb</w:t>
      </w:r>
      <w:r w:rsidR="00586C5E">
        <w:rPr>
          <w:rFonts w:ascii="Cambria" w:hAnsi="Cambria"/>
          <w:b/>
          <w:noProof/>
          <w:lang w:val="sr-Latn-ME" w:eastAsia="x-none"/>
        </w:rPr>
        <w:t>j</w:t>
      </w:r>
      <w:r w:rsidR="00A8049C">
        <w:rPr>
          <w:rFonts w:ascii="Cambria" w:hAnsi="Cambria"/>
          <w:b/>
          <w:noProof/>
          <w:lang w:val="sr-Latn-ME" w:eastAsia="x-none"/>
        </w:rPr>
        <w:t xml:space="preserve">ednijih </w:t>
      </w:r>
      <w:r w:rsidR="00421141">
        <w:rPr>
          <w:rFonts w:ascii="Cambria" w:hAnsi="Cambria"/>
          <w:b/>
          <w:noProof/>
          <w:lang w:val="sr-Latn-ME" w:eastAsia="x-none"/>
        </w:rPr>
        <w:t xml:space="preserve">hemikalija i </w:t>
      </w:r>
      <w:r w:rsidR="001259B3">
        <w:rPr>
          <w:rFonts w:ascii="Cambria" w:hAnsi="Cambria"/>
          <w:b/>
          <w:noProof/>
          <w:lang w:val="sr-Latn-ME" w:eastAsia="x-none"/>
        </w:rPr>
        <w:t xml:space="preserve">tehnoloških </w:t>
      </w:r>
      <w:r w:rsidR="00421141">
        <w:rPr>
          <w:rFonts w:ascii="Cambria" w:hAnsi="Cambria"/>
          <w:b/>
          <w:noProof/>
          <w:lang w:val="sr-Latn-ME" w:eastAsia="x-none"/>
        </w:rPr>
        <w:t>procesa</w:t>
      </w:r>
      <w:r w:rsidR="00B23B08" w:rsidRPr="00023F5E">
        <w:rPr>
          <w:rFonts w:ascii="Cambria" w:hAnsi="Cambria"/>
          <w:b/>
          <w:noProof/>
          <w:lang w:val="sr-Latn-ME"/>
        </w:rPr>
        <w:t xml:space="preserve">. </w:t>
      </w:r>
    </w:p>
    <w:p w14:paraId="4C5F4EA6" w14:textId="77777777" w:rsidR="00A275C9" w:rsidRDefault="00A275C9" w:rsidP="00094F2D">
      <w:pPr>
        <w:spacing w:before="120" w:after="120"/>
        <w:jc w:val="both"/>
        <w:rPr>
          <w:rFonts w:ascii="Cambria" w:hAnsi="Cambria"/>
          <w:noProof/>
          <w:lang w:val="sr-Latn-ME"/>
        </w:rPr>
      </w:pPr>
    </w:p>
    <w:p w14:paraId="01EACB36" w14:textId="7AF2B6E4" w:rsidR="00DE26C6" w:rsidRDefault="00DE26C6" w:rsidP="00094F2D">
      <w:pPr>
        <w:spacing w:before="120" w:after="120"/>
        <w:jc w:val="both"/>
        <w:rPr>
          <w:rFonts w:ascii="Cambria" w:hAnsi="Cambria"/>
          <w:noProof/>
          <w:lang w:val="sr-Latn-ME"/>
        </w:rPr>
      </w:pPr>
      <w:r w:rsidRPr="00DE26C6">
        <w:rPr>
          <w:rFonts w:ascii="Cambria" w:hAnsi="Cambria"/>
          <w:noProof/>
          <w:lang w:val="sr-Latn-ME"/>
        </w:rPr>
        <w:t xml:space="preserve">To će se postići kroz ostvarivanje </w:t>
      </w:r>
      <w:r w:rsidR="00A275C9">
        <w:rPr>
          <w:rFonts w:ascii="Cambria" w:hAnsi="Cambria"/>
          <w:noProof/>
          <w:lang w:val="sr-Latn-ME"/>
        </w:rPr>
        <w:t xml:space="preserve">slijedećih </w:t>
      </w:r>
      <w:r w:rsidRPr="00DE26C6">
        <w:rPr>
          <w:rFonts w:ascii="Cambria" w:hAnsi="Cambria"/>
          <w:noProof/>
          <w:lang w:val="sr-Latn-ME"/>
        </w:rPr>
        <w:t>operativnih ciljeva</w:t>
      </w:r>
      <w:bookmarkEnd w:id="144"/>
      <w:r w:rsidR="00CD4905" w:rsidRPr="00CD4905">
        <w:rPr>
          <w:bCs/>
          <w:noProof/>
        </w:rPr>
        <w:t xml:space="preserve"> </w:t>
      </w:r>
      <w:r w:rsidR="00CD4905" w:rsidRPr="00CD4905">
        <w:rPr>
          <w:rFonts w:ascii="Cambria" w:hAnsi="Cambria"/>
          <w:bCs/>
          <w:noProof/>
        </w:rPr>
        <w:t>sa pratećim indikatorima uspjeha</w:t>
      </w:r>
      <w:r w:rsidR="00C450E6">
        <w:rPr>
          <w:rFonts w:ascii="Cambria" w:hAnsi="Cambria"/>
          <w:bCs/>
          <w:noProof/>
        </w:rPr>
        <w:t xml:space="preserve"> prikazanim u tabeli 21. </w:t>
      </w:r>
    </w:p>
    <w:p w14:paraId="192E91B3" w14:textId="77777777" w:rsidR="00A275C9" w:rsidRDefault="00A275C9" w:rsidP="009A2099">
      <w:pPr>
        <w:spacing w:before="120" w:after="120"/>
        <w:jc w:val="center"/>
        <w:rPr>
          <w:rFonts w:ascii="Cambria" w:hAnsi="Cambria"/>
          <w:i/>
          <w:noProof/>
          <w:lang w:val="sr-Latn-ME"/>
        </w:rPr>
      </w:pPr>
    </w:p>
    <w:p w14:paraId="27827809" w14:textId="7F592006" w:rsidR="00C450E6" w:rsidRDefault="00C450E6" w:rsidP="009A2099">
      <w:pPr>
        <w:spacing w:before="120" w:after="120"/>
        <w:jc w:val="center"/>
        <w:rPr>
          <w:rFonts w:ascii="Cambria" w:hAnsi="Cambria"/>
          <w:noProof/>
          <w:lang w:val="sr-Latn-ME"/>
        </w:rPr>
      </w:pPr>
      <w:r w:rsidRPr="009A2099">
        <w:rPr>
          <w:rFonts w:ascii="Cambria" w:hAnsi="Cambria"/>
          <w:i/>
          <w:noProof/>
          <w:lang w:val="sr-Latn-ME"/>
        </w:rPr>
        <w:t>Tabela 21.</w:t>
      </w:r>
      <w:r>
        <w:rPr>
          <w:rFonts w:ascii="Cambria" w:hAnsi="Cambria"/>
          <w:noProof/>
          <w:lang w:val="sr-Latn-ME"/>
        </w:rPr>
        <w:t xml:space="preserve"> O</w:t>
      </w:r>
      <w:r w:rsidRPr="00C450E6">
        <w:rPr>
          <w:rFonts w:ascii="Cambria" w:hAnsi="Cambria"/>
          <w:noProof/>
          <w:lang w:val="sr-Latn-ME"/>
        </w:rPr>
        <w:t>perativnih ciljev</w:t>
      </w:r>
      <w:r>
        <w:rPr>
          <w:rFonts w:ascii="Cambria" w:hAnsi="Cambria"/>
          <w:noProof/>
          <w:lang w:val="sr-Latn-ME"/>
        </w:rPr>
        <w:t>i Nacionalne strategije upravljanja hemikalijama</w:t>
      </w:r>
      <w:r w:rsidRPr="00C450E6">
        <w:rPr>
          <w:rFonts w:ascii="Cambria" w:hAnsi="Cambria"/>
          <w:bCs/>
          <w:noProof/>
        </w:rPr>
        <w:t xml:space="preserve"> sa pratećim indikatorima uspjeha</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480"/>
      </w:tblGrid>
      <w:tr w:rsidR="00CD4905" w:rsidRPr="00A359D3" w14:paraId="71FFA57F" w14:textId="77777777" w:rsidTr="00BD0892">
        <w:tc>
          <w:tcPr>
            <w:tcW w:w="3510" w:type="dxa"/>
            <w:shd w:val="clear" w:color="auto" w:fill="auto"/>
          </w:tcPr>
          <w:p w14:paraId="5343CB8F" w14:textId="77777777" w:rsidR="00CD4905" w:rsidRPr="00A359D3" w:rsidRDefault="00CD4905" w:rsidP="00BD0892">
            <w:pPr>
              <w:spacing w:before="60" w:after="60"/>
              <w:jc w:val="center"/>
              <w:rPr>
                <w:rFonts w:ascii="Cambria" w:hAnsi="Cambria"/>
                <w:b/>
                <w:noProof/>
                <w:lang w:val="sr-Latn-ME"/>
              </w:rPr>
            </w:pPr>
            <w:r w:rsidRPr="00A359D3">
              <w:rPr>
                <w:rFonts w:ascii="Cambria" w:hAnsi="Cambria"/>
                <w:b/>
                <w:noProof/>
                <w:lang w:val="sr-Latn-ME"/>
              </w:rPr>
              <w:t>Operativni cilj</w:t>
            </w:r>
          </w:p>
        </w:tc>
        <w:tc>
          <w:tcPr>
            <w:tcW w:w="6480" w:type="dxa"/>
            <w:shd w:val="clear" w:color="auto" w:fill="auto"/>
          </w:tcPr>
          <w:p w14:paraId="6AE51912" w14:textId="77777777" w:rsidR="00CD4905" w:rsidRPr="00A359D3" w:rsidRDefault="00CD4905" w:rsidP="00BD0892">
            <w:pPr>
              <w:spacing w:before="60" w:after="60"/>
              <w:jc w:val="center"/>
              <w:rPr>
                <w:rFonts w:ascii="Cambria" w:hAnsi="Cambria"/>
                <w:b/>
                <w:noProof/>
                <w:lang w:val="sr-Latn-ME"/>
              </w:rPr>
            </w:pPr>
            <w:r w:rsidRPr="00A359D3">
              <w:rPr>
                <w:rFonts w:ascii="Cambria" w:hAnsi="Cambria"/>
                <w:b/>
                <w:bCs/>
                <w:noProof/>
              </w:rPr>
              <w:t xml:space="preserve">Indikator </w:t>
            </w:r>
            <w:r w:rsidR="00E7392F" w:rsidRPr="00E7392F">
              <w:rPr>
                <w:rFonts w:ascii="Cambria" w:hAnsi="Cambria"/>
                <w:b/>
                <w:bCs/>
                <w:noProof/>
              </w:rPr>
              <w:t>učinka</w:t>
            </w:r>
          </w:p>
        </w:tc>
      </w:tr>
      <w:tr w:rsidR="00435387" w:rsidRPr="00A359D3" w14:paraId="7F42607D" w14:textId="77777777" w:rsidTr="00BD0892">
        <w:tc>
          <w:tcPr>
            <w:tcW w:w="3510" w:type="dxa"/>
            <w:shd w:val="clear" w:color="auto" w:fill="auto"/>
          </w:tcPr>
          <w:p w14:paraId="777CF0F2" w14:textId="77777777" w:rsidR="00435387" w:rsidRPr="00B41194" w:rsidRDefault="00435387" w:rsidP="00BD0892">
            <w:pPr>
              <w:spacing w:before="60" w:after="60"/>
              <w:rPr>
                <w:rFonts w:ascii="Cambria" w:hAnsi="Cambria" w:cs="Arial"/>
                <w:noProof/>
                <w:lang w:val="sr-Latn-ME"/>
              </w:rPr>
            </w:pPr>
            <w:bookmarkStart w:id="145" w:name="_Hlk524093806"/>
            <w:r w:rsidRPr="00B41194">
              <w:rPr>
                <w:rFonts w:ascii="Cambria" w:hAnsi="Cambria" w:cs="Arial"/>
                <w:noProof/>
                <w:lang w:val="sr-Latn-ME"/>
              </w:rPr>
              <w:t>CILJ 1. U</w:t>
            </w:r>
            <w:r w:rsidRPr="00B41194">
              <w:rPr>
                <w:rFonts w:ascii="Cambria" w:hAnsi="Cambria" w:cs="Arial"/>
                <w:noProof/>
              </w:rPr>
              <w:t xml:space="preserve">naprijeđenje </w:t>
            </w:r>
            <w:r w:rsidRPr="00B41194">
              <w:rPr>
                <w:rFonts w:ascii="Cambria" w:hAnsi="Cambria" w:cs="Arial"/>
                <w:noProof/>
                <w:lang w:val="sr-Latn-ME"/>
              </w:rPr>
              <w:t xml:space="preserve">regulatornog okvira u oblasti upravljanja hemikalijama kroz dalju harmonizaciju sa propisima EU  </w:t>
            </w:r>
          </w:p>
        </w:tc>
        <w:tc>
          <w:tcPr>
            <w:tcW w:w="6480" w:type="dxa"/>
            <w:shd w:val="clear" w:color="auto" w:fill="auto"/>
          </w:tcPr>
          <w:p w14:paraId="0F345ED7" w14:textId="77777777" w:rsidR="00435387" w:rsidRDefault="00435387" w:rsidP="00557C13">
            <w:pPr>
              <w:numPr>
                <w:ilvl w:val="0"/>
                <w:numId w:val="35"/>
              </w:numPr>
              <w:spacing w:before="60" w:after="60"/>
              <w:ind w:left="332" w:hanging="270"/>
              <w:jc w:val="both"/>
              <w:rPr>
                <w:rFonts w:ascii="Cambria" w:hAnsi="Cambria"/>
                <w:noProof/>
                <w:lang w:val="sr-Latn-ME"/>
              </w:rPr>
            </w:pPr>
            <w:r>
              <w:rPr>
                <w:rFonts w:ascii="Cambria" w:hAnsi="Cambria"/>
                <w:noProof/>
                <w:lang w:val="sr-Latn-ME"/>
              </w:rPr>
              <w:t>Stepen harmonizacije povećan transponovanjem a</w:t>
            </w:r>
            <w:r w:rsidRPr="00A359D3">
              <w:rPr>
                <w:rFonts w:ascii="Cambria" w:hAnsi="Cambria"/>
                <w:noProof/>
                <w:lang w:val="sr-Latn-ME"/>
              </w:rPr>
              <w:t>mandman</w:t>
            </w:r>
            <w:r>
              <w:rPr>
                <w:rFonts w:ascii="Cambria" w:hAnsi="Cambria"/>
                <w:noProof/>
                <w:lang w:val="sr-Latn-ME"/>
              </w:rPr>
              <w:t>a</w:t>
            </w:r>
            <w:r w:rsidRPr="00A359D3">
              <w:rPr>
                <w:rFonts w:ascii="Cambria" w:hAnsi="Cambria"/>
                <w:noProof/>
                <w:lang w:val="sr-Latn-ME"/>
              </w:rPr>
              <w:t xml:space="preserve"> na relevantne EU propise u nacionalno zakonodavstvo kroz izmjene i dopune postojećih propisa </w:t>
            </w:r>
          </w:p>
          <w:p w14:paraId="6727195F" w14:textId="77777777" w:rsidR="00CE5FFA" w:rsidRPr="00964368" w:rsidRDefault="00CE5FFA" w:rsidP="00964368">
            <w:pPr>
              <w:pStyle w:val="ListParagraph"/>
              <w:numPr>
                <w:ilvl w:val="0"/>
                <w:numId w:val="4"/>
              </w:numPr>
              <w:spacing w:before="60" w:after="60"/>
              <w:jc w:val="both"/>
              <w:rPr>
                <w:rFonts w:ascii="Cambria" w:hAnsi="Cambria"/>
                <w:noProof/>
                <w:lang w:val="sr-Latn-ME"/>
              </w:rPr>
            </w:pPr>
            <w:r w:rsidRPr="00964368">
              <w:rPr>
                <w:rFonts w:ascii="Cambria" w:hAnsi="Cambria"/>
                <w:noProof/>
                <w:lang w:val="sr-Latn-ME"/>
              </w:rPr>
              <w:t>Polazna vr</w:t>
            </w:r>
            <w:r w:rsidR="009E3693" w:rsidRPr="00964368">
              <w:rPr>
                <w:rFonts w:ascii="Cambria" w:hAnsi="Cambria"/>
                <w:noProof/>
                <w:lang w:val="sr-Latn-ME"/>
              </w:rPr>
              <w:t>ij</w:t>
            </w:r>
            <w:r w:rsidRPr="00964368">
              <w:rPr>
                <w:rFonts w:ascii="Cambria" w:hAnsi="Cambria"/>
                <w:noProof/>
                <w:lang w:val="sr-Latn-ME"/>
              </w:rPr>
              <w:t>ednost: stepen harmonizacije pojedina</w:t>
            </w:r>
            <w:r w:rsidR="00EA59DC" w:rsidRPr="00964368">
              <w:rPr>
                <w:rFonts w:ascii="Cambria" w:hAnsi="Cambria"/>
                <w:noProof/>
                <w:lang w:val="sr-Latn-ME"/>
              </w:rPr>
              <w:t>č</w:t>
            </w:r>
            <w:r w:rsidRPr="00964368">
              <w:rPr>
                <w:rFonts w:ascii="Cambria" w:hAnsi="Cambria"/>
                <w:noProof/>
                <w:lang w:val="sr-Latn-ME"/>
              </w:rPr>
              <w:t xml:space="preserve">nog propisa </w:t>
            </w:r>
            <w:r w:rsidR="006702DD">
              <w:rPr>
                <w:rFonts w:ascii="Cambria" w:hAnsi="Cambria"/>
                <w:noProof/>
                <w:lang w:val="sr-Latn-ME"/>
              </w:rPr>
              <w:t xml:space="preserve">u </w:t>
            </w:r>
            <w:r w:rsidRPr="00964368">
              <w:rPr>
                <w:rFonts w:ascii="Cambria" w:hAnsi="Cambria"/>
                <w:noProof/>
                <w:lang w:val="sr-Latn-ME"/>
              </w:rPr>
              <w:t>201</w:t>
            </w:r>
            <w:r w:rsidR="009E3693" w:rsidRPr="00964368">
              <w:rPr>
                <w:rFonts w:ascii="Cambria" w:hAnsi="Cambria"/>
                <w:noProof/>
                <w:lang w:val="sr-Latn-ME"/>
              </w:rPr>
              <w:t>8</w:t>
            </w:r>
            <w:r w:rsidRPr="00964368">
              <w:rPr>
                <w:rFonts w:ascii="Cambria" w:hAnsi="Cambria"/>
                <w:noProof/>
                <w:lang w:val="sr-Latn-ME"/>
              </w:rPr>
              <w:t>.</w:t>
            </w:r>
          </w:p>
          <w:p w14:paraId="62054559" w14:textId="77777777" w:rsidR="00CE5FFA" w:rsidRPr="00964368" w:rsidRDefault="00CE5FFA" w:rsidP="00964368">
            <w:pPr>
              <w:pStyle w:val="ListParagraph"/>
              <w:numPr>
                <w:ilvl w:val="0"/>
                <w:numId w:val="4"/>
              </w:numPr>
              <w:spacing w:before="60" w:after="60"/>
              <w:jc w:val="both"/>
              <w:rPr>
                <w:rFonts w:ascii="Cambria" w:hAnsi="Cambria"/>
                <w:noProof/>
                <w:lang w:val="sr-Latn-ME"/>
              </w:rPr>
            </w:pPr>
            <w:r w:rsidRPr="00964368">
              <w:rPr>
                <w:rFonts w:ascii="Cambria" w:hAnsi="Cambria"/>
                <w:noProof/>
                <w:lang w:val="sr-Latn-ME"/>
              </w:rPr>
              <w:t>Ciljna vr</w:t>
            </w:r>
            <w:r w:rsidR="009E3693" w:rsidRPr="00964368">
              <w:rPr>
                <w:rFonts w:ascii="Cambria" w:hAnsi="Cambria"/>
                <w:noProof/>
                <w:lang w:val="sr-Latn-ME"/>
              </w:rPr>
              <w:t>ij</w:t>
            </w:r>
            <w:r w:rsidRPr="00964368">
              <w:rPr>
                <w:rFonts w:ascii="Cambria" w:hAnsi="Cambria"/>
                <w:noProof/>
                <w:lang w:val="sr-Latn-ME"/>
              </w:rPr>
              <w:t xml:space="preserve">ednost: povećanje polaznog stepena </w:t>
            </w:r>
            <w:r w:rsidR="009E3693" w:rsidRPr="00964368">
              <w:rPr>
                <w:rFonts w:ascii="Cambria" w:hAnsi="Cambria"/>
                <w:noProof/>
                <w:lang w:val="sr-Latn-ME"/>
              </w:rPr>
              <w:t xml:space="preserve">harmonizacije </w:t>
            </w:r>
            <w:r w:rsidRPr="00964368">
              <w:rPr>
                <w:rFonts w:ascii="Cambria" w:hAnsi="Cambria"/>
                <w:noProof/>
                <w:lang w:val="sr-Latn-ME"/>
              </w:rPr>
              <w:t xml:space="preserve">za </w:t>
            </w:r>
            <w:r w:rsidR="008C29A9" w:rsidRPr="00964368">
              <w:rPr>
                <w:rFonts w:ascii="Cambria" w:hAnsi="Cambria"/>
                <w:noProof/>
                <w:lang w:val="sr-Latn-ME"/>
              </w:rPr>
              <w:t xml:space="preserve">najmanje </w:t>
            </w:r>
            <w:r w:rsidRPr="00964368">
              <w:rPr>
                <w:rFonts w:ascii="Cambria" w:hAnsi="Cambria"/>
                <w:noProof/>
                <w:lang w:val="sr-Latn-ME"/>
              </w:rPr>
              <w:t>5-10%</w:t>
            </w:r>
            <w:r w:rsidR="00C23AE7">
              <w:rPr>
                <w:rFonts w:ascii="Cambria" w:hAnsi="Cambria"/>
                <w:noProof/>
                <w:lang w:val="sr-Latn-ME"/>
              </w:rPr>
              <w:t>, rok:</w:t>
            </w:r>
            <w:r w:rsidR="006702DD">
              <w:rPr>
                <w:rFonts w:ascii="Cambria" w:hAnsi="Cambria"/>
                <w:noProof/>
                <w:lang w:val="sr-Latn-ME"/>
              </w:rPr>
              <w:t xml:space="preserve"> 2022.</w:t>
            </w:r>
          </w:p>
        </w:tc>
      </w:tr>
      <w:tr w:rsidR="00490707" w:rsidRPr="00A359D3" w14:paraId="046FD9A3" w14:textId="77777777" w:rsidTr="00BD0892">
        <w:tc>
          <w:tcPr>
            <w:tcW w:w="3510" w:type="dxa"/>
            <w:vMerge w:val="restart"/>
            <w:shd w:val="clear" w:color="auto" w:fill="auto"/>
          </w:tcPr>
          <w:p w14:paraId="307C9099" w14:textId="00C29798" w:rsidR="00490707" w:rsidRPr="00B41194" w:rsidRDefault="00490707" w:rsidP="00BD0892">
            <w:pPr>
              <w:spacing w:before="60" w:after="60"/>
              <w:rPr>
                <w:rFonts w:ascii="Cambria" w:hAnsi="Cambria" w:cs="Arial"/>
                <w:noProof/>
                <w:lang w:val="sr-Latn-ME"/>
              </w:rPr>
            </w:pPr>
            <w:r w:rsidRPr="00B41194">
              <w:rPr>
                <w:rFonts w:ascii="Cambria" w:hAnsi="Cambria" w:cs="Arial"/>
                <w:noProof/>
                <w:lang w:val="sr-Latn-ME"/>
              </w:rPr>
              <w:t>CILJ 2. U</w:t>
            </w:r>
            <w:r w:rsidRPr="00B41194">
              <w:rPr>
                <w:rFonts w:ascii="Cambria" w:hAnsi="Cambria" w:cs="Arial"/>
                <w:noProof/>
              </w:rPr>
              <w:t xml:space="preserve">naprijeđenje </w:t>
            </w:r>
            <w:r w:rsidRPr="00B41194">
              <w:rPr>
                <w:rFonts w:ascii="Cambria" w:hAnsi="Cambria" w:cs="Arial"/>
                <w:noProof/>
                <w:lang w:val="sr-Latn-ME"/>
              </w:rPr>
              <w:t>implementacije postojećih propisa</w:t>
            </w:r>
          </w:p>
        </w:tc>
        <w:tc>
          <w:tcPr>
            <w:tcW w:w="6480" w:type="dxa"/>
            <w:shd w:val="clear" w:color="auto" w:fill="auto"/>
          </w:tcPr>
          <w:p w14:paraId="35C41AB8" w14:textId="77777777" w:rsidR="00490707" w:rsidRDefault="00490707" w:rsidP="00557C13">
            <w:pPr>
              <w:numPr>
                <w:ilvl w:val="0"/>
                <w:numId w:val="35"/>
              </w:numPr>
              <w:spacing w:before="60" w:after="60"/>
              <w:ind w:left="332" w:hanging="270"/>
              <w:jc w:val="both"/>
              <w:rPr>
                <w:rFonts w:ascii="Cambria" w:hAnsi="Cambria"/>
                <w:noProof/>
                <w:lang w:val="sr-Latn-ME"/>
              </w:rPr>
            </w:pPr>
            <w:r w:rsidRPr="00A359D3">
              <w:rPr>
                <w:rFonts w:ascii="Cambria" w:hAnsi="Cambria"/>
                <w:noProof/>
                <w:lang w:val="sr-Latn-ME"/>
              </w:rPr>
              <w:t>IT alati</w:t>
            </w:r>
            <w:r>
              <w:rPr>
                <w:rFonts w:ascii="Cambria" w:hAnsi="Cambria"/>
                <w:noProof/>
                <w:lang w:val="sr-Latn-ME"/>
              </w:rPr>
              <w:t xml:space="preserve"> za</w:t>
            </w:r>
            <w:r w:rsidRPr="00A359D3">
              <w:rPr>
                <w:rFonts w:ascii="Cambria" w:hAnsi="Cambria"/>
                <w:noProof/>
                <w:lang w:val="sr-Latn-ME"/>
              </w:rPr>
              <w:t xml:space="preserve"> efikasno vođenje </w:t>
            </w:r>
            <w:r>
              <w:rPr>
                <w:rFonts w:ascii="Cambria" w:hAnsi="Cambria"/>
                <w:noProof/>
                <w:lang w:val="sr-Latn-ME"/>
              </w:rPr>
              <w:t>R</w:t>
            </w:r>
            <w:r w:rsidRPr="00A359D3">
              <w:rPr>
                <w:rFonts w:ascii="Cambria" w:hAnsi="Cambria"/>
                <w:noProof/>
                <w:lang w:val="sr-Latn-ME"/>
              </w:rPr>
              <w:t>egistra hemikalija</w:t>
            </w:r>
            <w:r>
              <w:rPr>
                <w:rFonts w:ascii="Cambria" w:hAnsi="Cambria"/>
                <w:noProof/>
                <w:lang w:val="sr-Latn-ME"/>
              </w:rPr>
              <w:t xml:space="preserve">  (i registra biocidnih proizvoda kao sastavnog dijela), kao </w:t>
            </w:r>
            <w:r w:rsidRPr="00A359D3">
              <w:rPr>
                <w:rFonts w:ascii="Cambria" w:hAnsi="Cambria"/>
                <w:noProof/>
                <w:lang w:val="sr-Latn-ME"/>
              </w:rPr>
              <w:t>i statističku obradu podataka</w:t>
            </w:r>
            <w:r>
              <w:rPr>
                <w:rFonts w:ascii="Cambria" w:hAnsi="Cambria"/>
                <w:noProof/>
                <w:lang w:val="sr-Latn-ME"/>
              </w:rPr>
              <w:t xml:space="preserve"> funkcionalni</w:t>
            </w:r>
          </w:p>
          <w:p w14:paraId="3F41D637" w14:textId="77777777" w:rsidR="00490707" w:rsidRPr="009E3693" w:rsidRDefault="00490707" w:rsidP="009E3693">
            <w:pPr>
              <w:pStyle w:val="ListParagraph"/>
              <w:numPr>
                <w:ilvl w:val="0"/>
                <w:numId w:val="4"/>
              </w:numPr>
              <w:spacing w:before="60" w:after="60"/>
              <w:jc w:val="both"/>
              <w:rPr>
                <w:rFonts w:ascii="Cambria" w:hAnsi="Cambria"/>
                <w:noProof/>
                <w:lang w:val="sr-Latn-ME"/>
              </w:rPr>
            </w:pPr>
            <w:r w:rsidRPr="009E3693">
              <w:rPr>
                <w:rFonts w:ascii="Cambria" w:hAnsi="Cambria"/>
                <w:noProof/>
                <w:lang w:val="sr-Latn-ME"/>
              </w:rPr>
              <w:t>Polazna vrijednost: registar se vodi u MS Excel koji nije povezan sa drugim informacionim sistemima.</w:t>
            </w:r>
          </w:p>
          <w:p w14:paraId="5BC3DFDC" w14:textId="77777777" w:rsidR="00490707" w:rsidRPr="009E3693" w:rsidRDefault="00490707" w:rsidP="009E3693">
            <w:pPr>
              <w:pStyle w:val="ListParagraph"/>
              <w:numPr>
                <w:ilvl w:val="0"/>
                <w:numId w:val="4"/>
              </w:numPr>
              <w:spacing w:before="60" w:after="60"/>
              <w:jc w:val="both"/>
              <w:rPr>
                <w:rFonts w:ascii="Cambria" w:hAnsi="Cambria"/>
                <w:noProof/>
                <w:lang w:val="sr-Latn-ME"/>
              </w:rPr>
            </w:pPr>
            <w:r w:rsidRPr="009E3693">
              <w:rPr>
                <w:rFonts w:ascii="Cambria" w:hAnsi="Cambria"/>
                <w:noProof/>
                <w:lang w:val="sr-Latn-ME"/>
              </w:rPr>
              <w:t xml:space="preserve">Ciljna vrijednost: </w:t>
            </w:r>
            <w:r w:rsidR="00631A10">
              <w:rPr>
                <w:rFonts w:ascii="Cambria" w:hAnsi="Cambria"/>
                <w:noProof/>
                <w:lang w:val="sr-Latn-ME"/>
              </w:rPr>
              <w:t xml:space="preserve"> </w:t>
            </w:r>
            <w:r w:rsidRPr="009E3693">
              <w:rPr>
                <w:rFonts w:ascii="Cambria" w:hAnsi="Cambria"/>
                <w:noProof/>
                <w:lang w:val="sr-Latn-ME"/>
              </w:rPr>
              <w:t>softversko rešenje posebno prilagođeno potrebama vo</w:t>
            </w:r>
            <w:r w:rsidR="00631A10">
              <w:rPr>
                <w:rFonts w:ascii="Cambria" w:hAnsi="Cambria"/>
                <w:noProof/>
                <w:lang w:val="sr-Latn-ME"/>
              </w:rPr>
              <w:t>đ</w:t>
            </w:r>
            <w:r w:rsidRPr="009E3693">
              <w:rPr>
                <w:rFonts w:ascii="Cambria" w:hAnsi="Cambria"/>
                <w:noProof/>
                <w:lang w:val="sr-Latn-ME"/>
              </w:rPr>
              <w:t>enja Registra hemikalija, podržano odgovarajućim hardverom</w:t>
            </w:r>
            <w:r w:rsidR="00C23AE7">
              <w:rPr>
                <w:rFonts w:ascii="Cambria" w:hAnsi="Cambria"/>
                <w:noProof/>
                <w:lang w:val="sr-Latn-ME"/>
              </w:rPr>
              <w:t>, rok:</w:t>
            </w:r>
            <w:r w:rsidR="006702DD">
              <w:rPr>
                <w:rFonts w:ascii="Cambria" w:hAnsi="Cambria"/>
                <w:noProof/>
                <w:lang w:val="sr-Latn-ME"/>
              </w:rPr>
              <w:t xml:space="preserve"> 2020</w:t>
            </w:r>
            <w:r w:rsidR="00C23AE7">
              <w:rPr>
                <w:rFonts w:ascii="Cambria" w:hAnsi="Cambria"/>
                <w:noProof/>
                <w:lang w:val="sr-Latn-ME"/>
              </w:rPr>
              <w:t>.</w:t>
            </w:r>
          </w:p>
        </w:tc>
      </w:tr>
      <w:tr w:rsidR="00490707" w:rsidRPr="00A359D3" w14:paraId="1AA6FE53" w14:textId="77777777" w:rsidTr="00BD0892">
        <w:tc>
          <w:tcPr>
            <w:tcW w:w="3510" w:type="dxa"/>
            <w:vMerge/>
            <w:shd w:val="clear" w:color="auto" w:fill="auto"/>
          </w:tcPr>
          <w:p w14:paraId="51FCE61B" w14:textId="77777777" w:rsidR="00490707" w:rsidRPr="00B41194" w:rsidRDefault="00490707" w:rsidP="00BD0892">
            <w:pPr>
              <w:spacing w:before="60" w:after="60"/>
              <w:rPr>
                <w:rFonts w:ascii="Cambria" w:hAnsi="Cambria" w:cs="Arial"/>
                <w:noProof/>
                <w:lang w:val="sr-Latn-ME"/>
              </w:rPr>
            </w:pPr>
          </w:p>
        </w:tc>
        <w:tc>
          <w:tcPr>
            <w:tcW w:w="6480" w:type="dxa"/>
            <w:shd w:val="clear" w:color="auto" w:fill="auto"/>
          </w:tcPr>
          <w:p w14:paraId="6E1473DF" w14:textId="77777777" w:rsidR="00490707" w:rsidRDefault="00490707" w:rsidP="00557C13">
            <w:pPr>
              <w:numPr>
                <w:ilvl w:val="0"/>
                <w:numId w:val="35"/>
              </w:numPr>
              <w:spacing w:before="60" w:after="60"/>
              <w:ind w:left="332" w:hanging="270"/>
              <w:jc w:val="both"/>
              <w:rPr>
                <w:rFonts w:ascii="Cambria" w:hAnsi="Cambria"/>
                <w:noProof/>
                <w:lang w:val="sr-Latn-ME"/>
              </w:rPr>
            </w:pPr>
            <w:r>
              <w:rPr>
                <w:rFonts w:ascii="Cambria" w:hAnsi="Cambria"/>
                <w:noProof/>
                <w:lang w:val="sr-Latn-ME"/>
              </w:rPr>
              <w:t>Dostupnost informacija preko Help deska poboljšana</w:t>
            </w:r>
          </w:p>
          <w:p w14:paraId="21AE1897" w14:textId="124D87C8" w:rsidR="00490707" w:rsidRPr="00964368" w:rsidRDefault="00490707" w:rsidP="00964368">
            <w:pPr>
              <w:pStyle w:val="ListParagraph"/>
              <w:numPr>
                <w:ilvl w:val="0"/>
                <w:numId w:val="4"/>
              </w:numPr>
              <w:spacing w:before="60" w:after="60"/>
              <w:jc w:val="both"/>
              <w:rPr>
                <w:rFonts w:ascii="Cambria" w:hAnsi="Cambria"/>
                <w:noProof/>
                <w:lang w:val="sr-Latn-ME"/>
              </w:rPr>
            </w:pPr>
            <w:r w:rsidRPr="00964368">
              <w:rPr>
                <w:rFonts w:ascii="Cambria" w:hAnsi="Cambria"/>
                <w:noProof/>
                <w:lang w:val="sr-Latn-ME"/>
              </w:rPr>
              <w:t>Polazna vrijednost: informacije sa help deska dostupne na zaht</w:t>
            </w:r>
            <w:r w:rsidR="00A95211">
              <w:rPr>
                <w:rFonts w:ascii="Cambria" w:hAnsi="Cambria"/>
                <w:noProof/>
                <w:lang w:val="sr-Latn-ME"/>
              </w:rPr>
              <w:t>j</w:t>
            </w:r>
            <w:r w:rsidRPr="00964368">
              <w:rPr>
                <w:rFonts w:ascii="Cambria" w:hAnsi="Cambria"/>
                <w:noProof/>
                <w:lang w:val="sr-Latn-ME"/>
              </w:rPr>
              <w:t>ev korisnika upućen e-mailom ili telefonom</w:t>
            </w:r>
          </w:p>
          <w:p w14:paraId="2EF225F5" w14:textId="77777777" w:rsidR="00490707" w:rsidRPr="00964368" w:rsidRDefault="00490707" w:rsidP="00964368">
            <w:pPr>
              <w:pStyle w:val="ListParagraph"/>
              <w:numPr>
                <w:ilvl w:val="0"/>
                <w:numId w:val="4"/>
              </w:numPr>
              <w:spacing w:before="60" w:after="60"/>
              <w:jc w:val="both"/>
              <w:rPr>
                <w:rFonts w:ascii="Cambria" w:hAnsi="Cambria"/>
                <w:noProof/>
                <w:lang w:val="sr-Latn-ME"/>
              </w:rPr>
            </w:pPr>
            <w:r w:rsidRPr="00964368">
              <w:rPr>
                <w:rFonts w:ascii="Cambria" w:hAnsi="Cambria"/>
                <w:noProof/>
                <w:lang w:val="sr-Latn-ME"/>
              </w:rPr>
              <w:t xml:space="preserve">Ciljna vrednost: </w:t>
            </w:r>
            <w:r>
              <w:rPr>
                <w:rFonts w:ascii="Cambria" w:hAnsi="Cambria"/>
                <w:noProof/>
                <w:lang w:val="sr-Latn-ME"/>
              </w:rPr>
              <w:t xml:space="preserve">help desk </w:t>
            </w:r>
            <w:r w:rsidRPr="00964368">
              <w:rPr>
                <w:rFonts w:ascii="Cambria" w:hAnsi="Cambria"/>
                <w:noProof/>
                <w:lang w:val="sr-Latn-ME"/>
              </w:rPr>
              <w:t xml:space="preserve">web stranica sa informacijama, uputstvima </w:t>
            </w:r>
            <w:r>
              <w:rPr>
                <w:rFonts w:ascii="Cambria" w:hAnsi="Cambria"/>
                <w:noProof/>
                <w:lang w:val="sr-Latn-ME"/>
              </w:rPr>
              <w:t>i odgovorima na česta pitanja dostupna na web sajtu AZPŽS</w:t>
            </w:r>
            <w:r w:rsidR="00C23AE7">
              <w:rPr>
                <w:rFonts w:ascii="Cambria" w:hAnsi="Cambria"/>
                <w:noProof/>
                <w:lang w:val="sr-Latn-ME"/>
              </w:rPr>
              <w:t>, rok:</w:t>
            </w:r>
            <w:r w:rsidR="006702DD">
              <w:rPr>
                <w:rFonts w:ascii="Cambria" w:hAnsi="Cambria"/>
                <w:noProof/>
                <w:lang w:val="sr-Latn-ME"/>
              </w:rPr>
              <w:t xml:space="preserve"> 2020</w:t>
            </w:r>
            <w:r w:rsidR="00C23AE7">
              <w:rPr>
                <w:rFonts w:ascii="Cambria" w:hAnsi="Cambria"/>
                <w:noProof/>
                <w:lang w:val="sr-Latn-ME"/>
              </w:rPr>
              <w:t>.</w:t>
            </w:r>
          </w:p>
        </w:tc>
      </w:tr>
      <w:tr w:rsidR="00C23AE7" w:rsidRPr="00A359D3" w14:paraId="1494C797" w14:textId="77777777" w:rsidTr="00BD0892">
        <w:tc>
          <w:tcPr>
            <w:tcW w:w="3510" w:type="dxa"/>
            <w:vMerge w:val="restart"/>
            <w:shd w:val="clear" w:color="auto" w:fill="auto"/>
          </w:tcPr>
          <w:p w14:paraId="740A6F14" w14:textId="77777777" w:rsidR="00C23AE7" w:rsidRPr="00B41194" w:rsidRDefault="00C23AE7" w:rsidP="00C23AE7">
            <w:pPr>
              <w:spacing w:before="60" w:after="60"/>
              <w:rPr>
                <w:rFonts w:ascii="Cambria" w:hAnsi="Cambria" w:cs="Arial"/>
                <w:noProof/>
                <w:lang w:val="sr-Latn-ME"/>
              </w:rPr>
            </w:pPr>
            <w:r w:rsidRPr="00B41194">
              <w:rPr>
                <w:rFonts w:ascii="Cambria" w:hAnsi="Cambria" w:cs="Arial"/>
                <w:noProof/>
                <w:lang w:val="sr-Latn-ME"/>
              </w:rPr>
              <w:t>CILJ 3. Jačanje administrativnih kapaciteta za efikasno vršenje nadležnosti u oblasti hemikalija</w:t>
            </w:r>
          </w:p>
        </w:tc>
        <w:tc>
          <w:tcPr>
            <w:tcW w:w="6480" w:type="dxa"/>
            <w:shd w:val="clear" w:color="auto" w:fill="auto"/>
          </w:tcPr>
          <w:p w14:paraId="4F543CE3" w14:textId="77777777" w:rsidR="00C23AE7" w:rsidRDefault="00C23AE7" w:rsidP="00557C13">
            <w:pPr>
              <w:numPr>
                <w:ilvl w:val="0"/>
                <w:numId w:val="35"/>
              </w:numPr>
              <w:spacing w:before="60" w:after="60"/>
              <w:ind w:left="332" w:hanging="270"/>
              <w:jc w:val="both"/>
              <w:rPr>
                <w:rFonts w:ascii="Cambria" w:hAnsi="Cambria"/>
                <w:noProof/>
                <w:lang w:val="sr-Latn-ME"/>
              </w:rPr>
            </w:pPr>
            <w:r w:rsidRPr="00A359D3">
              <w:rPr>
                <w:rFonts w:ascii="Cambria" w:hAnsi="Cambria"/>
                <w:noProof/>
                <w:lang w:val="sr-Latn-ME"/>
              </w:rPr>
              <w:t xml:space="preserve">Povećan broj zaposlenih na poslovima upravljanja hemikalijama </w:t>
            </w:r>
          </w:p>
          <w:p w14:paraId="6DB0BC95" w14:textId="77777777" w:rsidR="00C23AE7" w:rsidRPr="00490707" w:rsidRDefault="00C23AE7" w:rsidP="00C23AE7">
            <w:pPr>
              <w:spacing w:before="60" w:after="60"/>
              <w:ind w:left="332"/>
              <w:jc w:val="both"/>
              <w:rPr>
                <w:rFonts w:ascii="Cambria" w:hAnsi="Cambria"/>
                <w:noProof/>
                <w:lang w:val="sr-Latn-ME"/>
              </w:rPr>
            </w:pPr>
            <w:r w:rsidRPr="00490707">
              <w:rPr>
                <w:rFonts w:ascii="Cambria" w:hAnsi="Cambria"/>
                <w:noProof/>
                <w:lang w:val="sr-Latn-ME"/>
              </w:rPr>
              <w:t>-</w:t>
            </w:r>
            <w:r w:rsidRPr="00490707">
              <w:rPr>
                <w:rFonts w:ascii="Cambria" w:hAnsi="Cambria"/>
                <w:noProof/>
                <w:lang w:val="sr-Latn-ME"/>
              </w:rPr>
              <w:tab/>
              <w:t xml:space="preserve">Polazna vrijednost: </w:t>
            </w:r>
            <w:r>
              <w:rPr>
                <w:rFonts w:ascii="Cambria" w:hAnsi="Cambria"/>
                <w:noProof/>
                <w:lang w:val="sr-Latn-ME"/>
              </w:rPr>
              <w:t>MORT 1, AZPŽS 3</w:t>
            </w:r>
            <w:r w:rsidRPr="00490707">
              <w:rPr>
                <w:rFonts w:ascii="Cambria" w:hAnsi="Cambria"/>
                <w:noProof/>
                <w:lang w:val="sr-Latn-ME"/>
              </w:rPr>
              <w:t xml:space="preserve"> </w:t>
            </w:r>
          </w:p>
          <w:p w14:paraId="303FA474" w14:textId="77777777" w:rsidR="00C23AE7" w:rsidRPr="00C23AE7" w:rsidRDefault="00C23AE7" w:rsidP="00C23AE7">
            <w:pPr>
              <w:spacing w:before="60" w:after="60"/>
              <w:ind w:left="332"/>
              <w:jc w:val="both"/>
              <w:rPr>
                <w:rFonts w:ascii="Cambria" w:hAnsi="Cambria"/>
                <w:noProof/>
                <w:lang w:val="sr-Latn-ME"/>
              </w:rPr>
            </w:pPr>
            <w:r w:rsidRPr="00490707">
              <w:rPr>
                <w:rFonts w:ascii="Cambria" w:hAnsi="Cambria"/>
                <w:noProof/>
                <w:lang w:val="sr-Latn-ME"/>
              </w:rPr>
              <w:t>-</w:t>
            </w:r>
            <w:r w:rsidRPr="00490707">
              <w:rPr>
                <w:rFonts w:ascii="Cambria" w:hAnsi="Cambria"/>
                <w:noProof/>
                <w:lang w:val="sr-Latn-ME"/>
              </w:rPr>
              <w:tab/>
            </w:r>
            <w:r w:rsidRPr="00EE3F56">
              <w:rPr>
                <w:rFonts w:ascii="Cambria" w:hAnsi="Cambria"/>
                <w:noProof/>
                <w:lang w:val="sr-Latn-ME"/>
              </w:rPr>
              <w:t>Ciljna vrijednost: MORT 4, AZPŽS 7, rok: 2022.</w:t>
            </w:r>
          </w:p>
        </w:tc>
      </w:tr>
      <w:tr w:rsidR="00C23AE7" w:rsidRPr="00A359D3" w14:paraId="1EB98EDB" w14:textId="77777777" w:rsidTr="00BD0892">
        <w:tc>
          <w:tcPr>
            <w:tcW w:w="3510" w:type="dxa"/>
            <w:vMerge/>
            <w:shd w:val="clear" w:color="auto" w:fill="auto"/>
          </w:tcPr>
          <w:p w14:paraId="2AB9B057" w14:textId="77777777" w:rsidR="00C23AE7" w:rsidRPr="00B41194" w:rsidRDefault="00C23AE7" w:rsidP="00C23AE7">
            <w:pPr>
              <w:spacing w:before="60" w:after="60"/>
              <w:rPr>
                <w:rFonts w:ascii="Cambria" w:hAnsi="Cambria" w:cs="Arial"/>
                <w:noProof/>
                <w:lang w:val="sr-Latn-ME"/>
              </w:rPr>
            </w:pPr>
          </w:p>
        </w:tc>
        <w:tc>
          <w:tcPr>
            <w:tcW w:w="6480" w:type="dxa"/>
            <w:shd w:val="clear" w:color="auto" w:fill="auto"/>
          </w:tcPr>
          <w:p w14:paraId="30AED432" w14:textId="77777777" w:rsidR="00C23AE7" w:rsidRPr="003F47AE" w:rsidRDefault="00C23AE7" w:rsidP="00557C13">
            <w:pPr>
              <w:numPr>
                <w:ilvl w:val="0"/>
                <w:numId w:val="35"/>
              </w:numPr>
              <w:spacing w:before="60" w:after="60"/>
              <w:ind w:left="332" w:hanging="270"/>
              <w:jc w:val="both"/>
              <w:rPr>
                <w:rFonts w:ascii="Cambria" w:hAnsi="Cambria"/>
                <w:noProof/>
                <w:lang w:val="sr-Latn-ME"/>
              </w:rPr>
            </w:pPr>
            <w:r w:rsidRPr="003F47AE">
              <w:rPr>
                <w:rFonts w:ascii="Cambria" w:hAnsi="Cambria"/>
                <w:noProof/>
                <w:lang w:val="sr-Latn-ME"/>
              </w:rPr>
              <w:t>Osoblje nadležnih organa i eksterni stručnjaci iz naučno-istraživačkih ustanova obu</w:t>
            </w:r>
            <w:r w:rsidRPr="003F47AE">
              <w:rPr>
                <w:rFonts w:ascii="Cambria" w:hAnsi="Cambria"/>
                <w:noProof/>
                <w:lang w:val="sr-Latn-RS"/>
              </w:rPr>
              <w:t xml:space="preserve">čeni za </w:t>
            </w:r>
            <w:r w:rsidRPr="003F47AE">
              <w:rPr>
                <w:rFonts w:ascii="Cambria" w:hAnsi="Cambria"/>
                <w:noProof/>
                <w:lang w:val="sr-Latn-ME"/>
              </w:rPr>
              <w:t xml:space="preserve"> poslove koji uključuju procjenu rizika</w:t>
            </w:r>
            <w:r>
              <w:rPr>
                <w:noProof/>
              </w:rPr>
              <w:t xml:space="preserve"> </w:t>
            </w:r>
            <w:r w:rsidRPr="003F47AE">
              <w:rPr>
                <w:rFonts w:ascii="Cambria" w:hAnsi="Cambria"/>
                <w:noProof/>
                <w:lang w:val="sr-Latn-ME"/>
              </w:rPr>
              <w:t>od hemikalija i biocidnih proizvoda</w:t>
            </w:r>
          </w:p>
          <w:p w14:paraId="3E0F4CCB" w14:textId="77777777" w:rsidR="00C23AE7" w:rsidRDefault="00C23AE7" w:rsidP="00C23AE7">
            <w:pPr>
              <w:pStyle w:val="ListParagraph"/>
              <w:numPr>
                <w:ilvl w:val="0"/>
                <w:numId w:val="4"/>
              </w:numPr>
              <w:spacing w:before="60" w:after="60"/>
              <w:ind w:left="782"/>
              <w:jc w:val="both"/>
              <w:rPr>
                <w:rFonts w:ascii="Cambria" w:hAnsi="Cambria"/>
                <w:noProof/>
                <w:lang w:val="sr-Latn-ME"/>
              </w:rPr>
            </w:pPr>
            <w:r w:rsidRPr="00631A10">
              <w:rPr>
                <w:rFonts w:ascii="Cambria" w:hAnsi="Cambria"/>
                <w:noProof/>
                <w:lang w:val="sr-Latn-ME"/>
              </w:rPr>
              <w:t>Polazna vrijednost: nema osoblja/stručnjaka sa specifičnim obukama u pogledu proc</w:t>
            </w:r>
            <w:r>
              <w:rPr>
                <w:rFonts w:ascii="Cambria" w:hAnsi="Cambria"/>
                <w:noProof/>
                <w:lang w:val="sr-Latn-ME"/>
              </w:rPr>
              <w:t>j</w:t>
            </w:r>
            <w:r w:rsidRPr="00631A10">
              <w:rPr>
                <w:rFonts w:ascii="Cambria" w:hAnsi="Cambria"/>
                <w:noProof/>
                <w:lang w:val="sr-Latn-ME"/>
              </w:rPr>
              <w:t xml:space="preserve">ene rizika </w:t>
            </w:r>
          </w:p>
          <w:p w14:paraId="6C01DE49" w14:textId="77777777" w:rsidR="00C23AE7" w:rsidRPr="00A359D3" w:rsidRDefault="00C23AE7" w:rsidP="00C23AE7">
            <w:pPr>
              <w:pStyle w:val="ListParagraph"/>
              <w:numPr>
                <w:ilvl w:val="0"/>
                <w:numId w:val="4"/>
              </w:numPr>
              <w:spacing w:before="60" w:after="60"/>
              <w:ind w:left="782"/>
              <w:jc w:val="both"/>
              <w:rPr>
                <w:rFonts w:ascii="Cambria" w:hAnsi="Cambria"/>
                <w:noProof/>
                <w:lang w:val="sr-Latn-ME"/>
              </w:rPr>
            </w:pPr>
            <w:r w:rsidRPr="003F47AE">
              <w:rPr>
                <w:rFonts w:ascii="Cambria" w:hAnsi="Cambria"/>
                <w:noProof/>
                <w:lang w:val="sr-Latn-ME"/>
              </w:rPr>
              <w:t>Ciljna vrijednost: 15 učesnika iz Crne Gore pohađalo obuke u pogledu procjene rizika</w:t>
            </w:r>
            <w:r>
              <w:rPr>
                <w:rFonts w:ascii="Cambria" w:hAnsi="Cambria"/>
                <w:noProof/>
                <w:lang w:val="sr-Latn-ME"/>
              </w:rPr>
              <w:t>, rok: 202</w:t>
            </w:r>
            <w:r w:rsidR="001E0726">
              <w:rPr>
                <w:rFonts w:ascii="Cambria" w:hAnsi="Cambria"/>
                <w:noProof/>
                <w:lang w:val="sr-Latn-ME"/>
              </w:rPr>
              <w:t>1</w:t>
            </w:r>
            <w:r>
              <w:rPr>
                <w:rFonts w:ascii="Cambria" w:hAnsi="Cambria"/>
                <w:noProof/>
                <w:lang w:val="sr-Latn-ME"/>
              </w:rPr>
              <w:t>.</w:t>
            </w:r>
          </w:p>
        </w:tc>
      </w:tr>
      <w:tr w:rsidR="00C23AE7" w:rsidRPr="00A359D3" w14:paraId="5FEA97D6" w14:textId="77777777" w:rsidTr="00BD0892">
        <w:tc>
          <w:tcPr>
            <w:tcW w:w="3510" w:type="dxa"/>
            <w:vMerge/>
            <w:shd w:val="clear" w:color="auto" w:fill="auto"/>
          </w:tcPr>
          <w:p w14:paraId="4FAA369B" w14:textId="77777777" w:rsidR="00C23AE7" w:rsidRPr="00B41194" w:rsidRDefault="00C23AE7" w:rsidP="00C23AE7">
            <w:pPr>
              <w:spacing w:before="60" w:after="60"/>
              <w:rPr>
                <w:rFonts w:ascii="Cambria" w:hAnsi="Cambria" w:cs="Arial"/>
                <w:noProof/>
                <w:lang w:val="sr-Latn-ME"/>
              </w:rPr>
            </w:pPr>
          </w:p>
        </w:tc>
        <w:tc>
          <w:tcPr>
            <w:tcW w:w="6480" w:type="dxa"/>
            <w:shd w:val="clear" w:color="auto" w:fill="auto"/>
          </w:tcPr>
          <w:p w14:paraId="4FFDCA59" w14:textId="77777777" w:rsidR="00C23AE7" w:rsidRDefault="00C23AE7" w:rsidP="00557C13">
            <w:pPr>
              <w:numPr>
                <w:ilvl w:val="0"/>
                <w:numId w:val="35"/>
              </w:numPr>
              <w:spacing w:before="60" w:after="60"/>
              <w:ind w:left="332" w:hanging="270"/>
              <w:jc w:val="both"/>
              <w:rPr>
                <w:rFonts w:ascii="Cambria" w:hAnsi="Cambria"/>
                <w:noProof/>
                <w:lang w:val="sr-Latn-ME"/>
              </w:rPr>
            </w:pPr>
            <w:r>
              <w:rPr>
                <w:rFonts w:ascii="Cambria" w:hAnsi="Cambria"/>
                <w:noProof/>
                <w:lang w:val="sr-Latn-ME"/>
              </w:rPr>
              <w:t>Predstavnici CG učestvuju u radu tijela ECHA u svojstvu posmatrača</w:t>
            </w:r>
          </w:p>
          <w:p w14:paraId="5648A3B4" w14:textId="1D747DC3" w:rsidR="00C23AE7" w:rsidRPr="00631A10" w:rsidRDefault="00C23AE7" w:rsidP="00C23AE7">
            <w:pPr>
              <w:pStyle w:val="ListParagraph"/>
              <w:numPr>
                <w:ilvl w:val="0"/>
                <w:numId w:val="4"/>
              </w:numPr>
              <w:spacing w:before="60" w:after="60"/>
              <w:ind w:left="782"/>
              <w:jc w:val="both"/>
              <w:rPr>
                <w:rFonts w:ascii="Cambria" w:hAnsi="Cambria"/>
                <w:noProof/>
                <w:lang w:val="sr-Latn-ME"/>
              </w:rPr>
            </w:pPr>
            <w:r w:rsidRPr="00631A10">
              <w:rPr>
                <w:rFonts w:ascii="Cambria" w:hAnsi="Cambria"/>
                <w:noProof/>
                <w:lang w:val="sr-Latn-ME"/>
              </w:rPr>
              <w:t>Polazna vrijednost</w:t>
            </w:r>
            <w:r w:rsidR="00360F0F">
              <w:rPr>
                <w:rFonts w:ascii="Cambria" w:hAnsi="Cambria"/>
                <w:noProof/>
                <w:lang w:val="sr-Latn-ME"/>
              </w:rPr>
              <w:t xml:space="preserve">: nema predstavnika </w:t>
            </w:r>
            <w:r>
              <w:rPr>
                <w:rFonts w:ascii="Cambria" w:hAnsi="Cambria"/>
                <w:noProof/>
                <w:lang w:val="sr-Latn-ME"/>
              </w:rPr>
              <w:t xml:space="preserve">CG koji učestvuju </w:t>
            </w:r>
            <w:r w:rsidRPr="00631A10">
              <w:rPr>
                <w:rFonts w:ascii="Cambria" w:hAnsi="Cambria"/>
                <w:noProof/>
                <w:lang w:val="sr-Latn-ME"/>
              </w:rPr>
              <w:t xml:space="preserve">u radu </w:t>
            </w:r>
            <w:r w:rsidR="002A20FD" w:rsidRPr="00631A10">
              <w:rPr>
                <w:rFonts w:ascii="Cambria" w:hAnsi="Cambria"/>
                <w:noProof/>
                <w:lang w:val="sr-Latn-ME"/>
              </w:rPr>
              <w:t xml:space="preserve">ECHA </w:t>
            </w:r>
            <w:r w:rsidRPr="00631A10">
              <w:rPr>
                <w:rFonts w:ascii="Cambria" w:hAnsi="Cambria"/>
                <w:noProof/>
                <w:lang w:val="sr-Latn-ME"/>
              </w:rPr>
              <w:t xml:space="preserve">tijela </w:t>
            </w:r>
            <w:r w:rsidR="002A20FD" w:rsidRPr="002A20FD">
              <w:rPr>
                <w:rFonts w:ascii="Cambria" w:hAnsi="Cambria"/>
                <w:noProof/>
                <w:lang w:val="sr-Latn-ME"/>
              </w:rPr>
              <w:t xml:space="preserve">CARACAL i Help NET </w:t>
            </w:r>
          </w:p>
          <w:p w14:paraId="3BBD1565" w14:textId="674F1147" w:rsidR="00C23AE7" w:rsidRPr="00610567" w:rsidRDefault="00C23AE7" w:rsidP="00C23AE7">
            <w:pPr>
              <w:pStyle w:val="ListParagraph"/>
              <w:spacing w:before="60" w:after="60"/>
              <w:ind w:left="782"/>
              <w:jc w:val="both"/>
              <w:rPr>
                <w:rFonts w:ascii="Cambria" w:hAnsi="Cambria"/>
                <w:noProof/>
                <w:lang w:val="sr-Latn-ME"/>
              </w:rPr>
            </w:pPr>
            <w:r w:rsidRPr="00631A10">
              <w:rPr>
                <w:rFonts w:ascii="Cambria" w:hAnsi="Cambria"/>
                <w:noProof/>
                <w:lang w:val="sr-Latn-ME"/>
              </w:rPr>
              <w:t xml:space="preserve">Ciljna vrijednost: </w:t>
            </w:r>
            <w:r w:rsidR="002A20FD">
              <w:rPr>
                <w:rFonts w:ascii="Cambria" w:hAnsi="Cambria"/>
                <w:noProof/>
                <w:lang w:val="sr-Latn-ME"/>
              </w:rPr>
              <w:t>2</w:t>
            </w:r>
            <w:r w:rsidR="002A20FD" w:rsidRPr="00631A10">
              <w:rPr>
                <w:rFonts w:ascii="Cambria" w:hAnsi="Cambria"/>
                <w:noProof/>
                <w:lang w:val="sr-Latn-ME"/>
              </w:rPr>
              <w:t xml:space="preserve"> </w:t>
            </w:r>
            <w:r w:rsidRPr="00631A10">
              <w:rPr>
                <w:rFonts w:ascii="Cambria" w:hAnsi="Cambria"/>
                <w:noProof/>
                <w:lang w:val="sr-Latn-ME"/>
              </w:rPr>
              <w:t xml:space="preserve">predstavnika CG učestvuju </w:t>
            </w:r>
            <w:r>
              <w:rPr>
                <w:rFonts w:ascii="Cambria" w:hAnsi="Cambria"/>
                <w:noProof/>
                <w:lang w:val="sr-Latn-ME"/>
              </w:rPr>
              <w:t>na sastancima CARACAL</w:t>
            </w:r>
            <w:r w:rsidR="002A20FD">
              <w:rPr>
                <w:rFonts w:ascii="Cambria" w:hAnsi="Cambria"/>
                <w:noProof/>
                <w:lang w:val="sr-Latn-ME"/>
              </w:rPr>
              <w:t xml:space="preserve"> i</w:t>
            </w:r>
            <w:r>
              <w:rPr>
                <w:rFonts w:ascii="Cambria" w:hAnsi="Cambria"/>
                <w:noProof/>
                <w:lang w:val="sr-Latn-ME"/>
              </w:rPr>
              <w:t xml:space="preserve"> Help NET </w:t>
            </w:r>
            <w:r w:rsidRPr="00631A10">
              <w:rPr>
                <w:rFonts w:ascii="Cambria" w:hAnsi="Cambria"/>
                <w:noProof/>
                <w:lang w:val="sr-Latn-ME"/>
              </w:rPr>
              <w:t>u svojstvu posmatrača</w:t>
            </w:r>
            <w:r>
              <w:rPr>
                <w:rFonts w:ascii="Cambria" w:hAnsi="Cambria"/>
                <w:noProof/>
                <w:lang w:val="sr-Latn-ME"/>
              </w:rPr>
              <w:t>, rok: 202</w:t>
            </w:r>
            <w:r w:rsidR="00645945">
              <w:rPr>
                <w:rFonts w:ascii="Cambria" w:hAnsi="Cambria"/>
                <w:noProof/>
                <w:lang w:val="sr-Latn-ME"/>
              </w:rPr>
              <w:t>0</w:t>
            </w:r>
          </w:p>
        </w:tc>
      </w:tr>
      <w:tr w:rsidR="00C23AE7" w:rsidRPr="00A359D3" w14:paraId="1153CF06" w14:textId="77777777" w:rsidTr="00BD0892">
        <w:tc>
          <w:tcPr>
            <w:tcW w:w="3510" w:type="dxa"/>
            <w:vMerge w:val="restart"/>
            <w:shd w:val="clear" w:color="auto" w:fill="auto"/>
          </w:tcPr>
          <w:p w14:paraId="45CFC5E8" w14:textId="77777777" w:rsidR="00C23AE7" w:rsidRPr="00B41194" w:rsidRDefault="00C23AE7" w:rsidP="00C23AE7">
            <w:pPr>
              <w:spacing w:before="60" w:after="60"/>
              <w:rPr>
                <w:rFonts w:ascii="Cambria" w:hAnsi="Cambria" w:cs="Arial"/>
                <w:noProof/>
                <w:lang w:val="sr-Latn-ME"/>
              </w:rPr>
            </w:pPr>
            <w:r w:rsidRPr="00B41194">
              <w:rPr>
                <w:rFonts w:ascii="Cambria" w:hAnsi="Cambria" w:cs="Arial"/>
                <w:noProof/>
                <w:lang w:val="sr-Latn-ME"/>
              </w:rPr>
              <w:t xml:space="preserve">CILJ 4. Poboljšanje </w:t>
            </w:r>
            <w:bookmarkStart w:id="146" w:name="_Hlk527236160"/>
            <w:r w:rsidRPr="00B41194">
              <w:rPr>
                <w:rFonts w:ascii="Cambria" w:hAnsi="Cambria" w:cs="Arial"/>
                <w:noProof/>
                <w:lang w:val="sr-Latn-ME"/>
              </w:rPr>
              <w:t xml:space="preserve">dostupnosti informacija o hemikalijama i podizanje javne svijesti </w:t>
            </w:r>
            <w:bookmarkEnd w:id="146"/>
          </w:p>
        </w:tc>
        <w:tc>
          <w:tcPr>
            <w:tcW w:w="6480" w:type="dxa"/>
            <w:shd w:val="clear" w:color="auto" w:fill="auto"/>
          </w:tcPr>
          <w:p w14:paraId="4EE834F7" w14:textId="77777777" w:rsidR="00C23AE7" w:rsidRDefault="00C23AE7" w:rsidP="00557C13">
            <w:pPr>
              <w:numPr>
                <w:ilvl w:val="0"/>
                <w:numId w:val="35"/>
              </w:numPr>
              <w:spacing w:before="60" w:after="60"/>
              <w:ind w:left="332" w:hanging="270"/>
              <w:jc w:val="both"/>
              <w:rPr>
                <w:rFonts w:ascii="Cambria" w:hAnsi="Cambria"/>
                <w:noProof/>
                <w:lang w:val="sr-Latn-ME"/>
              </w:rPr>
            </w:pPr>
            <w:r>
              <w:rPr>
                <w:rFonts w:ascii="Cambria" w:hAnsi="Cambria"/>
                <w:noProof/>
                <w:lang w:val="sr-Latn-ME"/>
              </w:rPr>
              <w:t>Podaci o</w:t>
            </w:r>
            <w:r w:rsidRPr="00AA1CA6">
              <w:rPr>
                <w:rFonts w:ascii="Cambria" w:hAnsi="Cambria"/>
                <w:noProof/>
                <w:lang w:val="sr-Latn-ME"/>
              </w:rPr>
              <w:t xml:space="preserve"> hemikalija</w:t>
            </w:r>
            <w:r>
              <w:rPr>
                <w:rFonts w:ascii="Cambria" w:hAnsi="Cambria"/>
                <w:noProof/>
                <w:lang w:val="sr-Latn-ME"/>
              </w:rPr>
              <w:t>ma dostupni na internet portalu EIS</w:t>
            </w:r>
          </w:p>
          <w:p w14:paraId="3D44BFD9" w14:textId="77777777" w:rsidR="00C23AE7" w:rsidRPr="00AA1CA6" w:rsidRDefault="00C23AE7" w:rsidP="00C23AE7">
            <w:pPr>
              <w:spacing w:before="60" w:after="60"/>
              <w:ind w:left="332"/>
              <w:jc w:val="both"/>
              <w:rPr>
                <w:rFonts w:ascii="Cambria" w:hAnsi="Cambria"/>
                <w:noProof/>
                <w:lang w:val="sr-Latn-ME"/>
              </w:rPr>
            </w:pPr>
            <w:r w:rsidRPr="00AA1CA6">
              <w:rPr>
                <w:rFonts w:ascii="Cambria" w:hAnsi="Cambria"/>
                <w:noProof/>
                <w:lang w:val="sr-Latn-ME"/>
              </w:rPr>
              <w:t>-</w:t>
            </w:r>
            <w:r w:rsidRPr="00AA1CA6">
              <w:rPr>
                <w:rFonts w:ascii="Cambria" w:hAnsi="Cambria"/>
                <w:noProof/>
                <w:lang w:val="sr-Latn-ME"/>
              </w:rPr>
              <w:tab/>
              <w:t xml:space="preserve">Polazna vrijednost: nema </w:t>
            </w:r>
            <w:r>
              <w:rPr>
                <w:rFonts w:ascii="Cambria" w:hAnsi="Cambria"/>
                <w:noProof/>
                <w:lang w:val="sr-Latn-ME"/>
              </w:rPr>
              <w:t>podataka o hemikalijama u EIS</w:t>
            </w:r>
          </w:p>
          <w:p w14:paraId="1180B2B0" w14:textId="5F56BEF0" w:rsidR="00C23AE7" w:rsidRDefault="00C23AE7" w:rsidP="00C23AE7">
            <w:pPr>
              <w:pStyle w:val="ListParagraph"/>
              <w:numPr>
                <w:ilvl w:val="0"/>
                <w:numId w:val="4"/>
              </w:numPr>
              <w:spacing w:before="60" w:after="60"/>
              <w:ind w:left="782"/>
              <w:jc w:val="both"/>
              <w:rPr>
                <w:rFonts w:ascii="Cambria" w:hAnsi="Cambria"/>
                <w:noProof/>
                <w:lang w:val="sr-Latn-ME"/>
              </w:rPr>
            </w:pPr>
            <w:r w:rsidRPr="00AA1CA6">
              <w:rPr>
                <w:rFonts w:ascii="Cambria" w:hAnsi="Cambria"/>
                <w:noProof/>
                <w:lang w:val="sr-Latn-ME"/>
              </w:rPr>
              <w:t xml:space="preserve">Ciljna vrijednost: </w:t>
            </w:r>
            <w:r>
              <w:rPr>
                <w:rFonts w:ascii="Cambria" w:hAnsi="Cambria"/>
                <w:noProof/>
                <w:lang w:val="sr-Latn-ME"/>
              </w:rPr>
              <w:t xml:space="preserve">podsekcija o hemikalijama uključena u EIS, </w:t>
            </w:r>
            <w:r w:rsidRPr="00971F20">
              <w:rPr>
                <w:rFonts w:ascii="Cambria" w:hAnsi="Cambria"/>
                <w:noProof/>
                <w:lang w:val="sr-Latn-ME"/>
              </w:rPr>
              <w:t xml:space="preserve">rok: </w:t>
            </w:r>
            <w:r w:rsidR="002A20FD" w:rsidRPr="00971F20">
              <w:rPr>
                <w:rFonts w:ascii="Cambria" w:hAnsi="Cambria"/>
                <w:noProof/>
                <w:lang w:val="sr-Latn-ME"/>
              </w:rPr>
              <w:t>202</w:t>
            </w:r>
            <w:r w:rsidR="00FB44F2" w:rsidRPr="00971F20">
              <w:rPr>
                <w:rFonts w:ascii="Cambria" w:hAnsi="Cambria"/>
                <w:noProof/>
                <w:lang w:val="sr-Latn-ME"/>
              </w:rPr>
              <w:t>2</w:t>
            </w:r>
          </w:p>
        </w:tc>
      </w:tr>
      <w:tr w:rsidR="00C23AE7" w:rsidRPr="00A359D3" w14:paraId="04E79328" w14:textId="77777777" w:rsidTr="00BD0892">
        <w:tc>
          <w:tcPr>
            <w:tcW w:w="3510" w:type="dxa"/>
            <w:vMerge/>
            <w:shd w:val="clear" w:color="auto" w:fill="auto"/>
          </w:tcPr>
          <w:p w14:paraId="5739DEC9" w14:textId="77777777" w:rsidR="00C23AE7" w:rsidRPr="00B41194" w:rsidRDefault="00C23AE7" w:rsidP="00C23AE7">
            <w:pPr>
              <w:spacing w:before="60" w:after="60"/>
              <w:rPr>
                <w:rFonts w:ascii="Cambria" w:hAnsi="Cambria" w:cs="Arial"/>
                <w:noProof/>
                <w:lang w:val="sr-Latn-ME"/>
              </w:rPr>
            </w:pPr>
          </w:p>
        </w:tc>
        <w:tc>
          <w:tcPr>
            <w:tcW w:w="6480" w:type="dxa"/>
            <w:shd w:val="clear" w:color="auto" w:fill="auto"/>
          </w:tcPr>
          <w:p w14:paraId="6224BB68" w14:textId="77777777" w:rsidR="00C23AE7" w:rsidRDefault="00C23AE7" w:rsidP="00557C13">
            <w:pPr>
              <w:numPr>
                <w:ilvl w:val="0"/>
                <w:numId w:val="35"/>
              </w:numPr>
              <w:spacing w:before="60" w:after="60"/>
              <w:ind w:left="332" w:hanging="270"/>
              <w:jc w:val="both"/>
              <w:rPr>
                <w:rFonts w:ascii="Cambria" w:hAnsi="Cambria"/>
                <w:noProof/>
                <w:lang w:val="sr-Latn-ME"/>
              </w:rPr>
            </w:pPr>
            <w:r>
              <w:rPr>
                <w:rFonts w:ascii="Cambria" w:hAnsi="Cambria"/>
                <w:noProof/>
                <w:lang w:val="sr-Latn-ME"/>
              </w:rPr>
              <w:t>A</w:t>
            </w:r>
            <w:r w:rsidRPr="00A359D3">
              <w:rPr>
                <w:rFonts w:ascii="Cambria" w:hAnsi="Cambria"/>
                <w:noProof/>
                <w:lang w:val="sr-Latn-ME"/>
              </w:rPr>
              <w:t xml:space="preserve">ktivnosti na podizanju javne svijesti o hemikalijama </w:t>
            </w:r>
            <w:r>
              <w:rPr>
                <w:rFonts w:ascii="Cambria" w:hAnsi="Cambria"/>
                <w:noProof/>
                <w:lang w:val="sr-Latn-ME"/>
              </w:rPr>
              <w:t>sporovedene uz učešće</w:t>
            </w:r>
            <w:r w:rsidRPr="00A359D3">
              <w:rPr>
                <w:rFonts w:ascii="Cambria" w:hAnsi="Cambria"/>
                <w:noProof/>
                <w:lang w:val="sr-Latn-ME"/>
              </w:rPr>
              <w:t xml:space="preserve"> NVO i udruženja potrošača </w:t>
            </w:r>
          </w:p>
          <w:p w14:paraId="36365E52" w14:textId="77777777" w:rsidR="00C23AE7" w:rsidRPr="00631A10" w:rsidRDefault="00C23AE7" w:rsidP="00C23AE7">
            <w:pPr>
              <w:pStyle w:val="ListParagraph"/>
              <w:numPr>
                <w:ilvl w:val="0"/>
                <w:numId w:val="4"/>
              </w:numPr>
              <w:spacing w:before="60" w:after="60"/>
              <w:ind w:left="782"/>
              <w:jc w:val="both"/>
              <w:rPr>
                <w:rFonts w:ascii="Cambria" w:hAnsi="Cambria"/>
                <w:noProof/>
                <w:lang w:val="sr-Latn-ME"/>
              </w:rPr>
            </w:pPr>
            <w:r w:rsidRPr="00631A10">
              <w:rPr>
                <w:rFonts w:ascii="Cambria" w:hAnsi="Cambria"/>
                <w:noProof/>
                <w:lang w:val="sr-Latn-ME"/>
              </w:rPr>
              <w:t xml:space="preserve">Polazna vrijednost: nema </w:t>
            </w:r>
            <w:r w:rsidRPr="00AA1CA6">
              <w:rPr>
                <w:rFonts w:ascii="Cambria" w:hAnsi="Cambria"/>
                <w:noProof/>
                <w:lang w:val="sr-Latn-ME"/>
              </w:rPr>
              <w:t xml:space="preserve">NVO i udruženja potrošača </w:t>
            </w:r>
            <w:r>
              <w:rPr>
                <w:rFonts w:ascii="Cambria" w:hAnsi="Cambria"/>
                <w:noProof/>
                <w:lang w:val="sr-Latn-ME"/>
              </w:rPr>
              <w:t xml:space="preserve">čije su aktivnosti usmjerene na </w:t>
            </w:r>
            <w:r w:rsidRPr="00AA1CA6">
              <w:rPr>
                <w:rFonts w:ascii="Cambria" w:hAnsi="Cambria"/>
                <w:noProof/>
                <w:lang w:val="sr-Latn-ME"/>
              </w:rPr>
              <w:t>podizanj</w:t>
            </w:r>
            <w:r>
              <w:rPr>
                <w:rFonts w:ascii="Cambria" w:hAnsi="Cambria"/>
                <w:noProof/>
                <w:lang w:val="sr-Latn-ME"/>
              </w:rPr>
              <w:t>e</w:t>
            </w:r>
            <w:r w:rsidRPr="00AA1CA6">
              <w:rPr>
                <w:rFonts w:ascii="Cambria" w:hAnsi="Cambria"/>
                <w:noProof/>
                <w:lang w:val="sr-Latn-ME"/>
              </w:rPr>
              <w:t xml:space="preserve"> javne svijesti o hemikalijama </w:t>
            </w:r>
          </w:p>
          <w:p w14:paraId="5ECD4BF3" w14:textId="77777777" w:rsidR="00C23AE7" w:rsidRPr="00A359D3" w:rsidRDefault="00C23AE7" w:rsidP="00C23AE7">
            <w:pPr>
              <w:pStyle w:val="ListParagraph"/>
              <w:numPr>
                <w:ilvl w:val="0"/>
                <w:numId w:val="4"/>
              </w:numPr>
              <w:spacing w:before="60" w:after="60"/>
              <w:ind w:left="782"/>
              <w:jc w:val="both"/>
              <w:rPr>
                <w:rFonts w:ascii="Cambria" w:hAnsi="Cambria"/>
                <w:noProof/>
                <w:lang w:val="sr-Latn-ME"/>
              </w:rPr>
            </w:pPr>
            <w:r w:rsidRPr="00631A10">
              <w:rPr>
                <w:rFonts w:ascii="Cambria" w:hAnsi="Cambria"/>
                <w:noProof/>
                <w:lang w:val="sr-Latn-ME"/>
              </w:rPr>
              <w:t xml:space="preserve">Ciljna vrijednost: </w:t>
            </w:r>
            <w:r>
              <w:rPr>
                <w:rFonts w:ascii="Cambria" w:hAnsi="Cambria"/>
                <w:noProof/>
                <w:lang w:val="sr-Latn-ME"/>
              </w:rPr>
              <w:t xml:space="preserve">najmanje 1 </w:t>
            </w:r>
            <w:r w:rsidRPr="00AA1CA6">
              <w:rPr>
                <w:rFonts w:ascii="Cambria" w:hAnsi="Cambria"/>
                <w:noProof/>
                <w:lang w:val="sr-Latn-ME"/>
              </w:rPr>
              <w:t xml:space="preserve">NVO </w:t>
            </w:r>
            <w:r>
              <w:rPr>
                <w:rFonts w:ascii="Cambria" w:hAnsi="Cambria"/>
                <w:noProof/>
                <w:lang w:val="sr-Latn-ME"/>
              </w:rPr>
              <w:t>i 1</w:t>
            </w:r>
            <w:r w:rsidRPr="00AA1CA6">
              <w:rPr>
                <w:rFonts w:ascii="Cambria" w:hAnsi="Cambria"/>
                <w:noProof/>
                <w:lang w:val="sr-Latn-ME"/>
              </w:rPr>
              <w:t xml:space="preserve"> udruženj</w:t>
            </w:r>
            <w:r>
              <w:rPr>
                <w:rFonts w:ascii="Cambria" w:hAnsi="Cambria"/>
                <w:noProof/>
                <w:lang w:val="sr-Latn-ME"/>
              </w:rPr>
              <w:t>e</w:t>
            </w:r>
            <w:r w:rsidRPr="00AA1CA6">
              <w:rPr>
                <w:rFonts w:ascii="Cambria" w:hAnsi="Cambria"/>
                <w:noProof/>
                <w:lang w:val="sr-Latn-ME"/>
              </w:rPr>
              <w:t xml:space="preserve"> potrošača</w:t>
            </w:r>
            <w:r w:rsidRPr="00631A10">
              <w:rPr>
                <w:rFonts w:ascii="Cambria" w:hAnsi="Cambria"/>
                <w:noProof/>
                <w:lang w:val="sr-Latn-ME"/>
              </w:rPr>
              <w:t xml:space="preserve"> </w:t>
            </w:r>
            <w:r>
              <w:rPr>
                <w:rFonts w:ascii="Cambria" w:hAnsi="Cambria"/>
                <w:noProof/>
                <w:lang w:val="sr-Latn-ME"/>
              </w:rPr>
              <w:t xml:space="preserve">uključeno u </w:t>
            </w:r>
            <w:r w:rsidRPr="00AA1CA6">
              <w:rPr>
                <w:rFonts w:ascii="Cambria" w:hAnsi="Cambria"/>
                <w:noProof/>
                <w:lang w:val="sr-Latn-ME"/>
              </w:rPr>
              <w:t>aktivnosti usmjerene na podizanje javne svijesti o hemikalijama</w:t>
            </w:r>
            <w:r>
              <w:rPr>
                <w:rFonts w:ascii="Cambria" w:hAnsi="Cambria"/>
                <w:noProof/>
                <w:lang w:val="sr-Latn-ME"/>
              </w:rPr>
              <w:t>, rok: 2022</w:t>
            </w:r>
          </w:p>
        </w:tc>
      </w:tr>
      <w:tr w:rsidR="00C23AE7" w:rsidRPr="00A359D3" w14:paraId="2DDA4DC2" w14:textId="77777777" w:rsidTr="00BD0892">
        <w:tc>
          <w:tcPr>
            <w:tcW w:w="3510" w:type="dxa"/>
            <w:shd w:val="clear" w:color="auto" w:fill="auto"/>
          </w:tcPr>
          <w:p w14:paraId="43050BE5" w14:textId="77777777" w:rsidR="00C23AE7" w:rsidRPr="00B41194" w:rsidRDefault="00C23AE7" w:rsidP="00C23AE7">
            <w:pPr>
              <w:spacing w:before="60" w:after="60"/>
              <w:rPr>
                <w:rFonts w:ascii="Cambria" w:hAnsi="Cambria" w:cs="Arial"/>
                <w:noProof/>
                <w:lang w:val="sr-Latn-ME"/>
              </w:rPr>
            </w:pPr>
            <w:r w:rsidRPr="00B41194">
              <w:rPr>
                <w:rFonts w:ascii="Cambria" w:hAnsi="Cambria" w:cs="Arial"/>
                <w:noProof/>
                <w:lang w:val="sr-Latn-ME"/>
              </w:rPr>
              <w:t xml:space="preserve">CILJ 5. </w:t>
            </w:r>
            <w:r w:rsidRPr="00610567">
              <w:rPr>
                <w:rFonts w:ascii="Cambria" w:hAnsi="Cambria" w:cs="Arial"/>
                <w:noProof/>
                <w:lang w:val="sr-Latn-ME"/>
              </w:rPr>
              <w:t>U</w:t>
            </w:r>
            <w:r w:rsidRPr="00610567">
              <w:rPr>
                <w:rFonts w:ascii="Cambria" w:hAnsi="Cambria" w:cs="Arial"/>
                <w:noProof/>
              </w:rPr>
              <w:t xml:space="preserve">naprijeđenje mjera </w:t>
            </w:r>
            <w:r w:rsidRPr="00610567">
              <w:rPr>
                <w:rFonts w:ascii="Cambria" w:hAnsi="Cambria" w:cs="Arial"/>
                <w:noProof/>
                <w:lang w:val="sr-Latn-ME"/>
              </w:rPr>
              <w:t>zaštite i</w:t>
            </w:r>
            <w:r w:rsidRPr="00610567">
              <w:rPr>
                <w:rFonts w:ascii="Cambria" w:hAnsi="Cambria" w:cs="Arial"/>
                <w:i/>
                <w:noProof/>
                <w:lang w:val="sr-Latn-ME"/>
              </w:rPr>
              <w:t xml:space="preserve"> </w:t>
            </w:r>
            <w:r w:rsidRPr="00610567">
              <w:rPr>
                <w:rFonts w:ascii="Cambria" w:hAnsi="Cambria" w:cs="Arial"/>
                <w:noProof/>
              </w:rPr>
              <w:t>pripremljenosti</w:t>
            </w:r>
            <w:r w:rsidRPr="00610567">
              <w:rPr>
                <w:rFonts w:ascii="Cambria" w:hAnsi="Cambria" w:cs="Arial"/>
                <w:noProof/>
                <w:lang w:val="sr-Latn-ME"/>
              </w:rPr>
              <w:t xml:space="preserve"> za slučajeve trovanja i hemijskih udesa</w:t>
            </w:r>
          </w:p>
        </w:tc>
        <w:tc>
          <w:tcPr>
            <w:tcW w:w="6480" w:type="dxa"/>
            <w:shd w:val="clear" w:color="auto" w:fill="auto"/>
          </w:tcPr>
          <w:p w14:paraId="33A62A08" w14:textId="77777777" w:rsidR="00C23AE7" w:rsidRDefault="00C23AE7" w:rsidP="00557C13">
            <w:pPr>
              <w:numPr>
                <w:ilvl w:val="0"/>
                <w:numId w:val="35"/>
              </w:numPr>
              <w:spacing w:before="60" w:after="60"/>
              <w:ind w:left="332" w:hanging="270"/>
              <w:jc w:val="both"/>
              <w:rPr>
                <w:rFonts w:ascii="Cambria" w:hAnsi="Cambria"/>
                <w:noProof/>
                <w:lang w:val="sr-Latn-ME"/>
              </w:rPr>
            </w:pPr>
            <w:r>
              <w:rPr>
                <w:rFonts w:ascii="Cambria" w:hAnsi="Cambria"/>
                <w:noProof/>
                <w:lang w:val="sr-Latn-ME"/>
              </w:rPr>
              <w:t>Uspostavljen Centar za kontrolu trovanja</w:t>
            </w:r>
          </w:p>
          <w:p w14:paraId="08A74695" w14:textId="77777777" w:rsidR="00C23AE7" w:rsidRPr="007329B0" w:rsidRDefault="00C23AE7" w:rsidP="00C23AE7">
            <w:pPr>
              <w:pStyle w:val="ListParagraph"/>
              <w:numPr>
                <w:ilvl w:val="0"/>
                <w:numId w:val="4"/>
              </w:numPr>
              <w:spacing w:before="60" w:after="60"/>
              <w:ind w:left="782"/>
              <w:jc w:val="both"/>
              <w:rPr>
                <w:rFonts w:ascii="Cambria" w:hAnsi="Cambria"/>
                <w:noProof/>
                <w:lang w:val="sr-Latn-ME"/>
              </w:rPr>
            </w:pPr>
            <w:r w:rsidRPr="007329B0">
              <w:rPr>
                <w:rFonts w:ascii="Cambria" w:hAnsi="Cambria"/>
                <w:noProof/>
                <w:lang w:val="sr-Latn-ME"/>
              </w:rPr>
              <w:t xml:space="preserve">Polazna vrijednost: nema </w:t>
            </w:r>
            <w:r>
              <w:rPr>
                <w:rFonts w:ascii="Cambria" w:hAnsi="Cambria"/>
                <w:noProof/>
                <w:lang w:val="sr-Latn-ME"/>
              </w:rPr>
              <w:t xml:space="preserve">ustanove koja obavlja poslove </w:t>
            </w:r>
            <w:r w:rsidRPr="007329B0">
              <w:rPr>
                <w:rFonts w:ascii="Cambria" w:hAnsi="Cambria"/>
                <w:noProof/>
                <w:lang w:val="sr-Latn-ME"/>
              </w:rPr>
              <w:t>Centr</w:t>
            </w:r>
            <w:r>
              <w:rPr>
                <w:rFonts w:ascii="Cambria" w:hAnsi="Cambria"/>
                <w:noProof/>
                <w:lang w:val="sr-Latn-ME"/>
              </w:rPr>
              <w:t>a</w:t>
            </w:r>
            <w:r w:rsidRPr="007329B0">
              <w:rPr>
                <w:rFonts w:ascii="Cambria" w:hAnsi="Cambria"/>
                <w:noProof/>
                <w:lang w:val="sr-Latn-ME"/>
              </w:rPr>
              <w:t xml:space="preserve"> za kontrolu trovanja</w:t>
            </w:r>
            <w:r>
              <w:rPr>
                <w:rFonts w:ascii="Cambria" w:hAnsi="Cambria"/>
                <w:noProof/>
                <w:lang w:val="sr-Latn-ME"/>
              </w:rPr>
              <w:t xml:space="preserve"> u Crnoj Gori</w:t>
            </w:r>
          </w:p>
          <w:p w14:paraId="144B7528" w14:textId="193B4A63" w:rsidR="00C23AE7" w:rsidRPr="003F47AE" w:rsidRDefault="00C23AE7" w:rsidP="00C23AE7">
            <w:pPr>
              <w:pStyle w:val="ListParagraph"/>
              <w:numPr>
                <w:ilvl w:val="0"/>
                <w:numId w:val="4"/>
              </w:numPr>
              <w:spacing w:before="60" w:after="60"/>
              <w:ind w:left="782"/>
              <w:jc w:val="both"/>
              <w:rPr>
                <w:rFonts w:ascii="Cambria" w:hAnsi="Cambria"/>
                <w:noProof/>
                <w:lang w:val="sr-Latn-ME"/>
              </w:rPr>
            </w:pPr>
            <w:r w:rsidRPr="007329B0">
              <w:rPr>
                <w:rFonts w:ascii="Cambria" w:hAnsi="Cambria"/>
                <w:noProof/>
                <w:lang w:val="sr-Latn-ME"/>
              </w:rPr>
              <w:t>Ciljna vrijednost: Cent</w:t>
            </w:r>
            <w:r w:rsidR="005331A9">
              <w:rPr>
                <w:rFonts w:ascii="Cambria" w:hAnsi="Cambria"/>
                <w:noProof/>
                <w:lang w:val="sr-Latn-ME"/>
              </w:rPr>
              <w:t>a</w:t>
            </w:r>
            <w:r w:rsidRPr="007329B0">
              <w:rPr>
                <w:rFonts w:ascii="Cambria" w:hAnsi="Cambria"/>
                <w:noProof/>
                <w:lang w:val="sr-Latn-ME"/>
              </w:rPr>
              <w:t>r za kontrolu trovanja</w:t>
            </w:r>
            <w:r>
              <w:rPr>
                <w:rFonts w:ascii="Cambria" w:hAnsi="Cambria"/>
                <w:noProof/>
                <w:lang w:val="sr-Latn-ME"/>
              </w:rPr>
              <w:t xml:space="preserve"> uspostavljen u okviru jedne od zdravstvenih ustanova u CG, </w:t>
            </w:r>
            <w:r w:rsidR="005331A9">
              <w:rPr>
                <w:rFonts w:ascii="Cambria" w:hAnsi="Cambria"/>
                <w:noProof/>
                <w:lang w:val="sr-Latn-ME"/>
              </w:rPr>
              <w:t xml:space="preserve">sprovedene dodatne obuke i nabavka potrebne opreme, </w:t>
            </w:r>
            <w:r w:rsidR="00360F0F" w:rsidRPr="00360F0F">
              <w:rPr>
                <w:rFonts w:ascii="Cambria" w:hAnsi="Cambria"/>
                <w:noProof/>
                <w:lang w:val="sr-Latn-ME"/>
              </w:rPr>
              <w:t>rok 2020</w:t>
            </w:r>
          </w:p>
        </w:tc>
      </w:tr>
      <w:tr w:rsidR="00C23AE7" w:rsidRPr="00A359D3" w14:paraId="31C9F375" w14:textId="77777777" w:rsidTr="00BD0892">
        <w:tc>
          <w:tcPr>
            <w:tcW w:w="3510" w:type="dxa"/>
            <w:shd w:val="clear" w:color="auto" w:fill="auto"/>
          </w:tcPr>
          <w:p w14:paraId="2AE5D73B" w14:textId="0A5F8685" w:rsidR="00C23AE7" w:rsidRPr="00B41194" w:rsidRDefault="00C23AE7" w:rsidP="00C23AE7">
            <w:pPr>
              <w:spacing w:before="60" w:after="60"/>
              <w:rPr>
                <w:rFonts w:ascii="Cambria" w:hAnsi="Cambria" w:cs="Arial"/>
                <w:noProof/>
                <w:lang w:val="sr-Latn-ME"/>
              </w:rPr>
            </w:pPr>
            <w:r w:rsidRPr="00B41194">
              <w:rPr>
                <w:rFonts w:ascii="Cambria" w:hAnsi="Cambria" w:cs="Arial"/>
                <w:noProof/>
                <w:lang w:val="sr-Latn-ME"/>
              </w:rPr>
              <w:t>CILJ 6. U</w:t>
            </w:r>
            <w:r w:rsidRPr="00B41194">
              <w:rPr>
                <w:rFonts w:ascii="Cambria" w:hAnsi="Cambria" w:cs="Arial"/>
                <w:noProof/>
              </w:rPr>
              <w:t>naprijeđenje tehnologij</w:t>
            </w:r>
            <w:r>
              <w:rPr>
                <w:rFonts w:ascii="Cambria" w:hAnsi="Cambria" w:cs="Arial"/>
                <w:noProof/>
              </w:rPr>
              <w:t>a</w:t>
            </w:r>
            <w:r w:rsidRPr="00B41194">
              <w:rPr>
                <w:rFonts w:ascii="Cambria" w:hAnsi="Cambria" w:cs="Arial"/>
                <w:noProof/>
                <w:lang w:val="sr-Latn-ME"/>
              </w:rPr>
              <w:t xml:space="preserve"> u industrijskim postrojenjima i r</w:t>
            </w:r>
            <w:r w:rsidR="00586C5E">
              <w:rPr>
                <w:rFonts w:ascii="Cambria" w:hAnsi="Cambria" w:cs="Arial"/>
                <w:noProof/>
                <w:lang w:val="sr-Latn-ME"/>
              </w:rPr>
              <w:t>j</w:t>
            </w:r>
            <w:r w:rsidRPr="00B41194">
              <w:rPr>
                <w:rFonts w:ascii="Cambria" w:hAnsi="Cambria" w:cs="Arial"/>
                <w:noProof/>
                <w:lang w:val="sr-Latn-ME"/>
              </w:rPr>
              <w:t xml:space="preserve">ešavanje pitanja industrijskog otpada i zastarijelih hemikalija </w:t>
            </w:r>
          </w:p>
        </w:tc>
        <w:tc>
          <w:tcPr>
            <w:tcW w:w="6480" w:type="dxa"/>
            <w:shd w:val="clear" w:color="auto" w:fill="auto"/>
          </w:tcPr>
          <w:p w14:paraId="470A9131" w14:textId="77777777" w:rsidR="00590AF5" w:rsidRPr="00D62C81" w:rsidRDefault="00590AF5" w:rsidP="00557C13">
            <w:pPr>
              <w:numPr>
                <w:ilvl w:val="0"/>
                <w:numId w:val="35"/>
              </w:numPr>
              <w:spacing w:before="60" w:after="60"/>
              <w:ind w:left="332" w:hanging="270"/>
              <w:jc w:val="both"/>
              <w:rPr>
                <w:rFonts w:ascii="Cambria" w:hAnsi="Cambria"/>
                <w:noProof/>
                <w:lang w:val="sr-Latn-ME"/>
              </w:rPr>
            </w:pPr>
            <w:r w:rsidRPr="00D62C81">
              <w:rPr>
                <w:rFonts w:ascii="Cambria" w:hAnsi="Cambria"/>
                <w:noProof/>
                <w:lang w:val="sr-Latn-ME"/>
              </w:rPr>
              <w:t xml:space="preserve">Trajno zbrinjavanje otpada koji sadrži PCB </w:t>
            </w:r>
          </w:p>
          <w:p w14:paraId="6F5BA306" w14:textId="29179217" w:rsidR="00C23AE7" w:rsidRPr="00D62C81" w:rsidRDefault="00C23AE7" w:rsidP="00590AF5">
            <w:pPr>
              <w:pStyle w:val="ListParagraph"/>
              <w:numPr>
                <w:ilvl w:val="0"/>
                <w:numId w:val="4"/>
              </w:numPr>
              <w:spacing w:before="60" w:after="60"/>
              <w:ind w:left="782"/>
              <w:jc w:val="both"/>
              <w:rPr>
                <w:rFonts w:ascii="Cambria" w:hAnsi="Cambria"/>
                <w:noProof/>
                <w:lang w:val="sr-Latn-ME"/>
              </w:rPr>
            </w:pPr>
            <w:r w:rsidRPr="00D62C81">
              <w:rPr>
                <w:rFonts w:ascii="Cambria" w:hAnsi="Cambria"/>
                <w:noProof/>
                <w:lang w:val="sr-Latn-ME"/>
              </w:rPr>
              <w:t xml:space="preserve">Polazna vrijednost: </w:t>
            </w:r>
            <w:r w:rsidR="00590AF5" w:rsidRPr="00D62C81">
              <w:rPr>
                <w:rFonts w:ascii="Cambria" w:hAnsi="Cambria"/>
                <w:noProof/>
                <w:lang w:val="sr-Latn-ME"/>
              </w:rPr>
              <w:t xml:space="preserve">oko 700 tona </w:t>
            </w:r>
            <w:r w:rsidR="00D62C81" w:rsidRPr="00D62C81">
              <w:rPr>
                <w:rFonts w:ascii="Cambria" w:hAnsi="Cambria"/>
                <w:noProof/>
                <w:lang w:val="sr-Latn-ME"/>
              </w:rPr>
              <w:t xml:space="preserve">opreme i </w:t>
            </w:r>
            <w:r w:rsidR="00590AF5" w:rsidRPr="00D62C81">
              <w:rPr>
                <w:rFonts w:ascii="Cambria" w:hAnsi="Cambria"/>
                <w:noProof/>
                <w:lang w:val="sr-Latn-ME"/>
              </w:rPr>
              <w:t xml:space="preserve">otpada koji sadrži PCB se nalazi u CG </w:t>
            </w:r>
          </w:p>
          <w:p w14:paraId="298A1810" w14:textId="01A59008" w:rsidR="00525424" w:rsidRPr="00D62C81" w:rsidRDefault="00C23AE7" w:rsidP="00590AF5">
            <w:pPr>
              <w:pStyle w:val="ListParagraph"/>
              <w:numPr>
                <w:ilvl w:val="0"/>
                <w:numId w:val="4"/>
              </w:numPr>
              <w:spacing w:before="60" w:after="60"/>
              <w:ind w:left="782"/>
              <w:jc w:val="both"/>
              <w:rPr>
                <w:rFonts w:ascii="Cambria" w:hAnsi="Cambria"/>
                <w:noProof/>
                <w:lang w:val="sr-Latn-ME"/>
              </w:rPr>
            </w:pPr>
            <w:r w:rsidRPr="00D62C81">
              <w:rPr>
                <w:rFonts w:ascii="Cambria" w:hAnsi="Cambria"/>
                <w:noProof/>
                <w:lang w:val="sr-Latn-ME"/>
              </w:rPr>
              <w:t xml:space="preserve">Ciljna vrijednost: </w:t>
            </w:r>
            <w:r w:rsidR="00D62C81" w:rsidRPr="00D62C81">
              <w:rPr>
                <w:rFonts w:ascii="Cambria" w:hAnsi="Cambria"/>
                <w:noProof/>
                <w:lang w:val="sr-Latn-ME"/>
              </w:rPr>
              <w:t xml:space="preserve">identifikovane količine </w:t>
            </w:r>
            <w:r w:rsidR="00590AF5" w:rsidRPr="00D62C81">
              <w:rPr>
                <w:rFonts w:ascii="Cambria" w:hAnsi="Cambria"/>
                <w:noProof/>
                <w:lang w:val="sr-Latn-ME"/>
              </w:rPr>
              <w:t xml:space="preserve"> otpada koji sadrži PCB izvezene iz C</w:t>
            </w:r>
            <w:r w:rsidR="00D62C81" w:rsidRPr="00D62C81">
              <w:rPr>
                <w:rFonts w:ascii="Cambria" w:hAnsi="Cambria"/>
                <w:noProof/>
                <w:lang w:val="sr-Latn-ME"/>
              </w:rPr>
              <w:t>G</w:t>
            </w:r>
            <w:r w:rsidR="00590AF5" w:rsidRPr="00D62C81">
              <w:rPr>
                <w:rFonts w:ascii="Cambria" w:hAnsi="Cambria"/>
                <w:noProof/>
                <w:lang w:val="sr-Latn-ME"/>
              </w:rPr>
              <w:t xml:space="preserve"> radi trajnog zbrinjavanja</w:t>
            </w:r>
            <w:r w:rsidRPr="00D62C81">
              <w:rPr>
                <w:rFonts w:ascii="Cambria" w:hAnsi="Cambria"/>
                <w:noProof/>
                <w:lang w:val="sr-Latn-ME"/>
              </w:rPr>
              <w:t xml:space="preserve">, rok: </w:t>
            </w:r>
            <w:r w:rsidR="00BD72EC" w:rsidRPr="00D62C81">
              <w:rPr>
                <w:rFonts w:ascii="Cambria" w:hAnsi="Cambria"/>
                <w:noProof/>
                <w:lang w:val="sr-Latn-ME"/>
              </w:rPr>
              <w:t>20</w:t>
            </w:r>
            <w:r w:rsidR="00590AF5" w:rsidRPr="00D62C81">
              <w:rPr>
                <w:rFonts w:ascii="Cambria" w:hAnsi="Cambria"/>
                <w:noProof/>
                <w:lang w:val="sr-Latn-ME"/>
              </w:rPr>
              <w:t>22</w:t>
            </w:r>
          </w:p>
        </w:tc>
      </w:tr>
      <w:tr w:rsidR="00C23AE7" w:rsidRPr="00A359D3" w14:paraId="2B583BDA" w14:textId="77777777" w:rsidTr="00BD0892">
        <w:tc>
          <w:tcPr>
            <w:tcW w:w="3510" w:type="dxa"/>
            <w:shd w:val="clear" w:color="auto" w:fill="auto"/>
          </w:tcPr>
          <w:p w14:paraId="2B8D9A95" w14:textId="77777777" w:rsidR="00C23AE7" w:rsidRPr="00B41194" w:rsidRDefault="00C23AE7" w:rsidP="00C23AE7">
            <w:pPr>
              <w:spacing w:before="60" w:after="60"/>
              <w:rPr>
                <w:rFonts w:ascii="Cambria" w:hAnsi="Cambria" w:cs="Arial"/>
                <w:noProof/>
                <w:lang w:val="sr-Latn-ME"/>
              </w:rPr>
            </w:pPr>
            <w:r w:rsidRPr="00B41194">
              <w:rPr>
                <w:rFonts w:ascii="Cambria" w:hAnsi="Cambria" w:cs="Arial"/>
                <w:noProof/>
                <w:lang w:val="sr-Latn-ME"/>
              </w:rPr>
              <w:t xml:space="preserve">CILJ 7. </w:t>
            </w:r>
            <w:r w:rsidRPr="00352EF2">
              <w:rPr>
                <w:rFonts w:ascii="Cambria" w:hAnsi="Cambria" w:cs="Arial"/>
                <w:noProof/>
                <w:lang w:val="sr-Latn-ME"/>
              </w:rPr>
              <w:t>Unaprijeđenje međunarodne i regionalne saradnje i sprovođenje  relevantnih konvencija</w:t>
            </w:r>
          </w:p>
        </w:tc>
        <w:tc>
          <w:tcPr>
            <w:tcW w:w="6480" w:type="dxa"/>
            <w:shd w:val="clear" w:color="auto" w:fill="auto"/>
          </w:tcPr>
          <w:p w14:paraId="7270201D" w14:textId="77777777" w:rsidR="00C23AE7" w:rsidRPr="00A359D3" w:rsidRDefault="00C23AE7" w:rsidP="00557C13">
            <w:pPr>
              <w:numPr>
                <w:ilvl w:val="0"/>
                <w:numId w:val="35"/>
              </w:numPr>
              <w:spacing w:before="60" w:after="60"/>
              <w:ind w:left="332" w:hanging="270"/>
              <w:jc w:val="both"/>
              <w:rPr>
                <w:rFonts w:ascii="Cambria" w:hAnsi="Cambria"/>
                <w:noProof/>
                <w:lang w:val="sr-Latn-ME"/>
              </w:rPr>
            </w:pPr>
            <w:r>
              <w:rPr>
                <w:rFonts w:ascii="Cambria" w:hAnsi="Cambria"/>
                <w:noProof/>
                <w:lang w:val="sr-Latn-ME"/>
              </w:rPr>
              <w:t>Zakon o ratifikaciji</w:t>
            </w:r>
            <w:r w:rsidRPr="00A359D3">
              <w:rPr>
                <w:rFonts w:ascii="Cambria" w:hAnsi="Cambria"/>
                <w:noProof/>
                <w:lang w:val="sr-Latn-ME"/>
              </w:rPr>
              <w:t xml:space="preserve"> Minamata konvencij</w:t>
            </w:r>
            <w:r>
              <w:rPr>
                <w:rFonts w:ascii="Cambria" w:hAnsi="Cambria"/>
                <w:noProof/>
                <w:lang w:val="sr-Latn-ME"/>
              </w:rPr>
              <w:t>e usvojen</w:t>
            </w:r>
          </w:p>
          <w:p w14:paraId="528CFE82" w14:textId="77777777" w:rsidR="00C23AE7" w:rsidRPr="00FE100B" w:rsidRDefault="00C23AE7" w:rsidP="001E0726">
            <w:pPr>
              <w:pStyle w:val="ListParagraph"/>
              <w:numPr>
                <w:ilvl w:val="0"/>
                <w:numId w:val="4"/>
              </w:numPr>
              <w:spacing w:before="60" w:after="60"/>
              <w:ind w:left="782"/>
              <w:jc w:val="both"/>
              <w:rPr>
                <w:rFonts w:ascii="Cambria" w:hAnsi="Cambria"/>
                <w:noProof/>
                <w:lang w:val="sr-Latn-ME"/>
              </w:rPr>
            </w:pPr>
            <w:r w:rsidRPr="00FE100B">
              <w:rPr>
                <w:rFonts w:ascii="Cambria" w:hAnsi="Cambria"/>
                <w:noProof/>
                <w:lang w:val="sr-Latn-ME"/>
              </w:rPr>
              <w:t xml:space="preserve">Polazna vrijednost: </w:t>
            </w:r>
            <w:r>
              <w:rPr>
                <w:rFonts w:ascii="Cambria" w:hAnsi="Cambria"/>
                <w:noProof/>
                <w:lang w:val="sr-Latn-ME"/>
              </w:rPr>
              <w:t>Minamata konvencija potpisana 2014.</w:t>
            </w:r>
          </w:p>
          <w:p w14:paraId="060C9261" w14:textId="234C38DC" w:rsidR="00C23AE7" w:rsidRPr="00FE100B" w:rsidRDefault="00C23AE7" w:rsidP="00586C5E">
            <w:pPr>
              <w:pStyle w:val="ListParagraph"/>
              <w:numPr>
                <w:ilvl w:val="0"/>
                <w:numId w:val="4"/>
              </w:numPr>
              <w:spacing w:before="60" w:after="60"/>
              <w:ind w:left="782"/>
              <w:jc w:val="both"/>
              <w:rPr>
                <w:rFonts w:ascii="Cambria" w:hAnsi="Cambria"/>
                <w:noProof/>
                <w:lang w:val="sr-Latn-ME"/>
              </w:rPr>
            </w:pPr>
            <w:r w:rsidRPr="00FE100B">
              <w:rPr>
                <w:rFonts w:ascii="Cambria" w:hAnsi="Cambria"/>
                <w:noProof/>
                <w:lang w:val="sr-Latn-ME"/>
              </w:rPr>
              <w:t xml:space="preserve">Ciljna vrijednost: </w:t>
            </w:r>
            <w:r>
              <w:rPr>
                <w:rFonts w:ascii="Cambria" w:hAnsi="Cambria"/>
                <w:noProof/>
                <w:lang w:val="sr-Latn-ME"/>
              </w:rPr>
              <w:t>Donesen Zakon o ratifikaciji</w:t>
            </w:r>
            <w:r>
              <w:rPr>
                <w:noProof/>
              </w:rPr>
              <w:t xml:space="preserve"> </w:t>
            </w:r>
            <w:r w:rsidRPr="00216AD6">
              <w:rPr>
                <w:rFonts w:ascii="Cambria" w:hAnsi="Cambria"/>
                <w:noProof/>
                <w:lang w:val="sr-Latn-ME"/>
              </w:rPr>
              <w:t>Minamata konvencije</w:t>
            </w:r>
            <w:r>
              <w:rPr>
                <w:rFonts w:ascii="Cambria" w:hAnsi="Cambria"/>
                <w:noProof/>
                <w:lang w:val="sr-Latn-ME"/>
              </w:rPr>
              <w:t xml:space="preserve">, rok: </w:t>
            </w:r>
            <w:r w:rsidR="00586C5E">
              <w:rPr>
                <w:rFonts w:ascii="Cambria" w:hAnsi="Cambria"/>
                <w:noProof/>
                <w:lang w:val="sr-Latn-ME"/>
              </w:rPr>
              <w:t>2019</w:t>
            </w:r>
          </w:p>
        </w:tc>
      </w:tr>
      <w:bookmarkEnd w:id="145"/>
    </w:tbl>
    <w:p w14:paraId="72FCDEE7" w14:textId="77777777" w:rsidR="00352EF2" w:rsidRPr="00BD0892" w:rsidRDefault="00352EF2" w:rsidP="00DE26C6">
      <w:pPr>
        <w:spacing w:before="120" w:after="0"/>
        <w:jc w:val="both"/>
        <w:rPr>
          <w:rFonts w:ascii="Cambria" w:hAnsi="Cambria"/>
          <w:noProof/>
          <w:lang w:val="sr-Latn-RS"/>
        </w:rPr>
        <w:sectPr w:rsidR="00352EF2" w:rsidRPr="00BD0892" w:rsidSect="00283534">
          <w:footerReference w:type="default" r:id="rId28"/>
          <w:pgSz w:w="11907" w:h="16840" w:code="9"/>
          <w:pgMar w:top="1134" w:right="1134" w:bottom="1134" w:left="1134" w:header="709" w:footer="709" w:gutter="0"/>
          <w:cols w:space="720"/>
          <w:docGrid w:linePitch="360"/>
        </w:sectPr>
      </w:pPr>
    </w:p>
    <w:p w14:paraId="211FAE99" w14:textId="77777777" w:rsidR="00CF0414" w:rsidRDefault="009A4E40" w:rsidP="005921EF">
      <w:pPr>
        <w:spacing w:before="120" w:after="0"/>
        <w:jc w:val="both"/>
        <w:rPr>
          <w:rFonts w:ascii="Cambria" w:hAnsi="Cambria" w:cs="Arial"/>
          <w:noProof/>
          <w:lang w:val="sr-Latn-ME"/>
        </w:rPr>
      </w:pPr>
      <w:r>
        <w:rPr>
          <w:rFonts w:ascii="Cambria" w:hAnsi="Cambria" w:cs="Arial"/>
          <w:noProof/>
          <w:lang w:val="sr-Latn-ME"/>
        </w:rPr>
        <w:lastRenderedPageBreak/>
        <w:t>A</w:t>
      </w:r>
      <w:r w:rsidR="00697709">
        <w:rPr>
          <w:rFonts w:ascii="Cambria" w:hAnsi="Cambria" w:cs="Arial"/>
          <w:noProof/>
          <w:lang w:val="sr-Latn-ME"/>
        </w:rPr>
        <w:t xml:space="preserve">ktivnosti </w:t>
      </w:r>
      <w:r w:rsidR="00CF0414" w:rsidRPr="00AB15C7">
        <w:rPr>
          <w:rFonts w:ascii="Cambria" w:hAnsi="Cambria" w:cs="Arial"/>
          <w:noProof/>
          <w:lang w:val="sr-Latn-ME"/>
        </w:rPr>
        <w:t xml:space="preserve">koje se nalaze u funkciji </w:t>
      </w:r>
      <w:r w:rsidR="00CF0414" w:rsidRPr="00AB15C7">
        <w:rPr>
          <w:rFonts w:ascii="Cambria" w:hAnsi="Cambria"/>
          <w:noProof/>
          <w:lang w:val="sr-Latn-ME"/>
        </w:rPr>
        <w:t xml:space="preserve">ostvarivanja </w:t>
      </w:r>
      <w:r w:rsidR="00E40816">
        <w:rPr>
          <w:rFonts w:ascii="Cambria" w:hAnsi="Cambria"/>
          <w:noProof/>
          <w:lang w:val="sr-Latn-ME"/>
        </w:rPr>
        <w:t>operativnih ciljeva</w:t>
      </w:r>
      <w:r w:rsidR="00CF0414" w:rsidRPr="00AB15C7">
        <w:rPr>
          <w:rFonts w:ascii="Cambria" w:hAnsi="Cambria" w:cs="Arial"/>
          <w:noProof/>
          <w:lang w:val="sr-Latn-ME"/>
        </w:rPr>
        <w:t xml:space="preserve">, a koje se preporučuju za realizaciju u </w:t>
      </w:r>
      <w:r w:rsidR="00C14F4D">
        <w:rPr>
          <w:rFonts w:ascii="Cambria" w:hAnsi="Cambria" w:cs="Arial"/>
          <w:noProof/>
          <w:lang w:val="sr-Latn-ME"/>
        </w:rPr>
        <w:t xml:space="preserve">četvorogodišnjem </w:t>
      </w:r>
      <w:r w:rsidR="00CF0414" w:rsidRPr="00AB15C7">
        <w:rPr>
          <w:rFonts w:ascii="Cambria" w:hAnsi="Cambria" w:cs="Arial"/>
          <w:noProof/>
          <w:lang w:val="sr-Latn-ME"/>
        </w:rPr>
        <w:t>periodu 201</w:t>
      </w:r>
      <w:r w:rsidR="00E40816">
        <w:rPr>
          <w:rFonts w:ascii="Cambria" w:hAnsi="Cambria" w:cs="Arial"/>
          <w:noProof/>
          <w:lang w:val="sr-Latn-ME"/>
        </w:rPr>
        <w:t>9</w:t>
      </w:r>
      <w:r w:rsidR="00CF0414" w:rsidRPr="00AB15C7">
        <w:rPr>
          <w:rFonts w:ascii="Cambria" w:hAnsi="Cambria" w:cs="Arial"/>
          <w:noProof/>
          <w:lang w:val="sr-Latn-ME"/>
        </w:rPr>
        <w:t>-20</w:t>
      </w:r>
      <w:r w:rsidR="00457791">
        <w:rPr>
          <w:rFonts w:ascii="Cambria" w:hAnsi="Cambria" w:cs="Arial"/>
          <w:noProof/>
          <w:lang w:val="sr-Latn-ME"/>
        </w:rPr>
        <w:t>22</w:t>
      </w:r>
      <w:r w:rsidR="00CF0414" w:rsidRPr="00AB15C7">
        <w:rPr>
          <w:rFonts w:ascii="Cambria" w:hAnsi="Cambria" w:cs="Arial"/>
          <w:noProof/>
          <w:lang w:val="sr-Latn-ME"/>
        </w:rPr>
        <w:t>, su sljedeće:</w:t>
      </w:r>
    </w:p>
    <w:p w14:paraId="7B38C9B8" w14:textId="50B7A437" w:rsidR="00CF0414" w:rsidRPr="00A275C9" w:rsidRDefault="00E40816" w:rsidP="00557C13">
      <w:pPr>
        <w:pStyle w:val="ListParagraph"/>
        <w:numPr>
          <w:ilvl w:val="0"/>
          <w:numId w:val="35"/>
        </w:numPr>
        <w:spacing w:before="120" w:after="120"/>
        <w:jc w:val="both"/>
        <w:rPr>
          <w:rFonts w:ascii="Cambria" w:hAnsi="Cambria" w:cs="Arial"/>
          <w:noProof/>
          <w:u w:val="single"/>
          <w:lang w:val="sr-Latn-ME"/>
        </w:rPr>
      </w:pPr>
      <w:r w:rsidRPr="00A275C9">
        <w:rPr>
          <w:rFonts w:ascii="Cambria" w:hAnsi="Cambria" w:cs="Arial"/>
          <w:noProof/>
          <w:u w:val="single"/>
          <w:lang w:val="sr-Latn-ME"/>
        </w:rPr>
        <w:t xml:space="preserve">CILJ 1. </w:t>
      </w:r>
      <w:r w:rsidR="00435387" w:rsidRPr="00A275C9">
        <w:rPr>
          <w:rFonts w:ascii="Cambria" w:hAnsi="Cambria" w:cs="Arial"/>
          <w:noProof/>
          <w:u w:val="single"/>
          <w:lang w:val="sr-Latn-ME"/>
        </w:rPr>
        <w:t xml:space="preserve">Unaprijeđenje </w:t>
      </w:r>
      <w:r w:rsidR="000A7728" w:rsidRPr="00A275C9">
        <w:rPr>
          <w:rFonts w:ascii="Cambria" w:hAnsi="Cambria" w:cs="Arial"/>
          <w:noProof/>
          <w:u w:val="single"/>
          <w:lang w:val="sr-Latn-ME"/>
        </w:rPr>
        <w:t>zakon</w:t>
      </w:r>
      <w:r w:rsidR="00106259" w:rsidRPr="00A275C9">
        <w:rPr>
          <w:rFonts w:ascii="Cambria" w:hAnsi="Cambria" w:cs="Arial"/>
          <w:noProof/>
          <w:u w:val="single"/>
          <w:lang w:val="sr-Latn-ME"/>
        </w:rPr>
        <w:t>o</w:t>
      </w:r>
      <w:r w:rsidR="000A7728" w:rsidRPr="00A275C9">
        <w:rPr>
          <w:rFonts w:ascii="Cambria" w:hAnsi="Cambria" w:cs="Arial"/>
          <w:noProof/>
          <w:u w:val="single"/>
          <w:lang w:val="sr-Latn-ME"/>
        </w:rPr>
        <w:t>davnog</w:t>
      </w:r>
      <w:r w:rsidRPr="00A275C9">
        <w:rPr>
          <w:rFonts w:ascii="Cambria" w:hAnsi="Cambria" w:cs="Arial"/>
          <w:noProof/>
          <w:u w:val="single"/>
          <w:lang w:val="sr-Latn-ME"/>
        </w:rPr>
        <w:t xml:space="preserve"> okvira kroz dalju harmonizaciju sa propisima EU</w:t>
      </w:r>
      <w:r w:rsidR="000A7728" w:rsidRPr="00A275C9">
        <w:rPr>
          <w:rFonts w:ascii="Cambria" w:hAnsi="Cambria" w:cs="Arial"/>
          <w:noProof/>
          <w:u w:val="single"/>
          <w:lang w:val="sr-Latn-ME"/>
        </w:rPr>
        <w:t xml:space="preserve"> u oblasti hemikalija i povezanim oblastima</w:t>
      </w:r>
      <w:r w:rsidRPr="00A275C9">
        <w:rPr>
          <w:rFonts w:ascii="Cambria" w:hAnsi="Cambria" w:cs="Arial"/>
          <w:noProof/>
          <w:u w:val="single"/>
          <w:lang w:val="sr-Latn-ME"/>
        </w:rPr>
        <w:t xml:space="preserve">  </w:t>
      </w:r>
    </w:p>
    <w:p w14:paraId="44D692F8" w14:textId="77777777" w:rsidR="00457791" w:rsidRPr="0004011E" w:rsidRDefault="00803D9D" w:rsidP="00557C13">
      <w:pPr>
        <w:numPr>
          <w:ilvl w:val="0"/>
          <w:numId w:val="36"/>
        </w:numPr>
        <w:tabs>
          <w:tab w:val="left" w:pos="1710"/>
        </w:tabs>
        <w:spacing w:before="120" w:after="0"/>
        <w:jc w:val="both"/>
        <w:rPr>
          <w:rFonts w:ascii="Cambria" w:hAnsi="Cambria" w:cs="Arial"/>
          <w:noProof/>
          <w:lang w:val="sr-Latn-ME"/>
        </w:rPr>
      </w:pPr>
      <w:r w:rsidRPr="0004011E">
        <w:rPr>
          <w:rFonts w:ascii="Cambria" w:hAnsi="Cambria" w:cs="Arial"/>
          <w:noProof/>
          <w:lang w:val="sr-Latn-ME"/>
        </w:rPr>
        <w:t>Donošenje nove Uredbe</w:t>
      </w:r>
      <w:r w:rsidR="00457791" w:rsidRPr="0004011E">
        <w:rPr>
          <w:rFonts w:ascii="Cambria" w:hAnsi="Cambria" w:cs="Arial"/>
          <w:noProof/>
          <w:lang w:val="sr-Latn-ME"/>
        </w:rPr>
        <w:t xml:space="preserve"> o zabrani i ograničenju korišćenja, stavljanja u promet i proizvodnji </w:t>
      </w:r>
      <w:r w:rsidR="00457791" w:rsidRPr="0004011E">
        <w:rPr>
          <w:rFonts w:ascii="Cambria" w:hAnsi="Cambria"/>
          <w:noProof/>
          <w:lang w:val="sr-Latn-ME"/>
        </w:rPr>
        <w:t>hemikalija</w:t>
      </w:r>
      <w:r w:rsidR="00457791" w:rsidRPr="0004011E">
        <w:rPr>
          <w:rFonts w:ascii="Cambria" w:hAnsi="Cambria" w:cs="Arial"/>
          <w:noProof/>
          <w:lang w:val="sr-Latn-ME"/>
        </w:rPr>
        <w:t xml:space="preserve"> koje predstavljaju neprihvatljiv rizik po zdravlje ljudi i životnu sredinu</w:t>
      </w:r>
    </w:p>
    <w:p w14:paraId="76D100E4" w14:textId="77777777" w:rsidR="0037633B" w:rsidRPr="0004011E" w:rsidRDefault="00852D20" w:rsidP="00557C13">
      <w:pPr>
        <w:numPr>
          <w:ilvl w:val="0"/>
          <w:numId w:val="36"/>
        </w:numPr>
        <w:tabs>
          <w:tab w:val="left" w:pos="1710"/>
        </w:tabs>
        <w:spacing w:before="120" w:after="0"/>
        <w:jc w:val="both"/>
        <w:rPr>
          <w:rFonts w:ascii="Cambria" w:hAnsi="Cambria" w:cs="Arial"/>
          <w:noProof/>
          <w:lang w:val="sr-Latn-ME"/>
        </w:rPr>
      </w:pPr>
      <w:r w:rsidRPr="0004011E">
        <w:rPr>
          <w:rFonts w:ascii="Cambria" w:hAnsi="Cambria"/>
          <w:noProof/>
          <w:lang w:val="sr-Latn-ME"/>
        </w:rPr>
        <w:t>Ažuriranje</w:t>
      </w:r>
      <w:r w:rsidRPr="0004011E">
        <w:rPr>
          <w:rFonts w:ascii="Cambria" w:hAnsi="Cambria" w:cs="Arial"/>
          <w:noProof/>
          <w:lang w:val="sr-Latn-ME"/>
        </w:rPr>
        <w:t xml:space="preserve"> </w:t>
      </w:r>
      <w:r w:rsidR="00457791" w:rsidRPr="0004011E">
        <w:rPr>
          <w:rFonts w:ascii="Cambria" w:hAnsi="Cambria" w:cs="Arial"/>
          <w:noProof/>
          <w:lang w:val="sr-Latn-ME"/>
        </w:rPr>
        <w:t>l</w:t>
      </w:r>
      <w:r w:rsidR="0037633B" w:rsidRPr="0004011E">
        <w:rPr>
          <w:rFonts w:ascii="Cambria" w:hAnsi="Cambria" w:cs="Arial"/>
          <w:noProof/>
          <w:lang w:val="sr-Latn-ME"/>
        </w:rPr>
        <w:t>iste aktivnih supstanci dozvoljenih u u biocidnom proizvodu</w:t>
      </w:r>
    </w:p>
    <w:p w14:paraId="4B1C3200" w14:textId="77777777" w:rsidR="00803D9D" w:rsidRPr="0004011E" w:rsidRDefault="0037633B" w:rsidP="00557C13">
      <w:pPr>
        <w:numPr>
          <w:ilvl w:val="0"/>
          <w:numId w:val="36"/>
        </w:numPr>
        <w:tabs>
          <w:tab w:val="left" w:pos="1710"/>
        </w:tabs>
        <w:spacing w:before="120" w:after="0"/>
        <w:jc w:val="both"/>
        <w:rPr>
          <w:rFonts w:ascii="Cambria" w:hAnsi="Cambria" w:cs="Arial"/>
          <w:noProof/>
          <w:lang w:val="sr-Latn-ME"/>
        </w:rPr>
      </w:pPr>
      <w:r w:rsidRPr="0004011E">
        <w:rPr>
          <w:rFonts w:ascii="Cambria" w:hAnsi="Cambria"/>
          <w:noProof/>
          <w:lang w:val="sr-Latn-ME"/>
        </w:rPr>
        <w:t>A</w:t>
      </w:r>
      <w:r w:rsidR="00852D20" w:rsidRPr="0004011E">
        <w:rPr>
          <w:rFonts w:ascii="Cambria" w:hAnsi="Cambria"/>
          <w:noProof/>
          <w:lang w:val="sr-Latn-ME"/>
        </w:rPr>
        <w:t>ž</w:t>
      </w:r>
      <w:r w:rsidRPr="0004011E">
        <w:rPr>
          <w:rFonts w:ascii="Cambria" w:hAnsi="Cambria"/>
          <w:noProof/>
          <w:lang w:val="sr-Latn-ME"/>
        </w:rPr>
        <w:t>uriranj</w:t>
      </w:r>
      <w:r w:rsidR="00852D20" w:rsidRPr="0004011E">
        <w:rPr>
          <w:rFonts w:ascii="Cambria" w:hAnsi="Cambria"/>
          <w:noProof/>
          <w:lang w:val="sr-Latn-ME"/>
        </w:rPr>
        <w:t>e</w:t>
      </w:r>
      <w:r w:rsidRPr="0004011E">
        <w:rPr>
          <w:rFonts w:ascii="Cambria" w:hAnsi="Cambria" w:cs="Arial"/>
          <w:noProof/>
          <w:lang w:val="sr-Latn-ME"/>
        </w:rPr>
        <w:t xml:space="preserve"> </w:t>
      </w:r>
      <w:r w:rsidR="00457791" w:rsidRPr="0004011E">
        <w:rPr>
          <w:rFonts w:ascii="Cambria" w:hAnsi="Cambria" w:cs="Arial"/>
          <w:noProof/>
          <w:lang w:val="sr-Latn-ME"/>
        </w:rPr>
        <w:t>liste aktivnih materija dozvoljenih za upotrebu u sredstvima za zaštitu bilja</w:t>
      </w:r>
      <w:r w:rsidR="00803D9D" w:rsidRPr="0004011E">
        <w:rPr>
          <w:rFonts w:ascii="Cambria" w:hAnsi="Cambria"/>
          <w:noProof/>
          <w:lang w:val="sr-Latn-ME"/>
        </w:rPr>
        <w:t xml:space="preserve"> </w:t>
      </w:r>
    </w:p>
    <w:p w14:paraId="13B6F78E" w14:textId="77777777" w:rsidR="0037633B" w:rsidRPr="0004011E" w:rsidRDefault="00803D9D" w:rsidP="00557C13">
      <w:pPr>
        <w:numPr>
          <w:ilvl w:val="0"/>
          <w:numId w:val="36"/>
        </w:numPr>
        <w:tabs>
          <w:tab w:val="left" w:pos="1710"/>
        </w:tabs>
        <w:spacing w:before="120" w:after="0"/>
        <w:jc w:val="both"/>
        <w:rPr>
          <w:rFonts w:ascii="Cambria" w:hAnsi="Cambria" w:cs="Arial"/>
          <w:noProof/>
          <w:lang w:val="sr-Latn-ME"/>
        </w:rPr>
      </w:pPr>
      <w:r w:rsidRPr="0004011E">
        <w:rPr>
          <w:rFonts w:ascii="Cambria" w:hAnsi="Cambria"/>
          <w:noProof/>
          <w:lang w:val="sr-Latn-ME"/>
        </w:rPr>
        <w:t>Ažuriranje</w:t>
      </w:r>
      <w:r w:rsidRPr="0004011E">
        <w:rPr>
          <w:rFonts w:ascii="Cambria" w:hAnsi="Cambria" w:cs="Arial"/>
          <w:noProof/>
          <w:lang w:val="sr-Latn-ME"/>
        </w:rPr>
        <w:t xml:space="preserve"> liste opasnih hemikalija i proizvoda čiji je izvoz zabranjen </w:t>
      </w:r>
    </w:p>
    <w:p w14:paraId="6D43B5FC" w14:textId="01E2C628" w:rsidR="00803D9D" w:rsidRPr="0004011E" w:rsidRDefault="00F05B8D" w:rsidP="00557C13">
      <w:pPr>
        <w:numPr>
          <w:ilvl w:val="0"/>
          <w:numId w:val="36"/>
        </w:numPr>
        <w:tabs>
          <w:tab w:val="left" w:pos="1710"/>
        </w:tabs>
        <w:spacing w:before="120" w:after="0"/>
        <w:jc w:val="both"/>
        <w:rPr>
          <w:rFonts w:ascii="Cambria" w:hAnsi="Cambria" w:cs="Arial"/>
          <w:noProof/>
          <w:lang w:val="sr-Latn-ME"/>
        </w:rPr>
      </w:pPr>
      <w:bookmarkStart w:id="147" w:name="_Hlk523240206"/>
      <w:r w:rsidRPr="0004011E">
        <w:rPr>
          <w:rFonts w:ascii="Cambria" w:hAnsi="Cambria"/>
          <w:noProof/>
          <w:lang w:val="sr-Latn-ME"/>
        </w:rPr>
        <w:t>Izm</w:t>
      </w:r>
      <w:r w:rsidR="000A65AA" w:rsidRPr="0004011E">
        <w:rPr>
          <w:rFonts w:ascii="Cambria" w:hAnsi="Cambria"/>
          <w:noProof/>
          <w:lang w:val="sr-Latn-ME"/>
        </w:rPr>
        <w:t>j</w:t>
      </w:r>
      <w:r w:rsidRPr="0004011E">
        <w:rPr>
          <w:rFonts w:ascii="Cambria" w:hAnsi="Cambria"/>
          <w:noProof/>
          <w:lang w:val="sr-Latn-ME"/>
        </w:rPr>
        <w:t>ena</w:t>
      </w:r>
      <w:r w:rsidRPr="0004011E">
        <w:rPr>
          <w:rFonts w:ascii="Cambria" w:hAnsi="Cambria" w:cs="Arial"/>
          <w:noProof/>
          <w:lang w:val="sr-Latn-ME"/>
        </w:rPr>
        <w:t xml:space="preserve"> i dopuna </w:t>
      </w:r>
      <w:r w:rsidR="005846ED" w:rsidRPr="0004011E">
        <w:rPr>
          <w:rFonts w:ascii="Cambria" w:hAnsi="Cambria" w:cs="Arial"/>
          <w:noProof/>
          <w:lang w:val="sr-Latn-ME"/>
        </w:rPr>
        <w:t>odredbi propisa</w:t>
      </w:r>
      <w:r w:rsidRPr="0004011E">
        <w:rPr>
          <w:rFonts w:ascii="Cambria" w:hAnsi="Cambria" w:cs="Arial"/>
          <w:noProof/>
          <w:lang w:val="sr-Latn-ME"/>
        </w:rPr>
        <w:t xml:space="preserve"> </w:t>
      </w:r>
      <w:bookmarkEnd w:id="147"/>
      <w:r w:rsidRPr="0004011E">
        <w:rPr>
          <w:rFonts w:ascii="Cambria" w:hAnsi="Cambria" w:cs="Arial"/>
          <w:noProof/>
          <w:lang w:val="sr-Latn-ME"/>
        </w:rPr>
        <w:t>kojim</w:t>
      </w:r>
      <w:r w:rsidR="005846ED" w:rsidRPr="0004011E">
        <w:rPr>
          <w:rFonts w:ascii="Cambria" w:hAnsi="Cambria" w:cs="Arial"/>
          <w:noProof/>
          <w:lang w:val="sr-Latn-ME"/>
        </w:rPr>
        <w:t>a</w:t>
      </w:r>
      <w:r w:rsidRPr="0004011E">
        <w:rPr>
          <w:rFonts w:ascii="Cambria" w:hAnsi="Cambria" w:cs="Arial"/>
          <w:noProof/>
          <w:lang w:val="sr-Latn-ME"/>
        </w:rPr>
        <w:t xml:space="preserve"> se u nacionalno zakonodavstvo transponuje </w:t>
      </w:r>
      <w:r w:rsidR="005846ED" w:rsidRPr="0004011E">
        <w:rPr>
          <w:rFonts w:ascii="Cambria" w:hAnsi="Cambria" w:cs="Arial"/>
          <w:noProof/>
          <w:lang w:val="sr-Latn-ME"/>
        </w:rPr>
        <w:t xml:space="preserve">EU </w:t>
      </w:r>
      <w:r w:rsidRPr="0004011E">
        <w:rPr>
          <w:rFonts w:ascii="Cambria" w:hAnsi="Cambria" w:cs="Arial"/>
          <w:noProof/>
          <w:lang w:val="sr-Latn-ME"/>
        </w:rPr>
        <w:t xml:space="preserve">uredba o živi </w:t>
      </w:r>
      <w:bookmarkStart w:id="148" w:name="_Hlk523240245"/>
      <w:r w:rsidRPr="0004011E">
        <w:rPr>
          <w:rFonts w:ascii="Cambria" w:hAnsi="Cambria" w:cs="Arial"/>
          <w:noProof/>
          <w:lang w:val="sr-Latn-ME"/>
        </w:rPr>
        <w:t>radi usagla</w:t>
      </w:r>
      <w:r w:rsidR="005846ED" w:rsidRPr="0004011E">
        <w:rPr>
          <w:rFonts w:ascii="Cambria" w:hAnsi="Cambria" w:cs="Arial"/>
          <w:noProof/>
          <w:lang w:val="sr-Latn-ME"/>
        </w:rPr>
        <w:t>š</w:t>
      </w:r>
      <w:r w:rsidRPr="0004011E">
        <w:rPr>
          <w:rFonts w:ascii="Cambria" w:hAnsi="Cambria" w:cs="Arial"/>
          <w:noProof/>
          <w:lang w:val="sr-Latn-ME"/>
        </w:rPr>
        <w:t xml:space="preserve">avanja sa odredbama </w:t>
      </w:r>
      <w:bookmarkEnd w:id="148"/>
      <w:r w:rsidRPr="0004011E">
        <w:rPr>
          <w:rFonts w:ascii="Cambria" w:hAnsi="Cambria" w:cs="Arial"/>
          <w:noProof/>
        </w:rPr>
        <w:t xml:space="preserve">nove </w:t>
      </w:r>
      <w:r w:rsidR="00457791" w:rsidRPr="0004011E">
        <w:rPr>
          <w:rFonts w:ascii="Cambria" w:hAnsi="Cambria" w:cs="Arial"/>
          <w:noProof/>
        </w:rPr>
        <w:t>Uredbe</w:t>
      </w:r>
      <w:r w:rsidRPr="0004011E">
        <w:rPr>
          <w:rFonts w:ascii="Cambria" w:hAnsi="Cambria" w:cs="Arial"/>
          <w:noProof/>
        </w:rPr>
        <w:t xml:space="preserve"> (EU) 2017/852 o živi, kao i ispunjavanja budućih obaveza koje proističu iz ratifikacije Minamata konvencije</w:t>
      </w:r>
    </w:p>
    <w:p w14:paraId="59A9759D" w14:textId="77777777" w:rsidR="00803D9D" w:rsidRPr="0004011E" w:rsidRDefault="00803D9D" w:rsidP="00557C13">
      <w:pPr>
        <w:numPr>
          <w:ilvl w:val="0"/>
          <w:numId w:val="36"/>
        </w:numPr>
        <w:tabs>
          <w:tab w:val="left" w:pos="1710"/>
        </w:tabs>
        <w:spacing w:before="120" w:after="0"/>
        <w:jc w:val="both"/>
        <w:rPr>
          <w:rFonts w:ascii="Cambria" w:hAnsi="Cambria" w:cs="Arial"/>
          <w:noProof/>
          <w:lang w:val="sr-Latn-ME"/>
        </w:rPr>
      </w:pPr>
      <w:r w:rsidRPr="0004011E">
        <w:rPr>
          <w:rFonts w:ascii="Cambria" w:hAnsi="Cambria" w:cs="Arial"/>
          <w:noProof/>
          <w:lang w:val="sr-Latn-ME"/>
        </w:rPr>
        <w:t xml:space="preserve">Ažuriranje liste klasifikovanih </w:t>
      </w:r>
      <w:r w:rsidRPr="0004011E">
        <w:rPr>
          <w:rFonts w:ascii="Cambria" w:hAnsi="Cambria"/>
          <w:noProof/>
          <w:lang w:val="sr-Latn-ME"/>
        </w:rPr>
        <w:t>supstanci</w:t>
      </w:r>
    </w:p>
    <w:p w14:paraId="5511E59F" w14:textId="77777777" w:rsidR="00F05B8D" w:rsidRPr="0004011E" w:rsidRDefault="00803D9D" w:rsidP="00557C13">
      <w:pPr>
        <w:numPr>
          <w:ilvl w:val="0"/>
          <w:numId w:val="36"/>
        </w:numPr>
        <w:tabs>
          <w:tab w:val="left" w:pos="1710"/>
        </w:tabs>
        <w:spacing w:before="120" w:after="0"/>
        <w:jc w:val="both"/>
        <w:rPr>
          <w:rFonts w:ascii="Cambria" w:hAnsi="Cambria" w:cs="Arial"/>
          <w:noProof/>
          <w:lang w:val="sr-Latn-ME"/>
        </w:rPr>
      </w:pPr>
      <w:r w:rsidRPr="0004011E">
        <w:rPr>
          <w:rFonts w:ascii="Cambria" w:hAnsi="Cambria"/>
          <w:noProof/>
          <w:lang w:val="sr-Latn-ME"/>
        </w:rPr>
        <w:t xml:space="preserve"> Ažuriranje</w:t>
      </w:r>
      <w:r w:rsidRPr="0004011E">
        <w:rPr>
          <w:rFonts w:ascii="Cambria" w:hAnsi="Cambria" w:cs="Arial"/>
          <w:noProof/>
          <w:lang w:val="sr-Latn-ME"/>
        </w:rPr>
        <w:t xml:space="preserve"> liste supstanci koje izazivaju zabrinutost</w:t>
      </w:r>
    </w:p>
    <w:p w14:paraId="2AA2D995" w14:textId="31AAE393" w:rsidR="00457791" w:rsidRPr="0004011E" w:rsidRDefault="00F05B8D" w:rsidP="00557C13">
      <w:pPr>
        <w:numPr>
          <w:ilvl w:val="0"/>
          <w:numId w:val="36"/>
        </w:numPr>
        <w:tabs>
          <w:tab w:val="left" w:pos="1710"/>
        </w:tabs>
        <w:spacing w:before="120" w:after="0"/>
        <w:jc w:val="both"/>
        <w:rPr>
          <w:rFonts w:ascii="Cambria" w:hAnsi="Cambria" w:cs="Arial"/>
          <w:noProof/>
          <w:lang w:val="sr-Latn-ME"/>
        </w:rPr>
      </w:pPr>
      <w:r w:rsidRPr="0004011E">
        <w:rPr>
          <w:rFonts w:ascii="Cambria" w:hAnsi="Cambria"/>
          <w:noProof/>
          <w:lang w:val="sr-Latn-ME"/>
        </w:rPr>
        <w:t>Izm</w:t>
      </w:r>
      <w:r w:rsidR="000A65AA" w:rsidRPr="0004011E">
        <w:rPr>
          <w:rFonts w:ascii="Cambria" w:hAnsi="Cambria"/>
          <w:noProof/>
          <w:lang w:val="sr-Latn-ME"/>
        </w:rPr>
        <w:t>j</w:t>
      </w:r>
      <w:r w:rsidRPr="0004011E">
        <w:rPr>
          <w:rFonts w:ascii="Cambria" w:hAnsi="Cambria"/>
          <w:noProof/>
          <w:lang w:val="sr-Latn-ME"/>
        </w:rPr>
        <w:t>ena</w:t>
      </w:r>
      <w:r w:rsidRPr="0004011E">
        <w:rPr>
          <w:rFonts w:ascii="Cambria" w:hAnsi="Cambria" w:cs="Arial"/>
          <w:noProof/>
          <w:lang w:val="sr-Latn-ME"/>
        </w:rPr>
        <w:t xml:space="preserve"> i dopuna </w:t>
      </w:r>
      <w:r w:rsidR="005846ED" w:rsidRPr="0004011E">
        <w:rPr>
          <w:rFonts w:ascii="Cambria" w:hAnsi="Cambria" w:cs="Arial"/>
          <w:noProof/>
          <w:lang w:val="sr-Latn-ME"/>
        </w:rPr>
        <w:t>odredbi propisa</w:t>
      </w:r>
      <w:r w:rsidR="00457791" w:rsidRPr="0004011E">
        <w:rPr>
          <w:rFonts w:ascii="Cambria" w:hAnsi="Cambria" w:cs="Arial"/>
          <w:noProof/>
          <w:lang w:val="sr-Latn-ME"/>
        </w:rPr>
        <w:t xml:space="preserve"> o sredstvima za ishranu bilja radi usaglašavanja sa odredbama najavljenih amandmana na </w:t>
      </w:r>
      <w:r w:rsidR="000A7728" w:rsidRPr="0004011E">
        <w:rPr>
          <w:rFonts w:ascii="Cambria" w:hAnsi="Cambria" w:cs="Arial"/>
          <w:noProof/>
          <w:lang w:val="sr-Latn-ME"/>
        </w:rPr>
        <w:t>U</w:t>
      </w:r>
      <w:r w:rsidR="00457791" w:rsidRPr="0004011E">
        <w:rPr>
          <w:rFonts w:ascii="Cambria" w:hAnsi="Cambria" w:cs="Arial"/>
          <w:noProof/>
          <w:lang w:val="sr-Latn-ME"/>
        </w:rPr>
        <w:t xml:space="preserve">redbu </w:t>
      </w:r>
      <w:r w:rsidRPr="0004011E">
        <w:rPr>
          <w:rFonts w:ascii="Cambria" w:hAnsi="Cambria" w:cs="Arial"/>
          <w:noProof/>
        </w:rPr>
        <w:t>(EU) 20</w:t>
      </w:r>
      <w:r w:rsidR="000A7728" w:rsidRPr="0004011E">
        <w:rPr>
          <w:rFonts w:ascii="Cambria" w:hAnsi="Cambria" w:cs="Arial"/>
          <w:noProof/>
        </w:rPr>
        <w:t>03</w:t>
      </w:r>
      <w:r w:rsidRPr="0004011E">
        <w:rPr>
          <w:rFonts w:ascii="Cambria" w:hAnsi="Cambria" w:cs="Arial"/>
          <w:noProof/>
        </w:rPr>
        <w:t>/</w:t>
      </w:r>
      <w:r w:rsidR="000A7728" w:rsidRPr="0004011E">
        <w:rPr>
          <w:rFonts w:ascii="Cambria" w:hAnsi="Cambria" w:cs="Arial"/>
          <w:noProof/>
        </w:rPr>
        <w:t>2003,</w:t>
      </w:r>
    </w:p>
    <w:p w14:paraId="48854F1D" w14:textId="0241B2D1" w:rsidR="00E0547A" w:rsidRPr="0004011E" w:rsidRDefault="00106259" w:rsidP="00557C13">
      <w:pPr>
        <w:numPr>
          <w:ilvl w:val="0"/>
          <w:numId w:val="36"/>
        </w:numPr>
        <w:tabs>
          <w:tab w:val="left" w:pos="1710"/>
        </w:tabs>
        <w:spacing w:before="120" w:after="0"/>
        <w:jc w:val="both"/>
        <w:rPr>
          <w:rFonts w:ascii="Cambria" w:hAnsi="Cambria"/>
          <w:noProof/>
          <w:lang w:val="sr-Latn-ME"/>
        </w:rPr>
      </w:pPr>
      <w:r w:rsidRPr="0004011E">
        <w:rPr>
          <w:rFonts w:ascii="Cambria" w:hAnsi="Cambria"/>
          <w:noProof/>
          <w:lang w:val="sr-Latn-ME"/>
        </w:rPr>
        <w:t xml:space="preserve">Priprema izvještaja </w:t>
      </w:r>
      <w:r w:rsidR="00E0547A" w:rsidRPr="0004011E">
        <w:rPr>
          <w:rFonts w:ascii="Cambria" w:hAnsi="Cambria"/>
          <w:noProof/>
          <w:lang w:val="sr-Latn-ME"/>
        </w:rPr>
        <w:t xml:space="preserve">o </w:t>
      </w:r>
      <w:r w:rsidR="007C736B" w:rsidRPr="0004011E">
        <w:rPr>
          <w:rFonts w:ascii="Cambria" w:hAnsi="Cambria"/>
          <w:noProof/>
          <w:lang w:val="sr-Latn-ME"/>
        </w:rPr>
        <w:t>unapr</w:t>
      </w:r>
      <w:r w:rsidR="000A65AA" w:rsidRPr="0004011E">
        <w:rPr>
          <w:rFonts w:ascii="Cambria" w:hAnsi="Cambria"/>
          <w:noProof/>
          <w:lang w:val="sr-Latn-ME"/>
        </w:rPr>
        <w:t>j</w:t>
      </w:r>
      <w:r w:rsidR="007C736B" w:rsidRPr="0004011E">
        <w:rPr>
          <w:rFonts w:ascii="Cambria" w:hAnsi="Cambria"/>
          <w:noProof/>
          <w:lang w:val="sr-Latn-ME"/>
        </w:rPr>
        <w:t xml:space="preserve">eđenju </w:t>
      </w:r>
      <w:r w:rsidR="00E0547A" w:rsidRPr="0004011E">
        <w:rPr>
          <w:rFonts w:ascii="Cambria" w:hAnsi="Cambria"/>
          <w:noProof/>
          <w:lang w:val="sr-Latn-ME"/>
        </w:rPr>
        <w:t>zakonodavno</w:t>
      </w:r>
      <w:r w:rsidR="007C736B" w:rsidRPr="0004011E">
        <w:rPr>
          <w:rFonts w:ascii="Cambria" w:hAnsi="Cambria"/>
          <w:noProof/>
          <w:lang w:val="sr-Latn-ME"/>
        </w:rPr>
        <w:t>g</w:t>
      </w:r>
      <w:r w:rsidR="00E0547A" w:rsidRPr="0004011E">
        <w:rPr>
          <w:rFonts w:ascii="Cambria" w:hAnsi="Cambria"/>
          <w:noProof/>
          <w:lang w:val="sr-Latn-ME"/>
        </w:rPr>
        <w:t xml:space="preserve"> okvir</w:t>
      </w:r>
      <w:r w:rsidR="007C736B" w:rsidRPr="0004011E">
        <w:rPr>
          <w:rFonts w:ascii="Cambria" w:hAnsi="Cambria"/>
          <w:noProof/>
          <w:lang w:val="sr-Latn-ME"/>
        </w:rPr>
        <w:t xml:space="preserve">a </w:t>
      </w:r>
      <w:r w:rsidR="00E0547A" w:rsidRPr="0004011E">
        <w:rPr>
          <w:rFonts w:ascii="Cambria" w:hAnsi="Cambria"/>
          <w:noProof/>
          <w:lang w:val="sr-Latn-ME"/>
        </w:rPr>
        <w:t xml:space="preserve">u oblasti hemikalija </w:t>
      </w:r>
    </w:p>
    <w:p w14:paraId="4B03A2B4" w14:textId="77777777" w:rsidR="00023269" w:rsidRDefault="00023269" w:rsidP="00E0547A">
      <w:pPr>
        <w:tabs>
          <w:tab w:val="left" w:pos="1620"/>
        </w:tabs>
        <w:spacing w:before="120" w:after="0"/>
        <w:ind w:left="720"/>
        <w:jc w:val="both"/>
        <w:rPr>
          <w:rFonts w:ascii="Cambria" w:hAnsi="Cambria" w:cs="Arial"/>
          <w:noProof/>
          <w:lang w:val="pl-PL"/>
        </w:rPr>
      </w:pPr>
    </w:p>
    <w:p w14:paraId="65859ED7" w14:textId="2EF62586" w:rsidR="00582A2B" w:rsidRPr="00A275C9" w:rsidRDefault="00A3070D" w:rsidP="00557C13">
      <w:pPr>
        <w:pStyle w:val="ListParagraph"/>
        <w:numPr>
          <w:ilvl w:val="0"/>
          <w:numId w:val="35"/>
        </w:numPr>
        <w:spacing w:before="120" w:after="120"/>
        <w:jc w:val="both"/>
        <w:rPr>
          <w:rFonts w:ascii="Cambria" w:hAnsi="Cambria" w:cs="Arial"/>
          <w:noProof/>
          <w:u w:val="single"/>
          <w:lang w:val="sr-Latn-ME"/>
        </w:rPr>
      </w:pPr>
      <w:r w:rsidRPr="00A275C9">
        <w:rPr>
          <w:rFonts w:ascii="Cambria" w:hAnsi="Cambria" w:cs="Arial"/>
          <w:noProof/>
          <w:u w:val="single"/>
          <w:lang w:val="sr-Latn-ME"/>
        </w:rPr>
        <w:t xml:space="preserve">CILJ 2. </w:t>
      </w:r>
      <w:r w:rsidR="00435387" w:rsidRPr="00A275C9">
        <w:rPr>
          <w:rFonts w:ascii="Cambria" w:hAnsi="Cambria" w:cs="Arial"/>
          <w:noProof/>
          <w:u w:val="single"/>
          <w:lang w:val="sr-Latn-ME"/>
        </w:rPr>
        <w:t>U</w:t>
      </w:r>
      <w:r w:rsidR="00435387" w:rsidRPr="00A275C9">
        <w:rPr>
          <w:rFonts w:ascii="Cambria" w:hAnsi="Cambria" w:cs="Arial"/>
          <w:noProof/>
          <w:u w:val="single"/>
        </w:rPr>
        <w:t xml:space="preserve">naprijeđenje </w:t>
      </w:r>
      <w:r w:rsidRPr="00A275C9">
        <w:rPr>
          <w:rFonts w:ascii="Cambria" w:hAnsi="Cambria" w:cs="Arial"/>
          <w:noProof/>
          <w:u w:val="single"/>
          <w:lang w:val="sr-Latn-ME"/>
        </w:rPr>
        <w:t>implementacije postojećih propisa</w:t>
      </w:r>
      <w:bookmarkStart w:id="149" w:name="_Hlk523069462"/>
    </w:p>
    <w:p w14:paraId="6DE3B430" w14:textId="77777777" w:rsidR="00852D20" w:rsidRPr="0004011E" w:rsidRDefault="000A7728" w:rsidP="00557C13">
      <w:pPr>
        <w:numPr>
          <w:ilvl w:val="0"/>
          <w:numId w:val="37"/>
        </w:numPr>
        <w:tabs>
          <w:tab w:val="left" w:pos="1710"/>
        </w:tabs>
        <w:spacing w:before="120" w:after="0"/>
        <w:jc w:val="both"/>
        <w:rPr>
          <w:rFonts w:ascii="Cambria" w:hAnsi="Cambria"/>
          <w:noProof/>
          <w:lang w:val="sr-Latn-ME"/>
        </w:rPr>
      </w:pPr>
      <w:r w:rsidRPr="0004011E">
        <w:rPr>
          <w:rFonts w:ascii="Cambria" w:hAnsi="Cambria"/>
          <w:noProof/>
          <w:lang w:val="sr-Latn-ME"/>
        </w:rPr>
        <w:t>Razvoj</w:t>
      </w:r>
      <w:r w:rsidR="00582A2B" w:rsidRPr="0004011E">
        <w:rPr>
          <w:rFonts w:ascii="Cambria" w:hAnsi="Cambria"/>
          <w:noProof/>
          <w:lang w:val="sr-Latn-ME"/>
        </w:rPr>
        <w:t xml:space="preserve"> </w:t>
      </w:r>
      <w:r w:rsidRPr="0004011E">
        <w:rPr>
          <w:rFonts w:ascii="Cambria" w:hAnsi="Cambria"/>
          <w:noProof/>
          <w:lang w:val="sr-Latn-ME"/>
        </w:rPr>
        <w:t>n</w:t>
      </w:r>
      <w:r w:rsidR="00582A2B" w:rsidRPr="0004011E">
        <w:rPr>
          <w:rFonts w:ascii="Cambria" w:hAnsi="Cambria"/>
          <w:noProof/>
          <w:lang w:val="sr-Latn-ME"/>
        </w:rPr>
        <w:t>acionalnog Help deska</w:t>
      </w:r>
    </w:p>
    <w:p w14:paraId="1F67F205" w14:textId="77777777" w:rsidR="00852D20" w:rsidRPr="0004011E" w:rsidRDefault="00582A2B" w:rsidP="00557C13">
      <w:pPr>
        <w:numPr>
          <w:ilvl w:val="0"/>
          <w:numId w:val="37"/>
        </w:numPr>
        <w:tabs>
          <w:tab w:val="left" w:pos="1710"/>
        </w:tabs>
        <w:spacing w:before="120" w:after="0"/>
        <w:jc w:val="both"/>
        <w:rPr>
          <w:rFonts w:ascii="Cambria" w:hAnsi="Cambria"/>
          <w:noProof/>
          <w:lang w:val="sr-Latn-ME"/>
        </w:rPr>
      </w:pPr>
      <w:bookmarkStart w:id="150" w:name="_Hlk523069480"/>
      <w:bookmarkEnd w:id="149"/>
      <w:r w:rsidRPr="0004011E">
        <w:rPr>
          <w:rFonts w:ascii="Cambria" w:hAnsi="Cambria"/>
          <w:noProof/>
          <w:lang w:val="sr-Latn-ME"/>
        </w:rPr>
        <w:t>Uspostavljanje</w:t>
      </w:r>
      <w:r w:rsidR="002744C3" w:rsidRPr="0004011E">
        <w:rPr>
          <w:rFonts w:ascii="Cambria" w:hAnsi="Cambria"/>
          <w:noProof/>
          <w:lang w:val="sr-Latn-ME"/>
        </w:rPr>
        <w:t xml:space="preserve"> </w:t>
      </w:r>
      <w:r w:rsidRPr="0004011E">
        <w:rPr>
          <w:rFonts w:ascii="Cambria" w:hAnsi="Cambria"/>
          <w:noProof/>
          <w:lang w:val="sr-Latn-ME"/>
        </w:rPr>
        <w:t>Registra hemikalija</w:t>
      </w:r>
      <w:r w:rsidR="002744C3" w:rsidRPr="0004011E">
        <w:rPr>
          <w:rFonts w:ascii="Cambria" w:hAnsi="Cambria"/>
          <w:noProof/>
          <w:lang w:val="sr-Latn-ME"/>
        </w:rPr>
        <w:t xml:space="preserve"> u elektronskom obliku</w:t>
      </w:r>
    </w:p>
    <w:bookmarkEnd w:id="150"/>
    <w:p w14:paraId="66B7C559" w14:textId="77777777" w:rsidR="00852D20" w:rsidRPr="0004011E" w:rsidRDefault="00C67D79" w:rsidP="00557C13">
      <w:pPr>
        <w:numPr>
          <w:ilvl w:val="0"/>
          <w:numId w:val="37"/>
        </w:numPr>
        <w:tabs>
          <w:tab w:val="left" w:pos="1710"/>
        </w:tabs>
        <w:spacing w:before="120" w:after="0"/>
        <w:jc w:val="both"/>
        <w:rPr>
          <w:rFonts w:ascii="Cambria" w:hAnsi="Cambria"/>
          <w:noProof/>
          <w:lang w:val="sr-Latn-ME"/>
        </w:rPr>
      </w:pPr>
      <w:r w:rsidRPr="0004011E">
        <w:rPr>
          <w:rFonts w:ascii="Cambria" w:hAnsi="Cambria"/>
          <w:noProof/>
          <w:lang w:val="sr-Latn-ME"/>
        </w:rPr>
        <w:t>Uspostavljanje Registra biocidnih proizvoda</w:t>
      </w:r>
    </w:p>
    <w:p w14:paraId="2A200538" w14:textId="340A50D5" w:rsidR="00852D20" w:rsidRPr="0004011E" w:rsidRDefault="00CF7D26" w:rsidP="00557C13">
      <w:pPr>
        <w:numPr>
          <w:ilvl w:val="0"/>
          <w:numId w:val="37"/>
        </w:numPr>
        <w:tabs>
          <w:tab w:val="left" w:pos="1710"/>
        </w:tabs>
        <w:spacing w:before="120" w:after="0"/>
        <w:jc w:val="both"/>
        <w:rPr>
          <w:rFonts w:ascii="Cambria" w:hAnsi="Cambria"/>
          <w:noProof/>
          <w:lang w:val="sr-Latn-ME"/>
        </w:rPr>
      </w:pPr>
      <w:r w:rsidRPr="0004011E">
        <w:rPr>
          <w:rFonts w:ascii="Cambria" w:hAnsi="Cambria"/>
          <w:noProof/>
          <w:lang w:val="sr-Latn-ME"/>
        </w:rPr>
        <w:t xml:space="preserve">Sprovođenje </w:t>
      </w:r>
      <w:r w:rsidR="00337C4F" w:rsidRPr="0004011E">
        <w:rPr>
          <w:rFonts w:ascii="Cambria" w:hAnsi="Cambria"/>
          <w:noProof/>
          <w:lang w:val="sr-Latn-ME"/>
        </w:rPr>
        <w:t xml:space="preserve">propisanih </w:t>
      </w:r>
      <w:r w:rsidRPr="0004011E">
        <w:rPr>
          <w:rFonts w:ascii="Cambria" w:hAnsi="Cambria"/>
          <w:noProof/>
          <w:lang w:val="sr-Latn-ME"/>
        </w:rPr>
        <w:t xml:space="preserve">administrativnih </w:t>
      </w:r>
      <w:r w:rsidR="00D3556D" w:rsidRPr="0004011E">
        <w:rPr>
          <w:rFonts w:ascii="Cambria" w:hAnsi="Cambria"/>
          <w:noProof/>
          <w:lang w:val="sr-Latn-ME"/>
        </w:rPr>
        <w:t>postupaka</w:t>
      </w:r>
      <w:r w:rsidR="003C228E" w:rsidRPr="0004011E">
        <w:rPr>
          <w:rFonts w:ascii="Cambria" w:hAnsi="Cambria"/>
          <w:noProof/>
          <w:lang w:val="sr-Latn-ME"/>
        </w:rPr>
        <w:t xml:space="preserve"> u vezi sa hemikalijam i biocidnim proi</w:t>
      </w:r>
      <w:r w:rsidR="00A515D5">
        <w:rPr>
          <w:rFonts w:ascii="Cambria" w:hAnsi="Cambria"/>
          <w:noProof/>
          <w:lang w:val="sr-Latn-ME"/>
        </w:rPr>
        <w:t>z</w:t>
      </w:r>
      <w:r w:rsidR="003C228E" w:rsidRPr="0004011E">
        <w:rPr>
          <w:rFonts w:ascii="Cambria" w:hAnsi="Cambria"/>
          <w:noProof/>
          <w:lang w:val="sr-Latn-ME"/>
        </w:rPr>
        <w:t>vodima</w:t>
      </w:r>
    </w:p>
    <w:p w14:paraId="08B7E810" w14:textId="77777777" w:rsidR="00852D20" w:rsidRPr="0004011E" w:rsidRDefault="00E912EF" w:rsidP="00557C13">
      <w:pPr>
        <w:numPr>
          <w:ilvl w:val="0"/>
          <w:numId w:val="37"/>
        </w:numPr>
        <w:tabs>
          <w:tab w:val="left" w:pos="1710"/>
        </w:tabs>
        <w:spacing w:before="120" w:after="0"/>
        <w:jc w:val="both"/>
        <w:rPr>
          <w:rFonts w:ascii="Cambria" w:hAnsi="Cambria"/>
          <w:noProof/>
          <w:lang w:val="sr-Latn-ME"/>
        </w:rPr>
      </w:pPr>
      <w:r w:rsidRPr="0004011E">
        <w:rPr>
          <w:rFonts w:ascii="Cambria" w:hAnsi="Cambria"/>
          <w:noProof/>
          <w:lang w:val="sr-Latn-ME"/>
        </w:rPr>
        <w:t>Formiranje</w:t>
      </w:r>
      <w:r w:rsidR="007C51BC" w:rsidRPr="0004011E">
        <w:rPr>
          <w:rFonts w:ascii="Cambria" w:hAnsi="Cambria"/>
          <w:noProof/>
          <w:lang w:val="sr-Latn-ME"/>
        </w:rPr>
        <w:t xml:space="preserve"> komisije </w:t>
      </w:r>
      <w:r w:rsidRPr="0004011E">
        <w:rPr>
          <w:rFonts w:ascii="Cambria" w:hAnsi="Cambria"/>
          <w:noProof/>
          <w:lang w:val="sr-Latn-ME"/>
        </w:rPr>
        <w:t xml:space="preserve"> za procjenu biocida na osnovu tehničkog dosijea</w:t>
      </w:r>
    </w:p>
    <w:p w14:paraId="65055965" w14:textId="630A3CE9" w:rsidR="00852D20" w:rsidRPr="0004011E" w:rsidRDefault="002B4DD2" w:rsidP="00557C13">
      <w:pPr>
        <w:numPr>
          <w:ilvl w:val="0"/>
          <w:numId w:val="37"/>
        </w:numPr>
        <w:tabs>
          <w:tab w:val="left" w:pos="1710"/>
        </w:tabs>
        <w:spacing w:before="120" w:after="0"/>
        <w:jc w:val="both"/>
        <w:rPr>
          <w:rFonts w:ascii="Cambria" w:hAnsi="Cambria"/>
          <w:noProof/>
          <w:color w:val="000000"/>
          <w:lang w:val="sr-Latn-ME"/>
        </w:rPr>
      </w:pPr>
      <w:bookmarkStart w:id="151" w:name="_Hlk523070377"/>
      <w:r w:rsidRPr="0004011E">
        <w:rPr>
          <w:rFonts w:ascii="Cambria" w:hAnsi="Cambria"/>
          <w:noProof/>
          <w:lang w:val="sr-Latn-ME"/>
        </w:rPr>
        <w:t>Sprovođenje</w:t>
      </w:r>
      <w:r w:rsidR="00582A2B" w:rsidRPr="0004011E">
        <w:rPr>
          <w:rFonts w:ascii="Cambria" w:hAnsi="Cambria"/>
          <w:noProof/>
          <w:lang w:val="sr-Latn-ME"/>
        </w:rPr>
        <w:t xml:space="preserve"> inspekcij</w:t>
      </w:r>
      <w:r w:rsidR="00B51FDF" w:rsidRPr="0004011E">
        <w:rPr>
          <w:rFonts w:ascii="Cambria" w:hAnsi="Cambria"/>
          <w:noProof/>
          <w:lang w:val="sr-Latn-ME"/>
        </w:rPr>
        <w:t>sk</w:t>
      </w:r>
      <w:r w:rsidRPr="0004011E">
        <w:rPr>
          <w:rFonts w:ascii="Cambria" w:hAnsi="Cambria"/>
          <w:noProof/>
          <w:lang w:val="sr-Latn-ME"/>
        </w:rPr>
        <w:t xml:space="preserve">og </w:t>
      </w:r>
      <w:r w:rsidR="00B51FDF" w:rsidRPr="0004011E">
        <w:rPr>
          <w:rFonts w:ascii="Cambria" w:hAnsi="Cambria"/>
          <w:noProof/>
          <w:lang w:val="sr-Latn-ME"/>
        </w:rPr>
        <w:t xml:space="preserve"> </w:t>
      </w:r>
      <w:r w:rsidRPr="0004011E">
        <w:rPr>
          <w:rFonts w:ascii="Cambria" w:hAnsi="Cambria"/>
          <w:noProof/>
          <w:lang w:val="sr-Latn-ME"/>
        </w:rPr>
        <w:t>nadzora</w:t>
      </w:r>
      <w:r w:rsidR="00B51FDF" w:rsidRPr="0004011E">
        <w:rPr>
          <w:rFonts w:ascii="Cambria" w:hAnsi="Cambria"/>
          <w:noProof/>
          <w:lang w:val="sr-Latn-ME"/>
        </w:rPr>
        <w:t xml:space="preserve"> nad primjenom </w:t>
      </w:r>
      <w:r w:rsidR="00582A2B" w:rsidRPr="0004011E">
        <w:rPr>
          <w:rFonts w:ascii="Cambria" w:hAnsi="Cambria"/>
          <w:noProof/>
          <w:lang w:val="sr-Latn-ME"/>
        </w:rPr>
        <w:t xml:space="preserve">propisa </w:t>
      </w:r>
      <w:bookmarkEnd w:id="151"/>
      <w:r w:rsidR="003C228E" w:rsidRPr="0004011E">
        <w:rPr>
          <w:rFonts w:ascii="Cambria" w:hAnsi="Cambria"/>
          <w:noProof/>
          <w:lang w:val="sr-Latn-ME"/>
        </w:rPr>
        <w:t>o hemikalijama i biocidnim proizvodima</w:t>
      </w:r>
    </w:p>
    <w:p w14:paraId="5F36EFB7" w14:textId="77777777" w:rsidR="00203E06" w:rsidRPr="0004011E" w:rsidRDefault="00AC746D" w:rsidP="00557C13">
      <w:pPr>
        <w:numPr>
          <w:ilvl w:val="0"/>
          <w:numId w:val="37"/>
        </w:numPr>
        <w:tabs>
          <w:tab w:val="left" w:pos="1710"/>
        </w:tabs>
        <w:spacing w:before="120" w:after="0"/>
        <w:jc w:val="both"/>
        <w:rPr>
          <w:rFonts w:ascii="Cambria" w:hAnsi="Cambria"/>
          <w:noProof/>
          <w:color w:val="000000"/>
          <w:lang w:val="sr-Latn-ME"/>
        </w:rPr>
      </w:pPr>
      <w:r w:rsidRPr="0004011E">
        <w:rPr>
          <w:rFonts w:ascii="Cambria" w:hAnsi="Cambria"/>
          <w:noProof/>
          <w:color w:val="000000"/>
          <w:lang w:val="sr-Latn-ME"/>
        </w:rPr>
        <w:t>S</w:t>
      </w:r>
      <w:r w:rsidR="000F5798" w:rsidRPr="0004011E">
        <w:rPr>
          <w:rFonts w:ascii="Cambria" w:hAnsi="Cambria"/>
          <w:noProof/>
          <w:color w:val="000000"/>
          <w:lang w:val="sr-Latn-ME"/>
        </w:rPr>
        <w:t>provođenj</w:t>
      </w:r>
      <w:r w:rsidR="00406843" w:rsidRPr="0004011E">
        <w:rPr>
          <w:rFonts w:ascii="Cambria" w:hAnsi="Cambria"/>
          <w:noProof/>
          <w:color w:val="000000"/>
          <w:lang w:val="sr-Latn-ME"/>
        </w:rPr>
        <w:t xml:space="preserve">e </w:t>
      </w:r>
      <w:r w:rsidR="000F5798" w:rsidRPr="0004011E">
        <w:rPr>
          <w:rFonts w:ascii="Cambria" w:hAnsi="Cambria"/>
          <w:noProof/>
          <w:color w:val="000000"/>
          <w:lang w:val="sr-Latn-ME"/>
        </w:rPr>
        <w:t xml:space="preserve">propisa o sredstvima za zaštitu bilja i </w:t>
      </w:r>
      <w:r w:rsidR="00203E06" w:rsidRPr="0004011E">
        <w:rPr>
          <w:rFonts w:ascii="Cambria" w:hAnsi="Cambria"/>
          <w:noProof/>
          <w:color w:val="000000"/>
          <w:lang w:val="sr-Latn-ME"/>
        </w:rPr>
        <w:t xml:space="preserve"> </w:t>
      </w:r>
      <w:r w:rsidR="00747C56" w:rsidRPr="0004011E">
        <w:rPr>
          <w:rFonts w:ascii="Cambria" w:hAnsi="Cambria"/>
          <w:noProof/>
          <w:color w:val="000000"/>
          <w:lang w:val="sr-Latn-ME"/>
        </w:rPr>
        <w:t>dalje unapređenje</w:t>
      </w:r>
      <w:r w:rsidR="00203E06" w:rsidRPr="0004011E">
        <w:rPr>
          <w:rFonts w:ascii="Cambria" w:hAnsi="Cambria"/>
          <w:noProof/>
          <w:color w:val="000000"/>
          <w:lang w:val="sr-Latn-ME"/>
        </w:rPr>
        <w:t xml:space="preserve"> održive upotrebe sredstava za zaštitu bilja </w:t>
      </w:r>
    </w:p>
    <w:p w14:paraId="19257D40" w14:textId="77777777" w:rsidR="00025D7B" w:rsidRPr="0004011E" w:rsidRDefault="00AC746D" w:rsidP="00557C13">
      <w:pPr>
        <w:numPr>
          <w:ilvl w:val="0"/>
          <w:numId w:val="37"/>
        </w:numPr>
        <w:tabs>
          <w:tab w:val="left" w:pos="1710"/>
          <w:tab w:val="left" w:pos="1800"/>
        </w:tabs>
        <w:spacing w:before="120" w:after="0"/>
        <w:jc w:val="both"/>
        <w:rPr>
          <w:rFonts w:ascii="Cambria" w:hAnsi="Cambria" w:cs="Arial"/>
          <w:noProof/>
          <w:lang w:val="sr-Latn-ME"/>
        </w:rPr>
      </w:pPr>
      <w:r w:rsidRPr="0004011E">
        <w:rPr>
          <w:rFonts w:ascii="Cambria" w:hAnsi="Cambria"/>
          <w:noProof/>
          <w:lang w:val="sr-Latn-ME"/>
        </w:rPr>
        <w:t>R</w:t>
      </w:r>
      <w:r w:rsidR="00025D7B" w:rsidRPr="0004011E">
        <w:rPr>
          <w:rFonts w:ascii="Cambria" w:hAnsi="Cambria"/>
          <w:noProof/>
          <w:lang w:val="sr-Latn-ME"/>
        </w:rPr>
        <w:t xml:space="preserve">edovno </w:t>
      </w:r>
      <w:r w:rsidR="000F5798" w:rsidRPr="0004011E">
        <w:rPr>
          <w:rFonts w:ascii="Cambria" w:hAnsi="Cambria"/>
          <w:noProof/>
          <w:lang w:val="sr-Latn-ME"/>
        </w:rPr>
        <w:t>izješta</w:t>
      </w:r>
      <w:r w:rsidRPr="0004011E">
        <w:rPr>
          <w:rFonts w:ascii="Cambria" w:hAnsi="Cambria"/>
          <w:noProof/>
          <w:lang w:val="sr-Latn-ME"/>
        </w:rPr>
        <w:t>vanje</w:t>
      </w:r>
      <w:r w:rsidR="000F5798" w:rsidRPr="0004011E">
        <w:rPr>
          <w:rFonts w:ascii="Cambria" w:hAnsi="Cambria"/>
          <w:noProof/>
          <w:lang w:val="sr-Latn-ME"/>
        </w:rPr>
        <w:t xml:space="preserve"> </w:t>
      </w:r>
      <w:r w:rsidR="00025D7B" w:rsidRPr="0004011E">
        <w:rPr>
          <w:rFonts w:ascii="Cambria" w:hAnsi="Cambria"/>
          <w:noProof/>
          <w:lang w:val="sr-Latn-ME"/>
        </w:rPr>
        <w:t>o</w:t>
      </w:r>
      <w:r w:rsidR="000F5798" w:rsidRPr="0004011E">
        <w:rPr>
          <w:rFonts w:ascii="Cambria" w:hAnsi="Cambria"/>
          <w:noProof/>
          <w:lang w:val="sr-Latn-ME"/>
        </w:rPr>
        <w:t xml:space="preserve"> upravljanj</w:t>
      </w:r>
      <w:r w:rsidR="009422BC" w:rsidRPr="0004011E">
        <w:rPr>
          <w:rFonts w:ascii="Cambria" w:hAnsi="Cambria"/>
          <w:noProof/>
          <w:lang w:val="sr-Latn-ME"/>
        </w:rPr>
        <w:t>u</w:t>
      </w:r>
      <w:r w:rsidR="000F5798" w:rsidRPr="0004011E">
        <w:rPr>
          <w:rFonts w:ascii="Cambria" w:hAnsi="Cambria"/>
          <w:noProof/>
          <w:lang w:val="sr-Latn-ME"/>
        </w:rPr>
        <w:t xml:space="preserve"> hemikalijama </w:t>
      </w:r>
    </w:p>
    <w:p w14:paraId="64FEE3D1" w14:textId="77777777" w:rsidR="0004011E" w:rsidRDefault="0004011E" w:rsidP="00613EFF">
      <w:pPr>
        <w:spacing w:before="120" w:after="120"/>
        <w:jc w:val="both"/>
        <w:rPr>
          <w:rFonts w:ascii="Cambria" w:hAnsi="Cambria" w:cs="Arial"/>
          <w:b/>
          <w:noProof/>
          <w:lang w:val="sr-Latn-ME"/>
        </w:rPr>
      </w:pPr>
    </w:p>
    <w:p w14:paraId="53ED1EC4" w14:textId="6CE9EB90" w:rsidR="00582A2B" w:rsidRPr="00A275C9" w:rsidRDefault="00940417" w:rsidP="00557C13">
      <w:pPr>
        <w:pStyle w:val="ListParagraph"/>
        <w:numPr>
          <w:ilvl w:val="0"/>
          <w:numId w:val="35"/>
        </w:numPr>
        <w:spacing w:before="120" w:after="120"/>
        <w:jc w:val="both"/>
        <w:rPr>
          <w:rFonts w:ascii="Cambria" w:hAnsi="Cambria" w:cs="Arial"/>
          <w:noProof/>
          <w:u w:val="single"/>
          <w:lang w:val="sr-Latn-ME"/>
        </w:rPr>
      </w:pPr>
      <w:r w:rsidRPr="00A275C9">
        <w:rPr>
          <w:rFonts w:ascii="Cambria" w:hAnsi="Cambria" w:cs="Arial"/>
          <w:noProof/>
          <w:u w:val="single"/>
          <w:lang w:val="sr-Latn-ME"/>
        </w:rPr>
        <w:t xml:space="preserve">CILJ </w:t>
      </w:r>
      <w:r w:rsidR="00A3070D" w:rsidRPr="00A275C9">
        <w:rPr>
          <w:rFonts w:ascii="Cambria" w:hAnsi="Cambria" w:cs="Arial"/>
          <w:noProof/>
          <w:u w:val="single"/>
          <w:lang w:val="sr-Latn-ME"/>
        </w:rPr>
        <w:t>3</w:t>
      </w:r>
      <w:r w:rsidRPr="00A275C9">
        <w:rPr>
          <w:rFonts w:ascii="Cambria" w:hAnsi="Cambria" w:cs="Arial"/>
          <w:noProof/>
          <w:u w:val="single"/>
          <w:lang w:val="sr-Latn-ME"/>
        </w:rPr>
        <w:t xml:space="preserve">. Jačanje administrativnih kapaciteta </w:t>
      </w:r>
      <w:r w:rsidR="00C358AD" w:rsidRPr="00A275C9">
        <w:rPr>
          <w:rFonts w:ascii="Cambria" w:hAnsi="Cambria" w:cs="Arial"/>
          <w:noProof/>
          <w:u w:val="single"/>
          <w:lang w:val="sr-Latn-ME"/>
        </w:rPr>
        <w:t>za</w:t>
      </w:r>
      <w:r w:rsidRPr="00A275C9">
        <w:rPr>
          <w:rFonts w:ascii="Cambria" w:hAnsi="Cambria" w:cs="Arial"/>
          <w:noProof/>
          <w:u w:val="single"/>
          <w:lang w:val="sr-Latn-ME"/>
        </w:rPr>
        <w:t xml:space="preserve"> efikasno vršenje nadležnosti u oblasti hemikalija</w:t>
      </w:r>
      <w:r w:rsidR="00D3556D" w:rsidRPr="00A275C9">
        <w:rPr>
          <w:rFonts w:ascii="Cambria" w:hAnsi="Cambria" w:cs="Arial"/>
          <w:noProof/>
          <w:u w:val="single"/>
          <w:lang w:val="sr-Latn-ME"/>
        </w:rPr>
        <w:t xml:space="preserve"> i biocidnih proizvoda </w:t>
      </w:r>
    </w:p>
    <w:p w14:paraId="13DD3E4B" w14:textId="77777777" w:rsidR="00F773D7" w:rsidRPr="00A275C9" w:rsidRDefault="00582A2B" w:rsidP="00557C13">
      <w:pPr>
        <w:numPr>
          <w:ilvl w:val="0"/>
          <w:numId w:val="38"/>
        </w:numPr>
        <w:tabs>
          <w:tab w:val="left" w:pos="1710"/>
        </w:tabs>
        <w:spacing w:before="120" w:after="0"/>
        <w:jc w:val="both"/>
        <w:rPr>
          <w:rFonts w:ascii="Cambria" w:hAnsi="Cambria"/>
          <w:noProof/>
          <w:lang w:val="sr-Latn-ME"/>
        </w:rPr>
      </w:pPr>
      <w:r w:rsidRPr="00A275C9">
        <w:rPr>
          <w:rFonts w:ascii="Cambria" w:hAnsi="Cambria"/>
          <w:noProof/>
          <w:lang w:val="sr-Latn-ME"/>
        </w:rPr>
        <w:t>Jačanje administrativnih kapaciteta</w:t>
      </w:r>
      <w:r w:rsidR="00465899" w:rsidRPr="00A275C9">
        <w:rPr>
          <w:rFonts w:ascii="Cambria" w:hAnsi="Cambria"/>
          <w:noProof/>
          <w:lang w:val="sr-Latn-ME"/>
        </w:rPr>
        <w:t xml:space="preserve"> za sprovođenje pravne tekovine EU</w:t>
      </w:r>
      <w:r w:rsidRPr="00A275C9">
        <w:rPr>
          <w:rFonts w:ascii="Cambria" w:hAnsi="Cambria"/>
          <w:noProof/>
          <w:lang w:val="sr-Latn-ME"/>
        </w:rPr>
        <w:t xml:space="preserve"> </w:t>
      </w:r>
    </w:p>
    <w:p w14:paraId="31F0A924" w14:textId="77777777" w:rsidR="00915563" w:rsidRPr="00A275C9" w:rsidRDefault="00582A2B" w:rsidP="00557C13">
      <w:pPr>
        <w:numPr>
          <w:ilvl w:val="0"/>
          <w:numId w:val="38"/>
        </w:numPr>
        <w:tabs>
          <w:tab w:val="left" w:pos="1710"/>
        </w:tabs>
        <w:spacing w:before="120" w:after="0"/>
        <w:jc w:val="both"/>
        <w:rPr>
          <w:rFonts w:ascii="Cambria" w:hAnsi="Cambria"/>
          <w:noProof/>
          <w:lang w:val="sr-Latn-ME"/>
        </w:rPr>
      </w:pPr>
      <w:r w:rsidRPr="00A275C9">
        <w:rPr>
          <w:rFonts w:ascii="Cambria" w:hAnsi="Cambria"/>
          <w:noProof/>
          <w:lang w:val="sr-Latn-ME"/>
        </w:rPr>
        <w:t xml:space="preserve">Izgradnja kapaciteta za učešće u radu </w:t>
      </w:r>
      <w:r w:rsidR="00852D20" w:rsidRPr="00A275C9">
        <w:rPr>
          <w:rFonts w:ascii="Cambria" w:hAnsi="Cambria"/>
          <w:noProof/>
          <w:lang w:val="sr-Latn-ME"/>
        </w:rPr>
        <w:t>tijela ECHA</w:t>
      </w:r>
    </w:p>
    <w:p w14:paraId="1B2974CF" w14:textId="77777777" w:rsidR="00915563" w:rsidRPr="00A275C9" w:rsidRDefault="00996076" w:rsidP="00557C13">
      <w:pPr>
        <w:numPr>
          <w:ilvl w:val="0"/>
          <w:numId w:val="38"/>
        </w:numPr>
        <w:tabs>
          <w:tab w:val="left" w:pos="1710"/>
        </w:tabs>
        <w:spacing w:before="120" w:after="0"/>
        <w:jc w:val="both"/>
        <w:rPr>
          <w:rFonts w:ascii="Cambria" w:hAnsi="Cambria"/>
          <w:noProof/>
          <w:lang w:val="sr-Latn-ME"/>
        </w:rPr>
      </w:pPr>
      <w:bookmarkStart w:id="152" w:name="_Hlk523070476"/>
      <w:r w:rsidRPr="00A275C9">
        <w:rPr>
          <w:rFonts w:ascii="Cambria" w:hAnsi="Cambria"/>
          <w:noProof/>
          <w:lang w:val="sr-Latn-ME"/>
        </w:rPr>
        <w:t xml:space="preserve">Edukacija o </w:t>
      </w:r>
      <w:r w:rsidR="003C7962" w:rsidRPr="00A275C9">
        <w:rPr>
          <w:rFonts w:ascii="Cambria" w:hAnsi="Cambria"/>
          <w:noProof/>
          <w:lang w:val="sr-Latn-ME"/>
        </w:rPr>
        <w:t>procjeni  opasnosti  hemikalija (CLP) i komunikaciji opasnosti</w:t>
      </w:r>
      <w:r w:rsidR="00800102" w:rsidRPr="00A275C9">
        <w:rPr>
          <w:rFonts w:ascii="Cambria" w:hAnsi="Cambria"/>
          <w:noProof/>
          <w:lang w:val="sr-Latn-ME"/>
        </w:rPr>
        <w:t xml:space="preserve"> </w:t>
      </w:r>
      <w:r w:rsidR="003C7962" w:rsidRPr="00A275C9">
        <w:rPr>
          <w:rFonts w:ascii="Cambria" w:hAnsi="Cambria"/>
          <w:noProof/>
          <w:lang w:val="sr-Latn-ME"/>
        </w:rPr>
        <w:t xml:space="preserve"> putem etikete i SDS</w:t>
      </w:r>
    </w:p>
    <w:p w14:paraId="763FF433" w14:textId="77777777" w:rsidR="00915563" w:rsidRPr="00A275C9" w:rsidRDefault="007C6CE4" w:rsidP="00557C13">
      <w:pPr>
        <w:numPr>
          <w:ilvl w:val="0"/>
          <w:numId w:val="38"/>
        </w:numPr>
        <w:tabs>
          <w:tab w:val="left" w:pos="1710"/>
        </w:tabs>
        <w:spacing w:before="120" w:after="0"/>
        <w:jc w:val="both"/>
        <w:rPr>
          <w:rFonts w:ascii="Cambria" w:hAnsi="Cambria"/>
          <w:noProof/>
          <w:lang w:val="sr-Latn-ME"/>
        </w:rPr>
      </w:pPr>
      <w:r w:rsidRPr="00A275C9">
        <w:rPr>
          <w:rFonts w:ascii="Cambria" w:hAnsi="Cambria"/>
          <w:noProof/>
          <w:lang w:val="sr-Latn-ME"/>
        </w:rPr>
        <w:lastRenderedPageBreak/>
        <w:t>Edukacija o procjeni rizika</w:t>
      </w:r>
      <w:r w:rsidR="00B62A08" w:rsidRPr="00A275C9">
        <w:rPr>
          <w:rFonts w:ascii="Cambria" w:hAnsi="Cambria"/>
          <w:noProof/>
          <w:lang w:val="sr-Latn-ME"/>
        </w:rPr>
        <w:t xml:space="preserve"> od hemikalija i biocidnih proizvoda</w:t>
      </w:r>
    </w:p>
    <w:p w14:paraId="2AC30446" w14:textId="2E73AF7B" w:rsidR="009B35E5" w:rsidRDefault="009B35E5" w:rsidP="00557C13">
      <w:pPr>
        <w:numPr>
          <w:ilvl w:val="0"/>
          <w:numId w:val="38"/>
        </w:numPr>
        <w:tabs>
          <w:tab w:val="left" w:pos="1710"/>
        </w:tabs>
        <w:spacing w:before="120" w:after="0"/>
        <w:jc w:val="both"/>
        <w:rPr>
          <w:rFonts w:ascii="Cambria" w:hAnsi="Cambria"/>
          <w:noProof/>
          <w:lang w:val="sr-Latn-ME"/>
        </w:rPr>
      </w:pPr>
      <w:r w:rsidRPr="009B35E5">
        <w:rPr>
          <w:rFonts w:ascii="Cambria" w:hAnsi="Cambria"/>
          <w:noProof/>
          <w:lang w:val="pl-PL"/>
        </w:rPr>
        <w:t>Studijska posjeta o EU principima kontrole i nadzora u oblasti upravljanja hemikalijama i biocidima</w:t>
      </w:r>
      <w:r w:rsidRPr="009B35E5">
        <w:rPr>
          <w:rFonts w:ascii="Cambria" w:hAnsi="Cambria"/>
          <w:noProof/>
          <w:lang w:val="sr-Latn-ME"/>
        </w:rPr>
        <w:t xml:space="preserve"> </w:t>
      </w:r>
    </w:p>
    <w:p w14:paraId="62637BC2" w14:textId="5F61172D" w:rsidR="00915563" w:rsidRDefault="00991910" w:rsidP="00557C13">
      <w:pPr>
        <w:numPr>
          <w:ilvl w:val="0"/>
          <w:numId w:val="38"/>
        </w:numPr>
        <w:tabs>
          <w:tab w:val="left" w:pos="1710"/>
        </w:tabs>
        <w:spacing w:before="120" w:after="0"/>
        <w:jc w:val="both"/>
        <w:rPr>
          <w:rFonts w:ascii="Cambria" w:hAnsi="Cambria"/>
          <w:noProof/>
          <w:lang w:val="sr-Latn-ME"/>
        </w:rPr>
      </w:pPr>
      <w:r w:rsidRPr="00A275C9">
        <w:rPr>
          <w:rFonts w:ascii="Cambria" w:hAnsi="Cambria"/>
          <w:noProof/>
          <w:lang w:val="sr-Latn-ME"/>
        </w:rPr>
        <w:t>Edukacija o korišćenju odgovarajućih IT alata (IUCLID i R4BP)</w:t>
      </w:r>
    </w:p>
    <w:p w14:paraId="5E75576F" w14:textId="77777777" w:rsidR="00A275C9" w:rsidRPr="00A275C9" w:rsidRDefault="00A275C9" w:rsidP="00A275C9">
      <w:pPr>
        <w:tabs>
          <w:tab w:val="left" w:pos="1710"/>
        </w:tabs>
        <w:spacing w:before="120" w:after="0"/>
        <w:ind w:left="720"/>
        <w:jc w:val="both"/>
        <w:rPr>
          <w:rFonts w:ascii="Cambria" w:hAnsi="Cambria"/>
          <w:noProof/>
          <w:lang w:val="sr-Latn-ME"/>
        </w:rPr>
      </w:pPr>
    </w:p>
    <w:bookmarkEnd w:id="152"/>
    <w:p w14:paraId="2C6DCB39" w14:textId="77777777" w:rsidR="00582A2B" w:rsidRPr="00A275C9" w:rsidRDefault="00940417" w:rsidP="00557C13">
      <w:pPr>
        <w:pStyle w:val="ListParagraph"/>
        <w:numPr>
          <w:ilvl w:val="0"/>
          <w:numId w:val="35"/>
        </w:numPr>
        <w:spacing w:before="120" w:after="120"/>
        <w:jc w:val="both"/>
        <w:rPr>
          <w:rFonts w:ascii="Cambria" w:hAnsi="Cambria" w:cs="Arial"/>
          <w:noProof/>
          <w:u w:val="single"/>
          <w:lang w:val="sr-Latn-ME"/>
        </w:rPr>
      </w:pPr>
      <w:r w:rsidRPr="00A275C9">
        <w:rPr>
          <w:rFonts w:ascii="Cambria" w:hAnsi="Cambria" w:cs="Arial"/>
          <w:noProof/>
          <w:u w:val="single"/>
          <w:lang w:val="sr-Latn-ME"/>
        </w:rPr>
        <w:t xml:space="preserve">CILJ </w:t>
      </w:r>
      <w:r w:rsidR="00C358AD" w:rsidRPr="00A275C9">
        <w:rPr>
          <w:rFonts w:ascii="Cambria" w:hAnsi="Cambria" w:cs="Arial"/>
          <w:noProof/>
          <w:u w:val="single"/>
          <w:lang w:val="sr-Latn-ME"/>
        </w:rPr>
        <w:t>4</w:t>
      </w:r>
      <w:r w:rsidRPr="00A275C9">
        <w:rPr>
          <w:rFonts w:ascii="Cambria" w:hAnsi="Cambria" w:cs="Arial"/>
          <w:noProof/>
          <w:u w:val="single"/>
          <w:lang w:val="sr-Latn-ME"/>
        </w:rPr>
        <w:t xml:space="preserve">. Poboljšanje dostupnosti informacija o hemikalijama i podizanje javne svijesti </w:t>
      </w:r>
    </w:p>
    <w:p w14:paraId="003DB84D" w14:textId="77777777" w:rsidR="00915563" w:rsidRPr="0017074F" w:rsidRDefault="00BA2F55" w:rsidP="00557C13">
      <w:pPr>
        <w:numPr>
          <w:ilvl w:val="0"/>
          <w:numId w:val="42"/>
        </w:numPr>
        <w:tabs>
          <w:tab w:val="left" w:pos="1710"/>
        </w:tabs>
        <w:spacing w:before="120" w:after="0"/>
        <w:jc w:val="both"/>
        <w:rPr>
          <w:rFonts w:ascii="Cambria" w:hAnsi="Cambria"/>
          <w:noProof/>
          <w:lang w:val="sr-Latn-ME"/>
        </w:rPr>
      </w:pPr>
      <w:r w:rsidRPr="0017074F">
        <w:rPr>
          <w:rFonts w:ascii="Cambria" w:hAnsi="Cambria"/>
          <w:noProof/>
          <w:lang w:val="sr-Latn-ME"/>
        </w:rPr>
        <w:t>P</w:t>
      </w:r>
      <w:r w:rsidR="00AD69CF" w:rsidRPr="0017074F">
        <w:rPr>
          <w:rFonts w:ascii="Cambria" w:hAnsi="Cambria"/>
          <w:noProof/>
          <w:lang w:val="sr-Latn-ME"/>
        </w:rPr>
        <w:t xml:space="preserve">rikupljanje </w:t>
      </w:r>
      <w:r w:rsidRPr="0017074F">
        <w:rPr>
          <w:rFonts w:ascii="Cambria" w:hAnsi="Cambria"/>
          <w:noProof/>
          <w:lang w:val="sr-Latn-ME"/>
        </w:rPr>
        <w:t xml:space="preserve">i objavljivanje </w:t>
      </w:r>
      <w:r w:rsidR="00AD69CF" w:rsidRPr="0017074F">
        <w:rPr>
          <w:rFonts w:ascii="Cambria" w:hAnsi="Cambria"/>
          <w:noProof/>
          <w:lang w:val="sr-Latn-ME"/>
        </w:rPr>
        <w:t>podataka</w:t>
      </w:r>
      <w:r w:rsidR="00754BC2" w:rsidRPr="0017074F">
        <w:rPr>
          <w:rFonts w:ascii="Cambria" w:hAnsi="Cambria"/>
          <w:noProof/>
          <w:lang w:val="sr-Latn-ME"/>
        </w:rPr>
        <w:t xml:space="preserve"> o hemikalijama</w:t>
      </w:r>
    </w:p>
    <w:p w14:paraId="14397A9C" w14:textId="77777777" w:rsidR="00612CE0" w:rsidRPr="0017074F" w:rsidRDefault="00F518ED" w:rsidP="00557C13">
      <w:pPr>
        <w:numPr>
          <w:ilvl w:val="0"/>
          <w:numId w:val="42"/>
        </w:numPr>
        <w:tabs>
          <w:tab w:val="left" w:pos="1710"/>
        </w:tabs>
        <w:spacing w:before="120" w:after="0"/>
        <w:jc w:val="both"/>
        <w:rPr>
          <w:rFonts w:ascii="Cambria" w:hAnsi="Cambria"/>
          <w:noProof/>
          <w:lang w:val="sr-Latn-ME"/>
        </w:rPr>
      </w:pPr>
      <w:r w:rsidRPr="0017074F">
        <w:rPr>
          <w:rFonts w:ascii="Cambria" w:hAnsi="Cambria"/>
          <w:noProof/>
          <w:lang w:val="sr-Latn-ME"/>
        </w:rPr>
        <w:t xml:space="preserve">Podizanje svijesti </w:t>
      </w:r>
      <w:r w:rsidR="00612CE0" w:rsidRPr="0017074F">
        <w:rPr>
          <w:rFonts w:ascii="Cambria" w:hAnsi="Cambria"/>
          <w:noProof/>
          <w:lang w:val="sr-Latn-ME"/>
        </w:rPr>
        <w:t xml:space="preserve">o </w:t>
      </w:r>
      <w:bookmarkStart w:id="153" w:name="_Hlk523331128"/>
      <w:r w:rsidR="00612CE0" w:rsidRPr="0017074F">
        <w:rPr>
          <w:rFonts w:ascii="Cambria" w:hAnsi="Cambria"/>
          <w:noProof/>
          <w:lang w:val="sr-Latn-ME"/>
        </w:rPr>
        <w:t>hemikalijama i načinima za minimizaciju njihovih štetnih efekata po zdravlje ljudi i životnu sredinu</w:t>
      </w:r>
      <w:bookmarkEnd w:id="153"/>
    </w:p>
    <w:p w14:paraId="2AFEF2F5" w14:textId="5B2FCE09" w:rsidR="00915563" w:rsidRDefault="00D007D1" w:rsidP="00557C13">
      <w:pPr>
        <w:numPr>
          <w:ilvl w:val="0"/>
          <w:numId w:val="42"/>
        </w:numPr>
        <w:tabs>
          <w:tab w:val="left" w:pos="1710"/>
        </w:tabs>
        <w:spacing w:before="120" w:after="0"/>
        <w:jc w:val="both"/>
        <w:rPr>
          <w:rFonts w:ascii="Cambria" w:hAnsi="Cambria"/>
          <w:noProof/>
          <w:lang w:val="sr-Latn-ME"/>
        </w:rPr>
      </w:pPr>
      <w:r w:rsidRPr="0017074F">
        <w:rPr>
          <w:rFonts w:ascii="Cambria" w:hAnsi="Cambria"/>
          <w:noProof/>
          <w:lang w:val="sr-Latn-ME"/>
        </w:rPr>
        <w:t>I</w:t>
      </w:r>
      <w:r w:rsidR="00BF05C5" w:rsidRPr="0017074F">
        <w:rPr>
          <w:rFonts w:ascii="Cambria" w:hAnsi="Cambria"/>
          <w:noProof/>
          <w:lang w:val="sr-Latn-ME"/>
        </w:rPr>
        <w:t>nformisanj</w:t>
      </w:r>
      <w:r w:rsidRPr="0017074F">
        <w:rPr>
          <w:rFonts w:ascii="Cambria" w:hAnsi="Cambria"/>
          <w:noProof/>
          <w:lang w:val="sr-Latn-ME"/>
        </w:rPr>
        <w:t>e</w:t>
      </w:r>
      <w:r w:rsidR="00BF05C5" w:rsidRPr="0017074F">
        <w:rPr>
          <w:rFonts w:ascii="Cambria" w:hAnsi="Cambria"/>
          <w:noProof/>
          <w:lang w:val="sr-Latn-ME"/>
        </w:rPr>
        <w:t xml:space="preserve"> i e</w:t>
      </w:r>
      <w:r w:rsidR="00582A2B" w:rsidRPr="0017074F">
        <w:rPr>
          <w:rFonts w:ascii="Cambria" w:hAnsi="Cambria"/>
          <w:noProof/>
          <w:lang w:val="sr-Latn-ME"/>
        </w:rPr>
        <w:t>dukacij</w:t>
      </w:r>
      <w:r w:rsidRPr="0017074F">
        <w:rPr>
          <w:rFonts w:ascii="Cambria" w:hAnsi="Cambria"/>
          <w:noProof/>
          <w:lang w:val="sr-Latn-ME"/>
        </w:rPr>
        <w:t>a</w:t>
      </w:r>
      <w:r w:rsidR="00582A2B" w:rsidRPr="0017074F">
        <w:rPr>
          <w:rFonts w:ascii="Cambria" w:hAnsi="Cambria"/>
          <w:noProof/>
          <w:lang w:val="sr-Latn-ME"/>
        </w:rPr>
        <w:t xml:space="preserve"> </w:t>
      </w:r>
      <w:r w:rsidR="00FD0C1F" w:rsidRPr="0017074F">
        <w:rPr>
          <w:rFonts w:ascii="Cambria" w:hAnsi="Cambria"/>
          <w:noProof/>
          <w:lang w:val="sr-Latn-ME"/>
        </w:rPr>
        <w:t xml:space="preserve">stanovništva uz participaciju </w:t>
      </w:r>
      <w:r w:rsidR="00BF05C5" w:rsidRPr="0017074F">
        <w:rPr>
          <w:rFonts w:ascii="Cambria" w:hAnsi="Cambria"/>
          <w:noProof/>
          <w:lang w:val="sr-Latn-ME"/>
        </w:rPr>
        <w:t>NVO</w:t>
      </w:r>
      <w:r w:rsidRPr="0017074F">
        <w:rPr>
          <w:rFonts w:ascii="Cambria" w:hAnsi="Cambria"/>
          <w:noProof/>
          <w:lang w:val="sr-Latn-ME"/>
        </w:rPr>
        <w:t xml:space="preserve"> i udruženja potrošača</w:t>
      </w:r>
    </w:p>
    <w:p w14:paraId="540026B4" w14:textId="77777777" w:rsidR="00A275C9" w:rsidRPr="0017074F" w:rsidRDefault="00A275C9" w:rsidP="00A275C9">
      <w:pPr>
        <w:tabs>
          <w:tab w:val="left" w:pos="1710"/>
        </w:tabs>
        <w:spacing w:before="120" w:after="0"/>
        <w:ind w:left="720"/>
        <w:jc w:val="both"/>
        <w:rPr>
          <w:rFonts w:ascii="Cambria" w:hAnsi="Cambria"/>
          <w:noProof/>
          <w:lang w:val="sr-Latn-ME"/>
        </w:rPr>
      </w:pPr>
    </w:p>
    <w:p w14:paraId="48455C96" w14:textId="77777777" w:rsidR="00582A2B" w:rsidRPr="00A275C9" w:rsidRDefault="00C358AD" w:rsidP="00557C13">
      <w:pPr>
        <w:pStyle w:val="ListParagraph"/>
        <w:numPr>
          <w:ilvl w:val="0"/>
          <w:numId w:val="35"/>
        </w:numPr>
        <w:spacing w:before="120" w:after="120"/>
        <w:jc w:val="both"/>
        <w:rPr>
          <w:rFonts w:ascii="Cambria" w:hAnsi="Cambria" w:cs="Arial"/>
          <w:noProof/>
          <w:u w:val="single"/>
          <w:lang w:val="sr-Latn-ME"/>
        </w:rPr>
      </w:pPr>
      <w:r w:rsidRPr="00A275C9">
        <w:rPr>
          <w:rFonts w:ascii="Cambria" w:hAnsi="Cambria" w:cs="Arial"/>
          <w:noProof/>
          <w:u w:val="single"/>
          <w:lang w:val="sr-Latn-ME"/>
        </w:rPr>
        <w:t xml:space="preserve">CILJ 5. </w:t>
      </w:r>
      <w:bookmarkStart w:id="154" w:name="_Hlk523428596"/>
      <w:r w:rsidR="00435387" w:rsidRPr="00A275C9">
        <w:rPr>
          <w:rFonts w:ascii="Cambria" w:hAnsi="Cambria" w:cs="Arial"/>
          <w:noProof/>
          <w:u w:val="single"/>
          <w:lang w:val="sr-Latn-ME"/>
        </w:rPr>
        <w:t>U</w:t>
      </w:r>
      <w:r w:rsidR="00435387" w:rsidRPr="00A275C9">
        <w:rPr>
          <w:rFonts w:ascii="Cambria" w:hAnsi="Cambria" w:cs="Arial"/>
          <w:noProof/>
          <w:u w:val="single"/>
        </w:rPr>
        <w:t>naprijeđenje</w:t>
      </w:r>
      <w:r w:rsidR="00E0748E" w:rsidRPr="00A275C9">
        <w:rPr>
          <w:rFonts w:ascii="Cambria" w:hAnsi="Cambria" w:cs="Arial"/>
          <w:noProof/>
          <w:u w:val="single"/>
        </w:rPr>
        <w:t xml:space="preserve"> </w:t>
      </w:r>
      <w:bookmarkEnd w:id="154"/>
      <w:r w:rsidR="00F63F29" w:rsidRPr="00A275C9">
        <w:rPr>
          <w:rFonts w:ascii="Cambria" w:hAnsi="Cambria" w:cs="Arial"/>
          <w:noProof/>
          <w:u w:val="single"/>
        </w:rPr>
        <w:t xml:space="preserve">mjera </w:t>
      </w:r>
      <w:r w:rsidR="00E0748E" w:rsidRPr="00A275C9">
        <w:rPr>
          <w:rFonts w:ascii="Cambria" w:hAnsi="Cambria" w:cs="Arial"/>
          <w:noProof/>
          <w:u w:val="single"/>
          <w:lang w:val="sr-Latn-ME"/>
        </w:rPr>
        <w:t>zaštite i</w:t>
      </w:r>
      <w:r w:rsidR="00E0748E" w:rsidRPr="00A275C9">
        <w:rPr>
          <w:rFonts w:ascii="Cambria" w:hAnsi="Cambria" w:cs="Arial"/>
          <w:i/>
          <w:noProof/>
          <w:u w:val="single"/>
          <w:lang w:val="sr-Latn-ME"/>
        </w:rPr>
        <w:t xml:space="preserve"> </w:t>
      </w:r>
      <w:r w:rsidR="00C92787" w:rsidRPr="00A275C9">
        <w:rPr>
          <w:rFonts w:ascii="Cambria" w:hAnsi="Cambria" w:cs="Arial"/>
          <w:noProof/>
          <w:u w:val="single"/>
        </w:rPr>
        <w:t>pripremljenosti</w:t>
      </w:r>
      <w:r w:rsidRPr="00A275C9">
        <w:rPr>
          <w:rFonts w:ascii="Cambria" w:hAnsi="Cambria" w:cs="Arial"/>
          <w:noProof/>
          <w:u w:val="single"/>
          <w:lang w:val="sr-Latn-ME"/>
        </w:rPr>
        <w:t xml:space="preserve"> za slučaj</w:t>
      </w:r>
      <w:r w:rsidR="00E0748E" w:rsidRPr="00A275C9">
        <w:rPr>
          <w:rFonts w:ascii="Cambria" w:hAnsi="Cambria" w:cs="Arial"/>
          <w:noProof/>
          <w:u w:val="single"/>
          <w:lang w:val="sr-Latn-ME"/>
        </w:rPr>
        <w:t>eve</w:t>
      </w:r>
      <w:r w:rsidRPr="00A275C9">
        <w:rPr>
          <w:rFonts w:ascii="Cambria" w:hAnsi="Cambria" w:cs="Arial"/>
          <w:noProof/>
          <w:u w:val="single"/>
          <w:lang w:val="sr-Latn-ME"/>
        </w:rPr>
        <w:t xml:space="preserve"> trovanja i hemijskih udesa</w:t>
      </w:r>
    </w:p>
    <w:p w14:paraId="4C35B525" w14:textId="77777777" w:rsidR="00E0748E" w:rsidRPr="00373829" w:rsidRDefault="005B62D7" w:rsidP="00557C13">
      <w:pPr>
        <w:numPr>
          <w:ilvl w:val="0"/>
          <w:numId w:val="39"/>
        </w:numPr>
        <w:tabs>
          <w:tab w:val="left" w:pos="1710"/>
        </w:tabs>
        <w:spacing w:before="120" w:after="0"/>
        <w:jc w:val="both"/>
        <w:rPr>
          <w:rFonts w:ascii="Cambria" w:hAnsi="Cambria"/>
          <w:noProof/>
          <w:color w:val="000000"/>
          <w:lang w:val="sr-Latn-ME"/>
        </w:rPr>
      </w:pPr>
      <w:r w:rsidRPr="00373829">
        <w:rPr>
          <w:rFonts w:ascii="Cambria" w:hAnsi="Cambria"/>
          <w:noProof/>
          <w:lang w:val="sr-Latn-ME"/>
        </w:rPr>
        <w:t xml:space="preserve">Dalje jačanje </w:t>
      </w:r>
      <w:r w:rsidR="00F63F29" w:rsidRPr="00373829">
        <w:rPr>
          <w:rFonts w:ascii="Cambria" w:hAnsi="Cambria"/>
          <w:noProof/>
          <w:lang w:val="sr-Latn-ME"/>
        </w:rPr>
        <w:t>mjer</w:t>
      </w:r>
      <w:r w:rsidR="00AC746D" w:rsidRPr="00373829">
        <w:rPr>
          <w:rFonts w:ascii="Cambria" w:hAnsi="Cambria"/>
          <w:noProof/>
          <w:lang w:val="sr-Latn-ME"/>
        </w:rPr>
        <w:t>a</w:t>
      </w:r>
      <w:r w:rsidR="00E0748E" w:rsidRPr="00373829">
        <w:rPr>
          <w:rFonts w:ascii="Cambria" w:hAnsi="Cambria"/>
          <w:noProof/>
          <w:lang w:val="sr-Latn-ME"/>
        </w:rPr>
        <w:t xml:space="preserve"> zaštit</w:t>
      </w:r>
      <w:r w:rsidR="00F63F29" w:rsidRPr="00373829">
        <w:rPr>
          <w:rFonts w:ascii="Cambria" w:hAnsi="Cambria"/>
          <w:noProof/>
          <w:lang w:val="sr-Latn-ME"/>
        </w:rPr>
        <w:t xml:space="preserve">e </w:t>
      </w:r>
      <w:r w:rsidR="00E0748E" w:rsidRPr="00373829">
        <w:rPr>
          <w:rFonts w:ascii="Cambria" w:hAnsi="Cambria"/>
          <w:noProof/>
          <w:lang w:val="sr-Latn-ME"/>
        </w:rPr>
        <w:t>pri izlaganju hemijskim materijama na radnim mjestima</w:t>
      </w:r>
    </w:p>
    <w:p w14:paraId="363F6AEC" w14:textId="77777777" w:rsidR="00612CE0" w:rsidRPr="00373829" w:rsidRDefault="00582A2B" w:rsidP="00557C13">
      <w:pPr>
        <w:numPr>
          <w:ilvl w:val="0"/>
          <w:numId w:val="39"/>
        </w:numPr>
        <w:tabs>
          <w:tab w:val="left" w:pos="1710"/>
        </w:tabs>
        <w:spacing w:before="120" w:after="0"/>
        <w:jc w:val="both"/>
        <w:rPr>
          <w:rFonts w:ascii="Cambria" w:hAnsi="Cambria"/>
          <w:bCs/>
          <w:noProof/>
          <w:lang w:val="sr-Latn-ME"/>
        </w:rPr>
      </w:pPr>
      <w:r w:rsidRPr="00373829">
        <w:rPr>
          <w:rFonts w:ascii="Cambria" w:hAnsi="Cambria" w:cs="Times-Roman"/>
          <w:noProof/>
          <w:lang w:val="sr-Latn-ME"/>
        </w:rPr>
        <w:t>Uspostavljanje</w:t>
      </w:r>
      <w:r w:rsidRPr="00373829">
        <w:rPr>
          <w:rFonts w:ascii="Cambria" w:hAnsi="Cambria" w:cs="Arial"/>
          <w:noProof/>
          <w:lang w:val="sr-Latn-ME"/>
        </w:rPr>
        <w:t xml:space="preserve"> Centra za kontrolu trovanja</w:t>
      </w:r>
    </w:p>
    <w:p w14:paraId="1EEC1B78" w14:textId="6A1F093D" w:rsidR="00C92787" w:rsidRDefault="005B62D7" w:rsidP="00557C13">
      <w:pPr>
        <w:numPr>
          <w:ilvl w:val="0"/>
          <w:numId w:val="39"/>
        </w:numPr>
        <w:tabs>
          <w:tab w:val="left" w:pos="1710"/>
        </w:tabs>
        <w:spacing w:before="120" w:after="0"/>
        <w:jc w:val="both"/>
        <w:rPr>
          <w:rFonts w:ascii="Cambria" w:hAnsi="Cambria"/>
          <w:bCs/>
          <w:noProof/>
          <w:lang w:val="sr-Latn-ME"/>
        </w:rPr>
      </w:pPr>
      <w:bookmarkStart w:id="155" w:name="_Hlk523654616"/>
      <w:r w:rsidRPr="00373829">
        <w:rPr>
          <w:rFonts w:ascii="Cambria" w:hAnsi="Cambria"/>
          <w:noProof/>
          <w:lang w:val="sr-Latn-ME"/>
        </w:rPr>
        <w:t xml:space="preserve">Dalje jačanje </w:t>
      </w:r>
      <w:r w:rsidR="00C92787" w:rsidRPr="00373829">
        <w:rPr>
          <w:rFonts w:ascii="Cambria" w:hAnsi="Cambria"/>
          <w:noProof/>
        </w:rPr>
        <w:t>pripremljenosti</w:t>
      </w:r>
      <w:r w:rsidR="00C92787" w:rsidRPr="00373829">
        <w:rPr>
          <w:rFonts w:ascii="Cambria" w:hAnsi="Cambria"/>
          <w:noProof/>
          <w:lang w:val="sr-Latn-ME"/>
        </w:rPr>
        <w:t xml:space="preserve"> za reagovanje </w:t>
      </w:r>
      <w:r w:rsidR="001642D7" w:rsidRPr="00373829">
        <w:rPr>
          <w:rFonts w:ascii="Cambria" w:hAnsi="Cambria"/>
          <w:noProof/>
          <w:lang w:val="sr-Latn-ME"/>
        </w:rPr>
        <w:t>u slučaju hemijsk</w:t>
      </w:r>
      <w:r w:rsidR="00C92787" w:rsidRPr="00373829">
        <w:rPr>
          <w:rFonts w:ascii="Cambria" w:hAnsi="Cambria"/>
          <w:noProof/>
          <w:lang w:val="sr-Latn-ME"/>
        </w:rPr>
        <w:t>og</w:t>
      </w:r>
      <w:r w:rsidR="001642D7" w:rsidRPr="00373829">
        <w:rPr>
          <w:rFonts w:ascii="Cambria" w:hAnsi="Cambria"/>
          <w:noProof/>
          <w:lang w:val="sr-Latn-ME"/>
        </w:rPr>
        <w:t xml:space="preserve"> </w:t>
      </w:r>
      <w:r w:rsidR="00C92787" w:rsidRPr="00373829">
        <w:rPr>
          <w:rFonts w:ascii="Cambria" w:hAnsi="Cambria"/>
          <w:bCs/>
          <w:noProof/>
          <w:lang w:val="sr-Latn-ME"/>
        </w:rPr>
        <w:t>udesa</w:t>
      </w:r>
    </w:p>
    <w:p w14:paraId="43B25150" w14:textId="77777777" w:rsidR="00A275C9" w:rsidRPr="00373829" w:rsidRDefault="00A275C9" w:rsidP="00A275C9">
      <w:pPr>
        <w:tabs>
          <w:tab w:val="left" w:pos="1710"/>
        </w:tabs>
        <w:spacing w:before="120" w:after="0"/>
        <w:ind w:left="720"/>
        <w:jc w:val="both"/>
        <w:rPr>
          <w:rFonts w:ascii="Cambria" w:hAnsi="Cambria"/>
          <w:bCs/>
          <w:noProof/>
          <w:lang w:val="sr-Latn-ME"/>
        </w:rPr>
      </w:pPr>
    </w:p>
    <w:bookmarkEnd w:id="155"/>
    <w:p w14:paraId="7CF3AA30" w14:textId="39ECA2C8" w:rsidR="00AD69CF" w:rsidRPr="00A275C9" w:rsidRDefault="00940417" w:rsidP="00557C13">
      <w:pPr>
        <w:pStyle w:val="ListParagraph"/>
        <w:numPr>
          <w:ilvl w:val="0"/>
          <w:numId w:val="35"/>
        </w:numPr>
        <w:spacing w:before="120" w:after="0"/>
        <w:jc w:val="both"/>
        <w:rPr>
          <w:rFonts w:ascii="Cambria" w:hAnsi="Cambria" w:cs="Arial"/>
          <w:noProof/>
          <w:u w:val="single"/>
          <w:lang w:val="sr-Latn-ME"/>
        </w:rPr>
      </w:pPr>
      <w:r w:rsidRPr="00A275C9">
        <w:rPr>
          <w:rFonts w:ascii="Cambria" w:hAnsi="Cambria" w:cs="Arial"/>
          <w:noProof/>
          <w:u w:val="single"/>
          <w:lang w:val="sr-Latn-ME"/>
        </w:rPr>
        <w:t>CILJ</w:t>
      </w:r>
      <w:r w:rsidR="00E45B04" w:rsidRPr="00A275C9">
        <w:rPr>
          <w:rFonts w:ascii="Cambria" w:hAnsi="Cambria" w:cs="Arial"/>
          <w:noProof/>
          <w:u w:val="single"/>
          <w:lang w:val="sr-Latn-ME"/>
        </w:rPr>
        <w:t xml:space="preserve"> </w:t>
      </w:r>
      <w:r w:rsidR="00C358AD" w:rsidRPr="00A275C9">
        <w:rPr>
          <w:rFonts w:ascii="Cambria" w:hAnsi="Cambria" w:cs="Arial"/>
          <w:noProof/>
          <w:u w:val="single"/>
          <w:lang w:val="sr-Latn-ME"/>
        </w:rPr>
        <w:t>6</w:t>
      </w:r>
      <w:r w:rsidRPr="00A275C9">
        <w:rPr>
          <w:rFonts w:ascii="Cambria" w:hAnsi="Cambria" w:cs="Arial"/>
          <w:noProof/>
          <w:u w:val="single"/>
          <w:lang w:val="sr-Latn-ME"/>
        </w:rPr>
        <w:t xml:space="preserve">. </w:t>
      </w:r>
      <w:bookmarkStart w:id="156" w:name="_Hlk523135725"/>
      <w:r w:rsidR="00435387" w:rsidRPr="00A275C9">
        <w:rPr>
          <w:rFonts w:ascii="Cambria" w:hAnsi="Cambria" w:cs="Arial"/>
          <w:noProof/>
          <w:u w:val="single"/>
          <w:lang w:val="sr-Latn-ME"/>
        </w:rPr>
        <w:t>U</w:t>
      </w:r>
      <w:r w:rsidR="00872772" w:rsidRPr="00A275C9">
        <w:rPr>
          <w:rFonts w:ascii="Cambria" w:hAnsi="Cambria" w:cs="Arial"/>
          <w:noProof/>
          <w:u w:val="single"/>
        </w:rPr>
        <w:t>naprijeđ</w:t>
      </w:r>
      <w:r w:rsidR="00435387" w:rsidRPr="00A275C9">
        <w:rPr>
          <w:rFonts w:ascii="Cambria" w:hAnsi="Cambria" w:cs="Arial"/>
          <w:noProof/>
          <w:u w:val="single"/>
        </w:rPr>
        <w:t>e</w:t>
      </w:r>
      <w:r w:rsidR="00872772" w:rsidRPr="00A275C9">
        <w:rPr>
          <w:rFonts w:ascii="Cambria" w:hAnsi="Cambria" w:cs="Arial"/>
          <w:noProof/>
          <w:u w:val="single"/>
        </w:rPr>
        <w:t xml:space="preserve">nje </w:t>
      </w:r>
      <w:bookmarkEnd w:id="156"/>
      <w:r w:rsidR="00872772" w:rsidRPr="00A275C9">
        <w:rPr>
          <w:rFonts w:ascii="Cambria" w:hAnsi="Cambria" w:cs="Arial"/>
          <w:noProof/>
          <w:u w:val="single"/>
        </w:rPr>
        <w:t>tehnologije</w:t>
      </w:r>
      <w:r w:rsidR="00872772" w:rsidRPr="00A275C9">
        <w:rPr>
          <w:rFonts w:ascii="Cambria" w:hAnsi="Cambria" w:cs="Arial"/>
          <w:noProof/>
          <w:u w:val="single"/>
          <w:lang w:val="sr-Latn-ME"/>
        </w:rPr>
        <w:t xml:space="preserve"> </w:t>
      </w:r>
      <w:r w:rsidR="00435387" w:rsidRPr="00A275C9">
        <w:rPr>
          <w:rFonts w:ascii="Cambria" w:hAnsi="Cambria" w:cs="Arial"/>
          <w:noProof/>
          <w:u w:val="single"/>
          <w:lang w:val="sr-Latn-ME"/>
        </w:rPr>
        <w:t>u industrijskim postrojenjima i</w:t>
      </w:r>
      <w:r w:rsidRPr="00A275C9">
        <w:rPr>
          <w:rFonts w:ascii="Cambria" w:hAnsi="Cambria" w:cs="Arial"/>
          <w:noProof/>
          <w:u w:val="single"/>
          <w:lang w:val="sr-Latn-ME"/>
        </w:rPr>
        <w:t xml:space="preserve"> r</w:t>
      </w:r>
      <w:r w:rsidR="00002F49" w:rsidRPr="00A275C9">
        <w:rPr>
          <w:rFonts w:ascii="Cambria" w:hAnsi="Cambria" w:cs="Arial"/>
          <w:noProof/>
          <w:u w:val="single"/>
          <w:lang w:val="sr-Latn-ME"/>
        </w:rPr>
        <w:t>j</w:t>
      </w:r>
      <w:r w:rsidRPr="00A275C9">
        <w:rPr>
          <w:rFonts w:ascii="Cambria" w:hAnsi="Cambria" w:cs="Arial"/>
          <w:noProof/>
          <w:u w:val="single"/>
          <w:lang w:val="sr-Latn-ME"/>
        </w:rPr>
        <w:t xml:space="preserve">ešavanje pitanja industrijskog otpada i zastarijelih hemikalija </w:t>
      </w:r>
    </w:p>
    <w:p w14:paraId="47852176" w14:textId="77777777" w:rsidR="00374BC4" w:rsidRPr="00373829" w:rsidRDefault="00374BC4" w:rsidP="00557C13">
      <w:pPr>
        <w:numPr>
          <w:ilvl w:val="0"/>
          <w:numId w:val="40"/>
        </w:numPr>
        <w:tabs>
          <w:tab w:val="left" w:pos="1710"/>
        </w:tabs>
        <w:spacing w:before="120" w:after="0"/>
        <w:jc w:val="both"/>
        <w:rPr>
          <w:rFonts w:ascii="Cambria" w:hAnsi="Cambria" w:cs="Arial"/>
          <w:noProof/>
          <w:lang w:val="sr-Latn-ME"/>
        </w:rPr>
      </w:pPr>
      <w:r w:rsidRPr="00373829">
        <w:rPr>
          <w:rFonts w:ascii="Cambria" w:hAnsi="Cambria"/>
          <w:noProof/>
          <w:lang w:val="sr-Latn-ME"/>
        </w:rPr>
        <w:t xml:space="preserve">Primjena </w:t>
      </w:r>
      <w:r w:rsidR="00AD69CF" w:rsidRPr="00373829">
        <w:rPr>
          <w:rFonts w:ascii="Cambria" w:hAnsi="Cambria"/>
          <w:noProof/>
          <w:lang w:val="sr-Latn-ME"/>
        </w:rPr>
        <w:t xml:space="preserve">mjera za smanjenje </w:t>
      </w:r>
      <w:r w:rsidR="00E81343" w:rsidRPr="00373829">
        <w:rPr>
          <w:rFonts w:ascii="Cambria" w:hAnsi="Cambria"/>
          <w:noProof/>
          <w:lang w:val="sr-Latn-ME"/>
        </w:rPr>
        <w:t>emisija</w:t>
      </w:r>
      <w:r w:rsidR="00AD69CF" w:rsidRPr="00373829">
        <w:rPr>
          <w:rFonts w:ascii="Cambria" w:hAnsi="Cambria"/>
          <w:noProof/>
          <w:lang w:val="sr-Latn-ME"/>
        </w:rPr>
        <w:t xml:space="preserve"> opasnih hemikalija na izvoru</w:t>
      </w:r>
      <w:r w:rsidR="00E81343" w:rsidRPr="00373829">
        <w:rPr>
          <w:rFonts w:ascii="Cambria" w:hAnsi="Cambria"/>
          <w:noProof/>
          <w:lang w:val="sr-Latn-ME"/>
        </w:rPr>
        <w:t xml:space="preserve"> uz uvođenje </w:t>
      </w:r>
      <w:r w:rsidR="001A1F6B" w:rsidRPr="00373829">
        <w:rPr>
          <w:rFonts w:ascii="Cambria" w:hAnsi="Cambria"/>
          <w:noProof/>
          <w:lang w:val="sr-Latn-ME"/>
        </w:rPr>
        <w:t>najboljih dostupnih tehnika (</w:t>
      </w:r>
      <w:r w:rsidR="00E81343" w:rsidRPr="00373829">
        <w:rPr>
          <w:rFonts w:ascii="Cambria" w:hAnsi="Cambria"/>
          <w:noProof/>
          <w:lang w:val="sr-Latn-ME"/>
        </w:rPr>
        <w:t>BAT</w:t>
      </w:r>
      <w:r w:rsidR="001A1F6B" w:rsidRPr="00373829">
        <w:rPr>
          <w:rFonts w:ascii="Cambria" w:hAnsi="Cambria"/>
          <w:noProof/>
          <w:lang w:val="sr-Latn-ME"/>
        </w:rPr>
        <w:t>)</w:t>
      </w:r>
      <w:r w:rsidR="00E81343" w:rsidRPr="00373829">
        <w:rPr>
          <w:rFonts w:ascii="Cambria" w:hAnsi="Cambria"/>
          <w:noProof/>
          <w:lang w:val="sr-Latn-ME"/>
        </w:rPr>
        <w:t xml:space="preserve"> </w:t>
      </w:r>
      <w:r w:rsidR="001A1F6B" w:rsidRPr="00373829">
        <w:rPr>
          <w:rFonts w:ascii="Cambria" w:hAnsi="Cambria" w:cs="Arial"/>
          <w:noProof/>
          <w:lang w:val="sr-Latn-ME"/>
        </w:rPr>
        <w:t xml:space="preserve"> </w:t>
      </w:r>
    </w:p>
    <w:p w14:paraId="0E2AD8BB" w14:textId="77777777" w:rsidR="00683F41" w:rsidRPr="00373829" w:rsidRDefault="001C62CE" w:rsidP="00557C13">
      <w:pPr>
        <w:numPr>
          <w:ilvl w:val="0"/>
          <w:numId w:val="40"/>
        </w:numPr>
        <w:tabs>
          <w:tab w:val="left" w:pos="1710"/>
        </w:tabs>
        <w:spacing w:before="120" w:after="0"/>
        <w:jc w:val="both"/>
        <w:rPr>
          <w:rFonts w:ascii="Cambria" w:hAnsi="Cambria"/>
          <w:noProof/>
          <w:lang w:val="sr-Latn-ME"/>
        </w:rPr>
      </w:pPr>
      <w:r w:rsidRPr="00373829">
        <w:rPr>
          <w:rFonts w:ascii="Cambria" w:hAnsi="Cambria" w:cs="Arial"/>
          <w:noProof/>
          <w:lang w:val="sr-Latn-ME"/>
        </w:rPr>
        <w:t>S</w:t>
      </w:r>
      <w:r w:rsidR="00AD69CF" w:rsidRPr="00373829">
        <w:rPr>
          <w:rFonts w:ascii="Cambria" w:hAnsi="Cambria" w:cs="Arial"/>
          <w:noProof/>
          <w:lang w:val="sr-Latn-ME"/>
        </w:rPr>
        <w:t>tvaranj</w:t>
      </w:r>
      <w:r w:rsidRPr="00373829">
        <w:rPr>
          <w:rFonts w:ascii="Cambria" w:hAnsi="Cambria" w:cs="Arial"/>
          <w:noProof/>
          <w:lang w:val="sr-Latn-ME"/>
        </w:rPr>
        <w:t>e</w:t>
      </w:r>
      <w:r w:rsidR="00AD69CF" w:rsidRPr="00373829">
        <w:rPr>
          <w:rFonts w:ascii="Cambria" w:hAnsi="Cambria" w:cs="Arial"/>
          <w:noProof/>
          <w:lang w:val="sr-Latn-ME"/>
        </w:rPr>
        <w:t xml:space="preserve"> uslova za </w:t>
      </w:r>
      <w:r w:rsidR="00683F41" w:rsidRPr="00373829">
        <w:rPr>
          <w:rFonts w:ascii="Cambria" w:hAnsi="Cambria" w:cs="Arial"/>
          <w:noProof/>
          <w:lang w:val="sr-Latn-ME"/>
        </w:rPr>
        <w:t xml:space="preserve">izbacivanje iz upotrebe </w:t>
      </w:r>
      <w:r w:rsidR="00AD69CF" w:rsidRPr="00373829">
        <w:rPr>
          <w:rFonts w:ascii="Cambria" w:hAnsi="Cambria" w:cs="Arial"/>
          <w:noProof/>
          <w:lang w:val="sr-Latn-ME"/>
        </w:rPr>
        <w:t>ili dekontaminaciju opreme koja sadrži PCB</w:t>
      </w:r>
      <w:r w:rsidR="00683F41" w:rsidRPr="00373829">
        <w:rPr>
          <w:rFonts w:ascii="Cambria" w:hAnsi="Cambria" w:cs="Arial"/>
          <w:noProof/>
          <w:lang w:val="sr-Latn-ME"/>
        </w:rPr>
        <w:t xml:space="preserve"> </w:t>
      </w:r>
      <w:r w:rsidR="00AD69CF" w:rsidRPr="00373829">
        <w:rPr>
          <w:rFonts w:ascii="Cambria" w:hAnsi="Cambria" w:cs="Arial"/>
          <w:noProof/>
          <w:lang w:val="sr-Latn-ME"/>
        </w:rPr>
        <w:t xml:space="preserve"> i </w:t>
      </w:r>
      <w:r w:rsidR="00683F41" w:rsidRPr="00373829">
        <w:rPr>
          <w:rFonts w:ascii="Cambria" w:hAnsi="Cambria" w:cs="Arial"/>
          <w:noProof/>
          <w:lang w:val="sr-Latn-ME"/>
        </w:rPr>
        <w:t xml:space="preserve">trajno </w:t>
      </w:r>
      <w:r w:rsidR="00AD69CF" w:rsidRPr="00373829">
        <w:rPr>
          <w:rFonts w:ascii="Cambria" w:hAnsi="Cambria" w:cs="Arial"/>
          <w:noProof/>
          <w:lang w:val="sr-Latn-ME"/>
        </w:rPr>
        <w:t>zbrinjavanje</w:t>
      </w:r>
      <w:r w:rsidR="00683F41" w:rsidRPr="00373829">
        <w:rPr>
          <w:rFonts w:ascii="Cambria" w:hAnsi="Cambria" w:cs="Arial"/>
          <w:noProof/>
          <w:lang w:val="sr-Latn-ME"/>
        </w:rPr>
        <w:t xml:space="preserve"> otpada koji sadrži PCB</w:t>
      </w:r>
    </w:p>
    <w:p w14:paraId="6D14BF57" w14:textId="77777777" w:rsidR="001755B5" w:rsidRPr="00373829" w:rsidRDefault="001C62CE" w:rsidP="00557C13">
      <w:pPr>
        <w:numPr>
          <w:ilvl w:val="0"/>
          <w:numId w:val="40"/>
        </w:numPr>
        <w:tabs>
          <w:tab w:val="left" w:pos="1710"/>
        </w:tabs>
        <w:spacing w:before="120" w:after="120"/>
        <w:jc w:val="both"/>
        <w:rPr>
          <w:rFonts w:ascii="Cambria" w:hAnsi="Cambria" w:cs="Arial"/>
          <w:noProof/>
          <w:lang w:val="sr-Latn-ME"/>
        </w:rPr>
      </w:pPr>
      <w:r w:rsidRPr="00373829">
        <w:rPr>
          <w:rFonts w:ascii="Cambria" w:hAnsi="Cambria" w:cs="Arial"/>
          <w:noProof/>
          <w:lang w:val="sr-Latn-ME"/>
        </w:rPr>
        <w:t>Izrad</w:t>
      </w:r>
      <w:r w:rsidR="00382B1D" w:rsidRPr="00373829">
        <w:rPr>
          <w:rFonts w:ascii="Cambria" w:hAnsi="Cambria" w:cs="Arial"/>
          <w:noProof/>
          <w:lang w:val="sr-Latn-ME"/>
        </w:rPr>
        <w:t>a</w:t>
      </w:r>
      <w:r w:rsidRPr="00373829">
        <w:rPr>
          <w:rFonts w:ascii="Cambria" w:hAnsi="Cambria" w:cs="Arial"/>
          <w:noProof/>
          <w:lang w:val="sr-Latn-ME"/>
        </w:rPr>
        <w:t xml:space="preserve"> programa za </w:t>
      </w:r>
      <w:r w:rsidR="000F5CF8" w:rsidRPr="00373829">
        <w:rPr>
          <w:rFonts w:ascii="Cambria" w:hAnsi="Cambria" w:cs="Arial"/>
          <w:noProof/>
          <w:lang w:val="sr-Latn-ME"/>
        </w:rPr>
        <w:t xml:space="preserve">rješavanje pitanja </w:t>
      </w:r>
      <w:r w:rsidR="00382B1D" w:rsidRPr="00373829">
        <w:rPr>
          <w:rFonts w:ascii="Cambria" w:hAnsi="Cambria" w:cs="Arial"/>
          <w:noProof/>
          <w:lang w:val="sr-Latn-ME"/>
        </w:rPr>
        <w:t xml:space="preserve">istorijskog </w:t>
      </w:r>
      <w:r w:rsidRPr="00373829">
        <w:rPr>
          <w:rFonts w:ascii="Cambria" w:hAnsi="Cambria" w:cs="Arial"/>
          <w:noProof/>
          <w:lang w:val="sr-Latn-ME"/>
        </w:rPr>
        <w:t>industrijskog otpada</w:t>
      </w:r>
    </w:p>
    <w:p w14:paraId="4ED618BB" w14:textId="6FD2B12C" w:rsidR="0047133A" w:rsidRDefault="00323797" w:rsidP="00557C13">
      <w:pPr>
        <w:numPr>
          <w:ilvl w:val="0"/>
          <w:numId w:val="40"/>
        </w:numPr>
        <w:tabs>
          <w:tab w:val="left" w:pos="1710"/>
        </w:tabs>
        <w:spacing w:before="120" w:after="120"/>
        <w:jc w:val="both"/>
        <w:rPr>
          <w:rFonts w:ascii="Cambria" w:hAnsi="Cambria" w:cs="Arial"/>
          <w:noProof/>
          <w:lang w:val="sr-Latn-ME"/>
        </w:rPr>
      </w:pPr>
      <w:r w:rsidRPr="00373829">
        <w:rPr>
          <w:rFonts w:ascii="Cambria" w:hAnsi="Cambria" w:cs="Arial"/>
          <w:noProof/>
          <w:lang w:val="sr-Latn-ME"/>
        </w:rPr>
        <w:t>Izrada programa za rješavanje pitanja zaostalih</w:t>
      </w:r>
      <w:r w:rsidR="00BA2C6C" w:rsidRPr="00373829">
        <w:rPr>
          <w:rFonts w:ascii="Cambria" w:hAnsi="Cambria" w:cs="Arial"/>
          <w:noProof/>
          <w:lang w:val="sr-Latn-ME"/>
        </w:rPr>
        <w:t xml:space="preserve"> i</w:t>
      </w:r>
      <w:r w:rsidRPr="00373829">
        <w:rPr>
          <w:rFonts w:ascii="Cambria" w:hAnsi="Cambria" w:cs="Arial"/>
          <w:noProof/>
          <w:lang w:val="sr-Latn-ME"/>
        </w:rPr>
        <w:t xml:space="preserve"> napuštenih hemikalija </w:t>
      </w:r>
    </w:p>
    <w:p w14:paraId="00E3E724" w14:textId="77777777" w:rsidR="00A275C9" w:rsidRPr="00373829" w:rsidRDefault="00A275C9" w:rsidP="00A275C9">
      <w:pPr>
        <w:tabs>
          <w:tab w:val="left" w:pos="1710"/>
        </w:tabs>
        <w:spacing w:before="120" w:after="120"/>
        <w:ind w:left="720"/>
        <w:jc w:val="both"/>
        <w:rPr>
          <w:rFonts w:ascii="Cambria" w:hAnsi="Cambria" w:cs="Arial"/>
          <w:noProof/>
          <w:lang w:val="sr-Latn-ME"/>
        </w:rPr>
      </w:pPr>
    </w:p>
    <w:p w14:paraId="651F323F" w14:textId="266F6D6C" w:rsidR="00582A2B" w:rsidRPr="00A275C9" w:rsidRDefault="00940417" w:rsidP="00557C13">
      <w:pPr>
        <w:pStyle w:val="ListParagraph"/>
        <w:numPr>
          <w:ilvl w:val="0"/>
          <w:numId w:val="35"/>
        </w:numPr>
        <w:tabs>
          <w:tab w:val="left" w:pos="1710"/>
        </w:tabs>
        <w:spacing w:before="120" w:after="0"/>
        <w:jc w:val="both"/>
        <w:rPr>
          <w:rFonts w:ascii="Cambria" w:hAnsi="Cambria"/>
          <w:noProof/>
          <w:u w:val="single"/>
          <w:lang w:val="sr-Latn-ME"/>
        </w:rPr>
      </w:pPr>
      <w:r w:rsidRPr="00A275C9">
        <w:rPr>
          <w:rFonts w:ascii="Cambria" w:hAnsi="Cambria" w:cs="Arial"/>
          <w:noProof/>
          <w:u w:val="single"/>
          <w:lang w:val="sr-Latn-ME"/>
        </w:rPr>
        <w:t xml:space="preserve">CILJ </w:t>
      </w:r>
      <w:r w:rsidR="00E45B04" w:rsidRPr="00A275C9">
        <w:rPr>
          <w:rFonts w:ascii="Cambria" w:hAnsi="Cambria" w:cs="Arial"/>
          <w:noProof/>
          <w:u w:val="single"/>
          <w:lang w:val="sr-Latn-ME"/>
        </w:rPr>
        <w:t>7</w:t>
      </w:r>
      <w:r w:rsidRPr="00A275C9">
        <w:rPr>
          <w:rFonts w:ascii="Cambria" w:hAnsi="Cambria" w:cs="Arial"/>
          <w:noProof/>
          <w:u w:val="single"/>
          <w:lang w:val="sr-Latn-ME"/>
        </w:rPr>
        <w:t xml:space="preserve">. </w:t>
      </w:r>
      <w:r w:rsidR="00AD69CF" w:rsidRPr="00A275C9">
        <w:rPr>
          <w:rFonts w:ascii="Cambria" w:hAnsi="Cambria" w:cs="Arial"/>
          <w:noProof/>
          <w:u w:val="single"/>
          <w:lang w:val="sr-Latn-ME"/>
        </w:rPr>
        <w:t>U</w:t>
      </w:r>
      <w:r w:rsidR="00AD69CF" w:rsidRPr="00A275C9">
        <w:rPr>
          <w:rFonts w:ascii="Cambria" w:hAnsi="Cambria" w:cs="Arial"/>
          <w:noProof/>
          <w:u w:val="single"/>
        </w:rPr>
        <w:t xml:space="preserve">naprijeđenje </w:t>
      </w:r>
      <w:r w:rsidR="00AD69CF" w:rsidRPr="00A275C9">
        <w:rPr>
          <w:rFonts w:ascii="Cambria" w:hAnsi="Cambria" w:cs="Arial"/>
          <w:noProof/>
          <w:u w:val="single"/>
          <w:lang w:val="sr-Latn-ME"/>
        </w:rPr>
        <w:t>međunarodne i regionalne saradnje</w:t>
      </w:r>
      <w:r w:rsidRPr="00A275C9">
        <w:rPr>
          <w:rFonts w:ascii="Cambria" w:hAnsi="Cambria" w:cs="Arial"/>
          <w:noProof/>
          <w:u w:val="single"/>
          <w:lang w:val="sr-Latn-ME"/>
        </w:rPr>
        <w:t xml:space="preserve"> i sprovođenje  relevantnih konvencija</w:t>
      </w:r>
    </w:p>
    <w:p w14:paraId="78D77D44" w14:textId="77777777" w:rsidR="00DD3F8F" w:rsidRPr="00373829" w:rsidRDefault="00582A2B" w:rsidP="00557C13">
      <w:pPr>
        <w:pStyle w:val="ListParagraph"/>
        <w:numPr>
          <w:ilvl w:val="0"/>
          <w:numId w:val="41"/>
        </w:numPr>
        <w:tabs>
          <w:tab w:val="left" w:pos="1710"/>
        </w:tabs>
        <w:spacing w:before="120" w:after="0"/>
        <w:jc w:val="both"/>
        <w:rPr>
          <w:rFonts w:ascii="Cambria" w:hAnsi="Cambria" w:cs="Arial"/>
          <w:noProof/>
          <w:lang w:val="sr-Latn-ME"/>
        </w:rPr>
      </w:pPr>
      <w:r w:rsidRPr="00373829">
        <w:rPr>
          <w:rFonts w:ascii="Cambria" w:hAnsi="Cambria" w:cs="Arial"/>
          <w:noProof/>
          <w:lang w:val="sr-Latn-ME"/>
        </w:rPr>
        <w:t>Jača</w:t>
      </w:r>
      <w:r w:rsidR="008A116D" w:rsidRPr="00373829">
        <w:rPr>
          <w:rFonts w:ascii="Cambria" w:hAnsi="Cambria" w:cs="Arial"/>
          <w:noProof/>
          <w:lang w:val="sr-Latn-ME"/>
        </w:rPr>
        <w:t>nje</w:t>
      </w:r>
      <w:r w:rsidRPr="00373829">
        <w:rPr>
          <w:rFonts w:ascii="Cambria" w:hAnsi="Cambria"/>
          <w:noProof/>
          <w:lang w:val="sr-Latn-ME"/>
        </w:rPr>
        <w:t xml:space="preserve"> </w:t>
      </w:r>
      <w:r w:rsidR="00FE100B" w:rsidRPr="00373829">
        <w:rPr>
          <w:rFonts w:ascii="Cambria" w:hAnsi="Cambria"/>
          <w:noProof/>
          <w:lang w:val="sr-Latn-ME"/>
        </w:rPr>
        <w:t xml:space="preserve">međunarodne </w:t>
      </w:r>
      <w:r w:rsidRPr="00373829">
        <w:rPr>
          <w:rFonts w:ascii="Cambria" w:hAnsi="Cambria"/>
          <w:noProof/>
          <w:lang w:val="sr-Latn-ME"/>
        </w:rPr>
        <w:t xml:space="preserve">i </w:t>
      </w:r>
      <w:r w:rsidR="00FE100B" w:rsidRPr="00373829">
        <w:rPr>
          <w:rFonts w:ascii="Cambria" w:hAnsi="Cambria"/>
          <w:noProof/>
          <w:lang w:val="sr-Latn-ME"/>
        </w:rPr>
        <w:t xml:space="preserve">regionalne </w:t>
      </w:r>
      <w:r w:rsidRPr="00373829">
        <w:rPr>
          <w:rFonts w:ascii="Cambria" w:hAnsi="Cambria"/>
          <w:noProof/>
          <w:lang w:val="sr-Latn-ME"/>
        </w:rPr>
        <w:t>saradnj</w:t>
      </w:r>
      <w:r w:rsidR="008A116D" w:rsidRPr="00373829">
        <w:rPr>
          <w:rFonts w:ascii="Cambria" w:hAnsi="Cambria"/>
          <w:noProof/>
          <w:lang w:val="sr-Latn-ME"/>
        </w:rPr>
        <w:t>e</w:t>
      </w:r>
    </w:p>
    <w:p w14:paraId="1C4DAC73" w14:textId="77777777" w:rsidR="00DD3F8F" w:rsidRPr="00373829" w:rsidRDefault="00D6774F" w:rsidP="00557C13">
      <w:pPr>
        <w:pStyle w:val="ListParagraph"/>
        <w:numPr>
          <w:ilvl w:val="0"/>
          <w:numId w:val="41"/>
        </w:numPr>
        <w:tabs>
          <w:tab w:val="left" w:pos="1710"/>
        </w:tabs>
        <w:spacing w:before="120" w:after="0"/>
        <w:jc w:val="both"/>
        <w:rPr>
          <w:rFonts w:ascii="Cambria" w:hAnsi="Cambria" w:cs="Arial"/>
          <w:noProof/>
          <w:lang w:val="sr-Latn-ME"/>
        </w:rPr>
      </w:pPr>
      <w:r w:rsidRPr="00373829">
        <w:rPr>
          <w:rFonts w:ascii="Cambria" w:hAnsi="Cambria" w:cs="Arial"/>
          <w:noProof/>
          <w:lang w:val="sr-Latn-ME"/>
        </w:rPr>
        <w:t>Sprovođenje obaveza u skladu sa međunarodnim ugovorima</w:t>
      </w:r>
    </w:p>
    <w:p w14:paraId="5014387C" w14:textId="77777777" w:rsidR="0067654C" w:rsidRPr="0067654C" w:rsidRDefault="0067654C" w:rsidP="00557C13">
      <w:pPr>
        <w:pStyle w:val="ListParagraph"/>
        <w:numPr>
          <w:ilvl w:val="0"/>
          <w:numId w:val="41"/>
        </w:numPr>
        <w:tabs>
          <w:tab w:val="left" w:pos="1710"/>
        </w:tabs>
        <w:spacing w:before="120" w:after="0"/>
        <w:jc w:val="both"/>
        <w:rPr>
          <w:rFonts w:ascii="Cambria" w:hAnsi="Cambria" w:cs="Arial"/>
          <w:b/>
          <w:i/>
          <w:noProof/>
          <w:lang w:val="sr-Latn-ME"/>
        </w:rPr>
      </w:pPr>
      <w:r w:rsidRPr="00373829">
        <w:rPr>
          <w:rFonts w:ascii="Cambria" w:hAnsi="Cambria" w:cs="Arial"/>
          <w:noProof/>
          <w:lang w:val="sr-Latn-ME"/>
        </w:rPr>
        <w:t>Ratifikacija Minamata konvencije</w:t>
      </w:r>
    </w:p>
    <w:p w14:paraId="36E62FF6" w14:textId="77777777" w:rsidR="00CF0414" w:rsidRPr="00AB15C7" w:rsidRDefault="00CF0414" w:rsidP="005921EF">
      <w:pPr>
        <w:spacing w:before="120" w:after="0"/>
        <w:jc w:val="both"/>
        <w:rPr>
          <w:rFonts w:ascii="Cambria" w:hAnsi="Cambria" w:cs="Arial"/>
          <w:noProof/>
          <w:lang w:val="sr-Latn-ME"/>
        </w:rPr>
      </w:pPr>
    </w:p>
    <w:p w14:paraId="7B0F55A9" w14:textId="2A9385D9" w:rsidR="00CF0414" w:rsidRPr="00AB15C7" w:rsidRDefault="00A275C9" w:rsidP="005921EF">
      <w:pPr>
        <w:spacing w:before="120" w:after="0"/>
        <w:jc w:val="both"/>
        <w:rPr>
          <w:rFonts w:ascii="Cambria" w:hAnsi="Cambria" w:cs="Arial"/>
          <w:noProof/>
          <w:lang w:val="sr-Latn-ME"/>
        </w:rPr>
      </w:pPr>
      <w:r>
        <w:rPr>
          <w:rFonts w:ascii="Cambria" w:hAnsi="Cambria" w:cs="Arial"/>
          <w:noProof/>
          <w:lang w:val="sr-Latn-ME"/>
        </w:rPr>
        <w:t xml:space="preserve">Detaljan opis aktivnosti </w:t>
      </w:r>
      <w:r w:rsidR="00B34D96">
        <w:rPr>
          <w:rFonts w:ascii="Cambria" w:hAnsi="Cambria" w:cs="Arial"/>
          <w:noProof/>
          <w:lang w:val="sr-Latn-ME"/>
        </w:rPr>
        <w:t>za ostvarivanje operativnih ciljeva</w:t>
      </w:r>
      <w:r>
        <w:rPr>
          <w:rFonts w:ascii="Cambria" w:hAnsi="Cambria" w:cs="Arial"/>
          <w:noProof/>
          <w:lang w:val="sr-Latn-ME"/>
        </w:rPr>
        <w:t>, kao i rokovi,</w:t>
      </w:r>
      <w:r w:rsidR="00B34D96" w:rsidRPr="00B34D96">
        <w:t xml:space="preserve"> </w:t>
      </w:r>
      <w:r w:rsidR="00B34D96">
        <w:rPr>
          <w:rFonts w:ascii="Cambria" w:hAnsi="Cambria" w:cs="Arial"/>
          <w:noProof/>
          <w:lang w:val="sr-Latn-ME"/>
        </w:rPr>
        <w:t>n</w:t>
      </w:r>
      <w:r w:rsidR="00B34D96" w:rsidRPr="00B34D96">
        <w:rPr>
          <w:rFonts w:ascii="Cambria" w:hAnsi="Cambria" w:cs="Arial"/>
          <w:noProof/>
          <w:lang w:val="sr-Latn-ME"/>
        </w:rPr>
        <w:t>osioci aktivnosti</w:t>
      </w:r>
      <w:r w:rsidR="00B34D96">
        <w:rPr>
          <w:rFonts w:ascii="Cambria" w:hAnsi="Cambria" w:cs="Arial"/>
          <w:noProof/>
          <w:lang w:val="sr-Latn-ME"/>
        </w:rPr>
        <w:t xml:space="preserve">, </w:t>
      </w:r>
      <w:r>
        <w:rPr>
          <w:rFonts w:ascii="Cambria" w:hAnsi="Cambria" w:cs="Arial"/>
          <w:noProof/>
          <w:lang w:val="sr-Latn-ME"/>
        </w:rPr>
        <w:t xml:space="preserve">indikatori realizacije i </w:t>
      </w:r>
      <w:r w:rsidR="00B34D96">
        <w:rPr>
          <w:rFonts w:ascii="Cambria" w:hAnsi="Cambria" w:cs="Arial"/>
          <w:noProof/>
          <w:lang w:val="sr-Latn-ME"/>
        </w:rPr>
        <w:t xml:space="preserve">finansijska </w:t>
      </w:r>
      <w:r>
        <w:rPr>
          <w:rFonts w:ascii="Cambria" w:hAnsi="Cambria" w:cs="Arial"/>
          <w:noProof/>
          <w:lang w:val="sr-Latn-ME"/>
        </w:rPr>
        <w:t xml:space="preserve">procjena/izvori </w:t>
      </w:r>
      <w:r w:rsidR="00B34D96">
        <w:rPr>
          <w:rFonts w:ascii="Cambria" w:hAnsi="Cambria" w:cs="Arial"/>
          <w:noProof/>
          <w:lang w:val="sr-Latn-ME"/>
        </w:rPr>
        <w:t xml:space="preserve">finansiranja,  </w:t>
      </w:r>
      <w:r>
        <w:rPr>
          <w:rFonts w:ascii="Cambria" w:hAnsi="Cambria" w:cs="Arial"/>
          <w:noProof/>
          <w:lang w:val="sr-Latn-ME"/>
        </w:rPr>
        <w:t>dat</w:t>
      </w:r>
      <w:r w:rsidR="00B34D96">
        <w:rPr>
          <w:rFonts w:ascii="Cambria" w:hAnsi="Cambria" w:cs="Arial"/>
          <w:noProof/>
          <w:lang w:val="sr-Latn-ME"/>
        </w:rPr>
        <w:t>i</w:t>
      </w:r>
      <w:r>
        <w:rPr>
          <w:rFonts w:ascii="Cambria" w:hAnsi="Cambria" w:cs="Arial"/>
          <w:noProof/>
          <w:lang w:val="sr-Latn-ME"/>
        </w:rPr>
        <w:t xml:space="preserve"> </w:t>
      </w:r>
      <w:r w:rsidR="00B34D96">
        <w:rPr>
          <w:rFonts w:ascii="Cambria" w:hAnsi="Cambria" w:cs="Arial"/>
          <w:noProof/>
          <w:lang w:val="sr-Latn-ME"/>
        </w:rPr>
        <w:t>su</w:t>
      </w:r>
      <w:r>
        <w:rPr>
          <w:rFonts w:ascii="Cambria" w:hAnsi="Cambria" w:cs="Arial"/>
          <w:noProof/>
          <w:lang w:val="sr-Latn-ME"/>
        </w:rPr>
        <w:t xml:space="preserve"> u sklopu akcionog plana u poglavlju V ove strategije.</w:t>
      </w:r>
    </w:p>
    <w:p w14:paraId="16564097" w14:textId="669FC1F2" w:rsidR="00CF0414" w:rsidRDefault="00CF0414" w:rsidP="005921EF">
      <w:pPr>
        <w:spacing w:before="120" w:after="0"/>
        <w:jc w:val="both"/>
        <w:rPr>
          <w:rFonts w:ascii="Cambria" w:hAnsi="Cambria" w:cs="Arial"/>
          <w:noProof/>
          <w:lang w:val="sr-Latn-ME"/>
        </w:rPr>
      </w:pPr>
    </w:p>
    <w:p w14:paraId="19E04D0A" w14:textId="77777777" w:rsidR="00685AEA" w:rsidRPr="00AB15C7" w:rsidRDefault="00685AEA" w:rsidP="005921EF">
      <w:pPr>
        <w:spacing w:before="120" w:after="0"/>
        <w:jc w:val="both"/>
        <w:rPr>
          <w:rFonts w:ascii="Cambria" w:hAnsi="Cambria" w:cs="Arial"/>
          <w:noProof/>
          <w:lang w:val="sr-Latn-ME"/>
        </w:rPr>
      </w:pPr>
    </w:p>
    <w:p w14:paraId="59D5D6E1" w14:textId="77777777" w:rsidR="002311EB" w:rsidRPr="00B96B81" w:rsidRDefault="002311EB" w:rsidP="00557C13">
      <w:pPr>
        <w:pStyle w:val="Heading1"/>
        <w:numPr>
          <w:ilvl w:val="1"/>
          <w:numId w:val="34"/>
        </w:numPr>
        <w:rPr>
          <w:noProof/>
          <w:sz w:val="22"/>
          <w:szCs w:val="22"/>
          <w:lang w:val="sr-Latn-ME"/>
        </w:rPr>
      </w:pPr>
      <w:bookmarkStart w:id="157" w:name="_Toc527353234"/>
      <w:r w:rsidRPr="00AB15C7">
        <w:rPr>
          <w:noProof/>
          <w:sz w:val="22"/>
          <w:szCs w:val="22"/>
          <w:lang w:val="sr-Latn-ME"/>
        </w:rPr>
        <w:lastRenderedPageBreak/>
        <w:t>PRAĆENJE SPROVOĐENJA</w:t>
      </w:r>
      <w:r w:rsidR="002C6E82" w:rsidRPr="00AB15C7">
        <w:rPr>
          <w:noProof/>
          <w:sz w:val="22"/>
          <w:szCs w:val="22"/>
          <w:lang w:val="sr-Latn-ME"/>
        </w:rPr>
        <w:t xml:space="preserve"> </w:t>
      </w:r>
      <w:r w:rsidR="00635425" w:rsidRPr="00AB15C7">
        <w:rPr>
          <w:noProof/>
          <w:sz w:val="22"/>
          <w:szCs w:val="22"/>
          <w:lang w:val="sr-Latn-ME"/>
        </w:rPr>
        <w:t>STRATEGIJE</w:t>
      </w:r>
      <w:r w:rsidR="00B96B81">
        <w:rPr>
          <w:noProof/>
          <w:sz w:val="22"/>
          <w:szCs w:val="22"/>
          <w:lang w:val="sr-Latn-ME"/>
        </w:rPr>
        <w:t xml:space="preserve">, </w:t>
      </w:r>
      <w:r w:rsidR="00B96B81" w:rsidRPr="005D7417">
        <w:rPr>
          <w:noProof/>
          <w:sz w:val="22"/>
          <w:szCs w:val="22"/>
          <w:lang w:val="sr-Latn-ME"/>
        </w:rPr>
        <w:t>IZVJEŠTAVANJE</w:t>
      </w:r>
      <w:r w:rsidR="00B96B81" w:rsidRPr="00AB15C7">
        <w:rPr>
          <w:noProof/>
          <w:sz w:val="22"/>
          <w:szCs w:val="22"/>
          <w:lang w:val="sr-Latn-ME"/>
        </w:rPr>
        <w:t xml:space="preserve"> I EVALUACIJ</w:t>
      </w:r>
      <w:r w:rsidR="00B96B81">
        <w:rPr>
          <w:noProof/>
          <w:sz w:val="22"/>
          <w:szCs w:val="22"/>
          <w:lang w:val="sr-Latn-ME"/>
        </w:rPr>
        <w:t>A</w:t>
      </w:r>
      <w:bookmarkEnd w:id="157"/>
      <w:r w:rsidR="00B96B81" w:rsidRPr="005D7417">
        <w:rPr>
          <w:noProof/>
          <w:sz w:val="22"/>
          <w:szCs w:val="22"/>
          <w:lang w:val="sr-Latn-ME"/>
        </w:rPr>
        <w:t xml:space="preserve"> </w:t>
      </w:r>
    </w:p>
    <w:p w14:paraId="7BA168AD" w14:textId="77777777" w:rsidR="00094F2D" w:rsidRDefault="00094F2D" w:rsidP="00094F2D">
      <w:pPr>
        <w:rPr>
          <w:rFonts w:ascii="Cambria" w:hAnsi="Cambria"/>
          <w:noProof/>
        </w:rPr>
      </w:pPr>
    </w:p>
    <w:p w14:paraId="7A39A71C" w14:textId="3B533225" w:rsidR="00B96B81" w:rsidRPr="00867326" w:rsidRDefault="00B96B81" w:rsidP="00867326">
      <w:pPr>
        <w:pStyle w:val="Heading2"/>
        <w:spacing w:before="0" w:after="120"/>
        <w:rPr>
          <w:noProof/>
          <w:sz w:val="22"/>
          <w:szCs w:val="22"/>
          <w:lang w:val="en-US"/>
        </w:rPr>
      </w:pPr>
      <w:bookmarkStart w:id="158" w:name="_Toc527353235"/>
      <w:r w:rsidRPr="00867326">
        <w:rPr>
          <w:noProof/>
          <w:sz w:val="22"/>
          <w:szCs w:val="22"/>
          <w:lang w:val="en-US"/>
        </w:rPr>
        <w:t>3.</w:t>
      </w:r>
      <w:r w:rsidR="00855EB6">
        <w:rPr>
          <w:noProof/>
          <w:sz w:val="22"/>
          <w:szCs w:val="22"/>
          <w:lang w:val="en-US"/>
        </w:rPr>
        <w:t>2</w:t>
      </w:r>
      <w:r w:rsidRPr="00867326">
        <w:rPr>
          <w:noProof/>
          <w:sz w:val="22"/>
          <w:szCs w:val="22"/>
          <w:lang w:val="en-US"/>
        </w:rPr>
        <w:t>.1</w:t>
      </w:r>
      <w:r w:rsidR="00F143B5" w:rsidRPr="00867326">
        <w:rPr>
          <w:noProof/>
          <w:sz w:val="22"/>
          <w:szCs w:val="22"/>
          <w:lang w:val="en-US"/>
        </w:rPr>
        <w:t>. Praćenje sprovođenja strategije i g</w:t>
      </w:r>
      <w:r w:rsidRPr="00867326">
        <w:rPr>
          <w:noProof/>
          <w:sz w:val="22"/>
          <w:szCs w:val="22"/>
          <w:lang w:val="en-US"/>
        </w:rPr>
        <w:t>odišnje izvještavanje</w:t>
      </w:r>
      <w:bookmarkEnd w:id="158"/>
    </w:p>
    <w:p w14:paraId="10CCDD87" w14:textId="77777777" w:rsidR="004C43E5" w:rsidRDefault="00453CD7" w:rsidP="007C736B">
      <w:pPr>
        <w:jc w:val="both"/>
        <w:rPr>
          <w:rFonts w:ascii="Cambria" w:hAnsi="Cambria"/>
          <w:noProof/>
        </w:rPr>
      </w:pPr>
      <w:r w:rsidRPr="007B67F1">
        <w:rPr>
          <w:rFonts w:ascii="Cambria" w:hAnsi="Cambria"/>
          <w:noProof/>
        </w:rPr>
        <w:t xml:space="preserve">U cilju </w:t>
      </w:r>
      <w:r>
        <w:rPr>
          <w:rFonts w:ascii="Cambria" w:hAnsi="Cambria"/>
          <w:noProof/>
        </w:rPr>
        <w:t xml:space="preserve">praćenja ostvarenja ciljeva utvrđenih ovom strategijom, </w:t>
      </w:r>
      <w:r w:rsidRPr="007B67F1">
        <w:rPr>
          <w:rFonts w:ascii="Cambria" w:hAnsi="Cambria"/>
          <w:noProof/>
        </w:rPr>
        <w:t>neophodn</w:t>
      </w:r>
      <w:r>
        <w:rPr>
          <w:rFonts w:ascii="Cambria" w:hAnsi="Cambria"/>
          <w:noProof/>
        </w:rPr>
        <w:t xml:space="preserve">o je redovno praćenje sprovođenja </w:t>
      </w:r>
      <w:r w:rsidRPr="00981B14">
        <w:rPr>
          <w:rFonts w:ascii="Cambria" w:hAnsi="Cambria"/>
          <w:noProof/>
        </w:rPr>
        <w:t>konkretnih aktivnosti</w:t>
      </w:r>
      <w:r>
        <w:rPr>
          <w:rFonts w:ascii="Cambria" w:hAnsi="Cambria"/>
          <w:noProof/>
        </w:rPr>
        <w:t xml:space="preserve">, </w:t>
      </w:r>
      <w:r w:rsidRPr="00981B14">
        <w:rPr>
          <w:rFonts w:ascii="Cambria" w:hAnsi="Cambria"/>
          <w:noProof/>
        </w:rPr>
        <w:t xml:space="preserve">ispunjenosti rokova </w:t>
      </w:r>
      <w:r>
        <w:rPr>
          <w:rFonts w:ascii="Cambria" w:hAnsi="Cambria"/>
          <w:noProof/>
        </w:rPr>
        <w:t xml:space="preserve">i </w:t>
      </w:r>
      <w:r w:rsidRPr="00981B14">
        <w:rPr>
          <w:rFonts w:ascii="Cambria" w:hAnsi="Cambria"/>
          <w:noProof/>
        </w:rPr>
        <w:t>indikatora</w:t>
      </w:r>
      <w:r>
        <w:rPr>
          <w:rFonts w:ascii="Cambria" w:hAnsi="Cambria"/>
          <w:noProof/>
        </w:rPr>
        <w:t>.</w:t>
      </w:r>
      <w:r w:rsidRPr="007B67F1">
        <w:rPr>
          <w:rFonts w:ascii="Cambria" w:hAnsi="Cambria"/>
          <w:noProof/>
        </w:rPr>
        <w:t xml:space="preserve"> </w:t>
      </w:r>
      <w:r w:rsidR="00F143B5">
        <w:rPr>
          <w:rFonts w:ascii="Cambria" w:hAnsi="Cambria"/>
          <w:noProof/>
        </w:rPr>
        <w:t>Izvještavanje o praćenju sprovođenja izvršiće se po zavšetku svake kalendarske godine u okviru perioda na koji se odnosi strategija. U godišnjem izvještaju sumiraće se ostvareni rezultati i dati predlozi za eventualna poboljšanja realizacije u toku sprovođenja strategije.</w:t>
      </w:r>
    </w:p>
    <w:p w14:paraId="1E5B3D5E" w14:textId="5CCEB98E" w:rsidR="005D7417" w:rsidRDefault="00453CD7" w:rsidP="00F143B5">
      <w:pPr>
        <w:spacing w:after="60"/>
        <w:jc w:val="both"/>
        <w:rPr>
          <w:rFonts w:ascii="Cambria" w:hAnsi="Cambria"/>
          <w:noProof/>
        </w:rPr>
      </w:pPr>
      <w:r>
        <w:rPr>
          <w:rFonts w:ascii="Cambria" w:hAnsi="Cambria"/>
          <w:noProof/>
        </w:rPr>
        <w:t xml:space="preserve">S tim u vezi, </w:t>
      </w:r>
      <w:r w:rsidR="004C43E5">
        <w:rPr>
          <w:rFonts w:ascii="Cambria" w:hAnsi="Cambria"/>
          <w:noProof/>
        </w:rPr>
        <w:t>kao mjera za osiguranje adekvatnog praćenja i koordinacij</w:t>
      </w:r>
      <w:r w:rsidR="00F8033F">
        <w:rPr>
          <w:rFonts w:ascii="Cambria" w:hAnsi="Cambria"/>
          <w:noProof/>
        </w:rPr>
        <w:t>u</w:t>
      </w:r>
      <w:r w:rsidR="004C43E5">
        <w:rPr>
          <w:rFonts w:ascii="Cambria" w:hAnsi="Cambria"/>
          <w:noProof/>
        </w:rPr>
        <w:t xml:space="preserve"> svih nosioca aktivnosti ukljućenih u realizaciju akcionog plana preporuč</w:t>
      </w:r>
      <w:r w:rsidR="00F8033F">
        <w:rPr>
          <w:rFonts w:ascii="Cambria" w:hAnsi="Cambria"/>
          <w:noProof/>
        </w:rPr>
        <w:t>u</w:t>
      </w:r>
      <w:r w:rsidR="004C43E5">
        <w:rPr>
          <w:rFonts w:ascii="Cambria" w:hAnsi="Cambria"/>
          <w:noProof/>
        </w:rPr>
        <w:t xml:space="preserve">je se da </w:t>
      </w:r>
      <w:r>
        <w:rPr>
          <w:rFonts w:ascii="Cambria" w:hAnsi="Cambria"/>
          <w:noProof/>
        </w:rPr>
        <w:t>radna grupa osnovana radi izrade strategije</w:t>
      </w:r>
      <w:r w:rsidR="00534991">
        <w:rPr>
          <w:rFonts w:ascii="Cambria" w:hAnsi="Cambria"/>
          <w:noProof/>
        </w:rPr>
        <w:t xml:space="preserve">, </w:t>
      </w:r>
      <w:r>
        <w:rPr>
          <w:rFonts w:ascii="Cambria" w:hAnsi="Cambria"/>
          <w:noProof/>
        </w:rPr>
        <w:t xml:space="preserve"> </w:t>
      </w:r>
      <w:r w:rsidR="004C43E5">
        <w:rPr>
          <w:rFonts w:ascii="Cambria" w:hAnsi="Cambria"/>
          <w:noProof/>
        </w:rPr>
        <w:t xml:space="preserve">bude </w:t>
      </w:r>
      <w:r w:rsidR="00534991">
        <w:rPr>
          <w:rFonts w:ascii="Cambria" w:hAnsi="Cambria"/>
          <w:noProof/>
        </w:rPr>
        <w:t>zadužena i za praćenje njenog sprovođenja</w:t>
      </w:r>
      <w:r w:rsidR="004C43E5">
        <w:rPr>
          <w:rFonts w:ascii="Cambria" w:hAnsi="Cambria"/>
          <w:noProof/>
        </w:rPr>
        <w:t>, uz eventualne izmene i dopune članova po potrebi</w:t>
      </w:r>
      <w:r w:rsidR="00534991">
        <w:rPr>
          <w:rFonts w:ascii="Cambria" w:hAnsi="Cambria"/>
          <w:noProof/>
        </w:rPr>
        <w:t>.</w:t>
      </w:r>
      <w:r w:rsidR="004C43E5">
        <w:rPr>
          <w:rFonts w:ascii="Cambria" w:hAnsi="Cambria"/>
          <w:noProof/>
        </w:rPr>
        <w:t xml:space="preserve"> </w:t>
      </w:r>
      <w:r w:rsidR="00353A1A">
        <w:rPr>
          <w:rFonts w:ascii="Cambria" w:hAnsi="Cambria"/>
          <w:noProof/>
        </w:rPr>
        <w:t>R</w:t>
      </w:r>
      <w:r w:rsidR="00AC55AE">
        <w:rPr>
          <w:rFonts w:ascii="Cambria" w:hAnsi="Cambria"/>
          <w:noProof/>
        </w:rPr>
        <w:t>adna grupa</w:t>
      </w:r>
      <w:r w:rsidR="00353A1A" w:rsidRPr="00353A1A">
        <w:rPr>
          <w:rFonts w:ascii="Cambria" w:hAnsi="Cambria"/>
          <w:noProof/>
        </w:rPr>
        <w:t xml:space="preserve"> za praćenje</w:t>
      </w:r>
      <w:r w:rsidR="00AC55AE">
        <w:rPr>
          <w:rFonts w:ascii="Cambria" w:hAnsi="Cambria"/>
          <w:noProof/>
        </w:rPr>
        <w:t xml:space="preserve"> </w:t>
      </w:r>
      <w:r w:rsidR="00F8033F">
        <w:rPr>
          <w:rFonts w:ascii="Cambria" w:hAnsi="Cambria"/>
          <w:noProof/>
        </w:rPr>
        <w:t xml:space="preserve">treba da se </w:t>
      </w:r>
      <w:r w:rsidR="00AC55AE">
        <w:rPr>
          <w:rFonts w:ascii="Cambria" w:hAnsi="Cambria"/>
          <w:noProof/>
        </w:rPr>
        <w:t>sastoji od predstavni</w:t>
      </w:r>
      <w:r w:rsidR="00353A1A">
        <w:rPr>
          <w:rFonts w:ascii="Cambria" w:hAnsi="Cambria"/>
          <w:noProof/>
        </w:rPr>
        <w:t>ka</w:t>
      </w:r>
      <w:r w:rsidR="00AC55AE">
        <w:rPr>
          <w:rFonts w:ascii="Cambria" w:hAnsi="Cambria"/>
          <w:noProof/>
        </w:rPr>
        <w:t xml:space="preserve"> nadležnih organa koji su identifikovani kao nosioci </w:t>
      </w:r>
      <w:r w:rsidR="004C43E5">
        <w:rPr>
          <w:rFonts w:ascii="Cambria" w:hAnsi="Cambria"/>
          <w:noProof/>
        </w:rPr>
        <w:t xml:space="preserve">pojedinih </w:t>
      </w:r>
      <w:r w:rsidR="00AC55AE">
        <w:rPr>
          <w:rFonts w:ascii="Cambria" w:hAnsi="Cambria"/>
          <w:noProof/>
        </w:rPr>
        <w:t xml:space="preserve">aktivnosti </w:t>
      </w:r>
      <w:r w:rsidR="004C43E5">
        <w:rPr>
          <w:rFonts w:ascii="Cambria" w:hAnsi="Cambria"/>
          <w:noProof/>
        </w:rPr>
        <w:t xml:space="preserve">iz </w:t>
      </w:r>
      <w:r w:rsidR="00AC55AE">
        <w:rPr>
          <w:rFonts w:ascii="Cambria" w:hAnsi="Cambria"/>
          <w:noProof/>
        </w:rPr>
        <w:t>akciono</w:t>
      </w:r>
      <w:r w:rsidR="004C43E5">
        <w:rPr>
          <w:rFonts w:ascii="Cambria" w:hAnsi="Cambria"/>
          <w:noProof/>
        </w:rPr>
        <w:t>g</w:t>
      </w:r>
      <w:r w:rsidR="00AC55AE">
        <w:rPr>
          <w:rFonts w:ascii="Cambria" w:hAnsi="Cambria"/>
          <w:noProof/>
        </w:rPr>
        <w:t xml:space="preserve"> plan</w:t>
      </w:r>
      <w:r w:rsidR="004C43E5">
        <w:rPr>
          <w:rFonts w:ascii="Cambria" w:hAnsi="Cambria"/>
          <w:noProof/>
        </w:rPr>
        <w:t>a</w:t>
      </w:r>
      <w:r w:rsidR="00353A1A">
        <w:rPr>
          <w:rFonts w:ascii="Cambria" w:hAnsi="Cambria"/>
          <w:noProof/>
        </w:rPr>
        <w:t>,</w:t>
      </w:r>
      <w:r w:rsidR="004C5464">
        <w:rPr>
          <w:rFonts w:ascii="Cambria" w:hAnsi="Cambria"/>
          <w:noProof/>
        </w:rPr>
        <w:t xml:space="preserve"> sa </w:t>
      </w:r>
      <w:r w:rsidR="007430B9">
        <w:rPr>
          <w:rFonts w:ascii="Cambria" w:hAnsi="Cambria"/>
          <w:noProof/>
        </w:rPr>
        <w:t xml:space="preserve">posebnim fokusom na </w:t>
      </w:r>
      <w:r w:rsidR="00C13C04">
        <w:rPr>
          <w:rFonts w:ascii="Cambria" w:hAnsi="Cambria"/>
          <w:noProof/>
        </w:rPr>
        <w:t>s</w:t>
      </w:r>
      <w:r w:rsidR="004C5464">
        <w:rPr>
          <w:rFonts w:ascii="Cambria" w:hAnsi="Cambria"/>
          <w:noProof/>
        </w:rPr>
        <w:t>ledeć</w:t>
      </w:r>
      <w:r w:rsidR="007430B9">
        <w:rPr>
          <w:rFonts w:ascii="Cambria" w:hAnsi="Cambria"/>
          <w:noProof/>
        </w:rPr>
        <w:t>e</w:t>
      </w:r>
      <w:r w:rsidR="004C5464">
        <w:rPr>
          <w:rFonts w:ascii="Cambria" w:hAnsi="Cambria"/>
          <w:noProof/>
        </w:rPr>
        <w:t xml:space="preserve"> odg</w:t>
      </w:r>
      <w:r w:rsidR="00C13C04">
        <w:rPr>
          <w:rFonts w:ascii="Cambria" w:hAnsi="Cambria"/>
          <w:noProof/>
        </w:rPr>
        <w:t>o</w:t>
      </w:r>
      <w:r w:rsidR="004C5464">
        <w:rPr>
          <w:rFonts w:ascii="Cambria" w:hAnsi="Cambria"/>
          <w:noProof/>
        </w:rPr>
        <w:t xml:space="preserve">vornosti u pogledu </w:t>
      </w:r>
      <w:r w:rsidR="00C13C04">
        <w:rPr>
          <w:rFonts w:ascii="Cambria" w:hAnsi="Cambria"/>
          <w:noProof/>
        </w:rPr>
        <w:t>obezb</w:t>
      </w:r>
      <w:r w:rsidR="00B4116A">
        <w:rPr>
          <w:rFonts w:ascii="Cambria" w:hAnsi="Cambria"/>
          <w:noProof/>
        </w:rPr>
        <w:t>ij</w:t>
      </w:r>
      <w:r w:rsidR="00C13C04">
        <w:rPr>
          <w:rFonts w:ascii="Cambria" w:hAnsi="Cambria"/>
          <w:noProof/>
        </w:rPr>
        <w:t>eđivanja podataka:</w:t>
      </w:r>
    </w:p>
    <w:p w14:paraId="2D4DF0E7" w14:textId="77777777" w:rsidR="005D7417" w:rsidRPr="006379FD" w:rsidRDefault="00AC55AE" w:rsidP="00557C13">
      <w:pPr>
        <w:pStyle w:val="ListParagraph"/>
        <w:numPr>
          <w:ilvl w:val="0"/>
          <w:numId w:val="35"/>
        </w:numPr>
        <w:spacing w:after="60"/>
        <w:ind w:left="360" w:hanging="180"/>
        <w:jc w:val="both"/>
        <w:rPr>
          <w:rFonts w:ascii="Cambria" w:hAnsi="Cambria"/>
          <w:noProof/>
        </w:rPr>
      </w:pPr>
      <w:r w:rsidRPr="006379FD">
        <w:rPr>
          <w:rFonts w:ascii="Cambria" w:hAnsi="Cambria"/>
          <w:noProof/>
        </w:rPr>
        <w:t>MORT</w:t>
      </w:r>
      <w:r w:rsidR="006379FD" w:rsidRPr="006379FD">
        <w:rPr>
          <w:rFonts w:ascii="Cambria" w:hAnsi="Cambria"/>
          <w:noProof/>
        </w:rPr>
        <w:t>-</w:t>
      </w:r>
      <w:r w:rsidRPr="006379FD">
        <w:rPr>
          <w:rFonts w:ascii="Cambria" w:hAnsi="Cambria"/>
          <w:noProof/>
        </w:rPr>
        <w:t xml:space="preserve"> </w:t>
      </w:r>
      <w:bookmarkStart w:id="159" w:name="_Hlk523931426"/>
      <w:r w:rsidR="004C5464" w:rsidRPr="006379FD">
        <w:rPr>
          <w:rFonts w:ascii="Cambria" w:hAnsi="Cambria"/>
          <w:noProof/>
        </w:rPr>
        <w:t>poda</w:t>
      </w:r>
      <w:r w:rsidR="006379FD" w:rsidRPr="006379FD">
        <w:rPr>
          <w:rFonts w:ascii="Cambria" w:hAnsi="Cambria"/>
          <w:noProof/>
        </w:rPr>
        <w:t>ci</w:t>
      </w:r>
      <w:r w:rsidR="004C5464" w:rsidRPr="006379FD">
        <w:rPr>
          <w:rFonts w:ascii="Cambria" w:hAnsi="Cambria"/>
          <w:noProof/>
        </w:rPr>
        <w:t xml:space="preserve"> </w:t>
      </w:r>
      <w:bookmarkEnd w:id="159"/>
      <w:r w:rsidR="004C5464" w:rsidRPr="006379FD">
        <w:rPr>
          <w:rFonts w:ascii="Cambria" w:hAnsi="Cambria"/>
          <w:noProof/>
        </w:rPr>
        <w:t>o prop</w:t>
      </w:r>
      <w:r w:rsidR="008A7DCD" w:rsidRPr="006379FD">
        <w:rPr>
          <w:rFonts w:ascii="Cambria" w:hAnsi="Cambria"/>
          <w:noProof/>
        </w:rPr>
        <w:t xml:space="preserve">ima </w:t>
      </w:r>
      <w:r w:rsidR="007430B9" w:rsidRPr="006379FD">
        <w:rPr>
          <w:rFonts w:ascii="Cambria" w:hAnsi="Cambria"/>
          <w:noProof/>
        </w:rPr>
        <w:t>u vezi sa hemikalijama i biocidnim proizvodima, aktivnostima na projektima u oblasti upravljanja hemikalijama i otpadom uključujući, sprovodjenju konvencija, i sl.</w:t>
      </w:r>
    </w:p>
    <w:p w14:paraId="221F98C6" w14:textId="77777777" w:rsidR="005D7417" w:rsidRPr="006379FD" w:rsidRDefault="00AC55AE" w:rsidP="00557C13">
      <w:pPr>
        <w:pStyle w:val="ListParagraph"/>
        <w:numPr>
          <w:ilvl w:val="0"/>
          <w:numId w:val="35"/>
        </w:numPr>
        <w:spacing w:after="60"/>
        <w:ind w:left="360" w:hanging="180"/>
        <w:jc w:val="both"/>
        <w:rPr>
          <w:rFonts w:ascii="Cambria" w:hAnsi="Cambria"/>
          <w:noProof/>
        </w:rPr>
      </w:pPr>
      <w:r w:rsidRPr="006379FD">
        <w:rPr>
          <w:rFonts w:ascii="Cambria" w:hAnsi="Cambria"/>
          <w:noProof/>
        </w:rPr>
        <w:t>AZPŽS</w:t>
      </w:r>
      <w:r w:rsidR="006379FD" w:rsidRPr="006379FD">
        <w:rPr>
          <w:rFonts w:ascii="Cambria" w:hAnsi="Cambria"/>
          <w:noProof/>
        </w:rPr>
        <w:t>-</w:t>
      </w:r>
      <w:r w:rsidR="004C5464" w:rsidRPr="006379FD">
        <w:rPr>
          <w:rFonts w:ascii="Cambria" w:hAnsi="Cambria"/>
          <w:noProof/>
        </w:rPr>
        <w:t xml:space="preserve"> </w:t>
      </w:r>
      <w:r w:rsidR="006379FD" w:rsidRPr="006379FD">
        <w:rPr>
          <w:rFonts w:ascii="Cambria" w:hAnsi="Cambria"/>
          <w:noProof/>
        </w:rPr>
        <w:t xml:space="preserve">podaci </w:t>
      </w:r>
      <w:r w:rsidR="004C5464" w:rsidRPr="006379FD">
        <w:rPr>
          <w:rFonts w:ascii="Cambria" w:hAnsi="Cambria"/>
          <w:noProof/>
        </w:rPr>
        <w:t xml:space="preserve">o upravnim postupcima u vezi sa hemikalijama i biocidnim proizvodima, o radu Help desk, o Registru hemikalija/biocidnih proizvoda </w:t>
      </w:r>
    </w:p>
    <w:p w14:paraId="3134A904" w14:textId="77777777" w:rsidR="005D7417" w:rsidRPr="006379FD" w:rsidRDefault="00AC55AE" w:rsidP="00557C13">
      <w:pPr>
        <w:pStyle w:val="ListParagraph"/>
        <w:numPr>
          <w:ilvl w:val="0"/>
          <w:numId w:val="35"/>
        </w:numPr>
        <w:spacing w:after="60"/>
        <w:ind w:left="360" w:hanging="180"/>
        <w:jc w:val="both"/>
        <w:rPr>
          <w:rFonts w:ascii="Cambria" w:hAnsi="Cambria"/>
          <w:noProof/>
        </w:rPr>
      </w:pPr>
      <w:r w:rsidRPr="006379FD">
        <w:rPr>
          <w:rFonts w:ascii="Cambria" w:hAnsi="Cambria"/>
          <w:noProof/>
          <w:lang w:val="pl-PL"/>
        </w:rPr>
        <w:t>UIP</w:t>
      </w:r>
      <w:r w:rsidR="004C5464" w:rsidRPr="006379FD">
        <w:rPr>
          <w:rFonts w:ascii="Cambria" w:hAnsi="Cambria"/>
          <w:noProof/>
          <w:lang w:val="pl-PL"/>
        </w:rPr>
        <w:t xml:space="preserve"> </w:t>
      </w:r>
      <w:r w:rsidR="006379FD" w:rsidRPr="006379FD">
        <w:rPr>
          <w:rFonts w:ascii="Cambria" w:hAnsi="Cambria"/>
          <w:noProof/>
          <w:lang w:val="pl-PL"/>
        </w:rPr>
        <w:t xml:space="preserve">-podaci </w:t>
      </w:r>
      <w:r w:rsidR="004C5464" w:rsidRPr="006379FD">
        <w:rPr>
          <w:rFonts w:ascii="Cambria" w:hAnsi="Cambria"/>
          <w:noProof/>
          <w:lang w:val="pl-PL"/>
        </w:rPr>
        <w:t xml:space="preserve">o </w:t>
      </w:r>
      <w:r w:rsidR="006379FD" w:rsidRPr="006379FD">
        <w:rPr>
          <w:rFonts w:ascii="Cambria" w:hAnsi="Cambria"/>
          <w:noProof/>
          <w:lang w:val="pl-PL"/>
        </w:rPr>
        <w:t xml:space="preserve">inspekcijskom </w:t>
      </w:r>
      <w:r w:rsidR="004C5464" w:rsidRPr="006379FD">
        <w:rPr>
          <w:rFonts w:ascii="Cambria" w:hAnsi="Cambria"/>
          <w:noProof/>
          <w:lang w:val="pl-PL"/>
        </w:rPr>
        <w:t>nadzoru koji sprovode ekološka i sanitarna inspekcija</w:t>
      </w:r>
    </w:p>
    <w:p w14:paraId="4C44C410" w14:textId="77777777" w:rsidR="005D7417" w:rsidRPr="006379FD" w:rsidRDefault="00AC55AE" w:rsidP="00557C13">
      <w:pPr>
        <w:pStyle w:val="ListParagraph"/>
        <w:numPr>
          <w:ilvl w:val="0"/>
          <w:numId w:val="35"/>
        </w:numPr>
        <w:spacing w:after="60"/>
        <w:ind w:left="360" w:hanging="180"/>
        <w:jc w:val="both"/>
        <w:rPr>
          <w:rFonts w:ascii="Cambria" w:hAnsi="Cambria"/>
          <w:noProof/>
        </w:rPr>
      </w:pPr>
      <w:r w:rsidRPr="006379FD">
        <w:rPr>
          <w:rFonts w:ascii="Cambria" w:hAnsi="Cambria"/>
          <w:noProof/>
        </w:rPr>
        <w:t>MPRR/UBHVFP</w:t>
      </w:r>
      <w:r w:rsidR="004C5464" w:rsidRPr="006379FD">
        <w:rPr>
          <w:rFonts w:ascii="Cambria" w:hAnsi="Cambria"/>
          <w:noProof/>
        </w:rPr>
        <w:t xml:space="preserve"> </w:t>
      </w:r>
      <w:r w:rsidR="006379FD" w:rsidRPr="006379FD">
        <w:rPr>
          <w:rFonts w:ascii="Cambria" w:hAnsi="Cambria"/>
          <w:noProof/>
        </w:rPr>
        <w:t xml:space="preserve">- podaci </w:t>
      </w:r>
      <w:r w:rsidR="004C5464" w:rsidRPr="006379FD">
        <w:rPr>
          <w:rFonts w:ascii="Cambria" w:hAnsi="Cambria"/>
          <w:noProof/>
        </w:rPr>
        <w:t>u vezi sa propisima i upravnim postupcima u vezi sa sredstvima za zaštitu i ishranu bilja, podatke o aktivnostima u vezi održive upotrebe pesticida, kao i o inspekcijskom nadzoru koje sprovode fitosanitarna i veterinarska inspekcija</w:t>
      </w:r>
    </w:p>
    <w:p w14:paraId="052269D7" w14:textId="77777777" w:rsidR="005D7417" w:rsidRPr="006379FD" w:rsidRDefault="00353A1A" w:rsidP="00557C13">
      <w:pPr>
        <w:pStyle w:val="ListParagraph"/>
        <w:numPr>
          <w:ilvl w:val="0"/>
          <w:numId w:val="35"/>
        </w:numPr>
        <w:spacing w:after="60"/>
        <w:ind w:left="360" w:hanging="180"/>
        <w:jc w:val="both"/>
        <w:rPr>
          <w:rFonts w:ascii="Cambria" w:hAnsi="Cambria"/>
          <w:noProof/>
        </w:rPr>
      </w:pPr>
      <w:r w:rsidRPr="006379FD">
        <w:rPr>
          <w:rFonts w:ascii="Cambria" w:hAnsi="Cambria"/>
          <w:noProof/>
        </w:rPr>
        <w:t>MRSS</w:t>
      </w:r>
      <w:r w:rsidR="007430B9" w:rsidRPr="006379FD">
        <w:rPr>
          <w:rFonts w:ascii="Cambria" w:hAnsi="Cambria"/>
          <w:noProof/>
        </w:rPr>
        <w:t xml:space="preserve"> (</w:t>
      </w:r>
      <w:r w:rsidR="0068358F" w:rsidRPr="0068358F">
        <w:rPr>
          <w:rFonts w:ascii="Cambria" w:hAnsi="Cambria"/>
          <w:noProof/>
        </w:rPr>
        <w:t>Direktorat za rad</w:t>
      </w:r>
      <w:r w:rsidR="007430B9" w:rsidRPr="006379FD">
        <w:rPr>
          <w:rFonts w:ascii="Cambria" w:hAnsi="Cambria"/>
          <w:noProof/>
        </w:rPr>
        <w:t>)</w:t>
      </w:r>
      <w:r w:rsidR="004C5464" w:rsidRPr="006379FD">
        <w:rPr>
          <w:rFonts w:ascii="Cambria" w:hAnsi="Cambria"/>
          <w:noProof/>
        </w:rPr>
        <w:t xml:space="preserve"> </w:t>
      </w:r>
      <w:r w:rsidR="006379FD" w:rsidRPr="006379FD">
        <w:rPr>
          <w:rFonts w:ascii="Cambria" w:hAnsi="Cambria"/>
          <w:noProof/>
        </w:rPr>
        <w:t xml:space="preserve">- podaci </w:t>
      </w:r>
      <w:r w:rsidR="004C5464" w:rsidRPr="006379FD">
        <w:rPr>
          <w:rFonts w:ascii="Cambria" w:hAnsi="Cambria"/>
          <w:noProof/>
        </w:rPr>
        <w:t>o aktivnostima u vezi sa zaštitom zdravlja na radu pri izlaganju hemijskim materijama</w:t>
      </w:r>
    </w:p>
    <w:p w14:paraId="14431049" w14:textId="77777777" w:rsidR="004C5464" w:rsidRPr="006379FD" w:rsidRDefault="00AC55AE" w:rsidP="00557C13">
      <w:pPr>
        <w:pStyle w:val="ListParagraph"/>
        <w:numPr>
          <w:ilvl w:val="0"/>
          <w:numId w:val="35"/>
        </w:numPr>
        <w:spacing w:after="60"/>
        <w:ind w:left="360" w:hanging="180"/>
        <w:jc w:val="both"/>
        <w:rPr>
          <w:rFonts w:ascii="Cambria" w:hAnsi="Cambria"/>
          <w:noProof/>
        </w:rPr>
      </w:pPr>
      <w:r w:rsidRPr="006379FD">
        <w:rPr>
          <w:rFonts w:ascii="Cambria" w:hAnsi="Cambria"/>
          <w:noProof/>
        </w:rPr>
        <w:t>MZ</w:t>
      </w:r>
      <w:r w:rsidR="004C5464" w:rsidRPr="006379FD">
        <w:rPr>
          <w:rFonts w:ascii="Cambria" w:hAnsi="Cambria"/>
          <w:noProof/>
        </w:rPr>
        <w:t xml:space="preserve"> </w:t>
      </w:r>
      <w:r w:rsidR="006379FD" w:rsidRPr="006379FD">
        <w:rPr>
          <w:rFonts w:ascii="Cambria" w:hAnsi="Cambria"/>
          <w:noProof/>
        </w:rPr>
        <w:t xml:space="preserve">- podaci </w:t>
      </w:r>
      <w:r w:rsidR="004C5464" w:rsidRPr="006379FD">
        <w:rPr>
          <w:rFonts w:ascii="Cambria" w:hAnsi="Cambria"/>
          <w:noProof/>
        </w:rPr>
        <w:t xml:space="preserve">u vezi sa uspostavjanjem </w:t>
      </w:r>
      <w:r w:rsidR="00C275A3" w:rsidRPr="006379FD">
        <w:rPr>
          <w:rFonts w:ascii="Cambria" w:hAnsi="Cambria"/>
          <w:noProof/>
        </w:rPr>
        <w:t xml:space="preserve">i </w:t>
      </w:r>
      <w:r w:rsidR="007430B9" w:rsidRPr="006379FD">
        <w:rPr>
          <w:rFonts w:ascii="Cambria" w:hAnsi="Cambria"/>
          <w:noProof/>
        </w:rPr>
        <w:t xml:space="preserve">radom </w:t>
      </w:r>
      <w:r w:rsidR="004C5464" w:rsidRPr="006379FD">
        <w:rPr>
          <w:rFonts w:ascii="Cambria" w:hAnsi="Cambria"/>
          <w:noProof/>
        </w:rPr>
        <w:t>Centra za kontrolu trovanja</w:t>
      </w:r>
    </w:p>
    <w:p w14:paraId="6BD47651" w14:textId="77777777" w:rsidR="005D7417" w:rsidRPr="006379FD" w:rsidRDefault="006E03AD" w:rsidP="00557C13">
      <w:pPr>
        <w:pStyle w:val="ListParagraph"/>
        <w:numPr>
          <w:ilvl w:val="0"/>
          <w:numId w:val="35"/>
        </w:numPr>
        <w:spacing w:after="60"/>
        <w:ind w:left="360" w:hanging="180"/>
        <w:jc w:val="both"/>
        <w:rPr>
          <w:rFonts w:ascii="Cambria" w:hAnsi="Cambria"/>
          <w:noProof/>
        </w:rPr>
      </w:pPr>
      <w:r w:rsidRPr="006379FD">
        <w:rPr>
          <w:rFonts w:ascii="Cambria" w:hAnsi="Cambria"/>
          <w:noProof/>
        </w:rPr>
        <w:t>IJZ</w:t>
      </w:r>
      <w:r w:rsidR="006379FD" w:rsidRPr="006379FD">
        <w:rPr>
          <w:rFonts w:ascii="Cambria" w:hAnsi="Cambria"/>
          <w:noProof/>
        </w:rPr>
        <w:t xml:space="preserve"> i</w:t>
      </w:r>
      <w:r w:rsidR="004C5464" w:rsidRPr="006379FD">
        <w:rPr>
          <w:rFonts w:ascii="Cambria" w:hAnsi="Cambria"/>
          <w:noProof/>
        </w:rPr>
        <w:t xml:space="preserve"> </w:t>
      </w:r>
      <w:r w:rsidR="009816D2" w:rsidRPr="006379FD">
        <w:rPr>
          <w:rFonts w:ascii="Cambria" w:hAnsi="Cambria"/>
          <w:noProof/>
        </w:rPr>
        <w:t xml:space="preserve">CETI </w:t>
      </w:r>
      <w:r w:rsidR="006379FD" w:rsidRPr="006379FD">
        <w:rPr>
          <w:rFonts w:ascii="Cambria" w:hAnsi="Cambria"/>
          <w:noProof/>
        </w:rPr>
        <w:t>- podaci</w:t>
      </w:r>
      <w:r w:rsidR="007430B9" w:rsidRPr="006379FD">
        <w:rPr>
          <w:rFonts w:ascii="Cambria" w:hAnsi="Cambria"/>
          <w:noProof/>
        </w:rPr>
        <w:t xml:space="preserve"> o aktivnostima </w:t>
      </w:r>
      <w:r w:rsidR="009816D2" w:rsidRPr="006379FD">
        <w:rPr>
          <w:rFonts w:ascii="Cambria" w:hAnsi="Cambria"/>
          <w:noProof/>
        </w:rPr>
        <w:t xml:space="preserve"> u vezi sa</w:t>
      </w:r>
      <w:r w:rsidR="006379FD" w:rsidRPr="006379FD">
        <w:rPr>
          <w:rFonts w:ascii="Cambria" w:hAnsi="Cambria"/>
          <w:noProof/>
        </w:rPr>
        <w:t xml:space="preserve"> laboratorijskim ispitivanjima hemikalija i proizvoda koji ih sadrže</w:t>
      </w:r>
    </w:p>
    <w:p w14:paraId="50CBEB4C" w14:textId="77777777" w:rsidR="0068358F" w:rsidRDefault="0068358F" w:rsidP="00557C13">
      <w:pPr>
        <w:pStyle w:val="ListParagraph"/>
        <w:numPr>
          <w:ilvl w:val="0"/>
          <w:numId w:val="35"/>
        </w:numPr>
        <w:spacing w:after="60"/>
        <w:ind w:left="360" w:hanging="180"/>
        <w:jc w:val="both"/>
        <w:rPr>
          <w:rFonts w:ascii="Cambria" w:hAnsi="Cambria"/>
          <w:noProof/>
        </w:rPr>
      </w:pPr>
      <w:r>
        <w:rPr>
          <w:rFonts w:ascii="Cambria" w:hAnsi="Cambria"/>
          <w:noProof/>
        </w:rPr>
        <w:t xml:space="preserve">UCG – podaci o učešću u edukacijama u oblasti hemikalija </w:t>
      </w:r>
    </w:p>
    <w:p w14:paraId="3A0EB5C6" w14:textId="11D03F45" w:rsidR="007430B9" w:rsidRPr="006379FD" w:rsidRDefault="00AC55AE" w:rsidP="00557C13">
      <w:pPr>
        <w:pStyle w:val="ListParagraph"/>
        <w:numPr>
          <w:ilvl w:val="0"/>
          <w:numId w:val="35"/>
        </w:numPr>
        <w:spacing w:after="60"/>
        <w:ind w:left="360" w:hanging="180"/>
        <w:jc w:val="both"/>
        <w:rPr>
          <w:rFonts w:ascii="Cambria" w:hAnsi="Cambria"/>
          <w:noProof/>
        </w:rPr>
      </w:pPr>
      <w:r w:rsidRPr="006379FD">
        <w:rPr>
          <w:rFonts w:ascii="Cambria" w:hAnsi="Cambria"/>
          <w:noProof/>
        </w:rPr>
        <w:t>ME</w:t>
      </w:r>
      <w:r w:rsidR="007430B9" w:rsidRPr="006379FD">
        <w:rPr>
          <w:rFonts w:ascii="Cambria" w:hAnsi="Cambria"/>
          <w:noProof/>
        </w:rPr>
        <w:t xml:space="preserve"> </w:t>
      </w:r>
      <w:r w:rsidR="006379FD" w:rsidRPr="006379FD">
        <w:rPr>
          <w:rFonts w:ascii="Cambria" w:hAnsi="Cambria"/>
          <w:noProof/>
        </w:rPr>
        <w:t xml:space="preserve">- podaci </w:t>
      </w:r>
      <w:r w:rsidR="007430B9" w:rsidRPr="006379FD">
        <w:rPr>
          <w:rFonts w:ascii="Cambria" w:hAnsi="Cambria"/>
          <w:noProof/>
        </w:rPr>
        <w:t>aktivnostima u vezi zaštite potrošača u pogledu hemijske bezb</w:t>
      </w:r>
      <w:r w:rsidR="00D1249D">
        <w:rPr>
          <w:rFonts w:ascii="Cambria" w:hAnsi="Cambria"/>
          <w:noProof/>
        </w:rPr>
        <w:t>j</w:t>
      </w:r>
      <w:r w:rsidR="007430B9" w:rsidRPr="006379FD">
        <w:rPr>
          <w:rFonts w:ascii="Cambria" w:hAnsi="Cambria"/>
          <w:noProof/>
        </w:rPr>
        <w:t>ednosti proizvoda</w:t>
      </w:r>
    </w:p>
    <w:p w14:paraId="61604DBC" w14:textId="6FFAA915" w:rsidR="006379FD" w:rsidRPr="006379FD" w:rsidRDefault="00353A1A" w:rsidP="00557C13">
      <w:pPr>
        <w:pStyle w:val="ListParagraph"/>
        <w:numPr>
          <w:ilvl w:val="0"/>
          <w:numId w:val="35"/>
        </w:numPr>
        <w:spacing w:after="120"/>
        <w:ind w:left="360" w:hanging="180"/>
        <w:jc w:val="both"/>
        <w:rPr>
          <w:rFonts w:ascii="Cambria" w:hAnsi="Cambria"/>
          <w:noProof/>
        </w:rPr>
      </w:pPr>
      <w:r w:rsidRPr="006379FD">
        <w:rPr>
          <w:rFonts w:ascii="Cambria" w:hAnsi="Cambria"/>
          <w:noProof/>
        </w:rPr>
        <w:t>MUP</w:t>
      </w:r>
      <w:r w:rsidR="007430B9" w:rsidRPr="006379FD">
        <w:rPr>
          <w:rFonts w:ascii="Cambria" w:hAnsi="Cambria"/>
          <w:noProof/>
        </w:rPr>
        <w:t xml:space="preserve"> (</w:t>
      </w:r>
      <w:r w:rsidR="0068358F" w:rsidRPr="0068358F">
        <w:rPr>
          <w:rFonts w:ascii="Cambria" w:hAnsi="Cambria"/>
          <w:noProof/>
        </w:rPr>
        <w:t xml:space="preserve">Direktorat </w:t>
      </w:r>
      <w:r w:rsidR="007430B9" w:rsidRPr="006379FD">
        <w:rPr>
          <w:rFonts w:ascii="Cambria" w:hAnsi="Cambria"/>
          <w:noProof/>
        </w:rPr>
        <w:t xml:space="preserve">za vanredne situacije) - </w:t>
      </w:r>
      <w:r w:rsidR="006379FD" w:rsidRPr="006379FD">
        <w:rPr>
          <w:rFonts w:ascii="Cambria" w:hAnsi="Cambria"/>
          <w:noProof/>
        </w:rPr>
        <w:t xml:space="preserve">podaci o aktivnostima </w:t>
      </w:r>
      <w:r w:rsidR="007430B9" w:rsidRPr="006379FD">
        <w:rPr>
          <w:rFonts w:ascii="Cambria" w:hAnsi="Cambria"/>
          <w:noProof/>
        </w:rPr>
        <w:t xml:space="preserve">u vezi </w:t>
      </w:r>
      <w:r w:rsidR="006379FD" w:rsidRPr="006379FD">
        <w:rPr>
          <w:rFonts w:ascii="Cambria" w:hAnsi="Cambria"/>
          <w:noProof/>
        </w:rPr>
        <w:t>sa  hemijskim udesima i prevozom opasnih materija</w:t>
      </w:r>
      <w:r w:rsidR="00AC55AE" w:rsidRPr="006379FD">
        <w:rPr>
          <w:rFonts w:ascii="Cambria" w:hAnsi="Cambria"/>
          <w:noProof/>
        </w:rPr>
        <w:t>.</w:t>
      </w:r>
      <w:r w:rsidR="00453CD7" w:rsidRPr="006379FD">
        <w:rPr>
          <w:rFonts w:ascii="Cambria" w:hAnsi="Cambria"/>
          <w:noProof/>
        </w:rPr>
        <w:t xml:space="preserve"> </w:t>
      </w:r>
    </w:p>
    <w:p w14:paraId="46931936" w14:textId="77777777" w:rsidR="00C14F4D" w:rsidRDefault="006E03AD" w:rsidP="000D7868">
      <w:pPr>
        <w:jc w:val="both"/>
        <w:rPr>
          <w:rFonts w:ascii="Cambria" w:hAnsi="Cambria"/>
          <w:noProof/>
        </w:rPr>
      </w:pPr>
      <w:r>
        <w:rPr>
          <w:rFonts w:ascii="Cambria" w:hAnsi="Cambria"/>
          <w:noProof/>
        </w:rPr>
        <w:t xml:space="preserve">Aktivnosti na praćenju sprovođenja </w:t>
      </w:r>
      <w:r w:rsidR="00AE22F7">
        <w:rPr>
          <w:rFonts w:ascii="Cambria" w:hAnsi="Cambria"/>
          <w:noProof/>
        </w:rPr>
        <w:t xml:space="preserve">strategije </w:t>
      </w:r>
      <w:r>
        <w:rPr>
          <w:rFonts w:ascii="Cambria" w:hAnsi="Cambria"/>
          <w:noProof/>
        </w:rPr>
        <w:t>koordiniraće MORT</w:t>
      </w:r>
      <w:r w:rsidRPr="00094F2D">
        <w:rPr>
          <w:rFonts w:ascii="Cambria" w:hAnsi="Cambria"/>
          <w:noProof/>
        </w:rPr>
        <w:t>.</w:t>
      </w:r>
      <w:r>
        <w:rPr>
          <w:rFonts w:ascii="Cambria" w:hAnsi="Cambria"/>
          <w:noProof/>
        </w:rPr>
        <w:t xml:space="preserve"> Svaki nosilac aktivnosti iz akcionog plana dužan je da po završetku kalendarske godine</w:t>
      </w:r>
      <w:r w:rsidR="00AE22F7">
        <w:rPr>
          <w:rFonts w:ascii="Cambria" w:hAnsi="Cambria"/>
          <w:noProof/>
        </w:rPr>
        <w:t>, a po potrebi i češće,</w:t>
      </w:r>
      <w:r>
        <w:rPr>
          <w:rFonts w:ascii="Cambria" w:hAnsi="Cambria"/>
          <w:noProof/>
        </w:rPr>
        <w:t xml:space="preserve"> dostavi MORT podatke u vezi sa realizacijom aktivnosti</w:t>
      </w:r>
      <w:r w:rsidR="00235B6A">
        <w:rPr>
          <w:rFonts w:ascii="Cambria" w:hAnsi="Cambria"/>
          <w:noProof/>
        </w:rPr>
        <w:t xml:space="preserve"> utvrđen</w:t>
      </w:r>
      <w:r w:rsidR="006379FD">
        <w:rPr>
          <w:rFonts w:ascii="Cambria" w:hAnsi="Cambria"/>
          <w:noProof/>
        </w:rPr>
        <w:t>ih</w:t>
      </w:r>
      <w:r w:rsidR="00235B6A">
        <w:rPr>
          <w:rFonts w:ascii="Cambria" w:hAnsi="Cambria"/>
          <w:noProof/>
        </w:rPr>
        <w:t xml:space="preserve"> akcionim planom. MORT </w:t>
      </w:r>
      <w:r>
        <w:rPr>
          <w:rFonts w:ascii="Cambria" w:hAnsi="Cambria"/>
          <w:noProof/>
        </w:rPr>
        <w:t xml:space="preserve"> </w:t>
      </w:r>
      <w:r w:rsidR="00235B6A">
        <w:rPr>
          <w:rFonts w:ascii="Cambria" w:hAnsi="Cambria"/>
          <w:noProof/>
        </w:rPr>
        <w:t xml:space="preserve">je </w:t>
      </w:r>
      <w:r w:rsidR="00235B6A" w:rsidRPr="000E3F89">
        <w:rPr>
          <w:rFonts w:ascii="Cambria" w:hAnsi="Cambria"/>
          <w:noProof/>
        </w:rPr>
        <w:t xml:space="preserve">zadužen za objedinjavanje podataka i pisanje </w:t>
      </w:r>
      <w:r w:rsidR="00235B6A" w:rsidRPr="00353A1A">
        <w:rPr>
          <w:rFonts w:ascii="Cambria" w:hAnsi="Cambria"/>
          <w:noProof/>
        </w:rPr>
        <w:t>Godišnj</w:t>
      </w:r>
      <w:r w:rsidR="00235B6A">
        <w:rPr>
          <w:rFonts w:ascii="Cambria" w:hAnsi="Cambria"/>
          <w:noProof/>
        </w:rPr>
        <w:t xml:space="preserve">eg </w:t>
      </w:r>
      <w:r w:rsidR="00235B6A" w:rsidRPr="000E3F89">
        <w:rPr>
          <w:rFonts w:ascii="Cambria" w:hAnsi="Cambria"/>
          <w:noProof/>
        </w:rPr>
        <w:t>izvještaja</w:t>
      </w:r>
      <w:r w:rsidR="00235B6A">
        <w:rPr>
          <w:rFonts w:ascii="Cambria" w:hAnsi="Cambria"/>
          <w:noProof/>
        </w:rPr>
        <w:t xml:space="preserve"> o sprovođenju strategije, a </w:t>
      </w:r>
      <w:r>
        <w:rPr>
          <w:rFonts w:ascii="Cambria" w:hAnsi="Cambria"/>
          <w:noProof/>
        </w:rPr>
        <w:t xml:space="preserve">na osnovu podataka </w:t>
      </w:r>
      <w:r w:rsidR="00AE22F7">
        <w:rPr>
          <w:rFonts w:ascii="Cambria" w:hAnsi="Cambria"/>
          <w:noProof/>
        </w:rPr>
        <w:t>sa kojima raspolaže kao primarno</w:t>
      </w:r>
      <w:r w:rsidR="00AE22F7" w:rsidRPr="00094F2D">
        <w:rPr>
          <w:rFonts w:ascii="Cambria" w:hAnsi="Cambria"/>
          <w:noProof/>
        </w:rPr>
        <w:t xml:space="preserve"> nadležan </w:t>
      </w:r>
      <w:r w:rsidR="00AE22F7">
        <w:rPr>
          <w:rFonts w:ascii="Cambria" w:hAnsi="Cambria"/>
          <w:noProof/>
        </w:rPr>
        <w:t xml:space="preserve">organ </w:t>
      </w:r>
      <w:r w:rsidR="00AE22F7" w:rsidRPr="00094F2D">
        <w:rPr>
          <w:rFonts w:ascii="Cambria" w:hAnsi="Cambria"/>
          <w:noProof/>
        </w:rPr>
        <w:t xml:space="preserve">za </w:t>
      </w:r>
      <w:r w:rsidR="00AE22F7">
        <w:rPr>
          <w:rFonts w:ascii="Cambria" w:hAnsi="Cambria"/>
          <w:noProof/>
        </w:rPr>
        <w:t xml:space="preserve">upravljanje hemikalijama, kao i podataka </w:t>
      </w:r>
      <w:r>
        <w:rPr>
          <w:rFonts w:ascii="Cambria" w:hAnsi="Cambria"/>
          <w:noProof/>
        </w:rPr>
        <w:t xml:space="preserve">koje </w:t>
      </w:r>
      <w:r w:rsidR="00235B6A">
        <w:rPr>
          <w:rFonts w:ascii="Cambria" w:hAnsi="Cambria"/>
          <w:noProof/>
        </w:rPr>
        <w:t xml:space="preserve">dostave </w:t>
      </w:r>
      <w:r w:rsidR="00AE22F7">
        <w:rPr>
          <w:rFonts w:ascii="Cambria" w:hAnsi="Cambria"/>
          <w:noProof/>
        </w:rPr>
        <w:t xml:space="preserve">drugi </w:t>
      </w:r>
      <w:r w:rsidR="00235B6A">
        <w:rPr>
          <w:rFonts w:ascii="Cambria" w:hAnsi="Cambria"/>
          <w:noProof/>
        </w:rPr>
        <w:t>nosioci</w:t>
      </w:r>
      <w:r>
        <w:rPr>
          <w:rFonts w:ascii="Cambria" w:hAnsi="Cambria"/>
          <w:noProof/>
        </w:rPr>
        <w:t xml:space="preserve"> pojedinih aktivnosti iz akcionog plana</w:t>
      </w:r>
      <w:r w:rsidR="00AE22F7">
        <w:rPr>
          <w:rFonts w:ascii="Cambria" w:hAnsi="Cambria"/>
          <w:noProof/>
        </w:rPr>
        <w:t xml:space="preserve"> u skladu sa svojim nadležnostima</w:t>
      </w:r>
      <w:r>
        <w:rPr>
          <w:rFonts w:ascii="Cambria" w:hAnsi="Cambria"/>
          <w:noProof/>
        </w:rPr>
        <w:t xml:space="preserve">. </w:t>
      </w:r>
      <w:r w:rsidR="009307B9">
        <w:rPr>
          <w:rFonts w:ascii="Cambria" w:hAnsi="Cambria"/>
          <w:noProof/>
        </w:rPr>
        <w:t xml:space="preserve">Godišnji izvještaj </w:t>
      </w:r>
      <w:r w:rsidR="00F143B5">
        <w:rPr>
          <w:rFonts w:ascii="Cambria" w:hAnsi="Cambria"/>
          <w:noProof/>
        </w:rPr>
        <w:t xml:space="preserve">se </w:t>
      </w:r>
      <w:r w:rsidR="009307B9" w:rsidRPr="00F8033F">
        <w:rPr>
          <w:rFonts w:ascii="Cambria" w:hAnsi="Cambria"/>
          <w:noProof/>
        </w:rPr>
        <w:t>dostavlja</w:t>
      </w:r>
      <w:r w:rsidR="009307B9">
        <w:rPr>
          <w:rFonts w:ascii="Cambria" w:hAnsi="Cambria"/>
          <w:noProof/>
        </w:rPr>
        <w:t xml:space="preserve"> se </w:t>
      </w:r>
      <w:r w:rsidR="009307B9" w:rsidRPr="00F8033F">
        <w:rPr>
          <w:rFonts w:ascii="Cambria" w:hAnsi="Cambria"/>
          <w:noProof/>
        </w:rPr>
        <w:t xml:space="preserve">Vladi </w:t>
      </w:r>
      <w:r w:rsidR="009307B9">
        <w:rPr>
          <w:rFonts w:ascii="Cambria" w:hAnsi="Cambria"/>
          <w:noProof/>
        </w:rPr>
        <w:t>preko Generalnog sekretarijata Vlade</w:t>
      </w:r>
      <w:r w:rsidR="009307B9">
        <w:rPr>
          <w:rStyle w:val="FootnoteReference"/>
          <w:rFonts w:ascii="Cambria" w:hAnsi="Cambria"/>
          <w:noProof/>
        </w:rPr>
        <w:footnoteReference w:id="64"/>
      </w:r>
      <w:r w:rsidR="009307B9">
        <w:rPr>
          <w:rFonts w:ascii="Cambria" w:hAnsi="Cambria"/>
          <w:noProof/>
        </w:rPr>
        <w:t xml:space="preserve"> </w:t>
      </w:r>
      <w:r w:rsidR="009307B9" w:rsidRPr="00F8033F">
        <w:rPr>
          <w:rFonts w:ascii="Cambria" w:hAnsi="Cambria"/>
          <w:noProof/>
        </w:rPr>
        <w:t>do 31. marta tekuće za prethodnu godinu</w:t>
      </w:r>
      <w:r w:rsidR="009307B9">
        <w:rPr>
          <w:rFonts w:ascii="Cambria" w:hAnsi="Cambria"/>
          <w:noProof/>
        </w:rPr>
        <w:t xml:space="preserve">. </w:t>
      </w:r>
      <w:r w:rsidR="005D7417">
        <w:rPr>
          <w:rFonts w:ascii="Cambria" w:hAnsi="Cambria"/>
          <w:noProof/>
        </w:rPr>
        <w:t>G</w:t>
      </w:r>
      <w:r w:rsidR="009307B9">
        <w:rPr>
          <w:rFonts w:ascii="Cambria" w:hAnsi="Cambria"/>
          <w:noProof/>
        </w:rPr>
        <w:t>odišnji izvještaj se objavljuje na internet stranici MORT.</w:t>
      </w:r>
    </w:p>
    <w:p w14:paraId="143B0662" w14:textId="77777777" w:rsidR="00867326" w:rsidRDefault="00867326" w:rsidP="00F143B5">
      <w:pPr>
        <w:jc w:val="both"/>
        <w:rPr>
          <w:rFonts w:ascii="Cambria" w:hAnsi="Cambria"/>
          <w:b/>
          <w:noProof/>
        </w:rPr>
      </w:pPr>
    </w:p>
    <w:p w14:paraId="3770A84E" w14:textId="78F81AB9" w:rsidR="00F143B5" w:rsidRPr="00867326" w:rsidRDefault="00F143B5" w:rsidP="00867326">
      <w:pPr>
        <w:pStyle w:val="Heading2"/>
        <w:spacing w:before="0" w:after="120"/>
        <w:rPr>
          <w:noProof/>
          <w:sz w:val="22"/>
          <w:szCs w:val="22"/>
          <w:lang w:val="en-US"/>
        </w:rPr>
      </w:pPr>
      <w:bookmarkStart w:id="160" w:name="_Toc527353236"/>
      <w:r w:rsidRPr="00867326">
        <w:rPr>
          <w:noProof/>
          <w:sz w:val="22"/>
          <w:szCs w:val="22"/>
          <w:lang w:val="en-US"/>
        </w:rPr>
        <w:t>3.</w:t>
      </w:r>
      <w:r w:rsidR="00855EB6">
        <w:rPr>
          <w:noProof/>
          <w:sz w:val="22"/>
          <w:szCs w:val="22"/>
          <w:lang w:val="en-US"/>
        </w:rPr>
        <w:t>2</w:t>
      </w:r>
      <w:r w:rsidRPr="00867326">
        <w:rPr>
          <w:noProof/>
          <w:sz w:val="22"/>
          <w:szCs w:val="22"/>
          <w:lang w:val="en-US"/>
        </w:rPr>
        <w:t>.2. Evaluacija i završno izvještavanje</w:t>
      </w:r>
      <w:bookmarkEnd w:id="160"/>
    </w:p>
    <w:p w14:paraId="77F595D8" w14:textId="77777777" w:rsidR="00AE22F7" w:rsidRDefault="005D7417" w:rsidP="000D7868">
      <w:pPr>
        <w:jc w:val="both"/>
        <w:rPr>
          <w:rFonts w:ascii="Cambria" w:hAnsi="Cambria"/>
          <w:noProof/>
        </w:rPr>
      </w:pPr>
      <w:r>
        <w:rPr>
          <w:rFonts w:ascii="Cambria" w:hAnsi="Cambria"/>
          <w:noProof/>
        </w:rPr>
        <w:t>P</w:t>
      </w:r>
      <w:r w:rsidR="008C0174">
        <w:rPr>
          <w:rFonts w:ascii="Cambria" w:hAnsi="Cambria"/>
          <w:noProof/>
        </w:rPr>
        <w:t>o završetku</w:t>
      </w:r>
      <w:r w:rsidR="00235B6A">
        <w:rPr>
          <w:rFonts w:ascii="Cambria" w:hAnsi="Cambria"/>
          <w:noProof/>
        </w:rPr>
        <w:t xml:space="preserve"> četvorogodišnjeg perioda 2019-2022.</w:t>
      </w:r>
      <w:r w:rsidR="00AE22F7">
        <w:rPr>
          <w:rFonts w:ascii="Cambria" w:hAnsi="Cambria"/>
          <w:noProof/>
        </w:rPr>
        <w:t xml:space="preserve"> </w:t>
      </w:r>
      <w:r w:rsidR="001308E9">
        <w:rPr>
          <w:rFonts w:ascii="Cambria" w:hAnsi="Cambria"/>
          <w:noProof/>
        </w:rPr>
        <w:t>n</w:t>
      </w:r>
      <w:r w:rsidR="00AE22F7">
        <w:rPr>
          <w:rFonts w:ascii="Cambria" w:hAnsi="Cambria"/>
          <w:noProof/>
        </w:rPr>
        <w:t xml:space="preserve">a koji se odnosi </w:t>
      </w:r>
      <w:r w:rsidR="007370FF">
        <w:rPr>
          <w:rFonts w:ascii="Cambria" w:hAnsi="Cambria"/>
          <w:noProof/>
        </w:rPr>
        <w:t xml:space="preserve">Nacionalna </w:t>
      </w:r>
      <w:r w:rsidR="00AE22F7">
        <w:rPr>
          <w:rFonts w:ascii="Cambria" w:hAnsi="Cambria"/>
          <w:noProof/>
        </w:rPr>
        <w:t>strategija</w:t>
      </w:r>
      <w:r w:rsidR="007370FF">
        <w:rPr>
          <w:rFonts w:ascii="Cambria" w:hAnsi="Cambria"/>
          <w:noProof/>
        </w:rPr>
        <w:t xml:space="preserve"> upravljanja hemikalijama</w:t>
      </w:r>
      <w:r w:rsidR="00AE22F7">
        <w:rPr>
          <w:rFonts w:ascii="Cambria" w:hAnsi="Cambria"/>
          <w:noProof/>
        </w:rPr>
        <w:t xml:space="preserve">, </w:t>
      </w:r>
      <w:r w:rsidR="00235B6A">
        <w:rPr>
          <w:rFonts w:ascii="Cambria" w:hAnsi="Cambria"/>
          <w:noProof/>
        </w:rPr>
        <w:t xml:space="preserve"> </w:t>
      </w:r>
      <w:r>
        <w:rPr>
          <w:rFonts w:ascii="Cambria" w:hAnsi="Cambria"/>
          <w:noProof/>
        </w:rPr>
        <w:t xml:space="preserve">potrebno je </w:t>
      </w:r>
      <w:r w:rsidR="00235B6A">
        <w:rPr>
          <w:rFonts w:ascii="Cambria" w:hAnsi="Cambria"/>
          <w:noProof/>
        </w:rPr>
        <w:t xml:space="preserve">izvršiti </w:t>
      </w:r>
      <w:r w:rsidR="008C0174">
        <w:rPr>
          <w:rFonts w:ascii="Cambria" w:hAnsi="Cambria"/>
          <w:noProof/>
        </w:rPr>
        <w:t xml:space="preserve">evaluaciju </w:t>
      </w:r>
      <w:r w:rsidR="008C0174" w:rsidRPr="008C0174">
        <w:rPr>
          <w:rFonts w:ascii="Cambria" w:hAnsi="Cambria"/>
          <w:noProof/>
        </w:rPr>
        <w:t>implementacije strategij</w:t>
      </w:r>
      <w:r w:rsidR="008C0174">
        <w:rPr>
          <w:rFonts w:ascii="Cambria" w:hAnsi="Cambria"/>
          <w:noProof/>
        </w:rPr>
        <w:t xml:space="preserve">e, odnosno </w:t>
      </w:r>
      <w:r w:rsidR="002B686B" w:rsidRPr="002B686B">
        <w:rPr>
          <w:rFonts w:ascii="Cambria" w:hAnsi="Cambria"/>
          <w:noProof/>
        </w:rPr>
        <w:t xml:space="preserve">analizu </w:t>
      </w:r>
      <w:r w:rsidR="00C41408" w:rsidRPr="00C41408">
        <w:rPr>
          <w:rFonts w:ascii="Cambria" w:hAnsi="Cambria"/>
          <w:noProof/>
        </w:rPr>
        <w:t xml:space="preserve">efekata </w:t>
      </w:r>
      <w:r w:rsidR="008C0174">
        <w:rPr>
          <w:rFonts w:ascii="Cambria" w:hAnsi="Cambria"/>
          <w:noProof/>
        </w:rPr>
        <w:t xml:space="preserve">svih </w:t>
      </w:r>
      <w:r w:rsidR="000E63A8" w:rsidRPr="000E63A8">
        <w:rPr>
          <w:rFonts w:ascii="Cambria" w:hAnsi="Cambria"/>
          <w:noProof/>
        </w:rPr>
        <w:t>sprovedenih aktivnosti i stepen</w:t>
      </w:r>
      <w:r w:rsidR="000E4B34">
        <w:rPr>
          <w:rFonts w:ascii="Cambria" w:hAnsi="Cambria"/>
          <w:noProof/>
        </w:rPr>
        <w:t>a</w:t>
      </w:r>
      <w:r w:rsidR="000E63A8" w:rsidRPr="000E63A8">
        <w:rPr>
          <w:rFonts w:ascii="Cambria" w:hAnsi="Cambria"/>
          <w:noProof/>
        </w:rPr>
        <w:t xml:space="preserve"> ispunjenosti ciljeva</w:t>
      </w:r>
      <w:r w:rsidR="000E63A8">
        <w:rPr>
          <w:rFonts w:ascii="Cambria" w:hAnsi="Cambria"/>
          <w:noProof/>
        </w:rPr>
        <w:t xml:space="preserve"> strategije kako bi se </w:t>
      </w:r>
      <w:r w:rsidR="003A4A26">
        <w:rPr>
          <w:rFonts w:ascii="Cambria" w:hAnsi="Cambria"/>
          <w:noProof/>
        </w:rPr>
        <w:t xml:space="preserve"> izveli zaključci i preporuke za naredni četvorogodišnji period. </w:t>
      </w:r>
    </w:p>
    <w:p w14:paraId="238273AF" w14:textId="77777777" w:rsidR="007370FF" w:rsidRDefault="008C0174" w:rsidP="000D7868">
      <w:pPr>
        <w:jc w:val="both"/>
        <w:rPr>
          <w:rFonts w:ascii="Cambria" w:hAnsi="Cambria"/>
          <w:noProof/>
        </w:rPr>
      </w:pPr>
      <w:r>
        <w:rPr>
          <w:rFonts w:ascii="Cambria" w:hAnsi="Cambria"/>
          <w:noProof/>
        </w:rPr>
        <w:t>O</w:t>
      </w:r>
      <w:r w:rsidRPr="008C0174">
        <w:rPr>
          <w:rFonts w:ascii="Cambria" w:hAnsi="Cambria"/>
          <w:noProof/>
        </w:rPr>
        <w:t>snovni princip procesa evaluacije biće da obezbijedi nezavisnost i objektivnost</w:t>
      </w:r>
      <w:r>
        <w:rPr>
          <w:rFonts w:ascii="Cambria" w:hAnsi="Cambria"/>
          <w:noProof/>
        </w:rPr>
        <w:t xml:space="preserve"> u </w:t>
      </w:r>
      <w:r w:rsidR="00D1372E">
        <w:rPr>
          <w:rFonts w:ascii="Cambria" w:hAnsi="Cambria"/>
          <w:noProof/>
        </w:rPr>
        <w:t xml:space="preserve">analizi </w:t>
      </w:r>
      <w:r w:rsidR="007370FF" w:rsidRPr="007370FF">
        <w:rPr>
          <w:rFonts w:ascii="Cambria" w:hAnsi="Cambria"/>
          <w:noProof/>
        </w:rPr>
        <w:t xml:space="preserve">relevantnosti, efikasnosti, efektivnosti i održivosti </w:t>
      </w:r>
      <w:r w:rsidR="007370FF">
        <w:rPr>
          <w:rFonts w:ascii="Cambria" w:hAnsi="Cambria"/>
          <w:noProof/>
        </w:rPr>
        <w:t>aktivnosti</w:t>
      </w:r>
      <w:r w:rsidR="007370FF" w:rsidRPr="007370FF">
        <w:rPr>
          <w:rFonts w:ascii="Cambria" w:hAnsi="Cambria"/>
          <w:noProof/>
        </w:rPr>
        <w:t xml:space="preserve"> i programa</w:t>
      </w:r>
      <w:r w:rsidR="007370FF">
        <w:rPr>
          <w:rFonts w:ascii="Cambria" w:hAnsi="Cambria"/>
          <w:noProof/>
        </w:rPr>
        <w:t xml:space="preserve"> u oblasti upravljanja hemikalijama, sa ciljem da se odrede</w:t>
      </w:r>
      <w:r w:rsidR="000E4B34">
        <w:rPr>
          <w:rFonts w:ascii="Cambria" w:hAnsi="Cambria"/>
          <w:noProof/>
        </w:rPr>
        <w:t xml:space="preserve"> jasne smjernice za dalje unapredjenje sistema upravljanja hemikalijama</w:t>
      </w:r>
      <w:r w:rsidRPr="008C0174">
        <w:rPr>
          <w:rFonts w:ascii="Cambria" w:hAnsi="Cambria"/>
          <w:noProof/>
        </w:rPr>
        <w:t xml:space="preserve">. </w:t>
      </w:r>
    </w:p>
    <w:p w14:paraId="5E9CCFEC" w14:textId="77777777" w:rsidR="00B96B81" w:rsidRDefault="007370FF" w:rsidP="000D7868">
      <w:pPr>
        <w:jc w:val="both"/>
        <w:rPr>
          <w:rFonts w:ascii="Cambria" w:hAnsi="Cambria"/>
          <w:noProof/>
        </w:rPr>
      </w:pPr>
      <w:r>
        <w:rPr>
          <w:rFonts w:ascii="Cambria" w:hAnsi="Cambria"/>
          <w:noProof/>
        </w:rPr>
        <w:t xml:space="preserve">Stoga se preporučuje da evaluaciju sprovođenja ove strategije izradi nezavisni evaluator, a sredstva za njegovo angažovanje u treba predvidjeti u sklopu budžeta za završnu godinu sprovođenja strategije. </w:t>
      </w:r>
    </w:p>
    <w:p w14:paraId="40E17849" w14:textId="5B51436D" w:rsidR="00CE5FFA" w:rsidRDefault="00216FD7" w:rsidP="000D7868">
      <w:pPr>
        <w:jc w:val="both"/>
        <w:rPr>
          <w:rFonts w:ascii="Cambria" w:hAnsi="Cambria"/>
          <w:noProof/>
        </w:rPr>
      </w:pPr>
      <w:r w:rsidRPr="00D872CC">
        <w:rPr>
          <w:rFonts w:ascii="Cambria" w:hAnsi="Cambria"/>
          <w:noProof/>
        </w:rPr>
        <w:t xml:space="preserve">Evaluacija se sprovodi nakon završetka </w:t>
      </w:r>
      <w:r>
        <w:rPr>
          <w:rFonts w:ascii="Cambria" w:hAnsi="Cambria"/>
          <w:noProof/>
        </w:rPr>
        <w:t>perioda na koji se odnosi</w:t>
      </w:r>
      <w:r w:rsidRPr="00D872CC">
        <w:rPr>
          <w:rFonts w:ascii="Cambria" w:hAnsi="Cambria"/>
          <w:noProof/>
        </w:rPr>
        <w:t xml:space="preserve"> strategijsk</w:t>
      </w:r>
      <w:r>
        <w:rPr>
          <w:rFonts w:ascii="Cambria" w:hAnsi="Cambria"/>
          <w:noProof/>
        </w:rPr>
        <w:t>i</w:t>
      </w:r>
      <w:r w:rsidRPr="00D872CC">
        <w:rPr>
          <w:rFonts w:ascii="Cambria" w:hAnsi="Cambria"/>
          <w:noProof/>
        </w:rPr>
        <w:t xml:space="preserve"> dokument i </w:t>
      </w:r>
      <w:r w:rsidR="00AE22F7">
        <w:rPr>
          <w:rFonts w:ascii="Cambria" w:hAnsi="Cambria"/>
          <w:noProof/>
        </w:rPr>
        <w:t xml:space="preserve">sastavni je </w:t>
      </w:r>
      <w:r w:rsidR="00C65B0A">
        <w:rPr>
          <w:rFonts w:ascii="Cambria" w:hAnsi="Cambria"/>
          <w:noProof/>
        </w:rPr>
        <w:t xml:space="preserve">dio </w:t>
      </w:r>
      <w:r w:rsidR="007370FF">
        <w:rPr>
          <w:rFonts w:ascii="Cambria" w:hAnsi="Cambria"/>
          <w:noProof/>
        </w:rPr>
        <w:t>Z</w:t>
      </w:r>
      <w:r w:rsidRPr="00D872CC">
        <w:rPr>
          <w:rFonts w:ascii="Cambria" w:hAnsi="Cambria"/>
          <w:noProof/>
        </w:rPr>
        <w:t>avršnog izvještaja sprovođenju</w:t>
      </w:r>
      <w:r>
        <w:rPr>
          <w:rFonts w:ascii="Cambria" w:hAnsi="Cambria"/>
          <w:noProof/>
        </w:rPr>
        <w:t xml:space="preserve"> strategije. </w:t>
      </w:r>
      <w:r w:rsidR="00B96B81">
        <w:rPr>
          <w:rFonts w:ascii="Cambria" w:hAnsi="Cambria"/>
          <w:noProof/>
        </w:rPr>
        <w:t>Pored evaluacije</w:t>
      </w:r>
      <w:r w:rsidR="00B96B81" w:rsidRPr="00B96B81">
        <w:rPr>
          <w:noProof/>
        </w:rPr>
        <w:t xml:space="preserve"> </w:t>
      </w:r>
      <w:r w:rsidR="00B96B81" w:rsidRPr="00B96B81">
        <w:rPr>
          <w:rFonts w:ascii="Cambria" w:hAnsi="Cambria"/>
          <w:noProof/>
        </w:rPr>
        <w:t>efekata i stepena ispunjenosti ciljeva strategije</w:t>
      </w:r>
      <w:r w:rsidR="00B96B81">
        <w:rPr>
          <w:rFonts w:ascii="Cambria" w:hAnsi="Cambria"/>
          <w:noProof/>
        </w:rPr>
        <w:t xml:space="preserve"> za realizovani period, Završni izvještaj sadrži i podatke o sprovedenim aktivnostima, napomene u vezi sa teškoćama koje su se javile u realizaciji i predloge za njihovo otklanjanje, kao i obrazloženja za izostanak realizacije pojedinih aktivnosti</w:t>
      </w:r>
      <w:r w:rsidR="008017A6">
        <w:rPr>
          <w:rFonts w:ascii="Cambria" w:hAnsi="Cambria"/>
          <w:noProof/>
        </w:rPr>
        <w:t>.</w:t>
      </w:r>
      <w:r w:rsidR="00B96B81">
        <w:rPr>
          <w:rFonts w:ascii="Cambria" w:hAnsi="Cambria"/>
          <w:noProof/>
        </w:rPr>
        <w:t xml:space="preserve">   </w:t>
      </w:r>
      <w:r w:rsidR="00D1372E">
        <w:rPr>
          <w:rFonts w:ascii="Cambria" w:hAnsi="Cambria"/>
          <w:noProof/>
        </w:rPr>
        <w:t xml:space="preserve">Proces evaluacije koordiniraće </w:t>
      </w:r>
      <w:r w:rsidR="008C0174">
        <w:rPr>
          <w:rFonts w:ascii="Cambria" w:hAnsi="Cambria"/>
          <w:noProof/>
        </w:rPr>
        <w:t>MORT</w:t>
      </w:r>
      <w:r w:rsidR="00D1372E">
        <w:rPr>
          <w:rFonts w:ascii="Cambria" w:hAnsi="Cambria"/>
          <w:noProof/>
        </w:rPr>
        <w:t xml:space="preserve">, koji će biti zadužen i za dostavljanje </w:t>
      </w:r>
      <w:r w:rsidR="00AE22F7">
        <w:rPr>
          <w:rFonts w:ascii="Cambria" w:hAnsi="Cambria"/>
          <w:noProof/>
        </w:rPr>
        <w:t>Z</w:t>
      </w:r>
      <w:r w:rsidR="000E4B34">
        <w:rPr>
          <w:rFonts w:ascii="Cambria" w:hAnsi="Cambria"/>
          <w:noProof/>
        </w:rPr>
        <w:t xml:space="preserve">avršnog izvještaja </w:t>
      </w:r>
      <w:r w:rsidR="000E4B34" w:rsidRPr="000E4B34">
        <w:rPr>
          <w:rFonts w:ascii="Cambria" w:hAnsi="Cambria"/>
          <w:noProof/>
        </w:rPr>
        <w:t>Vladi preko Generalnog sekretarijata Vlade</w:t>
      </w:r>
      <w:r w:rsidR="008017A6">
        <w:rPr>
          <w:rFonts w:ascii="Cambria" w:hAnsi="Cambria"/>
          <w:noProof/>
        </w:rPr>
        <w:t xml:space="preserve">, a podatke potrebne za evaluaciju sprovedenih aktivnosti u okviru svojih nadležnosti obezbjediće predstavnici </w:t>
      </w:r>
      <w:r w:rsidR="008017A6" w:rsidRPr="008017A6">
        <w:rPr>
          <w:rFonts w:ascii="Cambria" w:hAnsi="Cambria"/>
          <w:noProof/>
        </w:rPr>
        <w:t>nadležnih organa</w:t>
      </w:r>
      <w:r w:rsidR="008017A6">
        <w:rPr>
          <w:rFonts w:ascii="Cambria" w:hAnsi="Cambria"/>
          <w:noProof/>
        </w:rPr>
        <w:t xml:space="preserve"> u okviru radne grupe (</w:t>
      </w:r>
      <w:r w:rsidR="008017A6" w:rsidRPr="008017A6">
        <w:rPr>
          <w:rFonts w:ascii="Cambria" w:hAnsi="Cambria"/>
          <w:noProof/>
        </w:rPr>
        <w:t>MORT</w:t>
      </w:r>
      <w:r w:rsidR="008017A6">
        <w:rPr>
          <w:rFonts w:ascii="Cambria" w:hAnsi="Cambria"/>
          <w:noProof/>
        </w:rPr>
        <w:t xml:space="preserve">, </w:t>
      </w:r>
      <w:r w:rsidR="008017A6" w:rsidRPr="008017A6">
        <w:rPr>
          <w:rFonts w:ascii="Cambria" w:hAnsi="Cambria"/>
          <w:noProof/>
        </w:rPr>
        <w:t>AZPŽS</w:t>
      </w:r>
      <w:r w:rsidR="008017A6">
        <w:rPr>
          <w:rFonts w:ascii="Cambria" w:hAnsi="Cambria"/>
          <w:noProof/>
        </w:rPr>
        <w:t xml:space="preserve">, </w:t>
      </w:r>
      <w:r w:rsidR="008017A6" w:rsidRPr="008017A6">
        <w:rPr>
          <w:rFonts w:ascii="Cambria" w:hAnsi="Cambria"/>
          <w:noProof/>
          <w:lang w:val="pl-PL"/>
        </w:rPr>
        <w:t>UIP</w:t>
      </w:r>
      <w:r w:rsidR="008017A6">
        <w:rPr>
          <w:rFonts w:ascii="Cambria" w:hAnsi="Cambria"/>
          <w:noProof/>
          <w:lang w:val="pl-PL"/>
        </w:rPr>
        <w:t xml:space="preserve">, </w:t>
      </w:r>
      <w:r w:rsidR="008017A6" w:rsidRPr="008017A6">
        <w:rPr>
          <w:rFonts w:ascii="Cambria" w:hAnsi="Cambria"/>
          <w:noProof/>
        </w:rPr>
        <w:t>MPRR/UBHVFP</w:t>
      </w:r>
      <w:r w:rsidR="008017A6">
        <w:rPr>
          <w:rFonts w:ascii="Cambria" w:hAnsi="Cambria"/>
          <w:noProof/>
        </w:rPr>
        <w:t xml:space="preserve">, </w:t>
      </w:r>
      <w:r w:rsidR="008017A6" w:rsidRPr="008017A6">
        <w:rPr>
          <w:rFonts w:ascii="Cambria" w:hAnsi="Cambria"/>
          <w:noProof/>
        </w:rPr>
        <w:t>MRSS</w:t>
      </w:r>
      <w:r w:rsidR="008017A6">
        <w:rPr>
          <w:rFonts w:ascii="Cambria" w:hAnsi="Cambria"/>
          <w:noProof/>
        </w:rPr>
        <w:t xml:space="preserve">, </w:t>
      </w:r>
      <w:r w:rsidR="008017A6" w:rsidRPr="008017A6">
        <w:rPr>
          <w:rFonts w:ascii="Cambria" w:hAnsi="Cambria"/>
          <w:noProof/>
        </w:rPr>
        <w:t>MZ</w:t>
      </w:r>
      <w:r w:rsidR="008017A6">
        <w:rPr>
          <w:rFonts w:ascii="Cambria" w:hAnsi="Cambria"/>
          <w:noProof/>
        </w:rPr>
        <w:t xml:space="preserve">, </w:t>
      </w:r>
      <w:r w:rsidR="008017A6" w:rsidRPr="008017A6">
        <w:rPr>
          <w:rFonts w:ascii="Cambria" w:hAnsi="Cambria"/>
          <w:noProof/>
        </w:rPr>
        <w:t>ME</w:t>
      </w:r>
      <w:r w:rsidR="008017A6">
        <w:rPr>
          <w:rFonts w:ascii="Cambria" w:hAnsi="Cambria"/>
          <w:noProof/>
        </w:rPr>
        <w:t xml:space="preserve">, MUP, UCG, </w:t>
      </w:r>
      <w:r w:rsidR="008017A6" w:rsidRPr="008017A6">
        <w:rPr>
          <w:rFonts w:ascii="Cambria" w:hAnsi="Cambria"/>
          <w:noProof/>
        </w:rPr>
        <w:t>IJZ i CETI</w:t>
      </w:r>
      <w:r w:rsidR="008017A6">
        <w:rPr>
          <w:rFonts w:ascii="Cambria" w:hAnsi="Cambria"/>
          <w:noProof/>
        </w:rPr>
        <w:t>)</w:t>
      </w:r>
      <w:r w:rsidR="000E4B34">
        <w:rPr>
          <w:rFonts w:ascii="Cambria" w:hAnsi="Cambria"/>
          <w:noProof/>
        </w:rPr>
        <w:t xml:space="preserve">. </w:t>
      </w:r>
      <w:r w:rsidR="001D24CA">
        <w:rPr>
          <w:rFonts w:ascii="Cambria" w:hAnsi="Cambria"/>
          <w:noProof/>
        </w:rPr>
        <w:t xml:space="preserve"> </w:t>
      </w:r>
      <w:r w:rsidR="00AE22F7">
        <w:rPr>
          <w:rFonts w:ascii="Cambria" w:hAnsi="Cambria"/>
          <w:noProof/>
        </w:rPr>
        <w:t xml:space="preserve">Završni </w:t>
      </w:r>
      <w:r w:rsidR="00AE22F7" w:rsidRPr="00AE22F7">
        <w:rPr>
          <w:rFonts w:ascii="Cambria" w:hAnsi="Cambria"/>
          <w:noProof/>
        </w:rPr>
        <w:t>izvještaj se objavljuje na internet stranici MORT.</w:t>
      </w:r>
    </w:p>
    <w:p w14:paraId="24D06369" w14:textId="77777777" w:rsidR="007B67F1" w:rsidRPr="00094F2D" w:rsidRDefault="007B67F1" w:rsidP="00635425">
      <w:pPr>
        <w:rPr>
          <w:rFonts w:ascii="Cambria" w:hAnsi="Cambria"/>
          <w:noProof/>
        </w:rPr>
      </w:pPr>
    </w:p>
    <w:p w14:paraId="69827348" w14:textId="77777777" w:rsidR="00D872CC" w:rsidRDefault="00D872CC" w:rsidP="005921EF">
      <w:pPr>
        <w:rPr>
          <w:rFonts w:ascii="Cambria" w:hAnsi="Cambria"/>
          <w:noProof/>
        </w:rPr>
      </w:pPr>
    </w:p>
    <w:p w14:paraId="4C8D7D94" w14:textId="77777777" w:rsidR="00D234AF" w:rsidRDefault="00D234AF" w:rsidP="005921EF">
      <w:pPr>
        <w:rPr>
          <w:rFonts w:ascii="Cambria" w:hAnsi="Cambria"/>
          <w:noProof/>
        </w:rPr>
      </w:pPr>
    </w:p>
    <w:p w14:paraId="6B176A3C" w14:textId="77777777" w:rsidR="007370FF" w:rsidRDefault="007370FF" w:rsidP="005921EF">
      <w:pPr>
        <w:rPr>
          <w:rFonts w:ascii="Cambria" w:hAnsi="Cambria"/>
          <w:noProof/>
        </w:rPr>
      </w:pPr>
    </w:p>
    <w:p w14:paraId="7C5366F8" w14:textId="77777777" w:rsidR="007370FF" w:rsidRDefault="007370FF" w:rsidP="005921EF">
      <w:pPr>
        <w:rPr>
          <w:rFonts w:ascii="Cambria" w:hAnsi="Cambria"/>
          <w:noProof/>
        </w:rPr>
      </w:pPr>
    </w:p>
    <w:p w14:paraId="26A23CF2" w14:textId="77777777" w:rsidR="007370FF" w:rsidRDefault="007370FF" w:rsidP="005921EF">
      <w:pPr>
        <w:rPr>
          <w:rFonts w:ascii="Cambria" w:hAnsi="Cambria"/>
          <w:noProof/>
        </w:rPr>
      </w:pPr>
    </w:p>
    <w:p w14:paraId="3908C557" w14:textId="77777777" w:rsidR="007370FF" w:rsidRDefault="007370FF" w:rsidP="005921EF">
      <w:pPr>
        <w:rPr>
          <w:rFonts w:ascii="Cambria" w:hAnsi="Cambria"/>
          <w:noProof/>
        </w:rPr>
      </w:pPr>
    </w:p>
    <w:p w14:paraId="208761A4" w14:textId="77777777" w:rsidR="007370FF" w:rsidRDefault="007370FF" w:rsidP="005921EF">
      <w:pPr>
        <w:rPr>
          <w:rFonts w:ascii="Cambria" w:hAnsi="Cambria"/>
          <w:noProof/>
        </w:rPr>
      </w:pPr>
    </w:p>
    <w:p w14:paraId="04B98B8D" w14:textId="77777777" w:rsidR="007370FF" w:rsidRDefault="007370FF" w:rsidP="005921EF">
      <w:pPr>
        <w:rPr>
          <w:rFonts w:ascii="Cambria" w:hAnsi="Cambria"/>
          <w:noProof/>
        </w:rPr>
      </w:pPr>
    </w:p>
    <w:p w14:paraId="5D2B51D3" w14:textId="77777777" w:rsidR="007370FF" w:rsidRDefault="007370FF" w:rsidP="005921EF">
      <w:pPr>
        <w:rPr>
          <w:rFonts w:ascii="Cambria" w:hAnsi="Cambria"/>
          <w:noProof/>
        </w:rPr>
      </w:pPr>
    </w:p>
    <w:p w14:paraId="61EEEEEE" w14:textId="77777777" w:rsidR="007370FF" w:rsidRDefault="007370FF" w:rsidP="005921EF">
      <w:pPr>
        <w:rPr>
          <w:rFonts w:ascii="Cambria" w:hAnsi="Cambria"/>
          <w:noProof/>
        </w:rPr>
      </w:pPr>
    </w:p>
    <w:p w14:paraId="26511427" w14:textId="77777777" w:rsidR="007370FF" w:rsidRDefault="007370FF" w:rsidP="005921EF">
      <w:pPr>
        <w:rPr>
          <w:rFonts w:ascii="Cambria" w:hAnsi="Cambria"/>
          <w:noProof/>
        </w:rPr>
      </w:pPr>
    </w:p>
    <w:p w14:paraId="0F7EE108" w14:textId="77777777" w:rsidR="007370FF" w:rsidRDefault="007370FF" w:rsidP="005921EF">
      <w:pPr>
        <w:rPr>
          <w:rFonts w:ascii="Cambria" w:hAnsi="Cambria"/>
          <w:noProof/>
        </w:rPr>
      </w:pPr>
    </w:p>
    <w:p w14:paraId="118BA09D" w14:textId="77777777" w:rsidR="007370FF" w:rsidRDefault="007370FF" w:rsidP="005921EF">
      <w:pPr>
        <w:rPr>
          <w:rFonts w:ascii="Cambria" w:hAnsi="Cambria"/>
          <w:noProof/>
        </w:rPr>
      </w:pPr>
    </w:p>
    <w:p w14:paraId="349D5D0F" w14:textId="77777777" w:rsidR="007370FF" w:rsidRDefault="007370FF" w:rsidP="005921EF">
      <w:pPr>
        <w:rPr>
          <w:rFonts w:ascii="Cambria" w:hAnsi="Cambria"/>
          <w:noProof/>
        </w:rPr>
      </w:pPr>
    </w:p>
    <w:p w14:paraId="1407E0DE" w14:textId="77777777" w:rsidR="007370FF" w:rsidRDefault="007370FF" w:rsidP="005921EF">
      <w:pPr>
        <w:rPr>
          <w:rFonts w:ascii="Cambria" w:hAnsi="Cambria"/>
          <w:noProof/>
        </w:rPr>
      </w:pPr>
    </w:p>
    <w:p w14:paraId="0D4A6504" w14:textId="77777777" w:rsidR="007370FF" w:rsidRDefault="007370FF" w:rsidP="005921EF">
      <w:pPr>
        <w:rPr>
          <w:rFonts w:ascii="Cambria" w:hAnsi="Cambria"/>
          <w:noProof/>
        </w:rPr>
      </w:pPr>
    </w:p>
    <w:p w14:paraId="7A11FF0D" w14:textId="77777777" w:rsidR="007370FF" w:rsidRDefault="007370FF" w:rsidP="005921EF">
      <w:pPr>
        <w:rPr>
          <w:rFonts w:ascii="Cambria" w:hAnsi="Cambria"/>
          <w:noProof/>
        </w:rPr>
      </w:pPr>
    </w:p>
    <w:p w14:paraId="1F728332" w14:textId="77777777" w:rsidR="007370FF" w:rsidRDefault="007370FF" w:rsidP="005921EF">
      <w:pPr>
        <w:rPr>
          <w:rFonts w:ascii="Cambria" w:hAnsi="Cambria"/>
          <w:noProof/>
        </w:rPr>
      </w:pPr>
    </w:p>
    <w:p w14:paraId="071FD72E" w14:textId="77777777" w:rsidR="007370FF" w:rsidRDefault="007370FF" w:rsidP="005921EF">
      <w:pPr>
        <w:rPr>
          <w:rFonts w:ascii="Cambria" w:hAnsi="Cambria"/>
          <w:noProof/>
        </w:rPr>
      </w:pPr>
    </w:p>
    <w:p w14:paraId="6B8EB429" w14:textId="77777777" w:rsidR="00AC4E8E" w:rsidRDefault="00AC4E8E" w:rsidP="005921EF">
      <w:pPr>
        <w:rPr>
          <w:rFonts w:ascii="Cambria" w:hAnsi="Cambria"/>
          <w:noProof/>
        </w:rPr>
      </w:pPr>
    </w:p>
    <w:p w14:paraId="5CA2686D" w14:textId="77777777" w:rsidR="00AC4E8E" w:rsidRDefault="00AC4E8E" w:rsidP="005921EF">
      <w:pPr>
        <w:rPr>
          <w:rFonts w:ascii="Cambria" w:hAnsi="Cambria"/>
          <w:noProof/>
        </w:rPr>
      </w:pPr>
    </w:p>
    <w:p w14:paraId="5D8D0E37" w14:textId="77777777" w:rsidR="00AC4E8E" w:rsidRDefault="00AC4E8E" w:rsidP="005921EF">
      <w:pPr>
        <w:rPr>
          <w:rFonts w:ascii="Cambria" w:hAnsi="Cambria"/>
          <w:noProof/>
        </w:rPr>
      </w:pPr>
    </w:p>
    <w:p w14:paraId="07672E0C" w14:textId="77777777" w:rsidR="00AC4E8E" w:rsidRDefault="00AC4E8E" w:rsidP="005921EF">
      <w:pPr>
        <w:rPr>
          <w:rFonts w:ascii="Cambria" w:hAnsi="Cambria"/>
          <w:noProof/>
        </w:rPr>
      </w:pPr>
    </w:p>
    <w:p w14:paraId="1C5E4293" w14:textId="77777777" w:rsidR="00AC4E8E" w:rsidRDefault="00AC4E8E" w:rsidP="005921EF">
      <w:pPr>
        <w:rPr>
          <w:rFonts w:ascii="Cambria" w:hAnsi="Cambria"/>
          <w:noProof/>
        </w:rPr>
      </w:pPr>
    </w:p>
    <w:p w14:paraId="3CF8214F" w14:textId="77777777" w:rsidR="00D44B9B" w:rsidRDefault="00D44B9B" w:rsidP="005921EF">
      <w:pPr>
        <w:rPr>
          <w:rFonts w:ascii="Cambria" w:hAnsi="Cambria"/>
          <w:noProof/>
        </w:rPr>
      </w:pPr>
    </w:p>
    <w:p w14:paraId="1622BB41" w14:textId="77777777" w:rsidR="00AC4E8E" w:rsidRDefault="00AC4E8E" w:rsidP="005921EF">
      <w:pPr>
        <w:rPr>
          <w:rFonts w:ascii="Cambria" w:hAnsi="Cambria"/>
          <w:noProof/>
        </w:rPr>
      </w:pPr>
    </w:p>
    <w:p w14:paraId="4D766123" w14:textId="77777777" w:rsidR="007370FF" w:rsidRDefault="007370FF" w:rsidP="005921EF">
      <w:pPr>
        <w:rPr>
          <w:rFonts w:ascii="Cambria" w:hAnsi="Cambria"/>
          <w:noProof/>
        </w:rPr>
      </w:pPr>
    </w:p>
    <w:p w14:paraId="51796237" w14:textId="77777777" w:rsidR="007370FF" w:rsidRDefault="007370FF" w:rsidP="005921EF">
      <w:pPr>
        <w:rPr>
          <w:rFonts w:ascii="Cambria" w:hAnsi="Cambria"/>
          <w:noProof/>
        </w:rPr>
      </w:pPr>
    </w:p>
    <w:tbl>
      <w:tblPr>
        <w:tblW w:w="0" w:type="auto"/>
        <w:tblInd w:w="108" w:type="dxa"/>
        <w:tblBorders>
          <w:insideH w:val="single" w:sz="4" w:space="0" w:color="000000"/>
        </w:tblBorders>
        <w:shd w:val="clear" w:color="auto" w:fill="B2A1C7"/>
        <w:tblLayout w:type="fixed"/>
        <w:tblLook w:val="04A0" w:firstRow="1" w:lastRow="0" w:firstColumn="1" w:lastColumn="0" w:noHBand="0" w:noVBand="1"/>
      </w:tblPr>
      <w:tblGrid>
        <w:gridCol w:w="9597"/>
      </w:tblGrid>
      <w:tr w:rsidR="00AC4E8E" w:rsidRPr="00AC4E8E" w14:paraId="11CDC9A5" w14:textId="77777777" w:rsidTr="00AC4E8E">
        <w:trPr>
          <w:trHeight w:val="427"/>
        </w:trPr>
        <w:tc>
          <w:tcPr>
            <w:tcW w:w="9597" w:type="dxa"/>
            <w:tcBorders>
              <w:top w:val="nil"/>
              <w:bottom w:val="nil"/>
            </w:tcBorders>
            <w:shd w:val="clear" w:color="auto" w:fill="B2A1C7"/>
          </w:tcPr>
          <w:p w14:paraId="38B9C467" w14:textId="77777777" w:rsidR="00AC4E8E" w:rsidRDefault="00AC4E8E" w:rsidP="00557C13">
            <w:pPr>
              <w:pStyle w:val="Heading1"/>
              <w:numPr>
                <w:ilvl w:val="0"/>
                <w:numId w:val="11"/>
              </w:numPr>
              <w:rPr>
                <w:noProof/>
                <w:szCs w:val="22"/>
                <w:lang w:val="en-US" w:eastAsia="en-US"/>
              </w:rPr>
            </w:pPr>
            <w:bookmarkStart w:id="161" w:name="_Toc527353237"/>
            <w:r w:rsidRPr="00AC4E8E">
              <w:rPr>
                <w:noProof/>
                <w:szCs w:val="22"/>
                <w:lang w:val="en-US" w:eastAsia="en-US"/>
              </w:rPr>
              <w:t>REZIME</w:t>
            </w:r>
            <w:bookmarkEnd w:id="161"/>
            <w:r w:rsidRPr="00AC4E8E">
              <w:rPr>
                <w:noProof/>
                <w:szCs w:val="22"/>
                <w:lang w:val="en-US" w:eastAsia="en-US"/>
              </w:rPr>
              <w:t xml:space="preserve"> </w:t>
            </w:r>
          </w:p>
          <w:p w14:paraId="49B076E3" w14:textId="77777777" w:rsidR="00AC4E8E" w:rsidRPr="00AC4E8E" w:rsidRDefault="00AC4E8E" w:rsidP="00AC4E8E">
            <w:pPr>
              <w:rPr>
                <w:noProof/>
              </w:rPr>
            </w:pPr>
          </w:p>
        </w:tc>
      </w:tr>
    </w:tbl>
    <w:p w14:paraId="1EBD76FD" w14:textId="77777777" w:rsidR="007370FF" w:rsidRDefault="007370FF" w:rsidP="005921EF">
      <w:pPr>
        <w:rPr>
          <w:rFonts w:ascii="Cambria" w:hAnsi="Cambria"/>
          <w:noProof/>
        </w:rPr>
      </w:pPr>
    </w:p>
    <w:p w14:paraId="658A9CA7" w14:textId="77777777" w:rsidR="00AC4E8E" w:rsidRDefault="00AC4E8E" w:rsidP="005921EF">
      <w:pPr>
        <w:rPr>
          <w:rFonts w:ascii="Cambria" w:hAnsi="Cambria"/>
          <w:noProof/>
        </w:rPr>
      </w:pPr>
    </w:p>
    <w:p w14:paraId="11A89D38" w14:textId="77777777" w:rsidR="00AC4E8E" w:rsidRDefault="00AC4E8E" w:rsidP="005921EF">
      <w:pPr>
        <w:rPr>
          <w:rFonts w:ascii="Cambria" w:hAnsi="Cambria"/>
          <w:noProof/>
        </w:rPr>
      </w:pPr>
    </w:p>
    <w:p w14:paraId="0CA42C10" w14:textId="77777777" w:rsidR="00AC4E8E" w:rsidRDefault="00AC4E8E" w:rsidP="005921EF">
      <w:pPr>
        <w:rPr>
          <w:rFonts w:ascii="Cambria" w:hAnsi="Cambria"/>
          <w:noProof/>
        </w:rPr>
      </w:pPr>
    </w:p>
    <w:p w14:paraId="113B1691" w14:textId="77777777" w:rsidR="00AC4E8E" w:rsidRDefault="00AC4E8E" w:rsidP="005921EF">
      <w:pPr>
        <w:rPr>
          <w:rFonts w:ascii="Cambria" w:hAnsi="Cambria"/>
          <w:noProof/>
        </w:rPr>
      </w:pPr>
    </w:p>
    <w:p w14:paraId="22DD675C" w14:textId="77777777" w:rsidR="00AC4E8E" w:rsidRDefault="00AC4E8E" w:rsidP="005921EF">
      <w:pPr>
        <w:rPr>
          <w:rFonts w:ascii="Cambria" w:hAnsi="Cambria"/>
          <w:noProof/>
        </w:rPr>
      </w:pPr>
    </w:p>
    <w:p w14:paraId="22D2EE1E" w14:textId="77777777" w:rsidR="00AC4E8E" w:rsidRDefault="00AC4E8E" w:rsidP="005921EF">
      <w:pPr>
        <w:rPr>
          <w:rFonts w:ascii="Cambria" w:hAnsi="Cambria"/>
          <w:noProof/>
        </w:rPr>
      </w:pPr>
    </w:p>
    <w:p w14:paraId="1105C97F" w14:textId="77777777" w:rsidR="00AC4E8E" w:rsidRDefault="00AC4E8E" w:rsidP="005921EF">
      <w:pPr>
        <w:rPr>
          <w:rFonts w:ascii="Cambria" w:hAnsi="Cambria"/>
          <w:noProof/>
        </w:rPr>
      </w:pPr>
    </w:p>
    <w:p w14:paraId="260FC363" w14:textId="77777777" w:rsidR="00AC4E8E" w:rsidRDefault="00AC4E8E" w:rsidP="005921EF">
      <w:pPr>
        <w:rPr>
          <w:rFonts w:ascii="Cambria" w:hAnsi="Cambria"/>
          <w:noProof/>
        </w:rPr>
      </w:pPr>
    </w:p>
    <w:p w14:paraId="45C773EC" w14:textId="77777777" w:rsidR="00AC4E8E" w:rsidRDefault="00AC4E8E" w:rsidP="005921EF">
      <w:pPr>
        <w:rPr>
          <w:rFonts w:ascii="Cambria" w:hAnsi="Cambria"/>
          <w:noProof/>
        </w:rPr>
      </w:pPr>
    </w:p>
    <w:p w14:paraId="0FB6FF1A" w14:textId="77777777" w:rsidR="00AC4E8E" w:rsidRDefault="00AC4E8E" w:rsidP="005921EF">
      <w:pPr>
        <w:rPr>
          <w:rFonts w:ascii="Cambria" w:hAnsi="Cambria"/>
          <w:noProof/>
        </w:rPr>
      </w:pPr>
    </w:p>
    <w:p w14:paraId="7A653E2A" w14:textId="77777777" w:rsidR="00AC4E8E" w:rsidRDefault="00AC4E8E" w:rsidP="005921EF">
      <w:pPr>
        <w:rPr>
          <w:rFonts w:ascii="Cambria" w:hAnsi="Cambria"/>
          <w:noProof/>
        </w:rPr>
      </w:pPr>
    </w:p>
    <w:p w14:paraId="190EDA87" w14:textId="77777777" w:rsidR="007370FF" w:rsidRPr="00AC4E8E" w:rsidRDefault="00122BA4" w:rsidP="00557C13">
      <w:pPr>
        <w:pStyle w:val="Heading1"/>
        <w:numPr>
          <w:ilvl w:val="1"/>
          <w:numId w:val="21"/>
        </w:numPr>
        <w:rPr>
          <w:noProof/>
          <w:sz w:val="22"/>
          <w:szCs w:val="22"/>
          <w:lang w:val="sr-Latn-ME"/>
        </w:rPr>
      </w:pPr>
      <w:bookmarkStart w:id="162" w:name="_Toc527353238"/>
      <w:r w:rsidRPr="00AC4E8E">
        <w:rPr>
          <w:noProof/>
          <w:sz w:val="22"/>
          <w:szCs w:val="22"/>
          <w:lang w:val="sr-Latn-ME"/>
        </w:rPr>
        <w:lastRenderedPageBreak/>
        <w:t>KRATKA INFORMACIJA O CILJEVIMA I OČEKIVANIM REZULTATIMA STRATEGIJE</w:t>
      </w:r>
      <w:bookmarkEnd w:id="162"/>
    </w:p>
    <w:p w14:paraId="69E23DE3" w14:textId="77777777" w:rsidR="007370FF" w:rsidRDefault="007370FF" w:rsidP="005921EF">
      <w:pPr>
        <w:rPr>
          <w:rFonts w:ascii="Cambria" w:hAnsi="Cambria"/>
          <w:noProof/>
        </w:rPr>
      </w:pPr>
    </w:p>
    <w:p w14:paraId="276D2D4B" w14:textId="06BE6673" w:rsidR="00E730B5" w:rsidRPr="00E730B5" w:rsidRDefault="00E730B5" w:rsidP="00E730B5">
      <w:pPr>
        <w:jc w:val="both"/>
        <w:rPr>
          <w:rFonts w:ascii="Cambria" w:hAnsi="Cambria"/>
          <w:noProof/>
        </w:rPr>
      </w:pPr>
      <w:r w:rsidRPr="00E730B5">
        <w:rPr>
          <w:rFonts w:ascii="Cambria" w:hAnsi="Cambria"/>
          <w:noProof/>
          <w:lang w:val="sr-Latn-ME"/>
        </w:rPr>
        <w:t>Hemikalije predstavljaju veoma bitnu kariku privrednog razvoja,  neophodne su za ostvarenje savremenog načina života i sastavni su dio naše svakodnevice. Bez dobre prakse u upravljanju i odlaganju, hemikalije mogu da predstavljaju rizik po zdravlje ljudi i životnu sredinu. Po</w:t>
      </w:r>
      <w:r w:rsidRPr="00E730B5">
        <w:rPr>
          <w:rFonts w:ascii="Cambria" w:hAnsi="Cambria"/>
          <w:noProof/>
          <w:lang w:val="sr-Latn-RS"/>
        </w:rPr>
        <w:t>č</w:t>
      </w:r>
      <w:r w:rsidRPr="00E730B5">
        <w:rPr>
          <w:rFonts w:ascii="Cambria" w:hAnsi="Cambria"/>
          <w:noProof/>
          <w:lang w:val="sr-Latn-ME"/>
        </w:rPr>
        <w:t xml:space="preserve">ev od 2006. godine, kada je na nivou UN usvojen i </w:t>
      </w:r>
      <w:r w:rsidRPr="00E730B5">
        <w:rPr>
          <w:rFonts w:ascii="Cambria" w:hAnsi="Cambria"/>
          <w:b/>
          <w:noProof/>
          <w:lang w:val="sr-Latn-ME"/>
        </w:rPr>
        <w:t>Strateški pristup međunarodnom upravljanju hemikalijama</w:t>
      </w:r>
      <w:r w:rsidRPr="00E730B5">
        <w:rPr>
          <w:rFonts w:ascii="Cambria" w:hAnsi="Cambria"/>
          <w:noProof/>
          <w:lang w:val="sr-Latn-ME"/>
        </w:rPr>
        <w:t xml:space="preserve"> (</w:t>
      </w:r>
      <w:r w:rsidRPr="00E730B5">
        <w:rPr>
          <w:rFonts w:ascii="Cambria" w:hAnsi="Cambria"/>
          <w:b/>
          <w:i/>
          <w:noProof/>
          <w:lang w:val="sr-Latn-ME"/>
        </w:rPr>
        <w:t>SAICM</w:t>
      </w:r>
      <w:r w:rsidRPr="00E730B5">
        <w:rPr>
          <w:rFonts w:ascii="Cambria" w:hAnsi="Cambria"/>
          <w:noProof/>
          <w:lang w:val="sr-Latn-ME"/>
        </w:rPr>
        <w:t>) širom svijeta raste posvećenost uspostavljanju adekvatnog sistema upravljanja hemikalijama. Između ostalog,  SAICM podstiče države da naprave procjenu situacije i izrade nacionalne programe bezbjednog upravljanja hemikalijama. Evropska unija preporuje izradu strategije upravljanja hemikalijama kao osnove za uspostavljanje integrisanog, djelotvornog i racionalnog sistema za bezbjedno upravljanje hemikalijama usklađenog s propisima i praksom Evropske unije, a prvenstveno REACH.</w:t>
      </w:r>
      <w:r w:rsidRPr="00E730B5">
        <w:rPr>
          <w:rFonts w:ascii="Cambria" w:hAnsi="Cambria"/>
          <w:noProof/>
          <w:lang w:val="en-GB"/>
        </w:rPr>
        <w:t xml:space="preserve"> U nacionalnom kontekstu, članom 63. Zakona o hemikalijama ("Sl. list CG", br. 51/17) predviđeno je donošenje Nacionalne strategije upravljanja hemikalijama u cilju obezb</w:t>
      </w:r>
      <w:r w:rsidR="00B4116A">
        <w:rPr>
          <w:rFonts w:ascii="Cambria" w:hAnsi="Cambria"/>
          <w:noProof/>
          <w:lang w:val="en-GB"/>
        </w:rPr>
        <w:t>ij</w:t>
      </w:r>
      <w:r w:rsidRPr="00E730B5">
        <w:rPr>
          <w:rFonts w:ascii="Cambria" w:hAnsi="Cambria"/>
          <w:noProof/>
          <w:lang w:val="en-GB"/>
        </w:rPr>
        <w:t xml:space="preserve">eđivanja </w:t>
      </w:r>
      <w:r w:rsidRPr="00E730B5">
        <w:rPr>
          <w:rFonts w:ascii="Cambria" w:hAnsi="Cambria"/>
          <w:noProof/>
        </w:rPr>
        <w:t xml:space="preserve">adekvatnog upravljanja hemikalijama, od proizvodnje, odnosno uvoza do odlaganja.  </w:t>
      </w:r>
    </w:p>
    <w:p w14:paraId="226F6B71" w14:textId="77777777" w:rsidR="00E730B5" w:rsidRPr="00E730B5" w:rsidRDefault="00E730B5" w:rsidP="00E730B5">
      <w:pPr>
        <w:jc w:val="both"/>
        <w:rPr>
          <w:rFonts w:ascii="Cambria" w:hAnsi="Cambria"/>
          <w:noProof/>
        </w:rPr>
      </w:pPr>
      <w:r w:rsidRPr="00E730B5">
        <w:rPr>
          <w:rFonts w:ascii="Cambria" w:hAnsi="Cambria"/>
          <w:b/>
          <w:noProof/>
        </w:rPr>
        <w:t>Nacionalna strategija upravljanja hemikalijama za period 2019-2022. godine</w:t>
      </w:r>
      <w:r w:rsidRPr="00E730B5">
        <w:rPr>
          <w:rFonts w:ascii="Cambria" w:hAnsi="Cambria"/>
          <w:noProof/>
        </w:rPr>
        <w:t>, na bazi opsežne analize i ocjene stanja hemijske bezbjednosti u Crnoj Gori, utvrđuje glavne strateške pravce i mjere za razvoj sistema upravljanja hemikalijama u Crnoj Gori, uzimajući u obzir potrebu za nadogradnjom postojećeg sistema, kao i  daljim usaglašavanjem sa zakonodavstvom i praksom Evropske unije.</w:t>
      </w:r>
    </w:p>
    <w:p w14:paraId="277995AF" w14:textId="77777777" w:rsidR="00E730B5" w:rsidRPr="00E730B5" w:rsidRDefault="00E730B5" w:rsidP="00E730B5">
      <w:pPr>
        <w:jc w:val="both"/>
        <w:rPr>
          <w:rFonts w:ascii="Cambria" w:hAnsi="Cambria"/>
          <w:noProof/>
        </w:rPr>
      </w:pPr>
      <w:r w:rsidRPr="00E730B5">
        <w:rPr>
          <w:rFonts w:ascii="Cambria" w:hAnsi="Cambria"/>
          <w:b/>
          <w:noProof/>
        </w:rPr>
        <w:t>Opšti strateški cilj</w:t>
      </w:r>
      <w:r w:rsidRPr="00E730B5">
        <w:rPr>
          <w:rFonts w:ascii="Cambria" w:hAnsi="Cambria"/>
          <w:noProof/>
        </w:rPr>
        <w:t xml:space="preserve"> koji se želi postići ovom strategijom je:</w:t>
      </w:r>
    </w:p>
    <w:p w14:paraId="7E7026EC" w14:textId="77777777" w:rsidR="00E730B5" w:rsidRPr="00E730B5" w:rsidRDefault="00E730B5" w:rsidP="00557C13">
      <w:pPr>
        <w:numPr>
          <w:ilvl w:val="0"/>
          <w:numId w:val="56"/>
        </w:numPr>
        <w:jc w:val="both"/>
        <w:rPr>
          <w:rFonts w:ascii="Cambria" w:hAnsi="Cambria"/>
          <w:noProof/>
        </w:rPr>
      </w:pPr>
      <w:r w:rsidRPr="00E730B5">
        <w:rPr>
          <w:rFonts w:ascii="Cambria" w:hAnsi="Cambria"/>
          <w:noProof/>
        </w:rPr>
        <w:t xml:space="preserve">Izgradnja sistema upravljanja hemikalijama koji obezbjeđuje visok nivo zaštite zdravlja ljudi i životne sredine, kao i poboljšanje slobodnog prometa sa zemljama EU i drugim zemljama uz podsticanje konkurentnosti crnogorske privrede kroz uvođenje bezbednijih hemikalija i tehnoloških procesa. </w:t>
      </w:r>
    </w:p>
    <w:p w14:paraId="2F922F76" w14:textId="77777777" w:rsidR="00E730B5" w:rsidRPr="00E730B5" w:rsidRDefault="00E730B5" w:rsidP="00E730B5">
      <w:pPr>
        <w:spacing w:after="0"/>
        <w:jc w:val="both"/>
        <w:rPr>
          <w:rFonts w:ascii="Cambria" w:hAnsi="Cambria"/>
          <w:noProof/>
        </w:rPr>
      </w:pPr>
      <w:r w:rsidRPr="00E730B5">
        <w:rPr>
          <w:rFonts w:ascii="Cambria" w:hAnsi="Cambria"/>
          <w:noProof/>
        </w:rPr>
        <w:t xml:space="preserve">To će se postići kroz ostvarivanje sljedećih </w:t>
      </w:r>
      <w:r w:rsidRPr="00E730B5">
        <w:rPr>
          <w:rFonts w:ascii="Cambria" w:hAnsi="Cambria"/>
          <w:b/>
          <w:noProof/>
        </w:rPr>
        <w:t>operativnih ciljeva</w:t>
      </w:r>
      <w:r w:rsidRPr="00E730B5">
        <w:rPr>
          <w:rFonts w:ascii="Cambria" w:hAnsi="Cambria"/>
          <w:noProof/>
        </w:rPr>
        <w:t>:</w:t>
      </w:r>
    </w:p>
    <w:p w14:paraId="163381EF" w14:textId="77777777" w:rsidR="00E730B5" w:rsidRPr="00E730B5" w:rsidRDefault="00E730B5" w:rsidP="00E730B5">
      <w:pPr>
        <w:spacing w:after="0"/>
        <w:jc w:val="both"/>
        <w:rPr>
          <w:rFonts w:ascii="Cambria" w:hAnsi="Cambria"/>
          <w:noProof/>
        </w:rPr>
      </w:pPr>
      <w:r w:rsidRPr="00E730B5">
        <w:rPr>
          <w:rFonts w:ascii="Cambria" w:hAnsi="Cambria"/>
          <w:noProof/>
        </w:rPr>
        <w:t xml:space="preserve">1. Unaprijeđenje regulatornog okvira u oblasti upravljanja hemikalijama kroz dalju harmonizaciju sa propisima EU  </w:t>
      </w:r>
    </w:p>
    <w:p w14:paraId="510C6CEA" w14:textId="39ECF495" w:rsidR="00E730B5" w:rsidRPr="00E730B5" w:rsidRDefault="00E730B5" w:rsidP="00E730B5">
      <w:pPr>
        <w:spacing w:after="0"/>
        <w:jc w:val="both"/>
        <w:rPr>
          <w:rFonts w:ascii="Cambria" w:hAnsi="Cambria"/>
          <w:noProof/>
        </w:rPr>
      </w:pPr>
      <w:r w:rsidRPr="00E730B5">
        <w:rPr>
          <w:rFonts w:ascii="Cambria" w:hAnsi="Cambria"/>
          <w:noProof/>
        </w:rPr>
        <w:t>2. Unaprijeđenje implementacije postojećih propisa</w:t>
      </w:r>
    </w:p>
    <w:p w14:paraId="64BB2499" w14:textId="77777777" w:rsidR="00E730B5" w:rsidRPr="00E730B5" w:rsidRDefault="00E730B5" w:rsidP="00E730B5">
      <w:pPr>
        <w:spacing w:after="0"/>
        <w:jc w:val="both"/>
        <w:rPr>
          <w:rFonts w:ascii="Cambria" w:hAnsi="Cambria"/>
          <w:noProof/>
        </w:rPr>
      </w:pPr>
      <w:r w:rsidRPr="00E730B5">
        <w:rPr>
          <w:rFonts w:ascii="Cambria" w:hAnsi="Cambria"/>
          <w:noProof/>
        </w:rPr>
        <w:t>3. Jačanje administrativnih kapaciteta za efikasno vršenje nadležnosti u oblasti hemikalija</w:t>
      </w:r>
    </w:p>
    <w:p w14:paraId="7A77E861" w14:textId="77777777" w:rsidR="00E730B5" w:rsidRPr="00E730B5" w:rsidRDefault="00E730B5" w:rsidP="00E730B5">
      <w:pPr>
        <w:spacing w:after="0"/>
        <w:jc w:val="both"/>
        <w:rPr>
          <w:rFonts w:ascii="Cambria" w:hAnsi="Cambria"/>
          <w:noProof/>
        </w:rPr>
      </w:pPr>
      <w:r w:rsidRPr="00E730B5">
        <w:rPr>
          <w:rFonts w:ascii="Cambria" w:hAnsi="Cambria"/>
          <w:noProof/>
        </w:rPr>
        <w:t xml:space="preserve">4. Poboljšanje dostupnosti informacija o hemikalijama i podizanje javne svijesti </w:t>
      </w:r>
    </w:p>
    <w:p w14:paraId="651AD988" w14:textId="77777777" w:rsidR="00E730B5" w:rsidRPr="00E730B5" w:rsidRDefault="00E730B5" w:rsidP="00E730B5">
      <w:pPr>
        <w:spacing w:after="0"/>
        <w:jc w:val="both"/>
        <w:rPr>
          <w:rFonts w:ascii="Cambria" w:hAnsi="Cambria"/>
          <w:noProof/>
        </w:rPr>
      </w:pPr>
      <w:r w:rsidRPr="00E730B5">
        <w:rPr>
          <w:rFonts w:ascii="Cambria" w:hAnsi="Cambria"/>
          <w:noProof/>
        </w:rPr>
        <w:t>5. Unaprijeđenje mjera zaštite i pripremljenosti za slučajeve trovanja i hemijskih udesa</w:t>
      </w:r>
    </w:p>
    <w:p w14:paraId="52181FD4" w14:textId="6EDD26B8" w:rsidR="00E730B5" w:rsidRPr="00E730B5" w:rsidRDefault="00E730B5" w:rsidP="00E730B5">
      <w:pPr>
        <w:spacing w:after="0"/>
        <w:jc w:val="both"/>
        <w:rPr>
          <w:rFonts w:ascii="Cambria" w:hAnsi="Cambria"/>
          <w:noProof/>
        </w:rPr>
      </w:pPr>
      <w:r w:rsidRPr="00E730B5">
        <w:rPr>
          <w:rFonts w:ascii="Cambria" w:hAnsi="Cambria"/>
          <w:noProof/>
        </w:rPr>
        <w:t>6. Unaprijeđenje tehnologija u industrijskim postrojenjima i r</w:t>
      </w:r>
      <w:r w:rsidR="00002F49">
        <w:rPr>
          <w:rFonts w:ascii="Cambria" w:hAnsi="Cambria"/>
          <w:noProof/>
        </w:rPr>
        <w:t>j</w:t>
      </w:r>
      <w:r w:rsidRPr="00E730B5">
        <w:rPr>
          <w:rFonts w:ascii="Cambria" w:hAnsi="Cambria"/>
          <w:noProof/>
        </w:rPr>
        <w:t xml:space="preserve">ešavanje pitanja industrijskog otpada i zastarijelih hemikalija </w:t>
      </w:r>
    </w:p>
    <w:p w14:paraId="0289F7AA" w14:textId="77777777" w:rsidR="00E730B5" w:rsidRDefault="00E730B5" w:rsidP="00E730B5">
      <w:pPr>
        <w:spacing w:after="0"/>
        <w:jc w:val="both"/>
        <w:rPr>
          <w:rFonts w:ascii="Cambria" w:hAnsi="Cambria"/>
          <w:noProof/>
        </w:rPr>
      </w:pPr>
      <w:r w:rsidRPr="00E730B5">
        <w:rPr>
          <w:rFonts w:ascii="Cambria" w:hAnsi="Cambria"/>
          <w:noProof/>
        </w:rPr>
        <w:t>7. Unaprijeđenje međunarodne i regionalne saradnje i sprovođenje  relevantnih konvencija.</w:t>
      </w:r>
    </w:p>
    <w:p w14:paraId="01EEDA9A" w14:textId="77777777" w:rsidR="00E730B5" w:rsidRPr="00E730B5" w:rsidRDefault="00E730B5" w:rsidP="00E730B5">
      <w:pPr>
        <w:spacing w:after="0"/>
        <w:jc w:val="both"/>
        <w:rPr>
          <w:rFonts w:ascii="Cambria" w:hAnsi="Cambria"/>
          <w:noProof/>
        </w:rPr>
      </w:pPr>
    </w:p>
    <w:p w14:paraId="4344EF02" w14:textId="4124DDB7" w:rsidR="00E730B5" w:rsidRPr="00E730B5" w:rsidRDefault="00E730B5" w:rsidP="00E730B5">
      <w:pPr>
        <w:jc w:val="both"/>
        <w:rPr>
          <w:rFonts w:ascii="Cambria" w:hAnsi="Cambria"/>
          <w:noProof/>
        </w:rPr>
      </w:pPr>
      <w:r w:rsidRPr="00E730B5">
        <w:rPr>
          <w:rFonts w:ascii="Cambria" w:hAnsi="Cambria"/>
          <w:noProof/>
        </w:rPr>
        <w:t>U tu svrhu utvrđen je akcioni plan koji sadrži ukupno 3</w:t>
      </w:r>
      <w:r w:rsidR="009702E0">
        <w:rPr>
          <w:rFonts w:ascii="Cambria" w:hAnsi="Cambria"/>
          <w:noProof/>
        </w:rPr>
        <w:t>6</w:t>
      </w:r>
      <w:r w:rsidRPr="00E730B5">
        <w:rPr>
          <w:rFonts w:ascii="Cambria" w:hAnsi="Cambria"/>
          <w:noProof/>
        </w:rPr>
        <w:t xml:space="preserve"> aktivnosti koje treba realizovati u periodu 2019-2022. godine kako bi se unaprijedio sistem upravljanja hemikalijama u Crnoj Gori. Realizacijom planiranih aktivnosi postići će se neophodni uslovi i obezbjediti potrebni  kapaciteti da se stavljanje </w:t>
      </w:r>
      <w:r w:rsidR="00C83E92">
        <w:rPr>
          <w:rFonts w:ascii="Cambria" w:hAnsi="Cambria"/>
          <w:noProof/>
        </w:rPr>
        <w:t xml:space="preserve">na tržište, </w:t>
      </w:r>
      <w:r w:rsidRPr="00E730B5">
        <w:rPr>
          <w:rFonts w:ascii="Cambria" w:hAnsi="Cambria"/>
          <w:noProof/>
        </w:rPr>
        <w:t>snabdjevanje, upotreba, skladištenje i odlaganje hemikalija u Crnoj Gori obavlja na bezbjedan način uz prim</w:t>
      </w:r>
      <w:r w:rsidR="009E6F26">
        <w:rPr>
          <w:rFonts w:ascii="Cambria" w:hAnsi="Cambria"/>
          <w:noProof/>
        </w:rPr>
        <w:t>j</w:t>
      </w:r>
      <w:r w:rsidRPr="00E730B5">
        <w:rPr>
          <w:rFonts w:ascii="Cambria" w:hAnsi="Cambria"/>
          <w:noProof/>
        </w:rPr>
        <w:t>enu savremene prakse i principa usklađenih sa EU.  Posebna pažnja posvjetiće se adekvatnom informisanju o  hemikalijama i podizanju javne sv</w:t>
      </w:r>
      <w:r w:rsidR="00C83E92">
        <w:rPr>
          <w:rFonts w:ascii="Cambria" w:hAnsi="Cambria"/>
          <w:noProof/>
        </w:rPr>
        <w:t>i</w:t>
      </w:r>
      <w:r w:rsidRPr="00E730B5">
        <w:rPr>
          <w:rFonts w:ascii="Cambria" w:hAnsi="Cambria"/>
          <w:noProof/>
        </w:rPr>
        <w:t>jesti o mogućem štetnom uticaju hemikalija i odgovarajućim mjerama prevencije. Strategijom se predviđa da se u određene aktivnosti, pored nadležnih organa kao nosioca aktivnosti, uključe i drugi akteri</w:t>
      </w:r>
      <w:r w:rsidR="003B3FC7">
        <w:rPr>
          <w:rFonts w:ascii="Cambria" w:hAnsi="Cambria"/>
          <w:noProof/>
        </w:rPr>
        <w:t>,</w:t>
      </w:r>
      <w:r w:rsidRPr="00E730B5">
        <w:rPr>
          <w:rFonts w:ascii="Cambria" w:hAnsi="Cambria"/>
          <w:noProof/>
        </w:rPr>
        <w:t xml:space="preserve"> poput naučnoistrazivačkog sektora, NVO i udruženja potrošača</w:t>
      </w:r>
      <w:r w:rsidR="003B3FC7">
        <w:rPr>
          <w:rFonts w:ascii="Cambria" w:hAnsi="Cambria"/>
          <w:noProof/>
        </w:rPr>
        <w:t xml:space="preserve"> i sl.</w:t>
      </w:r>
      <w:r w:rsidRPr="00E730B5">
        <w:rPr>
          <w:rFonts w:ascii="Cambria" w:hAnsi="Cambria"/>
          <w:noProof/>
        </w:rPr>
        <w:t xml:space="preserve">  koji svojim djelovanjem mogu doprineti adekvatnom informisanju i podizanju javne svijesti.</w:t>
      </w:r>
    </w:p>
    <w:p w14:paraId="4691FEE1" w14:textId="77777777" w:rsidR="00D44B9B" w:rsidRDefault="00D44B9B" w:rsidP="005921EF">
      <w:pPr>
        <w:rPr>
          <w:rFonts w:ascii="Cambria" w:hAnsi="Cambria"/>
          <w:noProof/>
        </w:rPr>
      </w:pPr>
    </w:p>
    <w:p w14:paraId="69EBEA28" w14:textId="77777777" w:rsidR="00D44B9B" w:rsidRDefault="00D44B9B" w:rsidP="005921EF">
      <w:pPr>
        <w:rPr>
          <w:rFonts w:ascii="Cambria" w:hAnsi="Cambria"/>
          <w:noProof/>
        </w:rPr>
      </w:pPr>
    </w:p>
    <w:p w14:paraId="1A82FA5E" w14:textId="77777777" w:rsidR="00D44B9B" w:rsidRDefault="00D44B9B" w:rsidP="005921EF">
      <w:pPr>
        <w:rPr>
          <w:rFonts w:ascii="Cambria" w:hAnsi="Cambria"/>
          <w:noProof/>
        </w:rPr>
      </w:pPr>
    </w:p>
    <w:p w14:paraId="2DCBA8F6" w14:textId="77777777" w:rsidR="00D44B9B" w:rsidRDefault="00D44B9B" w:rsidP="005921EF">
      <w:pPr>
        <w:rPr>
          <w:rFonts w:ascii="Cambria" w:hAnsi="Cambria"/>
          <w:noProof/>
        </w:rPr>
      </w:pPr>
    </w:p>
    <w:p w14:paraId="791DC3C6" w14:textId="77777777" w:rsidR="00D44B9B" w:rsidRDefault="00D44B9B" w:rsidP="005921EF">
      <w:pPr>
        <w:rPr>
          <w:rFonts w:ascii="Cambria" w:hAnsi="Cambria"/>
          <w:noProof/>
        </w:rPr>
      </w:pPr>
    </w:p>
    <w:p w14:paraId="05EC7E0A" w14:textId="77777777" w:rsidR="00D44B9B" w:rsidRDefault="00D44B9B" w:rsidP="005921EF">
      <w:pPr>
        <w:rPr>
          <w:rFonts w:ascii="Cambria" w:hAnsi="Cambria"/>
          <w:noProof/>
        </w:rPr>
      </w:pPr>
    </w:p>
    <w:p w14:paraId="5CAC09E4" w14:textId="77777777" w:rsidR="00D44B9B" w:rsidRDefault="00D44B9B" w:rsidP="005921EF">
      <w:pPr>
        <w:rPr>
          <w:rFonts w:ascii="Cambria" w:hAnsi="Cambria"/>
          <w:noProof/>
        </w:rPr>
      </w:pPr>
    </w:p>
    <w:p w14:paraId="4F045BE0" w14:textId="77777777" w:rsidR="00D44B9B" w:rsidRDefault="00D44B9B" w:rsidP="005921EF">
      <w:pPr>
        <w:rPr>
          <w:rFonts w:ascii="Cambria" w:hAnsi="Cambria"/>
          <w:noProof/>
        </w:rPr>
      </w:pPr>
    </w:p>
    <w:p w14:paraId="7545775D" w14:textId="77777777" w:rsidR="00D44B9B" w:rsidRPr="00AB15C7" w:rsidRDefault="00D44B9B" w:rsidP="005921EF">
      <w:pPr>
        <w:rPr>
          <w:rFonts w:ascii="Cambria" w:hAnsi="Cambria"/>
          <w:noProof/>
        </w:rPr>
      </w:pPr>
    </w:p>
    <w:tbl>
      <w:tblPr>
        <w:tblW w:w="0" w:type="auto"/>
        <w:tblInd w:w="108" w:type="dxa"/>
        <w:tblBorders>
          <w:insideH w:val="single" w:sz="4" w:space="0" w:color="000000"/>
        </w:tblBorders>
        <w:shd w:val="clear" w:color="auto" w:fill="B2A1C7"/>
        <w:tblLayout w:type="fixed"/>
        <w:tblLook w:val="04A0" w:firstRow="1" w:lastRow="0" w:firstColumn="1" w:lastColumn="0" w:noHBand="0" w:noVBand="1"/>
      </w:tblPr>
      <w:tblGrid>
        <w:gridCol w:w="9597"/>
      </w:tblGrid>
      <w:tr w:rsidR="00BA24C7" w:rsidRPr="00AC4E8E" w14:paraId="3A04AEF8" w14:textId="77777777" w:rsidTr="009C7924">
        <w:trPr>
          <w:trHeight w:val="427"/>
        </w:trPr>
        <w:tc>
          <w:tcPr>
            <w:tcW w:w="9597" w:type="dxa"/>
            <w:tcBorders>
              <w:top w:val="nil"/>
              <w:bottom w:val="nil"/>
            </w:tcBorders>
            <w:shd w:val="clear" w:color="auto" w:fill="B2A1C7"/>
          </w:tcPr>
          <w:p w14:paraId="05012692" w14:textId="77777777" w:rsidR="009C009C" w:rsidRDefault="00BA24C7" w:rsidP="00557C13">
            <w:pPr>
              <w:pStyle w:val="Heading1"/>
              <w:numPr>
                <w:ilvl w:val="0"/>
                <w:numId w:val="11"/>
              </w:numPr>
              <w:rPr>
                <w:noProof/>
                <w:szCs w:val="22"/>
                <w:lang w:val="en-US" w:eastAsia="en-US"/>
              </w:rPr>
            </w:pPr>
            <w:bookmarkStart w:id="163" w:name="_Toc527353239"/>
            <w:bookmarkStart w:id="164" w:name="_Hlk522356461"/>
            <w:r w:rsidRPr="009C009C">
              <w:rPr>
                <w:noProof/>
                <w:szCs w:val="22"/>
                <w:lang w:val="en-US" w:eastAsia="en-US"/>
              </w:rPr>
              <w:t>AKCIONI PLAN</w:t>
            </w:r>
            <w:bookmarkEnd w:id="163"/>
            <w:r w:rsidRPr="009C009C">
              <w:rPr>
                <w:noProof/>
                <w:szCs w:val="22"/>
                <w:lang w:val="en-US" w:eastAsia="en-US"/>
              </w:rPr>
              <w:t xml:space="preserve"> </w:t>
            </w:r>
          </w:p>
          <w:p w14:paraId="18316537" w14:textId="77777777" w:rsidR="00AC4E8E" w:rsidRPr="00AC4E8E" w:rsidRDefault="00AC4E8E" w:rsidP="00AC4E8E">
            <w:pPr>
              <w:rPr>
                <w:noProof/>
              </w:rPr>
            </w:pPr>
          </w:p>
        </w:tc>
      </w:tr>
      <w:bookmarkEnd w:id="164"/>
    </w:tbl>
    <w:p w14:paraId="60B93E94" w14:textId="77777777" w:rsidR="00E63ADD" w:rsidRDefault="00E63ADD" w:rsidP="00803D9D">
      <w:pPr>
        <w:rPr>
          <w:rFonts w:ascii="Cambria" w:hAnsi="Cambria"/>
          <w:noProof/>
          <w:lang w:val="sr-Latn-ME"/>
        </w:rPr>
        <w:sectPr w:rsidR="00E63ADD" w:rsidSect="00283534">
          <w:pgSz w:w="11907" w:h="16840" w:code="9"/>
          <w:pgMar w:top="1134" w:right="1134" w:bottom="1134" w:left="1134" w:header="709" w:footer="709" w:gutter="0"/>
          <w:cols w:space="720"/>
          <w:docGrid w:linePitch="360"/>
        </w:sectPr>
      </w:pPr>
    </w:p>
    <w:p w14:paraId="3DA28F7A" w14:textId="77777777" w:rsidR="008064B4" w:rsidRPr="00C76E37" w:rsidRDefault="00C76E37" w:rsidP="00557C13">
      <w:pPr>
        <w:pStyle w:val="Heading1"/>
        <w:numPr>
          <w:ilvl w:val="1"/>
          <w:numId w:val="55"/>
        </w:numPr>
        <w:rPr>
          <w:noProof/>
          <w:sz w:val="22"/>
          <w:szCs w:val="22"/>
          <w:lang w:val="sr-Latn-ME"/>
        </w:rPr>
      </w:pPr>
      <w:bookmarkStart w:id="165" w:name="_Toc527353240"/>
      <w:r w:rsidRPr="00C76E37">
        <w:rPr>
          <w:noProof/>
          <w:sz w:val="22"/>
          <w:szCs w:val="22"/>
          <w:lang w:val="sr-Latn-ME"/>
        </w:rPr>
        <w:lastRenderedPageBreak/>
        <w:t>AKCIONI PLAN</w:t>
      </w:r>
      <w:r w:rsidRPr="00C76E37">
        <w:rPr>
          <w:bCs w:val="0"/>
          <w:noProof/>
          <w:sz w:val="22"/>
          <w:szCs w:val="22"/>
          <w:lang w:val="en-US" w:eastAsia="en-US"/>
        </w:rPr>
        <w:t xml:space="preserve"> ZA </w:t>
      </w:r>
      <w:r w:rsidRPr="00C76E37">
        <w:rPr>
          <w:noProof/>
          <w:sz w:val="22"/>
          <w:szCs w:val="22"/>
          <w:lang w:val="en-US"/>
        </w:rPr>
        <w:t>SPROVO</w:t>
      </w:r>
      <w:r w:rsidRPr="00C76E37">
        <w:rPr>
          <w:noProof/>
          <w:sz w:val="22"/>
          <w:szCs w:val="22"/>
          <w:lang w:val="sr-Latn-RS"/>
        </w:rPr>
        <w:t>ĐENJE NACIONALNE STRATEGIJE UPRAVLJANJA HEMIKALIJAMA</w:t>
      </w:r>
      <w:bookmarkEnd w:id="165"/>
      <w:r w:rsidRPr="00C76E37">
        <w:rPr>
          <w:bCs w:val="0"/>
          <w:noProof/>
          <w:sz w:val="22"/>
          <w:szCs w:val="22"/>
          <w:lang w:val="sr-Latn-RS" w:eastAsia="en-US"/>
        </w:rPr>
        <w:t xml:space="preserve"> </w:t>
      </w:r>
    </w:p>
    <w:p w14:paraId="206721C0" w14:textId="77777777" w:rsidR="00D94851" w:rsidRPr="00C76E37" w:rsidRDefault="00D94851" w:rsidP="00D94851">
      <w:pPr>
        <w:rPr>
          <w:b/>
          <w:noProof/>
          <w:lang w:val="sr-Latn-ME" w:eastAsia="x-none"/>
        </w:rPr>
      </w:pPr>
    </w:p>
    <w:p w14:paraId="2F8681D7" w14:textId="77777777" w:rsidR="00D94981" w:rsidRDefault="008064B4" w:rsidP="00D94851">
      <w:pPr>
        <w:jc w:val="both"/>
        <w:rPr>
          <w:rFonts w:ascii="Cambria" w:hAnsi="Cambria"/>
          <w:noProof/>
          <w:lang w:val="sr-Latn-ME"/>
        </w:rPr>
      </w:pPr>
      <w:r>
        <w:rPr>
          <w:rFonts w:ascii="Cambria" w:hAnsi="Cambria"/>
          <w:noProof/>
          <w:lang w:val="sr-Latn-ME"/>
        </w:rPr>
        <w:t xml:space="preserve">Radi ostvarivanja ciljeva utvrđenih </w:t>
      </w:r>
      <w:r w:rsidR="0068358F">
        <w:rPr>
          <w:rFonts w:ascii="Cambria" w:hAnsi="Cambria"/>
          <w:noProof/>
          <w:lang w:val="sr-Latn-ME"/>
        </w:rPr>
        <w:t>Nacionaln</w:t>
      </w:r>
      <w:r>
        <w:rPr>
          <w:rFonts w:ascii="Cambria" w:hAnsi="Cambria"/>
          <w:noProof/>
          <w:lang w:val="sr-Latn-ME"/>
        </w:rPr>
        <w:t>om</w:t>
      </w:r>
      <w:r w:rsidR="0068358F">
        <w:rPr>
          <w:rFonts w:ascii="Cambria" w:hAnsi="Cambria"/>
          <w:noProof/>
          <w:lang w:val="sr-Latn-ME"/>
        </w:rPr>
        <w:t xml:space="preserve"> strategij</w:t>
      </w:r>
      <w:r>
        <w:rPr>
          <w:rFonts w:ascii="Cambria" w:hAnsi="Cambria"/>
          <w:noProof/>
          <w:lang w:val="sr-Latn-ME"/>
        </w:rPr>
        <w:t>om</w:t>
      </w:r>
      <w:r w:rsidR="0068358F">
        <w:rPr>
          <w:rFonts w:ascii="Cambria" w:hAnsi="Cambria"/>
          <w:noProof/>
          <w:lang w:val="sr-Latn-ME"/>
        </w:rPr>
        <w:t xml:space="preserve"> upravljanja hemikalijama za period 2019-2022.</w:t>
      </w:r>
      <w:r>
        <w:rPr>
          <w:rFonts w:ascii="Cambria" w:hAnsi="Cambria"/>
          <w:noProof/>
          <w:lang w:val="sr-Latn-ME"/>
        </w:rPr>
        <w:t xml:space="preserve"> po</w:t>
      </w:r>
      <w:r w:rsidR="00FE1726">
        <w:rPr>
          <w:rFonts w:ascii="Cambria" w:hAnsi="Cambria"/>
          <w:noProof/>
          <w:lang w:val="sr-Latn-ME"/>
        </w:rPr>
        <w:t>t</w:t>
      </w:r>
      <w:r>
        <w:rPr>
          <w:rFonts w:ascii="Cambria" w:hAnsi="Cambria"/>
          <w:noProof/>
          <w:lang w:val="sr-Latn-ME"/>
        </w:rPr>
        <w:t xml:space="preserve">rebno je sprovesti aktivnosti utvrđene akcionim planom u </w:t>
      </w:r>
      <w:r w:rsidR="00D94851">
        <w:rPr>
          <w:rFonts w:ascii="Cambria" w:hAnsi="Cambria"/>
          <w:noProof/>
          <w:lang w:val="sr-Latn-ME"/>
        </w:rPr>
        <w:t xml:space="preserve">tabeli </w:t>
      </w:r>
      <w:r w:rsidR="00C450E6">
        <w:rPr>
          <w:rFonts w:ascii="Cambria" w:hAnsi="Cambria"/>
          <w:noProof/>
          <w:lang w:val="sr-Latn-ME"/>
        </w:rPr>
        <w:t>22</w:t>
      </w:r>
      <w:r>
        <w:rPr>
          <w:rFonts w:ascii="Cambria" w:hAnsi="Cambria"/>
          <w:noProof/>
          <w:lang w:val="sr-Latn-ME"/>
        </w:rPr>
        <w:t xml:space="preserve">. </w:t>
      </w:r>
    </w:p>
    <w:p w14:paraId="562FECB2" w14:textId="5823919A" w:rsidR="00C613EB" w:rsidRDefault="00C613EB" w:rsidP="00D94851">
      <w:pPr>
        <w:jc w:val="both"/>
        <w:rPr>
          <w:rFonts w:ascii="Cambria" w:hAnsi="Cambria"/>
          <w:noProof/>
          <w:lang w:val="sr-Latn-ME"/>
        </w:rPr>
      </w:pPr>
      <w:r w:rsidRPr="001308E9">
        <w:rPr>
          <w:rFonts w:ascii="Cambria" w:hAnsi="Cambria"/>
          <w:noProof/>
          <w:lang w:val="sr-Latn-ME"/>
        </w:rPr>
        <w:t xml:space="preserve">Za finansiranje aktivnosti pređenih akcionim planom </w:t>
      </w:r>
      <w:r w:rsidR="00D81A2B">
        <w:rPr>
          <w:rFonts w:ascii="Cambria" w:hAnsi="Cambria"/>
          <w:noProof/>
          <w:lang w:val="sr-Latn-ME"/>
        </w:rPr>
        <w:t>obezb</w:t>
      </w:r>
      <w:r w:rsidR="00B4116A">
        <w:rPr>
          <w:rFonts w:ascii="Cambria" w:hAnsi="Cambria"/>
          <w:noProof/>
          <w:lang w:val="sr-Latn-ME"/>
        </w:rPr>
        <w:t>ij</w:t>
      </w:r>
      <w:r w:rsidR="00D81A2B">
        <w:rPr>
          <w:rFonts w:ascii="Cambria" w:hAnsi="Cambria"/>
          <w:noProof/>
          <w:lang w:val="sr-Latn-ME"/>
        </w:rPr>
        <w:t>eđeno je</w:t>
      </w:r>
      <w:r w:rsidRPr="001308E9">
        <w:rPr>
          <w:rFonts w:ascii="Cambria" w:hAnsi="Cambria"/>
          <w:noProof/>
          <w:lang w:val="sr-Latn-ME"/>
        </w:rPr>
        <w:t xml:space="preserve"> finansiranje d</w:t>
      </w:r>
      <w:r w:rsidR="008327BA">
        <w:rPr>
          <w:rFonts w:ascii="Cambria" w:hAnsi="Cambria"/>
          <w:noProof/>
          <w:lang w:val="sr-Latn-ME"/>
        </w:rPr>
        <w:t>ij</w:t>
      </w:r>
      <w:r w:rsidRPr="001308E9">
        <w:rPr>
          <w:rFonts w:ascii="Cambria" w:hAnsi="Cambria"/>
          <w:noProof/>
          <w:lang w:val="sr-Latn-ME"/>
        </w:rPr>
        <w:t xml:space="preserve">elom iz budžeta u ukupnom iznosu od 450.000 </w:t>
      </w:r>
      <w:r w:rsidR="007771D9" w:rsidRPr="007771D9">
        <w:rPr>
          <w:rFonts w:ascii="Cambria" w:hAnsi="Cambria"/>
          <w:noProof/>
          <w:lang w:val="pl-PL"/>
        </w:rPr>
        <w:t>€</w:t>
      </w:r>
      <w:r w:rsidR="007771D9">
        <w:rPr>
          <w:rFonts w:ascii="Cambria" w:hAnsi="Cambria"/>
          <w:b/>
          <w:noProof/>
          <w:lang w:val="pl-PL"/>
        </w:rPr>
        <w:t xml:space="preserve"> </w:t>
      </w:r>
      <w:r w:rsidRPr="001308E9">
        <w:rPr>
          <w:rFonts w:ascii="Cambria" w:hAnsi="Cambria"/>
          <w:noProof/>
          <w:lang w:val="sr-Latn-ME"/>
        </w:rPr>
        <w:t xml:space="preserve">godišnje, </w:t>
      </w:r>
      <w:r w:rsidR="00D81A2B">
        <w:rPr>
          <w:rFonts w:ascii="Cambria" w:hAnsi="Cambria"/>
          <w:noProof/>
          <w:lang w:val="sr-Latn-ME"/>
        </w:rPr>
        <w:t>dok je za finansiranje dijela aktivnosti u vezi sa jačanjem kapaciteta</w:t>
      </w:r>
      <w:r w:rsidR="007771D9">
        <w:rPr>
          <w:rFonts w:ascii="Cambria" w:hAnsi="Cambria"/>
          <w:noProof/>
          <w:lang w:val="sr-Latn-ME"/>
        </w:rPr>
        <w:t>,</w:t>
      </w:r>
      <w:r w:rsidR="00D81A2B">
        <w:rPr>
          <w:rFonts w:ascii="Cambria" w:hAnsi="Cambria"/>
          <w:noProof/>
          <w:lang w:val="sr-Latn-ME"/>
        </w:rPr>
        <w:t xml:space="preserve"> </w:t>
      </w:r>
      <w:r w:rsidR="00D81A2B" w:rsidRPr="00D81A2B">
        <w:rPr>
          <w:rFonts w:ascii="Cambria" w:hAnsi="Cambria"/>
          <w:noProof/>
          <w:lang w:val="sr-Latn-ME"/>
        </w:rPr>
        <w:t>unaprijeđenje</w:t>
      </w:r>
      <w:r w:rsidR="00D81A2B">
        <w:rPr>
          <w:rFonts w:ascii="Cambria" w:hAnsi="Cambria"/>
          <w:noProof/>
          <w:lang w:val="sr-Latn-ME"/>
        </w:rPr>
        <w:t>m</w:t>
      </w:r>
      <w:r w:rsidR="00D81A2B" w:rsidRPr="00D81A2B">
        <w:rPr>
          <w:rFonts w:ascii="Cambria" w:hAnsi="Cambria"/>
          <w:noProof/>
          <w:lang w:val="sr-Latn-ME"/>
        </w:rPr>
        <w:t xml:space="preserve"> implementacije</w:t>
      </w:r>
      <w:r w:rsidR="00D81A2B">
        <w:rPr>
          <w:rFonts w:ascii="Cambria" w:hAnsi="Cambria"/>
          <w:noProof/>
          <w:lang w:val="sr-Latn-ME"/>
        </w:rPr>
        <w:t xml:space="preserve"> propisa </w:t>
      </w:r>
      <w:r w:rsidR="007771D9">
        <w:rPr>
          <w:rFonts w:ascii="Cambria" w:hAnsi="Cambria"/>
          <w:noProof/>
          <w:lang w:val="sr-Latn-ME"/>
        </w:rPr>
        <w:t xml:space="preserve">i podizanjem javne svijesti </w:t>
      </w:r>
      <w:r w:rsidR="00D81A2B">
        <w:rPr>
          <w:rFonts w:ascii="Cambria" w:hAnsi="Cambria"/>
          <w:noProof/>
          <w:lang w:val="sr-Latn-ME"/>
        </w:rPr>
        <w:t xml:space="preserve">predviđeno finansiranje </w:t>
      </w:r>
      <w:r w:rsidRPr="001308E9">
        <w:rPr>
          <w:rFonts w:ascii="Cambria" w:hAnsi="Cambria"/>
          <w:noProof/>
          <w:lang w:val="sr-Latn-ME"/>
        </w:rPr>
        <w:t xml:space="preserve">iz donatorskih sredstava  i to IPA, TAIEX, SAICM- Quick start programe  </w:t>
      </w:r>
      <w:r w:rsidR="001308E9" w:rsidRPr="001308E9">
        <w:rPr>
          <w:rFonts w:ascii="Cambria" w:hAnsi="Cambria"/>
          <w:noProof/>
          <w:lang w:val="sr-Latn-ME"/>
        </w:rPr>
        <w:t>i sl</w:t>
      </w:r>
      <w:r w:rsidR="00D94851">
        <w:rPr>
          <w:rFonts w:ascii="Cambria" w:hAnsi="Cambria"/>
          <w:noProof/>
          <w:lang w:val="sr-Latn-ME"/>
        </w:rPr>
        <w:t xml:space="preserve">. u iznosu specificiranom za svaku relevantnu aktivnost iz akcionog plana </w:t>
      </w:r>
      <w:r w:rsidR="007771D9">
        <w:rPr>
          <w:rFonts w:ascii="Cambria" w:hAnsi="Cambria"/>
          <w:noProof/>
          <w:lang w:val="sr-Latn-ME"/>
        </w:rPr>
        <w:t xml:space="preserve">za </w:t>
      </w:r>
      <w:r w:rsidR="00D94851">
        <w:rPr>
          <w:rFonts w:ascii="Cambria" w:hAnsi="Cambria"/>
          <w:noProof/>
          <w:lang w:val="sr-Latn-ME"/>
        </w:rPr>
        <w:t>koj</w:t>
      </w:r>
      <w:r w:rsidR="007771D9">
        <w:rPr>
          <w:rFonts w:ascii="Cambria" w:hAnsi="Cambria"/>
          <w:noProof/>
          <w:lang w:val="sr-Latn-ME"/>
        </w:rPr>
        <w:t>u</w:t>
      </w:r>
      <w:r w:rsidR="00D94851">
        <w:rPr>
          <w:rFonts w:ascii="Cambria" w:hAnsi="Cambria"/>
          <w:noProof/>
          <w:lang w:val="sr-Latn-ME"/>
        </w:rPr>
        <w:t xml:space="preserve"> treba </w:t>
      </w:r>
      <w:r w:rsidR="007771D9">
        <w:rPr>
          <w:rFonts w:ascii="Cambria" w:hAnsi="Cambria"/>
          <w:noProof/>
          <w:lang w:val="sr-Latn-ME"/>
        </w:rPr>
        <w:t xml:space="preserve">aplicirati za sredstva </w:t>
      </w:r>
      <w:r w:rsidR="00D94851">
        <w:rPr>
          <w:rFonts w:ascii="Cambria" w:hAnsi="Cambria"/>
          <w:noProof/>
          <w:lang w:val="sr-Latn-ME"/>
        </w:rPr>
        <w:t>iz donacija</w:t>
      </w:r>
      <w:r w:rsidR="007771D9">
        <w:rPr>
          <w:rFonts w:ascii="Cambria" w:hAnsi="Cambria"/>
          <w:noProof/>
          <w:lang w:val="sr-Latn-ME"/>
        </w:rPr>
        <w:t xml:space="preserve"> (u ukupnom iznosu </w:t>
      </w:r>
      <w:r w:rsidR="006D230F">
        <w:rPr>
          <w:rFonts w:ascii="Cambria" w:hAnsi="Cambria"/>
          <w:noProof/>
          <w:lang w:val="sr-Latn-ME"/>
        </w:rPr>
        <w:t>50</w:t>
      </w:r>
      <w:r w:rsidR="007771D9">
        <w:rPr>
          <w:rFonts w:ascii="Cambria" w:hAnsi="Cambria"/>
          <w:noProof/>
          <w:lang w:val="sr-Latn-ME"/>
        </w:rPr>
        <w:t xml:space="preserve">0.000 </w:t>
      </w:r>
      <w:r w:rsidR="007771D9" w:rsidRPr="007771D9">
        <w:rPr>
          <w:rFonts w:ascii="Cambria" w:hAnsi="Cambria"/>
          <w:noProof/>
          <w:lang w:val="pl-PL"/>
        </w:rPr>
        <w:t>€</w:t>
      </w:r>
      <w:r w:rsidR="007771D9">
        <w:rPr>
          <w:rFonts w:ascii="Cambria" w:hAnsi="Cambria"/>
          <w:noProof/>
          <w:lang w:val="sr-Latn-ME"/>
        </w:rPr>
        <w:t>)</w:t>
      </w:r>
      <w:r w:rsidR="001308E9" w:rsidRPr="001308E9">
        <w:rPr>
          <w:rFonts w:ascii="Cambria" w:hAnsi="Cambria"/>
          <w:noProof/>
          <w:lang w:val="sr-Latn-ME"/>
        </w:rPr>
        <w:t>.</w:t>
      </w:r>
      <w:r w:rsidR="001308E9">
        <w:rPr>
          <w:rFonts w:ascii="Cambria" w:hAnsi="Cambria"/>
          <w:noProof/>
          <w:lang w:val="sr-Latn-ME"/>
        </w:rPr>
        <w:t xml:space="preserve"> S obzirom da je </w:t>
      </w:r>
      <w:r w:rsidR="00D94851">
        <w:rPr>
          <w:rFonts w:ascii="Cambria" w:hAnsi="Cambria"/>
          <w:noProof/>
          <w:lang w:val="sr-Latn-ME"/>
        </w:rPr>
        <w:t>d</w:t>
      </w:r>
      <w:r w:rsidR="001308E9">
        <w:rPr>
          <w:rFonts w:ascii="Cambria" w:hAnsi="Cambria"/>
          <w:noProof/>
          <w:lang w:val="sr-Latn-ME"/>
        </w:rPr>
        <w:t>onošenje i sprovođenje Nac</w:t>
      </w:r>
      <w:r w:rsidR="00D94851">
        <w:rPr>
          <w:rFonts w:ascii="Cambria" w:hAnsi="Cambria"/>
          <w:noProof/>
          <w:lang w:val="sr-Latn-ME"/>
        </w:rPr>
        <w:t>i</w:t>
      </w:r>
      <w:r w:rsidR="001308E9">
        <w:rPr>
          <w:rFonts w:ascii="Cambria" w:hAnsi="Cambria"/>
          <w:noProof/>
          <w:lang w:val="sr-Latn-ME"/>
        </w:rPr>
        <w:t>onalne strategije upravljanja hemikalijama obaveza utvrđena Zakonom o hemikalijama,  te da se za njeno sprovođenje, odnosno obavljanje poslova u ve</w:t>
      </w:r>
      <w:r w:rsidR="00D94851">
        <w:rPr>
          <w:rFonts w:ascii="Cambria" w:hAnsi="Cambria"/>
          <w:noProof/>
          <w:lang w:val="sr-Latn-ME"/>
        </w:rPr>
        <w:t>z</w:t>
      </w:r>
      <w:r w:rsidR="001308E9">
        <w:rPr>
          <w:rFonts w:ascii="Cambria" w:hAnsi="Cambria"/>
          <w:noProof/>
          <w:lang w:val="sr-Latn-ME"/>
        </w:rPr>
        <w:t>i sa upravljanjem hemikalija</w:t>
      </w:r>
      <w:r w:rsidR="00D81A2B">
        <w:rPr>
          <w:rFonts w:ascii="Cambria" w:hAnsi="Cambria"/>
          <w:noProof/>
          <w:lang w:val="sr-Latn-ME"/>
        </w:rPr>
        <w:t>,</w:t>
      </w:r>
      <w:r w:rsidR="001308E9">
        <w:rPr>
          <w:rFonts w:ascii="Cambria" w:hAnsi="Cambria"/>
          <w:noProof/>
          <w:lang w:val="sr-Latn-ME"/>
        </w:rPr>
        <w:t xml:space="preserve"> sredstva redovno odobravaju iz Budžeta Cr</w:t>
      </w:r>
      <w:r w:rsidR="00D94851">
        <w:rPr>
          <w:rFonts w:ascii="Cambria" w:hAnsi="Cambria"/>
          <w:noProof/>
          <w:lang w:val="sr-Latn-ME"/>
        </w:rPr>
        <w:t>n</w:t>
      </w:r>
      <w:r w:rsidR="001308E9">
        <w:rPr>
          <w:rFonts w:ascii="Cambria" w:hAnsi="Cambria"/>
          <w:noProof/>
          <w:lang w:val="sr-Latn-ME"/>
        </w:rPr>
        <w:t xml:space="preserve">e Gore, kao i usled činjenice da su za poslove u vezi sa  </w:t>
      </w:r>
      <w:r w:rsidR="001308E9" w:rsidRPr="001308E9">
        <w:rPr>
          <w:rFonts w:ascii="Cambria" w:hAnsi="Cambria"/>
          <w:bCs/>
          <w:noProof/>
        </w:rPr>
        <w:t xml:space="preserve">transpozicijom, implementacijom i primjenom </w:t>
      </w:r>
      <w:r w:rsidR="001308E9" w:rsidRPr="001308E9">
        <w:rPr>
          <w:rFonts w:ascii="Cambria" w:hAnsi="Cambria"/>
          <w:noProof/>
        </w:rPr>
        <w:t xml:space="preserve"> </w:t>
      </w:r>
      <w:r w:rsidR="001308E9" w:rsidRPr="001308E9">
        <w:rPr>
          <w:rFonts w:ascii="Cambria" w:hAnsi="Cambria"/>
          <w:bCs/>
          <w:noProof/>
        </w:rPr>
        <w:t>pravne tekovine EU</w:t>
      </w:r>
      <w:r w:rsidR="001308E9" w:rsidRPr="001308E9">
        <w:rPr>
          <w:rFonts w:ascii="Cambria" w:hAnsi="Cambria"/>
          <w:b/>
          <w:bCs/>
          <w:noProof/>
        </w:rPr>
        <w:t xml:space="preserve"> </w:t>
      </w:r>
      <w:r w:rsidR="001308E9">
        <w:rPr>
          <w:rFonts w:ascii="Cambria" w:hAnsi="Cambria"/>
          <w:noProof/>
          <w:lang w:val="sr-Latn-ME"/>
        </w:rPr>
        <w:t xml:space="preserve">u ovoj oblasti </w:t>
      </w:r>
      <w:r w:rsidR="00D94851">
        <w:rPr>
          <w:rFonts w:ascii="Cambria" w:hAnsi="Cambria"/>
          <w:noProof/>
          <w:lang w:val="sr-Latn-ME"/>
        </w:rPr>
        <w:t>već opredeljena sredstva u vezi sa sprovođenjem relevantnog dijela N</w:t>
      </w:r>
      <w:r w:rsidR="00D94851" w:rsidRPr="00D94851">
        <w:rPr>
          <w:rFonts w:ascii="Cambria" w:hAnsi="Cambria"/>
          <w:noProof/>
          <w:lang w:val="sr-Latn-ME"/>
        </w:rPr>
        <w:t>acionaln</w:t>
      </w:r>
      <w:r w:rsidR="00D94851">
        <w:rPr>
          <w:rFonts w:ascii="Cambria" w:hAnsi="Cambria"/>
          <w:noProof/>
          <w:lang w:val="sr-Latn-ME"/>
        </w:rPr>
        <w:t>e</w:t>
      </w:r>
      <w:r w:rsidR="00D94851" w:rsidRPr="00D94851">
        <w:rPr>
          <w:rFonts w:ascii="Cambria" w:hAnsi="Cambria"/>
          <w:noProof/>
          <w:lang w:val="sr-Latn-ME"/>
        </w:rPr>
        <w:t xml:space="preserve"> strategij</w:t>
      </w:r>
      <w:r w:rsidR="00D94851">
        <w:rPr>
          <w:rFonts w:ascii="Cambria" w:hAnsi="Cambria"/>
          <w:noProof/>
          <w:lang w:val="sr-Latn-ME"/>
        </w:rPr>
        <w:t>e</w:t>
      </w:r>
      <w:r w:rsidR="00D94851" w:rsidRPr="00D94851">
        <w:rPr>
          <w:rFonts w:ascii="Cambria" w:hAnsi="Cambria"/>
          <w:noProof/>
          <w:lang w:val="sr-Latn-ME"/>
        </w:rPr>
        <w:t xml:space="preserve"> za transpoziciju, implementaciju i primjenu pravne tekovine EU u oblasti životne sredine i klimatskih promjena</w:t>
      </w:r>
      <w:r w:rsidR="00D94851">
        <w:rPr>
          <w:rFonts w:ascii="Cambria" w:hAnsi="Cambria"/>
          <w:noProof/>
          <w:lang w:val="sr-Latn-ME"/>
        </w:rPr>
        <w:t xml:space="preserve">, a radi izbjegavanja dvostrukog planiranja sredstava za iste namjene, sredstva koja će se izdvojiti iz </w:t>
      </w:r>
      <w:r w:rsidR="00D81A2B">
        <w:rPr>
          <w:rFonts w:ascii="Cambria" w:hAnsi="Cambria"/>
          <w:noProof/>
          <w:lang w:val="sr-Latn-ME"/>
        </w:rPr>
        <w:t>b</w:t>
      </w:r>
      <w:r w:rsidR="00D94851">
        <w:rPr>
          <w:rFonts w:ascii="Cambria" w:hAnsi="Cambria"/>
          <w:noProof/>
          <w:lang w:val="sr-Latn-ME"/>
        </w:rPr>
        <w:t>udžeta za sprov</w:t>
      </w:r>
      <w:r w:rsidR="00D81A2B">
        <w:rPr>
          <w:rFonts w:ascii="Cambria" w:hAnsi="Cambria"/>
          <w:noProof/>
          <w:lang w:val="sr-Latn-ME"/>
        </w:rPr>
        <w:t>o</w:t>
      </w:r>
      <w:r w:rsidR="00D94851">
        <w:rPr>
          <w:rFonts w:ascii="Cambria" w:hAnsi="Cambria"/>
          <w:noProof/>
          <w:lang w:val="sr-Latn-ME"/>
        </w:rPr>
        <w:t>đenje pojedinih aktivnosti iz akcionog plana nisu posebno naznačena</w:t>
      </w:r>
      <w:r w:rsidR="00D81A2B">
        <w:rPr>
          <w:rFonts w:ascii="Cambria" w:hAnsi="Cambria"/>
          <w:noProof/>
          <w:lang w:val="sr-Latn-ME"/>
        </w:rPr>
        <w:t>, već samo budžet kao njihov izvor.</w:t>
      </w:r>
    </w:p>
    <w:p w14:paraId="792D6A29" w14:textId="77777777" w:rsidR="00B51FC4" w:rsidRPr="00D94851" w:rsidRDefault="00B51FC4" w:rsidP="009A2099">
      <w:pPr>
        <w:spacing w:after="120"/>
        <w:jc w:val="center"/>
        <w:rPr>
          <w:rFonts w:ascii="Cambria" w:hAnsi="Cambria"/>
          <w:noProof/>
        </w:rPr>
      </w:pPr>
      <w:r w:rsidRPr="009A2099">
        <w:rPr>
          <w:rFonts w:ascii="Cambria" w:hAnsi="Cambria"/>
          <w:i/>
          <w:noProof/>
        </w:rPr>
        <w:t>Tabela</w:t>
      </w:r>
      <w:r w:rsidR="00C450E6" w:rsidRPr="009A2099">
        <w:rPr>
          <w:rFonts w:ascii="Cambria" w:hAnsi="Cambria"/>
          <w:i/>
          <w:noProof/>
        </w:rPr>
        <w:t xml:space="preserve"> 22</w:t>
      </w:r>
      <w:r w:rsidR="00BA3E9F">
        <w:rPr>
          <w:rFonts w:ascii="Cambria" w:hAnsi="Cambria"/>
          <w:noProof/>
        </w:rPr>
        <w:t>.</w:t>
      </w:r>
      <w:r w:rsidR="00C76E37" w:rsidRPr="00C76E37">
        <w:rPr>
          <w:noProof/>
        </w:rPr>
        <w:t xml:space="preserve"> </w:t>
      </w:r>
      <w:r w:rsidR="00C76E37" w:rsidRPr="00C76E37">
        <w:rPr>
          <w:rFonts w:ascii="Cambria" w:hAnsi="Cambria"/>
          <w:noProof/>
        </w:rPr>
        <w:t xml:space="preserve">Akcioni plan </w:t>
      </w:r>
      <w:r w:rsidR="00C76E37">
        <w:rPr>
          <w:rFonts w:ascii="Cambria" w:hAnsi="Cambria"/>
          <w:noProof/>
        </w:rPr>
        <w:t xml:space="preserve"> sprovo</w:t>
      </w:r>
      <w:r w:rsidR="00C76E37">
        <w:rPr>
          <w:rFonts w:ascii="Cambria" w:hAnsi="Cambria"/>
          <w:noProof/>
          <w:lang w:val="sr-Latn-RS"/>
        </w:rPr>
        <w:t xml:space="preserve">đenje </w:t>
      </w:r>
      <w:r w:rsidR="00C76E37" w:rsidRPr="00C76E37">
        <w:rPr>
          <w:rFonts w:ascii="Cambria" w:hAnsi="Cambria"/>
          <w:noProof/>
          <w:lang w:val="sr-Latn-RS"/>
        </w:rPr>
        <w:t>Nacionaln</w:t>
      </w:r>
      <w:r w:rsidR="00C76E37">
        <w:rPr>
          <w:rFonts w:ascii="Cambria" w:hAnsi="Cambria"/>
          <w:noProof/>
          <w:lang w:val="sr-Latn-RS"/>
        </w:rPr>
        <w:t>e</w:t>
      </w:r>
      <w:r w:rsidR="00C76E37" w:rsidRPr="00C76E37">
        <w:rPr>
          <w:rFonts w:ascii="Cambria" w:hAnsi="Cambria"/>
          <w:noProof/>
          <w:lang w:val="sr-Latn-RS"/>
        </w:rPr>
        <w:t xml:space="preserve"> strategij</w:t>
      </w:r>
      <w:r w:rsidR="00C76E37">
        <w:rPr>
          <w:rFonts w:ascii="Cambria" w:hAnsi="Cambria"/>
          <w:noProof/>
          <w:lang w:val="sr-Latn-RS"/>
        </w:rPr>
        <w:t>e</w:t>
      </w:r>
      <w:r w:rsidR="00C76E37" w:rsidRPr="00C76E37">
        <w:rPr>
          <w:rFonts w:ascii="Cambria" w:hAnsi="Cambria"/>
          <w:noProof/>
          <w:lang w:val="sr-Latn-RS"/>
        </w:rPr>
        <w:t xml:space="preserve"> upravljanja hemikalijama za period 2019-2022</w:t>
      </w:r>
      <w:r w:rsidR="00C76E37">
        <w:rPr>
          <w:rFonts w:ascii="Cambria" w:hAnsi="Cambria"/>
          <w:noProof/>
          <w:lang w:val="sr-Latn-RS"/>
        </w:rPr>
        <w:t>. godine</w:t>
      </w:r>
    </w:p>
    <w:tbl>
      <w:tblPr>
        <w:tblW w:w="14367" w:type="dxa"/>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5040"/>
        <w:gridCol w:w="1530"/>
        <w:gridCol w:w="1530"/>
        <w:gridCol w:w="2250"/>
        <w:gridCol w:w="4017"/>
      </w:tblGrid>
      <w:tr w:rsidR="00EB4AAD" w:rsidRPr="00EB4AAD" w14:paraId="72564063" w14:textId="77777777" w:rsidTr="00A275C9">
        <w:trPr>
          <w:trHeight w:val="794"/>
        </w:trPr>
        <w:tc>
          <w:tcPr>
            <w:tcW w:w="5040" w:type="dxa"/>
            <w:tcBorders>
              <w:top w:val="double" w:sz="4" w:space="0" w:color="auto"/>
              <w:bottom w:val="double" w:sz="4" w:space="0" w:color="auto"/>
              <w:right w:val="single" w:sz="4" w:space="0" w:color="auto"/>
            </w:tcBorders>
            <w:shd w:val="clear" w:color="auto" w:fill="BFBFBF" w:themeFill="background1" w:themeFillShade="BF"/>
            <w:vAlign w:val="center"/>
          </w:tcPr>
          <w:p w14:paraId="5E4E903E" w14:textId="77777777" w:rsidR="00EB4AAD" w:rsidRPr="00EB4AAD" w:rsidRDefault="00EB4AAD" w:rsidP="00803D9D">
            <w:pPr>
              <w:spacing w:before="120" w:after="120"/>
              <w:rPr>
                <w:rFonts w:ascii="Cambria" w:hAnsi="Cambria"/>
                <w:b/>
                <w:noProof/>
                <w:lang w:val="pl-PL"/>
              </w:rPr>
            </w:pPr>
            <w:r w:rsidRPr="00EB4AAD">
              <w:rPr>
                <w:rFonts w:ascii="Cambria" w:hAnsi="Cambria"/>
                <w:b/>
                <w:noProof/>
                <w:lang w:val="pl-PL"/>
              </w:rPr>
              <w:t>Aktivnost</w:t>
            </w:r>
          </w:p>
        </w:tc>
        <w:tc>
          <w:tcPr>
            <w:tcW w:w="1530" w:type="dxa"/>
            <w:tcBorders>
              <w:top w:val="double" w:sz="4" w:space="0" w:color="auto"/>
              <w:left w:val="single" w:sz="4" w:space="0" w:color="auto"/>
              <w:bottom w:val="double" w:sz="4" w:space="0" w:color="auto"/>
              <w:right w:val="single" w:sz="4" w:space="0" w:color="auto"/>
            </w:tcBorders>
            <w:shd w:val="clear" w:color="auto" w:fill="BFBFBF" w:themeFill="background1" w:themeFillShade="BF"/>
          </w:tcPr>
          <w:p w14:paraId="0700835A" w14:textId="77777777" w:rsidR="00EB4AAD" w:rsidRPr="00EB4AAD" w:rsidRDefault="00EB4AAD" w:rsidP="00803D9D">
            <w:pPr>
              <w:spacing w:before="120" w:after="120"/>
              <w:rPr>
                <w:rFonts w:ascii="Cambria" w:hAnsi="Cambria"/>
                <w:b/>
                <w:noProof/>
                <w:lang w:val="pl-PL"/>
              </w:rPr>
            </w:pPr>
            <w:r w:rsidRPr="00EB4AAD">
              <w:rPr>
                <w:rFonts w:ascii="Cambria" w:hAnsi="Cambria"/>
                <w:b/>
                <w:noProof/>
                <w:lang w:val="pl-PL"/>
              </w:rPr>
              <w:t>Rok</w:t>
            </w:r>
          </w:p>
        </w:tc>
        <w:tc>
          <w:tcPr>
            <w:tcW w:w="1530" w:type="dxa"/>
            <w:tcBorders>
              <w:top w:val="double" w:sz="4" w:space="0" w:color="auto"/>
              <w:left w:val="single" w:sz="4" w:space="0" w:color="auto"/>
              <w:bottom w:val="double" w:sz="4" w:space="0" w:color="auto"/>
              <w:right w:val="single" w:sz="4" w:space="0" w:color="auto"/>
            </w:tcBorders>
            <w:shd w:val="clear" w:color="auto" w:fill="BFBFBF" w:themeFill="background1" w:themeFillShade="BF"/>
          </w:tcPr>
          <w:p w14:paraId="39BBCB98" w14:textId="77777777" w:rsidR="00EB4AAD" w:rsidRPr="00EB4AAD" w:rsidRDefault="00EB4AAD" w:rsidP="00803D9D">
            <w:pPr>
              <w:spacing w:before="120" w:after="120"/>
              <w:rPr>
                <w:rFonts w:ascii="Cambria" w:hAnsi="Cambria"/>
                <w:b/>
                <w:noProof/>
                <w:lang w:val="pl-PL"/>
              </w:rPr>
            </w:pPr>
            <w:r w:rsidRPr="00EB4AAD">
              <w:rPr>
                <w:rFonts w:ascii="Cambria" w:hAnsi="Cambria"/>
                <w:b/>
                <w:noProof/>
                <w:lang w:val="pl-PL"/>
              </w:rPr>
              <w:t>Nosioci aktivnosti</w:t>
            </w:r>
          </w:p>
        </w:tc>
        <w:tc>
          <w:tcPr>
            <w:tcW w:w="2250" w:type="dxa"/>
            <w:tcBorders>
              <w:top w:val="double" w:sz="4" w:space="0" w:color="auto"/>
              <w:left w:val="single" w:sz="4" w:space="0" w:color="auto"/>
              <w:bottom w:val="double" w:sz="4" w:space="0" w:color="auto"/>
              <w:right w:val="single" w:sz="4" w:space="0" w:color="auto"/>
            </w:tcBorders>
            <w:shd w:val="clear" w:color="auto" w:fill="BFBFBF" w:themeFill="background1" w:themeFillShade="BF"/>
          </w:tcPr>
          <w:p w14:paraId="747E4D06" w14:textId="77777777" w:rsidR="00EB4AAD" w:rsidRPr="00EB4AAD" w:rsidRDefault="00EB4AAD" w:rsidP="00803D9D">
            <w:pPr>
              <w:spacing w:before="120" w:after="120"/>
              <w:rPr>
                <w:rFonts w:ascii="Cambria" w:hAnsi="Cambria"/>
                <w:b/>
                <w:noProof/>
                <w:lang w:val="pl-PL"/>
              </w:rPr>
            </w:pPr>
            <w:r w:rsidRPr="00EB4AAD">
              <w:rPr>
                <w:rFonts w:ascii="Cambria" w:hAnsi="Cambria"/>
                <w:b/>
                <w:noProof/>
                <w:lang w:val="pl-PL"/>
              </w:rPr>
              <w:t>Indikator</w:t>
            </w:r>
            <w:r w:rsidR="0065481A">
              <w:rPr>
                <w:rFonts w:ascii="Cambria" w:hAnsi="Cambria"/>
                <w:b/>
                <w:noProof/>
                <w:lang w:val="pl-PL"/>
              </w:rPr>
              <w:t xml:space="preserve"> rezultata</w:t>
            </w:r>
          </w:p>
        </w:tc>
        <w:tc>
          <w:tcPr>
            <w:tcW w:w="4017" w:type="dxa"/>
            <w:tcBorders>
              <w:top w:val="double" w:sz="4" w:space="0" w:color="auto"/>
              <w:left w:val="single" w:sz="4" w:space="0" w:color="auto"/>
              <w:bottom w:val="double" w:sz="4" w:space="0" w:color="auto"/>
            </w:tcBorders>
            <w:shd w:val="clear" w:color="auto" w:fill="BFBFBF" w:themeFill="background1" w:themeFillShade="BF"/>
          </w:tcPr>
          <w:p w14:paraId="2C5DD1F9" w14:textId="77777777" w:rsidR="00EB4AAD" w:rsidRPr="00EB4AAD" w:rsidRDefault="00EB4AAD" w:rsidP="00803D9D">
            <w:pPr>
              <w:spacing w:before="120" w:after="120"/>
              <w:rPr>
                <w:rFonts w:ascii="Cambria" w:hAnsi="Cambria"/>
                <w:b/>
                <w:noProof/>
                <w:lang w:val="pl-PL"/>
              </w:rPr>
            </w:pPr>
            <w:r w:rsidRPr="00EB4AAD">
              <w:rPr>
                <w:rFonts w:ascii="Cambria" w:hAnsi="Cambria"/>
                <w:b/>
                <w:noProof/>
                <w:lang w:val="pl-PL"/>
              </w:rPr>
              <w:t>Izvor finansiranja/</w:t>
            </w:r>
          </w:p>
          <w:p w14:paraId="264CFB6D" w14:textId="77777777" w:rsidR="00EB4AAD" w:rsidRPr="00EB4AAD" w:rsidRDefault="00EB4AAD" w:rsidP="00803D9D">
            <w:pPr>
              <w:spacing w:before="120" w:after="120"/>
              <w:rPr>
                <w:rFonts w:ascii="Cambria" w:hAnsi="Cambria"/>
                <w:b/>
                <w:noProof/>
                <w:lang w:val="pl-PL"/>
              </w:rPr>
            </w:pPr>
            <w:r w:rsidRPr="00EB4AAD">
              <w:rPr>
                <w:rFonts w:ascii="Cambria" w:hAnsi="Cambria"/>
                <w:b/>
                <w:noProof/>
                <w:lang w:val="pl-PL"/>
              </w:rPr>
              <w:t>Finansijska procjena (€)</w:t>
            </w:r>
          </w:p>
        </w:tc>
      </w:tr>
      <w:tr w:rsidR="00EB4AAD" w:rsidRPr="00EB4AAD" w14:paraId="48A184BB" w14:textId="77777777" w:rsidTr="00A275C9">
        <w:trPr>
          <w:trHeight w:val="176"/>
        </w:trPr>
        <w:tc>
          <w:tcPr>
            <w:tcW w:w="14367" w:type="dxa"/>
            <w:gridSpan w:val="5"/>
            <w:tcBorders>
              <w:top w:val="double" w:sz="4" w:space="0" w:color="auto"/>
              <w:bottom w:val="double" w:sz="4" w:space="0" w:color="auto"/>
            </w:tcBorders>
            <w:shd w:val="clear" w:color="auto" w:fill="D9D9D9" w:themeFill="background1" w:themeFillShade="D9"/>
          </w:tcPr>
          <w:p w14:paraId="71F11437" w14:textId="77777777" w:rsidR="00EB4AAD" w:rsidRPr="00EB4AAD" w:rsidRDefault="00EB4AAD" w:rsidP="00803D9D">
            <w:pPr>
              <w:spacing w:before="120" w:after="120"/>
              <w:rPr>
                <w:rFonts w:ascii="Cambria" w:hAnsi="Cambria"/>
                <w:b/>
                <w:noProof/>
                <w:lang w:val="sr-Latn-ME"/>
              </w:rPr>
            </w:pPr>
            <w:r w:rsidRPr="00EB4AAD">
              <w:rPr>
                <w:rFonts w:ascii="Cambria" w:hAnsi="Cambria"/>
                <w:b/>
                <w:noProof/>
                <w:lang w:val="pl-PL"/>
              </w:rPr>
              <w:t>CILj 1:</w:t>
            </w:r>
            <w:r w:rsidRPr="00EB4AAD">
              <w:rPr>
                <w:rFonts w:ascii="Cambria" w:hAnsi="Cambria"/>
                <w:b/>
                <w:noProof/>
                <w:lang w:val="sr-Latn-ME"/>
              </w:rPr>
              <w:t xml:space="preserve"> U</w:t>
            </w:r>
            <w:r w:rsidRPr="00EB4AAD">
              <w:rPr>
                <w:rFonts w:ascii="Cambria" w:hAnsi="Cambria"/>
                <w:b/>
                <w:noProof/>
              </w:rPr>
              <w:t xml:space="preserve">naprijeđenje </w:t>
            </w:r>
            <w:r w:rsidRPr="00EB4AAD">
              <w:rPr>
                <w:rFonts w:ascii="Cambria" w:hAnsi="Cambria"/>
                <w:b/>
                <w:noProof/>
                <w:lang w:val="sr-Latn-ME"/>
              </w:rPr>
              <w:t xml:space="preserve">zakonodavnog okvira kroz dalju harmonizaciju sa propisima EU u oblasti hemikalija i povezanim oblastima  </w:t>
            </w:r>
          </w:p>
        </w:tc>
      </w:tr>
      <w:tr w:rsidR="00EB4AAD" w:rsidRPr="00EB4AAD" w14:paraId="5C327E08" w14:textId="77777777" w:rsidTr="00A275C9">
        <w:trPr>
          <w:trHeight w:val="17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4B2E66EE" w14:textId="3C6E86B3" w:rsidR="00EB4AAD" w:rsidRPr="00C94088" w:rsidRDefault="00EB4AAD" w:rsidP="00557C13">
            <w:pPr>
              <w:numPr>
                <w:ilvl w:val="0"/>
                <w:numId w:val="49"/>
              </w:numPr>
              <w:spacing w:before="120" w:after="120"/>
              <w:ind w:left="405" w:hanging="315"/>
              <w:rPr>
                <w:rFonts w:ascii="Cambria" w:hAnsi="Cambria"/>
                <w:noProof/>
                <w:lang w:val="sr-Latn-ME"/>
              </w:rPr>
            </w:pPr>
            <w:r w:rsidRPr="00EB4AAD">
              <w:rPr>
                <w:rFonts w:ascii="Cambria" w:hAnsi="Cambria"/>
                <w:noProof/>
                <w:lang w:val="sr-Latn-ME"/>
              </w:rPr>
              <w:t>Donošenje nove Uredbe o zabrani i ograničenju korišćenja, stavljanja u promet i proizvodnji hemikalija koje predstavljaju neprihvatljiv rizik po zdravlje ljudi i životnu sredinu</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4E2F8F4D"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2019</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11996AD2"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45A3B8B4"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Usvojena nov</w:t>
            </w:r>
            <w:r w:rsidR="00674ACF">
              <w:rPr>
                <w:rFonts w:ascii="Cambria" w:hAnsi="Cambria"/>
                <w:noProof/>
                <w:lang w:val="pl-PL"/>
              </w:rPr>
              <w:t>a</w:t>
            </w:r>
            <w:r w:rsidRPr="00EB4AAD">
              <w:rPr>
                <w:rFonts w:ascii="Cambria" w:hAnsi="Cambria"/>
                <w:noProof/>
                <w:lang w:val="pl-PL"/>
              </w:rPr>
              <w:t xml:space="preserve"> Uredb</w:t>
            </w:r>
            <w:r w:rsidR="00674ACF">
              <w:rPr>
                <w:rFonts w:ascii="Cambria" w:hAnsi="Cambria"/>
                <w:noProof/>
                <w:lang w:val="pl-PL"/>
              </w:rPr>
              <w:t>a</w:t>
            </w:r>
          </w:p>
        </w:tc>
        <w:tc>
          <w:tcPr>
            <w:tcW w:w="4017" w:type="dxa"/>
            <w:tcBorders>
              <w:top w:val="double" w:sz="4" w:space="0" w:color="auto"/>
              <w:left w:val="single" w:sz="4" w:space="0" w:color="auto"/>
              <w:bottom w:val="single" w:sz="4" w:space="0" w:color="auto"/>
            </w:tcBorders>
            <w:shd w:val="clear" w:color="auto" w:fill="auto"/>
            <w:vAlign w:val="center"/>
          </w:tcPr>
          <w:p w14:paraId="34F1B6FF" w14:textId="77777777" w:rsidR="0065481A" w:rsidRPr="00EB4AAD" w:rsidRDefault="00EB4AAD" w:rsidP="0065481A">
            <w:pPr>
              <w:spacing w:before="120" w:after="120"/>
              <w:rPr>
                <w:rFonts w:ascii="Cambria" w:hAnsi="Cambria"/>
                <w:noProof/>
                <w:lang w:val="pl-PL"/>
              </w:rPr>
            </w:pPr>
            <w:r w:rsidRPr="00EB4AAD">
              <w:rPr>
                <w:rFonts w:ascii="Cambria" w:hAnsi="Cambria"/>
                <w:noProof/>
                <w:lang w:val="pl-PL"/>
              </w:rPr>
              <w:t xml:space="preserve">Aktivnost pokrivena  iz budžeta </w:t>
            </w:r>
          </w:p>
          <w:p w14:paraId="380613CD" w14:textId="77777777" w:rsidR="00EB4AAD" w:rsidRPr="00EB4AAD" w:rsidRDefault="00EB4AAD" w:rsidP="00803D9D">
            <w:pPr>
              <w:spacing w:before="120" w:after="120"/>
              <w:rPr>
                <w:rFonts w:ascii="Cambria" w:hAnsi="Cambria"/>
                <w:noProof/>
                <w:lang w:val="pl-PL"/>
              </w:rPr>
            </w:pPr>
          </w:p>
        </w:tc>
      </w:tr>
      <w:tr w:rsidR="00C94088" w:rsidRPr="00EB4AAD" w14:paraId="31935778" w14:textId="77777777" w:rsidTr="00A275C9">
        <w:trPr>
          <w:trHeight w:val="176"/>
        </w:trPr>
        <w:tc>
          <w:tcPr>
            <w:tcW w:w="14367" w:type="dxa"/>
            <w:gridSpan w:val="5"/>
            <w:tcBorders>
              <w:top w:val="single" w:sz="4" w:space="0" w:color="auto"/>
              <w:bottom w:val="double" w:sz="4" w:space="0" w:color="auto"/>
            </w:tcBorders>
            <w:shd w:val="clear" w:color="auto" w:fill="auto"/>
          </w:tcPr>
          <w:p w14:paraId="39D4BE3F" w14:textId="7A5EA05A" w:rsidR="00C94088" w:rsidRPr="00EB4AAD" w:rsidRDefault="00C94088" w:rsidP="0065481A">
            <w:pPr>
              <w:spacing w:before="120" w:after="120"/>
              <w:rPr>
                <w:rFonts w:ascii="Cambria" w:hAnsi="Cambria"/>
                <w:noProof/>
                <w:lang w:val="pl-PL"/>
              </w:rPr>
            </w:pPr>
            <w:r w:rsidRPr="000A46A9">
              <w:rPr>
                <w:rFonts w:ascii="Cambria" w:hAnsi="Cambria"/>
                <w:i/>
                <w:noProof/>
                <w:lang w:val="sr-Latn-ME"/>
              </w:rPr>
              <w:lastRenderedPageBreak/>
              <w:t>Opis aktivnosti:</w:t>
            </w:r>
            <w:r>
              <w:rPr>
                <w:rFonts w:ascii="Cambria" w:hAnsi="Cambria"/>
                <w:noProof/>
                <w:lang w:val="sr-Latn-ME"/>
              </w:rPr>
              <w:t xml:space="preserve"> </w:t>
            </w:r>
            <w:r w:rsidR="000A46A9" w:rsidRPr="000A46A9">
              <w:rPr>
                <w:rFonts w:ascii="Cambria" w:hAnsi="Cambria"/>
                <w:noProof/>
                <w:lang w:val="sr-Latn-ME"/>
              </w:rPr>
              <w:t xml:space="preserve">Nacionalni propisi u oblasti upravljanja hemikalijama su u značajnoj mjeri usklađeni sa propisima EU, ali s obzirom na kontinuirano prilagođavanje EU propisa tehničkom napretku biće potrebno sprovesti aktivnosti dalje harmonizacije domaćeg zakonodavstva sa relevantnim </w:t>
            </w:r>
            <w:r w:rsidR="000A46A9">
              <w:rPr>
                <w:rFonts w:ascii="Cambria" w:hAnsi="Cambria"/>
                <w:noProof/>
                <w:lang w:val="sr-Latn-ME"/>
              </w:rPr>
              <w:t xml:space="preserve">amandmanima na </w:t>
            </w:r>
            <w:r w:rsidR="000A46A9" w:rsidRPr="000A46A9">
              <w:rPr>
                <w:rFonts w:ascii="Cambria" w:hAnsi="Cambria"/>
                <w:noProof/>
                <w:lang w:val="sr-Latn-ME"/>
              </w:rPr>
              <w:t>propis</w:t>
            </w:r>
            <w:r w:rsidR="000A46A9">
              <w:rPr>
                <w:rFonts w:ascii="Cambria" w:hAnsi="Cambria"/>
                <w:noProof/>
                <w:lang w:val="sr-Latn-ME"/>
              </w:rPr>
              <w:t>e</w:t>
            </w:r>
            <w:r w:rsidR="000A46A9" w:rsidRPr="000A46A9">
              <w:rPr>
                <w:rFonts w:ascii="Cambria" w:hAnsi="Cambria"/>
                <w:noProof/>
                <w:lang w:val="sr-Latn-ME"/>
              </w:rPr>
              <w:t xml:space="preserve"> EU</w:t>
            </w:r>
            <w:r w:rsidR="000A46A9">
              <w:rPr>
                <w:rFonts w:ascii="Cambria" w:hAnsi="Cambria"/>
                <w:noProof/>
                <w:lang w:val="sr-Latn-ME"/>
              </w:rPr>
              <w:t xml:space="preserve"> u pogledu zabrana i ograničenja.</w:t>
            </w:r>
          </w:p>
        </w:tc>
      </w:tr>
      <w:tr w:rsidR="00EB4AAD" w:rsidRPr="00EB4AAD" w14:paraId="3FFD2ACA" w14:textId="77777777" w:rsidTr="00A275C9">
        <w:trPr>
          <w:trHeight w:val="17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1819DB97" w14:textId="77DB1263" w:rsidR="00EB4AAD" w:rsidRPr="00EB4AAD" w:rsidRDefault="000A46A9" w:rsidP="00557C13">
            <w:pPr>
              <w:numPr>
                <w:ilvl w:val="0"/>
                <w:numId w:val="49"/>
              </w:numPr>
              <w:spacing w:before="120" w:after="120"/>
              <w:ind w:left="405" w:hanging="315"/>
              <w:rPr>
                <w:rFonts w:ascii="Cambria" w:hAnsi="Cambria"/>
                <w:noProof/>
                <w:lang w:val="sr-Latn-ME"/>
              </w:rPr>
            </w:pPr>
            <w:r>
              <w:rPr>
                <w:rFonts w:ascii="Cambria" w:hAnsi="Cambria"/>
                <w:noProof/>
                <w:lang w:val="sr-Latn-ME"/>
              </w:rPr>
              <w:t xml:space="preserve">Izmene i dopune propisa o biocidnim proizvodima, uključujuči </w:t>
            </w:r>
            <w:r w:rsidR="00EB4AAD" w:rsidRPr="00EB4AAD">
              <w:rPr>
                <w:rFonts w:ascii="Cambria" w:hAnsi="Cambria"/>
                <w:noProof/>
                <w:lang w:val="sr-Latn-ME"/>
              </w:rPr>
              <w:t xml:space="preserve"> </w:t>
            </w:r>
            <w:r w:rsidR="00BB313F">
              <w:rPr>
                <w:rFonts w:ascii="Cambria" w:hAnsi="Cambria"/>
                <w:noProof/>
                <w:lang w:val="sr-Latn-ME"/>
              </w:rPr>
              <w:t xml:space="preserve">i ažuriranje </w:t>
            </w:r>
            <w:r w:rsidR="00EB4AAD" w:rsidRPr="00EB4AAD">
              <w:rPr>
                <w:rFonts w:ascii="Cambria" w:hAnsi="Cambria"/>
                <w:noProof/>
                <w:lang w:val="sr-Latn-ME"/>
              </w:rPr>
              <w:t>liste aktivnih supstanci dozvoljenih u u biocidnom proizvodu</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3309EBCD"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2019-kontinuirano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1EA7D6F0"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27ED8942" w14:textId="6A5E0E50" w:rsidR="00EB4AAD" w:rsidRPr="00EB4AAD" w:rsidRDefault="00EB4AAD" w:rsidP="00803D9D">
            <w:pPr>
              <w:spacing w:before="120" w:after="120"/>
              <w:rPr>
                <w:rFonts w:ascii="Cambria" w:hAnsi="Cambria"/>
                <w:noProof/>
                <w:lang w:val="pl-PL"/>
              </w:rPr>
            </w:pPr>
            <w:r w:rsidRPr="00EB4AAD">
              <w:rPr>
                <w:rFonts w:ascii="Cambria" w:hAnsi="Cambria"/>
                <w:noProof/>
                <w:lang w:val="pl-PL"/>
              </w:rPr>
              <w:t>Usvojene izm</w:t>
            </w:r>
            <w:r w:rsidR="00C83E92">
              <w:rPr>
                <w:rFonts w:ascii="Cambria" w:hAnsi="Cambria"/>
                <w:noProof/>
                <w:lang w:val="pl-PL"/>
              </w:rPr>
              <w:t>j</w:t>
            </w:r>
            <w:r w:rsidRPr="00EB4AAD">
              <w:rPr>
                <w:rFonts w:ascii="Cambria" w:hAnsi="Cambria"/>
                <w:noProof/>
                <w:lang w:val="pl-PL"/>
              </w:rPr>
              <w:t>ene i dopune  propisa</w:t>
            </w:r>
          </w:p>
        </w:tc>
        <w:tc>
          <w:tcPr>
            <w:tcW w:w="4017" w:type="dxa"/>
            <w:tcBorders>
              <w:top w:val="double" w:sz="4" w:space="0" w:color="auto"/>
              <w:left w:val="single" w:sz="4" w:space="0" w:color="auto"/>
              <w:bottom w:val="single" w:sz="4" w:space="0" w:color="auto"/>
            </w:tcBorders>
            <w:shd w:val="clear" w:color="auto" w:fill="auto"/>
            <w:vAlign w:val="center"/>
          </w:tcPr>
          <w:p w14:paraId="5EB77B2C"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4378957C" w14:textId="77777777" w:rsidTr="00A275C9">
        <w:trPr>
          <w:trHeight w:val="176"/>
        </w:trPr>
        <w:tc>
          <w:tcPr>
            <w:tcW w:w="14367" w:type="dxa"/>
            <w:gridSpan w:val="5"/>
            <w:tcBorders>
              <w:top w:val="single" w:sz="4" w:space="0" w:color="auto"/>
              <w:bottom w:val="double" w:sz="4" w:space="0" w:color="auto"/>
            </w:tcBorders>
            <w:shd w:val="clear" w:color="auto" w:fill="auto"/>
          </w:tcPr>
          <w:p w14:paraId="2A636DD0" w14:textId="59B169A2" w:rsidR="000E4C73" w:rsidRPr="00EB4AAD" w:rsidRDefault="000E4C73" w:rsidP="00BB313F">
            <w:pPr>
              <w:spacing w:before="120" w:after="120"/>
              <w:rPr>
                <w:rFonts w:ascii="Cambria" w:hAnsi="Cambria"/>
                <w:noProof/>
                <w:lang w:val="pl-PL"/>
              </w:rPr>
            </w:pPr>
            <w:r w:rsidRPr="00BB313F">
              <w:rPr>
                <w:rFonts w:ascii="Cambria" w:hAnsi="Cambria"/>
                <w:i/>
                <w:noProof/>
                <w:lang w:val="sr-Latn-ME"/>
              </w:rPr>
              <w:t>Opis aktivnosti:</w:t>
            </w:r>
            <w:r w:rsidR="00BB313F">
              <w:rPr>
                <w:rFonts w:ascii="Cambria" w:hAnsi="Cambria"/>
                <w:noProof/>
                <w:lang w:val="sr-Latn-ME"/>
              </w:rPr>
              <w:t xml:space="preserve"> S obzirom da se radi o relativno novim propisima na čijoj implementaciji tek treba raditi radi daljeg poboljšanja zakonodavnog okvira u pogledu biocida </w:t>
            </w:r>
            <w:r w:rsidR="00BB313F" w:rsidRPr="00BB313F">
              <w:rPr>
                <w:rFonts w:ascii="Cambria" w:hAnsi="Cambria" w:cs="Arial"/>
                <w:noProof/>
                <w:lang w:val="sr-Latn-ME"/>
              </w:rPr>
              <w:t xml:space="preserve">planirana izmjena i dopuna većeg broja pravilnika. </w:t>
            </w:r>
          </w:p>
        </w:tc>
      </w:tr>
      <w:tr w:rsidR="00EB4AAD" w:rsidRPr="00EB4AAD" w14:paraId="40363043" w14:textId="77777777" w:rsidTr="00A275C9">
        <w:trPr>
          <w:trHeight w:val="17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6E5F5F1F" w14:textId="2D0D3376" w:rsidR="00EB4AAD" w:rsidRPr="00EB4AAD" w:rsidRDefault="00BB313F" w:rsidP="00557C13">
            <w:pPr>
              <w:numPr>
                <w:ilvl w:val="0"/>
                <w:numId w:val="49"/>
              </w:numPr>
              <w:spacing w:before="120" w:after="120"/>
              <w:ind w:left="405" w:hanging="315"/>
              <w:rPr>
                <w:rFonts w:ascii="Cambria" w:hAnsi="Cambria"/>
                <w:noProof/>
                <w:lang w:val="sr-Latn-ME"/>
              </w:rPr>
            </w:pPr>
            <w:r>
              <w:rPr>
                <w:rFonts w:ascii="Cambria" w:hAnsi="Cambria"/>
                <w:noProof/>
                <w:lang w:val="sr-Latn-ME"/>
              </w:rPr>
              <w:t xml:space="preserve">Izmene i dopune propisa o </w:t>
            </w:r>
            <w:r w:rsidRPr="00BB313F">
              <w:rPr>
                <w:rFonts w:ascii="Cambria" w:hAnsi="Cambria"/>
                <w:noProof/>
                <w:lang w:val="sr-Latn-ME"/>
              </w:rPr>
              <w:t>sredstv</w:t>
            </w:r>
            <w:r>
              <w:rPr>
                <w:rFonts w:ascii="Cambria" w:hAnsi="Cambria"/>
                <w:noProof/>
                <w:lang w:val="sr-Latn-ME"/>
              </w:rPr>
              <w:t>im</w:t>
            </w:r>
            <w:r w:rsidRPr="00BB313F">
              <w:rPr>
                <w:rFonts w:ascii="Cambria" w:hAnsi="Cambria"/>
                <w:noProof/>
                <w:lang w:val="sr-Latn-ME"/>
              </w:rPr>
              <w:t>a za zaštitu bilja</w:t>
            </w:r>
            <w:r>
              <w:rPr>
                <w:rFonts w:ascii="Cambria" w:hAnsi="Cambria"/>
                <w:noProof/>
                <w:lang w:val="sr-Latn-ME"/>
              </w:rPr>
              <w:t>, uključujući i a</w:t>
            </w:r>
            <w:r w:rsidR="00EB4AAD" w:rsidRPr="00EB4AAD">
              <w:rPr>
                <w:rFonts w:ascii="Cambria" w:hAnsi="Cambria"/>
                <w:noProof/>
                <w:lang w:val="sr-Latn-ME"/>
              </w:rPr>
              <w:t>žuriranje liste aktivnih materija dozvoljenih za upotrebu u sredstvima za zaštitu bilja</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5BD11D00"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2019-kontinuirano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005262D8"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MPRR</w:t>
            </w:r>
          </w:p>
        </w:tc>
        <w:tc>
          <w:tcPr>
            <w:tcW w:w="2250" w:type="dxa"/>
            <w:tcBorders>
              <w:top w:val="double" w:sz="4" w:space="0" w:color="auto"/>
              <w:left w:val="single" w:sz="4" w:space="0" w:color="auto"/>
              <w:bottom w:val="single" w:sz="4" w:space="0" w:color="auto"/>
              <w:right w:val="single" w:sz="4" w:space="0" w:color="auto"/>
            </w:tcBorders>
          </w:tcPr>
          <w:p w14:paraId="73A6A3C6" w14:textId="767AFB78" w:rsidR="00EB4AAD" w:rsidRPr="00EB4AAD" w:rsidRDefault="00EB4AAD" w:rsidP="00803D9D">
            <w:pPr>
              <w:spacing w:before="120" w:after="120"/>
              <w:rPr>
                <w:rFonts w:ascii="Cambria" w:hAnsi="Cambria"/>
                <w:noProof/>
                <w:lang w:val="pl-PL"/>
              </w:rPr>
            </w:pPr>
            <w:r w:rsidRPr="00EB4AAD">
              <w:rPr>
                <w:rFonts w:ascii="Cambria" w:hAnsi="Cambria"/>
                <w:noProof/>
                <w:lang w:val="pl-PL"/>
              </w:rPr>
              <w:t>Usvojene izm</w:t>
            </w:r>
            <w:r w:rsidR="00C63014">
              <w:rPr>
                <w:rFonts w:ascii="Cambria" w:hAnsi="Cambria"/>
                <w:noProof/>
                <w:lang w:val="pl-PL"/>
              </w:rPr>
              <w:t>j</w:t>
            </w:r>
            <w:r w:rsidRPr="00EB4AAD">
              <w:rPr>
                <w:rFonts w:ascii="Cambria" w:hAnsi="Cambria"/>
                <w:noProof/>
                <w:lang w:val="pl-PL"/>
              </w:rPr>
              <w:t>ene i dopune  propisa</w:t>
            </w:r>
          </w:p>
        </w:tc>
        <w:tc>
          <w:tcPr>
            <w:tcW w:w="4017" w:type="dxa"/>
            <w:tcBorders>
              <w:top w:val="double" w:sz="4" w:space="0" w:color="auto"/>
              <w:left w:val="single" w:sz="4" w:space="0" w:color="auto"/>
              <w:bottom w:val="single" w:sz="4" w:space="0" w:color="auto"/>
            </w:tcBorders>
            <w:shd w:val="clear" w:color="auto" w:fill="auto"/>
            <w:vAlign w:val="center"/>
          </w:tcPr>
          <w:p w14:paraId="5AE5E2AF"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6B08123D" w14:textId="77777777" w:rsidTr="00A275C9">
        <w:trPr>
          <w:trHeight w:val="176"/>
        </w:trPr>
        <w:tc>
          <w:tcPr>
            <w:tcW w:w="14367" w:type="dxa"/>
            <w:gridSpan w:val="5"/>
            <w:tcBorders>
              <w:top w:val="single" w:sz="4" w:space="0" w:color="auto"/>
              <w:bottom w:val="double" w:sz="4" w:space="0" w:color="auto"/>
            </w:tcBorders>
            <w:shd w:val="clear" w:color="auto" w:fill="auto"/>
          </w:tcPr>
          <w:p w14:paraId="1D94A845" w14:textId="240502ED" w:rsidR="000E4C73" w:rsidRPr="00EB4AAD" w:rsidRDefault="00BB313F" w:rsidP="00BB313F">
            <w:pPr>
              <w:spacing w:before="120" w:after="120"/>
              <w:rPr>
                <w:rFonts w:ascii="Cambria" w:hAnsi="Cambria"/>
                <w:noProof/>
                <w:lang w:val="pl-PL"/>
              </w:rPr>
            </w:pPr>
            <w:r w:rsidRPr="00BB313F">
              <w:rPr>
                <w:rFonts w:ascii="Cambria" w:hAnsi="Cambria"/>
                <w:i/>
                <w:noProof/>
                <w:lang w:val="sr-Latn-ME"/>
              </w:rPr>
              <w:t>Opis aktivnosti:</w:t>
            </w:r>
            <w:r w:rsidRPr="00BB313F">
              <w:rPr>
                <w:rFonts w:ascii="Cambria" w:hAnsi="Cambria"/>
                <w:noProof/>
                <w:lang w:val="sr-Latn-ME"/>
              </w:rPr>
              <w:t xml:space="preserve"> Nacionalni propisi u oblasti </w:t>
            </w:r>
            <w:r>
              <w:rPr>
                <w:rFonts w:ascii="Cambria" w:hAnsi="Cambria"/>
                <w:noProof/>
                <w:lang w:val="sr-Latn-ME"/>
              </w:rPr>
              <w:t>sredstava za zaštitu bilja</w:t>
            </w:r>
            <w:r w:rsidRPr="00BB313F">
              <w:rPr>
                <w:rFonts w:ascii="Cambria" w:hAnsi="Cambria"/>
                <w:noProof/>
                <w:lang w:val="sr-Latn-ME"/>
              </w:rPr>
              <w:t xml:space="preserve"> su u značajnoj mjeri usklađeni sa propisima EU, ali s obzirom na kontinuirano prilagođavanje EU propisa tehničkom napretku biće potrebno sprovesti aktivnosti dalje harmonizacije domaćeg zakonodavstva sa relevantnim amandmanima na propise EU u pogledu sredstava za zaštitu bilja.</w:t>
            </w:r>
          </w:p>
        </w:tc>
      </w:tr>
      <w:tr w:rsidR="00EB4AAD" w:rsidRPr="00EB4AAD" w14:paraId="4E766DAB" w14:textId="77777777" w:rsidTr="00A275C9">
        <w:trPr>
          <w:trHeight w:val="17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79E64843" w14:textId="65399E9C" w:rsidR="00EB4AAD" w:rsidRPr="00EB4AAD" w:rsidRDefault="002E65A6" w:rsidP="00557C13">
            <w:pPr>
              <w:numPr>
                <w:ilvl w:val="0"/>
                <w:numId w:val="49"/>
              </w:numPr>
              <w:spacing w:before="120" w:after="120"/>
              <w:ind w:left="405" w:hanging="315"/>
              <w:rPr>
                <w:rFonts w:ascii="Cambria" w:hAnsi="Cambria"/>
                <w:noProof/>
                <w:lang w:val="sr-Latn-ME"/>
              </w:rPr>
            </w:pPr>
            <w:r>
              <w:rPr>
                <w:rFonts w:ascii="Cambria" w:hAnsi="Cambria"/>
                <w:noProof/>
              </w:rPr>
              <w:t>A</w:t>
            </w:r>
            <w:r w:rsidR="00EB4AAD" w:rsidRPr="00EB4AAD">
              <w:rPr>
                <w:rFonts w:ascii="Cambria" w:hAnsi="Cambria"/>
                <w:noProof/>
              </w:rPr>
              <w:t>žuriranje</w:t>
            </w:r>
            <w:r w:rsidR="00EB4AAD" w:rsidRPr="00EB4AAD">
              <w:rPr>
                <w:rFonts w:ascii="Cambria" w:hAnsi="Cambria"/>
                <w:noProof/>
                <w:lang w:val="sr-Latn-ME"/>
              </w:rPr>
              <w:t xml:space="preserve"> liste opasnih hemikalija i proizvoda čiji je izvoz zabranjen </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126F2EF3" w14:textId="1051E0FC" w:rsidR="00EB4AAD" w:rsidRPr="00EB4AAD" w:rsidRDefault="00EB4AAD" w:rsidP="00803D9D">
            <w:pPr>
              <w:spacing w:before="120" w:after="120"/>
              <w:rPr>
                <w:rFonts w:ascii="Cambria" w:hAnsi="Cambria"/>
                <w:noProof/>
                <w:lang w:val="pl-PL"/>
              </w:rPr>
            </w:pPr>
            <w:r w:rsidRPr="00EB4AAD">
              <w:rPr>
                <w:rFonts w:ascii="Cambria" w:hAnsi="Cambria"/>
                <w:noProof/>
                <w:lang w:val="pl-PL"/>
              </w:rPr>
              <w:t>202</w:t>
            </w:r>
            <w:r w:rsidR="002E65A6">
              <w:rPr>
                <w:rFonts w:ascii="Cambria" w:hAnsi="Cambria"/>
                <w:noProof/>
                <w:lang w:val="pl-PL"/>
              </w:rPr>
              <w:t>0</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4E68D673"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26F7E022" w14:textId="64BF4C86" w:rsidR="00EB4AAD" w:rsidRPr="00EB4AAD" w:rsidRDefault="00EB4AAD" w:rsidP="00803D9D">
            <w:pPr>
              <w:spacing w:before="120" w:after="120"/>
              <w:rPr>
                <w:rFonts w:ascii="Cambria" w:hAnsi="Cambria"/>
                <w:noProof/>
                <w:lang w:val="pl-PL"/>
              </w:rPr>
            </w:pPr>
            <w:r w:rsidRPr="00EB4AAD">
              <w:rPr>
                <w:rFonts w:ascii="Cambria" w:hAnsi="Cambria"/>
                <w:noProof/>
                <w:lang w:val="pl-PL"/>
              </w:rPr>
              <w:t>Usvojene izm</w:t>
            </w:r>
            <w:r w:rsidR="00C63014">
              <w:rPr>
                <w:rFonts w:ascii="Cambria" w:hAnsi="Cambria"/>
                <w:noProof/>
                <w:lang w:val="pl-PL"/>
              </w:rPr>
              <w:t>j</w:t>
            </w:r>
            <w:r w:rsidRPr="00EB4AAD">
              <w:rPr>
                <w:rFonts w:ascii="Cambria" w:hAnsi="Cambria"/>
                <w:noProof/>
                <w:lang w:val="pl-PL"/>
              </w:rPr>
              <w:t>ene i dopune  propisa</w:t>
            </w:r>
          </w:p>
        </w:tc>
        <w:tc>
          <w:tcPr>
            <w:tcW w:w="4017" w:type="dxa"/>
            <w:tcBorders>
              <w:top w:val="double" w:sz="4" w:space="0" w:color="auto"/>
              <w:left w:val="single" w:sz="4" w:space="0" w:color="auto"/>
              <w:bottom w:val="single" w:sz="4" w:space="0" w:color="auto"/>
            </w:tcBorders>
            <w:shd w:val="clear" w:color="auto" w:fill="auto"/>
            <w:vAlign w:val="center"/>
          </w:tcPr>
          <w:p w14:paraId="0E5E307A"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28771399" w14:textId="77777777" w:rsidTr="00A275C9">
        <w:trPr>
          <w:trHeight w:val="176"/>
        </w:trPr>
        <w:tc>
          <w:tcPr>
            <w:tcW w:w="14367" w:type="dxa"/>
            <w:gridSpan w:val="5"/>
            <w:tcBorders>
              <w:top w:val="single" w:sz="4" w:space="0" w:color="auto"/>
              <w:bottom w:val="double" w:sz="4" w:space="0" w:color="auto"/>
            </w:tcBorders>
            <w:shd w:val="clear" w:color="auto" w:fill="auto"/>
          </w:tcPr>
          <w:p w14:paraId="2FB0B0B0" w14:textId="5C4B77A3" w:rsidR="000E4C73" w:rsidRPr="00EB4AAD" w:rsidRDefault="00BB313F" w:rsidP="00BB313F">
            <w:pPr>
              <w:spacing w:before="120" w:after="120"/>
              <w:rPr>
                <w:rFonts w:ascii="Cambria" w:hAnsi="Cambria"/>
                <w:noProof/>
                <w:lang w:val="pl-PL"/>
              </w:rPr>
            </w:pPr>
            <w:r w:rsidRPr="000A46A9">
              <w:rPr>
                <w:rFonts w:ascii="Cambria" w:hAnsi="Cambria"/>
                <w:i/>
                <w:noProof/>
                <w:lang w:val="sr-Latn-ME"/>
              </w:rPr>
              <w:t>Opis aktivnosti:</w:t>
            </w:r>
            <w:r>
              <w:rPr>
                <w:rFonts w:ascii="Cambria" w:hAnsi="Cambria"/>
                <w:noProof/>
                <w:lang w:val="sr-Latn-ME"/>
              </w:rPr>
              <w:t xml:space="preserve"> </w:t>
            </w:r>
            <w:r w:rsidRPr="000A46A9">
              <w:rPr>
                <w:rFonts w:ascii="Cambria" w:hAnsi="Cambria"/>
                <w:noProof/>
                <w:lang w:val="sr-Latn-ME"/>
              </w:rPr>
              <w:t xml:space="preserve">Nacionalni propisi u oblasti upravljanja hemikalijama su u značajnoj mjeri usklađeni sa propisima EU, ali s obzirom na kontinuirano prilagođavanje EU propisa tehničkom napretku biće potrebno sprovesti aktivnosti dalje harmonizacije domaćeg zakonodavstva sa relevantnim </w:t>
            </w:r>
            <w:r>
              <w:rPr>
                <w:rFonts w:ascii="Cambria" w:hAnsi="Cambria"/>
                <w:noProof/>
                <w:lang w:val="sr-Latn-ME"/>
              </w:rPr>
              <w:t xml:space="preserve">amandmanima na </w:t>
            </w:r>
            <w:r w:rsidRPr="000A46A9">
              <w:rPr>
                <w:rFonts w:ascii="Cambria" w:hAnsi="Cambria"/>
                <w:noProof/>
                <w:lang w:val="sr-Latn-ME"/>
              </w:rPr>
              <w:t>propis</w:t>
            </w:r>
            <w:r>
              <w:rPr>
                <w:rFonts w:ascii="Cambria" w:hAnsi="Cambria"/>
                <w:noProof/>
                <w:lang w:val="sr-Latn-ME"/>
              </w:rPr>
              <w:t>e</w:t>
            </w:r>
            <w:r w:rsidRPr="000A46A9">
              <w:rPr>
                <w:rFonts w:ascii="Cambria" w:hAnsi="Cambria"/>
                <w:noProof/>
                <w:lang w:val="sr-Latn-ME"/>
              </w:rPr>
              <w:t xml:space="preserve"> EU</w:t>
            </w:r>
            <w:r>
              <w:rPr>
                <w:rFonts w:ascii="Cambria" w:hAnsi="Cambria"/>
                <w:noProof/>
                <w:lang w:val="sr-Latn-ME"/>
              </w:rPr>
              <w:t xml:space="preserve">, koji uključuju  amandmane u pogledu </w:t>
            </w:r>
            <w:r w:rsidRPr="00EB4AAD">
              <w:rPr>
                <w:rFonts w:ascii="Cambria" w:hAnsi="Cambria"/>
                <w:noProof/>
                <w:lang w:val="sr-Latn-ME"/>
              </w:rPr>
              <w:t>opasnih hemikalija i proizvoda čiji je izvoz zabranjen</w:t>
            </w:r>
            <w:r>
              <w:rPr>
                <w:rFonts w:ascii="Cambria" w:hAnsi="Cambria"/>
                <w:noProof/>
                <w:lang w:val="sr-Latn-ME"/>
              </w:rPr>
              <w:t>.</w:t>
            </w:r>
          </w:p>
        </w:tc>
      </w:tr>
      <w:tr w:rsidR="00EB4AAD" w:rsidRPr="00EB4AAD" w14:paraId="22FC131B" w14:textId="77777777" w:rsidTr="00A275C9">
        <w:trPr>
          <w:trHeight w:val="17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305A1F8D" w14:textId="7A2CD8B7" w:rsidR="00EB4AAD" w:rsidRPr="00EB4AAD" w:rsidRDefault="00EB4AAD" w:rsidP="00557C13">
            <w:pPr>
              <w:numPr>
                <w:ilvl w:val="0"/>
                <w:numId w:val="49"/>
              </w:numPr>
              <w:spacing w:before="120" w:after="120"/>
              <w:ind w:left="405" w:hanging="315"/>
              <w:rPr>
                <w:rFonts w:ascii="Cambria" w:hAnsi="Cambria"/>
                <w:noProof/>
                <w:lang w:val="sr-Latn-ME"/>
              </w:rPr>
            </w:pPr>
            <w:r w:rsidRPr="00EB4AAD">
              <w:rPr>
                <w:rFonts w:ascii="Cambria" w:hAnsi="Cambria"/>
                <w:noProof/>
                <w:lang w:val="sr-Latn-ME"/>
              </w:rPr>
              <w:t>Izm</w:t>
            </w:r>
            <w:r w:rsidR="00C63014">
              <w:rPr>
                <w:rFonts w:ascii="Cambria" w:hAnsi="Cambria"/>
                <w:noProof/>
                <w:lang w:val="sr-Latn-ME"/>
              </w:rPr>
              <w:t>j</w:t>
            </w:r>
            <w:r w:rsidRPr="00EB4AAD">
              <w:rPr>
                <w:rFonts w:ascii="Cambria" w:hAnsi="Cambria"/>
                <w:noProof/>
                <w:lang w:val="sr-Latn-ME"/>
              </w:rPr>
              <w:t xml:space="preserve">ena i dopuna odredbi propisa kojima se u nacionalno zakonodavstvo transponuje EU uredba o živi radi usaglašavanja sa odredbama </w:t>
            </w:r>
            <w:r w:rsidRPr="00EB4AAD">
              <w:rPr>
                <w:rFonts w:ascii="Cambria" w:hAnsi="Cambria"/>
                <w:noProof/>
              </w:rPr>
              <w:t xml:space="preserve">nove Uredbe (EU) </w:t>
            </w:r>
            <w:r w:rsidRPr="00EB4AAD">
              <w:rPr>
                <w:rFonts w:ascii="Cambria" w:hAnsi="Cambria"/>
                <w:noProof/>
              </w:rPr>
              <w:lastRenderedPageBreak/>
              <w:t>2017/852 o živi, kao i ispunjavanja budućih obaveza koje proističu iz ratifikacije Minamata konvencije</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0C792351"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lastRenderedPageBreak/>
              <w:t>2020</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1E4C8BA8"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79966C77" w14:textId="4192DB58" w:rsidR="00EB4AAD" w:rsidRPr="00EB4AAD" w:rsidRDefault="00EB4AAD" w:rsidP="00803D9D">
            <w:pPr>
              <w:spacing w:before="120" w:after="120"/>
              <w:rPr>
                <w:rFonts w:ascii="Cambria" w:hAnsi="Cambria"/>
                <w:noProof/>
                <w:lang w:val="pl-PL"/>
              </w:rPr>
            </w:pPr>
            <w:r w:rsidRPr="00EB4AAD">
              <w:rPr>
                <w:rFonts w:ascii="Cambria" w:hAnsi="Cambria"/>
                <w:noProof/>
                <w:lang w:val="pl-PL"/>
              </w:rPr>
              <w:t>Usvojene izm</w:t>
            </w:r>
            <w:r w:rsidR="00C63014">
              <w:rPr>
                <w:rFonts w:ascii="Cambria" w:hAnsi="Cambria"/>
                <w:noProof/>
                <w:lang w:val="pl-PL"/>
              </w:rPr>
              <w:t>j</w:t>
            </w:r>
            <w:r w:rsidRPr="00EB4AAD">
              <w:rPr>
                <w:rFonts w:ascii="Cambria" w:hAnsi="Cambria"/>
                <w:noProof/>
                <w:lang w:val="pl-PL"/>
              </w:rPr>
              <w:t>ene i dopune  propisa</w:t>
            </w:r>
          </w:p>
        </w:tc>
        <w:tc>
          <w:tcPr>
            <w:tcW w:w="4017" w:type="dxa"/>
            <w:tcBorders>
              <w:top w:val="double" w:sz="4" w:space="0" w:color="auto"/>
              <w:left w:val="single" w:sz="4" w:space="0" w:color="auto"/>
              <w:bottom w:val="single" w:sz="4" w:space="0" w:color="auto"/>
            </w:tcBorders>
            <w:shd w:val="clear" w:color="auto" w:fill="auto"/>
            <w:vAlign w:val="center"/>
          </w:tcPr>
          <w:p w14:paraId="1ACC1987"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224AD57C" w14:textId="77777777" w:rsidTr="00A275C9">
        <w:trPr>
          <w:trHeight w:val="176"/>
        </w:trPr>
        <w:tc>
          <w:tcPr>
            <w:tcW w:w="14367" w:type="dxa"/>
            <w:gridSpan w:val="5"/>
            <w:tcBorders>
              <w:top w:val="single" w:sz="4" w:space="0" w:color="auto"/>
              <w:bottom w:val="double" w:sz="4" w:space="0" w:color="auto"/>
            </w:tcBorders>
            <w:shd w:val="clear" w:color="auto" w:fill="auto"/>
          </w:tcPr>
          <w:p w14:paraId="7B37AF3E" w14:textId="5DB6F29A" w:rsidR="000E4C73" w:rsidRPr="002E65A6" w:rsidRDefault="002E65A6" w:rsidP="002E65A6">
            <w:pPr>
              <w:spacing w:before="120" w:after="120"/>
              <w:rPr>
                <w:rFonts w:ascii="Cambria" w:hAnsi="Cambria"/>
                <w:noProof/>
                <w:lang w:val="sr-Latn-ME"/>
              </w:rPr>
            </w:pPr>
            <w:r w:rsidRPr="002E65A6">
              <w:rPr>
                <w:rFonts w:ascii="Cambria" w:hAnsi="Cambria"/>
                <w:i/>
                <w:noProof/>
                <w:lang w:val="sr-Latn-ME"/>
              </w:rPr>
              <w:t>Opis aktivnosti:</w:t>
            </w:r>
            <w:r>
              <w:rPr>
                <w:rFonts w:ascii="Cambria" w:hAnsi="Cambria"/>
                <w:noProof/>
                <w:lang w:val="sr-Latn-ME"/>
              </w:rPr>
              <w:t xml:space="preserve"> </w:t>
            </w:r>
            <w:r w:rsidRPr="002E65A6">
              <w:rPr>
                <w:rFonts w:ascii="Cambria" w:hAnsi="Cambria"/>
                <w:noProof/>
                <w:lang w:val="sr-Latn-ME"/>
              </w:rPr>
              <w:t>Radi usaglašavanja sa odredbama nove Uredbe (EU) 2017/852 o živi, kao i ispunjavanja budućih obaveza koje proističu iz ratifikacije Minamata konvencije biće potrebn</w:t>
            </w:r>
            <w:r>
              <w:rPr>
                <w:rFonts w:ascii="Cambria" w:hAnsi="Cambria"/>
                <w:noProof/>
                <w:lang w:val="sr-Latn-ME"/>
              </w:rPr>
              <w:t>e izmene i dopune postojećih</w:t>
            </w:r>
            <w:r w:rsidRPr="002E65A6">
              <w:rPr>
                <w:rFonts w:ascii="Cambria" w:hAnsi="Cambria"/>
                <w:noProof/>
                <w:lang w:val="sr-Latn-ME"/>
              </w:rPr>
              <w:t xml:space="preserve"> nacionalnih prop</w:t>
            </w:r>
            <w:r>
              <w:rPr>
                <w:rFonts w:ascii="Cambria" w:hAnsi="Cambria"/>
                <w:noProof/>
                <w:lang w:val="sr-Latn-ME"/>
              </w:rPr>
              <w:t>i</w:t>
            </w:r>
            <w:r w:rsidRPr="002E65A6">
              <w:rPr>
                <w:rFonts w:ascii="Cambria" w:hAnsi="Cambria"/>
                <w:noProof/>
                <w:lang w:val="sr-Latn-ME"/>
              </w:rPr>
              <w:t>sa</w:t>
            </w:r>
            <w:r>
              <w:rPr>
                <w:rFonts w:ascii="Cambria" w:hAnsi="Cambria"/>
                <w:noProof/>
                <w:lang w:val="sr-Latn-ME"/>
              </w:rPr>
              <w:t xml:space="preserve"> koji sadrže odredbe o živi.</w:t>
            </w:r>
          </w:p>
        </w:tc>
      </w:tr>
      <w:tr w:rsidR="00EB4AAD" w:rsidRPr="00EB4AAD" w14:paraId="09EF0253" w14:textId="77777777" w:rsidTr="00A275C9">
        <w:trPr>
          <w:trHeight w:val="17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3B75BC17" w14:textId="77777777" w:rsidR="00EB4AAD" w:rsidRPr="00EB4AAD" w:rsidRDefault="00EB4AAD" w:rsidP="00557C13">
            <w:pPr>
              <w:numPr>
                <w:ilvl w:val="0"/>
                <w:numId w:val="49"/>
              </w:numPr>
              <w:spacing w:before="120" w:after="120"/>
              <w:ind w:left="405" w:hanging="315"/>
              <w:rPr>
                <w:rFonts w:ascii="Cambria" w:hAnsi="Cambria"/>
                <w:noProof/>
                <w:lang w:val="sr-Latn-ME"/>
              </w:rPr>
            </w:pPr>
            <w:r w:rsidRPr="00EB4AAD">
              <w:rPr>
                <w:rFonts w:ascii="Cambria" w:hAnsi="Cambria"/>
                <w:noProof/>
                <w:lang w:val="sr-Latn-ME"/>
              </w:rPr>
              <w:t xml:space="preserve">Ažuriranje </w:t>
            </w:r>
            <w:r w:rsidR="00803D9D">
              <w:rPr>
                <w:rFonts w:ascii="Cambria" w:hAnsi="Cambria"/>
                <w:noProof/>
                <w:lang w:val="sr-Latn-ME"/>
              </w:rPr>
              <w:t>l</w:t>
            </w:r>
            <w:r w:rsidRPr="00EB4AAD">
              <w:rPr>
                <w:rFonts w:ascii="Cambria" w:hAnsi="Cambria"/>
                <w:noProof/>
                <w:lang w:val="sr-Latn-ME"/>
              </w:rPr>
              <w:t>iste klasifikovanih supstanci</w:t>
            </w:r>
          </w:p>
          <w:p w14:paraId="2EBD8A8F" w14:textId="77777777" w:rsidR="00EB4AAD" w:rsidRPr="00EB4AAD" w:rsidRDefault="00EB4AAD" w:rsidP="00BE665F">
            <w:pPr>
              <w:spacing w:before="120" w:after="120"/>
              <w:ind w:left="405" w:hanging="315"/>
              <w:rPr>
                <w:rFonts w:ascii="Cambria" w:hAnsi="Cambria"/>
                <w:noProof/>
                <w:lang w:val="sr-Latn-ME"/>
              </w:rPr>
            </w:pP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38795F60"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2021</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234CAE08"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4FBD3FAC" w14:textId="5601323A" w:rsidR="00EB4AAD" w:rsidRPr="00EB4AAD" w:rsidRDefault="00EB4AAD" w:rsidP="00803D9D">
            <w:pPr>
              <w:spacing w:before="120" w:after="120"/>
              <w:rPr>
                <w:rFonts w:ascii="Cambria" w:hAnsi="Cambria"/>
                <w:noProof/>
                <w:lang w:val="pl-PL"/>
              </w:rPr>
            </w:pPr>
            <w:r w:rsidRPr="00EB4AAD">
              <w:rPr>
                <w:rFonts w:ascii="Cambria" w:hAnsi="Cambria"/>
                <w:noProof/>
                <w:lang w:val="pl-PL"/>
              </w:rPr>
              <w:t>Usvojene izm</w:t>
            </w:r>
            <w:r w:rsidR="00C63014">
              <w:rPr>
                <w:rFonts w:ascii="Cambria" w:hAnsi="Cambria"/>
                <w:noProof/>
                <w:lang w:val="pl-PL"/>
              </w:rPr>
              <w:t>j</w:t>
            </w:r>
            <w:r w:rsidRPr="00EB4AAD">
              <w:rPr>
                <w:rFonts w:ascii="Cambria" w:hAnsi="Cambria"/>
                <w:noProof/>
                <w:lang w:val="pl-PL"/>
              </w:rPr>
              <w:t>ene i dopune  propisa</w:t>
            </w:r>
          </w:p>
        </w:tc>
        <w:tc>
          <w:tcPr>
            <w:tcW w:w="4017" w:type="dxa"/>
            <w:tcBorders>
              <w:top w:val="double" w:sz="4" w:space="0" w:color="auto"/>
              <w:left w:val="single" w:sz="4" w:space="0" w:color="auto"/>
              <w:bottom w:val="single" w:sz="4" w:space="0" w:color="auto"/>
            </w:tcBorders>
            <w:shd w:val="clear" w:color="auto" w:fill="auto"/>
            <w:vAlign w:val="center"/>
          </w:tcPr>
          <w:p w14:paraId="2A40905D"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35D655D0" w14:textId="77777777" w:rsidTr="00A275C9">
        <w:trPr>
          <w:trHeight w:val="176"/>
        </w:trPr>
        <w:tc>
          <w:tcPr>
            <w:tcW w:w="14367" w:type="dxa"/>
            <w:gridSpan w:val="5"/>
            <w:tcBorders>
              <w:top w:val="single" w:sz="4" w:space="0" w:color="auto"/>
              <w:bottom w:val="double" w:sz="4" w:space="0" w:color="auto"/>
            </w:tcBorders>
            <w:shd w:val="clear" w:color="auto" w:fill="auto"/>
          </w:tcPr>
          <w:p w14:paraId="2BECC88B" w14:textId="076D8A26" w:rsidR="000E4C73" w:rsidRPr="00EB4AAD" w:rsidRDefault="007A308F" w:rsidP="00BB313F">
            <w:pPr>
              <w:spacing w:before="120" w:after="120"/>
              <w:rPr>
                <w:rFonts w:ascii="Cambria" w:hAnsi="Cambria"/>
                <w:noProof/>
                <w:lang w:val="pl-PL"/>
              </w:rPr>
            </w:pPr>
            <w:r w:rsidRPr="000A46A9">
              <w:rPr>
                <w:rFonts w:ascii="Cambria" w:hAnsi="Cambria"/>
                <w:i/>
                <w:noProof/>
                <w:lang w:val="sr-Latn-ME"/>
              </w:rPr>
              <w:t>Opis aktivnosti:</w:t>
            </w:r>
            <w:r>
              <w:rPr>
                <w:rFonts w:ascii="Cambria" w:hAnsi="Cambria"/>
                <w:noProof/>
                <w:lang w:val="sr-Latn-ME"/>
              </w:rPr>
              <w:t xml:space="preserve"> </w:t>
            </w:r>
            <w:r w:rsidRPr="000A46A9">
              <w:rPr>
                <w:rFonts w:ascii="Cambria" w:hAnsi="Cambria"/>
                <w:noProof/>
                <w:lang w:val="sr-Latn-ME"/>
              </w:rPr>
              <w:t xml:space="preserve">Nacionalni propisi u oblasti upravljanja hemikalijama su u značajnoj mjeri usklađeni sa propisima EU, ali s obzirom na kontinuirano prilagođavanje EU propisa tehničkom napretku biće potrebno sprovesti aktivnosti dalje harmonizacije domaćeg zakonodavstva sa relevantnim </w:t>
            </w:r>
            <w:r>
              <w:rPr>
                <w:rFonts w:ascii="Cambria" w:hAnsi="Cambria"/>
                <w:noProof/>
                <w:lang w:val="sr-Latn-ME"/>
              </w:rPr>
              <w:t xml:space="preserve">amandmanima na </w:t>
            </w:r>
            <w:r w:rsidRPr="000A46A9">
              <w:rPr>
                <w:rFonts w:ascii="Cambria" w:hAnsi="Cambria"/>
                <w:noProof/>
                <w:lang w:val="sr-Latn-ME"/>
              </w:rPr>
              <w:t>propis</w:t>
            </w:r>
            <w:r>
              <w:rPr>
                <w:rFonts w:ascii="Cambria" w:hAnsi="Cambria"/>
                <w:noProof/>
                <w:lang w:val="sr-Latn-ME"/>
              </w:rPr>
              <w:t>e</w:t>
            </w:r>
            <w:r w:rsidRPr="000A46A9">
              <w:rPr>
                <w:rFonts w:ascii="Cambria" w:hAnsi="Cambria"/>
                <w:noProof/>
                <w:lang w:val="sr-Latn-ME"/>
              </w:rPr>
              <w:t xml:space="preserve"> EU</w:t>
            </w:r>
            <w:r>
              <w:rPr>
                <w:rFonts w:ascii="Cambria" w:hAnsi="Cambria"/>
                <w:noProof/>
                <w:lang w:val="sr-Latn-ME"/>
              </w:rPr>
              <w:t>, koji uključuju  amandmane u pogledu liste klasifikovanih supstanci.</w:t>
            </w:r>
          </w:p>
        </w:tc>
      </w:tr>
      <w:tr w:rsidR="00EB4AAD" w:rsidRPr="00EB4AAD" w14:paraId="21326299" w14:textId="77777777" w:rsidTr="00A275C9">
        <w:trPr>
          <w:trHeight w:val="17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3138E905" w14:textId="77777777" w:rsidR="00EB4AAD" w:rsidRPr="00EB4AAD" w:rsidRDefault="00EB4AAD" w:rsidP="00557C13">
            <w:pPr>
              <w:numPr>
                <w:ilvl w:val="0"/>
                <w:numId w:val="49"/>
              </w:numPr>
              <w:spacing w:before="120" w:after="120"/>
              <w:ind w:left="405" w:hanging="315"/>
              <w:rPr>
                <w:rFonts w:ascii="Cambria" w:hAnsi="Cambria"/>
                <w:noProof/>
                <w:lang w:val="sr-Latn-ME"/>
              </w:rPr>
            </w:pPr>
            <w:r w:rsidRPr="00EB4AAD">
              <w:rPr>
                <w:rFonts w:ascii="Cambria" w:hAnsi="Cambria"/>
                <w:noProof/>
                <w:lang w:val="sr-Latn-ME"/>
              </w:rPr>
              <w:t>Ažuriranje liste supstanci koje izazivaju zabrinutost</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6F502780"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2021</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71084CAA"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6671F6A3" w14:textId="64BDA408" w:rsidR="00EB4AAD" w:rsidRPr="00EB4AAD" w:rsidRDefault="00EB4AAD" w:rsidP="00803D9D">
            <w:pPr>
              <w:spacing w:before="120" w:after="120"/>
              <w:rPr>
                <w:rFonts w:ascii="Cambria" w:hAnsi="Cambria"/>
                <w:noProof/>
                <w:lang w:val="pl-PL"/>
              </w:rPr>
            </w:pPr>
            <w:r w:rsidRPr="00EB4AAD">
              <w:rPr>
                <w:rFonts w:ascii="Cambria" w:hAnsi="Cambria"/>
                <w:noProof/>
                <w:lang w:val="pl-PL"/>
              </w:rPr>
              <w:t>Usvojene izm</w:t>
            </w:r>
            <w:r w:rsidR="00C63014">
              <w:rPr>
                <w:rFonts w:ascii="Cambria" w:hAnsi="Cambria"/>
                <w:noProof/>
                <w:lang w:val="pl-PL"/>
              </w:rPr>
              <w:t>j</w:t>
            </w:r>
            <w:r w:rsidRPr="00EB4AAD">
              <w:rPr>
                <w:rFonts w:ascii="Cambria" w:hAnsi="Cambria"/>
                <w:noProof/>
                <w:lang w:val="pl-PL"/>
              </w:rPr>
              <w:t>ene i dopune  propisa</w:t>
            </w:r>
          </w:p>
        </w:tc>
        <w:tc>
          <w:tcPr>
            <w:tcW w:w="4017" w:type="dxa"/>
            <w:tcBorders>
              <w:top w:val="double" w:sz="4" w:space="0" w:color="auto"/>
              <w:left w:val="single" w:sz="4" w:space="0" w:color="auto"/>
              <w:bottom w:val="single" w:sz="4" w:space="0" w:color="auto"/>
            </w:tcBorders>
            <w:shd w:val="clear" w:color="auto" w:fill="auto"/>
            <w:vAlign w:val="center"/>
          </w:tcPr>
          <w:p w14:paraId="3D0FC62C"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6D18EF29" w14:textId="77777777" w:rsidTr="00A275C9">
        <w:trPr>
          <w:trHeight w:val="176"/>
        </w:trPr>
        <w:tc>
          <w:tcPr>
            <w:tcW w:w="14367" w:type="dxa"/>
            <w:gridSpan w:val="5"/>
            <w:tcBorders>
              <w:top w:val="single" w:sz="4" w:space="0" w:color="auto"/>
              <w:bottom w:val="double" w:sz="4" w:space="0" w:color="auto"/>
            </w:tcBorders>
            <w:shd w:val="clear" w:color="auto" w:fill="auto"/>
          </w:tcPr>
          <w:p w14:paraId="7AA6D3D1" w14:textId="0D43B1FC" w:rsidR="000E4C73" w:rsidRPr="00EB4AAD" w:rsidRDefault="007A308F" w:rsidP="00BB313F">
            <w:pPr>
              <w:spacing w:before="120" w:after="120"/>
              <w:rPr>
                <w:rFonts w:ascii="Cambria" w:hAnsi="Cambria"/>
                <w:noProof/>
                <w:lang w:val="pl-PL"/>
              </w:rPr>
            </w:pPr>
            <w:r w:rsidRPr="000A46A9">
              <w:rPr>
                <w:rFonts w:ascii="Cambria" w:hAnsi="Cambria"/>
                <w:i/>
                <w:noProof/>
                <w:lang w:val="sr-Latn-ME"/>
              </w:rPr>
              <w:t>Opis aktivnosti:</w:t>
            </w:r>
            <w:r>
              <w:rPr>
                <w:rFonts w:ascii="Cambria" w:hAnsi="Cambria"/>
                <w:noProof/>
                <w:lang w:val="sr-Latn-ME"/>
              </w:rPr>
              <w:t xml:space="preserve"> </w:t>
            </w:r>
            <w:r w:rsidRPr="000A46A9">
              <w:rPr>
                <w:rFonts w:ascii="Cambria" w:hAnsi="Cambria"/>
                <w:noProof/>
                <w:lang w:val="sr-Latn-ME"/>
              </w:rPr>
              <w:t xml:space="preserve">Nacionalni propisi u oblasti upravljanja hemikalijama su u značajnoj mjeri usklađeni sa propisima EU, ali s obzirom na kontinuirano prilagođavanje EU propisa tehničkom napretku biće potrebno sprovesti aktivnosti dalje harmonizacije domaćeg zakonodavstva sa relevantnim </w:t>
            </w:r>
            <w:r>
              <w:rPr>
                <w:rFonts w:ascii="Cambria" w:hAnsi="Cambria"/>
                <w:noProof/>
                <w:lang w:val="sr-Latn-ME"/>
              </w:rPr>
              <w:t xml:space="preserve">amandmanima na </w:t>
            </w:r>
            <w:r w:rsidRPr="000A46A9">
              <w:rPr>
                <w:rFonts w:ascii="Cambria" w:hAnsi="Cambria"/>
                <w:noProof/>
                <w:lang w:val="sr-Latn-ME"/>
              </w:rPr>
              <w:t>propis</w:t>
            </w:r>
            <w:r>
              <w:rPr>
                <w:rFonts w:ascii="Cambria" w:hAnsi="Cambria"/>
                <w:noProof/>
                <w:lang w:val="sr-Latn-ME"/>
              </w:rPr>
              <w:t>e</w:t>
            </w:r>
            <w:r w:rsidRPr="000A46A9">
              <w:rPr>
                <w:rFonts w:ascii="Cambria" w:hAnsi="Cambria"/>
                <w:noProof/>
                <w:lang w:val="sr-Latn-ME"/>
              </w:rPr>
              <w:t xml:space="preserve"> EU</w:t>
            </w:r>
            <w:r>
              <w:rPr>
                <w:rFonts w:ascii="Cambria" w:hAnsi="Cambria"/>
                <w:noProof/>
                <w:lang w:val="sr-Latn-ME"/>
              </w:rPr>
              <w:t>, koji uključuju  amandmane u pogledu liste supstanci koje izazivaju zabrinurost.</w:t>
            </w:r>
          </w:p>
        </w:tc>
      </w:tr>
      <w:tr w:rsidR="00EB4AAD" w:rsidRPr="00EB4AAD" w14:paraId="0E389992" w14:textId="77777777" w:rsidTr="00A275C9">
        <w:trPr>
          <w:trHeight w:val="17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24FD4E8B" w14:textId="226E7076" w:rsidR="00EB4AAD" w:rsidRPr="00EB4AAD" w:rsidRDefault="00EB4AAD" w:rsidP="00557C13">
            <w:pPr>
              <w:numPr>
                <w:ilvl w:val="0"/>
                <w:numId w:val="49"/>
              </w:numPr>
              <w:spacing w:before="120" w:after="120"/>
              <w:ind w:left="405" w:hanging="315"/>
              <w:rPr>
                <w:rFonts w:ascii="Cambria" w:hAnsi="Cambria"/>
                <w:noProof/>
                <w:lang w:val="sr-Latn-ME"/>
              </w:rPr>
            </w:pPr>
            <w:r w:rsidRPr="00EB4AAD">
              <w:rPr>
                <w:rFonts w:ascii="Cambria" w:hAnsi="Cambria"/>
                <w:noProof/>
                <w:lang w:val="sr-Latn-ME"/>
              </w:rPr>
              <w:t>Izm</w:t>
            </w:r>
            <w:r w:rsidR="00C63014">
              <w:rPr>
                <w:rFonts w:ascii="Cambria" w:hAnsi="Cambria"/>
                <w:noProof/>
                <w:lang w:val="sr-Latn-ME"/>
              </w:rPr>
              <w:t>j</w:t>
            </w:r>
            <w:r w:rsidRPr="00EB4AAD">
              <w:rPr>
                <w:rFonts w:ascii="Cambria" w:hAnsi="Cambria"/>
                <w:noProof/>
                <w:lang w:val="sr-Latn-ME"/>
              </w:rPr>
              <w:t xml:space="preserve">ena i dopuna odredbi propisa o sredstvima za ishranu bilja </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24BADE80"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2022</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2FF68A3A"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MPRR</w:t>
            </w:r>
          </w:p>
        </w:tc>
        <w:tc>
          <w:tcPr>
            <w:tcW w:w="2250" w:type="dxa"/>
            <w:tcBorders>
              <w:top w:val="double" w:sz="4" w:space="0" w:color="auto"/>
              <w:left w:val="single" w:sz="4" w:space="0" w:color="auto"/>
              <w:bottom w:val="single" w:sz="4" w:space="0" w:color="auto"/>
              <w:right w:val="single" w:sz="4" w:space="0" w:color="auto"/>
            </w:tcBorders>
          </w:tcPr>
          <w:p w14:paraId="20218F9D" w14:textId="7E35832F" w:rsidR="00EB4AAD" w:rsidRPr="00EB4AAD" w:rsidRDefault="00EB4AAD" w:rsidP="00803D9D">
            <w:pPr>
              <w:spacing w:before="120" w:after="120"/>
              <w:rPr>
                <w:rFonts w:ascii="Cambria" w:hAnsi="Cambria"/>
                <w:noProof/>
                <w:lang w:val="pl-PL"/>
              </w:rPr>
            </w:pPr>
            <w:r w:rsidRPr="00EB4AAD">
              <w:rPr>
                <w:rFonts w:ascii="Cambria" w:hAnsi="Cambria"/>
                <w:noProof/>
                <w:lang w:val="pl-PL"/>
              </w:rPr>
              <w:t>Usvojene izm</w:t>
            </w:r>
            <w:r w:rsidR="005B0B2B">
              <w:rPr>
                <w:rFonts w:ascii="Cambria" w:hAnsi="Cambria"/>
                <w:noProof/>
                <w:lang w:val="pl-PL"/>
              </w:rPr>
              <w:t>j</w:t>
            </w:r>
            <w:r w:rsidRPr="00EB4AAD">
              <w:rPr>
                <w:rFonts w:ascii="Cambria" w:hAnsi="Cambria"/>
                <w:noProof/>
                <w:lang w:val="pl-PL"/>
              </w:rPr>
              <w:t>ene i dopune  propisa</w:t>
            </w:r>
          </w:p>
        </w:tc>
        <w:tc>
          <w:tcPr>
            <w:tcW w:w="4017" w:type="dxa"/>
            <w:tcBorders>
              <w:top w:val="double" w:sz="4" w:space="0" w:color="auto"/>
              <w:left w:val="single" w:sz="4" w:space="0" w:color="auto"/>
              <w:bottom w:val="single" w:sz="4" w:space="0" w:color="auto"/>
            </w:tcBorders>
            <w:shd w:val="clear" w:color="auto" w:fill="auto"/>
            <w:vAlign w:val="center"/>
          </w:tcPr>
          <w:p w14:paraId="428F4AE2"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286D4125" w14:textId="77777777" w:rsidTr="00A275C9">
        <w:trPr>
          <w:trHeight w:val="176"/>
        </w:trPr>
        <w:tc>
          <w:tcPr>
            <w:tcW w:w="14367" w:type="dxa"/>
            <w:gridSpan w:val="5"/>
            <w:tcBorders>
              <w:top w:val="single" w:sz="4" w:space="0" w:color="auto"/>
              <w:bottom w:val="double" w:sz="4" w:space="0" w:color="auto"/>
            </w:tcBorders>
            <w:shd w:val="clear" w:color="auto" w:fill="auto"/>
          </w:tcPr>
          <w:p w14:paraId="709BEA02" w14:textId="5037F1C6" w:rsidR="000E4C73" w:rsidRPr="00EB4AAD" w:rsidRDefault="000E4C73" w:rsidP="00BB313F">
            <w:pPr>
              <w:spacing w:before="120" w:after="120"/>
              <w:rPr>
                <w:rFonts w:ascii="Cambria" w:hAnsi="Cambria"/>
                <w:noProof/>
                <w:lang w:val="pl-PL"/>
              </w:rPr>
            </w:pPr>
            <w:r>
              <w:rPr>
                <w:rFonts w:ascii="Cambria" w:hAnsi="Cambria"/>
                <w:noProof/>
                <w:lang w:val="sr-Latn-ME"/>
              </w:rPr>
              <w:t xml:space="preserve">Opis aktivnosti: </w:t>
            </w:r>
            <w:r w:rsidR="00CF67B9">
              <w:rPr>
                <w:rFonts w:ascii="Cambria" w:hAnsi="Cambria"/>
                <w:noProof/>
                <w:lang w:val="sr-Latn-ME"/>
              </w:rPr>
              <w:t>R</w:t>
            </w:r>
            <w:r w:rsidR="007A308F" w:rsidRPr="00EB4AAD">
              <w:rPr>
                <w:rFonts w:ascii="Cambria" w:hAnsi="Cambria"/>
                <w:noProof/>
                <w:lang w:val="sr-Latn-ME"/>
              </w:rPr>
              <w:t xml:space="preserve">adi usaglašavanja sa odredbama najavljenih amandmana na Uredbu </w:t>
            </w:r>
            <w:r w:rsidR="007A308F" w:rsidRPr="00EB4AAD">
              <w:rPr>
                <w:rFonts w:ascii="Cambria" w:hAnsi="Cambria"/>
                <w:noProof/>
              </w:rPr>
              <w:t>(EU) 2003/2003</w:t>
            </w:r>
            <w:r w:rsidR="007A308F">
              <w:rPr>
                <w:rFonts w:ascii="Cambria" w:hAnsi="Cambria"/>
                <w:noProof/>
              </w:rPr>
              <w:t xml:space="preserve"> biće potrebno dalje usaglašavanje nacionalnih propisa o sredstvima za ishranu bilja.</w:t>
            </w:r>
          </w:p>
        </w:tc>
      </w:tr>
      <w:tr w:rsidR="00EB4AAD" w:rsidRPr="00EB4AAD" w14:paraId="2B40DFC0" w14:textId="77777777" w:rsidTr="00A275C9">
        <w:trPr>
          <w:trHeight w:val="85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2C6824DF" w14:textId="77777777" w:rsidR="00EB4AAD" w:rsidRPr="00EB4AAD" w:rsidRDefault="007C736B" w:rsidP="00557C13">
            <w:pPr>
              <w:numPr>
                <w:ilvl w:val="0"/>
                <w:numId w:val="49"/>
              </w:numPr>
              <w:spacing w:before="120" w:after="120"/>
              <w:ind w:left="405" w:hanging="315"/>
              <w:rPr>
                <w:rFonts w:ascii="Cambria" w:hAnsi="Cambria"/>
                <w:noProof/>
                <w:lang w:val="pl-PL"/>
              </w:rPr>
            </w:pPr>
            <w:r w:rsidRPr="007C736B">
              <w:rPr>
                <w:rFonts w:ascii="Cambria" w:hAnsi="Cambria"/>
                <w:noProof/>
                <w:lang w:val="sr-Latn-ME"/>
              </w:rPr>
              <w:t>Priprema izvještaja o unapređenju zakonodavnog okvira u oblasti hemikalija</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325B46A5"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72B1F44A"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2FF5BE9C" w14:textId="7D77468C" w:rsidR="00EB4AAD" w:rsidRPr="00EB4AAD" w:rsidRDefault="00EB4AAD" w:rsidP="00803D9D">
            <w:pPr>
              <w:spacing w:before="120" w:after="120"/>
              <w:rPr>
                <w:rFonts w:ascii="Cambria" w:hAnsi="Cambria"/>
                <w:noProof/>
                <w:lang w:val="pl-PL"/>
              </w:rPr>
            </w:pPr>
            <w:r w:rsidRPr="00EB4AAD">
              <w:rPr>
                <w:rFonts w:ascii="Cambria" w:hAnsi="Cambria"/>
                <w:noProof/>
                <w:lang w:val="pl-PL"/>
              </w:rPr>
              <w:t>Izv</w:t>
            </w:r>
            <w:r w:rsidR="004D1BD3">
              <w:rPr>
                <w:rFonts w:ascii="Cambria" w:hAnsi="Cambria"/>
                <w:noProof/>
                <w:lang w:val="pl-PL"/>
              </w:rPr>
              <w:t>j</w:t>
            </w:r>
            <w:r w:rsidRPr="00EB4AAD">
              <w:rPr>
                <w:rFonts w:ascii="Cambria" w:hAnsi="Cambria"/>
                <w:noProof/>
                <w:lang w:val="pl-PL"/>
              </w:rPr>
              <w:t>eštaj o daljoj harmonizaciji  propisa u oblasti hemikalija</w:t>
            </w:r>
          </w:p>
        </w:tc>
        <w:tc>
          <w:tcPr>
            <w:tcW w:w="4017" w:type="dxa"/>
            <w:tcBorders>
              <w:top w:val="double" w:sz="4" w:space="0" w:color="auto"/>
              <w:left w:val="single" w:sz="4" w:space="0" w:color="auto"/>
              <w:bottom w:val="single" w:sz="4" w:space="0" w:color="auto"/>
            </w:tcBorders>
            <w:shd w:val="clear" w:color="auto" w:fill="auto"/>
            <w:vAlign w:val="center"/>
          </w:tcPr>
          <w:p w14:paraId="019E26BD"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C44436" w:rsidRPr="00EB4AAD" w14:paraId="41D97564" w14:textId="77777777" w:rsidTr="00A275C9">
        <w:trPr>
          <w:trHeight w:val="176"/>
        </w:trPr>
        <w:tc>
          <w:tcPr>
            <w:tcW w:w="14367" w:type="dxa"/>
            <w:gridSpan w:val="5"/>
            <w:tcBorders>
              <w:top w:val="single" w:sz="4" w:space="0" w:color="auto"/>
              <w:bottom w:val="double" w:sz="4" w:space="0" w:color="auto"/>
            </w:tcBorders>
            <w:shd w:val="clear" w:color="auto" w:fill="auto"/>
          </w:tcPr>
          <w:p w14:paraId="50AAC1CB" w14:textId="624AD521" w:rsidR="00C44436" w:rsidRPr="00EB4AAD" w:rsidRDefault="00C44436" w:rsidP="009932E4">
            <w:pPr>
              <w:spacing w:before="120" w:after="120"/>
              <w:rPr>
                <w:rFonts w:ascii="Cambria" w:hAnsi="Cambria"/>
                <w:noProof/>
                <w:lang w:val="pl-PL"/>
              </w:rPr>
            </w:pPr>
            <w:r w:rsidRPr="007A308F">
              <w:rPr>
                <w:rFonts w:ascii="Cambria" w:hAnsi="Cambria"/>
                <w:i/>
                <w:noProof/>
                <w:lang w:val="sr-Latn-ME"/>
              </w:rPr>
              <w:lastRenderedPageBreak/>
              <w:t>Opis aktivnosti</w:t>
            </w:r>
            <w:r>
              <w:rPr>
                <w:rFonts w:ascii="Cambria" w:hAnsi="Cambria"/>
                <w:noProof/>
                <w:lang w:val="sr-Latn-ME"/>
              </w:rPr>
              <w:t xml:space="preserve">: </w:t>
            </w:r>
            <w:r w:rsidR="009932E4" w:rsidRPr="009932E4">
              <w:rPr>
                <w:rFonts w:ascii="Cambria" w:hAnsi="Cambria"/>
                <w:noProof/>
                <w:lang w:val="pl-PL"/>
              </w:rPr>
              <w:t xml:space="preserve">U vezi sa procesom pregovora o pristupanju EU očekuje se otvaranje pregovora u okviru poglavlja relevantnih za hemikalije, te će u </w:t>
            </w:r>
            <w:r w:rsidR="009932E4" w:rsidRPr="009932E4">
              <w:rPr>
                <w:rFonts w:ascii="Cambria" w:hAnsi="Cambria"/>
                <w:noProof/>
                <w:lang w:val="sr-Latn-ME"/>
              </w:rPr>
              <w:t>toku</w:t>
            </w:r>
            <w:r w:rsidR="009932E4" w:rsidRPr="009932E4">
              <w:rPr>
                <w:rFonts w:ascii="Cambria" w:hAnsi="Cambria"/>
                <w:noProof/>
                <w:lang w:val="pl-PL"/>
              </w:rPr>
              <w:t xml:space="preserve"> pregovora biti potrebne ažurirane informacije i dodatna pojašnjenja od organa nadležnih za pojedine oblasti.</w:t>
            </w:r>
            <w:r w:rsidR="009932E4">
              <w:rPr>
                <w:rFonts w:ascii="Cambria" w:hAnsi="Cambria"/>
                <w:noProof/>
                <w:lang w:val="pl-PL"/>
              </w:rPr>
              <w:t xml:space="preserve"> S tim u vezi bi’e potrebna </w:t>
            </w:r>
            <w:r w:rsidR="009932E4">
              <w:rPr>
                <w:rFonts w:ascii="Cambria" w:hAnsi="Cambria"/>
                <w:noProof/>
                <w:lang w:val="sr-Latn-ME"/>
              </w:rPr>
              <w:t>priprema adekvatnih izvještaja</w:t>
            </w:r>
            <w:r w:rsidR="007A308F">
              <w:rPr>
                <w:rFonts w:ascii="Cambria" w:hAnsi="Cambria"/>
                <w:noProof/>
                <w:lang w:val="sr-Latn-ME"/>
              </w:rPr>
              <w:t xml:space="preserve"> o harmonizaciji nacionalnih propisa u sektoru hemikalija sa odredbama relevantnih propisa EU</w:t>
            </w:r>
            <w:r w:rsidR="009932E4">
              <w:rPr>
                <w:rFonts w:ascii="Cambria" w:hAnsi="Cambria"/>
                <w:noProof/>
                <w:lang w:val="sr-Latn-ME"/>
              </w:rPr>
              <w:t>.</w:t>
            </w:r>
          </w:p>
        </w:tc>
      </w:tr>
      <w:tr w:rsidR="00EB4AAD" w:rsidRPr="00EB4AAD" w14:paraId="62181BE8" w14:textId="77777777" w:rsidTr="00A275C9">
        <w:tc>
          <w:tcPr>
            <w:tcW w:w="14367" w:type="dxa"/>
            <w:gridSpan w:val="5"/>
            <w:tcBorders>
              <w:top w:val="double" w:sz="4" w:space="0" w:color="auto"/>
              <w:bottom w:val="double" w:sz="4" w:space="0" w:color="auto"/>
            </w:tcBorders>
            <w:shd w:val="clear" w:color="auto" w:fill="D9D9D9" w:themeFill="background1" w:themeFillShade="D9"/>
          </w:tcPr>
          <w:p w14:paraId="72D4A057" w14:textId="4E7CA91D" w:rsidR="00EB4AAD" w:rsidRPr="00EB4AAD" w:rsidRDefault="00EB4AAD" w:rsidP="00803D9D">
            <w:pPr>
              <w:spacing w:before="120" w:after="120"/>
              <w:rPr>
                <w:rFonts w:ascii="Cambria" w:hAnsi="Cambria"/>
                <w:b/>
                <w:noProof/>
                <w:lang w:val="sr-Latn-ME"/>
              </w:rPr>
            </w:pPr>
            <w:r w:rsidRPr="00EB4AAD">
              <w:rPr>
                <w:rFonts w:ascii="Cambria" w:hAnsi="Cambria"/>
                <w:b/>
                <w:noProof/>
                <w:lang w:val="sr-Latn-ME"/>
              </w:rPr>
              <w:t>CILJ 2. Unaprijeđenje implementacije postojećih propisa</w:t>
            </w:r>
          </w:p>
        </w:tc>
      </w:tr>
      <w:tr w:rsidR="00EB4AAD" w:rsidRPr="00EB4AAD" w14:paraId="6CDF298E"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51F383E6" w14:textId="77777777" w:rsidR="00EB4AAD" w:rsidRPr="00EB4AAD" w:rsidRDefault="00EB4AAD" w:rsidP="00557C13">
            <w:pPr>
              <w:numPr>
                <w:ilvl w:val="0"/>
                <w:numId w:val="50"/>
              </w:numPr>
              <w:spacing w:before="120" w:after="120"/>
              <w:ind w:left="405" w:hanging="270"/>
              <w:rPr>
                <w:rFonts w:ascii="Cambria" w:hAnsi="Cambria"/>
                <w:noProof/>
                <w:lang w:val="sr-Latn-ME"/>
              </w:rPr>
            </w:pPr>
            <w:r w:rsidRPr="00EB4AAD">
              <w:rPr>
                <w:rFonts w:ascii="Cambria" w:hAnsi="Cambria"/>
                <w:noProof/>
                <w:lang w:val="sr-Latn-ME"/>
              </w:rPr>
              <w:t>Razvoj nacionalnog Help deska</w:t>
            </w:r>
          </w:p>
          <w:p w14:paraId="0617E89F" w14:textId="77777777" w:rsidR="00EB4AAD" w:rsidRPr="00EB4AAD" w:rsidRDefault="00EB4AAD" w:rsidP="00BE665F">
            <w:pPr>
              <w:spacing w:before="120" w:after="120"/>
              <w:ind w:left="405" w:hanging="270"/>
              <w:rPr>
                <w:rFonts w:ascii="Cambria" w:hAnsi="Cambria"/>
                <w:noProof/>
                <w:lang w:val="pl-PL"/>
              </w:rPr>
            </w:pP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5E43DBF9"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6C5AD2D8"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AZPŽS</w:t>
            </w:r>
          </w:p>
        </w:tc>
        <w:tc>
          <w:tcPr>
            <w:tcW w:w="2250" w:type="dxa"/>
            <w:tcBorders>
              <w:top w:val="double" w:sz="4" w:space="0" w:color="auto"/>
              <w:left w:val="single" w:sz="4" w:space="0" w:color="auto"/>
              <w:bottom w:val="single" w:sz="4" w:space="0" w:color="auto"/>
              <w:right w:val="single" w:sz="4" w:space="0" w:color="auto"/>
            </w:tcBorders>
          </w:tcPr>
          <w:p w14:paraId="73579E2E" w14:textId="77777777" w:rsidR="002252F3" w:rsidRPr="00EB4AAD" w:rsidRDefault="000C6C88" w:rsidP="00557C13">
            <w:pPr>
              <w:numPr>
                <w:ilvl w:val="0"/>
                <w:numId w:val="43"/>
              </w:numPr>
              <w:spacing w:before="120" w:after="120"/>
              <w:ind w:left="226" w:hanging="270"/>
              <w:rPr>
                <w:rFonts w:ascii="Cambria" w:hAnsi="Cambria"/>
                <w:noProof/>
                <w:lang w:val="pl-PL"/>
              </w:rPr>
            </w:pPr>
            <w:r w:rsidRPr="00EB4AAD">
              <w:rPr>
                <w:rFonts w:ascii="Cambria" w:hAnsi="Cambria"/>
                <w:noProof/>
                <w:lang w:val="pl-PL"/>
              </w:rPr>
              <w:t xml:space="preserve">Broj pruženih odgovora u </w:t>
            </w:r>
            <w:r w:rsidR="00EB4AAD" w:rsidRPr="00EB4AAD">
              <w:rPr>
                <w:rFonts w:ascii="Cambria" w:hAnsi="Cambria"/>
                <w:noProof/>
                <w:lang w:val="pl-PL"/>
              </w:rPr>
              <w:t xml:space="preserve">kontinuiranom </w:t>
            </w:r>
            <w:r w:rsidRPr="00EB4AAD">
              <w:rPr>
                <w:rFonts w:ascii="Cambria" w:hAnsi="Cambria"/>
                <w:noProof/>
                <w:lang w:val="pl-PL"/>
              </w:rPr>
              <w:t>porastu</w:t>
            </w:r>
            <w:r w:rsidR="007D1232">
              <w:rPr>
                <w:rFonts w:ascii="Cambria" w:hAnsi="Cambria"/>
                <w:noProof/>
                <w:lang w:val="pl-PL"/>
              </w:rPr>
              <w:t xml:space="preserve"> za 20% godišnje</w:t>
            </w:r>
          </w:p>
          <w:p w14:paraId="035C3257" w14:textId="77777777" w:rsidR="002252F3" w:rsidRPr="00EB4AAD" w:rsidRDefault="000C6C88" w:rsidP="00557C13">
            <w:pPr>
              <w:numPr>
                <w:ilvl w:val="0"/>
                <w:numId w:val="43"/>
              </w:numPr>
              <w:spacing w:before="120" w:after="120"/>
              <w:ind w:left="226" w:hanging="270"/>
              <w:rPr>
                <w:rFonts w:ascii="Cambria" w:hAnsi="Cambria"/>
                <w:noProof/>
                <w:lang w:val="pl-PL"/>
              </w:rPr>
            </w:pPr>
            <w:r w:rsidRPr="00EB4AAD">
              <w:rPr>
                <w:rFonts w:ascii="Cambria" w:hAnsi="Cambria"/>
                <w:noProof/>
                <w:lang w:val="pl-PL"/>
              </w:rPr>
              <w:t>Relevantne informacije dostupne na web stranici Help deska</w:t>
            </w:r>
          </w:p>
        </w:tc>
        <w:tc>
          <w:tcPr>
            <w:tcW w:w="4017" w:type="dxa"/>
            <w:tcBorders>
              <w:top w:val="double" w:sz="4" w:space="0" w:color="auto"/>
              <w:left w:val="single" w:sz="4" w:space="0" w:color="auto"/>
              <w:bottom w:val="single" w:sz="4" w:space="0" w:color="auto"/>
            </w:tcBorders>
            <w:shd w:val="clear" w:color="auto" w:fill="auto"/>
            <w:vAlign w:val="center"/>
          </w:tcPr>
          <w:p w14:paraId="0303EF2D" w14:textId="77777777" w:rsidR="00107123"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(za redovan rad nadležnih org.) i </w:t>
            </w:r>
          </w:p>
          <w:p w14:paraId="48FB5455" w14:textId="77777777" w:rsidR="00EB4AAD" w:rsidRPr="00EB4AAD" w:rsidRDefault="00EB4AAD" w:rsidP="008C0A58">
            <w:pPr>
              <w:spacing w:before="120" w:after="120"/>
              <w:ind w:right="-104"/>
              <w:rPr>
                <w:rFonts w:ascii="Cambria" w:hAnsi="Cambria"/>
                <w:noProof/>
                <w:lang w:val="pl-PL"/>
              </w:rPr>
            </w:pPr>
            <w:r w:rsidRPr="00EB4AAD">
              <w:rPr>
                <w:rFonts w:ascii="Cambria" w:hAnsi="Cambria"/>
                <w:noProof/>
                <w:lang w:val="pl-PL"/>
              </w:rPr>
              <w:t>IPA (</w:t>
            </w:r>
            <w:r w:rsidR="007771D9">
              <w:rPr>
                <w:rFonts w:ascii="Cambria" w:hAnsi="Cambria"/>
                <w:noProof/>
                <w:lang w:val="pl-PL"/>
              </w:rPr>
              <w:t>1</w:t>
            </w:r>
            <w:r w:rsidR="00107123">
              <w:rPr>
                <w:rFonts w:ascii="Cambria" w:hAnsi="Cambria"/>
                <w:noProof/>
                <w:lang w:val="pl-PL"/>
              </w:rPr>
              <w:t xml:space="preserve">0.000 za </w:t>
            </w:r>
            <w:r w:rsidRPr="00EB4AAD">
              <w:rPr>
                <w:rFonts w:ascii="Cambria" w:hAnsi="Cambria"/>
                <w:noProof/>
                <w:lang w:val="pl-PL"/>
              </w:rPr>
              <w:t>razvoj veština zaposlenih)</w:t>
            </w:r>
          </w:p>
        </w:tc>
      </w:tr>
      <w:tr w:rsidR="000E4C73" w:rsidRPr="00EB4AAD" w14:paraId="0DE5FFBC" w14:textId="77777777" w:rsidTr="00A275C9">
        <w:trPr>
          <w:trHeight w:val="176"/>
        </w:trPr>
        <w:tc>
          <w:tcPr>
            <w:tcW w:w="14367" w:type="dxa"/>
            <w:gridSpan w:val="5"/>
            <w:tcBorders>
              <w:top w:val="single" w:sz="4" w:space="0" w:color="auto"/>
              <w:bottom w:val="double" w:sz="4" w:space="0" w:color="auto"/>
            </w:tcBorders>
            <w:shd w:val="clear" w:color="auto" w:fill="auto"/>
          </w:tcPr>
          <w:p w14:paraId="0268EA02" w14:textId="381A6955" w:rsidR="000E4C73" w:rsidRPr="00EB4AAD" w:rsidRDefault="000E4C73" w:rsidP="00BB313F">
            <w:pPr>
              <w:spacing w:before="120" w:after="120"/>
              <w:rPr>
                <w:rFonts w:ascii="Cambria" w:hAnsi="Cambria"/>
                <w:noProof/>
                <w:lang w:val="pl-PL"/>
              </w:rPr>
            </w:pPr>
            <w:r w:rsidRPr="006167CF">
              <w:rPr>
                <w:rFonts w:ascii="Cambria" w:hAnsi="Cambria"/>
                <w:i/>
                <w:noProof/>
                <w:lang w:val="sr-Latn-ME"/>
              </w:rPr>
              <w:t>Opis aktivnosti:</w:t>
            </w:r>
            <w:r>
              <w:rPr>
                <w:rFonts w:ascii="Cambria" w:hAnsi="Cambria"/>
                <w:noProof/>
                <w:lang w:val="sr-Latn-ME"/>
              </w:rPr>
              <w:t xml:space="preserve"> </w:t>
            </w:r>
            <w:r w:rsidR="006167CF" w:rsidRPr="006167CF">
              <w:rPr>
                <w:rFonts w:ascii="Cambria" w:hAnsi="Cambria"/>
                <w:noProof/>
                <w:lang w:val="sr-Latn-ME"/>
              </w:rPr>
              <w:t>Crna Gora je u maju 2018. uspostavila nacionalni Help desk u okviru AZPŽS, odnosno službu za pomoć korisnicima koja pruža informacije i savjete (proizvođačima, uvoznicima i distributerima) o odgovornostima i obavezama u vezi sa nacionalim propisima o hemikalijama i biocidnim proizvodima, što je u skladu sa zahtjevima propisanim EU uredbama REACH i CLP, kao i BPR. Nacionalni Help desk treba da sprovođenje svojih zadataka obavlja pružanjem konkretnih odgovora u direktnim konsultacijama sa korisnicima putem telefona ili e-maila, ali i preko internet prezentacije, uputstava, brošura, seminara i sl. S tim u vezi, neophodno je obučiti osoblje koje radi na help desku za ove specifične poslove kako u pogledu potrebnih znanja u pogledu tumačenja odredbi relevantnih propisa, ali i u vještinama komunikacije, za šta se preporučuje edukacija u okviru EU tehničke pomoći (IPA) i/ili razmjena iskustava sa kolegama iz drugih sličnih službi u okviru sastanaka Help Net mreže, u kojoj je Crna Gora, kao zemlja kandidat, dobila status posmatrača u avgustu 2018. Takođe, neophodno je izraditi web stranicu na internet prezentaciji AZPŽS, na kojoj će se nalaziti sva relevantna uputstva i materijali u elektronskom obliku, odnosno direktno dostupni korisnicima.</w:t>
            </w:r>
          </w:p>
        </w:tc>
      </w:tr>
      <w:tr w:rsidR="00EB4AAD" w:rsidRPr="00EB4AAD" w14:paraId="0D98ADAA" w14:textId="77777777" w:rsidTr="00A275C9">
        <w:trPr>
          <w:trHeight w:val="842"/>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484A13E9" w14:textId="77777777" w:rsidR="00EB4AAD" w:rsidRPr="00EB4AAD" w:rsidRDefault="00EB4AAD" w:rsidP="00557C13">
            <w:pPr>
              <w:numPr>
                <w:ilvl w:val="0"/>
                <w:numId w:val="50"/>
              </w:numPr>
              <w:spacing w:before="120" w:after="120"/>
              <w:ind w:left="405" w:hanging="270"/>
              <w:rPr>
                <w:rFonts w:ascii="Cambria" w:hAnsi="Cambria"/>
                <w:noProof/>
                <w:lang w:val="pl-PL"/>
              </w:rPr>
            </w:pPr>
            <w:r w:rsidRPr="00EB4AAD">
              <w:rPr>
                <w:rFonts w:ascii="Cambria" w:hAnsi="Cambria"/>
                <w:noProof/>
                <w:lang w:val="pl-PL"/>
              </w:rPr>
              <w:t>Uspostavljanje Registra hemikalija u elektronskom obliku</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5CEABE10"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2020- 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348A65A6"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AZPŽS, MORT</w:t>
            </w:r>
          </w:p>
        </w:tc>
        <w:tc>
          <w:tcPr>
            <w:tcW w:w="2250" w:type="dxa"/>
            <w:tcBorders>
              <w:top w:val="double" w:sz="4" w:space="0" w:color="auto"/>
              <w:left w:val="single" w:sz="4" w:space="0" w:color="auto"/>
              <w:bottom w:val="single" w:sz="4" w:space="0" w:color="auto"/>
              <w:right w:val="single" w:sz="4" w:space="0" w:color="auto"/>
            </w:tcBorders>
          </w:tcPr>
          <w:p w14:paraId="3C6A521E" w14:textId="77777777" w:rsidR="00674ACF" w:rsidRDefault="00674ACF" w:rsidP="00557C13">
            <w:pPr>
              <w:numPr>
                <w:ilvl w:val="0"/>
                <w:numId w:val="43"/>
              </w:numPr>
              <w:spacing w:before="120" w:after="120"/>
              <w:ind w:left="226" w:hanging="270"/>
              <w:rPr>
                <w:rFonts w:ascii="Cambria" w:hAnsi="Cambria"/>
                <w:noProof/>
                <w:lang w:val="pl-PL"/>
              </w:rPr>
            </w:pPr>
            <w:r>
              <w:rPr>
                <w:rFonts w:ascii="Cambria" w:hAnsi="Cambria"/>
                <w:noProof/>
                <w:lang w:val="pl-PL"/>
              </w:rPr>
              <w:t>IT alati nabavljeni i instalirani</w:t>
            </w:r>
          </w:p>
          <w:p w14:paraId="55DD274F" w14:textId="77777777" w:rsidR="00EB4AAD" w:rsidRPr="00EB4AAD" w:rsidRDefault="00EB4AAD" w:rsidP="00557C13">
            <w:pPr>
              <w:numPr>
                <w:ilvl w:val="0"/>
                <w:numId w:val="43"/>
              </w:numPr>
              <w:spacing w:before="120" w:after="120"/>
              <w:ind w:left="226" w:hanging="270"/>
              <w:rPr>
                <w:rFonts w:ascii="Cambria" w:hAnsi="Cambria"/>
                <w:noProof/>
                <w:lang w:val="pl-PL"/>
              </w:rPr>
            </w:pPr>
            <w:r w:rsidRPr="00EB4AAD">
              <w:rPr>
                <w:rFonts w:ascii="Cambria" w:hAnsi="Cambria"/>
                <w:noProof/>
                <w:lang w:val="pl-PL"/>
              </w:rPr>
              <w:t xml:space="preserve">Registar dostupan </w:t>
            </w:r>
            <w:r w:rsidR="006C35D5" w:rsidRPr="006C35D5">
              <w:rPr>
                <w:rFonts w:ascii="Cambria" w:hAnsi="Cambria"/>
                <w:noProof/>
                <w:lang w:val="pl-PL"/>
              </w:rPr>
              <w:t>u elektronskom obliku</w:t>
            </w:r>
          </w:p>
        </w:tc>
        <w:tc>
          <w:tcPr>
            <w:tcW w:w="4017" w:type="dxa"/>
            <w:tcBorders>
              <w:top w:val="double" w:sz="4" w:space="0" w:color="auto"/>
              <w:left w:val="single" w:sz="4" w:space="0" w:color="auto"/>
              <w:bottom w:val="single" w:sz="4" w:space="0" w:color="auto"/>
            </w:tcBorders>
            <w:shd w:val="clear" w:color="auto" w:fill="auto"/>
            <w:vAlign w:val="center"/>
          </w:tcPr>
          <w:p w14:paraId="2039D672" w14:textId="77777777" w:rsidR="00EB4AAD" w:rsidRPr="00EB4AAD" w:rsidRDefault="00107123" w:rsidP="00803D9D">
            <w:pPr>
              <w:spacing w:before="120" w:after="120"/>
              <w:rPr>
                <w:rFonts w:ascii="Cambria" w:hAnsi="Cambria"/>
                <w:noProof/>
                <w:lang w:val="pl-PL"/>
              </w:rPr>
            </w:pPr>
            <w:r>
              <w:rPr>
                <w:rFonts w:ascii="Cambria" w:hAnsi="Cambria"/>
                <w:noProof/>
                <w:lang w:val="pl-PL"/>
              </w:rPr>
              <w:t>1</w:t>
            </w:r>
            <w:r w:rsidR="006D230F">
              <w:rPr>
                <w:rFonts w:ascii="Cambria" w:hAnsi="Cambria"/>
                <w:noProof/>
                <w:lang w:val="pl-PL"/>
              </w:rPr>
              <w:t>2</w:t>
            </w:r>
            <w:r>
              <w:rPr>
                <w:rFonts w:ascii="Cambria" w:hAnsi="Cambria"/>
                <w:noProof/>
                <w:lang w:val="pl-PL"/>
              </w:rPr>
              <w:t>0</w:t>
            </w:r>
            <w:r w:rsidR="00EB4AAD" w:rsidRPr="00EB4AAD">
              <w:rPr>
                <w:rFonts w:ascii="Cambria" w:hAnsi="Cambria"/>
                <w:noProof/>
                <w:lang w:val="pl-PL"/>
              </w:rPr>
              <w:t>,000</w:t>
            </w:r>
          </w:p>
          <w:p w14:paraId="65E49799"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Izvor: IPA</w:t>
            </w:r>
          </w:p>
        </w:tc>
      </w:tr>
      <w:tr w:rsidR="000E4C73" w:rsidRPr="00EB4AAD" w14:paraId="00C51C51" w14:textId="77777777" w:rsidTr="00A275C9">
        <w:trPr>
          <w:trHeight w:val="176"/>
        </w:trPr>
        <w:tc>
          <w:tcPr>
            <w:tcW w:w="14367" w:type="dxa"/>
            <w:gridSpan w:val="5"/>
            <w:tcBorders>
              <w:top w:val="single" w:sz="4" w:space="0" w:color="auto"/>
              <w:bottom w:val="double" w:sz="4" w:space="0" w:color="auto"/>
            </w:tcBorders>
            <w:shd w:val="clear" w:color="auto" w:fill="auto"/>
          </w:tcPr>
          <w:p w14:paraId="4B907AD5" w14:textId="2D052BFB" w:rsidR="000E4C73" w:rsidRPr="00EB4AAD" w:rsidRDefault="000E4C73" w:rsidP="00BB313F">
            <w:pPr>
              <w:spacing w:before="120" w:after="120"/>
              <w:rPr>
                <w:rFonts w:ascii="Cambria" w:hAnsi="Cambria"/>
                <w:noProof/>
                <w:lang w:val="pl-PL"/>
              </w:rPr>
            </w:pPr>
            <w:r w:rsidRPr="006167CF">
              <w:rPr>
                <w:rFonts w:ascii="Cambria" w:hAnsi="Cambria"/>
                <w:i/>
                <w:noProof/>
                <w:lang w:val="sr-Latn-ME"/>
              </w:rPr>
              <w:lastRenderedPageBreak/>
              <w:t>Opis aktivnosti:</w:t>
            </w:r>
            <w:r>
              <w:rPr>
                <w:rFonts w:ascii="Cambria" w:hAnsi="Cambria"/>
                <w:noProof/>
                <w:lang w:val="sr-Latn-ME"/>
              </w:rPr>
              <w:t xml:space="preserve"> </w:t>
            </w:r>
            <w:r w:rsidR="006167CF" w:rsidRPr="006167CF">
              <w:rPr>
                <w:rFonts w:ascii="Cambria" w:hAnsi="Cambria"/>
                <w:noProof/>
                <w:lang w:val="sr-Latn-ME"/>
              </w:rPr>
              <w:t>U cilju ispunjavanja obaveza preuzetih novim Zakonom o hemikalijama neophodno je uspostavljanje elektronskog Registra hemikalija. Ovo je neophodno radi  adekvatnog čuvanja i adekvatne statističke obrade podataka o hemikalijama na tržištu Crne Gore. S tim u vezi neophodno je razviti adekvatne IT alate (software i hardware),  koji bi omogućili adekvatno čuvanje i statističku obradu dostupnih podataka u prvoj fazi, on-line podnošenje prijave za upis u registar u drugoj fazi, ali i dali potporu za uspostavljanje sigurne veze sa EU bazama podataka u trećoj fazi. S tim u vezi, predlaže ova aktivnost treba da se sprovede u okviru relevantnog IPA projekta, a sve u cilju da elektronski Registar hemikalija postane u operativan najkasnije do kraja 2020. Nadležnim organima koji u svom radu koriste podatke o hemikalijama, poput MORT, UIP,  Uprave carina, budućeg centra za kontrolu trovanja i dr. treba omogućiti odgovarajuće nivoe pristupa, a određene podatke iz registra treba učiniti javno dostupnim, ukoliko je moguće povezivanjem statističkih podataka sa portalom Informacionog sistema zaštite životne sredine.</w:t>
            </w:r>
          </w:p>
        </w:tc>
      </w:tr>
      <w:tr w:rsidR="00EB4AAD" w:rsidRPr="00EB4AAD" w14:paraId="13F73BF7" w14:textId="77777777" w:rsidTr="00A275C9">
        <w:trPr>
          <w:trHeight w:val="17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354B0782" w14:textId="77777777" w:rsidR="00EB4AAD" w:rsidRPr="00EB4AAD" w:rsidRDefault="00EB4AAD" w:rsidP="00557C13">
            <w:pPr>
              <w:numPr>
                <w:ilvl w:val="0"/>
                <w:numId w:val="50"/>
              </w:numPr>
              <w:spacing w:before="120" w:after="120"/>
              <w:ind w:left="405" w:hanging="270"/>
              <w:rPr>
                <w:rFonts w:ascii="Cambria" w:hAnsi="Cambria"/>
                <w:noProof/>
                <w:lang w:val="pl-PL"/>
              </w:rPr>
            </w:pPr>
            <w:r w:rsidRPr="00EB4AAD">
              <w:rPr>
                <w:rFonts w:ascii="Cambria" w:hAnsi="Cambria"/>
                <w:noProof/>
                <w:lang w:val="pl-PL"/>
              </w:rPr>
              <w:t>Uspostavljanje Registra biocidnih proizvoda</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1A6BDB46"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202</w:t>
            </w:r>
            <w:r w:rsidR="006D230F">
              <w:rPr>
                <w:rFonts w:ascii="Cambria" w:hAnsi="Cambria"/>
                <w:noProof/>
                <w:lang w:val="pl-PL"/>
              </w:rPr>
              <w:t>0</w:t>
            </w:r>
            <w:r w:rsidRPr="00EB4AAD">
              <w:rPr>
                <w:rFonts w:ascii="Cambria" w:hAnsi="Cambria"/>
                <w:noProof/>
                <w:lang w:val="pl-PL"/>
              </w:rPr>
              <w:t>- 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36C7C620"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AZPŽS, MORT</w:t>
            </w:r>
          </w:p>
        </w:tc>
        <w:tc>
          <w:tcPr>
            <w:tcW w:w="2250" w:type="dxa"/>
            <w:tcBorders>
              <w:top w:val="double" w:sz="4" w:space="0" w:color="auto"/>
              <w:left w:val="single" w:sz="4" w:space="0" w:color="auto"/>
              <w:bottom w:val="single" w:sz="4" w:space="0" w:color="auto"/>
              <w:right w:val="single" w:sz="4" w:space="0" w:color="auto"/>
            </w:tcBorders>
          </w:tcPr>
          <w:p w14:paraId="29088E39"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Registar </w:t>
            </w:r>
            <w:r w:rsidR="00674ACF">
              <w:rPr>
                <w:rFonts w:ascii="Cambria" w:hAnsi="Cambria"/>
                <w:noProof/>
                <w:lang w:val="pl-PL"/>
              </w:rPr>
              <w:t>uspostavljen kao sastavni dio Registra hemikalija</w:t>
            </w:r>
          </w:p>
        </w:tc>
        <w:tc>
          <w:tcPr>
            <w:tcW w:w="4017" w:type="dxa"/>
            <w:tcBorders>
              <w:top w:val="double" w:sz="4" w:space="0" w:color="auto"/>
              <w:left w:val="single" w:sz="4" w:space="0" w:color="auto"/>
              <w:bottom w:val="single" w:sz="4" w:space="0" w:color="auto"/>
            </w:tcBorders>
            <w:shd w:val="clear" w:color="auto" w:fill="auto"/>
            <w:vAlign w:val="center"/>
          </w:tcPr>
          <w:p w14:paraId="4844D6F4"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Sredstva u okviru aktivnosti 2.2.</w:t>
            </w:r>
          </w:p>
        </w:tc>
      </w:tr>
      <w:tr w:rsidR="000E4C73" w:rsidRPr="00EB4AAD" w14:paraId="28344069" w14:textId="77777777" w:rsidTr="00A275C9">
        <w:trPr>
          <w:trHeight w:val="176"/>
        </w:trPr>
        <w:tc>
          <w:tcPr>
            <w:tcW w:w="14367" w:type="dxa"/>
            <w:gridSpan w:val="5"/>
            <w:tcBorders>
              <w:top w:val="single" w:sz="4" w:space="0" w:color="auto"/>
              <w:bottom w:val="double" w:sz="4" w:space="0" w:color="auto"/>
            </w:tcBorders>
            <w:shd w:val="clear" w:color="auto" w:fill="auto"/>
          </w:tcPr>
          <w:p w14:paraId="24DC0839" w14:textId="7730E0D1" w:rsidR="000E4C73" w:rsidRPr="00EB4AAD" w:rsidRDefault="000E4C73" w:rsidP="00BB313F">
            <w:pPr>
              <w:spacing w:before="120" w:after="120"/>
              <w:rPr>
                <w:rFonts w:ascii="Cambria" w:hAnsi="Cambria"/>
                <w:noProof/>
                <w:lang w:val="pl-PL"/>
              </w:rPr>
            </w:pPr>
            <w:r w:rsidRPr="006167CF">
              <w:rPr>
                <w:rFonts w:ascii="Cambria" w:hAnsi="Cambria"/>
                <w:i/>
                <w:noProof/>
                <w:lang w:val="sr-Latn-ME"/>
              </w:rPr>
              <w:t>Opis aktivnosti:</w:t>
            </w:r>
            <w:r>
              <w:rPr>
                <w:rFonts w:ascii="Cambria" w:hAnsi="Cambria"/>
                <w:noProof/>
                <w:lang w:val="sr-Latn-ME"/>
              </w:rPr>
              <w:t xml:space="preserve"> </w:t>
            </w:r>
            <w:r w:rsidR="006167CF" w:rsidRPr="006167CF">
              <w:rPr>
                <w:rFonts w:ascii="Cambria" w:hAnsi="Cambria"/>
                <w:noProof/>
                <w:lang w:val="sr-Latn-ME"/>
              </w:rPr>
              <w:t>U skladu sa Zakonom o biocidnim proizvodima potrebno je uspostaviti Registar biocidnih podataka na osnovu podataka iz dozvole. Registar treba da bude sastavni dio Registra hemikalija i da se vodi u elektronskoj formi te u tom smislu prilikom  razvijanja IT alate za Registar hemikalija treba imati u vidu i potrebu uključivanja relevantnih podataka o biocidnim proizvodima. Kroz IPA II 2014-2020 (koja je odobrena u decembru 2016.), Crna Gora planira da izradi Registar hemikalija i biocidnih proizvoda, koji će biti uspostavljeni u AZPŽS u skladu sa zahtjevima Uredbe REACH i Uredbe o biocidima.</w:t>
            </w:r>
          </w:p>
        </w:tc>
      </w:tr>
      <w:tr w:rsidR="00EB4AAD" w:rsidRPr="00EB4AAD" w14:paraId="7CD41490"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0EC426BC" w14:textId="77777777" w:rsidR="00EB4AAD" w:rsidRPr="00EB4AAD" w:rsidRDefault="00EB4AAD" w:rsidP="00557C13">
            <w:pPr>
              <w:numPr>
                <w:ilvl w:val="0"/>
                <w:numId w:val="50"/>
              </w:numPr>
              <w:spacing w:before="120" w:after="120"/>
              <w:ind w:left="405" w:hanging="270"/>
              <w:rPr>
                <w:rFonts w:ascii="Cambria" w:hAnsi="Cambria"/>
                <w:noProof/>
                <w:lang w:val="pl-PL"/>
              </w:rPr>
            </w:pPr>
            <w:r w:rsidRPr="00EB4AAD">
              <w:rPr>
                <w:rFonts w:ascii="Cambria" w:hAnsi="Cambria"/>
                <w:noProof/>
                <w:lang w:val="pl-PL"/>
              </w:rPr>
              <w:t>Sprovođenje propisanih administrativnih postupaka</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160EB006"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4C8392B9"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AZPŽS</w:t>
            </w:r>
          </w:p>
        </w:tc>
        <w:tc>
          <w:tcPr>
            <w:tcW w:w="2250" w:type="dxa"/>
            <w:tcBorders>
              <w:top w:val="double" w:sz="4" w:space="0" w:color="auto"/>
              <w:left w:val="single" w:sz="4" w:space="0" w:color="auto"/>
              <w:bottom w:val="single" w:sz="4" w:space="0" w:color="auto"/>
              <w:right w:val="single" w:sz="4" w:space="0" w:color="auto"/>
            </w:tcBorders>
          </w:tcPr>
          <w:p w14:paraId="6EA0940D"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Broj izdatih akata u upravnim postupcima</w:t>
            </w:r>
          </w:p>
        </w:tc>
        <w:tc>
          <w:tcPr>
            <w:tcW w:w="4017" w:type="dxa"/>
            <w:tcBorders>
              <w:top w:val="double" w:sz="4" w:space="0" w:color="auto"/>
              <w:left w:val="single" w:sz="4" w:space="0" w:color="auto"/>
              <w:bottom w:val="single" w:sz="4" w:space="0" w:color="auto"/>
            </w:tcBorders>
            <w:shd w:val="clear" w:color="auto" w:fill="auto"/>
            <w:vAlign w:val="center"/>
          </w:tcPr>
          <w:p w14:paraId="215CB68D"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36FE3F6A" w14:textId="77777777" w:rsidTr="00A275C9">
        <w:trPr>
          <w:trHeight w:val="176"/>
        </w:trPr>
        <w:tc>
          <w:tcPr>
            <w:tcW w:w="14367" w:type="dxa"/>
            <w:gridSpan w:val="5"/>
            <w:tcBorders>
              <w:top w:val="single" w:sz="4" w:space="0" w:color="auto"/>
              <w:bottom w:val="double" w:sz="4" w:space="0" w:color="auto"/>
            </w:tcBorders>
            <w:shd w:val="clear" w:color="auto" w:fill="auto"/>
          </w:tcPr>
          <w:p w14:paraId="5F4A0DBF" w14:textId="66F7C466" w:rsidR="000E4C73" w:rsidRPr="00EB4AAD" w:rsidRDefault="000E4C73" w:rsidP="00BB313F">
            <w:pPr>
              <w:spacing w:before="120" w:after="120"/>
              <w:rPr>
                <w:rFonts w:ascii="Cambria" w:hAnsi="Cambria"/>
                <w:noProof/>
                <w:lang w:val="pl-PL"/>
              </w:rPr>
            </w:pPr>
            <w:r w:rsidRPr="006167CF">
              <w:rPr>
                <w:rFonts w:ascii="Cambria" w:hAnsi="Cambria"/>
                <w:i/>
                <w:noProof/>
                <w:lang w:val="sr-Latn-ME"/>
              </w:rPr>
              <w:t>Opis aktivnosti:</w:t>
            </w:r>
            <w:r>
              <w:rPr>
                <w:rFonts w:ascii="Cambria" w:hAnsi="Cambria"/>
                <w:noProof/>
                <w:lang w:val="sr-Latn-ME"/>
              </w:rPr>
              <w:t xml:space="preserve"> </w:t>
            </w:r>
            <w:r w:rsidR="006167CF" w:rsidRPr="006167CF">
              <w:rPr>
                <w:rFonts w:ascii="Cambria" w:hAnsi="Cambria"/>
                <w:noProof/>
                <w:lang w:val="sr-Latn-ME"/>
              </w:rPr>
              <w:t>Kako bi se nesmetano odvijalo stavljanje u promet hemikalija i biocidnih proizvoda, ukoliko su propisani uslovi ispunjeni, neophodno je nastaviti sa sprovođenjem propisanih upravnih postupaka, ukjučujući izdavanje dozvola za obavljanje slobodnog prometa hemikalija, sprovodjenje PIC procedura, upis hemikalija u Registar hemikalija, upis biocida u privremenu listu, odnosno izdavanje dozvola za stavljanje biocida u promet i upotrebu i dr.</w:t>
            </w:r>
          </w:p>
        </w:tc>
      </w:tr>
      <w:tr w:rsidR="00EB4AAD" w:rsidRPr="00EB4AAD" w14:paraId="22D30184"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6F25D43E" w14:textId="77777777" w:rsidR="00EB4AAD" w:rsidRPr="00EB4AAD" w:rsidRDefault="00EB4AAD" w:rsidP="00557C13">
            <w:pPr>
              <w:numPr>
                <w:ilvl w:val="0"/>
                <w:numId w:val="50"/>
              </w:numPr>
              <w:spacing w:before="120" w:after="120"/>
              <w:ind w:left="405" w:hanging="270"/>
              <w:rPr>
                <w:rFonts w:ascii="Cambria" w:hAnsi="Cambria"/>
                <w:noProof/>
                <w:lang w:val="pl-PL"/>
              </w:rPr>
            </w:pPr>
            <w:r w:rsidRPr="00EB4AAD">
              <w:rPr>
                <w:rFonts w:ascii="Cambria" w:hAnsi="Cambria"/>
                <w:noProof/>
                <w:lang w:val="pl-PL"/>
              </w:rPr>
              <w:t>Formiranje komisije  za procjenu biocida na osnovu tehničkog dosijea</w:t>
            </w:r>
          </w:p>
          <w:p w14:paraId="194C3926" w14:textId="77777777" w:rsidR="00EB4AAD" w:rsidRPr="00EB4AAD" w:rsidRDefault="00EB4AAD" w:rsidP="00BE665F">
            <w:pPr>
              <w:spacing w:before="120" w:after="120"/>
              <w:ind w:left="405" w:hanging="270"/>
              <w:rPr>
                <w:rFonts w:ascii="Cambria" w:hAnsi="Cambria"/>
                <w:noProof/>
                <w:lang w:val="pl-PL"/>
              </w:rPr>
            </w:pP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1C392C91"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2021</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586F6E45"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45E644BA"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Odluka o formiranju komisije usvojena</w:t>
            </w:r>
          </w:p>
        </w:tc>
        <w:tc>
          <w:tcPr>
            <w:tcW w:w="4017" w:type="dxa"/>
            <w:tcBorders>
              <w:top w:val="double" w:sz="4" w:space="0" w:color="auto"/>
              <w:left w:val="single" w:sz="4" w:space="0" w:color="auto"/>
              <w:bottom w:val="single" w:sz="4" w:space="0" w:color="auto"/>
            </w:tcBorders>
            <w:shd w:val="clear" w:color="auto" w:fill="auto"/>
            <w:vAlign w:val="center"/>
          </w:tcPr>
          <w:p w14:paraId="2DE7707C"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1A2D9B2C" w14:textId="77777777" w:rsidTr="00A275C9">
        <w:trPr>
          <w:trHeight w:val="176"/>
        </w:trPr>
        <w:tc>
          <w:tcPr>
            <w:tcW w:w="14367" w:type="dxa"/>
            <w:gridSpan w:val="5"/>
            <w:tcBorders>
              <w:top w:val="single" w:sz="4" w:space="0" w:color="auto"/>
              <w:bottom w:val="double" w:sz="4" w:space="0" w:color="auto"/>
            </w:tcBorders>
            <w:shd w:val="clear" w:color="auto" w:fill="auto"/>
          </w:tcPr>
          <w:p w14:paraId="52D395FB" w14:textId="13DF99AF" w:rsidR="000E4C73" w:rsidRPr="00EB4AAD" w:rsidRDefault="000E4C73" w:rsidP="00BB313F">
            <w:pPr>
              <w:spacing w:before="120" w:after="120"/>
              <w:rPr>
                <w:rFonts w:ascii="Cambria" w:hAnsi="Cambria"/>
                <w:noProof/>
                <w:lang w:val="pl-PL"/>
              </w:rPr>
            </w:pPr>
            <w:r w:rsidRPr="006167CF">
              <w:rPr>
                <w:rFonts w:ascii="Cambria" w:hAnsi="Cambria"/>
                <w:i/>
                <w:noProof/>
                <w:lang w:val="sr-Latn-ME"/>
              </w:rPr>
              <w:lastRenderedPageBreak/>
              <w:t>Opis aktivnosti:</w:t>
            </w:r>
            <w:r>
              <w:rPr>
                <w:rFonts w:ascii="Cambria" w:hAnsi="Cambria"/>
                <w:noProof/>
                <w:lang w:val="sr-Latn-ME"/>
              </w:rPr>
              <w:t xml:space="preserve"> </w:t>
            </w:r>
            <w:r w:rsidR="006167CF" w:rsidRPr="006167CF">
              <w:rPr>
                <w:rFonts w:ascii="Cambria" w:hAnsi="Cambria"/>
                <w:noProof/>
                <w:lang w:val="sr-Latn-ME"/>
              </w:rPr>
              <w:t>S obzirom da je  u drugoj fazi postupka za  izdavanje dozvole za biocidne proizvode neophodna pomoć stručnjaka sa multidisciplinarnim znanjima, Zakonom o biocidnim proizvodima predviđeno je formiranje stručne komisije koja se sastoji od sedam članova iz reda stručnjaka iz toksikologije, veterinarske medicine, farmacije, biologije, poljoprivrede, ekologije i humane medicine. Nakon izvršene procjene biocida na osnovu tehničkog dosijea, ova Komisija sačinjava stručno mišljenje za izdavanje dozvole.</w:t>
            </w:r>
          </w:p>
        </w:tc>
      </w:tr>
      <w:tr w:rsidR="00EB4AAD" w:rsidRPr="00EB4AAD" w14:paraId="25E35662" w14:textId="77777777" w:rsidTr="00A275C9">
        <w:trPr>
          <w:trHeight w:val="60"/>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29F03EF7" w14:textId="78E60A27" w:rsidR="00EB4AAD" w:rsidRPr="006167CF" w:rsidRDefault="006167CF" w:rsidP="00557C13">
            <w:pPr>
              <w:numPr>
                <w:ilvl w:val="0"/>
                <w:numId w:val="50"/>
              </w:numPr>
              <w:spacing w:before="120" w:after="120"/>
              <w:ind w:left="405" w:hanging="270"/>
              <w:rPr>
                <w:rFonts w:ascii="Cambria" w:hAnsi="Cambria"/>
                <w:noProof/>
                <w:lang w:val="pl-PL"/>
              </w:rPr>
            </w:pPr>
            <w:r w:rsidRPr="006167CF">
              <w:rPr>
                <w:rFonts w:ascii="Cambria" w:hAnsi="Cambria"/>
                <w:noProof/>
                <w:lang w:val="pl-PL"/>
              </w:rPr>
              <w:t>Sprovođenje inspekcijskog  nadzora nad primjenom propisa o hemikalijama i biocidnim proizvodima</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00AC5E8E"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2019-Kontinuirano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6FB41260"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UIP, UBHVFP</w:t>
            </w:r>
          </w:p>
        </w:tc>
        <w:tc>
          <w:tcPr>
            <w:tcW w:w="2250" w:type="dxa"/>
            <w:tcBorders>
              <w:top w:val="double" w:sz="4" w:space="0" w:color="auto"/>
              <w:left w:val="single" w:sz="4" w:space="0" w:color="auto"/>
              <w:bottom w:val="single" w:sz="4" w:space="0" w:color="auto"/>
              <w:right w:val="single" w:sz="4" w:space="0" w:color="auto"/>
            </w:tcBorders>
          </w:tcPr>
          <w:p w14:paraId="6A31CDD5" w14:textId="25D98CC3" w:rsidR="00EB4AAD" w:rsidRPr="00EB4AAD" w:rsidRDefault="006167CF" w:rsidP="00803D9D">
            <w:pPr>
              <w:spacing w:before="120" w:after="120"/>
              <w:rPr>
                <w:rFonts w:ascii="Cambria" w:hAnsi="Cambria"/>
                <w:noProof/>
                <w:lang w:val="pl-PL"/>
              </w:rPr>
            </w:pPr>
            <w:r>
              <w:rPr>
                <w:rFonts w:ascii="Cambria" w:hAnsi="Cambria"/>
                <w:noProof/>
                <w:lang w:val="pl-PL"/>
              </w:rPr>
              <w:t>Izve</w:t>
            </w:r>
            <w:r>
              <w:rPr>
                <w:rFonts w:ascii="Cambria" w:hAnsi="Cambria"/>
                <w:noProof/>
                <w:lang w:val="sr-Latn-RS"/>
              </w:rPr>
              <w:t>š</w:t>
            </w:r>
            <w:r>
              <w:rPr>
                <w:rFonts w:ascii="Cambria" w:hAnsi="Cambria"/>
                <w:noProof/>
                <w:lang w:val="pl-PL"/>
              </w:rPr>
              <w:t>taji o sprovedenom nadzoru</w:t>
            </w:r>
          </w:p>
        </w:tc>
        <w:tc>
          <w:tcPr>
            <w:tcW w:w="4017" w:type="dxa"/>
            <w:tcBorders>
              <w:top w:val="double" w:sz="4" w:space="0" w:color="auto"/>
              <w:left w:val="single" w:sz="4" w:space="0" w:color="auto"/>
              <w:bottom w:val="single" w:sz="4" w:space="0" w:color="auto"/>
            </w:tcBorders>
            <w:shd w:val="clear" w:color="auto" w:fill="auto"/>
            <w:vAlign w:val="center"/>
          </w:tcPr>
          <w:p w14:paraId="38E78B9A" w14:textId="45626486" w:rsidR="00EB4AAD" w:rsidRPr="00EB4AAD" w:rsidRDefault="006167CF" w:rsidP="00803D9D">
            <w:pPr>
              <w:spacing w:before="120" w:after="120"/>
              <w:rPr>
                <w:rFonts w:ascii="Cambria" w:hAnsi="Cambria"/>
                <w:noProof/>
                <w:lang w:val="pl-PL"/>
              </w:rPr>
            </w:pPr>
            <w:r w:rsidRPr="006167CF">
              <w:rPr>
                <w:rFonts w:ascii="Cambria" w:hAnsi="Cambria"/>
                <w:noProof/>
                <w:lang w:val="pl-PL"/>
              </w:rPr>
              <w:t xml:space="preserve">Aktivnost pokrivena  iz budžeta     </w:t>
            </w:r>
          </w:p>
        </w:tc>
      </w:tr>
      <w:tr w:rsidR="000E4C73" w:rsidRPr="00EB4AAD" w14:paraId="2EE4B6FE" w14:textId="77777777" w:rsidTr="00A275C9">
        <w:trPr>
          <w:trHeight w:val="176"/>
        </w:trPr>
        <w:tc>
          <w:tcPr>
            <w:tcW w:w="14367" w:type="dxa"/>
            <w:gridSpan w:val="5"/>
            <w:tcBorders>
              <w:top w:val="single" w:sz="4" w:space="0" w:color="auto"/>
              <w:bottom w:val="double" w:sz="4" w:space="0" w:color="auto"/>
            </w:tcBorders>
            <w:shd w:val="clear" w:color="auto" w:fill="auto"/>
          </w:tcPr>
          <w:p w14:paraId="62A6AA6B" w14:textId="37DCFBB5" w:rsidR="000E4C73" w:rsidRPr="00EB4AAD" w:rsidRDefault="000E4C73" w:rsidP="006167CF">
            <w:pPr>
              <w:spacing w:before="120" w:after="120"/>
              <w:rPr>
                <w:rFonts w:ascii="Cambria" w:hAnsi="Cambria"/>
                <w:noProof/>
                <w:lang w:val="pl-PL"/>
              </w:rPr>
            </w:pPr>
            <w:r w:rsidRPr="006167CF">
              <w:rPr>
                <w:rFonts w:ascii="Cambria" w:hAnsi="Cambria"/>
                <w:i/>
                <w:noProof/>
                <w:lang w:val="sr-Latn-ME"/>
              </w:rPr>
              <w:t>Opis aktivnosti:</w:t>
            </w:r>
            <w:r>
              <w:rPr>
                <w:rFonts w:ascii="Cambria" w:hAnsi="Cambria"/>
                <w:noProof/>
                <w:lang w:val="sr-Latn-ME"/>
              </w:rPr>
              <w:t xml:space="preserve"> </w:t>
            </w:r>
            <w:r w:rsidR="006167CF" w:rsidRPr="006167CF">
              <w:rPr>
                <w:rFonts w:ascii="Cambria" w:hAnsi="Cambria"/>
                <w:noProof/>
                <w:lang w:val="sr-Latn-ME"/>
              </w:rPr>
              <w:t>U pogledu inspekcijske nadzora u ovoj oblasti treba nastaviti sa sprovođenjem kontrola prema postojećoj podjeli nadležnosti na više inspekcija, uz kontinuiranu razmjenu saznanja i iskustava u nadzora nad primjenom propisa o hemikalijama i biocidnim proizvodima, a s obzirom na  skladu s unakrsnu prirodu propis</w:t>
            </w:r>
            <w:r w:rsidR="006167CF" w:rsidRPr="00F76D3D">
              <w:rPr>
                <w:rFonts w:ascii="Cambria" w:hAnsi="Cambria"/>
                <w:noProof/>
                <w:lang w:val="sr-Latn-ME"/>
              </w:rPr>
              <w:t>a</w:t>
            </w:r>
            <w:r w:rsidR="00F76D3D" w:rsidRPr="00F76D3D">
              <w:rPr>
                <w:rFonts w:ascii="Cambria" w:hAnsi="Cambria"/>
                <w:noProof/>
                <w:lang w:val="sr-Latn-ME"/>
              </w:rPr>
              <w:t>.</w:t>
            </w:r>
            <w:r w:rsidR="006167CF" w:rsidRPr="00F76D3D">
              <w:rPr>
                <w:rFonts w:ascii="Cambria" w:hAnsi="Cambria"/>
                <w:noProof/>
                <w:lang w:val="sr-Latn-ME"/>
              </w:rPr>
              <w:t xml:space="preserve"> </w:t>
            </w:r>
          </w:p>
        </w:tc>
      </w:tr>
      <w:tr w:rsidR="00EB4AAD" w:rsidRPr="00EB4AAD" w14:paraId="26F01B84"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5A3C6148" w14:textId="77777777" w:rsidR="00EB4AAD" w:rsidRPr="00EB4AAD" w:rsidRDefault="00EB4AAD" w:rsidP="00557C13">
            <w:pPr>
              <w:numPr>
                <w:ilvl w:val="0"/>
                <w:numId w:val="50"/>
              </w:numPr>
              <w:spacing w:before="120" w:after="120"/>
              <w:ind w:left="405" w:hanging="270"/>
              <w:rPr>
                <w:rFonts w:ascii="Cambria" w:hAnsi="Cambria"/>
                <w:noProof/>
                <w:lang w:val="pl-PL"/>
              </w:rPr>
            </w:pPr>
            <w:r w:rsidRPr="00EB4AAD">
              <w:rPr>
                <w:rFonts w:ascii="Cambria" w:hAnsi="Cambria"/>
                <w:noProof/>
                <w:lang w:val="pl-PL"/>
              </w:rPr>
              <w:t>Sprovođenje propisa o sredstvima za zaštitu bilja i  dalje unapređenje održive upotrebe sredstava za zaštitu bilja</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596CF8AC"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448CBF71"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UBHVFP, MPRR</w:t>
            </w:r>
          </w:p>
        </w:tc>
        <w:tc>
          <w:tcPr>
            <w:tcW w:w="2250" w:type="dxa"/>
            <w:tcBorders>
              <w:top w:val="double" w:sz="4" w:space="0" w:color="auto"/>
              <w:left w:val="single" w:sz="4" w:space="0" w:color="auto"/>
              <w:bottom w:val="single" w:sz="4" w:space="0" w:color="auto"/>
              <w:right w:val="single" w:sz="4" w:space="0" w:color="auto"/>
            </w:tcBorders>
          </w:tcPr>
          <w:p w14:paraId="66992D89" w14:textId="77777777" w:rsidR="00EB4AAD" w:rsidRPr="00EB4AAD" w:rsidRDefault="000C6C88" w:rsidP="00557C13">
            <w:pPr>
              <w:numPr>
                <w:ilvl w:val="0"/>
                <w:numId w:val="43"/>
              </w:numPr>
              <w:spacing w:before="120" w:after="120"/>
              <w:ind w:left="226" w:hanging="270"/>
              <w:rPr>
                <w:rFonts w:ascii="Cambria" w:hAnsi="Cambria"/>
                <w:noProof/>
                <w:lang w:val="pl-PL"/>
              </w:rPr>
            </w:pPr>
            <w:r w:rsidRPr="00EB4AAD">
              <w:rPr>
                <w:rFonts w:ascii="Cambria" w:hAnsi="Cambria"/>
                <w:noProof/>
                <w:lang w:val="pl-PL"/>
              </w:rPr>
              <w:t>Broj izdatih akata u upravnim postupcima</w:t>
            </w:r>
          </w:p>
          <w:p w14:paraId="1D74D8A8" w14:textId="77777777" w:rsidR="002252F3" w:rsidRPr="00EB4AAD" w:rsidRDefault="007D1232" w:rsidP="00557C13">
            <w:pPr>
              <w:numPr>
                <w:ilvl w:val="0"/>
                <w:numId w:val="43"/>
              </w:numPr>
              <w:spacing w:before="120" w:after="120"/>
              <w:ind w:left="226" w:hanging="270"/>
              <w:rPr>
                <w:rFonts w:ascii="Cambria" w:hAnsi="Cambria"/>
                <w:noProof/>
                <w:lang w:val="pl-PL"/>
              </w:rPr>
            </w:pPr>
            <w:r>
              <w:rPr>
                <w:rFonts w:ascii="Cambria" w:hAnsi="Cambria"/>
                <w:noProof/>
                <w:lang w:val="pl-PL"/>
              </w:rPr>
              <w:t>B</w:t>
            </w:r>
            <w:r w:rsidR="00847C3D">
              <w:rPr>
                <w:rFonts w:ascii="Cambria" w:hAnsi="Cambria"/>
                <w:noProof/>
                <w:lang w:val="pl-PL"/>
              </w:rPr>
              <w:t>roj održanih</w:t>
            </w:r>
            <w:r w:rsidR="00EB4AAD" w:rsidRPr="00EB4AAD">
              <w:rPr>
                <w:rFonts w:ascii="Cambria" w:hAnsi="Cambria"/>
                <w:noProof/>
                <w:lang w:val="pl-PL"/>
              </w:rPr>
              <w:t xml:space="preserve"> seminar</w:t>
            </w:r>
            <w:r w:rsidR="00847C3D">
              <w:rPr>
                <w:rFonts w:ascii="Cambria" w:hAnsi="Cambria"/>
                <w:noProof/>
                <w:lang w:val="pl-PL"/>
              </w:rPr>
              <w:t>a</w:t>
            </w:r>
            <w:r w:rsidR="00EB4AAD" w:rsidRPr="00EB4AAD">
              <w:rPr>
                <w:rFonts w:ascii="Cambria" w:hAnsi="Cambria"/>
                <w:noProof/>
                <w:lang w:val="pl-PL"/>
              </w:rPr>
              <w:t xml:space="preserve"> </w:t>
            </w:r>
          </w:p>
        </w:tc>
        <w:tc>
          <w:tcPr>
            <w:tcW w:w="4017" w:type="dxa"/>
            <w:tcBorders>
              <w:top w:val="double" w:sz="4" w:space="0" w:color="auto"/>
              <w:left w:val="single" w:sz="4" w:space="0" w:color="auto"/>
              <w:bottom w:val="single" w:sz="4" w:space="0" w:color="auto"/>
            </w:tcBorders>
            <w:shd w:val="clear" w:color="auto" w:fill="auto"/>
          </w:tcPr>
          <w:p w14:paraId="26A8707C"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3A514752" w14:textId="77777777" w:rsidTr="00A275C9">
        <w:trPr>
          <w:trHeight w:val="176"/>
        </w:trPr>
        <w:tc>
          <w:tcPr>
            <w:tcW w:w="14367" w:type="dxa"/>
            <w:gridSpan w:val="5"/>
            <w:tcBorders>
              <w:top w:val="single" w:sz="4" w:space="0" w:color="auto"/>
              <w:bottom w:val="double" w:sz="4" w:space="0" w:color="auto"/>
            </w:tcBorders>
            <w:shd w:val="clear" w:color="auto" w:fill="auto"/>
          </w:tcPr>
          <w:p w14:paraId="501114A1" w14:textId="2CB4F5A5" w:rsidR="000E4C73" w:rsidRPr="00EB4AAD" w:rsidRDefault="000E4C73" w:rsidP="00BB313F">
            <w:pPr>
              <w:spacing w:before="120" w:after="120"/>
              <w:rPr>
                <w:rFonts w:ascii="Cambria" w:hAnsi="Cambria"/>
                <w:noProof/>
                <w:lang w:val="pl-PL"/>
              </w:rPr>
            </w:pPr>
            <w:r w:rsidRPr="0004011E">
              <w:rPr>
                <w:rFonts w:ascii="Cambria" w:hAnsi="Cambria"/>
                <w:i/>
                <w:noProof/>
                <w:lang w:val="sr-Latn-ME"/>
              </w:rPr>
              <w:t>Opis aktivnosti:</w:t>
            </w:r>
            <w:r>
              <w:rPr>
                <w:rFonts w:ascii="Cambria" w:hAnsi="Cambria"/>
                <w:noProof/>
                <w:lang w:val="sr-Latn-ME"/>
              </w:rPr>
              <w:t xml:space="preserve"> </w:t>
            </w:r>
            <w:r w:rsidR="0004011E" w:rsidRPr="0004011E">
              <w:rPr>
                <w:rFonts w:ascii="Cambria" w:hAnsi="Cambria"/>
                <w:noProof/>
                <w:lang w:val="sr-Latn-ME"/>
              </w:rPr>
              <w:t>Sistem upravljanja sredstvima za zaštitu bilja usklađen sa relevantnim propisima EU je uspostavljen i funkcionalan. Otpočelo se sa pripremom sprovođenja procesa registracije sredstava za zaštitu bilja po principu priznavanja registracija iz EU.  Veliki napredak je učinjen u pogledu uvođenja principa održive upotrebe sredstava za zaštitu bilja. Ipak, treba nastaviti sa relevantnim aktivnostima kako bi se sistem održavao i dalje razvijao.</w:t>
            </w:r>
          </w:p>
        </w:tc>
      </w:tr>
      <w:tr w:rsidR="00EB4AAD" w:rsidRPr="00EB4AAD" w14:paraId="3FEC3D5C"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645C61F4" w14:textId="77777777" w:rsidR="002252F3" w:rsidRPr="00EB4AAD" w:rsidRDefault="000C6C88" w:rsidP="00557C13">
            <w:pPr>
              <w:numPr>
                <w:ilvl w:val="0"/>
                <w:numId w:val="50"/>
              </w:numPr>
              <w:tabs>
                <w:tab w:val="left" w:pos="1533"/>
              </w:tabs>
              <w:spacing w:before="120" w:after="120"/>
              <w:ind w:left="405" w:hanging="270"/>
              <w:rPr>
                <w:rFonts w:ascii="Cambria" w:hAnsi="Cambria"/>
                <w:noProof/>
                <w:lang w:val="pl-PL"/>
              </w:rPr>
            </w:pPr>
            <w:r w:rsidRPr="00EB4AAD">
              <w:rPr>
                <w:rFonts w:ascii="Cambria" w:hAnsi="Cambria"/>
                <w:noProof/>
                <w:lang w:val="pl-PL"/>
              </w:rPr>
              <w:t xml:space="preserve">Redovno izještavanje o upravljanju hemikalijama </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4726C706"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35AE14E9"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AZPŽS, MORT</w:t>
            </w:r>
          </w:p>
        </w:tc>
        <w:tc>
          <w:tcPr>
            <w:tcW w:w="2250" w:type="dxa"/>
            <w:tcBorders>
              <w:top w:val="double" w:sz="4" w:space="0" w:color="auto"/>
              <w:left w:val="single" w:sz="4" w:space="0" w:color="auto"/>
              <w:bottom w:val="single" w:sz="4" w:space="0" w:color="auto"/>
              <w:right w:val="single" w:sz="4" w:space="0" w:color="auto"/>
            </w:tcBorders>
          </w:tcPr>
          <w:p w14:paraId="7264FF6A" w14:textId="77777777" w:rsidR="00EB4AAD" w:rsidRPr="00EB4AAD" w:rsidRDefault="00EB4AAD" w:rsidP="00557C13">
            <w:pPr>
              <w:numPr>
                <w:ilvl w:val="0"/>
                <w:numId w:val="43"/>
              </w:numPr>
              <w:spacing w:before="120" w:after="120"/>
              <w:ind w:left="226" w:hanging="270"/>
              <w:rPr>
                <w:rFonts w:ascii="Cambria" w:hAnsi="Cambria"/>
                <w:noProof/>
                <w:lang w:val="pl-PL"/>
              </w:rPr>
            </w:pPr>
            <w:r w:rsidRPr="00EB4AAD">
              <w:rPr>
                <w:rFonts w:ascii="Cambria" w:hAnsi="Cambria"/>
                <w:noProof/>
                <w:lang w:val="pl-PL"/>
              </w:rPr>
              <w:t>Godišni izvještaj o upravljanju hemikalijama</w:t>
            </w:r>
          </w:p>
          <w:p w14:paraId="27A77E5E" w14:textId="77777777" w:rsidR="00EB4AAD" w:rsidRPr="00EB4AAD" w:rsidRDefault="00EB4AAD" w:rsidP="00557C13">
            <w:pPr>
              <w:numPr>
                <w:ilvl w:val="0"/>
                <w:numId w:val="43"/>
              </w:numPr>
              <w:spacing w:before="120" w:after="120"/>
              <w:ind w:left="226" w:hanging="270"/>
              <w:rPr>
                <w:rFonts w:ascii="Cambria" w:hAnsi="Cambria"/>
                <w:noProof/>
                <w:lang w:val="pl-PL"/>
              </w:rPr>
            </w:pPr>
            <w:r w:rsidRPr="00EB4AAD">
              <w:rPr>
                <w:rFonts w:ascii="Cambria" w:hAnsi="Cambria"/>
                <w:noProof/>
                <w:lang w:val="pl-PL"/>
              </w:rPr>
              <w:t>Godišni izvještaj o sprovođenju strategije</w:t>
            </w:r>
          </w:p>
        </w:tc>
        <w:tc>
          <w:tcPr>
            <w:tcW w:w="4017" w:type="dxa"/>
            <w:tcBorders>
              <w:top w:val="double" w:sz="4" w:space="0" w:color="auto"/>
              <w:left w:val="single" w:sz="4" w:space="0" w:color="auto"/>
              <w:bottom w:val="single" w:sz="4" w:space="0" w:color="auto"/>
            </w:tcBorders>
            <w:shd w:val="clear" w:color="auto" w:fill="auto"/>
          </w:tcPr>
          <w:p w14:paraId="5FA7B589"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73C29C00" w14:textId="77777777" w:rsidTr="00A275C9">
        <w:trPr>
          <w:trHeight w:val="176"/>
        </w:trPr>
        <w:tc>
          <w:tcPr>
            <w:tcW w:w="14367" w:type="dxa"/>
            <w:gridSpan w:val="5"/>
            <w:tcBorders>
              <w:top w:val="single" w:sz="4" w:space="0" w:color="auto"/>
              <w:bottom w:val="double" w:sz="4" w:space="0" w:color="auto"/>
            </w:tcBorders>
            <w:shd w:val="clear" w:color="auto" w:fill="auto"/>
          </w:tcPr>
          <w:p w14:paraId="5B29F5AC" w14:textId="533DD1F7" w:rsidR="000E4C73" w:rsidRPr="00EB4AAD" w:rsidRDefault="000E4C73" w:rsidP="00BB313F">
            <w:pPr>
              <w:spacing w:before="120" w:after="120"/>
              <w:rPr>
                <w:rFonts w:ascii="Cambria" w:hAnsi="Cambria"/>
                <w:noProof/>
                <w:lang w:val="pl-PL"/>
              </w:rPr>
            </w:pPr>
            <w:r w:rsidRPr="0004011E">
              <w:rPr>
                <w:rFonts w:ascii="Cambria" w:hAnsi="Cambria"/>
                <w:i/>
                <w:noProof/>
                <w:lang w:val="sr-Latn-ME"/>
              </w:rPr>
              <w:lastRenderedPageBreak/>
              <w:t>Opis aktivnosti:</w:t>
            </w:r>
            <w:r>
              <w:rPr>
                <w:rFonts w:ascii="Cambria" w:hAnsi="Cambria"/>
                <w:noProof/>
                <w:lang w:val="sr-Latn-ME"/>
              </w:rPr>
              <w:t xml:space="preserve"> </w:t>
            </w:r>
            <w:r w:rsidR="0004011E" w:rsidRPr="0004011E">
              <w:rPr>
                <w:rFonts w:ascii="Cambria" w:hAnsi="Cambria"/>
                <w:noProof/>
                <w:lang w:val="sr-Latn-ME"/>
              </w:rPr>
              <w:t>Shodno Zakonu o hemikalijama Agencija vrši praćenje upotrebe i stavljanja na tržište hemikalija i na osnovu praćenja hemikalija sačinjava izvještaj o upravljanju hemikalijama koji  dostavlja Ministarstvu, najkasnije do 31. marta tekuće za prethodnu godinu. Podaci iz ovog izvještaja su sastavni dio izvještaja o stanju životne sredine. Takođe, potrebno je redovno izještavanje o realizaciji strategijskih dokumenata.</w:t>
            </w:r>
          </w:p>
        </w:tc>
      </w:tr>
      <w:tr w:rsidR="00EB4AAD" w:rsidRPr="00EB4AAD" w14:paraId="025E9054" w14:textId="77777777" w:rsidTr="00A275C9">
        <w:tc>
          <w:tcPr>
            <w:tcW w:w="14367" w:type="dxa"/>
            <w:gridSpan w:val="5"/>
            <w:tcBorders>
              <w:top w:val="double" w:sz="4" w:space="0" w:color="auto"/>
              <w:bottom w:val="double" w:sz="4" w:space="0" w:color="auto"/>
            </w:tcBorders>
            <w:shd w:val="clear" w:color="auto" w:fill="D9D9D9" w:themeFill="background1" w:themeFillShade="D9"/>
          </w:tcPr>
          <w:p w14:paraId="64FABE2C" w14:textId="77777777" w:rsidR="00EB4AAD" w:rsidRPr="00EB4AAD" w:rsidRDefault="00EB4AAD" w:rsidP="00803D9D">
            <w:pPr>
              <w:spacing w:before="120" w:after="120"/>
              <w:rPr>
                <w:rFonts w:ascii="Cambria" w:hAnsi="Cambria"/>
                <w:b/>
                <w:noProof/>
                <w:lang w:val="sr-Latn-ME"/>
              </w:rPr>
            </w:pPr>
            <w:r w:rsidRPr="00EB4AAD">
              <w:rPr>
                <w:rFonts w:ascii="Cambria" w:hAnsi="Cambria"/>
                <w:b/>
                <w:noProof/>
                <w:lang w:val="sr-Latn-ME"/>
              </w:rPr>
              <w:t xml:space="preserve">CILJ 3. Jačanje administrativnih kapaciteta za efikasno vršenje nadležnosti u oblasti hemikalija i biocidnih proizvoda </w:t>
            </w:r>
          </w:p>
        </w:tc>
      </w:tr>
      <w:tr w:rsidR="00EB4AAD" w:rsidRPr="00EB4AAD" w14:paraId="596DFB54"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00D3A10A" w14:textId="77777777" w:rsidR="00EB4AAD" w:rsidRPr="00EB4AAD" w:rsidRDefault="00EB4AAD" w:rsidP="00557C13">
            <w:pPr>
              <w:numPr>
                <w:ilvl w:val="0"/>
                <w:numId w:val="44"/>
              </w:numPr>
              <w:spacing w:before="120" w:after="120"/>
              <w:ind w:left="405" w:hanging="270"/>
              <w:rPr>
                <w:rFonts w:ascii="Cambria" w:hAnsi="Cambria"/>
                <w:noProof/>
                <w:lang w:val="pl-PL"/>
              </w:rPr>
            </w:pPr>
            <w:r w:rsidRPr="00EB4AAD">
              <w:rPr>
                <w:rFonts w:ascii="Cambria" w:hAnsi="Cambria"/>
                <w:noProof/>
                <w:lang w:val="pl-PL"/>
              </w:rPr>
              <w:t>Jačanje administrativnih kapaciteta za sprovođenje pravne tekovine EU</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51D5AACA"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0D05F407" w14:textId="762DCF9E" w:rsidR="00EB4AAD" w:rsidRPr="00EB4AAD" w:rsidRDefault="00EB4AAD" w:rsidP="00803D9D">
            <w:pPr>
              <w:spacing w:before="120" w:after="120"/>
              <w:rPr>
                <w:rFonts w:ascii="Cambria" w:hAnsi="Cambria"/>
                <w:noProof/>
                <w:lang w:val="pl-PL"/>
              </w:rPr>
            </w:pPr>
            <w:r w:rsidRPr="00EB4AAD">
              <w:rPr>
                <w:rFonts w:ascii="Cambria" w:hAnsi="Cambria"/>
                <w:noProof/>
                <w:lang w:val="pl-PL"/>
              </w:rPr>
              <w:t>MORT, APZŽS</w:t>
            </w:r>
          </w:p>
        </w:tc>
        <w:tc>
          <w:tcPr>
            <w:tcW w:w="2250" w:type="dxa"/>
            <w:tcBorders>
              <w:top w:val="double" w:sz="4" w:space="0" w:color="auto"/>
              <w:left w:val="single" w:sz="4" w:space="0" w:color="auto"/>
              <w:bottom w:val="single" w:sz="4" w:space="0" w:color="auto"/>
              <w:right w:val="single" w:sz="4" w:space="0" w:color="auto"/>
            </w:tcBorders>
          </w:tcPr>
          <w:p w14:paraId="386F5F73" w14:textId="77777777" w:rsidR="006C35D5" w:rsidRDefault="00EB4AAD" w:rsidP="006C35D5">
            <w:pPr>
              <w:spacing w:before="120" w:after="120"/>
              <w:rPr>
                <w:rFonts w:ascii="Cambria" w:hAnsi="Cambria"/>
                <w:noProof/>
                <w:lang w:val="pl-PL"/>
              </w:rPr>
            </w:pPr>
            <w:r w:rsidRPr="00EB4AAD">
              <w:rPr>
                <w:rFonts w:ascii="Cambria" w:hAnsi="Cambria"/>
                <w:noProof/>
              </w:rPr>
              <w:t xml:space="preserve">Povećanje broja </w:t>
            </w:r>
            <w:r w:rsidRPr="00EB4AAD">
              <w:rPr>
                <w:rFonts w:ascii="Cambria" w:hAnsi="Cambria"/>
                <w:noProof/>
                <w:lang w:val="pl-PL"/>
              </w:rPr>
              <w:t>zaposlenih</w:t>
            </w:r>
          </w:p>
          <w:p w14:paraId="23AD8D61" w14:textId="77777777" w:rsidR="002252F3" w:rsidRPr="006C35D5" w:rsidRDefault="00EB4AAD" w:rsidP="006C35D5">
            <w:pPr>
              <w:spacing w:before="120" w:after="120"/>
              <w:rPr>
                <w:rFonts w:ascii="Cambria" w:hAnsi="Cambria"/>
                <w:noProof/>
                <w:lang w:val="pl-PL"/>
              </w:rPr>
            </w:pPr>
            <w:r w:rsidRPr="00EB4AAD">
              <w:rPr>
                <w:rFonts w:ascii="Cambria" w:hAnsi="Cambria"/>
                <w:noProof/>
              </w:rPr>
              <w:t xml:space="preserve">(MORT-sa 1 na 4, AZPŽS-sa </w:t>
            </w:r>
            <w:r w:rsidR="00847C3D">
              <w:rPr>
                <w:rFonts w:ascii="Cambria" w:hAnsi="Cambria"/>
                <w:noProof/>
              </w:rPr>
              <w:t>3</w:t>
            </w:r>
            <w:r w:rsidRPr="00EB4AAD">
              <w:rPr>
                <w:rFonts w:ascii="Cambria" w:hAnsi="Cambria"/>
                <w:noProof/>
              </w:rPr>
              <w:t xml:space="preserve"> na 8</w:t>
            </w:r>
            <w:r w:rsidR="00166042">
              <w:rPr>
                <w:rFonts w:ascii="Cambria" w:hAnsi="Cambria"/>
                <w:noProof/>
              </w:rPr>
              <w:t>)</w:t>
            </w:r>
          </w:p>
        </w:tc>
        <w:tc>
          <w:tcPr>
            <w:tcW w:w="4017" w:type="dxa"/>
            <w:tcBorders>
              <w:top w:val="double" w:sz="4" w:space="0" w:color="auto"/>
              <w:left w:val="single" w:sz="4" w:space="0" w:color="auto"/>
              <w:bottom w:val="single" w:sz="4" w:space="0" w:color="auto"/>
            </w:tcBorders>
            <w:shd w:val="clear" w:color="auto" w:fill="auto"/>
          </w:tcPr>
          <w:p w14:paraId="54158A78"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74E6C5C0" w14:textId="77777777" w:rsidTr="00A275C9">
        <w:trPr>
          <w:trHeight w:val="176"/>
        </w:trPr>
        <w:tc>
          <w:tcPr>
            <w:tcW w:w="14367" w:type="dxa"/>
            <w:gridSpan w:val="5"/>
            <w:tcBorders>
              <w:top w:val="single" w:sz="4" w:space="0" w:color="auto"/>
              <w:bottom w:val="double" w:sz="4" w:space="0" w:color="auto"/>
            </w:tcBorders>
            <w:shd w:val="clear" w:color="auto" w:fill="auto"/>
          </w:tcPr>
          <w:p w14:paraId="1F5E04B1" w14:textId="5AE6A55D" w:rsidR="000E4C73" w:rsidRPr="00EB4AAD" w:rsidRDefault="000E4C73" w:rsidP="00BB313F">
            <w:pPr>
              <w:spacing w:before="120" w:after="120"/>
              <w:rPr>
                <w:rFonts w:ascii="Cambria" w:hAnsi="Cambria"/>
                <w:noProof/>
                <w:lang w:val="pl-PL"/>
              </w:rPr>
            </w:pPr>
            <w:r w:rsidRPr="0004011E">
              <w:rPr>
                <w:rFonts w:ascii="Cambria" w:hAnsi="Cambria"/>
                <w:i/>
                <w:noProof/>
                <w:lang w:val="sr-Latn-ME"/>
              </w:rPr>
              <w:t>Opis aktivnosti:</w:t>
            </w:r>
            <w:r>
              <w:rPr>
                <w:rFonts w:ascii="Cambria" w:hAnsi="Cambria"/>
                <w:noProof/>
                <w:lang w:val="sr-Latn-ME"/>
              </w:rPr>
              <w:t xml:space="preserve"> </w:t>
            </w:r>
            <w:r w:rsidR="0004011E" w:rsidRPr="0004011E">
              <w:rPr>
                <w:rFonts w:ascii="Cambria" w:hAnsi="Cambria"/>
                <w:noProof/>
                <w:lang w:val="sr-Latn-ME"/>
              </w:rPr>
              <w:t>Biće neophodni veliki napori u pogledu jačanja administrativnih kapaciteta, kako u pogledu brojnosti osoblja, tako i u pogledu potrebnih stručnih znanja za sprovođenje pravne tekovine na ovom polju. Naime, Ministarstvo održivog razvoja i turizma i Agencija za zaštitu prirode i životne sredine moraju da na poslovima u vezi upravljanja hemikalijama angažuju dovoljno osoblja s odgovarajućim tehničkim znanjem, obukom i opremom kako bi postojao kapacitet za obezbjeđivanje djelotvornog sprovođenja pravne tekovine. Iz tog razloga potrebno je obezbijediti adekvatan administrativni kadar i usmjeriti resurse na uspostavljanje mreže stručnjaka u ovoj oblasti koji bi kasnije kroz dodatne obuke nadogradili znanja. To se posebno odnosi na kapacitete za procjenu rizika koji zahtijevaju značajno jačanje i veoma specifična stručna znanja. Primjera radi, u pogledu obaveza iz REACH Uredbe, Crna Gora još uvijek nema sopstvene kapacitete za evaluaciju supstanci kao ni za izradu i dostavljanje dosijea za identifikaciju supstanci koje izazivaju visoku zabrinutost. Takođe, u pogledu obaveza iz BPR uredbe, nedostaju kapaciteti za procjenu biocidnog proizvoda na osnovu tehničkog dosijea, kao i kapaciteti za procjenu aktivnih supstanci koje zemlje članice treba da obezbijede. S tim u vezi, poželjno je da se odnos između nadležnih organa i externih stručnjaka/institucija formalizuje sporazumom ili ugovorom kojim bi se definisala prava i obaveze u pogledu pružanja stručne pomoći u vezi sa procjenom rizika.</w:t>
            </w:r>
          </w:p>
        </w:tc>
      </w:tr>
      <w:tr w:rsidR="00EB4AAD" w:rsidRPr="00EB4AAD" w14:paraId="26D4F9A1"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6B4FA845" w14:textId="77777777" w:rsidR="00EB4AAD" w:rsidRPr="00EB4AAD" w:rsidRDefault="00EB4AAD" w:rsidP="00557C13">
            <w:pPr>
              <w:numPr>
                <w:ilvl w:val="0"/>
                <w:numId w:val="44"/>
              </w:numPr>
              <w:spacing w:before="120" w:after="120"/>
              <w:ind w:left="405" w:hanging="270"/>
              <w:rPr>
                <w:rFonts w:ascii="Cambria" w:hAnsi="Cambria"/>
                <w:noProof/>
                <w:lang w:val="pl-PL"/>
              </w:rPr>
            </w:pPr>
            <w:r w:rsidRPr="00EB4AAD">
              <w:rPr>
                <w:rFonts w:ascii="Cambria" w:hAnsi="Cambria"/>
                <w:noProof/>
                <w:lang w:val="pl-PL"/>
              </w:rPr>
              <w:t>Izgradnja kapaciteta za učešće u radu tijela ECHA</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69F74857" w14:textId="77777777" w:rsidR="00EB4AAD" w:rsidRPr="00EB4AAD" w:rsidRDefault="00D81A2B" w:rsidP="00803D9D">
            <w:pPr>
              <w:spacing w:before="120" w:after="120"/>
              <w:rPr>
                <w:rFonts w:ascii="Cambria" w:hAnsi="Cambria"/>
                <w:noProof/>
                <w:lang w:val="pl-PL"/>
              </w:rPr>
            </w:pPr>
            <w:r>
              <w:rPr>
                <w:rFonts w:ascii="Cambria" w:hAnsi="Cambria"/>
                <w:noProof/>
                <w:lang w:val="pl-PL"/>
              </w:rPr>
              <w:t>2020-</w:t>
            </w:r>
            <w:r w:rsidR="00EB4AAD"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4E9F1363" w14:textId="0EB0C330" w:rsidR="00EB4AAD" w:rsidRPr="00EB4AAD" w:rsidRDefault="00EB4AAD" w:rsidP="00803D9D">
            <w:pPr>
              <w:spacing w:before="120" w:after="120"/>
              <w:rPr>
                <w:rFonts w:ascii="Cambria" w:hAnsi="Cambria"/>
                <w:noProof/>
                <w:lang w:val="pl-PL"/>
              </w:rPr>
            </w:pPr>
            <w:r w:rsidRPr="00EB4AAD">
              <w:rPr>
                <w:rFonts w:ascii="Cambria" w:hAnsi="Cambria"/>
                <w:noProof/>
                <w:lang w:val="pl-PL"/>
              </w:rPr>
              <w:t>MORT, AZPŽS</w:t>
            </w:r>
          </w:p>
        </w:tc>
        <w:tc>
          <w:tcPr>
            <w:tcW w:w="2250" w:type="dxa"/>
            <w:tcBorders>
              <w:top w:val="double" w:sz="4" w:space="0" w:color="auto"/>
              <w:left w:val="single" w:sz="4" w:space="0" w:color="auto"/>
              <w:bottom w:val="single" w:sz="4" w:space="0" w:color="auto"/>
              <w:right w:val="single" w:sz="4" w:space="0" w:color="auto"/>
            </w:tcBorders>
          </w:tcPr>
          <w:p w14:paraId="47B79861" w14:textId="56778A99" w:rsidR="00EB4AAD" w:rsidRPr="00EB4AAD" w:rsidRDefault="00EB4AAD" w:rsidP="00803D9D">
            <w:pPr>
              <w:spacing w:before="120" w:after="120"/>
              <w:rPr>
                <w:rFonts w:ascii="Cambria" w:hAnsi="Cambria"/>
                <w:noProof/>
                <w:lang w:val="pl-PL"/>
              </w:rPr>
            </w:pPr>
            <w:r w:rsidRPr="00EB4AAD">
              <w:rPr>
                <w:rFonts w:ascii="Cambria" w:hAnsi="Cambria"/>
                <w:noProof/>
                <w:lang w:val="sr-Latn-ME"/>
              </w:rPr>
              <w:t xml:space="preserve">Učešće </w:t>
            </w:r>
            <w:r w:rsidR="006C35D5">
              <w:rPr>
                <w:rFonts w:ascii="Cambria" w:hAnsi="Cambria"/>
                <w:noProof/>
                <w:lang w:val="sr-Latn-ME"/>
              </w:rPr>
              <w:t xml:space="preserve"> </w:t>
            </w:r>
            <w:r w:rsidR="00F76D3D">
              <w:rPr>
                <w:rFonts w:ascii="Cambria" w:hAnsi="Cambria"/>
                <w:noProof/>
                <w:lang w:val="sr-Latn-ME"/>
              </w:rPr>
              <w:t xml:space="preserve">2 </w:t>
            </w:r>
            <w:r w:rsidRPr="00EB4AAD">
              <w:rPr>
                <w:rFonts w:ascii="Cambria" w:hAnsi="Cambria"/>
                <w:noProof/>
                <w:lang w:val="sr-Latn-ME"/>
              </w:rPr>
              <w:t>predstavnika CG na sastancima CARACAL</w:t>
            </w:r>
            <w:r w:rsidR="00FE0380">
              <w:rPr>
                <w:rFonts w:ascii="Cambria" w:hAnsi="Cambria"/>
                <w:noProof/>
                <w:lang w:val="sr-Latn-ME"/>
              </w:rPr>
              <w:t xml:space="preserve"> i</w:t>
            </w:r>
            <w:r w:rsidRPr="00EB4AAD">
              <w:rPr>
                <w:rFonts w:ascii="Cambria" w:hAnsi="Cambria"/>
                <w:noProof/>
                <w:lang w:val="sr-Latn-ME"/>
              </w:rPr>
              <w:t xml:space="preserve"> Help Net u svojstvu posmatrača</w:t>
            </w:r>
          </w:p>
        </w:tc>
        <w:tc>
          <w:tcPr>
            <w:tcW w:w="4017" w:type="dxa"/>
            <w:tcBorders>
              <w:top w:val="double" w:sz="4" w:space="0" w:color="auto"/>
              <w:left w:val="single" w:sz="4" w:space="0" w:color="auto"/>
              <w:bottom w:val="single" w:sz="4" w:space="0" w:color="auto"/>
            </w:tcBorders>
            <w:shd w:val="clear" w:color="auto" w:fill="auto"/>
          </w:tcPr>
          <w:p w14:paraId="695D8BCA" w14:textId="430CE12E" w:rsidR="00EB4AAD" w:rsidRDefault="00EB4AAD" w:rsidP="00107123">
            <w:pPr>
              <w:spacing w:before="120" w:after="120"/>
              <w:rPr>
                <w:rFonts w:ascii="Cambria" w:hAnsi="Cambria"/>
                <w:noProof/>
                <w:lang w:val="pl-PL"/>
              </w:rPr>
            </w:pPr>
            <w:r w:rsidRPr="00EB4AAD">
              <w:rPr>
                <w:rFonts w:ascii="Cambria" w:hAnsi="Cambria"/>
                <w:noProof/>
                <w:lang w:val="pl-PL"/>
              </w:rPr>
              <w:t xml:space="preserve"> </w:t>
            </w:r>
            <w:r w:rsidR="002F2364">
              <w:rPr>
                <w:rFonts w:ascii="Cambria" w:hAnsi="Cambria"/>
                <w:noProof/>
                <w:lang w:val="pl-PL"/>
              </w:rPr>
              <w:t>1</w:t>
            </w:r>
            <w:r w:rsidR="00F76D3D">
              <w:rPr>
                <w:rFonts w:ascii="Cambria" w:hAnsi="Cambria"/>
                <w:noProof/>
                <w:lang w:val="pl-PL"/>
              </w:rPr>
              <w:t>0</w:t>
            </w:r>
            <w:r w:rsidR="00D1458C">
              <w:rPr>
                <w:rFonts w:ascii="Cambria" w:hAnsi="Cambria"/>
                <w:noProof/>
                <w:lang w:val="pl-PL"/>
              </w:rPr>
              <w:t>.</w:t>
            </w:r>
            <w:r w:rsidR="00D81A2B">
              <w:rPr>
                <w:rFonts w:ascii="Cambria" w:hAnsi="Cambria"/>
                <w:noProof/>
                <w:lang w:val="pl-PL"/>
              </w:rPr>
              <w:t>000</w:t>
            </w:r>
            <w:r w:rsidR="00FE1726" w:rsidRPr="00FE1726">
              <w:rPr>
                <w:rFonts w:ascii="Cambria" w:hAnsi="Cambria"/>
                <w:noProof/>
                <w:lang w:val="pl-PL"/>
              </w:rPr>
              <w:t xml:space="preserve">     </w:t>
            </w:r>
          </w:p>
          <w:p w14:paraId="44C8BA52" w14:textId="77777777" w:rsidR="00D81A2B" w:rsidRDefault="00D81A2B" w:rsidP="00107123">
            <w:pPr>
              <w:spacing w:before="120" w:after="120"/>
              <w:rPr>
                <w:rFonts w:ascii="Cambria" w:hAnsi="Cambria"/>
                <w:noProof/>
              </w:rPr>
            </w:pPr>
          </w:p>
          <w:p w14:paraId="63A0B1E1" w14:textId="77777777" w:rsidR="00D81A2B" w:rsidRPr="00EB4AAD" w:rsidRDefault="00D81A2B" w:rsidP="00107123">
            <w:pPr>
              <w:spacing w:before="120" w:after="120"/>
              <w:rPr>
                <w:rFonts w:ascii="Cambria" w:hAnsi="Cambria"/>
                <w:noProof/>
              </w:rPr>
            </w:pPr>
            <w:r w:rsidRPr="00D81A2B">
              <w:rPr>
                <w:rFonts w:ascii="Cambria" w:hAnsi="Cambria"/>
                <w:noProof/>
                <w:lang w:val="pl-PL"/>
              </w:rPr>
              <w:t>Izvor:  IPA</w:t>
            </w:r>
          </w:p>
        </w:tc>
      </w:tr>
      <w:tr w:rsidR="000E4C73" w:rsidRPr="00EB4AAD" w14:paraId="4FBC4648" w14:textId="77777777" w:rsidTr="00A275C9">
        <w:trPr>
          <w:trHeight w:val="176"/>
        </w:trPr>
        <w:tc>
          <w:tcPr>
            <w:tcW w:w="14367" w:type="dxa"/>
            <w:gridSpan w:val="5"/>
            <w:tcBorders>
              <w:top w:val="single" w:sz="4" w:space="0" w:color="auto"/>
              <w:bottom w:val="double" w:sz="4" w:space="0" w:color="auto"/>
            </w:tcBorders>
            <w:shd w:val="clear" w:color="auto" w:fill="auto"/>
          </w:tcPr>
          <w:p w14:paraId="543D5394" w14:textId="1540D7B5" w:rsidR="000E4C73" w:rsidRPr="00EB4AAD" w:rsidRDefault="000E4C73" w:rsidP="00BB313F">
            <w:pPr>
              <w:spacing w:before="120" w:after="120"/>
              <w:rPr>
                <w:rFonts w:ascii="Cambria" w:hAnsi="Cambria"/>
                <w:noProof/>
                <w:lang w:val="pl-PL"/>
              </w:rPr>
            </w:pPr>
            <w:r w:rsidRPr="00FE0380">
              <w:rPr>
                <w:rFonts w:ascii="Cambria" w:hAnsi="Cambria"/>
                <w:i/>
                <w:noProof/>
                <w:lang w:val="sr-Latn-ME"/>
              </w:rPr>
              <w:t>Opis aktivnosti</w:t>
            </w:r>
            <w:r>
              <w:rPr>
                <w:rFonts w:ascii="Cambria" w:hAnsi="Cambria"/>
                <w:noProof/>
                <w:lang w:val="sr-Latn-ME"/>
              </w:rPr>
              <w:t xml:space="preserve">: </w:t>
            </w:r>
            <w:r w:rsidR="00FE0380" w:rsidRPr="00FE0380">
              <w:rPr>
                <w:rFonts w:ascii="Cambria" w:hAnsi="Cambria"/>
                <w:noProof/>
                <w:lang w:val="sr-Latn-ME"/>
              </w:rPr>
              <w:t xml:space="preserve">Identifikovana je potreba za daljom izgradnjom kapaciteta kako bi predstavnici Crne Gore uspješno učestvovali u radu ECHA-e i drugih stručnih tijela kao što su ekspertske grupe. U tom pogledu,  predstavnici nadležnih organa treba da nadograde svoja znanja i iskustvo u pogledu </w:t>
            </w:r>
            <w:r w:rsidR="00FE0380" w:rsidRPr="00FE0380">
              <w:rPr>
                <w:rFonts w:ascii="Cambria" w:hAnsi="Cambria"/>
                <w:noProof/>
                <w:lang w:val="sr-Latn-ME"/>
              </w:rPr>
              <w:lastRenderedPageBreak/>
              <w:t>funkcionisanja organa i tijela ECHA kroz učešće na sastanacima CARACAL</w:t>
            </w:r>
            <w:r w:rsidR="00F76D3D">
              <w:rPr>
                <w:rFonts w:ascii="Cambria" w:hAnsi="Cambria"/>
                <w:noProof/>
                <w:lang w:val="sr-Latn-ME"/>
              </w:rPr>
              <w:t xml:space="preserve"> i </w:t>
            </w:r>
            <w:r w:rsidR="00FE0380" w:rsidRPr="00FE0380">
              <w:rPr>
                <w:rFonts w:ascii="Cambria" w:hAnsi="Cambria"/>
                <w:noProof/>
                <w:lang w:val="sr-Latn-ME"/>
              </w:rPr>
              <w:t xml:space="preserve">Help Net, kako bi se adekvatno pripremili za izvršavanje obaveza propisanih REACH i BPR i pratećih EU regulativa, koje će u punom obimu nastupiti kada Crna Gora postane članica EU. </w:t>
            </w:r>
          </w:p>
        </w:tc>
      </w:tr>
      <w:tr w:rsidR="00EB4AAD" w:rsidRPr="00EB4AAD" w14:paraId="02C3AEE2"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537956C0" w14:textId="77777777" w:rsidR="00EB4AAD" w:rsidRPr="00EB4AAD" w:rsidRDefault="00EB4AAD" w:rsidP="00557C13">
            <w:pPr>
              <w:numPr>
                <w:ilvl w:val="0"/>
                <w:numId w:val="44"/>
              </w:numPr>
              <w:spacing w:before="120" w:after="120"/>
              <w:ind w:left="405" w:hanging="270"/>
              <w:rPr>
                <w:rFonts w:ascii="Cambria" w:hAnsi="Cambria"/>
                <w:noProof/>
                <w:lang w:val="pl-PL"/>
              </w:rPr>
            </w:pPr>
            <w:r w:rsidRPr="00EB4AAD">
              <w:rPr>
                <w:rFonts w:ascii="Cambria" w:hAnsi="Cambria"/>
                <w:noProof/>
                <w:lang w:val="pl-PL"/>
              </w:rPr>
              <w:t>Edukacija o procjeni  opasnosti  hemikalija (CLP) i komunikaciji opasnosti putem etikete i SDS</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7101E59B" w14:textId="77777777" w:rsidR="00EB4AAD" w:rsidRPr="00EB4AAD" w:rsidRDefault="006D230F" w:rsidP="00803D9D">
            <w:pPr>
              <w:spacing w:before="120" w:after="120"/>
              <w:rPr>
                <w:rFonts w:ascii="Cambria" w:hAnsi="Cambria"/>
                <w:noProof/>
                <w:lang w:val="pl-PL"/>
              </w:rPr>
            </w:pPr>
            <w:r>
              <w:rPr>
                <w:rFonts w:ascii="Cambria" w:hAnsi="Cambria"/>
                <w:noProof/>
                <w:lang w:val="pl-PL"/>
              </w:rPr>
              <w:t>2020</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70D24DB0" w14:textId="43AE5E18"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MORT, AZPŽS, </w:t>
            </w:r>
            <w:r w:rsidR="0017074F" w:rsidRPr="0017074F">
              <w:rPr>
                <w:rFonts w:ascii="Cambria" w:hAnsi="Cambria"/>
                <w:noProof/>
                <w:lang w:val="pl-PL"/>
              </w:rPr>
              <w:t>CETI, IJZ, UCG</w:t>
            </w:r>
            <w:r w:rsidR="0017074F">
              <w:rPr>
                <w:rFonts w:ascii="Cambria" w:hAnsi="Cambria"/>
                <w:noProof/>
                <w:lang w:val="pl-PL"/>
              </w:rPr>
              <w:t>,</w:t>
            </w:r>
            <w:r w:rsidR="0017074F" w:rsidRPr="0017074F">
              <w:rPr>
                <w:rFonts w:ascii="Cambria" w:hAnsi="Cambria"/>
                <w:noProof/>
                <w:lang w:val="pl-PL"/>
              </w:rPr>
              <w:t xml:space="preserve"> </w:t>
            </w:r>
            <w:r w:rsidRPr="00EB4AAD">
              <w:rPr>
                <w:rFonts w:ascii="Cambria" w:hAnsi="Cambria"/>
                <w:noProof/>
                <w:lang w:val="pl-PL"/>
              </w:rPr>
              <w:t>UIP,</w:t>
            </w:r>
            <w:r w:rsidRPr="00EB4AAD">
              <w:rPr>
                <w:rFonts w:ascii="Cambria" w:hAnsi="Cambria"/>
                <w:noProof/>
              </w:rPr>
              <w:t xml:space="preserve"> </w:t>
            </w:r>
            <w:r w:rsidRPr="00EB4AAD">
              <w:rPr>
                <w:rFonts w:ascii="Cambria" w:hAnsi="Cambria"/>
                <w:noProof/>
                <w:lang w:val="pl-PL"/>
              </w:rPr>
              <w:t>UBHVFP</w:t>
            </w:r>
          </w:p>
        </w:tc>
        <w:tc>
          <w:tcPr>
            <w:tcW w:w="2250" w:type="dxa"/>
            <w:tcBorders>
              <w:top w:val="double" w:sz="4" w:space="0" w:color="auto"/>
              <w:left w:val="single" w:sz="4" w:space="0" w:color="auto"/>
              <w:bottom w:val="single" w:sz="4" w:space="0" w:color="auto"/>
              <w:right w:val="single" w:sz="4" w:space="0" w:color="auto"/>
            </w:tcBorders>
          </w:tcPr>
          <w:p w14:paraId="4EFB45CF" w14:textId="77777777" w:rsidR="00EB4AAD" w:rsidRPr="00EB4AAD" w:rsidRDefault="00C275A3" w:rsidP="00803D9D">
            <w:pPr>
              <w:spacing w:before="120" w:after="120"/>
              <w:rPr>
                <w:rFonts w:ascii="Cambria" w:hAnsi="Cambria"/>
                <w:noProof/>
                <w:lang w:val="pl-PL"/>
              </w:rPr>
            </w:pPr>
            <w:r>
              <w:rPr>
                <w:rFonts w:ascii="Cambria" w:hAnsi="Cambria"/>
                <w:noProof/>
                <w:lang w:val="pl-PL"/>
              </w:rPr>
              <w:t>Broj</w:t>
            </w:r>
            <w:r w:rsidR="00EB4AAD" w:rsidRPr="00EB4AAD">
              <w:rPr>
                <w:rFonts w:ascii="Cambria" w:hAnsi="Cambria"/>
                <w:noProof/>
                <w:lang w:val="pl-PL"/>
              </w:rPr>
              <w:t xml:space="preserve"> učesnika</w:t>
            </w:r>
            <w:r w:rsidR="006C35D5">
              <w:rPr>
                <w:rFonts w:ascii="Cambria" w:hAnsi="Cambria"/>
                <w:noProof/>
                <w:lang w:val="pl-PL"/>
              </w:rPr>
              <w:t xml:space="preserve"> ≥30</w:t>
            </w:r>
            <w:r w:rsidR="00800102">
              <w:rPr>
                <w:rFonts w:ascii="Cambria" w:hAnsi="Cambria"/>
                <w:noProof/>
                <w:lang w:val="pl-PL"/>
              </w:rPr>
              <w:t>-trodnevna obuka</w:t>
            </w:r>
          </w:p>
        </w:tc>
        <w:tc>
          <w:tcPr>
            <w:tcW w:w="4017" w:type="dxa"/>
            <w:tcBorders>
              <w:top w:val="double" w:sz="4" w:space="0" w:color="auto"/>
              <w:left w:val="single" w:sz="4" w:space="0" w:color="auto"/>
              <w:bottom w:val="single" w:sz="4" w:space="0" w:color="auto"/>
            </w:tcBorders>
            <w:shd w:val="clear" w:color="auto" w:fill="auto"/>
          </w:tcPr>
          <w:p w14:paraId="18B1ED32" w14:textId="77777777" w:rsidR="005C041E" w:rsidRDefault="00800102" w:rsidP="00803D9D">
            <w:pPr>
              <w:spacing w:before="120" w:after="120"/>
              <w:rPr>
                <w:rFonts w:ascii="Cambria" w:hAnsi="Cambria"/>
                <w:noProof/>
                <w:lang w:val="pl-PL"/>
              </w:rPr>
            </w:pPr>
            <w:r>
              <w:rPr>
                <w:rFonts w:ascii="Cambria" w:hAnsi="Cambria"/>
                <w:noProof/>
                <w:lang w:val="pl-PL"/>
              </w:rPr>
              <w:t>3</w:t>
            </w:r>
            <w:r w:rsidR="005C041E">
              <w:rPr>
                <w:rFonts w:ascii="Cambria" w:hAnsi="Cambria"/>
                <w:noProof/>
                <w:lang w:val="pl-PL"/>
              </w:rPr>
              <w:t>0.000</w:t>
            </w:r>
          </w:p>
          <w:p w14:paraId="7CE54637" w14:textId="77777777" w:rsidR="00EB4AAD" w:rsidRPr="005C041E" w:rsidRDefault="005C041E" w:rsidP="00803D9D">
            <w:pPr>
              <w:spacing w:before="120" w:after="120"/>
              <w:rPr>
                <w:rFonts w:ascii="Cambria" w:hAnsi="Cambria"/>
                <w:noProof/>
                <w:lang w:val="pl-PL"/>
              </w:rPr>
            </w:pPr>
            <w:r>
              <w:rPr>
                <w:rFonts w:ascii="Cambria" w:hAnsi="Cambria"/>
                <w:noProof/>
                <w:lang w:val="pl-PL"/>
              </w:rPr>
              <w:t xml:space="preserve">Izvor: </w:t>
            </w:r>
            <w:r w:rsidR="00EB4AAD" w:rsidRPr="00EB4AAD">
              <w:rPr>
                <w:rFonts w:ascii="Cambria" w:hAnsi="Cambria"/>
                <w:noProof/>
                <w:lang w:val="pl-PL"/>
              </w:rPr>
              <w:t xml:space="preserve"> IPA ili TAIEX</w:t>
            </w:r>
          </w:p>
        </w:tc>
      </w:tr>
      <w:tr w:rsidR="000E4C73" w:rsidRPr="00EB4AAD" w14:paraId="4A8D4906" w14:textId="77777777" w:rsidTr="00A275C9">
        <w:trPr>
          <w:trHeight w:val="176"/>
        </w:trPr>
        <w:tc>
          <w:tcPr>
            <w:tcW w:w="14367" w:type="dxa"/>
            <w:gridSpan w:val="5"/>
            <w:tcBorders>
              <w:top w:val="single" w:sz="4" w:space="0" w:color="auto"/>
              <w:bottom w:val="double" w:sz="4" w:space="0" w:color="auto"/>
            </w:tcBorders>
            <w:shd w:val="clear" w:color="auto" w:fill="auto"/>
          </w:tcPr>
          <w:p w14:paraId="04E1191E" w14:textId="24874EFF" w:rsidR="000E4C73" w:rsidRPr="00EB4AAD" w:rsidRDefault="000E4C73" w:rsidP="00BB313F">
            <w:pPr>
              <w:spacing w:before="120" w:after="120"/>
              <w:rPr>
                <w:rFonts w:ascii="Cambria" w:hAnsi="Cambria"/>
                <w:noProof/>
                <w:lang w:val="pl-PL"/>
              </w:rPr>
            </w:pPr>
            <w:r w:rsidRPr="0017074F">
              <w:rPr>
                <w:rFonts w:ascii="Cambria" w:hAnsi="Cambria"/>
                <w:i/>
                <w:noProof/>
                <w:lang w:val="sr-Latn-ME"/>
              </w:rPr>
              <w:t>Opis aktivnosti:</w:t>
            </w:r>
            <w:r>
              <w:rPr>
                <w:rFonts w:ascii="Cambria" w:hAnsi="Cambria"/>
                <w:noProof/>
                <w:lang w:val="sr-Latn-ME"/>
              </w:rPr>
              <w:t xml:space="preserve"> </w:t>
            </w:r>
            <w:r w:rsidR="0017074F" w:rsidRPr="0017074F">
              <w:rPr>
                <w:rFonts w:ascii="Cambria" w:hAnsi="Cambria"/>
                <w:noProof/>
                <w:lang w:val="sr-Latn-ME"/>
              </w:rPr>
              <w:t xml:space="preserve">Procjena opasnosti hemikalija odnosno njihova klasifikacija i označavanje predstavlja veoma važnu kariku u upravljanju hemikalijama, uključujući biocidne proizvode i sredstva za zaštitu bilja, za koje etiketa i SDS predstavljju inicijalne instrumente za komunikaciju o opasnosti i mjerama zaštite sa korisnicima. Stoga je potrebno unaprijediti znanja o pravilima za klasifikaciju i označavanje, kao i o sadržini kvalitetne etikete i SDS kroz trodnevnu obuku organizovanu uz tehničku pomoć iz EU. </w:t>
            </w:r>
            <w:r w:rsidR="0017074F">
              <w:rPr>
                <w:rFonts w:ascii="Cambria" w:hAnsi="Cambria"/>
                <w:noProof/>
                <w:lang w:val="sr-Latn-ME"/>
              </w:rPr>
              <w:t xml:space="preserve">U ove obuke treba uključiti sve </w:t>
            </w:r>
            <w:r w:rsidR="0017074F" w:rsidRPr="0017074F">
              <w:rPr>
                <w:rFonts w:ascii="Cambria" w:hAnsi="Cambria"/>
                <w:noProof/>
                <w:lang w:val="sr-Latn-ME"/>
              </w:rPr>
              <w:t>relevantn</w:t>
            </w:r>
            <w:r w:rsidR="00FE0380">
              <w:rPr>
                <w:rFonts w:ascii="Cambria" w:hAnsi="Cambria"/>
                <w:noProof/>
                <w:lang w:val="sr-Latn-ME"/>
              </w:rPr>
              <w:t>e</w:t>
            </w:r>
            <w:r w:rsidR="0017074F" w:rsidRPr="0017074F">
              <w:rPr>
                <w:rFonts w:ascii="Cambria" w:hAnsi="Cambria"/>
                <w:noProof/>
                <w:lang w:val="sr-Latn-ME"/>
              </w:rPr>
              <w:t>nadležn</w:t>
            </w:r>
            <w:r w:rsidR="00FE0380">
              <w:rPr>
                <w:rFonts w:ascii="Cambria" w:hAnsi="Cambria"/>
                <w:noProof/>
                <w:lang w:val="sr-Latn-ME"/>
              </w:rPr>
              <w:t>e</w:t>
            </w:r>
            <w:r w:rsidR="0017074F" w:rsidRPr="0017074F">
              <w:rPr>
                <w:rFonts w:ascii="Cambria" w:hAnsi="Cambria"/>
                <w:noProof/>
                <w:lang w:val="sr-Latn-ME"/>
              </w:rPr>
              <w:t xml:space="preserve"> organ</w:t>
            </w:r>
            <w:r w:rsidR="00FE0380">
              <w:rPr>
                <w:rFonts w:ascii="Cambria" w:hAnsi="Cambria"/>
                <w:noProof/>
                <w:lang w:val="sr-Latn-ME"/>
              </w:rPr>
              <w:t>e</w:t>
            </w:r>
            <w:r w:rsidR="0017074F" w:rsidRPr="0017074F">
              <w:rPr>
                <w:rFonts w:ascii="Cambria" w:hAnsi="Cambria"/>
                <w:noProof/>
                <w:lang w:val="sr-Latn-ME"/>
              </w:rPr>
              <w:t>, uključujući i inspekciju</w:t>
            </w:r>
            <w:r w:rsidR="0017074F">
              <w:rPr>
                <w:rFonts w:ascii="Cambria" w:hAnsi="Cambria"/>
                <w:noProof/>
                <w:lang w:val="sr-Latn-ME"/>
              </w:rPr>
              <w:t xml:space="preserve"> koja u svom radu kontroliše primenu relevantnih odredbi, ali i istrazivačk</w:t>
            </w:r>
            <w:r w:rsidR="00FE0380">
              <w:rPr>
                <w:rFonts w:ascii="Cambria" w:hAnsi="Cambria"/>
                <w:noProof/>
                <w:lang w:val="sr-Latn-ME"/>
              </w:rPr>
              <w:t>e</w:t>
            </w:r>
            <w:r w:rsidR="0017074F">
              <w:rPr>
                <w:rFonts w:ascii="Cambria" w:hAnsi="Cambria"/>
                <w:noProof/>
                <w:lang w:val="sr-Latn-ME"/>
              </w:rPr>
              <w:t xml:space="preserve"> institucij</w:t>
            </w:r>
            <w:r w:rsidR="00FE0380">
              <w:rPr>
                <w:rFonts w:ascii="Cambria" w:hAnsi="Cambria"/>
                <w:noProof/>
                <w:lang w:val="sr-Latn-ME"/>
              </w:rPr>
              <w:t>e</w:t>
            </w:r>
            <w:r w:rsidR="0017074F">
              <w:rPr>
                <w:rFonts w:ascii="Cambria" w:hAnsi="Cambria"/>
                <w:noProof/>
                <w:lang w:val="sr-Latn-ME"/>
              </w:rPr>
              <w:t xml:space="preserve"> koje mogu ponuditi  svoju expertizu kao pomoć nadležnim organima</w:t>
            </w:r>
            <w:r w:rsidR="00FE0380">
              <w:rPr>
                <w:rFonts w:ascii="Cambria" w:hAnsi="Cambria"/>
                <w:noProof/>
                <w:lang w:val="sr-Latn-ME"/>
              </w:rPr>
              <w:t xml:space="preserve"> u slučajevima koji zahtjevaju stručno mišljenje i analizu kvaliteta podataka</w:t>
            </w:r>
            <w:r w:rsidR="0017074F" w:rsidRPr="0017074F">
              <w:rPr>
                <w:rFonts w:ascii="Cambria" w:hAnsi="Cambria"/>
                <w:noProof/>
                <w:lang w:val="sr-Latn-ME"/>
              </w:rPr>
              <w:t>, Takođe, s obzirom  na vezu postupka procjene opasnosti sa propisanim  metodama ispitivanja opasnih svojstava hemikalija potrebno je da takva obuka da osvrt na ove metode, kao i DLP uslove u pogledu toksikoloških i ekotoksikoloških ispitivanja.</w:t>
            </w:r>
          </w:p>
        </w:tc>
      </w:tr>
      <w:tr w:rsidR="00EB4AAD" w:rsidRPr="00EB4AAD" w14:paraId="10CB25EF"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2818D42B" w14:textId="77777777" w:rsidR="00EB4AAD" w:rsidRPr="00EB4AAD" w:rsidRDefault="00EB4AAD" w:rsidP="00557C13">
            <w:pPr>
              <w:numPr>
                <w:ilvl w:val="0"/>
                <w:numId w:val="44"/>
              </w:numPr>
              <w:spacing w:before="120" w:after="120"/>
              <w:ind w:left="405" w:hanging="270"/>
              <w:rPr>
                <w:rFonts w:ascii="Cambria" w:hAnsi="Cambria"/>
                <w:noProof/>
                <w:lang w:val="pl-PL"/>
              </w:rPr>
            </w:pPr>
            <w:r w:rsidRPr="00EB4AAD">
              <w:rPr>
                <w:rFonts w:ascii="Cambria" w:hAnsi="Cambria"/>
                <w:noProof/>
                <w:lang w:val="pl-PL"/>
              </w:rPr>
              <w:t>Edukacij</w:t>
            </w:r>
            <w:r w:rsidR="005C041E">
              <w:rPr>
                <w:rFonts w:ascii="Cambria" w:hAnsi="Cambria"/>
                <w:noProof/>
                <w:lang w:val="pl-PL"/>
              </w:rPr>
              <w:t>e</w:t>
            </w:r>
            <w:r w:rsidRPr="00EB4AAD">
              <w:rPr>
                <w:rFonts w:ascii="Cambria" w:hAnsi="Cambria"/>
                <w:noProof/>
                <w:lang w:val="pl-PL"/>
              </w:rPr>
              <w:t xml:space="preserve"> o procjeni rizika</w:t>
            </w:r>
            <w:r w:rsidR="00B62A08">
              <w:rPr>
                <w:rFonts w:ascii="Cambria" w:hAnsi="Cambria"/>
                <w:noProof/>
                <w:lang w:val="pl-PL"/>
              </w:rPr>
              <w:t xml:space="preserve"> od hemikalija i biocidnih proizvoda</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5B9034B6"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202</w:t>
            </w:r>
            <w:r w:rsidR="006D230F">
              <w:rPr>
                <w:rFonts w:ascii="Cambria" w:hAnsi="Cambria"/>
                <w:noProof/>
                <w:lang w:val="pl-PL"/>
              </w:rPr>
              <w:t>1</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464318B6" w14:textId="77777777" w:rsidR="00EB4AAD" w:rsidRPr="00EB4AAD" w:rsidRDefault="00EB4AAD" w:rsidP="00803D9D">
            <w:pPr>
              <w:spacing w:before="120" w:after="120"/>
              <w:rPr>
                <w:rFonts w:ascii="Cambria" w:hAnsi="Cambria"/>
                <w:i/>
                <w:noProof/>
                <w:u w:val="single"/>
                <w:lang w:val="pl-PL"/>
              </w:rPr>
            </w:pPr>
            <w:r w:rsidRPr="00EB4AAD">
              <w:rPr>
                <w:rFonts w:ascii="Cambria" w:hAnsi="Cambria"/>
                <w:noProof/>
                <w:lang w:val="pl-PL"/>
              </w:rPr>
              <w:t>MORT, AZ</w:t>
            </w:r>
            <w:r w:rsidR="00C275A3">
              <w:rPr>
                <w:rFonts w:ascii="Cambria" w:hAnsi="Cambria"/>
                <w:noProof/>
                <w:lang w:val="pl-PL"/>
              </w:rPr>
              <w:t>P</w:t>
            </w:r>
            <w:r w:rsidRPr="00EB4AAD">
              <w:rPr>
                <w:rFonts w:ascii="Cambria" w:hAnsi="Cambria"/>
                <w:noProof/>
                <w:lang w:val="pl-PL"/>
              </w:rPr>
              <w:t>ŽS, CETI, IJZ, UCG</w:t>
            </w:r>
          </w:p>
        </w:tc>
        <w:tc>
          <w:tcPr>
            <w:tcW w:w="2250" w:type="dxa"/>
            <w:tcBorders>
              <w:top w:val="double" w:sz="4" w:space="0" w:color="auto"/>
              <w:left w:val="single" w:sz="4" w:space="0" w:color="auto"/>
              <w:bottom w:val="single" w:sz="4" w:space="0" w:color="auto"/>
              <w:right w:val="single" w:sz="4" w:space="0" w:color="auto"/>
            </w:tcBorders>
          </w:tcPr>
          <w:p w14:paraId="1717DBDB" w14:textId="77777777" w:rsidR="00EB4AAD" w:rsidRPr="00EB4AAD" w:rsidRDefault="00C275A3" w:rsidP="00803D9D">
            <w:pPr>
              <w:spacing w:before="120" w:after="120"/>
              <w:rPr>
                <w:rFonts w:ascii="Cambria" w:hAnsi="Cambria"/>
                <w:noProof/>
                <w:lang w:val="pl-PL"/>
              </w:rPr>
            </w:pPr>
            <w:r w:rsidRPr="00C275A3">
              <w:rPr>
                <w:rFonts w:ascii="Cambria" w:hAnsi="Cambria"/>
                <w:noProof/>
                <w:lang w:val="pl-PL"/>
              </w:rPr>
              <w:t>Broj učesnika</w:t>
            </w:r>
            <w:r w:rsidR="006C35D5">
              <w:rPr>
                <w:rFonts w:ascii="Cambria" w:hAnsi="Cambria"/>
                <w:noProof/>
                <w:lang w:val="pl-PL"/>
              </w:rPr>
              <w:t xml:space="preserve"> </w:t>
            </w:r>
            <w:r w:rsidR="006C35D5" w:rsidRPr="006C35D5">
              <w:rPr>
                <w:rFonts w:ascii="Cambria" w:hAnsi="Cambria"/>
                <w:noProof/>
                <w:lang w:val="pl-PL"/>
              </w:rPr>
              <w:t>≥</w:t>
            </w:r>
            <w:r w:rsidR="006C35D5">
              <w:rPr>
                <w:rFonts w:ascii="Cambria" w:hAnsi="Cambria"/>
                <w:noProof/>
                <w:lang w:val="pl-PL"/>
              </w:rPr>
              <w:t>15</w:t>
            </w:r>
            <w:r w:rsidR="00D1458C">
              <w:rPr>
                <w:rFonts w:ascii="Cambria" w:hAnsi="Cambria"/>
                <w:noProof/>
                <w:lang w:val="pl-PL"/>
              </w:rPr>
              <w:t>—višednevna obuka sa nekoliko modula</w:t>
            </w:r>
          </w:p>
        </w:tc>
        <w:tc>
          <w:tcPr>
            <w:tcW w:w="4017" w:type="dxa"/>
            <w:tcBorders>
              <w:top w:val="double" w:sz="4" w:space="0" w:color="auto"/>
              <w:left w:val="single" w:sz="4" w:space="0" w:color="auto"/>
              <w:bottom w:val="single" w:sz="4" w:space="0" w:color="auto"/>
            </w:tcBorders>
            <w:shd w:val="clear" w:color="auto" w:fill="auto"/>
            <w:vAlign w:val="center"/>
          </w:tcPr>
          <w:p w14:paraId="095A1CF4" w14:textId="77777777" w:rsidR="005C041E" w:rsidRDefault="006D230F" w:rsidP="00803D9D">
            <w:pPr>
              <w:spacing w:before="120" w:after="120"/>
              <w:rPr>
                <w:rFonts w:ascii="Cambria" w:hAnsi="Cambria"/>
                <w:noProof/>
                <w:lang w:val="pl-PL"/>
              </w:rPr>
            </w:pPr>
            <w:r>
              <w:rPr>
                <w:rFonts w:ascii="Cambria" w:hAnsi="Cambria"/>
                <w:noProof/>
                <w:lang w:val="pl-PL"/>
              </w:rPr>
              <w:t>8</w:t>
            </w:r>
            <w:r w:rsidR="005C041E" w:rsidRPr="00107123">
              <w:rPr>
                <w:rFonts w:ascii="Cambria" w:hAnsi="Cambria"/>
                <w:noProof/>
                <w:lang w:val="pl-PL"/>
              </w:rPr>
              <w:t>0.000</w:t>
            </w:r>
          </w:p>
          <w:p w14:paraId="61157F8D" w14:textId="77777777" w:rsidR="00EB4AAD" w:rsidRPr="00EB4AAD" w:rsidRDefault="005C041E" w:rsidP="00803D9D">
            <w:pPr>
              <w:spacing w:before="120" w:after="120"/>
              <w:rPr>
                <w:rFonts w:ascii="Cambria" w:hAnsi="Cambria"/>
                <w:noProof/>
                <w:lang w:val="pl-PL"/>
              </w:rPr>
            </w:pPr>
            <w:r w:rsidRPr="005C041E">
              <w:rPr>
                <w:rFonts w:ascii="Cambria" w:hAnsi="Cambria"/>
                <w:noProof/>
                <w:lang w:val="pl-PL"/>
              </w:rPr>
              <w:t>Izvor:  IPA ili TAIEX</w:t>
            </w:r>
          </w:p>
        </w:tc>
      </w:tr>
      <w:tr w:rsidR="000E4C73" w:rsidRPr="00EB4AAD" w14:paraId="0CA598CF" w14:textId="77777777" w:rsidTr="00A275C9">
        <w:trPr>
          <w:trHeight w:val="176"/>
        </w:trPr>
        <w:tc>
          <w:tcPr>
            <w:tcW w:w="14367" w:type="dxa"/>
            <w:gridSpan w:val="5"/>
            <w:tcBorders>
              <w:top w:val="single" w:sz="4" w:space="0" w:color="auto"/>
              <w:bottom w:val="double" w:sz="4" w:space="0" w:color="auto"/>
            </w:tcBorders>
            <w:shd w:val="clear" w:color="auto" w:fill="auto"/>
          </w:tcPr>
          <w:p w14:paraId="3F67D00F" w14:textId="7BFBF44D" w:rsidR="000E4C73" w:rsidRPr="00EB4AAD" w:rsidRDefault="000E4C73" w:rsidP="00BB313F">
            <w:pPr>
              <w:spacing w:before="120" w:after="120"/>
              <w:rPr>
                <w:rFonts w:ascii="Cambria" w:hAnsi="Cambria"/>
                <w:noProof/>
                <w:lang w:val="pl-PL"/>
              </w:rPr>
            </w:pPr>
            <w:r w:rsidRPr="0017074F">
              <w:rPr>
                <w:rFonts w:ascii="Cambria" w:hAnsi="Cambria"/>
                <w:i/>
                <w:noProof/>
                <w:lang w:val="sr-Latn-ME"/>
              </w:rPr>
              <w:t>Opis aktivnosti:</w:t>
            </w:r>
            <w:r>
              <w:rPr>
                <w:rFonts w:ascii="Cambria" w:hAnsi="Cambria"/>
                <w:noProof/>
                <w:lang w:val="sr-Latn-ME"/>
              </w:rPr>
              <w:t xml:space="preserve"> </w:t>
            </w:r>
            <w:r w:rsidR="0017074F" w:rsidRPr="0017074F">
              <w:rPr>
                <w:rFonts w:ascii="Cambria" w:hAnsi="Cambria"/>
                <w:noProof/>
                <w:lang w:val="sr-Latn-ME"/>
              </w:rPr>
              <w:t>Procjena rizika predstavlja u stručnom pogledu najzahtjevnije poslove u vezi sa hemikalijama i biocidnim proizvodima, jer u zavisnosti da li se procjenjuje rizik na osnovu fizičko-hemijskih svojstava, ili svojstava koja utiču na zdravlje ljudi ili životnu sredinu zahtijeva specifična znanja u oblasti hemije, toksikologije,  ekotoksikologije i sl. Za biocidne proizvode dodatno je potrebna i procjena efikasnosti, koja zahtijeva specifična znanja u oblasti biologije ciljnih organizama, fitomedicine i/ili veterine. Stoga je potrebno obezbijediti adekvatne, višednevne obuke u nekoliko modula koje će pored administrativnog osoblja, pohađati i kadar iz naučno-istraživačkog sektora koji, s obzirom na postojeća znanja i profesionalne kapacitete, ima dobru potporu za dalju nadogradnju u pogledu regulatorne procjene rizika od hemikalija i biocidnih proizvoda. Naime, kadar iz naučno-istraživačkog sektora nakon ovakve nadogradnje znanja, može da predstavlja opciju za dodatno poboljšanje kapaciteta nadležnih organa angažovanjem eksternih stručnjaka koji bi pružali stručnu pomoć u pogledu procjene rizika. Takođe, ovi eksterni stručnjaci mogu dati značajan doprinos upravljanju hemikalijama učešćem u daljoj edukaciji ciljnih grupa i profesionalnih korisnika o opasnostima i rizicima od hemikalija i mjerama prevencije.</w:t>
            </w:r>
          </w:p>
        </w:tc>
      </w:tr>
      <w:tr w:rsidR="00EB4AAD" w:rsidRPr="00EB4AAD" w14:paraId="4D9AD1D9" w14:textId="77777777" w:rsidTr="00A275C9">
        <w:trPr>
          <w:trHeight w:val="233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5C7AEFE7" w14:textId="1421EF1D" w:rsidR="00EB4AAD" w:rsidRPr="00EB4AAD" w:rsidRDefault="002016CF" w:rsidP="00557C13">
            <w:pPr>
              <w:numPr>
                <w:ilvl w:val="0"/>
                <w:numId w:val="44"/>
              </w:numPr>
              <w:spacing w:before="120" w:after="120"/>
              <w:ind w:left="405" w:hanging="270"/>
              <w:rPr>
                <w:rFonts w:ascii="Cambria" w:hAnsi="Cambria"/>
                <w:noProof/>
                <w:lang w:val="pl-PL"/>
              </w:rPr>
            </w:pPr>
            <w:r>
              <w:rPr>
                <w:rFonts w:ascii="Cambria" w:hAnsi="Cambria"/>
                <w:noProof/>
                <w:lang w:val="pl-PL"/>
              </w:rPr>
              <w:lastRenderedPageBreak/>
              <w:t xml:space="preserve">Studijska posjeta </w:t>
            </w:r>
            <w:r w:rsidR="00EB4AAD" w:rsidRPr="00EB4AAD">
              <w:rPr>
                <w:rFonts w:ascii="Cambria" w:hAnsi="Cambria"/>
                <w:noProof/>
                <w:lang w:val="pl-PL"/>
              </w:rPr>
              <w:t xml:space="preserve">o EU principima kontrole i nadzora </w:t>
            </w:r>
            <w:r>
              <w:rPr>
                <w:rFonts w:ascii="Cambria" w:hAnsi="Cambria"/>
                <w:noProof/>
                <w:lang w:val="pl-PL"/>
              </w:rPr>
              <w:t>u oblasti upravljanja hemikalijama i biocidima</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735265F4" w14:textId="302851C5" w:rsidR="00EB4AAD" w:rsidRPr="00EB4AAD" w:rsidRDefault="00EB4AAD" w:rsidP="00803D9D">
            <w:pPr>
              <w:spacing w:before="120" w:after="120"/>
              <w:rPr>
                <w:rFonts w:ascii="Cambria" w:hAnsi="Cambria"/>
                <w:noProof/>
              </w:rPr>
            </w:pPr>
            <w:r w:rsidRPr="00EB4AAD">
              <w:rPr>
                <w:rFonts w:ascii="Cambria" w:hAnsi="Cambria"/>
                <w:noProof/>
                <w:lang w:val="pl-PL"/>
              </w:rPr>
              <w:t>20</w:t>
            </w:r>
            <w:r w:rsidR="006D230F">
              <w:rPr>
                <w:rFonts w:ascii="Cambria" w:hAnsi="Cambria"/>
                <w:noProof/>
                <w:lang w:val="pl-PL"/>
              </w:rPr>
              <w:t>2</w:t>
            </w:r>
            <w:r w:rsidR="003B3FC7">
              <w:rPr>
                <w:rFonts w:ascii="Cambria" w:hAnsi="Cambria"/>
                <w:noProof/>
                <w:lang w:val="pl-PL"/>
              </w:rPr>
              <w:t>1</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3B1E3734"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UIP,</w:t>
            </w:r>
            <w:r w:rsidRPr="00EB4AAD">
              <w:rPr>
                <w:rFonts w:ascii="Cambria" w:hAnsi="Cambria"/>
                <w:noProof/>
              </w:rPr>
              <w:t xml:space="preserve"> </w:t>
            </w:r>
            <w:r w:rsidRPr="00EB4AAD">
              <w:rPr>
                <w:rFonts w:ascii="Cambria" w:hAnsi="Cambria"/>
                <w:noProof/>
                <w:lang w:val="pl-PL"/>
              </w:rPr>
              <w:t>UBHVFP, AZPŽS</w:t>
            </w:r>
          </w:p>
        </w:tc>
        <w:tc>
          <w:tcPr>
            <w:tcW w:w="2250" w:type="dxa"/>
            <w:tcBorders>
              <w:top w:val="double" w:sz="4" w:space="0" w:color="auto"/>
              <w:left w:val="single" w:sz="4" w:space="0" w:color="auto"/>
              <w:bottom w:val="single" w:sz="4" w:space="0" w:color="auto"/>
              <w:right w:val="single" w:sz="4" w:space="0" w:color="auto"/>
            </w:tcBorders>
          </w:tcPr>
          <w:p w14:paraId="11389F95" w14:textId="31D76E3A" w:rsidR="00EB4AAD" w:rsidRPr="00EB4AAD" w:rsidRDefault="00C275A3" w:rsidP="00803D9D">
            <w:pPr>
              <w:spacing w:before="120" w:after="120"/>
              <w:rPr>
                <w:rFonts w:ascii="Cambria" w:hAnsi="Cambria"/>
                <w:noProof/>
                <w:lang w:val="pl-PL"/>
              </w:rPr>
            </w:pPr>
            <w:r w:rsidRPr="00C275A3">
              <w:rPr>
                <w:rFonts w:ascii="Cambria" w:hAnsi="Cambria"/>
                <w:noProof/>
                <w:lang w:val="pl-PL"/>
              </w:rPr>
              <w:t>Broj učesnika</w:t>
            </w:r>
            <w:r w:rsidR="006C35D5">
              <w:rPr>
                <w:rFonts w:ascii="Cambria" w:hAnsi="Cambria"/>
                <w:noProof/>
                <w:lang w:val="pl-PL"/>
              </w:rPr>
              <w:t xml:space="preserve"> </w:t>
            </w:r>
            <w:r w:rsidR="006C35D5" w:rsidRPr="006C35D5">
              <w:rPr>
                <w:rFonts w:ascii="Cambria" w:hAnsi="Cambria"/>
                <w:noProof/>
                <w:lang w:val="pl-PL"/>
              </w:rPr>
              <w:t>≥</w:t>
            </w:r>
            <w:r w:rsidR="00FE0380">
              <w:rPr>
                <w:rFonts w:ascii="Cambria" w:hAnsi="Cambria"/>
                <w:noProof/>
                <w:lang w:val="pl-PL"/>
              </w:rPr>
              <w:t>1</w:t>
            </w:r>
            <w:r w:rsidR="006C35D5" w:rsidRPr="006C35D5">
              <w:rPr>
                <w:rFonts w:ascii="Cambria" w:hAnsi="Cambria"/>
                <w:noProof/>
                <w:lang w:val="pl-PL"/>
              </w:rPr>
              <w:t>0</w:t>
            </w:r>
          </w:p>
        </w:tc>
        <w:tc>
          <w:tcPr>
            <w:tcW w:w="4017" w:type="dxa"/>
            <w:tcBorders>
              <w:top w:val="double" w:sz="4" w:space="0" w:color="auto"/>
              <w:left w:val="single" w:sz="4" w:space="0" w:color="auto"/>
              <w:bottom w:val="single" w:sz="4" w:space="0" w:color="auto"/>
            </w:tcBorders>
            <w:shd w:val="clear" w:color="auto" w:fill="auto"/>
          </w:tcPr>
          <w:p w14:paraId="444EDADD" w14:textId="4BE2BD24" w:rsidR="005C041E" w:rsidRDefault="0024711D" w:rsidP="00803D9D">
            <w:pPr>
              <w:spacing w:before="120" w:after="120"/>
              <w:rPr>
                <w:rFonts w:ascii="Cambria" w:hAnsi="Cambria"/>
                <w:noProof/>
                <w:lang w:val="pl-PL"/>
              </w:rPr>
            </w:pPr>
            <w:r>
              <w:rPr>
                <w:rFonts w:ascii="Cambria" w:hAnsi="Cambria"/>
                <w:noProof/>
                <w:lang w:val="pl-PL"/>
              </w:rPr>
              <w:t>20</w:t>
            </w:r>
            <w:r w:rsidR="005C041E" w:rsidRPr="00107123">
              <w:rPr>
                <w:rFonts w:ascii="Cambria" w:hAnsi="Cambria"/>
                <w:noProof/>
                <w:lang w:val="pl-PL"/>
              </w:rPr>
              <w:t>.000</w:t>
            </w:r>
          </w:p>
          <w:p w14:paraId="202F31EB" w14:textId="77777777" w:rsidR="00EB4AAD" w:rsidRPr="00EB4AAD" w:rsidRDefault="005C041E" w:rsidP="00803D9D">
            <w:pPr>
              <w:spacing w:before="120" w:after="120"/>
              <w:rPr>
                <w:rFonts w:ascii="Cambria" w:hAnsi="Cambria"/>
                <w:noProof/>
                <w:lang w:val="pl-PL"/>
              </w:rPr>
            </w:pPr>
            <w:r w:rsidRPr="005C041E">
              <w:rPr>
                <w:rFonts w:ascii="Cambria" w:hAnsi="Cambria"/>
                <w:noProof/>
                <w:lang w:val="pl-PL"/>
              </w:rPr>
              <w:t>Izvor:  IPA ili TAIEX</w:t>
            </w:r>
          </w:p>
        </w:tc>
      </w:tr>
      <w:tr w:rsidR="000E4C73" w:rsidRPr="00EB4AAD" w14:paraId="472090D8" w14:textId="77777777" w:rsidTr="00A275C9">
        <w:trPr>
          <w:trHeight w:val="176"/>
        </w:trPr>
        <w:tc>
          <w:tcPr>
            <w:tcW w:w="14367" w:type="dxa"/>
            <w:gridSpan w:val="5"/>
            <w:tcBorders>
              <w:top w:val="single" w:sz="4" w:space="0" w:color="auto"/>
              <w:bottom w:val="double" w:sz="4" w:space="0" w:color="auto"/>
            </w:tcBorders>
            <w:shd w:val="clear" w:color="auto" w:fill="auto"/>
          </w:tcPr>
          <w:p w14:paraId="29373CB4" w14:textId="5EF88BC7" w:rsidR="000E4C73" w:rsidRPr="00EB4AAD" w:rsidRDefault="000E4C73" w:rsidP="00BB313F">
            <w:pPr>
              <w:spacing w:before="120" w:after="120"/>
              <w:rPr>
                <w:rFonts w:ascii="Cambria" w:hAnsi="Cambria"/>
                <w:noProof/>
                <w:lang w:val="pl-PL"/>
              </w:rPr>
            </w:pPr>
            <w:r w:rsidRPr="0017074F">
              <w:rPr>
                <w:rFonts w:ascii="Cambria" w:hAnsi="Cambria"/>
                <w:i/>
                <w:noProof/>
                <w:lang w:val="sr-Latn-ME"/>
              </w:rPr>
              <w:t>Opis aktivnosti:</w:t>
            </w:r>
            <w:r>
              <w:rPr>
                <w:rFonts w:ascii="Cambria" w:hAnsi="Cambria"/>
                <w:noProof/>
                <w:lang w:val="sr-Latn-ME"/>
              </w:rPr>
              <w:t xml:space="preserve"> </w:t>
            </w:r>
            <w:r w:rsidR="0017074F" w:rsidRPr="0017074F">
              <w:rPr>
                <w:rFonts w:ascii="Cambria" w:hAnsi="Cambria"/>
                <w:noProof/>
                <w:lang w:val="sr-Latn-ME"/>
              </w:rPr>
              <w:t>S obzirom na novine koje je donio sistem upravljanja hemikalijama</w:t>
            </w:r>
            <w:r w:rsidR="009B35E5">
              <w:rPr>
                <w:rFonts w:ascii="Cambria" w:hAnsi="Cambria"/>
                <w:noProof/>
                <w:lang w:val="sr-Latn-ME"/>
              </w:rPr>
              <w:t xml:space="preserve"> i biocidima </w:t>
            </w:r>
            <w:r w:rsidR="0017074F" w:rsidRPr="0017074F">
              <w:rPr>
                <w:rFonts w:ascii="Cambria" w:hAnsi="Cambria"/>
                <w:noProof/>
                <w:lang w:val="sr-Latn-ME"/>
              </w:rPr>
              <w:t xml:space="preserve"> uspostavljen prema modelu iz EU potrebno je</w:t>
            </w:r>
            <w:r w:rsidR="002F2364">
              <w:rPr>
                <w:rFonts w:ascii="Cambria" w:hAnsi="Cambria"/>
                <w:noProof/>
                <w:lang w:val="sr-Latn-ME"/>
              </w:rPr>
              <w:t>,</w:t>
            </w:r>
            <w:r w:rsidR="0017074F" w:rsidRPr="0017074F">
              <w:rPr>
                <w:rFonts w:ascii="Cambria" w:hAnsi="Cambria"/>
                <w:noProof/>
                <w:lang w:val="sr-Latn-ME"/>
              </w:rPr>
              <w:t xml:space="preserve"> </w:t>
            </w:r>
            <w:r w:rsidR="002F2364">
              <w:rPr>
                <w:rFonts w:ascii="Cambria" w:hAnsi="Cambria"/>
                <w:noProof/>
                <w:lang w:val="sr-Latn-ME"/>
              </w:rPr>
              <w:t xml:space="preserve">u predpristupnom periodu, </w:t>
            </w:r>
            <w:r w:rsidR="0017074F" w:rsidRPr="0017074F">
              <w:rPr>
                <w:rFonts w:ascii="Cambria" w:hAnsi="Cambria"/>
                <w:noProof/>
                <w:lang w:val="sr-Latn-ME"/>
              </w:rPr>
              <w:t xml:space="preserve">pristup kontroli hemijalija na tržištu </w:t>
            </w:r>
            <w:r w:rsidR="00FE0380">
              <w:rPr>
                <w:rFonts w:ascii="Cambria" w:hAnsi="Cambria"/>
                <w:noProof/>
                <w:lang w:val="sr-Latn-ME"/>
              </w:rPr>
              <w:t xml:space="preserve">prilagoditi </w:t>
            </w:r>
            <w:r w:rsidR="00FE0380" w:rsidRPr="00FE0380">
              <w:rPr>
                <w:rFonts w:ascii="Cambria" w:hAnsi="Cambria"/>
                <w:noProof/>
                <w:lang w:val="sr-Latn-ME"/>
              </w:rPr>
              <w:t>za vršenje nadzora u skladu sa praksom i principima uspostavljenim u EU</w:t>
            </w:r>
            <w:r w:rsidR="0017074F" w:rsidRPr="0017074F">
              <w:rPr>
                <w:rFonts w:ascii="Cambria" w:hAnsi="Cambria"/>
                <w:noProof/>
                <w:lang w:val="sr-Latn-ME"/>
              </w:rPr>
              <w:t xml:space="preserve">– to se posebno odnosi na detergente i biocidne proizvode </w:t>
            </w:r>
            <w:r w:rsidR="002F2364">
              <w:rPr>
                <w:rFonts w:ascii="Cambria" w:hAnsi="Cambria"/>
                <w:noProof/>
                <w:lang w:val="sr-Latn-ME"/>
              </w:rPr>
              <w:t xml:space="preserve">za opštu upotrebu, </w:t>
            </w:r>
            <w:r w:rsidR="0017074F" w:rsidRPr="0017074F">
              <w:rPr>
                <w:rFonts w:ascii="Cambria" w:hAnsi="Cambria"/>
                <w:noProof/>
                <w:lang w:val="sr-Latn-ME"/>
              </w:rPr>
              <w:t xml:space="preserve">gdje su propisi zasnovani na potpuno novom konceptu, te ove proizvode treba posmatrati kao specifične vrste hemikalija za koje postoje dodatni zahtjevi koji se ne odnose na ostale hemikalije, a principe nadzora nad ovim proizvodima </w:t>
            </w:r>
            <w:r w:rsidR="009E23BB">
              <w:rPr>
                <w:rFonts w:ascii="Cambria" w:hAnsi="Cambria"/>
                <w:noProof/>
                <w:lang w:val="sr-Latn-ME"/>
              </w:rPr>
              <w:t xml:space="preserve">dodatno </w:t>
            </w:r>
            <w:r w:rsidR="0017074F" w:rsidRPr="0017074F">
              <w:rPr>
                <w:rFonts w:ascii="Cambria" w:hAnsi="Cambria"/>
                <w:noProof/>
                <w:lang w:val="sr-Latn-ME"/>
              </w:rPr>
              <w:t>uskladiti sa praksom i principima uspostavljenim u EU prenošenjem iskustava kroz obuke inspektora organizovane u sklopu programa tehničke pomoći iz IPA</w:t>
            </w:r>
            <w:r w:rsidR="009E23BB">
              <w:rPr>
                <w:rFonts w:ascii="Cambria" w:hAnsi="Cambria"/>
                <w:noProof/>
                <w:lang w:val="sr-Latn-ME"/>
              </w:rPr>
              <w:t xml:space="preserve"> ili TAIEX</w:t>
            </w:r>
            <w:r w:rsidR="0017074F" w:rsidRPr="0017074F">
              <w:rPr>
                <w:rFonts w:ascii="Cambria" w:hAnsi="Cambria"/>
                <w:noProof/>
                <w:lang w:val="sr-Latn-ME"/>
              </w:rPr>
              <w:t xml:space="preserve"> projekata.</w:t>
            </w:r>
            <w:r w:rsidR="00FE0380">
              <w:rPr>
                <w:rFonts w:ascii="Cambria" w:hAnsi="Cambria"/>
                <w:noProof/>
                <w:lang w:val="sr-Latn-ME"/>
              </w:rPr>
              <w:t xml:space="preserve"> </w:t>
            </w:r>
            <w:r w:rsidR="002016CF">
              <w:rPr>
                <w:rFonts w:ascii="Cambria" w:hAnsi="Cambria"/>
                <w:noProof/>
                <w:lang w:val="sr-Latn-ME"/>
              </w:rPr>
              <w:t>Studijska posjeta može biti</w:t>
            </w:r>
            <w:r w:rsidR="00FE0380">
              <w:rPr>
                <w:rFonts w:ascii="Cambria" w:hAnsi="Cambria"/>
                <w:noProof/>
                <w:lang w:val="sr-Latn-ME"/>
              </w:rPr>
              <w:t xml:space="preserve"> organizovan</w:t>
            </w:r>
            <w:r w:rsidR="002016CF">
              <w:rPr>
                <w:rFonts w:ascii="Cambria" w:hAnsi="Cambria"/>
                <w:noProof/>
                <w:lang w:val="sr-Latn-ME"/>
              </w:rPr>
              <w:t>a</w:t>
            </w:r>
            <w:r w:rsidR="00FE0380">
              <w:rPr>
                <w:rFonts w:ascii="Cambria" w:hAnsi="Cambria"/>
                <w:noProof/>
                <w:lang w:val="sr-Latn-ME"/>
              </w:rPr>
              <w:t xml:space="preserve"> </w:t>
            </w:r>
            <w:r w:rsidR="002016CF">
              <w:rPr>
                <w:rFonts w:ascii="Cambria" w:hAnsi="Cambria"/>
                <w:noProof/>
                <w:lang w:val="sr-Latn-ME"/>
              </w:rPr>
              <w:t>kroz posjetu</w:t>
            </w:r>
            <w:r w:rsidR="00FE0380">
              <w:rPr>
                <w:rFonts w:ascii="Cambria" w:hAnsi="Cambria"/>
                <w:noProof/>
                <w:lang w:val="sr-Latn-ME"/>
              </w:rPr>
              <w:t xml:space="preserve"> </w:t>
            </w:r>
            <w:r w:rsidR="0024711D">
              <w:rPr>
                <w:rFonts w:ascii="Cambria" w:hAnsi="Cambria"/>
                <w:noProof/>
                <w:lang w:val="sr-Latn-ME"/>
              </w:rPr>
              <w:t>predstavnika</w:t>
            </w:r>
            <w:r w:rsidR="009E23BB">
              <w:rPr>
                <w:rFonts w:ascii="Cambria" w:hAnsi="Cambria"/>
                <w:noProof/>
                <w:lang w:val="sr-Latn-ME"/>
              </w:rPr>
              <w:t xml:space="preserve"> CG relevantnoj inspekciji</w:t>
            </w:r>
            <w:r w:rsidR="00FE0380">
              <w:rPr>
                <w:rFonts w:ascii="Cambria" w:hAnsi="Cambria"/>
                <w:noProof/>
                <w:lang w:val="sr-Latn-ME"/>
              </w:rPr>
              <w:t xml:space="preserve"> neke od zemalja članica  EU, </w:t>
            </w:r>
            <w:r w:rsidR="009B35E5">
              <w:rPr>
                <w:rFonts w:ascii="Cambria" w:hAnsi="Cambria"/>
                <w:noProof/>
                <w:lang w:val="sr-Latn-ME"/>
              </w:rPr>
              <w:t>i/</w:t>
            </w:r>
            <w:r w:rsidR="00FE0380">
              <w:rPr>
                <w:rFonts w:ascii="Cambria" w:hAnsi="Cambria"/>
                <w:noProof/>
                <w:lang w:val="sr-Latn-ME"/>
              </w:rPr>
              <w:t xml:space="preserve">ili kroz </w:t>
            </w:r>
            <w:r w:rsidR="009B35E5">
              <w:rPr>
                <w:rFonts w:ascii="Cambria" w:hAnsi="Cambria"/>
                <w:noProof/>
                <w:lang w:val="sr-Latn-ME"/>
              </w:rPr>
              <w:t xml:space="preserve">dolazak predstavnika inspekcijskih službi neke od zemalja EU i </w:t>
            </w:r>
            <w:r w:rsidR="009E23BB">
              <w:rPr>
                <w:rFonts w:ascii="Cambria" w:hAnsi="Cambria"/>
                <w:noProof/>
                <w:lang w:val="sr-Latn-ME"/>
              </w:rPr>
              <w:t>zajedničku pos</w:t>
            </w:r>
            <w:r w:rsidR="002016CF">
              <w:rPr>
                <w:rFonts w:ascii="Cambria" w:hAnsi="Cambria"/>
                <w:noProof/>
                <w:lang w:val="sr-Latn-ME"/>
              </w:rPr>
              <w:t>j</w:t>
            </w:r>
            <w:r w:rsidR="009E23BB">
              <w:rPr>
                <w:rFonts w:ascii="Cambria" w:hAnsi="Cambria"/>
                <w:noProof/>
                <w:lang w:val="sr-Latn-ME"/>
              </w:rPr>
              <w:t>etu</w:t>
            </w:r>
            <w:r w:rsidR="00FE0380">
              <w:rPr>
                <w:rFonts w:ascii="Cambria" w:hAnsi="Cambria"/>
                <w:noProof/>
                <w:lang w:val="sr-Latn-ME"/>
              </w:rPr>
              <w:t xml:space="preserve"> odabranom privrednom subjektu u CG </w:t>
            </w:r>
            <w:r w:rsidR="009E23BB">
              <w:rPr>
                <w:rFonts w:ascii="Cambria" w:hAnsi="Cambria"/>
                <w:noProof/>
                <w:lang w:val="sr-Latn-ME"/>
              </w:rPr>
              <w:t xml:space="preserve">gde bi nadzor zajednički sprovela </w:t>
            </w:r>
            <w:r w:rsidR="00FE0380">
              <w:rPr>
                <w:rFonts w:ascii="Cambria" w:hAnsi="Cambria"/>
                <w:noProof/>
                <w:lang w:val="sr-Latn-ME"/>
              </w:rPr>
              <w:t>nadležn</w:t>
            </w:r>
            <w:r w:rsidR="009E23BB">
              <w:rPr>
                <w:rFonts w:ascii="Cambria" w:hAnsi="Cambria"/>
                <w:noProof/>
                <w:lang w:val="sr-Latn-ME"/>
              </w:rPr>
              <w:t>a</w:t>
            </w:r>
            <w:r w:rsidR="00FE0380">
              <w:rPr>
                <w:rFonts w:ascii="Cambria" w:hAnsi="Cambria"/>
                <w:noProof/>
                <w:lang w:val="sr-Latn-ME"/>
              </w:rPr>
              <w:t xml:space="preserve"> inspekcij</w:t>
            </w:r>
            <w:r w:rsidR="009E23BB">
              <w:rPr>
                <w:rFonts w:ascii="Cambria" w:hAnsi="Cambria"/>
                <w:noProof/>
                <w:lang w:val="sr-Latn-ME"/>
              </w:rPr>
              <w:t>a</w:t>
            </w:r>
            <w:r w:rsidR="00FE0380">
              <w:rPr>
                <w:rFonts w:ascii="Cambria" w:hAnsi="Cambria"/>
                <w:noProof/>
                <w:lang w:val="sr-Latn-ME"/>
              </w:rPr>
              <w:t xml:space="preserve"> u CG </w:t>
            </w:r>
            <w:r w:rsidR="009E23BB">
              <w:rPr>
                <w:rFonts w:ascii="Cambria" w:hAnsi="Cambria"/>
                <w:noProof/>
                <w:lang w:val="sr-Latn-ME"/>
              </w:rPr>
              <w:t xml:space="preserve">i gostujuća inspekcija EU. U oba slučaja </w:t>
            </w:r>
            <w:r w:rsidR="002016CF">
              <w:rPr>
                <w:rFonts w:ascii="Cambria" w:hAnsi="Cambria"/>
                <w:noProof/>
                <w:lang w:val="sr-Latn-ME"/>
              </w:rPr>
              <w:t xml:space="preserve">studijska posjeta treba da na osnovu razmjene iskustava obezbjedi </w:t>
            </w:r>
            <w:r w:rsidR="009E23BB">
              <w:rPr>
                <w:rFonts w:ascii="Cambria" w:hAnsi="Cambria"/>
                <w:noProof/>
                <w:lang w:val="sr-Latn-ME"/>
              </w:rPr>
              <w:t>identifikacij</w:t>
            </w:r>
            <w:r w:rsidR="002016CF">
              <w:rPr>
                <w:rFonts w:ascii="Cambria" w:hAnsi="Cambria"/>
                <w:noProof/>
                <w:lang w:val="sr-Latn-ME"/>
              </w:rPr>
              <w:t>u</w:t>
            </w:r>
            <w:r w:rsidR="009E23BB">
              <w:rPr>
                <w:rFonts w:ascii="Cambria" w:hAnsi="Cambria"/>
                <w:noProof/>
                <w:lang w:val="sr-Latn-ME"/>
              </w:rPr>
              <w:t xml:space="preserve"> sličnosti i razlika u pristupu inspekcijskom nadzoru u CG i EU sa ciljem definisanja rokova i </w:t>
            </w:r>
            <w:r w:rsidR="002F2364">
              <w:rPr>
                <w:rFonts w:ascii="Cambria" w:hAnsi="Cambria"/>
                <w:noProof/>
                <w:lang w:val="sr-Latn-ME"/>
              </w:rPr>
              <w:t>potrebnih uslova</w:t>
            </w:r>
            <w:r w:rsidR="009E23BB">
              <w:rPr>
                <w:rFonts w:ascii="Cambria" w:hAnsi="Cambria"/>
                <w:noProof/>
                <w:lang w:val="sr-Latn-ME"/>
              </w:rPr>
              <w:t xml:space="preserve"> za dalje prilagođavanje </w:t>
            </w:r>
            <w:r w:rsidR="009E23BB" w:rsidRPr="009E23BB">
              <w:rPr>
                <w:rFonts w:ascii="Cambria" w:hAnsi="Cambria"/>
                <w:noProof/>
                <w:lang w:val="sr-Latn-ME"/>
              </w:rPr>
              <w:t>vrše</w:t>
            </w:r>
            <w:r w:rsidR="002F2364">
              <w:rPr>
                <w:rFonts w:ascii="Cambria" w:hAnsi="Cambria"/>
                <w:noProof/>
                <w:lang w:val="sr-Latn-ME"/>
              </w:rPr>
              <w:t>nja</w:t>
            </w:r>
            <w:r w:rsidR="009E23BB" w:rsidRPr="009E23BB">
              <w:rPr>
                <w:rFonts w:ascii="Cambria" w:hAnsi="Cambria"/>
                <w:noProof/>
                <w:lang w:val="sr-Latn-ME"/>
              </w:rPr>
              <w:t xml:space="preserve"> nadzora u skladu sa praksom i principima uspostavljenim u EU</w:t>
            </w:r>
            <w:r w:rsidR="002F2364">
              <w:rPr>
                <w:rFonts w:ascii="Cambria" w:hAnsi="Cambria"/>
                <w:noProof/>
                <w:lang w:val="sr-Latn-ME"/>
              </w:rPr>
              <w:t>.</w:t>
            </w:r>
          </w:p>
        </w:tc>
      </w:tr>
      <w:tr w:rsidR="00EB4AAD" w:rsidRPr="00EB4AAD" w14:paraId="621F7D64" w14:textId="77777777" w:rsidTr="00A275C9">
        <w:trPr>
          <w:trHeight w:val="2336"/>
        </w:trPr>
        <w:tc>
          <w:tcPr>
            <w:tcW w:w="5040" w:type="dxa"/>
            <w:tcBorders>
              <w:top w:val="double" w:sz="4" w:space="0" w:color="auto"/>
              <w:bottom w:val="single" w:sz="4" w:space="0" w:color="auto"/>
              <w:right w:val="single" w:sz="4" w:space="0" w:color="auto"/>
            </w:tcBorders>
            <w:shd w:val="clear" w:color="auto" w:fill="F2F2F2" w:themeFill="background1" w:themeFillShade="F2"/>
          </w:tcPr>
          <w:p w14:paraId="477144A1" w14:textId="77777777" w:rsidR="002252F3" w:rsidRPr="00EB4AAD" w:rsidRDefault="000C6C88" w:rsidP="00557C13">
            <w:pPr>
              <w:numPr>
                <w:ilvl w:val="0"/>
                <w:numId w:val="44"/>
              </w:numPr>
              <w:spacing w:before="120" w:after="120"/>
              <w:ind w:left="405" w:hanging="270"/>
              <w:rPr>
                <w:rFonts w:ascii="Cambria" w:hAnsi="Cambria"/>
                <w:noProof/>
                <w:lang w:val="pl-PL"/>
              </w:rPr>
            </w:pPr>
            <w:r w:rsidRPr="00EB4AAD">
              <w:rPr>
                <w:rFonts w:ascii="Cambria" w:hAnsi="Cambria"/>
                <w:noProof/>
                <w:lang w:val="pl-PL"/>
              </w:rPr>
              <w:t>Edukacija o korišćenju odgovarajućih IT alata (IUCLID i R4BP)</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5F62A350"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2021</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66201132" w14:textId="77777777" w:rsidR="00EB4AAD" w:rsidRPr="00EB4AAD" w:rsidRDefault="00EB4AAD" w:rsidP="00803D9D">
            <w:pPr>
              <w:spacing w:before="120" w:after="120"/>
              <w:rPr>
                <w:rFonts w:ascii="Cambria" w:hAnsi="Cambria"/>
                <w:noProof/>
              </w:rPr>
            </w:pPr>
            <w:r w:rsidRPr="00EB4AAD">
              <w:rPr>
                <w:rFonts w:ascii="Cambria" w:hAnsi="Cambria"/>
                <w:noProof/>
              </w:rPr>
              <w:t xml:space="preserve">MORT, AZPŽS, CETI, IJZ, UCG </w:t>
            </w:r>
          </w:p>
        </w:tc>
        <w:tc>
          <w:tcPr>
            <w:tcW w:w="2250" w:type="dxa"/>
            <w:tcBorders>
              <w:top w:val="double" w:sz="4" w:space="0" w:color="auto"/>
              <w:left w:val="single" w:sz="4" w:space="0" w:color="auto"/>
              <w:bottom w:val="single" w:sz="4" w:space="0" w:color="auto"/>
              <w:right w:val="single" w:sz="4" w:space="0" w:color="auto"/>
            </w:tcBorders>
          </w:tcPr>
          <w:p w14:paraId="7740A2E5" w14:textId="77777777" w:rsidR="00EB4AAD" w:rsidRPr="00EB4AAD" w:rsidRDefault="00C275A3" w:rsidP="00803D9D">
            <w:pPr>
              <w:spacing w:before="120" w:after="120"/>
              <w:rPr>
                <w:rFonts w:ascii="Cambria" w:hAnsi="Cambria"/>
                <w:noProof/>
              </w:rPr>
            </w:pPr>
            <w:r w:rsidRPr="00C275A3">
              <w:rPr>
                <w:rFonts w:ascii="Cambria" w:hAnsi="Cambria"/>
                <w:noProof/>
              </w:rPr>
              <w:t>Broj učesnika</w:t>
            </w:r>
            <w:r w:rsidR="007D1232">
              <w:rPr>
                <w:rFonts w:ascii="Cambria" w:hAnsi="Cambria"/>
                <w:noProof/>
              </w:rPr>
              <w:t xml:space="preserve"> </w:t>
            </w:r>
            <w:r w:rsidR="007D1232" w:rsidRPr="007D1232">
              <w:rPr>
                <w:rFonts w:ascii="Cambria" w:hAnsi="Cambria"/>
                <w:noProof/>
              </w:rPr>
              <w:t>≥30</w:t>
            </w:r>
          </w:p>
        </w:tc>
        <w:tc>
          <w:tcPr>
            <w:tcW w:w="4017" w:type="dxa"/>
            <w:tcBorders>
              <w:top w:val="double" w:sz="4" w:space="0" w:color="auto"/>
              <w:left w:val="single" w:sz="4" w:space="0" w:color="auto"/>
              <w:bottom w:val="single" w:sz="4" w:space="0" w:color="auto"/>
            </w:tcBorders>
            <w:shd w:val="clear" w:color="auto" w:fill="auto"/>
          </w:tcPr>
          <w:p w14:paraId="05B63570" w14:textId="77777777" w:rsidR="00EB4AAD" w:rsidRPr="00EB4AAD" w:rsidRDefault="005C041E" w:rsidP="00803D9D">
            <w:pPr>
              <w:spacing w:before="120" w:after="120"/>
              <w:rPr>
                <w:rFonts w:ascii="Cambria" w:hAnsi="Cambria"/>
                <w:noProof/>
                <w:lang w:val="pl-PL"/>
              </w:rPr>
            </w:pPr>
            <w:r>
              <w:rPr>
                <w:rFonts w:ascii="Cambria" w:hAnsi="Cambria"/>
                <w:noProof/>
                <w:lang w:val="pl-PL"/>
              </w:rPr>
              <w:t>10.000</w:t>
            </w:r>
          </w:p>
          <w:p w14:paraId="3A2CC21C" w14:textId="77777777" w:rsidR="00EB4AAD" w:rsidRPr="00EB4AAD" w:rsidRDefault="005C041E" w:rsidP="00803D9D">
            <w:pPr>
              <w:spacing w:before="120" w:after="120"/>
              <w:rPr>
                <w:rFonts w:ascii="Cambria" w:hAnsi="Cambria"/>
                <w:noProof/>
                <w:lang w:val="pl-PL"/>
              </w:rPr>
            </w:pPr>
            <w:r w:rsidRPr="005C041E">
              <w:rPr>
                <w:rFonts w:ascii="Cambria" w:hAnsi="Cambria"/>
                <w:noProof/>
                <w:lang w:val="pl-PL"/>
              </w:rPr>
              <w:t>Izvor:  IPA ili TAIEX</w:t>
            </w:r>
          </w:p>
        </w:tc>
      </w:tr>
      <w:tr w:rsidR="000E4C73" w:rsidRPr="00EB4AAD" w14:paraId="0335B632" w14:textId="77777777" w:rsidTr="00A275C9">
        <w:trPr>
          <w:trHeight w:val="176"/>
        </w:trPr>
        <w:tc>
          <w:tcPr>
            <w:tcW w:w="14367" w:type="dxa"/>
            <w:gridSpan w:val="5"/>
            <w:tcBorders>
              <w:top w:val="single" w:sz="4" w:space="0" w:color="auto"/>
              <w:bottom w:val="double" w:sz="4" w:space="0" w:color="auto"/>
            </w:tcBorders>
            <w:shd w:val="clear" w:color="auto" w:fill="auto"/>
          </w:tcPr>
          <w:p w14:paraId="476184F0" w14:textId="176A4F4A" w:rsidR="000E4C73" w:rsidRPr="00EB4AAD" w:rsidRDefault="000E4C73" w:rsidP="00BB313F">
            <w:pPr>
              <w:spacing w:before="120" w:after="120"/>
              <w:rPr>
                <w:rFonts w:ascii="Cambria" w:hAnsi="Cambria"/>
                <w:noProof/>
                <w:lang w:val="pl-PL"/>
              </w:rPr>
            </w:pPr>
            <w:r w:rsidRPr="0017074F">
              <w:rPr>
                <w:rFonts w:ascii="Cambria" w:hAnsi="Cambria"/>
                <w:i/>
                <w:noProof/>
                <w:lang w:val="sr-Latn-ME"/>
              </w:rPr>
              <w:t>Opis aktivnosti:</w:t>
            </w:r>
            <w:r>
              <w:rPr>
                <w:rFonts w:ascii="Cambria" w:hAnsi="Cambria"/>
                <w:noProof/>
                <w:lang w:val="sr-Latn-ME"/>
              </w:rPr>
              <w:t xml:space="preserve"> </w:t>
            </w:r>
            <w:r w:rsidR="0017074F" w:rsidRPr="0017074F">
              <w:rPr>
                <w:rFonts w:ascii="Cambria" w:hAnsi="Cambria"/>
                <w:noProof/>
                <w:lang w:val="sr-Latn-ME"/>
              </w:rPr>
              <w:t xml:space="preserve">Poznavanje IT alata koji industriji i nadležnim tijelima u EU omogućuju podnošenje, odnosno evaluaciju zahtjeva propisanih u REACH i BPR, te međusobnu razmjenu informacija u vezi sa hemikalijama i biocidnim proizvodima neophodno je za  primjenu relevantnih EU propisa u punom obimu.  Stoga, u predpristupnom periodu treba iskoristiti tehničku pomoć koja je na raspolaganju zemljama kandidatima za članstvo u EU i obučiti </w:t>
            </w:r>
            <w:r w:rsidR="0017074F" w:rsidRPr="0017074F">
              <w:rPr>
                <w:rFonts w:ascii="Cambria" w:hAnsi="Cambria"/>
                <w:noProof/>
                <w:lang w:val="sr-Latn-ME"/>
              </w:rPr>
              <w:lastRenderedPageBreak/>
              <w:t>administrativno osoblje i eksterne stručnjake za korišćenje IT alata  u oblasti upravljanja hemikalijama koje će biti neophodno kada Crna Gora postane članica i dođe do pune primjene EU propisa u ovoj oblasti.</w:t>
            </w:r>
          </w:p>
        </w:tc>
      </w:tr>
      <w:tr w:rsidR="00EB4AAD" w:rsidRPr="00EB4AAD" w14:paraId="28206ACE" w14:textId="77777777" w:rsidTr="00A275C9">
        <w:tc>
          <w:tcPr>
            <w:tcW w:w="14367" w:type="dxa"/>
            <w:gridSpan w:val="5"/>
            <w:tcBorders>
              <w:top w:val="double" w:sz="4" w:space="0" w:color="auto"/>
              <w:bottom w:val="double" w:sz="4" w:space="0" w:color="auto"/>
            </w:tcBorders>
            <w:shd w:val="clear" w:color="auto" w:fill="D9D9D9" w:themeFill="background1" w:themeFillShade="D9"/>
          </w:tcPr>
          <w:p w14:paraId="6D1A61A2" w14:textId="77777777" w:rsidR="00EB4AAD" w:rsidRPr="00EB4AAD" w:rsidRDefault="00EB4AAD" w:rsidP="00803D9D">
            <w:pPr>
              <w:spacing w:before="120" w:after="120"/>
              <w:rPr>
                <w:rFonts w:ascii="Cambria" w:hAnsi="Cambria"/>
                <w:b/>
                <w:noProof/>
                <w:lang w:val="sr-Latn-ME"/>
              </w:rPr>
            </w:pPr>
            <w:r w:rsidRPr="00EB4AAD">
              <w:rPr>
                <w:rFonts w:ascii="Cambria" w:hAnsi="Cambria"/>
                <w:b/>
                <w:noProof/>
                <w:lang w:val="sr-Latn-ME"/>
              </w:rPr>
              <w:t xml:space="preserve">CILJ 4. Poboljšanje dostupnosti informacija o hemikalijama i podizanje javne svijesti </w:t>
            </w:r>
          </w:p>
        </w:tc>
      </w:tr>
      <w:tr w:rsidR="00EB4AAD" w:rsidRPr="00EB4AAD" w14:paraId="5009D663"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7EAE2A7D" w14:textId="77777777" w:rsidR="00EB4AAD" w:rsidRPr="00EB4AAD" w:rsidRDefault="00EB4AAD" w:rsidP="00557C13">
            <w:pPr>
              <w:numPr>
                <w:ilvl w:val="0"/>
                <w:numId w:val="45"/>
              </w:numPr>
              <w:spacing w:before="120" w:after="120"/>
              <w:ind w:left="315" w:hanging="270"/>
              <w:rPr>
                <w:rFonts w:ascii="Cambria" w:hAnsi="Cambria"/>
                <w:noProof/>
                <w:lang w:val="sr-Latn-ME"/>
              </w:rPr>
            </w:pPr>
            <w:r w:rsidRPr="00EB4AAD">
              <w:rPr>
                <w:rFonts w:ascii="Cambria" w:hAnsi="Cambria"/>
                <w:noProof/>
                <w:lang w:val="sr-Latn-ME"/>
              </w:rPr>
              <w:t>Prikupljanje i objavljivanje podataka o hemikalijama</w:t>
            </w:r>
          </w:p>
          <w:p w14:paraId="7AA0EC73" w14:textId="77777777" w:rsidR="00EB4AAD" w:rsidRPr="00EB4AAD" w:rsidRDefault="00EB4AAD" w:rsidP="00BE665F">
            <w:pPr>
              <w:spacing w:before="120" w:after="120"/>
              <w:ind w:left="315" w:hanging="270"/>
              <w:rPr>
                <w:rFonts w:ascii="Cambria" w:hAnsi="Cambria"/>
                <w:noProof/>
                <w:lang w:val="pl-PL"/>
              </w:rPr>
            </w:pP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0A9BFF7A" w14:textId="77777777" w:rsidR="00EB4AAD" w:rsidRPr="00EB4AAD" w:rsidRDefault="00EB4AAD" w:rsidP="00803D9D">
            <w:pPr>
              <w:spacing w:before="120" w:after="120"/>
              <w:rPr>
                <w:rFonts w:ascii="Cambria" w:hAnsi="Cambria"/>
                <w:noProof/>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1DA49D00" w14:textId="77777777" w:rsidR="00EB4AAD" w:rsidRPr="00EB4AAD" w:rsidRDefault="00EB4AAD" w:rsidP="00803D9D">
            <w:pPr>
              <w:spacing w:before="120" w:after="120"/>
              <w:rPr>
                <w:rFonts w:ascii="Cambria" w:hAnsi="Cambria"/>
                <w:noProof/>
                <w:lang w:val="pl-PL"/>
              </w:rPr>
            </w:pPr>
          </w:p>
          <w:p w14:paraId="4F27CCE2"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MORT, AZPŽS </w:t>
            </w:r>
          </w:p>
        </w:tc>
        <w:tc>
          <w:tcPr>
            <w:tcW w:w="2250" w:type="dxa"/>
            <w:tcBorders>
              <w:top w:val="double" w:sz="4" w:space="0" w:color="auto"/>
              <w:left w:val="single" w:sz="4" w:space="0" w:color="auto"/>
              <w:bottom w:val="single" w:sz="4" w:space="0" w:color="auto"/>
              <w:right w:val="single" w:sz="4" w:space="0" w:color="auto"/>
            </w:tcBorders>
          </w:tcPr>
          <w:p w14:paraId="44EBE9AB" w14:textId="0A107C93" w:rsidR="00EB4AAD" w:rsidRPr="00EB4AAD" w:rsidRDefault="00EB4AAD" w:rsidP="00803D9D">
            <w:pPr>
              <w:spacing w:before="120" w:after="120"/>
              <w:rPr>
                <w:rFonts w:ascii="Cambria" w:hAnsi="Cambria"/>
                <w:noProof/>
                <w:lang w:val="pl-PL"/>
              </w:rPr>
            </w:pPr>
            <w:r w:rsidRPr="00EB4AAD">
              <w:rPr>
                <w:rFonts w:ascii="Cambria" w:hAnsi="Cambria"/>
                <w:noProof/>
                <w:lang w:val="pl-PL"/>
              </w:rPr>
              <w:t>Izv</w:t>
            </w:r>
            <w:r w:rsidR="004D1BD3">
              <w:rPr>
                <w:rFonts w:ascii="Cambria" w:hAnsi="Cambria"/>
                <w:noProof/>
                <w:lang w:val="pl-PL"/>
              </w:rPr>
              <w:t>j</w:t>
            </w:r>
            <w:r w:rsidRPr="00EB4AAD">
              <w:rPr>
                <w:rFonts w:ascii="Cambria" w:hAnsi="Cambria"/>
                <w:noProof/>
                <w:lang w:val="pl-PL"/>
              </w:rPr>
              <w:t>eštaj o stanju životne sredine sa podacima o upravljanju hemikalijama</w:t>
            </w:r>
          </w:p>
        </w:tc>
        <w:tc>
          <w:tcPr>
            <w:tcW w:w="4017" w:type="dxa"/>
            <w:tcBorders>
              <w:top w:val="double" w:sz="4" w:space="0" w:color="auto"/>
              <w:left w:val="single" w:sz="4" w:space="0" w:color="auto"/>
              <w:bottom w:val="single" w:sz="4" w:space="0" w:color="auto"/>
            </w:tcBorders>
            <w:shd w:val="clear" w:color="auto" w:fill="auto"/>
          </w:tcPr>
          <w:p w14:paraId="297030B8"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66458405" w14:textId="77777777" w:rsidTr="00A275C9">
        <w:trPr>
          <w:trHeight w:val="176"/>
        </w:trPr>
        <w:tc>
          <w:tcPr>
            <w:tcW w:w="14367" w:type="dxa"/>
            <w:gridSpan w:val="5"/>
            <w:tcBorders>
              <w:top w:val="single" w:sz="4" w:space="0" w:color="auto"/>
              <w:bottom w:val="double" w:sz="4" w:space="0" w:color="auto"/>
            </w:tcBorders>
            <w:shd w:val="clear" w:color="auto" w:fill="auto"/>
          </w:tcPr>
          <w:p w14:paraId="3E9B48D2" w14:textId="75E046F1" w:rsidR="000E4C73" w:rsidRPr="00EB4AAD" w:rsidRDefault="000E4C73" w:rsidP="00BB313F">
            <w:pPr>
              <w:spacing w:before="120" w:after="120"/>
              <w:rPr>
                <w:rFonts w:ascii="Cambria" w:hAnsi="Cambria"/>
                <w:noProof/>
                <w:lang w:val="pl-PL"/>
              </w:rPr>
            </w:pPr>
            <w:r w:rsidRPr="00373829">
              <w:rPr>
                <w:rFonts w:ascii="Cambria" w:hAnsi="Cambria"/>
                <w:i/>
                <w:noProof/>
                <w:lang w:val="sr-Latn-ME"/>
              </w:rPr>
              <w:t>Opis aktivnosti:</w:t>
            </w:r>
            <w:r>
              <w:rPr>
                <w:rFonts w:ascii="Cambria" w:hAnsi="Cambria"/>
                <w:noProof/>
                <w:lang w:val="sr-Latn-ME"/>
              </w:rPr>
              <w:t xml:space="preserve"> </w:t>
            </w:r>
            <w:r w:rsidR="00373829" w:rsidRPr="00373829">
              <w:rPr>
                <w:rFonts w:ascii="Cambria" w:hAnsi="Cambria"/>
                <w:noProof/>
                <w:lang w:val="sr-Latn-ME"/>
              </w:rPr>
              <w:t xml:space="preserve">Shodno Zakonu o hemikalijama AZPŽS vrši praćenje upotrebe i stavljanja na tržište hemikalija i na osnovu praćenja hemikalija sačinjava izvještaj o upravljanju hemikalijama. </w:t>
            </w:r>
            <w:bookmarkStart w:id="166" w:name="_Hlk527318559"/>
            <w:r w:rsidR="00373829" w:rsidRPr="00373829">
              <w:rPr>
                <w:rFonts w:ascii="Cambria" w:hAnsi="Cambria"/>
                <w:noProof/>
                <w:lang w:val="sr-Latn-ME"/>
              </w:rPr>
              <w:t>Podaci iz ovog izvještaja su sastavni dio izvještaja o stanju životne sredine. Ovi podaci se uglavnom zasnivaju na broju izdatih dozvola i rješenja, kao i na opisu upravnih postupaka koji se vode kod Agencije. Poželjno bi bilo da se ovim podacima dodaju i statistički obrađeni podaci iz registra hemikalija koji će dati sliku o ključnim količinama hemikalija na tržištu Crne Gore i njihovoj raspodjeli po predviđenoj upotrebi, odnosno o privrednim sektorima u kojima se hemikalije koriste, kao i da relevantni podaci budu dostupni na internet portalu Informacionog sistema zaštite životne sredine shodno sadržini ovog sistema definisanoj u Zakonu o zaštiti životne sredine.</w:t>
            </w:r>
            <w:bookmarkEnd w:id="166"/>
          </w:p>
        </w:tc>
      </w:tr>
      <w:tr w:rsidR="00EB4AAD" w:rsidRPr="00EB4AAD" w14:paraId="33348B39"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2472821D" w14:textId="77777777" w:rsidR="00EB4AAD" w:rsidRPr="00EB4AAD" w:rsidRDefault="00EB4AAD" w:rsidP="00557C13">
            <w:pPr>
              <w:numPr>
                <w:ilvl w:val="0"/>
                <w:numId w:val="45"/>
              </w:numPr>
              <w:spacing w:before="120" w:after="120"/>
              <w:ind w:left="315" w:hanging="270"/>
              <w:rPr>
                <w:rFonts w:ascii="Cambria" w:hAnsi="Cambria"/>
                <w:noProof/>
                <w:lang w:val="sr-Latn-ME"/>
              </w:rPr>
            </w:pPr>
            <w:r w:rsidRPr="00EB4AAD">
              <w:rPr>
                <w:rFonts w:ascii="Cambria" w:hAnsi="Cambria"/>
                <w:noProof/>
                <w:lang w:val="sr-Latn-ME"/>
              </w:rPr>
              <w:t>Podizanje svijesti o hemikalijama i načinima za minimizaciju njihovih štetnih efekata po zdravlje ljudi i životnu sredinu</w:t>
            </w:r>
          </w:p>
          <w:p w14:paraId="57F64676" w14:textId="77777777" w:rsidR="00EB4AAD" w:rsidRPr="00EB4AAD" w:rsidRDefault="00EB4AAD" w:rsidP="00BE665F">
            <w:pPr>
              <w:spacing w:before="120" w:after="120"/>
              <w:ind w:left="315" w:hanging="270"/>
              <w:rPr>
                <w:rFonts w:ascii="Cambria" w:hAnsi="Cambria"/>
                <w:noProof/>
                <w:lang w:val="pl-PL"/>
              </w:rPr>
            </w:pP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1DF9F1FD"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18C53793"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60F1D2E0"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Brošure, lifleti i sl. izrađeni i distribuirani </w:t>
            </w:r>
          </w:p>
        </w:tc>
        <w:tc>
          <w:tcPr>
            <w:tcW w:w="4017" w:type="dxa"/>
            <w:tcBorders>
              <w:top w:val="double" w:sz="4" w:space="0" w:color="auto"/>
              <w:left w:val="single" w:sz="4" w:space="0" w:color="auto"/>
              <w:bottom w:val="single" w:sz="4" w:space="0" w:color="auto"/>
            </w:tcBorders>
            <w:shd w:val="clear" w:color="auto" w:fill="auto"/>
            <w:vAlign w:val="center"/>
          </w:tcPr>
          <w:p w14:paraId="3833B85D"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10EBDFA7" w14:textId="77777777" w:rsidTr="00A275C9">
        <w:trPr>
          <w:trHeight w:val="176"/>
        </w:trPr>
        <w:tc>
          <w:tcPr>
            <w:tcW w:w="14367" w:type="dxa"/>
            <w:gridSpan w:val="5"/>
            <w:tcBorders>
              <w:top w:val="single" w:sz="4" w:space="0" w:color="auto"/>
              <w:bottom w:val="double" w:sz="4" w:space="0" w:color="auto"/>
            </w:tcBorders>
            <w:shd w:val="clear" w:color="auto" w:fill="auto"/>
          </w:tcPr>
          <w:p w14:paraId="13E69B98" w14:textId="2A053CA8" w:rsidR="000E4C73" w:rsidRPr="00EB4AAD" w:rsidRDefault="000E4C73" w:rsidP="00BB313F">
            <w:pPr>
              <w:spacing w:before="120" w:after="120"/>
              <w:rPr>
                <w:rFonts w:ascii="Cambria" w:hAnsi="Cambria"/>
                <w:noProof/>
                <w:lang w:val="pl-PL"/>
              </w:rPr>
            </w:pPr>
            <w:r w:rsidRPr="00373829">
              <w:rPr>
                <w:rFonts w:ascii="Cambria" w:hAnsi="Cambria"/>
                <w:i/>
                <w:noProof/>
                <w:lang w:val="sr-Latn-ME"/>
              </w:rPr>
              <w:t>Opis aktivnosti:</w:t>
            </w:r>
            <w:r>
              <w:rPr>
                <w:rFonts w:ascii="Cambria" w:hAnsi="Cambria"/>
                <w:noProof/>
                <w:lang w:val="sr-Latn-ME"/>
              </w:rPr>
              <w:t xml:space="preserve"> </w:t>
            </w:r>
            <w:r w:rsidR="00373829" w:rsidRPr="00373829">
              <w:rPr>
                <w:rFonts w:ascii="Cambria" w:hAnsi="Cambria"/>
                <w:noProof/>
                <w:lang w:val="sr-Latn-ME"/>
              </w:rPr>
              <w:t>Potrebno je izraditi i distribuirati odgovarajuće edukativne i informativne materijale prilagođene ciljnoj grupi kako bi se podigla svijest opšte populacije, ali i posebno osjetljivih grupa (poput trudnica, porodilja i djece) o mogućim štetnim efekatima hemikalija po zdravlje ljudi i životnu sredinu, adekvatnim preventivnim mjerama, kao i načinima za minimizaciju rizika.  U pogledu hemikalija na koje treba skrenuti posebnu pažnju treba imati u vidu POPs, živu, azbest, kao i hemikalije sa kojima su potrošači u kontaktu u svakodnevnom životu, a mogu biti uzročnici akutnih trovanja ili pak pri dugotrajnom izlaganju daju veoma štetne efetkte (poput CMR). Takođe, u skladu sa Zakonom o hemikalijama Agencija je dužna da o rizicima koji proizlaze iz upotrebe hemikalija, radi zaštite zdravlja ljudi i životne sredine obavještava javnost putem medija, a i da priprema vodiče o rizicima i bezbjednoj upotrebi hemikalija ili proizvoda.</w:t>
            </w:r>
          </w:p>
        </w:tc>
      </w:tr>
      <w:tr w:rsidR="00EB4AAD" w:rsidRPr="00EB4AAD" w14:paraId="045705C7"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01CDCF78" w14:textId="77777777" w:rsidR="00EB4AAD" w:rsidRPr="00EB4AAD" w:rsidRDefault="00EB4AAD" w:rsidP="00557C13">
            <w:pPr>
              <w:numPr>
                <w:ilvl w:val="0"/>
                <w:numId w:val="45"/>
              </w:numPr>
              <w:spacing w:before="120" w:after="120"/>
              <w:ind w:left="315" w:hanging="270"/>
              <w:rPr>
                <w:rFonts w:ascii="Cambria" w:hAnsi="Cambria"/>
                <w:noProof/>
                <w:lang w:val="pl-PL"/>
              </w:rPr>
            </w:pPr>
            <w:r w:rsidRPr="00EB4AAD">
              <w:rPr>
                <w:rFonts w:ascii="Cambria" w:hAnsi="Cambria"/>
                <w:noProof/>
                <w:lang w:val="pl-PL"/>
              </w:rPr>
              <w:lastRenderedPageBreak/>
              <w:t>Informisanje i edukacija stanovništva uz participaciju NVO i udruženja potrošača</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4F9CE631" w14:textId="77777777" w:rsidR="00EB4AAD" w:rsidRPr="00EB4AAD" w:rsidRDefault="00674ACF" w:rsidP="00803D9D">
            <w:pPr>
              <w:spacing w:before="120" w:after="120"/>
              <w:rPr>
                <w:rFonts w:ascii="Cambria" w:hAnsi="Cambria"/>
                <w:noProof/>
                <w:lang w:val="pl-PL"/>
              </w:rPr>
            </w:pPr>
            <w:r>
              <w:rPr>
                <w:rFonts w:ascii="Cambria" w:hAnsi="Cambria"/>
                <w:noProof/>
                <w:lang w:val="pl-PL"/>
              </w:rPr>
              <w:t>2020-</w:t>
            </w:r>
            <w:r w:rsidR="00EB4AAD" w:rsidRPr="00EB4AAD">
              <w:rPr>
                <w:rFonts w:ascii="Cambria" w:hAnsi="Cambria"/>
                <w:noProof/>
                <w:lang w:val="pl-PL"/>
              </w:rPr>
              <w:t>2022</w:t>
            </w:r>
          </w:p>
        </w:tc>
        <w:tc>
          <w:tcPr>
            <w:tcW w:w="1530" w:type="dxa"/>
            <w:tcBorders>
              <w:top w:val="double" w:sz="4" w:space="0" w:color="auto"/>
              <w:left w:val="single" w:sz="4" w:space="0" w:color="auto"/>
              <w:bottom w:val="single" w:sz="4" w:space="0" w:color="auto"/>
              <w:right w:val="single" w:sz="4" w:space="0" w:color="auto"/>
            </w:tcBorders>
            <w:shd w:val="clear" w:color="auto" w:fill="auto"/>
            <w:vAlign w:val="center"/>
          </w:tcPr>
          <w:p w14:paraId="5137B719"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r w:rsidR="0077690B">
              <w:rPr>
                <w:rFonts w:ascii="Cambria" w:hAnsi="Cambria"/>
                <w:noProof/>
                <w:lang w:val="pl-PL"/>
              </w:rPr>
              <w:t>, ME</w:t>
            </w:r>
          </w:p>
        </w:tc>
        <w:tc>
          <w:tcPr>
            <w:tcW w:w="2250" w:type="dxa"/>
            <w:tcBorders>
              <w:top w:val="double" w:sz="4" w:space="0" w:color="auto"/>
              <w:left w:val="single" w:sz="4" w:space="0" w:color="auto"/>
              <w:bottom w:val="single" w:sz="4" w:space="0" w:color="auto"/>
              <w:right w:val="single" w:sz="4" w:space="0" w:color="auto"/>
            </w:tcBorders>
          </w:tcPr>
          <w:p w14:paraId="61782DFF" w14:textId="6338B24C" w:rsidR="00EB4AAD" w:rsidRPr="00EB4AAD" w:rsidRDefault="00EB4AAD" w:rsidP="00803D9D">
            <w:pPr>
              <w:spacing w:before="120" w:after="120"/>
              <w:rPr>
                <w:rFonts w:ascii="Cambria" w:hAnsi="Cambria"/>
                <w:noProof/>
                <w:lang w:val="pl-PL"/>
              </w:rPr>
            </w:pPr>
            <w:r w:rsidRPr="00EB4AAD">
              <w:rPr>
                <w:rFonts w:ascii="Cambria" w:hAnsi="Cambria"/>
                <w:noProof/>
                <w:lang w:val="pl-PL"/>
              </w:rPr>
              <w:t>Projekat</w:t>
            </w:r>
            <w:r w:rsidR="005C041E">
              <w:rPr>
                <w:rFonts w:ascii="Cambria" w:hAnsi="Cambria"/>
                <w:noProof/>
                <w:lang w:val="pl-PL"/>
              </w:rPr>
              <w:t xml:space="preserve"> izgradnje</w:t>
            </w:r>
            <w:r w:rsidRPr="00EB4AAD">
              <w:rPr>
                <w:rFonts w:ascii="Cambria" w:hAnsi="Cambria"/>
                <w:noProof/>
                <w:lang w:val="pl-PL"/>
              </w:rPr>
              <w:t xml:space="preserve"> strateškog partnerstva na edukaciji uz participaciju NVO sproveden-verifikacija</w:t>
            </w:r>
            <w:r w:rsidR="002F06E9">
              <w:rPr>
                <w:rFonts w:ascii="Cambria" w:hAnsi="Cambria"/>
                <w:noProof/>
                <w:lang w:val="pl-PL"/>
              </w:rPr>
              <w:t>:</w:t>
            </w:r>
            <w:r w:rsidRPr="00EB4AAD">
              <w:rPr>
                <w:rFonts w:ascii="Cambria" w:hAnsi="Cambria"/>
                <w:noProof/>
                <w:lang w:val="pl-PL"/>
              </w:rPr>
              <w:t xml:space="preserve"> završni izv</w:t>
            </w:r>
            <w:r w:rsidR="004D1BD3">
              <w:rPr>
                <w:rFonts w:ascii="Cambria" w:hAnsi="Cambria"/>
                <w:noProof/>
                <w:lang w:val="pl-PL"/>
              </w:rPr>
              <w:t>j</w:t>
            </w:r>
            <w:r w:rsidRPr="00EB4AAD">
              <w:rPr>
                <w:rFonts w:ascii="Cambria" w:hAnsi="Cambria"/>
                <w:noProof/>
                <w:lang w:val="pl-PL"/>
              </w:rPr>
              <w:t>eštaj</w:t>
            </w:r>
          </w:p>
        </w:tc>
        <w:tc>
          <w:tcPr>
            <w:tcW w:w="4017" w:type="dxa"/>
            <w:tcBorders>
              <w:top w:val="double" w:sz="4" w:space="0" w:color="auto"/>
              <w:left w:val="single" w:sz="4" w:space="0" w:color="auto"/>
              <w:bottom w:val="single" w:sz="4" w:space="0" w:color="auto"/>
            </w:tcBorders>
            <w:shd w:val="clear" w:color="auto" w:fill="auto"/>
            <w:vAlign w:val="center"/>
          </w:tcPr>
          <w:p w14:paraId="5A896966" w14:textId="77777777" w:rsidR="00EB4AAD" w:rsidRPr="00EB4AAD" w:rsidRDefault="003426CC" w:rsidP="00803D9D">
            <w:pPr>
              <w:spacing w:before="120" w:after="120"/>
              <w:rPr>
                <w:rFonts w:ascii="Cambria" w:hAnsi="Cambria"/>
                <w:noProof/>
                <w:lang w:val="pl-PL"/>
              </w:rPr>
            </w:pPr>
            <w:r>
              <w:rPr>
                <w:rFonts w:ascii="Cambria" w:hAnsi="Cambria"/>
                <w:noProof/>
                <w:lang w:val="pl-PL"/>
              </w:rPr>
              <w:t>200.000</w:t>
            </w:r>
            <w:r w:rsidR="00EB4AAD" w:rsidRPr="00EB4AAD">
              <w:rPr>
                <w:rFonts w:ascii="Cambria" w:hAnsi="Cambria"/>
                <w:noProof/>
                <w:lang w:val="pl-PL"/>
              </w:rPr>
              <w:t xml:space="preserve"> </w:t>
            </w:r>
          </w:p>
          <w:p w14:paraId="649D5F1F"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w:t>
            </w:r>
            <w:r w:rsidR="003426CC">
              <w:rPr>
                <w:rFonts w:ascii="Cambria" w:hAnsi="Cambria"/>
                <w:noProof/>
                <w:lang w:val="pl-PL"/>
              </w:rPr>
              <w:t>izvor</w:t>
            </w:r>
            <w:r w:rsidR="00107123">
              <w:rPr>
                <w:rFonts w:ascii="Cambria" w:hAnsi="Cambria"/>
                <w:noProof/>
                <w:lang w:val="pl-PL"/>
              </w:rPr>
              <w:t>:</w:t>
            </w:r>
            <w:r w:rsidR="003426CC" w:rsidRPr="00EB4AAD">
              <w:rPr>
                <w:rFonts w:ascii="Cambria" w:hAnsi="Cambria"/>
                <w:noProof/>
                <w:lang w:val="pl-PL"/>
              </w:rPr>
              <w:t xml:space="preserve"> Quick Start</w:t>
            </w:r>
            <w:r w:rsidR="003426CC">
              <w:rPr>
                <w:rFonts w:ascii="Cambria" w:hAnsi="Cambria"/>
                <w:noProof/>
                <w:lang w:val="pl-PL"/>
              </w:rPr>
              <w:t xml:space="preserve"> programme</w:t>
            </w:r>
            <w:r w:rsidR="003426CC" w:rsidRPr="00EB4AAD">
              <w:rPr>
                <w:rFonts w:ascii="Cambria" w:hAnsi="Cambria"/>
                <w:noProof/>
                <w:lang w:val="pl-PL"/>
              </w:rPr>
              <w:t xml:space="preserve"> -SAICM</w:t>
            </w:r>
            <w:r w:rsidRPr="00EB4AAD">
              <w:rPr>
                <w:rFonts w:ascii="Cambria" w:hAnsi="Cambria"/>
                <w:noProof/>
                <w:lang w:val="pl-PL"/>
              </w:rPr>
              <w:t>)</w:t>
            </w:r>
          </w:p>
        </w:tc>
      </w:tr>
      <w:tr w:rsidR="000E4C73" w:rsidRPr="00EB4AAD" w14:paraId="5F438598" w14:textId="77777777" w:rsidTr="00A275C9">
        <w:trPr>
          <w:trHeight w:val="176"/>
        </w:trPr>
        <w:tc>
          <w:tcPr>
            <w:tcW w:w="14367" w:type="dxa"/>
            <w:gridSpan w:val="5"/>
            <w:tcBorders>
              <w:top w:val="single" w:sz="4" w:space="0" w:color="auto"/>
              <w:bottom w:val="double" w:sz="4" w:space="0" w:color="auto"/>
            </w:tcBorders>
            <w:shd w:val="clear" w:color="auto" w:fill="auto"/>
          </w:tcPr>
          <w:p w14:paraId="43EFBD72" w14:textId="6A4210E8" w:rsidR="000E4C73" w:rsidRPr="00EB4AAD" w:rsidRDefault="000E4C73" w:rsidP="00BB313F">
            <w:pPr>
              <w:spacing w:before="120" w:after="120"/>
              <w:rPr>
                <w:rFonts w:ascii="Cambria" w:hAnsi="Cambria"/>
                <w:noProof/>
                <w:lang w:val="pl-PL"/>
              </w:rPr>
            </w:pPr>
            <w:r w:rsidRPr="00373829">
              <w:rPr>
                <w:rFonts w:ascii="Cambria" w:hAnsi="Cambria"/>
                <w:i/>
                <w:noProof/>
                <w:lang w:val="sr-Latn-ME"/>
              </w:rPr>
              <w:t>Opis aktivnosti</w:t>
            </w:r>
            <w:r>
              <w:rPr>
                <w:rFonts w:ascii="Cambria" w:hAnsi="Cambria"/>
                <w:noProof/>
                <w:lang w:val="sr-Latn-ME"/>
              </w:rPr>
              <w:t xml:space="preserve">: </w:t>
            </w:r>
            <w:r w:rsidR="00373829" w:rsidRPr="00373829">
              <w:rPr>
                <w:rFonts w:ascii="Cambria" w:hAnsi="Cambria"/>
                <w:noProof/>
                <w:lang w:val="sr-Latn-ME"/>
              </w:rPr>
              <w:t>Sadašnja situacija u Crnoj Gori vezana za upravljanje i problematiku hemikalija ukazuje na to da je nivo saznanja o njima i njihovom negativnom uticaju na životnu sredinu i zdravlje ljudi zadovoljavajuća unutar stručnih institucija.  Aktivnosti nadležnih organa u pogledu edukacija o mogućem štetnom uticaju hemikalija na zdravlje ljudi i životnu sredinu do sada su uglavnom bile usmjerene na edukacije u obrazovnim institucijama. Međutim, nivo saznanja unutar prosječne populacije je na relativno niskom nivou. Takođe, NVO i udruženja potrošača u Crnoj Gori do sada nisu imale aktivnosti podizanju javne svijesti o hemikalijama, niti su u svom radu posebno obrađivale temu hemikalija.  Preporučuje se uspostavljanje  saradnje nadležnih organa sa NVO i udruženjima potrošača na informisanju opšte javnosti o hemikalijama kako bi se kapaciteti i kanali NVO iskoristili za što šire plasiranje relevantnih informacija prema opštoj populaciji, a istovremeno podigla znanja NVO (uključujući udruženja potrošača) i zainteresovanost za  oblast hemikalija, čime bi se dugoročno obezbijedili kapaciteti van nadležnih organa koji bi mogli da kontinuirano podižu svijest javnosti o opasnostima i rizicima koje hemikalije predstavljaju bilo kad se koriste u obliku supstance ili smješe, ili pak kada su sastavni dio proizvoda, kao i o preventivnim mjerama. Od posebnog značaja je informisanje o mogućim neusaglašenostima određenih proizvoda u pogledu hemijske bezbjednosti, kako bi potrošači umjeli da prepoznaju ovakve proizvode i bili upućeni na prava koja im daje regulativa o zaštiti potrošača, kao i regulativa o hemikalijama, a posebno član 23. Zakona o hemikalijama.  S tim u vezi, u okviru saradnje potrebno je organizovati obuke NVO i udruženja potrošača po principu „trening trenera“ a potom i zajedničke aktivnosti na informisanju i edukaciji stanovništva. S obzirom da bi se na ovaj način moglo napraviti strateško partnerstvo nadležnih organa sa zainteresovanim stranama u oblasti hemikalija na ostvarenju SAICM  ciljeva, postoji mogućnost za apliciranje za projekat koji bi bili finansirani iz sredstva „Quick Start“ programa-SAICM.</w:t>
            </w:r>
          </w:p>
        </w:tc>
      </w:tr>
      <w:tr w:rsidR="00EB4AAD" w:rsidRPr="00EB4AAD" w14:paraId="2992A9EF" w14:textId="77777777" w:rsidTr="00A275C9">
        <w:tc>
          <w:tcPr>
            <w:tcW w:w="14367" w:type="dxa"/>
            <w:gridSpan w:val="5"/>
            <w:tcBorders>
              <w:top w:val="double" w:sz="4" w:space="0" w:color="auto"/>
              <w:bottom w:val="double" w:sz="4" w:space="0" w:color="auto"/>
            </w:tcBorders>
            <w:shd w:val="clear" w:color="auto" w:fill="D9D9D9" w:themeFill="background1" w:themeFillShade="D9"/>
          </w:tcPr>
          <w:p w14:paraId="19854AC8" w14:textId="77777777" w:rsidR="00EB4AAD" w:rsidRPr="00EB4AAD" w:rsidRDefault="00EB4AAD" w:rsidP="00803D9D">
            <w:pPr>
              <w:spacing w:before="120" w:after="120"/>
              <w:rPr>
                <w:rFonts w:ascii="Cambria" w:hAnsi="Cambria"/>
                <w:b/>
                <w:noProof/>
                <w:lang w:val="sr-Latn-ME"/>
              </w:rPr>
            </w:pPr>
            <w:r w:rsidRPr="00EB4AAD">
              <w:rPr>
                <w:rFonts w:ascii="Cambria" w:hAnsi="Cambria"/>
                <w:b/>
                <w:noProof/>
                <w:lang w:val="sr-Latn-ME"/>
              </w:rPr>
              <w:t>CILJ 5. Unaprijeđenje mjera zaštite i pripremljenosti za slučajeve trovanja i hemijskih udesa</w:t>
            </w:r>
          </w:p>
        </w:tc>
      </w:tr>
      <w:tr w:rsidR="00EB4AAD" w:rsidRPr="00EB4AAD" w14:paraId="1D5B02DF"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7A8DF00A" w14:textId="77777777" w:rsidR="002252F3" w:rsidRPr="00EB4AAD" w:rsidRDefault="005B62D7" w:rsidP="00557C13">
            <w:pPr>
              <w:numPr>
                <w:ilvl w:val="0"/>
                <w:numId w:val="46"/>
              </w:numPr>
              <w:spacing w:before="120" w:after="120"/>
              <w:ind w:left="315" w:hanging="270"/>
              <w:rPr>
                <w:rFonts w:ascii="Cambria" w:hAnsi="Cambria"/>
                <w:noProof/>
                <w:lang w:val="pl-PL"/>
              </w:rPr>
            </w:pPr>
            <w:r w:rsidRPr="005B62D7">
              <w:rPr>
                <w:rFonts w:ascii="Cambria" w:hAnsi="Cambria"/>
                <w:noProof/>
                <w:lang w:val="sr-Latn-ME"/>
              </w:rPr>
              <w:t>Dalje jačanje</w:t>
            </w:r>
            <w:r w:rsidRPr="005B62D7">
              <w:rPr>
                <w:rFonts w:ascii="Cambria" w:hAnsi="Cambria"/>
                <w:b/>
                <w:i/>
                <w:noProof/>
                <w:lang w:val="sr-Latn-ME"/>
              </w:rPr>
              <w:t xml:space="preserve"> </w:t>
            </w:r>
            <w:r w:rsidR="000C6C88" w:rsidRPr="00EB4AAD">
              <w:rPr>
                <w:rFonts w:ascii="Cambria" w:hAnsi="Cambria"/>
                <w:noProof/>
                <w:lang w:val="pl-PL"/>
              </w:rPr>
              <w:t>mjera zaštite pri izlaganju hemijskim materijama na radnim mjestima</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323EB502"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2AB2CD7E"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MRSS </w:t>
            </w:r>
          </w:p>
        </w:tc>
        <w:tc>
          <w:tcPr>
            <w:tcW w:w="2250" w:type="dxa"/>
            <w:tcBorders>
              <w:top w:val="double" w:sz="4" w:space="0" w:color="auto"/>
              <w:left w:val="single" w:sz="4" w:space="0" w:color="auto"/>
              <w:bottom w:val="single" w:sz="4" w:space="0" w:color="auto"/>
              <w:right w:val="single" w:sz="4" w:space="0" w:color="auto"/>
            </w:tcBorders>
          </w:tcPr>
          <w:p w14:paraId="2882245B"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Smanjenje broja privrednih subjekata kod kojih su u inspekcijskom nadzoru uočene </w:t>
            </w:r>
            <w:r w:rsidRPr="00EB4AAD">
              <w:rPr>
                <w:rFonts w:ascii="Cambria" w:hAnsi="Cambria"/>
                <w:noProof/>
                <w:lang w:val="pl-PL"/>
              </w:rPr>
              <w:lastRenderedPageBreak/>
              <w:t xml:space="preserve">nepravilnosti po pitanju ispunjenosti propisanih uslova u pogledu procjene rizika na radnim mjestima </w:t>
            </w:r>
          </w:p>
        </w:tc>
        <w:tc>
          <w:tcPr>
            <w:tcW w:w="4017" w:type="dxa"/>
            <w:tcBorders>
              <w:top w:val="double" w:sz="4" w:space="0" w:color="auto"/>
              <w:left w:val="single" w:sz="4" w:space="0" w:color="auto"/>
              <w:bottom w:val="single" w:sz="4" w:space="0" w:color="auto"/>
            </w:tcBorders>
            <w:shd w:val="clear" w:color="auto" w:fill="auto"/>
          </w:tcPr>
          <w:p w14:paraId="23B978C6" w14:textId="77777777" w:rsidR="00EB4AAD" w:rsidRPr="00EB4AAD" w:rsidRDefault="00EB4AAD" w:rsidP="00803D9D">
            <w:pPr>
              <w:spacing w:before="120" w:after="120"/>
              <w:rPr>
                <w:rFonts w:ascii="Cambria" w:hAnsi="Cambria"/>
                <w:noProof/>
              </w:rPr>
            </w:pPr>
            <w:r w:rsidRPr="00EB4AAD">
              <w:rPr>
                <w:rFonts w:ascii="Cambria" w:hAnsi="Cambria"/>
                <w:noProof/>
                <w:lang w:val="pl-PL"/>
              </w:rPr>
              <w:lastRenderedPageBreak/>
              <w:t xml:space="preserve">Aktivnost pokrivena  iz budžeta     </w:t>
            </w:r>
          </w:p>
        </w:tc>
      </w:tr>
      <w:tr w:rsidR="000E4C73" w:rsidRPr="00EB4AAD" w14:paraId="24511623" w14:textId="77777777" w:rsidTr="00A275C9">
        <w:trPr>
          <w:trHeight w:val="176"/>
        </w:trPr>
        <w:tc>
          <w:tcPr>
            <w:tcW w:w="14367" w:type="dxa"/>
            <w:gridSpan w:val="5"/>
            <w:tcBorders>
              <w:top w:val="single" w:sz="4" w:space="0" w:color="auto"/>
              <w:bottom w:val="double" w:sz="4" w:space="0" w:color="auto"/>
            </w:tcBorders>
            <w:shd w:val="clear" w:color="auto" w:fill="auto"/>
          </w:tcPr>
          <w:p w14:paraId="3C69077D" w14:textId="0C87FC19" w:rsidR="000E4C73" w:rsidRPr="00EB4AAD" w:rsidRDefault="000E4C73" w:rsidP="00BB313F">
            <w:pPr>
              <w:spacing w:before="120" w:after="120"/>
              <w:rPr>
                <w:rFonts w:ascii="Cambria" w:hAnsi="Cambria"/>
                <w:noProof/>
                <w:lang w:val="pl-PL"/>
              </w:rPr>
            </w:pPr>
            <w:r w:rsidRPr="00373829">
              <w:rPr>
                <w:rFonts w:ascii="Cambria" w:hAnsi="Cambria"/>
                <w:i/>
                <w:noProof/>
                <w:lang w:val="sr-Latn-ME"/>
              </w:rPr>
              <w:t>Opis aktivnosti:</w:t>
            </w:r>
            <w:r>
              <w:rPr>
                <w:rFonts w:ascii="Cambria" w:hAnsi="Cambria"/>
                <w:noProof/>
                <w:lang w:val="sr-Latn-ME"/>
              </w:rPr>
              <w:t xml:space="preserve"> </w:t>
            </w:r>
            <w:r w:rsidR="00373829" w:rsidRPr="00373829">
              <w:rPr>
                <w:rFonts w:ascii="Cambria" w:hAnsi="Cambria"/>
                <w:noProof/>
                <w:lang w:val="sr-Latn-ME"/>
              </w:rPr>
              <w:t>Svi privredni subjekti koji u svom radu rukuju sa hemikalijama ili ih koriste u proizvodnji treba da sprovedu detaljnu procjenu rizika pri izlaganju hemijskim materijama na radnim mjestima i utvrde načine bezbjednog rukovanja da bi se izbjeglo nepotrebno izlaganje ili stepen izlaganja sveo na minimum.  Potrebno je nastaviti sa edukacijom zaposlenih o potencijalnim opasnostima i mjerama zaštite, kao i uspostavljanjem odgovarajuće tehničke kontrole i/ili primjenom opreme za ličnu zaštitu minimizovati izloženost na radnim mjestima.</w:t>
            </w:r>
          </w:p>
        </w:tc>
      </w:tr>
      <w:tr w:rsidR="00EB4AAD" w:rsidRPr="00EB4AAD" w14:paraId="6B288908"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4789EEAB" w14:textId="77777777" w:rsidR="00EB4AAD" w:rsidRPr="00EB4AAD" w:rsidRDefault="00EB4AAD" w:rsidP="00557C13">
            <w:pPr>
              <w:numPr>
                <w:ilvl w:val="0"/>
                <w:numId w:val="46"/>
              </w:numPr>
              <w:spacing w:before="120" w:after="120"/>
              <w:ind w:left="315" w:hanging="270"/>
              <w:rPr>
                <w:rFonts w:ascii="Cambria" w:hAnsi="Cambria"/>
                <w:noProof/>
                <w:lang w:val="pl-PL"/>
              </w:rPr>
            </w:pPr>
            <w:r w:rsidRPr="00EB4AAD">
              <w:rPr>
                <w:rFonts w:ascii="Cambria" w:hAnsi="Cambria"/>
                <w:noProof/>
                <w:lang w:val="pl-PL"/>
              </w:rPr>
              <w:t>Uspostavljanje Centra za kontrolu trovanja</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1195DECE" w14:textId="39EFA5D7" w:rsidR="00EB4AAD" w:rsidRPr="00EB4AAD" w:rsidRDefault="00EB4AAD" w:rsidP="00803D9D">
            <w:pPr>
              <w:spacing w:before="120" w:after="120"/>
              <w:rPr>
                <w:rFonts w:ascii="Cambria" w:hAnsi="Cambria"/>
                <w:noProof/>
                <w:lang w:val="pl-PL"/>
              </w:rPr>
            </w:pPr>
            <w:r w:rsidRPr="00EB4AAD">
              <w:rPr>
                <w:rFonts w:ascii="Cambria" w:hAnsi="Cambria"/>
                <w:noProof/>
                <w:lang w:val="pl-PL"/>
              </w:rPr>
              <w:t>20</w:t>
            </w:r>
            <w:r w:rsidR="005331A9">
              <w:rPr>
                <w:rFonts w:ascii="Cambria" w:hAnsi="Cambria"/>
                <w:noProof/>
                <w:lang w:val="pl-PL"/>
              </w:rPr>
              <w:t>20</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3D913FA8"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MZ</w:t>
            </w:r>
          </w:p>
        </w:tc>
        <w:tc>
          <w:tcPr>
            <w:tcW w:w="2250" w:type="dxa"/>
            <w:tcBorders>
              <w:top w:val="double" w:sz="4" w:space="0" w:color="auto"/>
              <w:left w:val="single" w:sz="4" w:space="0" w:color="auto"/>
              <w:bottom w:val="single" w:sz="4" w:space="0" w:color="auto"/>
              <w:right w:val="single" w:sz="4" w:space="0" w:color="auto"/>
            </w:tcBorders>
          </w:tcPr>
          <w:p w14:paraId="0843DA10" w14:textId="5799349A" w:rsidR="00EB4AAD" w:rsidRPr="00EB4AAD" w:rsidRDefault="00EB4AAD" w:rsidP="00803D9D">
            <w:pPr>
              <w:spacing w:before="120" w:after="120"/>
              <w:rPr>
                <w:rFonts w:ascii="Cambria" w:hAnsi="Cambria"/>
                <w:noProof/>
                <w:lang w:val="pl-PL"/>
              </w:rPr>
            </w:pPr>
            <w:r w:rsidRPr="00EB4AAD">
              <w:rPr>
                <w:rFonts w:ascii="Cambria" w:hAnsi="Cambria"/>
                <w:noProof/>
                <w:lang w:val="pl-PL"/>
              </w:rPr>
              <w:t>Centar uspostavljen</w:t>
            </w:r>
            <w:r w:rsidR="005331A9" w:rsidRPr="005331A9">
              <w:rPr>
                <w:rFonts w:ascii="Cambria" w:hAnsi="Cambria"/>
                <w:noProof/>
              </w:rPr>
              <w:t xml:space="preserve"> kao zasebna cjelina u sklopu KCCG</w:t>
            </w:r>
            <w:r w:rsidRPr="00EB4AAD">
              <w:rPr>
                <w:rFonts w:ascii="Cambria" w:hAnsi="Cambria"/>
                <w:noProof/>
                <w:lang w:val="pl-PL"/>
              </w:rPr>
              <w:t xml:space="preserve"> i operativan</w:t>
            </w:r>
          </w:p>
        </w:tc>
        <w:tc>
          <w:tcPr>
            <w:tcW w:w="4017" w:type="dxa"/>
            <w:tcBorders>
              <w:top w:val="double" w:sz="4" w:space="0" w:color="auto"/>
              <w:left w:val="single" w:sz="4" w:space="0" w:color="auto"/>
              <w:bottom w:val="single" w:sz="4" w:space="0" w:color="auto"/>
            </w:tcBorders>
            <w:shd w:val="clear" w:color="auto" w:fill="auto"/>
          </w:tcPr>
          <w:p w14:paraId="4B7A82A3" w14:textId="38F5DDD9" w:rsidR="005331A9" w:rsidRPr="005331A9" w:rsidRDefault="005331A9" w:rsidP="005331A9">
            <w:pPr>
              <w:spacing w:before="120" w:after="120"/>
              <w:rPr>
                <w:rFonts w:ascii="Cambria" w:hAnsi="Cambria"/>
                <w:noProof/>
                <w:lang w:val="pl-PL"/>
              </w:rPr>
            </w:pPr>
            <w:r w:rsidRPr="005331A9">
              <w:rPr>
                <w:rFonts w:ascii="Cambria" w:hAnsi="Cambria"/>
                <w:noProof/>
                <w:lang w:val="pl-PL"/>
              </w:rPr>
              <w:t>Sredstva obezbijediti iz IPA</w:t>
            </w:r>
            <w:r w:rsidR="001D24CA">
              <w:rPr>
                <w:rFonts w:ascii="Cambria" w:hAnsi="Cambria"/>
                <w:noProof/>
                <w:lang w:val="pl-PL"/>
              </w:rPr>
              <w:t xml:space="preserve"> ili TAIEX</w:t>
            </w:r>
          </w:p>
          <w:p w14:paraId="2E115CF9" w14:textId="35F275D1" w:rsidR="00EB4AAD" w:rsidRPr="00EB4AAD" w:rsidRDefault="005331A9" w:rsidP="005331A9">
            <w:pPr>
              <w:spacing w:before="120" w:after="120"/>
              <w:rPr>
                <w:rFonts w:ascii="Cambria" w:hAnsi="Cambria"/>
                <w:noProof/>
              </w:rPr>
            </w:pPr>
            <w:r w:rsidRPr="005331A9">
              <w:rPr>
                <w:rFonts w:ascii="Cambria" w:hAnsi="Cambria"/>
                <w:noProof/>
                <w:lang w:val="pl-PL"/>
              </w:rPr>
              <w:t>(iznos za pojedinačne aktivnosti  definisati u okviru izrade predloga projekta)</w:t>
            </w:r>
          </w:p>
        </w:tc>
      </w:tr>
      <w:tr w:rsidR="000E4C73" w:rsidRPr="00EB4AAD" w14:paraId="66F447E2" w14:textId="77777777" w:rsidTr="00A275C9">
        <w:trPr>
          <w:trHeight w:val="176"/>
        </w:trPr>
        <w:tc>
          <w:tcPr>
            <w:tcW w:w="14367" w:type="dxa"/>
            <w:gridSpan w:val="5"/>
            <w:tcBorders>
              <w:top w:val="single" w:sz="4" w:space="0" w:color="auto"/>
              <w:bottom w:val="double" w:sz="4" w:space="0" w:color="auto"/>
            </w:tcBorders>
            <w:shd w:val="clear" w:color="auto" w:fill="auto"/>
          </w:tcPr>
          <w:p w14:paraId="55CAFA61" w14:textId="50DD77CD" w:rsidR="000E4C73" w:rsidRPr="00EB4AAD" w:rsidRDefault="000E4C73" w:rsidP="00BB313F">
            <w:pPr>
              <w:spacing w:before="120" w:after="120"/>
              <w:rPr>
                <w:rFonts w:ascii="Cambria" w:hAnsi="Cambria"/>
                <w:noProof/>
                <w:lang w:val="pl-PL"/>
              </w:rPr>
            </w:pPr>
            <w:r w:rsidRPr="00373829">
              <w:rPr>
                <w:rFonts w:ascii="Cambria" w:hAnsi="Cambria"/>
                <w:i/>
                <w:noProof/>
                <w:lang w:val="sr-Latn-ME"/>
              </w:rPr>
              <w:t>Opis aktivnosti:</w:t>
            </w:r>
            <w:r>
              <w:rPr>
                <w:rFonts w:ascii="Cambria" w:hAnsi="Cambria"/>
                <w:noProof/>
                <w:lang w:val="sr-Latn-ME"/>
              </w:rPr>
              <w:t xml:space="preserve"> </w:t>
            </w:r>
            <w:r w:rsidR="00373829" w:rsidRPr="00373829">
              <w:rPr>
                <w:rFonts w:ascii="Cambria" w:hAnsi="Cambria"/>
                <w:noProof/>
                <w:lang w:val="sr-Latn-ME"/>
              </w:rPr>
              <w:t xml:space="preserve">Potrebno je uspostaviti Centar za kontrolu trovanja, kao centralnu tačku za prijem i objedinjavanje informacija o trovanjima i hemikalijama kao potencijalnim uzročnicima trovanja,  koja bi medicinskom osoblju, ali i građanima bila na raspolaganju za relevantne informacije o reagovanju u slučaju trovanja, adekvatnom tretmanu i antidotima.  Obaveza uspostavljanja Centra za kontolu trovanja u EU proističe iz CLP uredbe prema kojoj su zemlje članice EU dužne da uspostave organe (često poznate kao centri za trovanje) za prikupljanje i objedinjavanje informacija o trovanjima hemijskim agensima, a u cilju formulisanja odgovarajućih preventivnih i kurativnih mjera u slučaju trovanja.  U cilju racionalizacije troškova, u ovaj Centar mogao bi da funkcioniše </w:t>
            </w:r>
            <w:r w:rsidR="005331A9" w:rsidRPr="005331A9">
              <w:rPr>
                <w:rFonts w:ascii="Cambria" w:hAnsi="Cambria"/>
                <w:noProof/>
                <w:lang w:val="sr-Latn-ME"/>
              </w:rPr>
              <w:t xml:space="preserve">kao zasebna cjelina u sklopu </w:t>
            </w:r>
            <w:r w:rsidR="005331A9">
              <w:rPr>
                <w:rFonts w:ascii="Cambria" w:hAnsi="Cambria"/>
                <w:noProof/>
                <w:lang w:val="sr-Latn-ME"/>
              </w:rPr>
              <w:t>Kliničkog centra Crne Gore</w:t>
            </w:r>
            <w:r w:rsidR="000C7749">
              <w:rPr>
                <w:rFonts w:ascii="Cambria" w:hAnsi="Cambria"/>
                <w:noProof/>
                <w:lang w:val="sr-Latn-ME"/>
              </w:rPr>
              <w:t xml:space="preserve"> (KCCG)</w:t>
            </w:r>
            <w:r w:rsidR="005331A9" w:rsidRPr="005331A9">
              <w:rPr>
                <w:rFonts w:ascii="Cambria" w:hAnsi="Cambria"/>
                <w:noProof/>
                <w:lang w:val="sr-Latn-ME"/>
              </w:rPr>
              <w:t xml:space="preserve">, ali bi se oslanjao na neposrednju saradnju i korišćenje više klinika </w:t>
            </w:r>
            <w:r w:rsidR="005331A9">
              <w:rPr>
                <w:rFonts w:ascii="Cambria" w:hAnsi="Cambria"/>
                <w:noProof/>
                <w:lang w:val="sr-Latn-ME"/>
              </w:rPr>
              <w:t>i</w:t>
            </w:r>
            <w:r w:rsidR="005331A9" w:rsidRPr="005331A9">
              <w:rPr>
                <w:rFonts w:ascii="Cambria" w:hAnsi="Cambria"/>
                <w:noProof/>
                <w:lang w:val="sr-Latn-ME"/>
              </w:rPr>
              <w:t xml:space="preserve"> centara.</w:t>
            </w:r>
            <w:r w:rsidR="00373829" w:rsidRPr="00373829">
              <w:rPr>
                <w:rFonts w:ascii="Cambria" w:hAnsi="Cambria"/>
                <w:noProof/>
                <w:lang w:val="sr-Latn-ME"/>
              </w:rPr>
              <w:t xml:space="preserve"> Centar treba da ima osoblje specijalizovano u oblasti urgentne medicine i/ili toksikologije obučeno za rad u ovakvom centru, potrebne baze podataka o adekvatnom tretmanu i antidotima, sredstva za reagovanje u slučaju trovanja, kao i da ima adekvatne komunikacione veze sa svim relevantnim zdravstvenim ustanovama. Takođe, imajući u vidu da je Institut za javno zdravlje zadužen za vođenje evidencija i zdravstveno-statističkih podataka, potrebno je uspostaviti blisku saradnju budućeg Centra za kontrolu trovanja sa ovim institutom radi efikasne i detaljne razmene podataka u vezi sa trovanjima. Pored toga, budući centar treba da ima komunikaciju sa AZPŽS, ali i UBHVFP, radi efikasne razmjene informacija o potencijalnim hemijskim agensima koji mogu uzrokovati trovanje (hemikalijama, biocidnim proizvodima i sredstvima za zaštitu bilja) na tržištu Crne Gore, kao i o preventivnim mjerama koje treba preduzeti za sprječavanje trovanja. U cilju njegovog nesmetanog rada neophodno je nabaviti i instalirati tehničku opremu i organizovati adekvatne obuke za osobl</w:t>
            </w:r>
            <w:r w:rsidR="005331A9">
              <w:rPr>
                <w:rFonts w:ascii="Cambria" w:hAnsi="Cambria"/>
                <w:noProof/>
                <w:lang w:val="sr-Latn-ME"/>
              </w:rPr>
              <w:t>j</w:t>
            </w:r>
            <w:r w:rsidR="00373829" w:rsidRPr="00373829">
              <w:rPr>
                <w:rFonts w:ascii="Cambria" w:hAnsi="Cambria"/>
                <w:noProof/>
                <w:lang w:val="sr-Latn-ME"/>
              </w:rPr>
              <w:t xml:space="preserve">e ovog centra. IPA instrument se smatra ključnim izvorom finansiranja realizacije ove mjere. Takođe, preporučuje se korišćenje Uputstva za kontrolu trovanja koje u okviru Internacionalnog programa za </w:t>
            </w:r>
            <w:r w:rsidR="00373829" w:rsidRPr="00373829">
              <w:rPr>
                <w:rFonts w:ascii="Cambria" w:hAnsi="Cambria"/>
                <w:noProof/>
                <w:lang w:val="sr-Latn-ME"/>
              </w:rPr>
              <w:lastRenderedPageBreak/>
              <w:t>hemijsku bezbjednost je izradila Svjetska zdravstvena organizacija (WHO). , kao i novi Aneks VIII CLP uredbe  u pogledu harmonizovanog pristupa prikupljanju informacija u vezi sa kontrolom trovanja, kome Crna Gora kao buduća članica EU takođe treba da se prilagodi.</w:t>
            </w:r>
          </w:p>
        </w:tc>
      </w:tr>
      <w:tr w:rsidR="00EB4AAD" w:rsidRPr="00EB4AAD" w14:paraId="5F35A928"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0D1DEA2D" w14:textId="77777777" w:rsidR="00EB4AAD" w:rsidRPr="00EB4AAD" w:rsidRDefault="005B62D7" w:rsidP="00557C13">
            <w:pPr>
              <w:numPr>
                <w:ilvl w:val="0"/>
                <w:numId w:val="46"/>
              </w:numPr>
              <w:spacing w:before="120" w:after="120"/>
              <w:ind w:left="315" w:hanging="270"/>
              <w:rPr>
                <w:rFonts w:ascii="Cambria" w:hAnsi="Cambria"/>
                <w:bCs/>
                <w:noProof/>
                <w:lang w:val="sr-Latn-ME"/>
              </w:rPr>
            </w:pPr>
            <w:r w:rsidRPr="005B62D7">
              <w:rPr>
                <w:rFonts w:ascii="Cambria" w:hAnsi="Cambria"/>
                <w:noProof/>
                <w:lang w:val="sr-Latn-ME"/>
              </w:rPr>
              <w:t>Dalje jačanje</w:t>
            </w:r>
            <w:r w:rsidRPr="005B62D7">
              <w:rPr>
                <w:rFonts w:ascii="Cambria" w:hAnsi="Cambria"/>
                <w:b/>
                <w:i/>
                <w:noProof/>
                <w:lang w:val="sr-Latn-ME"/>
              </w:rPr>
              <w:t xml:space="preserve"> </w:t>
            </w:r>
            <w:r w:rsidR="00EB4AAD" w:rsidRPr="00EB4AAD">
              <w:rPr>
                <w:rFonts w:ascii="Cambria" w:hAnsi="Cambria"/>
                <w:noProof/>
              </w:rPr>
              <w:t>pripremljenosti</w:t>
            </w:r>
            <w:r w:rsidR="00EB4AAD" w:rsidRPr="00EB4AAD">
              <w:rPr>
                <w:rFonts w:ascii="Cambria" w:hAnsi="Cambria"/>
                <w:noProof/>
                <w:lang w:val="sr-Latn-ME"/>
              </w:rPr>
              <w:t xml:space="preserve"> za reagovanje u slučaju hemijskog </w:t>
            </w:r>
            <w:r w:rsidR="00EB4AAD" w:rsidRPr="00EB4AAD">
              <w:rPr>
                <w:rFonts w:ascii="Cambria" w:hAnsi="Cambria"/>
                <w:bCs/>
                <w:noProof/>
                <w:lang w:val="sr-Latn-ME"/>
              </w:rPr>
              <w:t>udesa</w:t>
            </w:r>
          </w:p>
          <w:p w14:paraId="4FAD73F9" w14:textId="77777777" w:rsidR="00EB4AAD" w:rsidRPr="00EB4AAD" w:rsidRDefault="00EB4AAD" w:rsidP="00BE665F">
            <w:pPr>
              <w:spacing w:before="120" w:after="120"/>
              <w:ind w:left="315" w:hanging="270"/>
              <w:rPr>
                <w:rFonts w:ascii="Cambria" w:hAnsi="Cambria"/>
                <w:noProof/>
                <w:lang w:val="pl-PL"/>
              </w:rPr>
            </w:pP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4C46F711" w14:textId="77777777" w:rsidR="00EB4AAD" w:rsidRPr="00EB4AAD" w:rsidRDefault="00EB4AAD" w:rsidP="00803D9D">
            <w:pPr>
              <w:spacing w:before="120" w:after="120"/>
              <w:rPr>
                <w:rFonts w:ascii="Cambria" w:hAnsi="Cambria"/>
                <w:noProof/>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59811852"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MUP</w:t>
            </w:r>
          </w:p>
        </w:tc>
        <w:tc>
          <w:tcPr>
            <w:tcW w:w="2250" w:type="dxa"/>
            <w:tcBorders>
              <w:top w:val="double" w:sz="4" w:space="0" w:color="auto"/>
              <w:left w:val="single" w:sz="4" w:space="0" w:color="auto"/>
              <w:bottom w:val="single" w:sz="4" w:space="0" w:color="auto"/>
              <w:right w:val="single" w:sz="4" w:space="0" w:color="auto"/>
            </w:tcBorders>
          </w:tcPr>
          <w:p w14:paraId="488EF720" w14:textId="77777777" w:rsidR="00EB4AAD" w:rsidRPr="005B62D7" w:rsidRDefault="00EB4AAD" w:rsidP="005F0A6F">
            <w:pPr>
              <w:spacing w:before="120" w:after="120"/>
              <w:rPr>
                <w:rFonts w:ascii="Cambria" w:hAnsi="Cambria"/>
                <w:noProof/>
              </w:rPr>
            </w:pPr>
            <w:r w:rsidRPr="00EB4AAD">
              <w:rPr>
                <w:rFonts w:ascii="Cambria" w:hAnsi="Cambria"/>
                <w:noProof/>
              </w:rPr>
              <w:t xml:space="preserve">Održane obuke i </w:t>
            </w:r>
            <w:r w:rsidRPr="00EB4AAD">
              <w:rPr>
                <w:rFonts w:ascii="Cambria" w:hAnsi="Cambria"/>
                <w:noProof/>
                <w:lang w:val="pl-PL"/>
              </w:rPr>
              <w:t>terenske</w:t>
            </w:r>
            <w:r w:rsidRPr="00EB4AAD">
              <w:rPr>
                <w:rFonts w:ascii="Cambria" w:hAnsi="Cambria"/>
                <w:noProof/>
              </w:rPr>
              <w:t xml:space="preserve"> vježbe</w:t>
            </w:r>
            <w:r w:rsidR="005B62D7" w:rsidRPr="00EB4AAD">
              <w:rPr>
                <w:rFonts w:ascii="Cambria" w:hAnsi="Cambria"/>
                <w:bCs/>
                <w:noProof/>
                <w:lang w:val="sr-Latn-ME"/>
              </w:rPr>
              <w:t xml:space="preserve"> </w:t>
            </w:r>
          </w:p>
        </w:tc>
        <w:tc>
          <w:tcPr>
            <w:tcW w:w="4017" w:type="dxa"/>
            <w:tcBorders>
              <w:top w:val="double" w:sz="4" w:space="0" w:color="auto"/>
              <w:left w:val="single" w:sz="4" w:space="0" w:color="auto"/>
              <w:bottom w:val="single" w:sz="4" w:space="0" w:color="auto"/>
            </w:tcBorders>
            <w:shd w:val="clear" w:color="auto" w:fill="auto"/>
          </w:tcPr>
          <w:p w14:paraId="2FAB71B3"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13B7D023" w14:textId="77777777" w:rsidTr="00A275C9">
        <w:trPr>
          <w:trHeight w:val="176"/>
        </w:trPr>
        <w:tc>
          <w:tcPr>
            <w:tcW w:w="14367" w:type="dxa"/>
            <w:gridSpan w:val="5"/>
            <w:tcBorders>
              <w:top w:val="single" w:sz="4" w:space="0" w:color="auto"/>
              <w:bottom w:val="double" w:sz="4" w:space="0" w:color="auto"/>
            </w:tcBorders>
            <w:shd w:val="clear" w:color="auto" w:fill="auto"/>
          </w:tcPr>
          <w:p w14:paraId="4476917A" w14:textId="343E3C78" w:rsidR="000E4C73" w:rsidRPr="00EB4AAD" w:rsidRDefault="000E4C73" w:rsidP="00BB313F">
            <w:pPr>
              <w:spacing w:before="120" w:after="120"/>
              <w:rPr>
                <w:rFonts w:ascii="Cambria" w:hAnsi="Cambria"/>
                <w:noProof/>
                <w:lang w:val="pl-PL"/>
              </w:rPr>
            </w:pPr>
            <w:r w:rsidRPr="00373829">
              <w:rPr>
                <w:rFonts w:ascii="Cambria" w:hAnsi="Cambria"/>
                <w:i/>
                <w:noProof/>
                <w:lang w:val="sr-Latn-ME"/>
              </w:rPr>
              <w:t>Opis aktivnosti:</w:t>
            </w:r>
            <w:r>
              <w:rPr>
                <w:rFonts w:ascii="Cambria" w:hAnsi="Cambria"/>
                <w:noProof/>
                <w:lang w:val="sr-Latn-ME"/>
              </w:rPr>
              <w:t xml:space="preserve"> </w:t>
            </w:r>
            <w:r w:rsidR="00373829" w:rsidRPr="00373829">
              <w:rPr>
                <w:rFonts w:ascii="Cambria" w:hAnsi="Cambria"/>
                <w:noProof/>
                <w:lang w:val="sr-Latn-ME"/>
              </w:rPr>
              <w:t xml:space="preserve">U pogledu pripremljenosti Crne Gore za slučaj hemijskog udesa opšti zaključak sa održanih vježbi je da je država pokazala da ima kapacitete da odgovori na ovu vrstu </w:t>
            </w:r>
            <w:r w:rsidR="002101C3">
              <w:rPr>
                <w:rFonts w:ascii="Cambria" w:hAnsi="Cambria"/>
                <w:noProof/>
                <w:lang w:val="sr-Latn-ME"/>
              </w:rPr>
              <w:t>udesa</w:t>
            </w:r>
            <w:r w:rsidR="00373829" w:rsidRPr="00373829">
              <w:rPr>
                <w:rFonts w:ascii="Cambria" w:hAnsi="Cambria"/>
                <w:noProof/>
                <w:lang w:val="sr-Latn-ME"/>
              </w:rPr>
              <w:t xml:space="preserve">. Međutim, treba nastaviti sa jačanjem kapaciteta na svim nivoima kroz organizovanje obuka i nabavku adekvatne lične i kolektivne opreme. S tim u vezi preporučuje se uspostavljanje Nacionalnog trening centra za stručno osposobljavanje i usavršavanje pripadnika operativnih jedinica za zaštitu i spašavanje i drugih učesnika sistema zaštite i spašavanja. Iako prevoz hemikalija predstavlja samo jednu od karika u sistemu u kojem se može dogoditi hemijski </w:t>
            </w:r>
            <w:r w:rsidR="002101C3">
              <w:rPr>
                <w:rFonts w:ascii="Cambria" w:hAnsi="Cambria"/>
                <w:noProof/>
                <w:lang w:val="sr-Latn-ME"/>
              </w:rPr>
              <w:t>udes</w:t>
            </w:r>
            <w:r w:rsidR="00373829" w:rsidRPr="00373829">
              <w:rPr>
                <w:rFonts w:ascii="Cambria" w:hAnsi="Cambria"/>
                <w:noProof/>
                <w:lang w:val="sr-Latn-ME"/>
              </w:rPr>
              <w:t xml:space="preserve">, tom sistemu treba posvetiti posebnu pažnju, jer iskustvo pokazuje da se značajan broj hemijskih </w:t>
            </w:r>
            <w:r w:rsidR="002101C3">
              <w:rPr>
                <w:rFonts w:ascii="Cambria" w:hAnsi="Cambria"/>
                <w:noProof/>
                <w:lang w:val="sr-Latn-ME"/>
              </w:rPr>
              <w:t>udes</w:t>
            </w:r>
            <w:r w:rsidR="00373829" w:rsidRPr="00373829">
              <w:rPr>
                <w:rFonts w:ascii="Cambria" w:hAnsi="Cambria"/>
                <w:noProof/>
                <w:lang w:val="sr-Latn-ME"/>
              </w:rPr>
              <w:t xml:space="preserve"> događa upravo u prevozu. Pored toga, treba dodatno osigurati pripremljenost  operatera postrojenja u kojima se obavljaju aktivnosti sa značajnim količinama opasnih materija kroz kontrolu izvršavanja obaveza u pogledu izrada planova prevencije i zaštite od udesa.</w:t>
            </w:r>
          </w:p>
        </w:tc>
      </w:tr>
      <w:tr w:rsidR="00EB4AAD" w:rsidRPr="00EB4AAD" w14:paraId="34882490" w14:textId="77777777" w:rsidTr="00A275C9">
        <w:tc>
          <w:tcPr>
            <w:tcW w:w="14367" w:type="dxa"/>
            <w:gridSpan w:val="5"/>
            <w:tcBorders>
              <w:top w:val="double" w:sz="4" w:space="0" w:color="auto"/>
              <w:bottom w:val="double" w:sz="4" w:space="0" w:color="auto"/>
            </w:tcBorders>
            <w:shd w:val="clear" w:color="auto" w:fill="D9D9D9" w:themeFill="background1" w:themeFillShade="D9"/>
          </w:tcPr>
          <w:p w14:paraId="28A74829" w14:textId="095A91B9" w:rsidR="00EB4AAD" w:rsidRPr="00EB4AAD" w:rsidRDefault="00EB4AAD" w:rsidP="00803D9D">
            <w:pPr>
              <w:spacing w:before="120" w:after="120"/>
              <w:rPr>
                <w:rFonts w:ascii="Cambria" w:hAnsi="Cambria"/>
                <w:b/>
                <w:noProof/>
                <w:lang w:val="sr-Latn-ME"/>
              </w:rPr>
            </w:pPr>
            <w:r w:rsidRPr="00EB4AAD">
              <w:rPr>
                <w:rFonts w:ascii="Cambria" w:hAnsi="Cambria"/>
                <w:b/>
                <w:noProof/>
                <w:lang w:val="sr-Latn-ME"/>
              </w:rPr>
              <w:t>CILJ 6. Unaprijeđenje tehnologije u industrijskim postrojenjima i r</w:t>
            </w:r>
            <w:r w:rsidR="00002F49">
              <w:rPr>
                <w:rFonts w:ascii="Cambria" w:hAnsi="Cambria"/>
                <w:b/>
                <w:noProof/>
                <w:lang w:val="sr-Latn-ME"/>
              </w:rPr>
              <w:t>j</w:t>
            </w:r>
            <w:r w:rsidRPr="00EB4AAD">
              <w:rPr>
                <w:rFonts w:ascii="Cambria" w:hAnsi="Cambria"/>
                <w:b/>
                <w:noProof/>
                <w:lang w:val="sr-Latn-ME"/>
              </w:rPr>
              <w:t xml:space="preserve">ešavanje pitanja industrijskog otpada i zastarijelih hemikalija </w:t>
            </w:r>
          </w:p>
        </w:tc>
      </w:tr>
      <w:tr w:rsidR="00EB4AAD" w:rsidRPr="00EB4AAD" w14:paraId="6AE9CC20"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65EF6FB8" w14:textId="77777777" w:rsidR="00EB4AAD" w:rsidRPr="00EB4AAD" w:rsidRDefault="00EB4AAD" w:rsidP="00557C13">
            <w:pPr>
              <w:numPr>
                <w:ilvl w:val="0"/>
                <w:numId w:val="47"/>
              </w:numPr>
              <w:spacing w:before="120" w:after="120"/>
              <w:ind w:left="315" w:hanging="270"/>
              <w:rPr>
                <w:rFonts w:ascii="Cambria" w:hAnsi="Cambria"/>
                <w:noProof/>
                <w:lang w:val="pl-PL"/>
              </w:rPr>
            </w:pPr>
            <w:r w:rsidRPr="00EB4AAD">
              <w:rPr>
                <w:rFonts w:ascii="Cambria" w:hAnsi="Cambria"/>
                <w:noProof/>
                <w:lang w:val="pl-PL"/>
              </w:rPr>
              <w:t xml:space="preserve">Primjena mjera za smanjenje emisija opasnih hemikalija na izvoru uz uvođenje najboljih dostupnih tehnika (BAT)  </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2D9DC3A8" w14:textId="77777777" w:rsidR="00EB4AAD" w:rsidRPr="00EB4AAD" w:rsidRDefault="00EB4AAD" w:rsidP="00803D9D">
            <w:pPr>
              <w:spacing w:before="120" w:after="120"/>
              <w:rPr>
                <w:rFonts w:ascii="Cambria" w:hAnsi="Cambria"/>
                <w:noProof/>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1867C765" w14:textId="77777777" w:rsidR="00EB4AAD" w:rsidRPr="00EB4AAD" w:rsidRDefault="00EB4AAD" w:rsidP="00803D9D">
            <w:pPr>
              <w:spacing w:before="120" w:after="120"/>
              <w:rPr>
                <w:rFonts w:ascii="Cambria" w:hAnsi="Cambria"/>
                <w:noProof/>
              </w:rPr>
            </w:pPr>
            <w:r w:rsidRPr="00EB4AAD">
              <w:rPr>
                <w:rFonts w:ascii="Cambria" w:hAnsi="Cambria"/>
                <w:noProof/>
              </w:rPr>
              <w:t>MORT; AZPŽS</w:t>
            </w:r>
          </w:p>
        </w:tc>
        <w:tc>
          <w:tcPr>
            <w:tcW w:w="2250" w:type="dxa"/>
            <w:tcBorders>
              <w:top w:val="double" w:sz="4" w:space="0" w:color="auto"/>
              <w:left w:val="single" w:sz="4" w:space="0" w:color="auto"/>
              <w:bottom w:val="single" w:sz="4" w:space="0" w:color="auto"/>
              <w:right w:val="single" w:sz="4" w:space="0" w:color="auto"/>
            </w:tcBorders>
          </w:tcPr>
          <w:p w14:paraId="60592C7B" w14:textId="77777777" w:rsidR="00EB4AAD" w:rsidRPr="00EB4AAD" w:rsidRDefault="00EB4AAD" w:rsidP="00803D9D">
            <w:pPr>
              <w:spacing w:before="120" w:after="120"/>
              <w:rPr>
                <w:rFonts w:ascii="Cambria" w:hAnsi="Cambria"/>
                <w:noProof/>
                <w:lang w:val="pl-PL"/>
              </w:rPr>
            </w:pPr>
            <w:r w:rsidRPr="00EB4AAD">
              <w:rPr>
                <w:rFonts w:ascii="Cambria" w:hAnsi="Cambria"/>
                <w:noProof/>
                <w:lang w:val="sr-Latn-ME"/>
              </w:rPr>
              <w:t>Broj izdatih integrisanih dozvola</w:t>
            </w:r>
          </w:p>
        </w:tc>
        <w:tc>
          <w:tcPr>
            <w:tcW w:w="4017" w:type="dxa"/>
            <w:tcBorders>
              <w:top w:val="double" w:sz="4" w:space="0" w:color="auto"/>
              <w:left w:val="single" w:sz="4" w:space="0" w:color="auto"/>
              <w:bottom w:val="single" w:sz="4" w:space="0" w:color="auto"/>
            </w:tcBorders>
            <w:shd w:val="clear" w:color="auto" w:fill="auto"/>
          </w:tcPr>
          <w:p w14:paraId="580C4CC3"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7B41D9A4" w14:textId="77777777" w:rsidTr="00A275C9">
        <w:trPr>
          <w:trHeight w:val="176"/>
        </w:trPr>
        <w:tc>
          <w:tcPr>
            <w:tcW w:w="14367" w:type="dxa"/>
            <w:gridSpan w:val="5"/>
            <w:tcBorders>
              <w:top w:val="single" w:sz="4" w:space="0" w:color="auto"/>
              <w:bottom w:val="double" w:sz="4" w:space="0" w:color="auto"/>
            </w:tcBorders>
            <w:shd w:val="clear" w:color="auto" w:fill="auto"/>
          </w:tcPr>
          <w:p w14:paraId="0DB887E3" w14:textId="6AB27C67" w:rsidR="000E4C73" w:rsidRPr="00EB4AAD" w:rsidRDefault="000E4C73" w:rsidP="00BB313F">
            <w:pPr>
              <w:spacing w:before="120" w:after="120"/>
              <w:rPr>
                <w:rFonts w:ascii="Cambria" w:hAnsi="Cambria"/>
                <w:noProof/>
                <w:lang w:val="pl-PL"/>
              </w:rPr>
            </w:pPr>
            <w:r w:rsidRPr="00373829">
              <w:rPr>
                <w:rFonts w:ascii="Cambria" w:hAnsi="Cambria"/>
                <w:i/>
                <w:noProof/>
                <w:lang w:val="sr-Latn-ME"/>
              </w:rPr>
              <w:t>Opis aktivnosti:</w:t>
            </w:r>
            <w:r>
              <w:rPr>
                <w:rFonts w:ascii="Cambria" w:hAnsi="Cambria"/>
                <w:noProof/>
                <w:lang w:val="sr-Latn-ME"/>
              </w:rPr>
              <w:t xml:space="preserve"> </w:t>
            </w:r>
            <w:r w:rsidR="00373829" w:rsidRPr="00373829">
              <w:rPr>
                <w:rFonts w:ascii="Cambria" w:hAnsi="Cambria"/>
                <w:noProof/>
                <w:lang w:val="sr-Latn-ME"/>
              </w:rPr>
              <w:t>Ovo se prije svega odnosi na primjenu principa prevencije iz Zakona o zaštiti životne sredine, kao i odredbi Zakona o hemikalijama po kojima je dobavljač dužan da preduzima mjere predostrožnosti za hemikalije koje proizvodi i stavlja na tržište, odnosno upotrebljava, radi sprečavanja, odnosno smanjenja njihovih štetnih uticaja na zdravlje ljudi i životnu sredinu. Pri tom posebnu pažnju treba posvetiti aktivnostima i postrojenjima za koje se izdaje integrisana dozvola, te kontroli industrijskog zagađenja i primjeni najboljih dostupnih tehnika, sa akcentom na uvođenje bezbednijih hemikalija i/ili čistijih tehnoloških procesa. S tim u vezi, treba podstaći industrijska udruženja, poput PKCG, da preuzmu učešće u informisanju i organizovanju edukacija privrede u pogledu uvođenja bezbednijih hemikalija i/ili čistijih tehnoloških procesa.</w:t>
            </w:r>
          </w:p>
        </w:tc>
      </w:tr>
      <w:tr w:rsidR="00EB4AAD" w:rsidRPr="00EB4AAD" w14:paraId="5C744B4F"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2648C80F" w14:textId="77777777" w:rsidR="00EB4AAD" w:rsidRPr="00EB4AAD" w:rsidRDefault="00EB4AAD" w:rsidP="00557C13">
            <w:pPr>
              <w:numPr>
                <w:ilvl w:val="0"/>
                <w:numId w:val="47"/>
              </w:numPr>
              <w:spacing w:before="120" w:after="120"/>
              <w:ind w:left="315" w:hanging="270"/>
              <w:rPr>
                <w:rFonts w:ascii="Cambria" w:hAnsi="Cambria"/>
                <w:noProof/>
                <w:lang w:val="pl-PL"/>
              </w:rPr>
            </w:pPr>
            <w:r w:rsidRPr="00EB4AAD">
              <w:rPr>
                <w:rFonts w:ascii="Cambria" w:hAnsi="Cambria"/>
                <w:noProof/>
                <w:lang w:val="pl-PL"/>
              </w:rPr>
              <w:t>Stvaranje uslova za izbacivanje iz upotrebe ili dekontaminaciju opreme koja sadrži PCB  i trajno zbrinjavanje otpada koji sadrži PCB</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512FB899"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2020</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2EC9948F"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 AZPŽS</w:t>
            </w:r>
          </w:p>
        </w:tc>
        <w:tc>
          <w:tcPr>
            <w:tcW w:w="2250" w:type="dxa"/>
            <w:tcBorders>
              <w:top w:val="double" w:sz="4" w:space="0" w:color="auto"/>
              <w:left w:val="single" w:sz="4" w:space="0" w:color="auto"/>
              <w:bottom w:val="single" w:sz="4" w:space="0" w:color="auto"/>
              <w:right w:val="single" w:sz="4" w:space="0" w:color="auto"/>
            </w:tcBorders>
          </w:tcPr>
          <w:p w14:paraId="0654F6AA"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Projekat </w:t>
            </w:r>
            <w:r w:rsidRPr="00EB4AAD">
              <w:rPr>
                <w:rFonts w:ascii="Cambria" w:hAnsi="Cambria"/>
                <w:noProof/>
                <w:lang w:val="sr-Latn-ME"/>
              </w:rPr>
              <w:t xml:space="preserve">“Sveobuhvatno ekološki prihvatljivo upravljanje otpadom </w:t>
            </w:r>
            <w:r w:rsidRPr="00EB4AAD">
              <w:rPr>
                <w:rFonts w:ascii="Cambria" w:hAnsi="Cambria"/>
                <w:noProof/>
                <w:lang w:val="sr-Latn-ME"/>
              </w:rPr>
              <w:lastRenderedPageBreak/>
              <w:t>koji sadrži polihlorovane bifenile (PCB) u Crnoj Gori” sproveden -verifikacija- izvještaj</w:t>
            </w:r>
          </w:p>
        </w:tc>
        <w:tc>
          <w:tcPr>
            <w:tcW w:w="4017" w:type="dxa"/>
            <w:tcBorders>
              <w:top w:val="double" w:sz="4" w:space="0" w:color="auto"/>
              <w:left w:val="single" w:sz="4" w:space="0" w:color="auto"/>
              <w:bottom w:val="single" w:sz="4" w:space="0" w:color="auto"/>
            </w:tcBorders>
            <w:shd w:val="clear" w:color="auto" w:fill="auto"/>
          </w:tcPr>
          <w:p w14:paraId="04877A87" w14:textId="77777777" w:rsidR="00EB4AAD" w:rsidRPr="00EB4AAD" w:rsidRDefault="003426CC" w:rsidP="00803D9D">
            <w:pPr>
              <w:spacing w:before="120" w:after="120"/>
              <w:rPr>
                <w:rFonts w:ascii="Cambria" w:hAnsi="Cambria"/>
                <w:noProof/>
                <w:lang w:val="pl-PL"/>
              </w:rPr>
            </w:pPr>
            <w:r>
              <w:rPr>
                <w:rFonts w:ascii="Cambria" w:hAnsi="Cambria"/>
                <w:noProof/>
                <w:lang w:val="pl-PL"/>
              </w:rPr>
              <w:lastRenderedPageBreak/>
              <w:t>Sredstva  k</w:t>
            </w:r>
            <w:r w:rsidR="00EB4AAD" w:rsidRPr="00EB4AAD">
              <w:rPr>
                <w:rFonts w:ascii="Cambria" w:hAnsi="Cambria"/>
                <w:noProof/>
                <w:lang w:val="pl-PL"/>
              </w:rPr>
              <w:t>oj</w:t>
            </w:r>
            <w:r>
              <w:rPr>
                <w:rFonts w:ascii="Cambria" w:hAnsi="Cambria"/>
                <w:noProof/>
                <w:lang w:val="pl-PL"/>
              </w:rPr>
              <w:t xml:space="preserve">a su </w:t>
            </w:r>
            <w:r w:rsidR="00EB4AAD" w:rsidRPr="00EB4AAD">
              <w:rPr>
                <w:rFonts w:ascii="Cambria" w:hAnsi="Cambria"/>
                <w:noProof/>
                <w:lang w:val="pl-PL"/>
              </w:rPr>
              <w:t xml:space="preserve"> opredeljen</w:t>
            </w:r>
            <w:r>
              <w:rPr>
                <w:rFonts w:ascii="Cambria" w:hAnsi="Cambria"/>
                <w:noProof/>
                <w:lang w:val="pl-PL"/>
              </w:rPr>
              <w:t>a</w:t>
            </w:r>
            <w:r w:rsidR="00EB4AAD" w:rsidRPr="00EB4AAD">
              <w:rPr>
                <w:rFonts w:ascii="Cambria" w:hAnsi="Cambria"/>
                <w:noProof/>
                <w:lang w:val="pl-PL"/>
              </w:rPr>
              <w:t xml:space="preserve"> za kompletan projekat iznos</w:t>
            </w:r>
            <w:r>
              <w:rPr>
                <w:rFonts w:ascii="Cambria" w:hAnsi="Cambria"/>
                <w:noProof/>
                <w:lang w:val="pl-PL"/>
              </w:rPr>
              <w:t>e</w:t>
            </w:r>
            <w:r w:rsidR="00EB4AAD" w:rsidRPr="00EB4AAD">
              <w:rPr>
                <w:rFonts w:ascii="Cambria" w:hAnsi="Cambria"/>
                <w:noProof/>
                <w:lang w:val="pl-PL"/>
              </w:rPr>
              <w:t xml:space="preserve"> 23 miliona dolara, od čega Globalni fond za životnu sredinu (GEF) finansira tri i po miliona, </w:t>
            </w:r>
            <w:r w:rsidR="00EB4AAD" w:rsidRPr="00EB4AAD">
              <w:rPr>
                <w:rFonts w:ascii="Cambria" w:hAnsi="Cambria"/>
                <w:noProof/>
                <w:lang w:val="pl-PL"/>
              </w:rPr>
              <w:lastRenderedPageBreak/>
              <w:t>a ostatak Vlada i partneri na projektu, odnosno CEDIS, Kombinat aluminijuma Podgorica i ostali manji subjekti.</w:t>
            </w:r>
          </w:p>
        </w:tc>
      </w:tr>
      <w:tr w:rsidR="000E4C73" w:rsidRPr="00EB4AAD" w14:paraId="5588DE0B" w14:textId="77777777" w:rsidTr="00A275C9">
        <w:trPr>
          <w:trHeight w:val="176"/>
        </w:trPr>
        <w:tc>
          <w:tcPr>
            <w:tcW w:w="14367" w:type="dxa"/>
            <w:gridSpan w:val="5"/>
            <w:tcBorders>
              <w:top w:val="single" w:sz="4" w:space="0" w:color="auto"/>
              <w:bottom w:val="double" w:sz="4" w:space="0" w:color="auto"/>
            </w:tcBorders>
            <w:shd w:val="clear" w:color="auto" w:fill="auto"/>
          </w:tcPr>
          <w:p w14:paraId="2847620A" w14:textId="7F961BF8" w:rsidR="000E4C73" w:rsidRPr="00EB4AAD" w:rsidRDefault="000E4C73" w:rsidP="00BB313F">
            <w:pPr>
              <w:spacing w:before="120" w:after="120"/>
              <w:rPr>
                <w:rFonts w:ascii="Cambria" w:hAnsi="Cambria"/>
                <w:noProof/>
                <w:lang w:val="pl-PL"/>
              </w:rPr>
            </w:pPr>
            <w:r w:rsidRPr="00373829">
              <w:rPr>
                <w:rFonts w:ascii="Cambria" w:hAnsi="Cambria"/>
                <w:i/>
                <w:noProof/>
                <w:lang w:val="sr-Latn-ME"/>
              </w:rPr>
              <w:t>Opis aktivnosti:</w:t>
            </w:r>
            <w:r>
              <w:rPr>
                <w:rFonts w:ascii="Cambria" w:hAnsi="Cambria"/>
                <w:noProof/>
                <w:lang w:val="sr-Latn-ME"/>
              </w:rPr>
              <w:t xml:space="preserve"> </w:t>
            </w:r>
            <w:r w:rsidR="00373829" w:rsidRPr="00373829">
              <w:rPr>
                <w:rFonts w:ascii="Cambria" w:hAnsi="Cambria"/>
                <w:noProof/>
                <w:lang w:val="sr-Latn-ME"/>
              </w:rPr>
              <w:t>U skladu sa Zakonom o upravljanju otpadom („Službeni list CG“, br:64/11 i 39/16) i NIP-om za period 2014-2021, ove aktivnosti trebalo bi da budu kompletirane do 2020. S tim u vezi , u toku je realizacija projekta UNDP “Sveobuhvatno ekološki prihvatljivo upravljanje otpadom koji sadrži polihlorovane bifenile (PCB) u Crnoj Gori”, u kojem je CETI implementator u saradnji sa MORT i Crnogorskim elektrodistributivnim sistemom (CEDIS). Cilj projekta je da se identifikuju oprema i otpad koji sadrži PCB, odnosno da se izradi inventar, kako bi se zatim pristupilo dekontaminaciji ili njegovom trajnom zbrinjavanju. Budžet koji je opredijeljen za kompletan projekat iznosi 23 miliona dolara, od čega Globalni fond za životnu sredinu (GEF) finansira tri i po miliona, a ostatak Vlada (in kind) i partneri na projektu, odnosno CEDIS, Kombinat aluminijuma Podgorica i ostali manji subjekti.</w:t>
            </w:r>
          </w:p>
        </w:tc>
      </w:tr>
      <w:tr w:rsidR="00EB4AAD" w:rsidRPr="00EB4AAD" w14:paraId="67AACBAD"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7479ED5D" w14:textId="77777777" w:rsidR="002252F3" w:rsidRPr="00EB4AAD" w:rsidRDefault="000C6C88" w:rsidP="00557C13">
            <w:pPr>
              <w:numPr>
                <w:ilvl w:val="0"/>
                <w:numId w:val="47"/>
              </w:numPr>
              <w:spacing w:before="120" w:after="120"/>
              <w:ind w:left="315" w:hanging="270"/>
              <w:rPr>
                <w:rFonts w:ascii="Cambria" w:hAnsi="Cambria"/>
                <w:noProof/>
                <w:lang w:val="pl-PL"/>
              </w:rPr>
            </w:pPr>
            <w:r w:rsidRPr="00EB4AAD">
              <w:rPr>
                <w:rFonts w:ascii="Cambria" w:hAnsi="Cambria"/>
                <w:noProof/>
                <w:lang w:val="pl-PL"/>
              </w:rPr>
              <w:t>Izrada programa za rješavanje pitanja industrijskog otpada</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0493F68F"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2022</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3B668379"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MORT; AZPŽS </w:t>
            </w:r>
          </w:p>
        </w:tc>
        <w:tc>
          <w:tcPr>
            <w:tcW w:w="2250" w:type="dxa"/>
            <w:tcBorders>
              <w:top w:val="double" w:sz="4" w:space="0" w:color="auto"/>
              <w:left w:val="single" w:sz="4" w:space="0" w:color="auto"/>
              <w:bottom w:val="single" w:sz="4" w:space="0" w:color="auto"/>
              <w:right w:val="single" w:sz="4" w:space="0" w:color="auto"/>
            </w:tcBorders>
          </w:tcPr>
          <w:p w14:paraId="66CE8349"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Projekat “Upravljanje industrijskim otpadom i čišćenje” sproveden u delu koji se odnosi na izradu programa upravljanja industrijskim otpadom</w:t>
            </w:r>
          </w:p>
        </w:tc>
        <w:tc>
          <w:tcPr>
            <w:tcW w:w="4017" w:type="dxa"/>
            <w:tcBorders>
              <w:top w:val="double" w:sz="4" w:space="0" w:color="auto"/>
              <w:left w:val="single" w:sz="4" w:space="0" w:color="auto"/>
              <w:bottom w:val="single" w:sz="4" w:space="0" w:color="auto"/>
            </w:tcBorders>
            <w:shd w:val="clear" w:color="auto" w:fill="auto"/>
          </w:tcPr>
          <w:p w14:paraId="1B8F688E"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Ugovor o kreditu za realizaciju ovog projekta potpisan je 10. X 2014. sa Međunarodnom bankom za obnovu i razvoj (IBRD). na €50 miliona, a sredstva je moguće povlačiti do 30. VI 2019. Ugovorom je predviđeno da se kredit vraća u periodu od 27 godina, sa grejs periodom od 5 godina.</w:t>
            </w:r>
          </w:p>
        </w:tc>
      </w:tr>
      <w:tr w:rsidR="0004011E" w:rsidRPr="00EB4AAD" w14:paraId="4B68096A" w14:textId="77777777" w:rsidTr="00A275C9">
        <w:trPr>
          <w:trHeight w:val="176"/>
        </w:trPr>
        <w:tc>
          <w:tcPr>
            <w:tcW w:w="14367" w:type="dxa"/>
            <w:gridSpan w:val="5"/>
            <w:tcBorders>
              <w:top w:val="single" w:sz="4" w:space="0" w:color="auto"/>
              <w:bottom w:val="double" w:sz="4" w:space="0" w:color="auto"/>
            </w:tcBorders>
            <w:shd w:val="clear" w:color="auto" w:fill="auto"/>
          </w:tcPr>
          <w:p w14:paraId="211F5E0E" w14:textId="5815A56F" w:rsidR="0004011E" w:rsidRPr="0004011E" w:rsidRDefault="0004011E" w:rsidP="008017A6">
            <w:pPr>
              <w:spacing w:before="120" w:after="120"/>
              <w:rPr>
                <w:rFonts w:ascii="Cambria" w:hAnsi="Cambria"/>
                <w:noProof/>
                <w:lang w:val="sr-Latn-ME"/>
              </w:rPr>
            </w:pPr>
            <w:r w:rsidRPr="0004011E">
              <w:rPr>
                <w:rFonts w:ascii="Cambria" w:hAnsi="Cambria"/>
                <w:i/>
                <w:noProof/>
                <w:lang w:val="sr-Latn-ME"/>
              </w:rPr>
              <w:t>Opis aktivnosti:</w:t>
            </w:r>
            <w:r>
              <w:rPr>
                <w:rFonts w:ascii="Cambria" w:hAnsi="Cambria"/>
                <w:noProof/>
                <w:lang w:val="sr-Latn-ME"/>
              </w:rPr>
              <w:t xml:space="preserve"> </w:t>
            </w:r>
            <w:r w:rsidR="00373829" w:rsidRPr="00373829">
              <w:rPr>
                <w:rFonts w:ascii="Cambria" w:hAnsi="Cambria"/>
                <w:noProof/>
                <w:lang w:val="sr-Latn-ME"/>
              </w:rPr>
              <w:t xml:space="preserve">U Crnoj Gori ne postoji infrastruktura za odlaganje opasnog otpada koja je tehnički i tehnološki riješena u skladu sa evropskim standardima. Iz tog razloga opasan otpad se privremeno skladišti, a potom izvozi iz Crne Gore. Na nacionalnom nivou, i dalje postoji potreba za rješavanjem problema „istorijskog“ industrijskog otpada nastalog usled proizvodnih aktivnosti velikih industrijskih sistema. Potrebno je osigurati bezbjedno skladištenje ovakvog otpada i utvrditi adekvatno rješenje za konačno zbrinjavanje ovakvog otpada. Stoga je pokrenut projekat “Upravljanje industrijskim otpadom i čišćenje” koji se odnosi na 4 crne ekološke tačke u Crnoj Gori. Međutim, implementacija ovog projekta kasni, uglavnom zbog neriješenih vlasničkih odnosa na konkretnim lokacijama i posledično potrebe za dodatnim aktivnostima radi identifikovanja obveznika remedijacije, kao i nosilaca kreditnog zaduženja. Ugovor o kreditu za realizaciju ovog projekta potpisan je 10. X 2014. sa Međunarodnom bankom za obnovu i razvoj </w:t>
            </w:r>
            <w:r w:rsidR="00373829" w:rsidRPr="00373829">
              <w:rPr>
                <w:rFonts w:ascii="Cambria" w:hAnsi="Cambria"/>
                <w:noProof/>
                <w:lang w:val="sr-Latn-ME"/>
              </w:rPr>
              <w:lastRenderedPageBreak/>
              <w:t>(IBRD). na €50 miliona, a sredstva je moguće povlačiti do 30. VI 2019. Ugovorom je predviđeno da se kredit vraća u periodu od 27 godina, sa grejs periodom od 5 godina.</w:t>
            </w:r>
          </w:p>
        </w:tc>
      </w:tr>
      <w:tr w:rsidR="0004011E" w:rsidRPr="00EB4AAD" w14:paraId="20CF6719"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780353FE" w14:textId="77777777" w:rsidR="0004011E" w:rsidRPr="0004011E" w:rsidRDefault="0004011E" w:rsidP="00557C13">
            <w:pPr>
              <w:numPr>
                <w:ilvl w:val="0"/>
                <w:numId w:val="47"/>
              </w:numPr>
              <w:spacing w:before="120" w:after="120"/>
              <w:ind w:left="315" w:hanging="270"/>
              <w:rPr>
                <w:rFonts w:ascii="Cambria" w:hAnsi="Cambria"/>
                <w:noProof/>
                <w:lang w:val="pl-PL"/>
              </w:rPr>
            </w:pPr>
            <w:r w:rsidRPr="0004011E">
              <w:rPr>
                <w:rFonts w:ascii="Cambria" w:hAnsi="Cambria"/>
                <w:noProof/>
                <w:lang w:val="pl-PL"/>
              </w:rPr>
              <w:t xml:space="preserve">Izrada programa za rješavanje pitanja zaostalih i napuštenih hemikalija </w:t>
            </w:r>
          </w:p>
          <w:p w14:paraId="1223C78C" w14:textId="77777777" w:rsidR="0004011E" w:rsidRPr="00EB4AAD" w:rsidRDefault="0004011E" w:rsidP="00373829">
            <w:pPr>
              <w:spacing w:before="120" w:after="120"/>
              <w:rPr>
                <w:rFonts w:ascii="Cambria" w:hAnsi="Cambria"/>
                <w:noProof/>
                <w:lang w:val="pl-PL"/>
              </w:rPr>
            </w:pP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01AB0D6C" w14:textId="7D89B609" w:rsidR="0004011E" w:rsidRPr="00EB4AAD" w:rsidRDefault="0004011E" w:rsidP="00803D9D">
            <w:pPr>
              <w:spacing w:before="120" w:after="120"/>
              <w:rPr>
                <w:rFonts w:ascii="Cambria" w:hAnsi="Cambria"/>
                <w:noProof/>
                <w:lang w:val="pl-PL"/>
              </w:rPr>
            </w:pPr>
            <w:r>
              <w:rPr>
                <w:rFonts w:ascii="Cambria" w:hAnsi="Cambria"/>
                <w:noProof/>
                <w:lang w:val="pl-PL"/>
              </w:rPr>
              <w:t>2022</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1A2E8742" w14:textId="3A0C9B49" w:rsidR="0004011E" w:rsidRPr="00EB4AAD" w:rsidRDefault="0004011E" w:rsidP="00803D9D">
            <w:pPr>
              <w:spacing w:before="120" w:after="120"/>
              <w:rPr>
                <w:rFonts w:ascii="Cambria" w:hAnsi="Cambria"/>
                <w:noProof/>
                <w:lang w:val="pl-PL"/>
              </w:rPr>
            </w:pPr>
            <w:r w:rsidRPr="0004011E">
              <w:rPr>
                <w:rFonts w:ascii="Cambria" w:hAnsi="Cambria"/>
                <w:noProof/>
                <w:lang w:val="pl-PL"/>
              </w:rPr>
              <w:t>MORT; AZPŽS</w:t>
            </w:r>
          </w:p>
        </w:tc>
        <w:tc>
          <w:tcPr>
            <w:tcW w:w="2250" w:type="dxa"/>
            <w:tcBorders>
              <w:top w:val="double" w:sz="4" w:space="0" w:color="auto"/>
              <w:left w:val="single" w:sz="4" w:space="0" w:color="auto"/>
              <w:bottom w:val="single" w:sz="4" w:space="0" w:color="auto"/>
              <w:right w:val="single" w:sz="4" w:space="0" w:color="auto"/>
            </w:tcBorders>
          </w:tcPr>
          <w:p w14:paraId="0607AA1A" w14:textId="5DDE1813" w:rsidR="0004011E" w:rsidRPr="00EB4AAD" w:rsidRDefault="0004011E" w:rsidP="00803D9D">
            <w:pPr>
              <w:spacing w:before="120" w:after="120"/>
              <w:rPr>
                <w:rFonts w:ascii="Cambria" w:hAnsi="Cambria"/>
                <w:noProof/>
                <w:lang w:val="pl-PL"/>
              </w:rPr>
            </w:pPr>
            <w:r>
              <w:rPr>
                <w:rFonts w:ascii="Cambria" w:hAnsi="Cambria"/>
                <w:noProof/>
                <w:lang w:val="pl-PL"/>
              </w:rPr>
              <w:t xml:space="preserve">Izrađen Program </w:t>
            </w:r>
            <w:r w:rsidRPr="0004011E">
              <w:rPr>
                <w:rFonts w:ascii="Cambria" w:hAnsi="Cambria"/>
                <w:noProof/>
                <w:lang w:val="pl-PL"/>
              </w:rPr>
              <w:t>za rješavanje pitanja zaostalih i napuštenih hemikalija</w:t>
            </w:r>
          </w:p>
        </w:tc>
        <w:tc>
          <w:tcPr>
            <w:tcW w:w="4017" w:type="dxa"/>
            <w:tcBorders>
              <w:top w:val="double" w:sz="4" w:space="0" w:color="auto"/>
              <w:left w:val="single" w:sz="4" w:space="0" w:color="auto"/>
              <w:bottom w:val="single" w:sz="4" w:space="0" w:color="auto"/>
            </w:tcBorders>
            <w:shd w:val="clear" w:color="auto" w:fill="auto"/>
          </w:tcPr>
          <w:p w14:paraId="02D62628" w14:textId="24B29D44" w:rsidR="00373829" w:rsidRPr="00373829" w:rsidRDefault="00373829" w:rsidP="00373829">
            <w:pPr>
              <w:spacing w:before="120" w:after="120"/>
              <w:rPr>
                <w:rFonts w:ascii="Cambria" w:hAnsi="Cambria"/>
                <w:noProof/>
                <w:lang w:val="pl-PL"/>
              </w:rPr>
            </w:pPr>
            <w:r>
              <w:rPr>
                <w:rFonts w:ascii="Cambria" w:hAnsi="Cambria"/>
                <w:noProof/>
                <w:lang w:val="pl-PL"/>
              </w:rPr>
              <w:t>2</w:t>
            </w:r>
            <w:r w:rsidRPr="00373829">
              <w:rPr>
                <w:rFonts w:ascii="Cambria" w:hAnsi="Cambria"/>
                <w:noProof/>
                <w:lang w:val="pl-PL"/>
              </w:rPr>
              <w:t>0.000</w:t>
            </w:r>
          </w:p>
          <w:p w14:paraId="6F15579F" w14:textId="15D60FB0" w:rsidR="0004011E" w:rsidRPr="00EB4AAD" w:rsidRDefault="00373829" w:rsidP="00373829">
            <w:pPr>
              <w:spacing w:before="120" w:after="120"/>
              <w:rPr>
                <w:rFonts w:ascii="Cambria" w:hAnsi="Cambria"/>
                <w:noProof/>
                <w:lang w:val="pl-PL"/>
              </w:rPr>
            </w:pPr>
            <w:r w:rsidRPr="00373829">
              <w:rPr>
                <w:rFonts w:ascii="Cambria" w:hAnsi="Cambria"/>
                <w:noProof/>
                <w:lang w:val="pl-PL"/>
              </w:rPr>
              <w:t xml:space="preserve">Izvor:  IPA ili </w:t>
            </w:r>
            <w:r>
              <w:rPr>
                <w:rFonts w:ascii="Cambria" w:hAnsi="Cambria"/>
                <w:noProof/>
                <w:lang w:val="pl-PL"/>
              </w:rPr>
              <w:t>SAICM-</w:t>
            </w:r>
            <w:r w:rsidRPr="00373829">
              <w:rPr>
                <w:rFonts w:ascii="Cambria" w:hAnsi="Cambria"/>
                <w:noProof/>
                <w:lang w:val="pl-PL"/>
              </w:rPr>
              <w:t>Quick Start programme</w:t>
            </w:r>
          </w:p>
        </w:tc>
      </w:tr>
      <w:tr w:rsidR="000E4C73" w:rsidRPr="00EB4AAD" w14:paraId="6BB8BF25" w14:textId="77777777" w:rsidTr="00A275C9">
        <w:trPr>
          <w:trHeight w:val="176"/>
        </w:trPr>
        <w:tc>
          <w:tcPr>
            <w:tcW w:w="14367" w:type="dxa"/>
            <w:gridSpan w:val="5"/>
            <w:tcBorders>
              <w:top w:val="single" w:sz="4" w:space="0" w:color="auto"/>
              <w:bottom w:val="double" w:sz="4" w:space="0" w:color="auto"/>
            </w:tcBorders>
            <w:shd w:val="clear" w:color="auto" w:fill="auto"/>
          </w:tcPr>
          <w:p w14:paraId="7EBB1F9D" w14:textId="39A545F9" w:rsidR="000E4C73" w:rsidRPr="0004011E" w:rsidRDefault="000E4C73" w:rsidP="00BB313F">
            <w:pPr>
              <w:spacing w:before="120" w:after="120"/>
              <w:rPr>
                <w:rFonts w:ascii="Cambria" w:hAnsi="Cambria"/>
                <w:noProof/>
                <w:lang w:val="sr-Latn-ME"/>
              </w:rPr>
            </w:pPr>
            <w:bookmarkStart w:id="167" w:name="_Hlk527279921"/>
            <w:r w:rsidRPr="0004011E">
              <w:rPr>
                <w:rFonts w:ascii="Cambria" w:hAnsi="Cambria"/>
                <w:i/>
                <w:noProof/>
                <w:lang w:val="sr-Latn-ME"/>
              </w:rPr>
              <w:t>Opis aktivnosti:</w:t>
            </w:r>
            <w:r>
              <w:rPr>
                <w:rFonts w:ascii="Cambria" w:hAnsi="Cambria"/>
                <w:noProof/>
                <w:lang w:val="sr-Latn-ME"/>
              </w:rPr>
              <w:t xml:space="preserve"> </w:t>
            </w:r>
            <w:r w:rsidR="0004011E" w:rsidRPr="0004011E">
              <w:rPr>
                <w:rFonts w:ascii="Cambria" w:hAnsi="Cambria"/>
                <w:noProof/>
                <w:lang w:val="sr-Latn-ME"/>
              </w:rPr>
              <w:t>U pogledu zaostalih i napuštenih hemikalija koje se nalaze</w:t>
            </w:r>
            <w:r w:rsidR="0004011E" w:rsidRPr="0004011E">
              <w:rPr>
                <w:rFonts w:ascii="Cambria" w:hAnsi="Cambria"/>
                <w:noProof/>
              </w:rPr>
              <w:t xml:space="preserve"> u starim fabrikama iz vremena  SFRJ,   ne može se definisati ko je vlasnik ovakvih hemikalija koji bi preuzeo obavezu njihovog zbrinjavanja jer su ove fabrike  prošle kroz brojne vlasničke transformacije u kojima nijesu do kraja precizno utvrđeni pravni nasljednici. Ovaj problem treba riješiti programski, a  s obzirom  da se u najvećem broju slučajeva u pogledu zaostalih i napuštenih hemikalija radi o opasnom otpadu koji treba zbrinuti na adekvatan načinu, prilikom izrade programa treba uzeti u obzir praksu koja bude utvrđena kao adekvatna za upravljanje industrijskim otpadom i čišćenje 4 crne ekološke tačke.</w:t>
            </w:r>
          </w:p>
        </w:tc>
      </w:tr>
      <w:bookmarkEnd w:id="167"/>
      <w:tr w:rsidR="00EB4AAD" w:rsidRPr="00EB4AAD" w14:paraId="2F7C15DD" w14:textId="77777777" w:rsidTr="00A275C9">
        <w:tc>
          <w:tcPr>
            <w:tcW w:w="14367" w:type="dxa"/>
            <w:gridSpan w:val="5"/>
            <w:tcBorders>
              <w:top w:val="double" w:sz="4" w:space="0" w:color="auto"/>
              <w:bottom w:val="double" w:sz="4" w:space="0" w:color="auto"/>
            </w:tcBorders>
            <w:shd w:val="clear" w:color="auto" w:fill="D9D9D9" w:themeFill="background1" w:themeFillShade="D9"/>
          </w:tcPr>
          <w:p w14:paraId="1E549F9D" w14:textId="56688DEA" w:rsidR="00EB4AAD" w:rsidRPr="00EB4AAD" w:rsidRDefault="00EB4AAD" w:rsidP="00803D9D">
            <w:pPr>
              <w:spacing w:before="120" w:after="120"/>
              <w:rPr>
                <w:rFonts w:ascii="Cambria" w:hAnsi="Cambria"/>
                <w:b/>
                <w:noProof/>
                <w:lang w:val="sr-Latn-ME"/>
              </w:rPr>
            </w:pPr>
            <w:r w:rsidRPr="00EB4AAD">
              <w:rPr>
                <w:rFonts w:ascii="Cambria" w:hAnsi="Cambria"/>
                <w:b/>
                <w:noProof/>
                <w:lang w:val="sr-Latn-ME"/>
              </w:rPr>
              <w:t>CILJ 7. Unaprijeđenje međunarodne i regionalne saradnje i sprovođenje  relevantnih konvencija</w:t>
            </w:r>
          </w:p>
        </w:tc>
      </w:tr>
      <w:tr w:rsidR="00EB4AAD" w:rsidRPr="00EB4AAD" w14:paraId="09C0CE09"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465F923B" w14:textId="77777777" w:rsidR="002252F3" w:rsidRPr="00EB4AAD" w:rsidRDefault="000C6C88" w:rsidP="00557C13">
            <w:pPr>
              <w:numPr>
                <w:ilvl w:val="0"/>
                <w:numId w:val="48"/>
              </w:numPr>
              <w:spacing w:before="120" w:after="120"/>
              <w:ind w:left="405" w:hanging="270"/>
              <w:rPr>
                <w:rFonts w:ascii="Cambria" w:hAnsi="Cambria"/>
                <w:noProof/>
                <w:lang w:val="pl-PL"/>
              </w:rPr>
            </w:pPr>
            <w:r w:rsidRPr="00EB4AAD">
              <w:rPr>
                <w:rFonts w:ascii="Cambria" w:hAnsi="Cambria"/>
                <w:noProof/>
                <w:lang w:val="pl-PL"/>
              </w:rPr>
              <w:t>Jačanje regionalne i međunarodne saradnje</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5B79BE32"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6882590E"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6B9F6691"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Razmena iskustava u funkcionisanju sistema upravljanja uspostavljena sa EU i zemljama kandidatima u okruženju</w:t>
            </w:r>
          </w:p>
        </w:tc>
        <w:tc>
          <w:tcPr>
            <w:tcW w:w="4017" w:type="dxa"/>
            <w:tcBorders>
              <w:top w:val="double" w:sz="4" w:space="0" w:color="auto"/>
              <w:left w:val="single" w:sz="4" w:space="0" w:color="auto"/>
              <w:bottom w:val="single" w:sz="4" w:space="0" w:color="auto"/>
            </w:tcBorders>
            <w:shd w:val="clear" w:color="auto" w:fill="auto"/>
          </w:tcPr>
          <w:p w14:paraId="5D2ECBE0" w14:textId="38AC9838" w:rsidR="00EB4AAD" w:rsidRPr="00EB4AAD" w:rsidRDefault="00EB4AAD" w:rsidP="00803D9D">
            <w:pPr>
              <w:spacing w:before="120" w:after="120"/>
              <w:rPr>
                <w:rFonts w:ascii="Cambria" w:hAnsi="Cambria"/>
                <w:noProof/>
                <w:lang w:val="pl-PL"/>
              </w:rPr>
            </w:pPr>
            <w:r w:rsidRPr="00EB4AAD">
              <w:rPr>
                <w:rFonts w:ascii="Cambria" w:hAnsi="Cambria"/>
                <w:noProof/>
                <w:lang w:val="pl-PL"/>
              </w:rPr>
              <w:t>Sredstva obezb</w:t>
            </w:r>
            <w:r w:rsidR="00C65B0A">
              <w:rPr>
                <w:rFonts w:ascii="Cambria" w:hAnsi="Cambria"/>
                <w:noProof/>
                <w:lang w:val="pl-PL"/>
              </w:rPr>
              <w:t>ij</w:t>
            </w:r>
            <w:r w:rsidRPr="00EB4AAD">
              <w:rPr>
                <w:rFonts w:ascii="Cambria" w:hAnsi="Cambria"/>
                <w:noProof/>
                <w:lang w:val="pl-PL"/>
              </w:rPr>
              <w:t>editi iz IPA</w:t>
            </w:r>
          </w:p>
          <w:p w14:paraId="67502C4F"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(iznos</w:t>
            </w:r>
            <w:r w:rsidR="00FE1726">
              <w:rPr>
                <w:rFonts w:ascii="Cambria" w:hAnsi="Cambria"/>
                <w:noProof/>
                <w:lang w:val="pl-PL"/>
              </w:rPr>
              <w:t xml:space="preserve"> za pojedinačne aktivnosti </w:t>
            </w:r>
            <w:r w:rsidRPr="00EB4AAD">
              <w:rPr>
                <w:rFonts w:ascii="Cambria" w:hAnsi="Cambria"/>
                <w:noProof/>
                <w:lang w:val="pl-PL"/>
              </w:rPr>
              <w:t xml:space="preserve"> definisati u okviru izrade predloga projekta)</w:t>
            </w:r>
          </w:p>
        </w:tc>
      </w:tr>
      <w:tr w:rsidR="000E4C73" w:rsidRPr="00EB4AAD" w14:paraId="2B0B07E6" w14:textId="77777777" w:rsidTr="00A275C9">
        <w:trPr>
          <w:trHeight w:val="176"/>
        </w:trPr>
        <w:tc>
          <w:tcPr>
            <w:tcW w:w="14367" w:type="dxa"/>
            <w:gridSpan w:val="5"/>
            <w:tcBorders>
              <w:top w:val="single" w:sz="4" w:space="0" w:color="auto"/>
              <w:bottom w:val="double" w:sz="4" w:space="0" w:color="auto"/>
            </w:tcBorders>
            <w:shd w:val="clear" w:color="auto" w:fill="auto"/>
          </w:tcPr>
          <w:p w14:paraId="2989EB0D" w14:textId="7F5B6889" w:rsidR="000E4C73" w:rsidRPr="00EB4AAD" w:rsidRDefault="000E4C73" w:rsidP="00BB313F">
            <w:pPr>
              <w:spacing w:before="120" w:after="120"/>
              <w:rPr>
                <w:rFonts w:ascii="Cambria" w:hAnsi="Cambria"/>
                <w:noProof/>
                <w:lang w:val="pl-PL"/>
              </w:rPr>
            </w:pPr>
            <w:r w:rsidRPr="0004011E">
              <w:rPr>
                <w:rFonts w:ascii="Cambria" w:hAnsi="Cambria"/>
                <w:i/>
                <w:noProof/>
                <w:lang w:val="sr-Latn-ME"/>
              </w:rPr>
              <w:t>Opis aktivnosti:</w:t>
            </w:r>
            <w:r>
              <w:rPr>
                <w:rFonts w:ascii="Cambria" w:hAnsi="Cambria"/>
                <w:noProof/>
                <w:lang w:val="sr-Latn-ME"/>
              </w:rPr>
              <w:t xml:space="preserve"> </w:t>
            </w:r>
            <w:r w:rsidR="0004011E" w:rsidRPr="0004011E">
              <w:rPr>
                <w:rFonts w:ascii="Cambria" w:hAnsi="Cambria"/>
                <w:noProof/>
                <w:lang w:val="sr-Latn-ME"/>
              </w:rPr>
              <w:t>Jačanje međunarodne i regionalne saradnje bi trebalo da donese višestruke koristi Crnoj Gori na polju unapređivanja stanja po pitanju hemijske bezbjednosti, s obzirom da razmjena iskustava u funkcionisanju sistema upravljanja hemikalijama uspostavljenog po principima definisanim u EU može biti od ključnog značaja za efikasno funcionisanje sistema u Crnoj Gori i definisanje izazova o kojima treba pregovarati u okviru poglavlja 27. S tim u vezi, na raspolaganju su opcije za saradnju i razmjenu iskustava u okviru IPA programa.</w:t>
            </w:r>
          </w:p>
        </w:tc>
      </w:tr>
      <w:tr w:rsidR="00EB4AAD" w:rsidRPr="00EB4AAD" w14:paraId="52DA0123"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44ACE1FF" w14:textId="77777777" w:rsidR="00EB4AAD" w:rsidRPr="00EB4AAD" w:rsidRDefault="00D6774F" w:rsidP="00557C13">
            <w:pPr>
              <w:numPr>
                <w:ilvl w:val="0"/>
                <w:numId w:val="48"/>
              </w:numPr>
              <w:spacing w:before="120" w:after="120"/>
              <w:ind w:left="405" w:hanging="270"/>
              <w:rPr>
                <w:rFonts w:ascii="Cambria" w:hAnsi="Cambria"/>
                <w:noProof/>
                <w:lang w:val="sr-Latn-ME"/>
              </w:rPr>
            </w:pPr>
            <w:r>
              <w:rPr>
                <w:rFonts w:ascii="Cambria" w:hAnsi="Cambria"/>
                <w:noProof/>
                <w:lang w:val="sr-Latn-ME"/>
              </w:rPr>
              <w:lastRenderedPageBreak/>
              <w:t xml:space="preserve">Sprovođenje </w:t>
            </w:r>
            <w:r w:rsidRPr="00EB4AAD">
              <w:rPr>
                <w:rFonts w:ascii="Cambria" w:hAnsi="Cambria"/>
                <w:noProof/>
                <w:lang w:val="sr-Latn-ME"/>
              </w:rPr>
              <w:t>obaveza</w:t>
            </w:r>
            <w:r>
              <w:rPr>
                <w:rFonts w:ascii="Cambria" w:hAnsi="Cambria"/>
                <w:noProof/>
                <w:lang w:val="sr-Latn-ME"/>
              </w:rPr>
              <w:t xml:space="preserve"> </w:t>
            </w:r>
            <w:r w:rsidR="00EB4AAD" w:rsidRPr="00EB4AAD">
              <w:rPr>
                <w:rFonts w:ascii="Cambria" w:hAnsi="Cambria"/>
                <w:noProof/>
                <w:lang w:val="sr-Latn-ME"/>
              </w:rPr>
              <w:t>u skladu sa</w:t>
            </w:r>
            <w:r>
              <w:rPr>
                <w:rFonts w:ascii="Cambria" w:hAnsi="Cambria"/>
                <w:noProof/>
                <w:lang w:val="sr-Latn-ME"/>
              </w:rPr>
              <w:t xml:space="preserve"> </w:t>
            </w:r>
            <w:r w:rsidR="00EB4AAD" w:rsidRPr="00EB4AAD">
              <w:rPr>
                <w:rFonts w:ascii="Cambria" w:hAnsi="Cambria"/>
                <w:noProof/>
                <w:lang w:val="sr-Latn-ME"/>
              </w:rPr>
              <w:t xml:space="preserve">međunarodnim </w:t>
            </w:r>
            <w:r>
              <w:rPr>
                <w:rFonts w:ascii="Cambria" w:hAnsi="Cambria"/>
                <w:noProof/>
                <w:lang w:val="sr-Latn-ME"/>
              </w:rPr>
              <w:t>ugovorima</w:t>
            </w:r>
          </w:p>
          <w:p w14:paraId="3766CC5A" w14:textId="77777777" w:rsidR="00EB4AAD" w:rsidRPr="00EB4AAD" w:rsidRDefault="00EB4AAD" w:rsidP="00BE665F">
            <w:pPr>
              <w:spacing w:before="120" w:after="120"/>
              <w:ind w:left="405" w:hanging="270"/>
              <w:rPr>
                <w:rFonts w:ascii="Cambria" w:hAnsi="Cambria"/>
                <w:noProof/>
                <w:lang w:val="pl-PL"/>
              </w:rPr>
            </w:pP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7DBA74EE" w14:textId="77777777" w:rsidR="00EB4AAD" w:rsidRPr="00EB4AAD" w:rsidRDefault="00EB4AAD" w:rsidP="00803D9D">
            <w:pPr>
              <w:spacing w:before="120" w:after="120"/>
              <w:rPr>
                <w:rFonts w:ascii="Cambria" w:hAnsi="Cambria"/>
                <w:noProof/>
              </w:rPr>
            </w:pPr>
            <w:r w:rsidRPr="00EB4AAD">
              <w:rPr>
                <w:rFonts w:ascii="Cambria" w:hAnsi="Cambria"/>
                <w:noProof/>
                <w:lang w:val="pl-PL"/>
              </w:rPr>
              <w:t>Kontinuirano</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7524BF4D" w14:textId="77777777" w:rsidR="00EB4AAD" w:rsidRPr="00EB4AAD" w:rsidRDefault="00EB4AAD" w:rsidP="00803D9D">
            <w:pPr>
              <w:spacing w:before="120" w:after="120"/>
              <w:rPr>
                <w:rFonts w:ascii="Cambria" w:hAnsi="Cambria"/>
                <w:noProof/>
              </w:rPr>
            </w:pPr>
            <w:r w:rsidRPr="00EB4AAD">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1DCBDC18" w14:textId="77777777" w:rsidR="00EB4AAD" w:rsidRPr="00BE665F" w:rsidRDefault="002F06E9" w:rsidP="00557C13">
            <w:pPr>
              <w:numPr>
                <w:ilvl w:val="0"/>
                <w:numId w:val="43"/>
              </w:numPr>
              <w:spacing w:before="120" w:after="120"/>
              <w:ind w:left="226" w:hanging="270"/>
              <w:rPr>
                <w:rFonts w:ascii="Cambria" w:hAnsi="Cambria"/>
                <w:noProof/>
              </w:rPr>
            </w:pPr>
            <w:r>
              <w:rPr>
                <w:rFonts w:ascii="Cambria" w:hAnsi="Cambria"/>
                <w:noProof/>
              </w:rPr>
              <w:t>Redovni i</w:t>
            </w:r>
            <w:r w:rsidR="00EB4AAD" w:rsidRPr="00BE665F">
              <w:rPr>
                <w:rFonts w:ascii="Cambria" w:hAnsi="Cambria"/>
                <w:noProof/>
              </w:rPr>
              <w:t xml:space="preserve">zvještaji </w:t>
            </w:r>
            <w:r w:rsidR="00BE665F" w:rsidRPr="00BE665F">
              <w:rPr>
                <w:rFonts w:ascii="Cambria" w:hAnsi="Cambria"/>
                <w:noProof/>
              </w:rPr>
              <w:t>o sprovođenju konvencija</w:t>
            </w:r>
          </w:p>
          <w:p w14:paraId="30C74695" w14:textId="77777777" w:rsidR="00BE665F" w:rsidRPr="00EB4AAD" w:rsidRDefault="00BE665F" w:rsidP="00557C13">
            <w:pPr>
              <w:numPr>
                <w:ilvl w:val="0"/>
                <w:numId w:val="43"/>
              </w:numPr>
              <w:spacing w:before="120" w:after="120"/>
              <w:ind w:left="226" w:hanging="270"/>
              <w:rPr>
                <w:rFonts w:ascii="Cambria" w:hAnsi="Cambria"/>
                <w:noProof/>
                <w:lang w:val="pl-PL"/>
              </w:rPr>
            </w:pPr>
            <w:r w:rsidRPr="00BE665F">
              <w:rPr>
                <w:rFonts w:ascii="Cambria" w:hAnsi="Cambria"/>
                <w:noProof/>
              </w:rPr>
              <w:t>Usvojen</w:t>
            </w:r>
            <w:r>
              <w:rPr>
                <w:rFonts w:ascii="Cambria" w:hAnsi="Cambria"/>
                <w:noProof/>
              </w:rPr>
              <w:t xml:space="preserve"> Revidirani</w:t>
            </w:r>
            <w:r w:rsidRPr="00BE665F">
              <w:rPr>
                <w:rFonts w:ascii="Cambria" w:hAnsi="Cambria"/>
                <w:noProof/>
              </w:rPr>
              <w:t xml:space="preserve"> NIP</w:t>
            </w:r>
          </w:p>
        </w:tc>
        <w:tc>
          <w:tcPr>
            <w:tcW w:w="4017" w:type="dxa"/>
            <w:tcBorders>
              <w:top w:val="double" w:sz="4" w:space="0" w:color="auto"/>
              <w:left w:val="single" w:sz="4" w:space="0" w:color="auto"/>
              <w:bottom w:val="single" w:sz="4" w:space="0" w:color="auto"/>
            </w:tcBorders>
            <w:shd w:val="clear" w:color="auto" w:fill="auto"/>
          </w:tcPr>
          <w:p w14:paraId="67EB8F01" w14:textId="77777777" w:rsidR="00EB4AAD" w:rsidRPr="00EB4AAD" w:rsidRDefault="00EB4AAD" w:rsidP="00803D9D">
            <w:pPr>
              <w:spacing w:before="120" w:after="120"/>
              <w:rPr>
                <w:rFonts w:ascii="Cambria" w:hAnsi="Cambria"/>
                <w:noProof/>
                <w:lang w:val="pl-PL"/>
              </w:rPr>
            </w:pPr>
            <w:r w:rsidRPr="00EB4AAD">
              <w:rPr>
                <w:rFonts w:ascii="Cambria" w:hAnsi="Cambria"/>
                <w:noProof/>
                <w:lang w:val="pl-PL"/>
              </w:rPr>
              <w:t xml:space="preserve">Aktivnost pokrivena  iz budžeta     </w:t>
            </w:r>
          </w:p>
        </w:tc>
      </w:tr>
      <w:tr w:rsidR="000E4C73" w:rsidRPr="00EB4AAD" w14:paraId="26462CFC" w14:textId="77777777" w:rsidTr="00A275C9">
        <w:trPr>
          <w:trHeight w:val="176"/>
        </w:trPr>
        <w:tc>
          <w:tcPr>
            <w:tcW w:w="14367" w:type="dxa"/>
            <w:gridSpan w:val="5"/>
            <w:tcBorders>
              <w:top w:val="single" w:sz="4" w:space="0" w:color="auto"/>
              <w:bottom w:val="double" w:sz="4" w:space="0" w:color="auto"/>
            </w:tcBorders>
            <w:shd w:val="clear" w:color="auto" w:fill="auto"/>
          </w:tcPr>
          <w:p w14:paraId="613AC28B" w14:textId="6250A480" w:rsidR="000E4C73" w:rsidRPr="00EB4AAD" w:rsidRDefault="000E4C73" w:rsidP="0004011E">
            <w:pPr>
              <w:spacing w:before="120" w:after="120"/>
              <w:rPr>
                <w:rFonts w:ascii="Cambria" w:hAnsi="Cambria"/>
                <w:noProof/>
                <w:lang w:val="pl-PL"/>
              </w:rPr>
            </w:pPr>
            <w:r w:rsidRPr="0004011E">
              <w:rPr>
                <w:rFonts w:ascii="Cambria" w:hAnsi="Cambria"/>
                <w:i/>
                <w:noProof/>
                <w:lang w:val="sr-Latn-ME"/>
              </w:rPr>
              <w:t>Opis aktivnosti:</w:t>
            </w:r>
            <w:r>
              <w:rPr>
                <w:rFonts w:ascii="Cambria" w:hAnsi="Cambria"/>
                <w:noProof/>
                <w:lang w:val="sr-Latn-ME"/>
              </w:rPr>
              <w:t xml:space="preserve"> </w:t>
            </w:r>
            <w:r w:rsidR="0004011E" w:rsidRPr="0004011E">
              <w:rPr>
                <w:rFonts w:ascii="Cambria" w:hAnsi="Cambria"/>
                <w:noProof/>
                <w:lang w:val="sr-Latn-ME"/>
              </w:rPr>
              <w:t>Oblast upravljanja hemikalijama obuhvaćena je sa nekoliko međunarodnih konvencija koje je Crna Gora ratifikovala, kao i Minamata konvencijom za čiju je ratifikaciju priprema u toku. Takođe, proces EU integracija obuhvata značajne obaveze u vezi sa hemikalijama. Pored praćenja donošenja propisa u ovoj oblasti, potrebno je detaljno praćenje implementacije, kako u pogledu aktivnosti koje sprovode nadležni organi, tako i u pogledu primjene propisa i izvršavanja obaveza od strane privrede.  Međunarodni ugovori podrazumijevaju i obimno izvještavanje i participaciju u sastancima na kojima se diskutuje o relevantnim izazovima i donose odluke u pogledu amandmana na anekse konvencija, te stvoranje uslova za implementaciju dodatnih obaveza utvrđenih aneksima u svakoj od država potpisnica. S tim u vezi, a s obzirom na dodatne POPs hemikalije koje su proteklih godina obuhvaćene aneksima Stokholmske konvencije, u toku je ažuriranje Nacionalnog implementacionog plana za Stokholmsku konvenciju (NIP).</w:t>
            </w:r>
          </w:p>
        </w:tc>
      </w:tr>
      <w:tr w:rsidR="00D6774F" w:rsidRPr="00EB4AAD" w14:paraId="0FCDA50E" w14:textId="77777777" w:rsidTr="00A275C9">
        <w:tc>
          <w:tcPr>
            <w:tcW w:w="5040" w:type="dxa"/>
            <w:tcBorders>
              <w:top w:val="double" w:sz="4" w:space="0" w:color="auto"/>
              <w:bottom w:val="single" w:sz="4" w:space="0" w:color="auto"/>
              <w:right w:val="single" w:sz="4" w:space="0" w:color="auto"/>
            </w:tcBorders>
            <w:shd w:val="clear" w:color="auto" w:fill="F2F2F2" w:themeFill="background1" w:themeFillShade="F2"/>
          </w:tcPr>
          <w:p w14:paraId="106A8B83" w14:textId="77777777" w:rsidR="00D6774F" w:rsidRDefault="00D6774F" w:rsidP="00557C13">
            <w:pPr>
              <w:numPr>
                <w:ilvl w:val="0"/>
                <w:numId w:val="48"/>
              </w:numPr>
              <w:spacing w:before="120" w:after="120"/>
              <w:ind w:left="405" w:hanging="270"/>
              <w:rPr>
                <w:rFonts w:ascii="Cambria" w:hAnsi="Cambria"/>
                <w:noProof/>
                <w:lang w:val="sr-Latn-ME"/>
              </w:rPr>
            </w:pPr>
            <w:r>
              <w:rPr>
                <w:rFonts w:ascii="Cambria" w:hAnsi="Cambria"/>
                <w:noProof/>
                <w:lang w:val="sr-Latn-ME"/>
              </w:rPr>
              <w:t>Ratifikacija Minamata konvencije o živi</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6276D45D" w14:textId="06EF2DE9" w:rsidR="00D6774F" w:rsidRPr="00EB4AAD" w:rsidRDefault="00D6774F" w:rsidP="00803D9D">
            <w:pPr>
              <w:spacing w:before="120" w:after="120"/>
              <w:rPr>
                <w:rFonts w:ascii="Cambria" w:hAnsi="Cambria"/>
                <w:noProof/>
                <w:lang w:val="pl-PL"/>
              </w:rPr>
            </w:pPr>
            <w:r>
              <w:rPr>
                <w:rFonts w:ascii="Cambria" w:hAnsi="Cambria"/>
                <w:noProof/>
                <w:lang w:val="pl-PL"/>
              </w:rPr>
              <w:t>20</w:t>
            </w:r>
            <w:r w:rsidR="000A46A9">
              <w:rPr>
                <w:rFonts w:ascii="Cambria" w:hAnsi="Cambria"/>
                <w:noProof/>
                <w:lang w:val="pl-PL"/>
              </w:rPr>
              <w:t>19</w:t>
            </w:r>
          </w:p>
        </w:tc>
        <w:tc>
          <w:tcPr>
            <w:tcW w:w="1530" w:type="dxa"/>
            <w:tcBorders>
              <w:top w:val="double" w:sz="4" w:space="0" w:color="auto"/>
              <w:left w:val="single" w:sz="4" w:space="0" w:color="auto"/>
              <w:bottom w:val="single" w:sz="4" w:space="0" w:color="auto"/>
              <w:right w:val="single" w:sz="4" w:space="0" w:color="auto"/>
            </w:tcBorders>
            <w:shd w:val="clear" w:color="auto" w:fill="auto"/>
          </w:tcPr>
          <w:p w14:paraId="03BDE156" w14:textId="77777777" w:rsidR="00D6774F" w:rsidRPr="00EB4AAD" w:rsidRDefault="00D6774F" w:rsidP="00803D9D">
            <w:pPr>
              <w:spacing w:before="120" w:after="120"/>
              <w:rPr>
                <w:rFonts w:ascii="Cambria" w:hAnsi="Cambria"/>
                <w:noProof/>
                <w:lang w:val="pl-PL"/>
              </w:rPr>
            </w:pPr>
            <w:r>
              <w:rPr>
                <w:rFonts w:ascii="Cambria" w:hAnsi="Cambria"/>
                <w:noProof/>
                <w:lang w:val="pl-PL"/>
              </w:rPr>
              <w:t>MORT</w:t>
            </w:r>
          </w:p>
        </w:tc>
        <w:tc>
          <w:tcPr>
            <w:tcW w:w="2250" w:type="dxa"/>
            <w:tcBorders>
              <w:top w:val="double" w:sz="4" w:space="0" w:color="auto"/>
              <w:left w:val="single" w:sz="4" w:space="0" w:color="auto"/>
              <w:bottom w:val="single" w:sz="4" w:space="0" w:color="auto"/>
              <w:right w:val="single" w:sz="4" w:space="0" w:color="auto"/>
            </w:tcBorders>
          </w:tcPr>
          <w:p w14:paraId="267A42C9" w14:textId="77777777" w:rsidR="00D6774F" w:rsidRPr="00EB4AAD" w:rsidRDefault="00D6774F" w:rsidP="00803D9D">
            <w:pPr>
              <w:spacing w:before="120" w:after="120"/>
              <w:rPr>
                <w:rFonts w:ascii="Cambria" w:hAnsi="Cambria"/>
                <w:noProof/>
                <w:lang w:val="pl-PL"/>
              </w:rPr>
            </w:pPr>
            <w:r>
              <w:rPr>
                <w:rFonts w:ascii="Cambria" w:hAnsi="Cambria"/>
                <w:noProof/>
                <w:lang w:val="pl-PL"/>
              </w:rPr>
              <w:t>Donešen Zakon o ratifikaciji</w:t>
            </w:r>
          </w:p>
        </w:tc>
        <w:tc>
          <w:tcPr>
            <w:tcW w:w="4017" w:type="dxa"/>
            <w:tcBorders>
              <w:top w:val="double" w:sz="4" w:space="0" w:color="auto"/>
              <w:left w:val="single" w:sz="4" w:space="0" w:color="auto"/>
              <w:bottom w:val="single" w:sz="4" w:space="0" w:color="auto"/>
            </w:tcBorders>
            <w:shd w:val="clear" w:color="auto" w:fill="auto"/>
          </w:tcPr>
          <w:p w14:paraId="3B60E8BE" w14:textId="77777777" w:rsidR="00D6774F" w:rsidRPr="00EB4AAD" w:rsidRDefault="00D6774F" w:rsidP="00803D9D">
            <w:pPr>
              <w:spacing w:before="120" w:after="120"/>
              <w:rPr>
                <w:rFonts w:ascii="Cambria" w:hAnsi="Cambria"/>
                <w:noProof/>
                <w:lang w:val="pl-PL"/>
              </w:rPr>
            </w:pPr>
            <w:r w:rsidRPr="00D6774F">
              <w:rPr>
                <w:rFonts w:ascii="Cambria" w:hAnsi="Cambria"/>
                <w:noProof/>
                <w:lang w:val="pl-PL"/>
              </w:rPr>
              <w:t xml:space="preserve">Aktivnost pokrivena  iz budžeta </w:t>
            </w:r>
            <w:r w:rsidR="003426CC">
              <w:rPr>
                <w:rFonts w:ascii="Cambria" w:hAnsi="Cambria"/>
                <w:noProof/>
                <w:lang w:val="pl-PL"/>
              </w:rPr>
              <w:t xml:space="preserve"> </w:t>
            </w:r>
          </w:p>
        </w:tc>
      </w:tr>
      <w:tr w:rsidR="000E4C73" w:rsidRPr="00EB4AAD" w14:paraId="53CD0447" w14:textId="77777777" w:rsidTr="00A275C9">
        <w:trPr>
          <w:trHeight w:val="176"/>
        </w:trPr>
        <w:tc>
          <w:tcPr>
            <w:tcW w:w="14367" w:type="dxa"/>
            <w:gridSpan w:val="5"/>
            <w:tcBorders>
              <w:top w:val="single" w:sz="4" w:space="0" w:color="auto"/>
              <w:bottom w:val="double" w:sz="4" w:space="0" w:color="auto"/>
            </w:tcBorders>
            <w:shd w:val="clear" w:color="auto" w:fill="auto"/>
          </w:tcPr>
          <w:p w14:paraId="3B8E0E72" w14:textId="10B977F5" w:rsidR="000E4C73" w:rsidRPr="000A46A9" w:rsidRDefault="000E4C73" w:rsidP="000A46A9">
            <w:pPr>
              <w:spacing w:after="0"/>
              <w:jc w:val="both"/>
              <w:rPr>
                <w:rFonts w:ascii="Cambria" w:hAnsi="Cambria" w:cs="Arial"/>
                <w:bCs/>
                <w:noProof/>
              </w:rPr>
            </w:pPr>
            <w:r w:rsidRPr="000A46A9">
              <w:rPr>
                <w:rFonts w:ascii="Cambria" w:hAnsi="Cambria"/>
                <w:i/>
                <w:noProof/>
                <w:lang w:val="sr-Latn-ME"/>
              </w:rPr>
              <w:t>Opis aktivnosti:</w:t>
            </w:r>
            <w:r>
              <w:rPr>
                <w:rFonts w:ascii="Cambria" w:hAnsi="Cambria"/>
                <w:noProof/>
                <w:lang w:val="sr-Latn-ME"/>
              </w:rPr>
              <w:t xml:space="preserve"> </w:t>
            </w:r>
            <w:r w:rsidR="000A46A9" w:rsidRPr="006C0116">
              <w:rPr>
                <w:rFonts w:ascii="Cambria" w:hAnsi="Cambria" w:cs="Arial"/>
                <w:bCs/>
                <w:noProof/>
              </w:rPr>
              <w:t xml:space="preserve">Crna Gora potpisala je Minamata konvenciju o živi 24. septembra 2014. godine. </w:t>
            </w:r>
            <w:r w:rsidR="000A46A9">
              <w:rPr>
                <w:rFonts w:ascii="Cambria" w:hAnsi="Cambria" w:cs="Arial"/>
                <w:bCs/>
                <w:noProof/>
              </w:rPr>
              <w:t>Radi</w:t>
            </w:r>
            <w:r w:rsidR="000A46A9" w:rsidRPr="006C0116">
              <w:rPr>
                <w:rFonts w:ascii="Cambria" w:hAnsi="Cambria" w:cs="Arial"/>
                <w:bCs/>
                <w:noProof/>
              </w:rPr>
              <w:t xml:space="preserve"> priprem</w:t>
            </w:r>
            <w:r w:rsidR="000A46A9">
              <w:rPr>
                <w:rFonts w:ascii="Cambria" w:hAnsi="Cambria" w:cs="Arial"/>
                <w:bCs/>
                <w:noProof/>
              </w:rPr>
              <w:t>e</w:t>
            </w:r>
            <w:r w:rsidR="000A46A9" w:rsidRPr="006C0116">
              <w:rPr>
                <w:rFonts w:ascii="Cambria" w:hAnsi="Cambria" w:cs="Arial"/>
                <w:bCs/>
                <w:noProof/>
              </w:rPr>
              <w:t xml:space="preserve"> za </w:t>
            </w:r>
            <w:r w:rsidR="000A46A9">
              <w:rPr>
                <w:rFonts w:ascii="Cambria" w:hAnsi="Cambria" w:cs="Arial"/>
                <w:bCs/>
                <w:noProof/>
              </w:rPr>
              <w:t xml:space="preserve">ratifikaciju i </w:t>
            </w:r>
            <w:r w:rsidR="000A46A9" w:rsidRPr="006C0116">
              <w:rPr>
                <w:rFonts w:ascii="Cambria" w:hAnsi="Cambria" w:cs="Arial"/>
                <w:bCs/>
                <w:noProof/>
              </w:rPr>
              <w:t>izvršavanje budućih obaveza u skladu s Minamata konvencijom, Crna Gora je pristupila izradi Izvještaj</w:t>
            </w:r>
            <w:r w:rsidR="000A46A9">
              <w:rPr>
                <w:rFonts w:ascii="Cambria" w:hAnsi="Cambria" w:cs="Arial"/>
                <w:bCs/>
                <w:noProof/>
              </w:rPr>
              <w:t>a</w:t>
            </w:r>
            <w:r w:rsidR="000A46A9" w:rsidRPr="006C0116">
              <w:rPr>
                <w:rFonts w:ascii="Cambria" w:hAnsi="Cambria" w:cs="Arial"/>
                <w:bCs/>
                <w:noProof/>
              </w:rPr>
              <w:t xml:space="preserve"> o Minamata inicijalnoj procjeni za </w:t>
            </w:r>
            <w:r w:rsidR="000A46A9" w:rsidRPr="006C0116">
              <w:rPr>
                <w:rFonts w:ascii="Cambria" w:hAnsi="Cambria" w:cs="Arial"/>
                <w:bCs/>
                <w:noProof/>
                <w:lang w:val="sr-Latn-RS"/>
              </w:rPr>
              <w:t>živu</w:t>
            </w:r>
            <w:r w:rsidR="000A46A9">
              <w:rPr>
                <w:rFonts w:ascii="Cambria" w:hAnsi="Cambria" w:cs="Arial"/>
                <w:bCs/>
                <w:noProof/>
                <w:lang w:val="sr-Latn-RS"/>
              </w:rPr>
              <w:t xml:space="preserve"> koji sadrži</w:t>
            </w:r>
            <w:r w:rsidR="000A46A9" w:rsidRPr="006C0116">
              <w:rPr>
                <w:rFonts w:ascii="Cambria" w:hAnsi="Cambria" w:cs="Arial"/>
                <w:bCs/>
                <w:noProof/>
                <w:lang w:val="sr-Latn-RS"/>
              </w:rPr>
              <w:t xml:space="preserve"> </w:t>
            </w:r>
            <w:r w:rsidR="000A46A9" w:rsidRPr="006C0116">
              <w:rPr>
                <w:rFonts w:ascii="Cambria" w:hAnsi="Cambria" w:cs="Arial"/>
                <w:bCs/>
                <w:noProof/>
              </w:rPr>
              <w:t>inventar izvor</w:t>
            </w:r>
            <w:r w:rsidR="000A46A9">
              <w:rPr>
                <w:rFonts w:ascii="Cambria" w:hAnsi="Cambria" w:cs="Arial"/>
                <w:bCs/>
                <w:noProof/>
              </w:rPr>
              <w:t>a</w:t>
            </w:r>
            <w:r w:rsidR="000A46A9" w:rsidRPr="006C0116">
              <w:rPr>
                <w:rFonts w:ascii="Cambria" w:hAnsi="Cambria" w:cs="Arial"/>
                <w:bCs/>
                <w:noProof/>
              </w:rPr>
              <w:t xml:space="preserve"> ispuštanja žive u Crnoj Gori</w:t>
            </w:r>
            <w:r w:rsidR="000A46A9">
              <w:rPr>
                <w:rFonts w:ascii="Cambria" w:hAnsi="Cambria" w:cs="Arial"/>
                <w:bCs/>
                <w:noProof/>
              </w:rPr>
              <w:t xml:space="preserve">, i </w:t>
            </w:r>
            <w:r w:rsidR="000A46A9" w:rsidRPr="006C0116">
              <w:rPr>
                <w:rFonts w:ascii="Cambria" w:hAnsi="Cambria" w:cs="Arial"/>
                <w:bCs/>
                <w:noProof/>
                <w:lang w:val="sr-Latn-RS"/>
              </w:rPr>
              <w:t>obra</w:t>
            </w:r>
            <w:r w:rsidR="000A46A9">
              <w:rPr>
                <w:rFonts w:ascii="Cambria" w:hAnsi="Cambria" w:cs="Arial"/>
                <w:bCs/>
                <w:noProof/>
                <w:lang w:val="sr-Latn-RS"/>
              </w:rPr>
              <w:t>đ</w:t>
            </w:r>
            <w:r w:rsidR="000A46A9" w:rsidRPr="006C0116">
              <w:rPr>
                <w:rFonts w:ascii="Cambria" w:hAnsi="Cambria" w:cs="Arial"/>
                <w:bCs/>
                <w:noProof/>
                <w:lang w:val="sr-Latn-RS"/>
              </w:rPr>
              <w:t>uje sve druge aspekte bitne za sprovodjenje Minamata konvencije u Crnoj Gori.</w:t>
            </w:r>
            <w:r w:rsidR="000A46A9">
              <w:rPr>
                <w:rFonts w:ascii="Cambria" w:hAnsi="Cambria" w:cs="Arial"/>
                <w:bCs/>
                <w:noProof/>
                <w:lang w:val="sr-Latn-RS"/>
              </w:rPr>
              <w:t xml:space="preserve"> U skladu sa preporukama iz ovog izvještaja, planirana je ratifikacija Minamata konvencije.</w:t>
            </w:r>
          </w:p>
        </w:tc>
      </w:tr>
      <w:bookmarkEnd w:id="11"/>
      <w:bookmarkEnd w:id="12"/>
      <w:bookmarkEnd w:id="13"/>
    </w:tbl>
    <w:p w14:paraId="6EEF7F3A" w14:textId="77777777" w:rsidR="00A275C9" w:rsidRDefault="00A275C9" w:rsidP="005921EF">
      <w:pPr>
        <w:jc w:val="right"/>
        <w:rPr>
          <w:rFonts w:ascii="Cambria" w:hAnsi="Cambria"/>
          <w:b/>
          <w:noProof/>
          <w:lang w:val="sr-Latn-ME"/>
        </w:rPr>
      </w:pPr>
    </w:p>
    <w:p w14:paraId="5434E863" w14:textId="77777777" w:rsidR="00A275C9" w:rsidRDefault="00A275C9" w:rsidP="005921EF">
      <w:pPr>
        <w:jc w:val="right"/>
        <w:rPr>
          <w:rFonts w:ascii="Cambria" w:hAnsi="Cambria"/>
          <w:b/>
          <w:noProof/>
          <w:lang w:val="sr-Latn-ME"/>
        </w:rPr>
      </w:pPr>
    </w:p>
    <w:p w14:paraId="53CFF979" w14:textId="77777777" w:rsidR="00A275C9" w:rsidRDefault="00A275C9" w:rsidP="005921EF">
      <w:pPr>
        <w:jc w:val="right"/>
        <w:rPr>
          <w:rFonts w:ascii="Cambria" w:hAnsi="Cambria"/>
          <w:b/>
          <w:noProof/>
          <w:lang w:val="sr-Latn-ME"/>
        </w:rPr>
      </w:pPr>
    </w:p>
    <w:p w14:paraId="32322CBA" w14:textId="77777777" w:rsidR="00A275C9" w:rsidRDefault="00A275C9" w:rsidP="005921EF">
      <w:pPr>
        <w:jc w:val="right"/>
        <w:rPr>
          <w:rFonts w:ascii="Cambria" w:hAnsi="Cambria"/>
          <w:b/>
          <w:noProof/>
          <w:lang w:val="sr-Latn-ME"/>
        </w:rPr>
      </w:pPr>
    </w:p>
    <w:p w14:paraId="5777BFDC" w14:textId="0EBD2646" w:rsidR="00A275C9" w:rsidRDefault="00A275C9" w:rsidP="005921EF">
      <w:pPr>
        <w:jc w:val="right"/>
        <w:rPr>
          <w:rFonts w:ascii="Cambria" w:hAnsi="Cambria"/>
          <w:b/>
          <w:noProof/>
          <w:lang w:val="sr-Latn-ME"/>
        </w:rPr>
      </w:pPr>
    </w:p>
    <w:p w14:paraId="60F64AD1" w14:textId="77777777" w:rsidR="00A275C9" w:rsidRDefault="00A275C9" w:rsidP="005921EF">
      <w:pPr>
        <w:jc w:val="right"/>
        <w:rPr>
          <w:rFonts w:ascii="Cambria" w:hAnsi="Cambria"/>
          <w:b/>
          <w:noProof/>
          <w:lang w:val="sr-Latn-ME"/>
        </w:rPr>
      </w:pPr>
    </w:p>
    <w:p w14:paraId="5F41D05E" w14:textId="28084971" w:rsidR="00C64A7E" w:rsidRPr="00AB15C7" w:rsidRDefault="00991910" w:rsidP="005921EF">
      <w:pPr>
        <w:jc w:val="right"/>
        <w:rPr>
          <w:rFonts w:ascii="Cambria" w:hAnsi="Cambria"/>
          <w:b/>
          <w:noProof/>
          <w:lang w:val="sr-Latn-ME"/>
        </w:rPr>
      </w:pPr>
      <w:r>
        <w:rPr>
          <w:rFonts w:ascii="Cambria" w:hAnsi="Cambria"/>
          <w:b/>
          <w:noProof/>
          <w:lang w:val="sr-Latn-ME"/>
        </w:rPr>
        <w:lastRenderedPageBreak/>
        <w:t>Prilog</w:t>
      </w:r>
    </w:p>
    <w:p w14:paraId="06DF857F" w14:textId="77777777" w:rsidR="00B510DB" w:rsidRPr="00AB15C7" w:rsidRDefault="00BD699A" w:rsidP="005921EF">
      <w:pPr>
        <w:jc w:val="center"/>
        <w:rPr>
          <w:rFonts w:ascii="Cambria" w:hAnsi="Cambria"/>
          <w:b/>
          <w:noProof/>
          <w:lang w:val="sr-Latn-ME"/>
        </w:rPr>
      </w:pPr>
      <w:r w:rsidRPr="00AB15C7">
        <w:rPr>
          <w:rFonts w:ascii="Cambria" w:hAnsi="Cambria"/>
          <w:b/>
          <w:noProof/>
          <w:lang w:val="sr-Latn-ME"/>
        </w:rPr>
        <w:t>PREGLED RELEVANTNOG NACIONALNOG ZAKONODAVSTVA</w:t>
      </w:r>
    </w:p>
    <w:p w14:paraId="51F82AE1" w14:textId="0EEE1FA0" w:rsidR="00C64A7E" w:rsidRPr="00AB15C7" w:rsidRDefault="00B510DB" w:rsidP="005921EF">
      <w:pPr>
        <w:jc w:val="both"/>
        <w:rPr>
          <w:rFonts w:ascii="Cambria" w:hAnsi="Cambria"/>
          <w:b/>
          <w:noProof/>
          <w:lang w:val="sr-Latn-ME"/>
        </w:rPr>
      </w:pPr>
      <w:r w:rsidRPr="00AB15C7">
        <w:rPr>
          <w:rFonts w:ascii="Cambria" w:hAnsi="Cambria"/>
          <w:b/>
          <w:i/>
          <w:noProof/>
          <w:lang w:val="sr-Latn-ME"/>
        </w:rPr>
        <w:t xml:space="preserve"> </w:t>
      </w:r>
      <w:r w:rsidR="00C65B0A" w:rsidRPr="00AB15C7">
        <w:rPr>
          <w:rFonts w:ascii="Cambria" w:hAnsi="Cambria"/>
          <w:b/>
          <w:noProof/>
          <w:lang w:val="sr-Latn-ME"/>
        </w:rPr>
        <w:t>D</w:t>
      </w:r>
      <w:r w:rsidR="00C65B0A">
        <w:rPr>
          <w:rFonts w:ascii="Cambria" w:hAnsi="Cambria"/>
          <w:b/>
          <w:noProof/>
          <w:lang w:val="sr-Latn-ME"/>
        </w:rPr>
        <w:t>I</w:t>
      </w:r>
      <w:r w:rsidR="00C65B0A" w:rsidRPr="00AB15C7">
        <w:rPr>
          <w:rFonts w:ascii="Cambria" w:hAnsi="Cambria"/>
          <w:b/>
          <w:noProof/>
          <w:lang w:val="sr-Latn-ME"/>
        </w:rPr>
        <w:t xml:space="preserve">O </w:t>
      </w:r>
      <w:r w:rsidR="0042058B" w:rsidRPr="00AB15C7">
        <w:rPr>
          <w:rFonts w:ascii="Cambria" w:hAnsi="Cambria"/>
          <w:b/>
          <w:noProof/>
          <w:lang w:val="sr-Latn-ME"/>
        </w:rPr>
        <w:t>1.  KROVNI PROPISI U OBLASTI UPRAVLJANJA HEMIKALIJAMA</w:t>
      </w:r>
    </w:p>
    <w:p w14:paraId="3891CCD6" w14:textId="77777777" w:rsidR="00C64A7E" w:rsidRPr="009A2099" w:rsidRDefault="00C64A7E" w:rsidP="009A2099">
      <w:pPr>
        <w:rPr>
          <w:rFonts w:ascii="Cambria" w:hAnsi="Cambria"/>
          <w:b/>
          <w:noProof/>
          <w:lang w:val="sr-Latn-ME"/>
        </w:rPr>
      </w:pPr>
      <w:r w:rsidRPr="009A2099">
        <w:rPr>
          <w:rFonts w:ascii="Cambria" w:hAnsi="Cambria"/>
          <w:b/>
          <w:i/>
          <w:noProof/>
          <w:lang w:val="sr-Latn-ME"/>
        </w:rPr>
        <w:t xml:space="preserve">Tabela A1. </w:t>
      </w:r>
      <w:r w:rsidRPr="009A2099">
        <w:rPr>
          <w:rFonts w:ascii="Cambria" w:hAnsi="Cambria"/>
          <w:b/>
          <w:noProof/>
          <w:lang w:val="sr-Latn-ME"/>
        </w:rPr>
        <w:t>Va</w:t>
      </w:r>
      <w:r w:rsidRPr="009A2099">
        <w:rPr>
          <w:rFonts w:ascii="Cambria" w:hAnsi="Cambria"/>
          <w:b/>
          <w:noProof/>
          <w:lang w:val="sr-Latn-RS"/>
        </w:rPr>
        <w:t xml:space="preserve">žeći propisi kojima se uređuje upravljanje </w:t>
      </w:r>
      <w:r w:rsidRPr="009A2099">
        <w:rPr>
          <w:rFonts w:ascii="Cambria" w:hAnsi="Cambria"/>
          <w:b/>
          <w:noProof/>
          <w:lang w:val="sr-Latn-ME"/>
        </w:rPr>
        <w:t>hemikalijama</w:t>
      </w:r>
    </w:p>
    <w:tbl>
      <w:tblPr>
        <w:tblW w:w="52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85"/>
        <w:gridCol w:w="1107"/>
        <w:gridCol w:w="2255"/>
        <w:gridCol w:w="6117"/>
      </w:tblGrid>
      <w:tr w:rsidR="00C64A7E" w:rsidRPr="00AB15C7" w14:paraId="4261FF71" w14:textId="77777777" w:rsidTr="00165701">
        <w:tc>
          <w:tcPr>
            <w:tcW w:w="1746" w:type="pct"/>
            <w:tcBorders>
              <w:top w:val="double" w:sz="4" w:space="0" w:color="auto"/>
              <w:left w:val="double" w:sz="4" w:space="0" w:color="auto"/>
            </w:tcBorders>
            <w:shd w:val="clear" w:color="auto" w:fill="D9D9D9"/>
          </w:tcPr>
          <w:p w14:paraId="4C6BF214" w14:textId="77777777" w:rsidR="00C64A7E" w:rsidRPr="00AB15C7" w:rsidRDefault="00C64A7E" w:rsidP="005921EF">
            <w:pPr>
              <w:jc w:val="both"/>
              <w:rPr>
                <w:rFonts w:ascii="Cambria" w:hAnsi="Cambria"/>
                <w:b/>
                <w:noProof/>
                <w:lang w:val="sr-Latn-ME"/>
              </w:rPr>
            </w:pPr>
            <w:r w:rsidRPr="00AB15C7">
              <w:rPr>
                <w:rFonts w:ascii="Cambria" w:hAnsi="Cambria"/>
                <w:b/>
                <w:noProof/>
                <w:lang w:val="sr-Latn-ME"/>
              </w:rPr>
              <w:t>Propis</w:t>
            </w:r>
          </w:p>
        </w:tc>
        <w:tc>
          <w:tcPr>
            <w:tcW w:w="380" w:type="pct"/>
            <w:tcBorders>
              <w:top w:val="double" w:sz="4" w:space="0" w:color="auto"/>
            </w:tcBorders>
            <w:shd w:val="clear" w:color="auto" w:fill="D9D9D9"/>
          </w:tcPr>
          <w:p w14:paraId="6432B5EA" w14:textId="77777777" w:rsidR="00C64A7E" w:rsidRPr="00AB15C7" w:rsidRDefault="00C64A7E" w:rsidP="005921EF">
            <w:pPr>
              <w:jc w:val="both"/>
              <w:rPr>
                <w:rFonts w:ascii="Cambria" w:hAnsi="Cambria"/>
                <w:b/>
                <w:noProof/>
                <w:lang w:val="sr-Latn-ME"/>
              </w:rPr>
            </w:pPr>
            <w:r w:rsidRPr="00AB15C7">
              <w:rPr>
                <w:rFonts w:ascii="Cambria" w:hAnsi="Cambria"/>
                <w:b/>
                <w:noProof/>
                <w:lang w:val="sr-Latn-ME"/>
              </w:rPr>
              <w:t xml:space="preserve">Nadležni organ </w:t>
            </w:r>
          </w:p>
        </w:tc>
        <w:tc>
          <w:tcPr>
            <w:tcW w:w="774" w:type="pct"/>
            <w:tcBorders>
              <w:top w:val="double" w:sz="4" w:space="0" w:color="auto"/>
            </w:tcBorders>
            <w:shd w:val="clear" w:color="auto" w:fill="D9D9D9"/>
          </w:tcPr>
          <w:p w14:paraId="0879CB3F" w14:textId="77777777" w:rsidR="00C64A7E" w:rsidRPr="00AB15C7" w:rsidRDefault="00C64A7E" w:rsidP="005921EF">
            <w:pPr>
              <w:jc w:val="both"/>
              <w:rPr>
                <w:rFonts w:ascii="Cambria" w:hAnsi="Cambria"/>
                <w:b/>
                <w:noProof/>
                <w:lang w:val="sr-Latn-ME"/>
              </w:rPr>
            </w:pPr>
            <w:r w:rsidRPr="00AB15C7">
              <w:rPr>
                <w:rFonts w:ascii="Cambria" w:hAnsi="Cambria"/>
                <w:b/>
                <w:noProof/>
                <w:lang w:val="sr-Latn-ME"/>
              </w:rPr>
              <w:t>Regulisana kategorija hemikalija</w:t>
            </w:r>
          </w:p>
        </w:tc>
        <w:tc>
          <w:tcPr>
            <w:tcW w:w="2100" w:type="pct"/>
            <w:tcBorders>
              <w:top w:val="double" w:sz="4" w:space="0" w:color="auto"/>
              <w:right w:val="double" w:sz="4" w:space="0" w:color="auto"/>
            </w:tcBorders>
            <w:shd w:val="clear" w:color="auto" w:fill="D9D9D9"/>
          </w:tcPr>
          <w:p w14:paraId="4376DF51" w14:textId="77777777" w:rsidR="00C64A7E" w:rsidRPr="00AB15C7" w:rsidRDefault="00C64A7E" w:rsidP="005921EF">
            <w:pPr>
              <w:jc w:val="both"/>
              <w:rPr>
                <w:rFonts w:ascii="Cambria" w:hAnsi="Cambria"/>
                <w:b/>
                <w:noProof/>
                <w:lang w:val="sr-Latn-ME"/>
              </w:rPr>
            </w:pPr>
            <w:r w:rsidRPr="00AB15C7">
              <w:rPr>
                <w:rFonts w:ascii="Cambria" w:hAnsi="Cambria"/>
                <w:b/>
                <w:noProof/>
                <w:lang w:val="sr-Latn-ME"/>
              </w:rPr>
              <w:t>Cilj propisa i usklašenost sa EU propisima</w:t>
            </w:r>
          </w:p>
        </w:tc>
      </w:tr>
      <w:tr w:rsidR="00C64A7E" w:rsidRPr="00AB15C7" w14:paraId="201B43FD" w14:textId="77777777" w:rsidTr="00165701">
        <w:tc>
          <w:tcPr>
            <w:tcW w:w="1746" w:type="pct"/>
            <w:tcBorders>
              <w:left w:val="double" w:sz="4" w:space="0" w:color="auto"/>
            </w:tcBorders>
          </w:tcPr>
          <w:p w14:paraId="449163CC" w14:textId="77777777" w:rsidR="00C64A7E" w:rsidRPr="00AB15C7" w:rsidRDefault="00C64A7E" w:rsidP="005921EF">
            <w:pPr>
              <w:jc w:val="both"/>
              <w:rPr>
                <w:rFonts w:ascii="Cambria" w:hAnsi="Cambria"/>
                <w:noProof/>
                <w:lang w:val="sr-Latn-ME"/>
              </w:rPr>
            </w:pPr>
            <w:r w:rsidRPr="00AB15C7">
              <w:rPr>
                <w:rFonts w:ascii="Cambria" w:hAnsi="Cambria"/>
                <w:b/>
                <w:noProof/>
                <w:lang w:val="sr-Latn-ME"/>
              </w:rPr>
              <w:t>Zakon o hemikalijama</w:t>
            </w:r>
            <w:r w:rsidRPr="00AB15C7">
              <w:rPr>
                <w:rFonts w:ascii="Cambria" w:hAnsi="Cambria"/>
                <w:noProof/>
                <w:lang w:val="sr-Latn-ME"/>
              </w:rPr>
              <w:t xml:space="preserve"> (“Sl. list CG”, br. </w:t>
            </w:r>
            <w:r w:rsidRPr="00AB15C7">
              <w:rPr>
                <w:rFonts w:ascii="Cambria" w:hAnsi="Cambria"/>
                <w:noProof/>
              </w:rPr>
              <w:t>51/17</w:t>
            </w:r>
            <w:r w:rsidRPr="00AB15C7">
              <w:rPr>
                <w:rFonts w:ascii="Cambria" w:hAnsi="Cambria"/>
                <w:noProof/>
                <w:lang w:val="sr-Latn-ME"/>
              </w:rPr>
              <w:t>)</w:t>
            </w:r>
          </w:p>
        </w:tc>
        <w:tc>
          <w:tcPr>
            <w:tcW w:w="380" w:type="pct"/>
          </w:tcPr>
          <w:p w14:paraId="18AE6978"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tc>
        <w:tc>
          <w:tcPr>
            <w:tcW w:w="774" w:type="pct"/>
          </w:tcPr>
          <w:p w14:paraId="7610EAB2"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hemikalije sa izuzetkom onih hemikalija  koje su pod posebnim režimom </w:t>
            </w:r>
          </w:p>
        </w:tc>
        <w:tc>
          <w:tcPr>
            <w:tcW w:w="2100" w:type="pct"/>
            <w:tcBorders>
              <w:right w:val="double" w:sz="4" w:space="0" w:color="auto"/>
            </w:tcBorders>
          </w:tcPr>
          <w:p w14:paraId="0208A129"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uspostavljanje, održavanje i unaprjeđivanje jedinstvenog sistema upravljanja hemikalijama. Odredbe ovog zakona usaglašene su sa Uredbom EU 1907/2006-REACH, kao i Uredbom EU 1272/2008, Uredbom EU 440/2008,  Uredbom EU 648/2004, Uredbom EU </w:t>
            </w:r>
            <w:r w:rsidRPr="00AB15C7">
              <w:rPr>
                <w:rFonts w:ascii="Cambria" w:hAnsi="Cambria"/>
                <w:noProof/>
              </w:rPr>
              <w:t xml:space="preserve">649/2012, </w:t>
            </w:r>
            <w:r w:rsidRPr="00AB15C7">
              <w:rPr>
                <w:rFonts w:ascii="Cambria" w:hAnsi="Cambria"/>
                <w:noProof/>
                <w:lang w:val="sr-Latn-ME"/>
              </w:rPr>
              <w:t xml:space="preserve">Uredbom EU </w:t>
            </w:r>
            <w:r w:rsidRPr="00AB15C7">
              <w:rPr>
                <w:rFonts w:ascii="Cambria" w:hAnsi="Cambria"/>
                <w:noProof/>
              </w:rPr>
              <w:t>850/2004 i Direktivom 2004/42/EC</w:t>
            </w:r>
          </w:p>
        </w:tc>
      </w:tr>
      <w:tr w:rsidR="00C64A7E" w:rsidRPr="00AB15C7" w14:paraId="26C54DE9" w14:textId="77777777" w:rsidTr="00165701">
        <w:trPr>
          <w:trHeight w:val="480"/>
        </w:trPr>
        <w:tc>
          <w:tcPr>
            <w:tcW w:w="1746" w:type="pct"/>
            <w:tcBorders>
              <w:top w:val="single" w:sz="4" w:space="0" w:color="auto"/>
              <w:left w:val="double" w:sz="4" w:space="0" w:color="auto"/>
              <w:bottom w:val="single" w:sz="4" w:space="0" w:color="auto"/>
            </w:tcBorders>
            <w:shd w:val="clear" w:color="auto" w:fill="F2F2F2"/>
          </w:tcPr>
          <w:p w14:paraId="510C0D30" w14:textId="77777777" w:rsidR="00C64A7E" w:rsidRPr="00AB15C7" w:rsidRDefault="00C64A7E" w:rsidP="005921EF">
            <w:pPr>
              <w:jc w:val="both"/>
              <w:rPr>
                <w:rFonts w:ascii="Cambria" w:hAnsi="Cambria"/>
                <w:i/>
                <w:noProof/>
                <w:lang w:val="sr-Latn-ME"/>
              </w:rPr>
            </w:pPr>
            <w:r w:rsidRPr="00AB15C7">
              <w:rPr>
                <w:rFonts w:ascii="Cambria" w:hAnsi="Cambria"/>
                <w:i/>
                <w:noProof/>
                <w:lang w:val="sr-Latn-ME"/>
              </w:rPr>
              <w:t>Podzakonski propisi za sprovođenje ovog zakona</w:t>
            </w:r>
          </w:p>
        </w:tc>
        <w:tc>
          <w:tcPr>
            <w:tcW w:w="380" w:type="pct"/>
            <w:tcBorders>
              <w:top w:val="single" w:sz="4" w:space="0" w:color="auto"/>
              <w:bottom w:val="single" w:sz="4" w:space="0" w:color="auto"/>
            </w:tcBorders>
            <w:shd w:val="clear" w:color="auto" w:fill="F2F2F2"/>
          </w:tcPr>
          <w:p w14:paraId="5662D7D5" w14:textId="77777777" w:rsidR="00C64A7E" w:rsidRPr="00AB15C7" w:rsidRDefault="00C64A7E" w:rsidP="005921EF">
            <w:pPr>
              <w:jc w:val="both"/>
              <w:rPr>
                <w:rFonts w:ascii="Cambria" w:hAnsi="Cambria"/>
                <w:i/>
                <w:noProof/>
                <w:lang w:val="sr-Latn-ME"/>
              </w:rPr>
            </w:pPr>
            <w:r w:rsidRPr="00AB15C7">
              <w:rPr>
                <w:rFonts w:ascii="Cambria" w:hAnsi="Cambria"/>
                <w:i/>
                <w:noProof/>
                <w:lang w:val="sr-Latn-ME"/>
              </w:rPr>
              <w:t>Nadležni organ</w:t>
            </w:r>
          </w:p>
        </w:tc>
        <w:tc>
          <w:tcPr>
            <w:tcW w:w="774" w:type="pct"/>
            <w:tcBorders>
              <w:top w:val="single" w:sz="4" w:space="0" w:color="auto"/>
              <w:bottom w:val="single" w:sz="4" w:space="0" w:color="auto"/>
            </w:tcBorders>
            <w:shd w:val="clear" w:color="auto" w:fill="F2F2F2"/>
          </w:tcPr>
          <w:p w14:paraId="28FEE7B6" w14:textId="77777777" w:rsidR="00C64A7E" w:rsidRPr="00AB15C7" w:rsidRDefault="00C64A7E" w:rsidP="005921EF">
            <w:pPr>
              <w:jc w:val="both"/>
              <w:rPr>
                <w:rFonts w:ascii="Cambria" w:hAnsi="Cambria"/>
                <w:i/>
                <w:noProof/>
                <w:lang w:val="sr-Latn-ME"/>
              </w:rPr>
            </w:pPr>
            <w:r w:rsidRPr="00AB15C7">
              <w:rPr>
                <w:rFonts w:ascii="Cambria" w:hAnsi="Cambria"/>
                <w:i/>
                <w:noProof/>
                <w:lang w:val="sr-Latn-ME"/>
              </w:rPr>
              <w:t>Regulisana hemikalija</w:t>
            </w:r>
          </w:p>
        </w:tc>
        <w:tc>
          <w:tcPr>
            <w:tcW w:w="2100" w:type="pct"/>
            <w:tcBorders>
              <w:top w:val="single" w:sz="4" w:space="0" w:color="auto"/>
              <w:bottom w:val="single" w:sz="4" w:space="0" w:color="auto"/>
              <w:right w:val="double" w:sz="4" w:space="0" w:color="auto"/>
            </w:tcBorders>
            <w:shd w:val="clear" w:color="auto" w:fill="F2F2F2"/>
          </w:tcPr>
          <w:p w14:paraId="560C0915" w14:textId="77777777" w:rsidR="00C64A7E" w:rsidRPr="00AB15C7" w:rsidRDefault="00C64A7E" w:rsidP="005921EF">
            <w:pPr>
              <w:jc w:val="both"/>
              <w:rPr>
                <w:rFonts w:ascii="Cambria" w:hAnsi="Cambria"/>
                <w:i/>
                <w:noProof/>
                <w:lang w:val="sr-Latn-ME"/>
              </w:rPr>
            </w:pPr>
            <w:r w:rsidRPr="00AB15C7">
              <w:rPr>
                <w:rFonts w:ascii="Cambria" w:hAnsi="Cambria"/>
                <w:i/>
                <w:noProof/>
                <w:lang w:val="sr-Latn-ME"/>
              </w:rPr>
              <w:t>Cilj propisa i usklađenost sa EU</w:t>
            </w:r>
            <w:r w:rsidRPr="00AB15C7">
              <w:rPr>
                <w:rFonts w:ascii="Cambria" w:hAnsi="Cambria"/>
                <w:b/>
                <w:noProof/>
                <w:lang w:val="sr-Latn-ME"/>
              </w:rPr>
              <w:t xml:space="preserve"> </w:t>
            </w:r>
            <w:r w:rsidRPr="00AB15C7">
              <w:rPr>
                <w:rFonts w:ascii="Cambria" w:hAnsi="Cambria"/>
                <w:i/>
                <w:noProof/>
                <w:lang w:val="sr-Latn-ME"/>
              </w:rPr>
              <w:t>propisima</w:t>
            </w:r>
          </w:p>
        </w:tc>
      </w:tr>
      <w:tr w:rsidR="00C64A7E" w:rsidRPr="00AB15C7" w14:paraId="06931BB5" w14:textId="77777777" w:rsidTr="00165701">
        <w:trPr>
          <w:trHeight w:val="480"/>
        </w:trPr>
        <w:tc>
          <w:tcPr>
            <w:tcW w:w="1746" w:type="pct"/>
            <w:tcBorders>
              <w:top w:val="single" w:sz="4" w:space="0" w:color="auto"/>
              <w:left w:val="double" w:sz="4" w:space="0" w:color="auto"/>
              <w:bottom w:val="single" w:sz="4" w:space="0" w:color="auto"/>
            </w:tcBorders>
          </w:tcPr>
          <w:p w14:paraId="7A4AB0F8"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Pravilnik o načinu klasifikacije, pakovanja i označavanja hemikalije u skladu sa globalno harmonizovanim sistemom UN ("Sl. list CG", br. </w:t>
            </w:r>
            <w:r w:rsidRPr="00AB15C7">
              <w:rPr>
                <w:rFonts w:ascii="Cambria" w:hAnsi="Cambria"/>
                <w:noProof/>
              </w:rPr>
              <w:t>85/17</w:t>
            </w:r>
            <w:r w:rsidRPr="00AB15C7">
              <w:rPr>
                <w:rFonts w:ascii="Cambria" w:hAnsi="Cambria"/>
                <w:noProof/>
                <w:lang w:val="sr-Latn-ME"/>
              </w:rPr>
              <w:t>)</w:t>
            </w:r>
          </w:p>
        </w:tc>
        <w:tc>
          <w:tcPr>
            <w:tcW w:w="380" w:type="pct"/>
            <w:tcBorders>
              <w:top w:val="single" w:sz="4" w:space="0" w:color="auto"/>
              <w:bottom w:val="single" w:sz="4" w:space="0" w:color="auto"/>
            </w:tcBorders>
          </w:tcPr>
          <w:p w14:paraId="1E740552"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p w14:paraId="63FCCB91" w14:textId="77777777" w:rsidR="00C64A7E" w:rsidRPr="00AB15C7" w:rsidRDefault="00C64A7E" w:rsidP="005921EF">
            <w:pPr>
              <w:jc w:val="both"/>
              <w:rPr>
                <w:rFonts w:ascii="Cambria" w:hAnsi="Cambria"/>
                <w:noProof/>
                <w:lang w:val="sr-Latn-ME"/>
              </w:rPr>
            </w:pPr>
          </w:p>
        </w:tc>
        <w:tc>
          <w:tcPr>
            <w:tcW w:w="774" w:type="pct"/>
            <w:tcBorders>
              <w:top w:val="single" w:sz="4" w:space="0" w:color="auto"/>
              <w:bottom w:val="single" w:sz="4" w:space="0" w:color="auto"/>
            </w:tcBorders>
          </w:tcPr>
          <w:p w14:paraId="741A5D07"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Sve hemikalije, uključujući i sredstva za zaštitu bilja i biocide</w:t>
            </w:r>
          </w:p>
        </w:tc>
        <w:tc>
          <w:tcPr>
            <w:tcW w:w="2100" w:type="pct"/>
            <w:tcBorders>
              <w:top w:val="single" w:sz="4" w:space="0" w:color="auto"/>
              <w:bottom w:val="single" w:sz="4" w:space="0" w:color="auto"/>
              <w:right w:val="double" w:sz="4" w:space="0" w:color="auto"/>
            </w:tcBorders>
          </w:tcPr>
          <w:p w14:paraId="326FD034"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propisuje </w:t>
            </w:r>
            <w:r w:rsidRPr="00AB15C7">
              <w:rPr>
                <w:rFonts w:ascii="Cambria" w:hAnsi="Cambria"/>
                <w:noProof/>
              </w:rPr>
              <w:t>način klasifikacije, označavanja i pakovanja u skladu sa Globalno harmonizovanim sistemom UN. Odredbe pravilnika i prateći prilozi su harmonizovani sa EU Uredbom 1272/2008 (tzv. CLP uredba)</w:t>
            </w:r>
          </w:p>
        </w:tc>
      </w:tr>
      <w:tr w:rsidR="00C64A7E" w:rsidRPr="00AB15C7" w14:paraId="3F1F6AEB" w14:textId="77777777" w:rsidTr="00165701">
        <w:trPr>
          <w:trHeight w:val="480"/>
        </w:trPr>
        <w:tc>
          <w:tcPr>
            <w:tcW w:w="1746" w:type="pct"/>
            <w:tcBorders>
              <w:top w:val="single" w:sz="4" w:space="0" w:color="auto"/>
              <w:left w:val="double" w:sz="4" w:space="0" w:color="auto"/>
              <w:bottom w:val="single" w:sz="4" w:space="0" w:color="auto"/>
            </w:tcBorders>
          </w:tcPr>
          <w:p w14:paraId="549AA6CD"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Pravilnik o Listi klasifikovanih supstanci ("Sl. list CG", br. 11/18)</w:t>
            </w:r>
          </w:p>
        </w:tc>
        <w:tc>
          <w:tcPr>
            <w:tcW w:w="380" w:type="pct"/>
            <w:tcBorders>
              <w:top w:val="single" w:sz="4" w:space="0" w:color="auto"/>
              <w:bottom w:val="single" w:sz="4" w:space="0" w:color="auto"/>
            </w:tcBorders>
          </w:tcPr>
          <w:p w14:paraId="4BFDDB37"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p w14:paraId="64CFB787" w14:textId="77777777" w:rsidR="00C64A7E" w:rsidRPr="00AB15C7" w:rsidRDefault="00C64A7E" w:rsidP="005921EF">
            <w:pPr>
              <w:jc w:val="both"/>
              <w:rPr>
                <w:rFonts w:ascii="Cambria" w:hAnsi="Cambria"/>
                <w:noProof/>
                <w:lang w:val="sr-Latn-ME"/>
              </w:rPr>
            </w:pPr>
          </w:p>
        </w:tc>
        <w:tc>
          <w:tcPr>
            <w:tcW w:w="774" w:type="pct"/>
            <w:tcBorders>
              <w:top w:val="single" w:sz="4" w:space="0" w:color="auto"/>
              <w:bottom w:val="single" w:sz="4" w:space="0" w:color="auto"/>
            </w:tcBorders>
          </w:tcPr>
          <w:p w14:paraId="0FC09B20"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Supstance za koje je utvrđena harmonizovana klasifikacija u EU</w:t>
            </w:r>
          </w:p>
        </w:tc>
        <w:tc>
          <w:tcPr>
            <w:tcW w:w="2100" w:type="pct"/>
            <w:tcBorders>
              <w:top w:val="single" w:sz="4" w:space="0" w:color="auto"/>
              <w:bottom w:val="single" w:sz="4" w:space="0" w:color="auto"/>
              <w:right w:val="double" w:sz="4" w:space="0" w:color="auto"/>
            </w:tcBorders>
          </w:tcPr>
          <w:p w14:paraId="6B0BCF5F"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propisuje listu klasifikovanih  supstanci. Lista se preuzima iz Aneksa 6 Uredbe 1272/2008.</w:t>
            </w:r>
          </w:p>
        </w:tc>
      </w:tr>
      <w:tr w:rsidR="00C64A7E" w:rsidRPr="00AB15C7" w14:paraId="1FF3A5B3" w14:textId="77777777" w:rsidTr="00165701">
        <w:trPr>
          <w:trHeight w:val="480"/>
        </w:trPr>
        <w:tc>
          <w:tcPr>
            <w:tcW w:w="1746" w:type="pct"/>
            <w:tcBorders>
              <w:top w:val="single" w:sz="4" w:space="0" w:color="auto"/>
              <w:left w:val="double" w:sz="4" w:space="0" w:color="auto"/>
              <w:bottom w:val="single" w:sz="4" w:space="0" w:color="auto"/>
            </w:tcBorders>
          </w:tcPr>
          <w:p w14:paraId="33559981" w14:textId="77777777" w:rsidR="00C64A7E" w:rsidRPr="00AB15C7" w:rsidRDefault="00C64A7E" w:rsidP="005921EF">
            <w:pPr>
              <w:jc w:val="both"/>
              <w:rPr>
                <w:rFonts w:ascii="Cambria" w:hAnsi="Cambria"/>
                <w:bCs/>
                <w:noProof/>
              </w:rPr>
            </w:pPr>
            <w:r w:rsidRPr="00AB15C7">
              <w:rPr>
                <w:rFonts w:ascii="Cambria" w:hAnsi="Cambria"/>
                <w:bCs/>
                <w:noProof/>
              </w:rPr>
              <w:lastRenderedPageBreak/>
              <w:t>Pravilnik o svojstvima supstance za koju može da se upotrijebi alternativni hemijski naziv ("Sl. list CG", br. 23/18)</w:t>
            </w:r>
          </w:p>
        </w:tc>
        <w:tc>
          <w:tcPr>
            <w:tcW w:w="380" w:type="pct"/>
            <w:tcBorders>
              <w:top w:val="single" w:sz="4" w:space="0" w:color="auto"/>
              <w:bottom w:val="single" w:sz="4" w:space="0" w:color="auto"/>
            </w:tcBorders>
          </w:tcPr>
          <w:p w14:paraId="75EEC56C"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p w14:paraId="6418BF16" w14:textId="77777777" w:rsidR="00C64A7E" w:rsidRPr="00AB15C7" w:rsidRDefault="00C64A7E" w:rsidP="005921EF">
            <w:pPr>
              <w:jc w:val="both"/>
              <w:rPr>
                <w:rFonts w:ascii="Cambria" w:hAnsi="Cambria"/>
                <w:noProof/>
                <w:lang w:val="sr-Latn-ME"/>
              </w:rPr>
            </w:pPr>
          </w:p>
        </w:tc>
        <w:tc>
          <w:tcPr>
            <w:tcW w:w="774" w:type="pct"/>
            <w:tcBorders>
              <w:top w:val="single" w:sz="4" w:space="0" w:color="auto"/>
              <w:bottom w:val="single" w:sz="4" w:space="0" w:color="auto"/>
            </w:tcBorders>
          </w:tcPr>
          <w:p w14:paraId="24679CC4" w14:textId="0CC0609C" w:rsidR="00C64A7E" w:rsidRPr="00AB15C7" w:rsidRDefault="00C64A7E" w:rsidP="005921EF">
            <w:pPr>
              <w:jc w:val="both"/>
              <w:rPr>
                <w:rFonts w:ascii="Cambria" w:hAnsi="Cambria"/>
                <w:noProof/>
                <w:lang w:val="sr-Latn-ME"/>
              </w:rPr>
            </w:pPr>
            <w:r w:rsidRPr="00AB15C7">
              <w:rPr>
                <w:rFonts w:ascii="Cambria" w:hAnsi="Cambria"/>
                <w:noProof/>
                <w:lang w:val="sr-Latn-ME"/>
              </w:rPr>
              <w:t>Supstance u sm</w:t>
            </w:r>
            <w:r w:rsidR="00490D85">
              <w:rPr>
                <w:rFonts w:ascii="Cambria" w:hAnsi="Cambria"/>
                <w:noProof/>
                <w:lang w:val="sr-Latn-ME"/>
              </w:rPr>
              <w:t>j</w:t>
            </w:r>
            <w:r w:rsidRPr="00AB15C7">
              <w:rPr>
                <w:rFonts w:ascii="Cambria" w:hAnsi="Cambria"/>
                <w:noProof/>
                <w:lang w:val="sr-Latn-ME"/>
              </w:rPr>
              <w:t xml:space="preserve">eši </w:t>
            </w:r>
          </w:p>
        </w:tc>
        <w:tc>
          <w:tcPr>
            <w:tcW w:w="2100" w:type="pct"/>
            <w:tcBorders>
              <w:top w:val="single" w:sz="4" w:space="0" w:color="auto"/>
              <w:bottom w:val="single" w:sz="4" w:space="0" w:color="auto"/>
              <w:right w:val="double" w:sz="4" w:space="0" w:color="auto"/>
            </w:tcBorders>
          </w:tcPr>
          <w:p w14:paraId="35F5C2A7" w14:textId="77777777" w:rsidR="00C64A7E" w:rsidRPr="00AB15C7" w:rsidRDefault="00C64A7E" w:rsidP="005921EF">
            <w:pPr>
              <w:jc w:val="both"/>
              <w:rPr>
                <w:rFonts w:ascii="Cambria" w:hAnsi="Cambria"/>
                <w:noProof/>
              </w:rPr>
            </w:pPr>
            <w:r w:rsidRPr="00AB15C7">
              <w:rPr>
                <w:rFonts w:ascii="Cambria" w:hAnsi="Cambria"/>
                <w:noProof/>
              </w:rPr>
              <w:t>propisuje svojstva supstance za koju može da se upotrijebi</w:t>
            </w:r>
          </w:p>
          <w:p w14:paraId="30394408" w14:textId="77777777" w:rsidR="00C64A7E" w:rsidRPr="00AB15C7" w:rsidRDefault="00C64A7E" w:rsidP="005921EF">
            <w:pPr>
              <w:jc w:val="both"/>
              <w:rPr>
                <w:rFonts w:ascii="Cambria" w:hAnsi="Cambria"/>
                <w:noProof/>
              </w:rPr>
            </w:pPr>
            <w:r w:rsidRPr="00AB15C7">
              <w:rPr>
                <w:rFonts w:ascii="Cambria" w:hAnsi="Cambria"/>
                <w:noProof/>
              </w:rPr>
              <w:t>alternativni hemijski naziv i sadržaj zahtjeva za upotrebu alternativnog hemijskog naziva. Odredbe ovog pravilnika su uskladjene sa članom 24 EU Uredbe 1272/2008 (tzv. CLP uredba)</w:t>
            </w:r>
          </w:p>
        </w:tc>
      </w:tr>
      <w:tr w:rsidR="00C64A7E" w:rsidRPr="00AB15C7" w14:paraId="50168250" w14:textId="77777777" w:rsidTr="00165701">
        <w:trPr>
          <w:trHeight w:val="480"/>
        </w:trPr>
        <w:tc>
          <w:tcPr>
            <w:tcW w:w="1746" w:type="pct"/>
            <w:tcBorders>
              <w:top w:val="single" w:sz="4" w:space="0" w:color="auto"/>
              <w:left w:val="double" w:sz="4" w:space="0" w:color="auto"/>
              <w:bottom w:val="single" w:sz="4" w:space="0" w:color="auto"/>
            </w:tcBorders>
          </w:tcPr>
          <w:p w14:paraId="61287FBE" w14:textId="77777777" w:rsidR="00C64A7E" w:rsidRPr="00AB15C7" w:rsidRDefault="00C64A7E" w:rsidP="005921EF">
            <w:pPr>
              <w:jc w:val="both"/>
              <w:rPr>
                <w:rFonts w:ascii="Cambria" w:hAnsi="Cambria"/>
                <w:noProof/>
              </w:rPr>
            </w:pPr>
            <w:r w:rsidRPr="00AB15C7">
              <w:rPr>
                <w:rFonts w:ascii="Cambria" w:hAnsi="Cambria"/>
                <w:noProof/>
              </w:rPr>
              <w:t xml:space="preserve">Pravilnik o sadržaju bezbjednosnog lista za hemikalije </w:t>
            </w:r>
            <w:r w:rsidRPr="00AB15C7">
              <w:rPr>
                <w:rFonts w:ascii="Cambria" w:hAnsi="Cambria"/>
                <w:noProof/>
                <w:lang w:val="sr-Latn-ME"/>
              </w:rPr>
              <w:t>("Sl. list CG", br.</w:t>
            </w:r>
            <w:r w:rsidRPr="00AB15C7">
              <w:rPr>
                <w:rFonts w:ascii="Cambria" w:hAnsi="Cambria"/>
                <w:noProof/>
              </w:rPr>
              <w:t xml:space="preserve"> 81/17)</w:t>
            </w:r>
          </w:p>
          <w:p w14:paraId="69B9934F" w14:textId="77777777" w:rsidR="00C64A7E" w:rsidRPr="00AB15C7" w:rsidRDefault="00C64A7E" w:rsidP="005921EF">
            <w:pPr>
              <w:jc w:val="both"/>
              <w:rPr>
                <w:rFonts w:ascii="Cambria" w:hAnsi="Cambria"/>
                <w:noProof/>
                <w:lang w:val="sr-Latn-ME"/>
              </w:rPr>
            </w:pPr>
          </w:p>
        </w:tc>
        <w:tc>
          <w:tcPr>
            <w:tcW w:w="380" w:type="pct"/>
            <w:tcBorders>
              <w:top w:val="single" w:sz="4" w:space="0" w:color="auto"/>
              <w:bottom w:val="single" w:sz="4" w:space="0" w:color="auto"/>
            </w:tcBorders>
          </w:tcPr>
          <w:p w14:paraId="0F551E23"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p w14:paraId="4F71CF6C" w14:textId="77777777" w:rsidR="00C64A7E" w:rsidRPr="00AB15C7" w:rsidRDefault="00C64A7E" w:rsidP="005921EF">
            <w:pPr>
              <w:jc w:val="both"/>
              <w:rPr>
                <w:rFonts w:ascii="Cambria" w:hAnsi="Cambria"/>
                <w:noProof/>
                <w:lang w:val="sr-Latn-ME"/>
              </w:rPr>
            </w:pPr>
          </w:p>
        </w:tc>
        <w:tc>
          <w:tcPr>
            <w:tcW w:w="774" w:type="pct"/>
            <w:tcBorders>
              <w:top w:val="single" w:sz="4" w:space="0" w:color="auto"/>
              <w:bottom w:val="single" w:sz="4" w:space="0" w:color="auto"/>
            </w:tcBorders>
          </w:tcPr>
          <w:p w14:paraId="5C2F509A"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Sve hemikalije klasifikovane kao opasne, P</w:t>
            </w:r>
            <w:r w:rsidRPr="00AB15C7">
              <w:rPr>
                <w:rFonts w:ascii="Cambria" w:hAnsi="Cambria"/>
                <w:noProof/>
              </w:rPr>
              <w:t>BT ili vPvB ili druge supstance koje predstavljaju ekvivalentnu zabrinutost</w:t>
            </w:r>
          </w:p>
        </w:tc>
        <w:tc>
          <w:tcPr>
            <w:tcW w:w="2100" w:type="pct"/>
            <w:tcBorders>
              <w:top w:val="single" w:sz="4" w:space="0" w:color="auto"/>
              <w:bottom w:val="single" w:sz="4" w:space="0" w:color="auto"/>
              <w:right w:val="double" w:sz="4" w:space="0" w:color="auto"/>
            </w:tcBorders>
          </w:tcPr>
          <w:p w14:paraId="1E341324"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propisuje bliži sadržaj bezbjednosnog lista koji prati opasne hemikalije, hemikalije koje sadrže supstance identifikovane kao perzistentne -</w:t>
            </w:r>
          </w:p>
          <w:p w14:paraId="4ECF14D5"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bioakumulativne - toksične i koje izazivaju visoku zabrinutost i hemikalije koje se stavljaju u</w:t>
            </w:r>
          </w:p>
          <w:p w14:paraId="795F1787"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promet. Sadržaj bezbjednosnog lista je uskladjen sa Aneksom 2 REACH</w:t>
            </w:r>
          </w:p>
        </w:tc>
      </w:tr>
      <w:tr w:rsidR="00C64A7E" w:rsidRPr="00AB15C7" w14:paraId="17730430" w14:textId="77777777" w:rsidTr="00165701">
        <w:trPr>
          <w:trHeight w:val="480"/>
        </w:trPr>
        <w:tc>
          <w:tcPr>
            <w:tcW w:w="1746" w:type="pct"/>
            <w:tcBorders>
              <w:top w:val="single" w:sz="4" w:space="0" w:color="auto"/>
              <w:left w:val="double" w:sz="4" w:space="0" w:color="auto"/>
              <w:bottom w:val="single" w:sz="4" w:space="0" w:color="auto"/>
            </w:tcBorders>
          </w:tcPr>
          <w:p w14:paraId="0A92230A" w14:textId="77777777" w:rsidR="00C64A7E" w:rsidRPr="00AB15C7" w:rsidRDefault="00C64A7E" w:rsidP="005921EF">
            <w:pPr>
              <w:jc w:val="both"/>
              <w:rPr>
                <w:rFonts w:ascii="Cambria" w:hAnsi="Cambria"/>
                <w:noProof/>
              </w:rPr>
            </w:pPr>
            <w:bookmarkStart w:id="168" w:name="_Hlk519500169"/>
            <w:r w:rsidRPr="00AB15C7">
              <w:rPr>
                <w:rFonts w:ascii="Cambria" w:hAnsi="Cambria"/>
                <w:bCs/>
                <w:noProof/>
              </w:rPr>
              <w:t>Pravilnik o metodama ispitivanja opasnih svojstava hemikalije ("Sl. list CG", br.</w:t>
            </w:r>
            <w:r w:rsidRPr="00AB15C7">
              <w:rPr>
                <w:rFonts w:ascii="Cambria" w:hAnsi="Cambria"/>
                <w:noProof/>
              </w:rPr>
              <w:t xml:space="preserve"> </w:t>
            </w:r>
            <w:r w:rsidRPr="00AB15C7">
              <w:rPr>
                <w:rFonts w:ascii="Cambria" w:hAnsi="Cambria"/>
                <w:bCs/>
                <w:noProof/>
              </w:rPr>
              <w:t>68/17)</w:t>
            </w:r>
          </w:p>
          <w:p w14:paraId="2356E04C" w14:textId="77777777" w:rsidR="00C64A7E" w:rsidRPr="00AB15C7" w:rsidRDefault="00C64A7E" w:rsidP="005921EF">
            <w:pPr>
              <w:jc w:val="both"/>
              <w:rPr>
                <w:rFonts w:ascii="Cambria" w:hAnsi="Cambria"/>
                <w:noProof/>
                <w:lang w:val="sr-Latn-ME"/>
              </w:rPr>
            </w:pPr>
          </w:p>
        </w:tc>
        <w:tc>
          <w:tcPr>
            <w:tcW w:w="380" w:type="pct"/>
            <w:tcBorders>
              <w:top w:val="single" w:sz="4" w:space="0" w:color="auto"/>
              <w:bottom w:val="single" w:sz="4" w:space="0" w:color="auto"/>
            </w:tcBorders>
          </w:tcPr>
          <w:p w14:paraId="56E776C9"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p w14:paraId="08C4D92F" w14:textId="77777777" w:rsidR="00C64A7E" w:rsidRPr="00AB15C7" w:rsidRDefault="00C64A7E" w:rsidP="005921EF">
            <w:pPr>
              <w:jc w:val="both"/>
              <w:rPr>
                <w:rFonts w:ascii="Cambria" w:hAnsi="Cambria"/>
                <w:noProof/>
                <w:lang w:val="sr-Latn-ME"/>
              </w:rPr>
            </w:pPr>
          </w:p>
        </w:tc>
        <w:tc>
          <w:tcPr>
            <w:tcW w:w="774" w:type="pct"/>
            <w:tcBorders>
              <w:top w:val="single" w:sz="4" w:space="0" w:color="auto"/>
              <w:bottom w:val="single" w:sz="4" w:space="0" w:color="auto"/>
            </w:tcBorders>
          </w:tcPr>
          <w:p w14:paraId="02CCA397"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Sve hemikalije</w:t>
            </w:r>
          </w:p>
        </w:tc>
        <w:tc>
          <w:tcPr>
            <w:tcW w:w="2100" w:type="pct"/>
            <w:tcBorders>
              <w:top w:val="single" w:sz="4" w:space="0" w:color="auto"/>
              <w:bottom w:val="single" w:sz="4" w:space="0" w:color="auto"/>
              <w:right w:val="double" w:sz="4" w:space="0" w:color="auto"/>
            </w:tcBorders>
          </w:tcPr>
          <w:p w14:paraId="7FAC7E37" w14:textId="77777777" w:rsidR="00C64A7E" w:rsidRPr="00AB15C7" w:rsidRDefault="00C64A7E" w:rsidP="005921EF">
            <w:pPr>
              <w:jc w:val="both"/>
              <w:rPr>
                <w:rFonts w:ascii="Cambria" w:hAnsi="Cambria"/>
                <w:noProof/>
                <w:lang w:val="sr-Latn-ME"/>
              </w:rPr>
            </w:pPr>
            <w:r w:rsidRPr="00AB15C7">
              <w:rPr>
                <w:rFonts w:ascii="Cambria" w:hAnsi="Cambria"/>
                <w:noProof/>
              </w:rPr>
              <w:t>propisuje  metode ispitivanja opasnih svojstava hemikalija koje se preuzimaju iz EU Uredbe 440/2008.</w:t>
            </w:r>
          </w:p>
        </w:tc>
      </w:tr>
      <w:bookmarkEnd w:id="168"/>
      <w:tr w:rsidR="00C64A7E" w:rsidRPr="00AB15C7" w14:paraId="7D0C75AD" w14:textId="77777777" w:rsidTr="00165701">
        <w:trPr>
          <w:trHeight w:val="480"/>
        </w:trPr>
        <w:tc>
          <w:tcPr>
            <w:tcW w:w="1746" w:type="pct"/>
            <w:tcBorders>
              <w:top w:val="single" w:sz="4" w:space="0" w:color="auto"/>
              <w:left w:val="double" w:sz="4" w:space="0" w:color="auto"/>
              <w:bottom w:val="single" w:sz="4" w:space="0" w:color="auto"/>
            </w:tcBorders>
          </w:tcPr>
          <w:p w14:paraId="327467C0" w14:textId="77777777" w:rsidR="00C64A7E" w:rsidRPr="00AB15C7" w:rsidRDefault="00C64A7E" w:rsidP="005921EF">
            <w:pPr>
              <w:jc w:val="both"/>
              <w:rPr>
                <w:rFonts w:ascii="Cambria" w:hAnsi="Cambria"/>
                <w:noProof/>
              </w:rPr>
            </w:pPr>
            <w:r w:rsidRPr="00AB15C7">
              <w:rPr>
                <w:rFonts w:ascii="Cambria" w:hAnsi="Cambria"/>
                <w:bCs/>
                <w:noProof/>
              </w:rPr>
              <w:t>Pravilnik o bližem sadržaju dosijea i registra hemikalija ("Sl. list CG", br. 12/18)</w:t>
            </w:r>
          </w:p>
          <w:p w14:paraId="36BD0113" w14:textId="77777777" w:rsidR="00C64A7E" w:rsidRPr="00AB15C7" w:rsidRDefault="00C64A7E" w:rsidP="005921EF">
            <w:pPr>
              <w:jc w:val="both"/>
              <w:rPr>
                <w:rFonts w:ascii="Cambria" w:hAnsi="Cambria"/>
                <w:noProof/>
                <w:lang w:val="sr-Latn-ME"/>
              </w:rPr>
            </w:pPr>
          </w:p>
        </w:tc>
        <w:tc>
          <w:tcPr>
            <w:tcW w:w="380" w:type="pct"/>
            <w:tcBorders>
              <w:top w:val="single" w:sz="4" w:space="0" w:color="auto"/>
              <w:bottom w:val="single" w:sz="4" w:space="0" w:color="auto"/>
            </w:tcBorders>
          </w:tcPr>
          <w:p w14:paraId="0BDF04F5"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p w14:paraId="05CDD052" w14:textId="77777777" w:rsidR="00C64A7E" w:rsidRPr="00AB15C7" w:rsidRDefault="00C64A7E" w:rsidP="005921EF">
            <w:pPr>
              <w:jc w:val="both"/>
              <w:rPr>
                <w:rFonts w:ascii="Cambria" w:hAnsi="Cambria"/>
                <w:noProof/>
                <w:lang w:val="sr-Latn-ME"/>
              </w:rPr>
            </w:pPr>
          </w:p>
        </w:tc>
        <w:tc>
          <w:tcPr>
            <w:tcW w:w="774" w:type="pct"/>
            <w:tcBorders>
              <w:top w:val="single" w:sz="4" w:space="0" w:color="auto"/>
              <w:bottom w:val="single" w:sz="4" w:space="0" w:color="auto"/>
            </w:tcBorders>
          </w:tcPr>
          <w:p w14:paraId="43BD9ECC" w14:textId="77777777" w:rsidR="00C64A7E" w:rsidRPr="00AB15C7" w:rsidRDefault="00C64A7E" w:rsidP="005921EF">
            <w:pPr>
              <w:rPr>
                <w:rFonts w:ascii="Cambria" w:hAnsi="Cambria"/>
                <w:noProof/>
                <w:lang w:val="sr-Latn-ME"/>
              </w:rPr>
            </w:pPr>
            <w:r w:rsidRPr="00AB15C7">
              <w:rPr>
                <w:rFonts w:ascii="Cambria" w:hAnsi="Cambria"/>
                <w:noProof/>
                <w:lang w:val="sr-Latn-ME"/>
              </w:rPr>
              <w:t>supstance pojedinačno, u smješama ili u proizvodu koje se proizvode ili stavljaju na tržište u ukupnim količinama preko 1t godišnje</w:t>
            </w:r>
          </w:p>
        </w:tc>
        <w:tc>
          <w:tcPr>
            <w:tcW w:w="2100" w:type="pct"/>
            <w:tcBorders>
              <w:top w:val="single" w:sz="4" w:space="0" w:color="auto"/>
              <w:bottom w:val="single" w:sz="4" w:space="0" w:color="auto"/>
              <w:right w:val="double" w:sz="4" w:space="0" w:color="auto"/>
            </w:tcBorders>
          </w:tcPr>
          <w:p w14:paraId="5C81DD1C"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propisuje podatke koje sadrže dosije i registar hemikalija</w:t>
            </w:r>
          </w:p>
        </w:tc>
      </w:tr>
      <w:tr w:rsidR="00C64A7E" w:rsidRPr="00AB15C7" w14:paraId="10073024" w14:textId="77777777" w:rsidTr="00165701">
        <w:trPr>
          <w:trHeight w:val="480"/>
        </w:trPr>
        <w:tc>
          <w:tcPr>
            <w:tcW w:w="1746" w:type="pct"/>
            <w:tcBorders>
              <w:top w:val="single" w:sz="4" w:space="0" w:color="auto"/>
              <w:left w:val="double" w:sz="4" w:space="0" w:color="auto"/>
              <w:bottom w:val="single" w:sz="4" w:space="0" w:color="auto"/>
            </w:tcBorders>
          </w:tcPr>
          <w:p w14:paraId="620B6D60" w14:textId="77777777" w:rsidR="00C64A7E" w:rsidRPr="00AB15C7" w:rsidRDefault="00C64A7E" w:rsidP="005921EF">
            <w:pPr>
              <w:jc w:val="both"/>
              <w:rPr>
                <w:rFonts w:ascii="Cambria" w:hAnsi="Cambria"/>
                <w:bCs/>
                <w:noProof/>
              </w:rPr>
            </w:pPr>
            <w:r w:rsidRPr="00AB15C7">
              <w:rPr>
                <w:rFonts w:ascii="Cambria" w:hAnsi="Cambria"/>
                <w:bCs/>
                <w:noProof/>
              </w:rPr>
              <w:t>Pravilnik o listi supstanci koje se ne upisuju u registar hemikalija i ne podliježu stručnoj procjeni ("Sl. list CG", br. 14/18)</w:t>
            </w:r>
          </w:p>
        </w:tc>
        <w:tc>
          <w:tcPr>
            <w:tcW w:w="380" w:type="pct"/>
            <w:tcBorders>
              <w:top w:val="single" w:sz="4" w:space="0" w:color="auto"/>
              <w:bottom w:val="single" w:sz="4" w:space="0" w:color="auto"/>
            </w:tcBorders>
          </w:tcPr>
          <w:p w14:paraId="6B6FDBB5"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tc>
        <w:tc>
          <w:tcPr>
            <w:tcW w:w="774" w:type="pct"/>
            <w:tcBorders>
              <w:top w:val="single" w:sz="4" w:space="0" w:color="auto"/>
              <w:bottom w:val="single" w:sz="4" w:space="0" w:color="auto"/>
            </w:tcBorders>
          </w:tcPr>
          <w:p w14:paraId="3D4C94CF"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Pojedine supstance koje se koriste u proi</w:t>
            </w:r>
            <w:r w:rsidR="00BE03D0" w:rsidRPr="00AB15C7">
              <w:rPr>
                <w:rFonts w:ascii="Cambria" w:hAnsi="Cambria"/>
                <w:noProof/>
                <w:lang w:val="sr-Latn-ME"/>
              </w:rPr>
              <w:t>z</w:t>
            </w:r>
            <w:r w:rsidRPr="00AB15C7">
              <w:rPr>
                <w:rFonts w:ascii="Cambria" w:hAnsi="Cambria"/>
                <w:noProof/>
                <w:lang w:val="sr-Latn-ME"/>
              </w:rPr>
              <w:t xml:space="preserve">vodnji hrane i </w:t>
            </w:r>
            <w:r w:rsidRPr="00AB15C7">
              <w:rPr>
                <w:rFonts w:ascii="Cambria" w:hAnsi="Cambria"/>
                <w:noProof/>
                <w:lang w:val="sr-Latn-ME"/>
              </w:rPr>
              <w:lastRenderedPageBreak/>
              <w:t>lekova, gasovi, supstance koje  nisu opasne isl.</w:t>
            </w:r>
          </w:p>
        </w:tc>
        <w:tc>
          <w:tcPr>
            <w:tcW w:w="2100" w:type="pct"/>
            <w:tcBorders>
              <w:top w:val="single" w:sz="4" w:space="0" w:color="auto"/>
              <w:bottom w:val="single" w:sz="4" w:space="0" w:color="auto"/>
              <w:right w:val="double" w:sz="4" w:space="0" w:color="auto"/>
            </w:tcBorders>
          </w:tcPr>
          <w:p w14:paraId="3DF58BF6"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lastRenderedPageBreak/>
              <w:t xml:space="preserve">propisuje supstance koje se ne upisuju u registar hemikalija i ne podliježu stručnoj procjeni. </w:t>
            </w:r>
            <w:r w:rsidRPr="00AB15C7">
              <w:rPr>
                <w:rFonts w:ascii="Cambria" w:hAnsi="Cambria"/>
                <w:noProof/>
              </w:rPr>
              <w:t>Odredbe ovog pravilnika su uskladjene sa Aneksom  IV i V REACH.</w:t>
            </w:r>
          </w:p>
        </w:tc>
      </w:tr>
      <w:tr w:rsidR="00C64A7E" w:rsidRPr="00AB15C7" w14:paraId="3BCC43FC" w14:textId="77777777" w:rsidTr="00165701">
        <w:trPr>
          <w:trHeight w:val="480"/>
        </w:trPr>
        <w:tc>
          <w:tcPr>
            <w:tcW w:w="1746" w:type="pct"/>
            <w:tcBorders>
              <w:top w:val="single" w:sz="4" w:space="0" w:color="auto"/>
              <w:left w:val="double" w:sz="4" w:space="0" w:color="auto"/>
              <w:bottom w:val="single" w:sz="4" w:space="0" w:color="auto"/>
            </w:tcBorders>
          </w:tcPr>
          <w:p w14:paraId="7ECE8B66"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Pravilnik o listi supstanci koje izazivaju visoku zabrinutost ("Sl. list CG", br. </w:t>
            </w:r>
            <w:r w:rsidRPr="00AB15C7">
              <w:rPr>
                <w:rFonts w:ascii="Cambria" w:hAnsi="Cambria"/>
                <w:noProof/>
              </w:rPr>
              <w:t>65/17</w:t>
            </w:r>
            <w:r w:rsidRPr="00AB15C7">
              <w:rPr>
                <w:rFonts w:ascii="Cambria" w:hAnsi="Cambria"/>
                <w:noProof/>
                <w:lang w:val="sr-Latn-ME"/>
              </w:rPr>
              <w:t>)</w:t>
            </w:r>
          </w:p>
        </w:tc>
        <w:tc>
          <w:tcPr>
            <w:tcW w:w="380" w:type="pct"/>
            <w:tcBorders>
              <w:top w:val="single" w:sz="4" w:space="0" w:color="auto"/>
              <w:bottom w:val="single" w:sz="4" w:space="0" w:color="auto"/>
            </w:tcBorders>
          </w:tcPr>
          <w:p w14:paraId="54C6BC58"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p w14:paraId="67345236" w14:textId="77777777" w:rsidR="00C64A7E" w:rsidRPr="00AB15C7" w:rsidRDefault="00C64A7E" w:rsidP="005921EF">
            <w:pPr>
              <w:jc w:val="both"/>
              <w:rPr>
                <w:rFonts w:ascii="Cambria" w:hAnsi="Cambria"/>
                <w:noProof/>
                <w:lang w:val="sr-Latn-ME"/>
              </w:rPr>
            </w:pPr>
          </w:p>
        </w:tc>
        <w:tc>
          <w:tcPr>
            <w:tcW w:w="774" w:type="pct"/>
            <w:tcBorders>
              <w:top w:val="single" w:sz="4" w:space="0" w:color="auto"/>
              <w:bottom w:val="single" w:sz="4" w:space="0" w:color="auto"/>
            </w:tcBorders>
          </w:tcPr>
          <w:p w14:paraId="5D42BE14"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supstanci koje izazivaju visoku zabrinutost</w:t>
            </w:r>
          </w:p>
        </w:tc>
        <w:tc>
          <w:tcPr>
            <w:tcW w:w="2100" w:type="pct"/>
            <w:tcBorders>
              <w:top w:val="single" w:sz="4" w:space="0" w:color="auto"/>
              <w:bottom w:val="single" w:sz="4" w:space="0" w:color="auto"/>
              <w:right w:val="double" w:sz="4" w:space="0" w:color="auto"/>
            </w:tcBorders>
          </w:tcPr>
          <w:p w14:paraId="6482E4A6"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utvrđuje listu supstanci koje izazivaju visoku zabrinutost. Lista se preuzima iz Aneksa XIV REACH.</w:t>
            </w:r>
          </w:p>
          <w:p w14:paraId="0C8A96EA" w14:textId="77777777" w:rsidR="00C64A7E" w:rsidRPr="00AB15C7" w:rsidRDefault="00C64A7E" w:rsidP="005921EF">
            <w:pPr>
              <w:jc w:val="both"/>
              <w:rPr>
                <w:rFonts w:ascii="Cambria" w:hAnsi="Cambria"/>
                <w:noProof/>
                <w:lang w:val="sr-Latn-ME"/>
              </w:rPr>
            </w:pPr>
          </w:p>
        </w:tc>
      </w:tr>
      <w:tr w:rsidR="00C64A7E" w:rsidRPr="00AB15C7" w14:paraId="70D82950" w14:textId="77777777" w:rsidTr="00165701">
        <w:trPr>
          <w:trHeight w:val="480"/>
        </w:trPr>
        <w:tc>
          <w:tcPr>
            <w:tcW w:w="1746" w:type="pct"/>
            <w:tcBorders>
              <w:top w:val="single" w:sz="4" w:space="0" w:color="auto"/>
              <w:left w:val="double" w:sz="4" w:space="0" w:color="auto"/>
              <w:bottom w:val="single" w:sz="4" w:space="0" w:color="auto"/>
            </w:tcBorders>
          </w:tcPr>
          <w:p w14:paraId="3A4E920C" w14:textId="2CECFC2F" w:rsidR="00C64A7E" w:rsidRPr="00AB15C7" w:rsidRDefault="00C64A7E" w:rsidP="00490D85">
            <w:pPr>
              <w:jc w:val="both"/>
              <w:rPr>
                <w:rFonts w:ascii="Cambria" w:hAnsi="Cambria"/>
                <w:noProof/>
                <w:lang w:val="sr-Latn-ME"/>
              </w:rPr>
            </w:pPr>
            <w:r w:rsidRPr="00AB15C7">
              <w:rPr>
                <w:rFonts w:ascii="Cambria" w:hAnsi="Cambria"/>
                <w:bCs/>
                <w:noProof/>
              </w:rPr>
              <w:t>Pravilnik o bližem sadržaju prethodnog obavještavanja za izvoz hemikalija</w:t>
            </w:r>
            <w:r w:rsidRPr="00AB15C7">
              <w:rPr>
                <w:rFonts w:ascii="Cambria" w:hAnsi="Cambria"/>
                <w:noProof/>
                <w:lang w:val="sr-Latn-ME"/>
              </w:rPr>
              <w:t xml:space="preserve"> ("Sl. list CG", br. 61/17)</w:t>
            </w:r>
          </w:p>
        </w:tc>
        <w:tc>
          <w:tcPr>
            <w:tcW w:w="380" w:type="pct"/>
            <w:tcBorders>
              <w:top w:val="single" w:sz="4" w:space="0" w:color="auto"/>
              <w:bottom w:val="single" w:sz="4" w:space="0" w:color="auto"/>
            </w:tcBorders>
          </w:tcPr>
          <w:p w14:paraId="7345AC13"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tc>
        <w:tc>
          <w:tcPr>
            <w:tcW w:w="774" w:type="pct"/>
            <w:tcBorders>
              <w:top w:val="single" w:sz="4" w:space="0" w:color="auto"/>
              <w:bottom w:val="single" w:sz="4" w:space="0" w:color="auto"/>
            </w:tcBorders>
          </w:tcPr>
          <w:p w14:paraId="52E74D50"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supstance sa Liste Roterdamske konvencije, kao i hemikalije koje sadrže te supstance</w:t>
            </w:r>
          </w:p>
        </w:tc>
        <w:tc>
          <w:tcPr>
            <w:tcW w:w="2100" w:type="pct"/>
            <w:tcBorders>
              <w:top w:val="single" w:sz="4" w:space="0" w:color="auto"/>
              <w:bottom w:val="single" w:sz="4" w:space="0" w:color="auto"/>
              <w:right w:val="double" w:sz="4" w:space="0" w:color="auto"/>
            </w:tcBorders>
          </w:tcPr>
          <w:p w14:paraId="0E8DCC02"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propisuje bliži sadržaj obavještenja, postupak i rokove za sprovođenje postupka prethodnog obavještenja. </w:t>
            </w:r>
            <w:r w:rsidRPr="00AB15C7">
              <w:rPr>
                <w:rFonts w:ascii="Cambria" w:hAnsi="Cambria"/>
                <w:noProof/>
              </w:rPr>
              <w:t>Odredbe ovog pravilnika su uskladjene sa</w:t>
            </w:r>
            <w:r w:rsidRPr="00AB15C7">
              <w:rPr>
                <w:rFonts w:ascii="Cambria" w:hAnsi="Cambria"/>
                <w:noProof/>
                <w:lang w:val="sr-Latn-ME"/>
              </w:rPr>
              <w:t xml:space="preserve"> EU Uredbom </w:t>
            </w:r>
            <w:r w:rsidRPr="00AB15C7">
              <w:rPr>
                <w:rFonts w:ascii="Cambria" w:hAnsi="Cambria"/>
                <w:noProof/>
              </w:rPr>
              <w:t>649/</w:t>
            </w:r>
            <w:r w:rsidR="00D32679">
              <w:rPr>
                <w:rFonts w:ascii="Cambria" w:hAnsi="Cambria"/>
                <w:noProof/>
              </w:rPr>
              <w:t>20</w:t>
            </w:r>
            <w:r w:rsidRPr="00AB15C7">
              <w:rPr>
                <w:rFonts w:ascii="Cambria" w:hAnsi="Cambria"/>
                <w:noProof/>
              </w:rPr>
              <w:t>12</w:t>
            </w:r>
          </w:p>
        </w:tc>
      </w:tr>
      <w:tr w:rsidR="00C64A7E" w:rsidRPr="00AB15C7" w14:paraId="6AB04DF9" w14:textId="77777777" w:rsidTr="00165701">
        <w:trPr>
          <w:trHeight w:val="480"/>
        </w:trPr>
        <w:tc>
          <w:tcPr>
            <w:tcW w:w="1746" w:type="pct"/>
            <w:tcBorders>
              <w:top w:val="single" w:sz="4" w:space="0" w:color="auto"/>
              <w:left w:val="double" w:sz="4" w:space="0" w:color="auto"/>
              <w:bottom w:val="single" w:sz="4" w:space="0" w:color="auto"/>
            </w:tcBorders>
          </w:tcPr>
          <w:p w14:paraId="2FB5D1EF"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Pravilnik o listi opasnih hemikalija i proizvoda čiji je izvoz zabranjen ("Sl. list CG", br. 31/14)</w:t>
            </w:r>
          </w:p>
        </w:tc>
        <w:tc>
          <w:tcPr>
            <w:tcW w:w="380" w:type="pct"/>
            <w:tcBorders>
              <w:top w:val="single" w:sz="4" w:space="0" w:color="auto"/>
              <w:bottom w:val="single" w:sz="4" w:space="0" w:color="auto"/>
            </w:tcBorders>
          </w:tcPr>
          <w:p w14:paraId="6D4378A4"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tc>
        <w:tc>
          <w:tcPr>
            <w:tcW w:w="774" w:type="pct"/>
            <w:tcBorders>
              <w:top w:val="single" w:sz="4" w:space="0" w:color="auto"/>
              <w:bottom w:val="single" w:sz="4" w:space="0" w:color="auto"/>
            </w:tcBorders>
          </w:tcPr>
          <w:p w14:paraId="50781BF8"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dugotrajne organske zagađujuće supstance  i živa i njena jedinjenja </w:t>
            </w:r>
          </w:p>
        </w:tc>
        <w:tc>
          <w:tcPr>
            <w:tcW w:w="2100" w:type="pct"/>
            <w:tcBorders>
              <w:top w:val="single" w:sz="4" w:space="0" w:color="auto"/>
              <w:bottom w:val="single" w:sz="4" w:space="0" w:color="auto"/>
              <w:right w:val="double" w:sz="4" w:space="0" w:color="auto"/>
            </w:tcBorders>
          </w:tcPr>
          <w:p w14:paraId="2AD5E49E"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propisuje liste opasnih hemikalija i proizvoda čiji je izvoz zabranjen,  a koja je preuzeta iz Aneksa V EU Uredbe </w:t>
            </w:r>
            <w:r w:rsidRPr="00AB15C7">
              <w:rPr>
                <w:rFonts w:ascii="Cambria" w:hAnsi="Cambria"/>
                <w:noProof/>
              </w:rPr>
              <w:t>649/</w:t>
            </w:r>
            <w:r w:rsidR="00D32679">
              <w:rPr>
                <w:rFonts w:ascii="Cambria" w:hAnsi="Cambria"/>
                <w:noProof/>
              </w:rPr>
              <w:t>20</w:t>
            </w:r>
            <w:r w:rsidRPr="00AB15C7">
              <w:rPr>
                <w:rFonts w:ascii="Cambria" w:hAnsi="Cambria"/>
                <w:noProof/>
              </w:rPr>
              <w:t>12 i odnosi se na zabranu izvoza POPs hemikalija koje su obuhvaćene Stokholmskom konvencijom, kao i metalnu živu, određena jedinjenja žive  i kozmetičke sapune koji sadrže živu</w:t>
            </w:r>
          </w:p>
        </w:tc>
      </w:tr>
      <w:tr w:rsidR="00C64A7E" w:rsidRPr="00AB15C7" w14:paraId="4A8B659B" w14:textId="77777777" w:rsidTr="00165701">
        <w:trPr>
          <w:trHeight w:val="480"/>
        </w:trPr>
        <w:tc>
          <w:tcPr>
            <w:tcW w:w="1746" w:type="pct"/>
            <w:tcBorders>
              <w:top w:val="single" w:sz="4" w:space="0" w:color="auto"/>
              <w:left w:val="double" w:sz="4" w:space="0" w:color="auto"/>
              <w:bottom w:val="single" w:sz="4" w:space="0" w:color="auto"/>
            </w:tcBorders>
          </w:tcPr>
          <w:p w14:paraId="08AC3BBA"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Pravilnik o kriterijumima za identifikaciju supstance kao perzistentne, bioakumulativne, toksične i veoma perzistentne i bioakumulativne ("Sl. list CG", br.</w:t>
            </w:r>
            <w:r w:rsidRPr="00AB15C7">
              <w:rPr>
                <w:rFonts w:ascii="Cambria" w:hAnsi="Cambria"/>
                <w:noProof/>
              </w:rPr>
              <w:t xml:space="preserve"> </w:t>
            </w:r>
            <w:r w:rsidRPr="00AB15C7">
              <w:rPr>
                <w:rFonts w:ascii="Cambria" w:hAnsi="Cambria"/>
                <w:noProof/>
                <w:lang w:val="sr-Latn-ME"/>
              </w:rPr>
              <w:t>84/17)</w:t>
            </w:r>
          </w:p>
        </w:tc>
        <w:tc>
          <w:tcPr>
            <w:tcW w:w="380" w:type="pct"/>
            <w:tcBorders>
              <w:top w:val="single" w:sz="4" w:space="0" w:color="auto"/>
              <w:bottom w:val="single" w:sz="4" w:space="0" w:color="auto"/>
            </w:tcBorders>
          </w:tcPr>
          <w:p w14:paraId="527C021F"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p w14:paraId="7A6A37E6" w14:textId="77777777" w:rsidR="00C64A7E" w:rsidRPr="00AB15C7" w:rsidRDefault="00C64A7E" w:rsidP="005921EF">
            <w:pPr>
              <w:jc w:val="both"/>
              <w:rPr>
                <w:rFonts w:ascii="Cambria" w:hAnsi="Cambria"/>
                <w:noProof/>
                <w:lang w:val="sr-Latn-ME"/>
              </w:rPr>
            </w:pPr>
          </w:p>
        </w:tc>
        <w:tc>
          <w:tcPr>
            <w:tcW w:w="774" w:type="pct"/>
            <w:tcBorders>
              <w:top w:val="single" w:sz="4" w:space="0" w:color="auto"/>
              <w:bottom w:val="single" w:sz="4" w:space="0" w:color="auto"/>
            </w:tcBorders>
          </w:tcPr>
          <w:p w14:paraId="57EF6E2F" w14:textId="77777777" w:rsidR="00C64A7E" w:rsidRPr="00AB15C7" w:rsidRDefault="00C64A7E" w:rsidP="005921EF">
            <w:pPr>
              <w:jc w:val="both"/>
              <w:rPr>
                <w:rFonts w:ascii="Cambria" w:hAnsi="Cambria"/>
                <w:noProof/>
                <w:lang w:val="sr-Latn-ME"/>
              </w:rPr>
            </w:pPr>
            <w:r w:rsidRPr="00AB15C7">
              <w:rPr>
                <w:rFonts w:ascii="Cambria" w:hAnsi="Cambria"/>
                <w:noProof/>
              </w:rPr>
              <w:t>PBT  i vPvB supstance</w:t>
            </w:r>
          </w:p>
        </w:tc>
        <w:tc>
          <w:tcPr>
            <w:tcW w:w="2100" w:type="pct"/>
            <w:tcBorders>
              <w:top w:val="single" w:sz="4" w:space="0" w:color="auto"/>
              <w:bottom w:val="single" w:sz="4" w:space="0" w:color="auto"/>
              <w:right w:val="double" w:sz="4" w:space="0" w:color="auto"/>
            </w:tcBorders>
          </w:tcPr>
          <w:p w14:paraId="1762F631"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propisuje kriterijume za identifikaciju supstance kao perzistentne, bioakumulativne i toksične supstance (PBT supstanca) i veoma perzistentne i veoma bioakumulativne supstance (vPvB supstanca). </w:t>
            </w:r>
            <w:r w:rsidRPr="00AB15C7">
              <w:rPr>
                <w:rFonts w:ascii="Cambria" w:hAnsi="Cambria"/>
                <w:noProof/>
              </w:rPr>
              <w:t>Odredbe ovog pravilnika su uskladjene sa Aneksom XIII REACH</w:t>
            </w:r>
          </w:p>
        </w:tc>
      </w:tr>
      <w:tr w:rsidR="00C64A7E" w:rsidRPr="00AB15C7" w14:paraId="7B6BC151" w14:textId="77777777" w:rsidTr="00165701">
        <w:trPr>
          <w:trHeight w:val="480"/>
        </w:trPr>
        <w:tc>
          <w:tcPr>
            <w:tcW w:w="1746" w:type="pct"/>
            <w:tcBorders>
              <w:top w:val="single" w:sz="4" w:space="0" w:color="auto"/>
              <w:left w:val="double" w:sz="4" w:space="0" w:color="auto"/>
              <w:bottom w:val="single" w:sz="4" w:space="0" w:color="auto"/>
            </w:tcBorders>
          </w:tcPr>
          <w:p w14:paraId="60C5C0CD"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Pravilnik o načinu izrade i sadržaju izvještaja o bezbjednosti hemikalije ("Sl. list CG", br. </w:t>
            </w:r>
            <w:r w:rsidRPr="00AB15C7">
              <w:rPr>
                <w:rFonts w:ascii="Cambria" w:hAnsi="Cambria"/>
                <w:noProof/>
              </w:rPr>
              <w:t>37/18</w:t>
            </w:r>
            <w:r w:rsidRPr="00AB15C7">
              <w:rPr>
                <w:rFonts w:ascii="Cambria" w:hAnsi="Cambria"/>
                <w:noProof/>
                <w:lang w:val="sr-Latn-ME"/>
              </w:rPr>
              <w:t>)</w:t>
            </w:r>
          </w:p>
        </w:tc>
        <w:tc>
          <w:tcPr>
            <w:tcW w:w="380" w:type="pct"/>
            <w:tcBorders>
              <w:top w:val="single" w:sz="4" w:space="0" w:color="auto"/>
              <w:bottom w:val="single" w:sz="4" w:space="0" w:color="auto"/>
            </w:tcBorders>
          </w:tcPr>
          <w:p w14:paraId="1D825BFB"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tc>
        <w:tc>
          <w:tcPr>
            <w:tcW w:w="774" w:type="pct"/>
            <w:tcBorders>
              <w:top w:val="single" w:sz="4" w:space="0" w:color="auto"/>
              <w:bottom w:val="single" w:sz="4" w:space="0" w:color="auto"/>
            </w:tcBorders>
          </w:tcPr>
          <w:p w14:paraId="2D0F680E" w14:textId="77777777" w:rsidR="00C64A7E" w:rsidRPr="00AB15C7" w:rsidRDefault="00C64A7E" w:rsidP="005921EF">
            <w:pPr>
              <w:jc w:val="both"/>
              <w:rPr>
                <w:rFonts w:ascii="Cambria" w:hAnsi="Cambria"/>
                <w:noProof/>
                <w:lang w:val="sr-Latn-ME"/>
              </w:rPr>
            </w:pPr>
            <w:r w:rsidRPr="00AB15C7">
              <w:rPr>
                <w:rFonts w:ascii="Cambria" w:hAnsi="Cambria"/>
                <w:noProof/>
              </w:rPr>
              <w:t>supstance uvezene ili proizvedene u količinama od najmanje 10 t godišnje</w:t>
            </w:r>
          </w:p>
        </w:tc>
        <w:tc>
          <w:tcPr>
            <w:tcW w:w="2100" w:type="pct"/>
            <w:tcBorders>
              <w:top w:val="single" w:sz="4" w:space="0" w:color="auto"/>
              <w:bottom w:val="single" w:sz="4" w:space="0" w:color="auto"/>
              <w:right w:val="double" w:sz="4" w:space="0" w:color="auto"/>
            </w:tcBorders>
          </w:tcPr>
          <w:p w14:paraId="43179995"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propisuje način izrade i sadržaj izvještaja o bezbjednosti hemikalije. Odredbe ovog pravilnika su uskladjene sa Aneksom I REACH.</w:t>
            </w:r>
          </w:p>
        </w:tc>
      </w:tr>
      <w:tr w:rsidR="00C64A7E" w:rsidRPr="00AB15C7" w14:paraId="755A3EB2" w14:textId="77777777" w:rsidTr="00165701">
        <w:trPr>
          <w:trHeight w:val="480"/>
        </w:trPr>
        <w:tc>
          <w:tcPr>
            <w:tcW w:w="1746" w:type="pct"/>
            <w:tcBorders>
              <w:top w:val="single" w:sz="4" w:space="0" w:color="auto"/>
              <w:left w:val="double" w:sz="4" w:space="0" w:color="auto"/>
              <w:bottom w:val="single" w:sz="4" w:space="0" w:color="auto"/>
            </w:tcBorders>
          </w:tcPr>
          <w:p w14:paraId="6FE4389C"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lastRenderedPageBreak/>
              <w:t>Pravilnik o načinu vođenja evidencije o hemikalijama i izdatim dozvolama za obavljanje slobodnog prometa opasnih hemikalija ("Sl. list CG", br. 36/18)</w:t>
            </w:r>
          </w:p>
        </w:tc>
        <w:tc>
          <w:tcPr>
            <w:tcW w:w="380" w:type="pct"/>
            <w:tcBorders>
              <w:top w:val="single" w:sz="4" w:space="0" w:color="auto"/>
              <w:bottom w:val="single" w:sz="4" w:space="0" w:color="auto"/>
            </w:tcBorders>
          </w:tcPr>
          <w:p w14:paraId="215CA000"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tc>
        <w:tc>
          <w:tcPr>
            <w:tcW w:w="774" w:type="pct"/>
            <w:tcBorders>
              <w:top w:val="single" w:sz="4" w:space="0" w:color="auto"/>
              <w:bottom w:val="single" w:sz="4" w:space="0" w:color="auto"/>
            </w:tcBorders>
          </w:tcPr>
          <w:p w14:paraId="7972E60E"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hemikalije</w:t>
            </w:r>
          </w:p>
        </w:tc>
        <w:tc>
          <w:tcPr>
            <w:tcW w:w="2100" w:type="pct"/>
            <w:tcBorders>
              <w:top w:val="single" w:sz="4" w:space="0" w:color="auto"/>
              <w:bottom w:val="single" w:sz="4" w:space="0" w:color="auto"/>
              <w:right w:val="double" w:sz="4" w:space="0" w:color="auto"/>
            </w:tcBorders>
          </w:tcPr>
          <w:p w14:paraId="47F0A0EB"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propisuje način na koji se vode i dostavljaju evidencija o hemikalijama i izdatim dozvolama za obavljanje slobodnog prometa opasnih hemikalija, podaci o uvezenim odnosno izvezenim količinama hemikalija i izvještaj o stvarnim količinama izvezenih odnosno uvezenih hemikalija ili proizvoda </w:t>
            </w:r>
          </w:p>
        </w:tc>
      </w:tr>
      <w:tr w:rsidR="00C64A7E" w:rsidRPr="00AB15C7" w14:paraId="5532D790" w14:textId="77777777" w:rsidTr="00165701">
        <w:trPr>
          <w:trHeight w:val="480"/>
        </w:trPr>
        <w:tc>
          <w:tcPr>
            <w:tcW w:w="1746" w:type="pct"/>
            <w:tcBorders>
              <w:top w:val="single" w:sz="4" w:space="0" w:color="auto"/>
              <w:left w:val="double" w:sz="4" w:space="0" w:color="auto"/>
              <w:bottom w:val="single" w:sz="4" w:space="0" w:color="auto"/>
            </w:tcBorders>
          </w:tcPr>
          <w:p w14:paraId="22241F03"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Pravilnik o bližim uslovima za skladištenje, mjerama za bezbjedno čuvanje, odnosno korišćenje opasnih hemikalija ("Sl. list CG", br. 28/13)</w:t>
            </w:r>
          </w:p>
        </w:tc>
        <w:tc>
          <w:tcPr>
            <w:tcW w:w="380" w:type="pct"/>
            <w:tcBorders>
              <w:top w:val="single" w:sz="4" w:space="0" w:color="auto"/>
              <w:bottom w:val="single" w:sz="4" w:space="0" w:color="auto"/>
            </w:tcBorders>
          </w:tcPr>
          <w:p w14:paraId="5EC682BD"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tc>
        <w:tc>
          <w:tcPr>
            <w:tcW w:w="774" w:type="pct"/>
            <w:tcBorders>
              <w:top w:val="single" w:sz="4" w:space="0" w:color="auto"/>
              <w:bottom w:val="single" w:sz="4" w:space="0" w:color="auto"/>
            </w:tcBorders>
          </w:tcPr>
          <w:p w14:paraId="009285E6"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opasne hemikalije</w:t>
            </w:r>
          </w:p>
        </w:tc>
        <w:tc>
          <w:tcPr>
            <w:tcW w:w="2100" w:type="pct"/>
            <w:tcBorders>
              <w:top w:val="single" w:sz="4" w:space="0" w:color="auto"/>
              <w:bottom w:val="single" w:sz="4" w:space="0" w:color="auto"/>
              <w:right w:val="double" w:sz="4" w:space="0" w:color="auto"/>
            </w:tcBorders>
          </w:tcPr>
          <w:p w14:paraId="102777FD"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propisuje način i uslove skladištenja opasnih hemikalija</w:t>
            </w:r>
          </w:p>
        </w:tc>
      </w:tr>
      <w:tr w:rsidR="00C64A7E" w:rsidRPr="00AB15C7" w14:paraId="695367ED" w14:textId="77777777" w:rsidTr="00165701">
        <w:trPr>
          <w:trHeight w:val="480"/>
        </w:trPr>
        <w:tc>
          <w:tcPr>
            <w:tcW w:w="1746" w:type="pct"/>
            <w:tcBorders>
              <w:top w:val="single" w:sz="4" w:space="0" w:color="auto"/>
              <w:left w:val="double" w:sz="4" w:space="0" w:color="auto"/>
              <w:bottom w:val="single" w:sz="4" w:space="0" w:color="auto"/>
            </w:tcBorders>
          </w:tcPr>
          <w:p w14:paraId="1A848C90"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Pravilnik o bližem sadržaju zahtjeva i sertifikata dobre laboratorijske prakse ("Sl. list CG", br. 48/13)</w:t>
            </w:r>
          </w:p>
        </w:tc>
        <w:tc>
          <w:tcPr>
            <w:tcW w:w="380" w:type="pct"/>
            <w:tcBorders>
              <w:top w:val="single" w:sz="4" w:space="0" w:color="auto"/>
              <w:bottom w:val="single" w:sz="4" w:space="0" w:color="auto"/>
            </w:tcBorders>
          </w:tcPr>
          <w:p w14:paraId="6A1138FE"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tc>
        <w:tc>
          <w:tcPr>
            <w:tcW w:w="774" w:type="pct"/>
            <w:tcBorders>
              <w:top w:val="single" w:sz="4" w:space="0" w:color="auto"/>
              <w:bottom w:val="single" w:sz="4" w:space="0" w:color="auto"/>
            </w:tcBorders>
          </w:tcPr>
          <w:p w14:paraId="31C44975"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hemikalije</w:t>
            </w:r>
            <w:r w:rsidRPr="00AB15C7">
              <w:rPr>
                <w:rFonts w:ascii="Cambria" w:hAnsi="Cambria"/>
                <w:noProof/>
              </w:rPr>
              <w:t xml:space="preserve"> </w:t>
            </w:r>
            <w:r w:rsidRPr="00AB15C7">
              <w:rPr>
                <w:rFonts w:ascii="Cambria" w:hAnsi="Cambria"/>
                <w:noProof/>
                <w:lang w:val="sr-Latn-ME"/>
              </w:rPr>
              <w:t>u nekliničkim ispitivanjima</w:t>
            </w:r>
          </w:p>
        </w:tc>
        <w:tc>
          <w:tcPr>
            <w:tcW w:w="2100" w:type="pct"/>
            <w:tcBorders>
              <w:top w:val="single" w:sz="4" w:space="0" w:color="auto"/>
              <w:bottom w:val="single" w:sz="4" w:space="0" w:color="auto"/>
              <w:right w:val="double" w:sz="4" w:space="0" w:color="auto"/>
            </w:tcBorders>
          </w:tcPr>
          <w:p w14:paraId="5242D788"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propisuje podatke koje sadrže zahtjev i sertifikat dobre laboratorijske prakse (DLP) </w:t>
            </w:r>
          </w:p>
        </w:tc>
      </w:tr>
      <w:tr w:rsidR="00C64A7E" w:rsidRPr="00AB15C7" w14:paraId="6EF0BF3F" w14:textId="77777777" w:rsidTr="00165701">
        <w:trPr>
          <w:trHeight w:val="480"/>
        </w:trPr>
        <w:tc>
          <w:tcPr>
            <w:tcW w:w="1746" w:type="pct"/>
            <w:tcBorders>
              <w:top w:val="single" w:sz="4" w:space="0" w:color="auto"/>
              <w:left w:val="double" w:sz="4" w:space="0" w:color="auto"/>
              <w:bottom w:val="single" w:sz="4" w:space="0" w:color="auto"/>
            </w:tcBorders>
          </w:tcPr>
          <w:p w14:paraId="3FC6E20A"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Pravilnik o smjernicama </w:t>
            </w:r>
            <w:bookmarkStart w:id="169" w:name="_Hlk523263333"/>
            <w:r w:rsidRPr="00AB15C7">
              <w:rPr>
                <w:rFonts w:ascii="Cambria" w:hAnsi="Cambria"/>
                <w:noProof/>
                <w:lang w:val="sr-Latn-ME"/>
              </w:rPr>
              <w:t xml:space="preserve">i uslovima dobre laboratorijske prakse </w:t>
            </w:r>
            <w:bookmarkEnd w:id="169"/>
            <w:r w:rsidRPr="00AB15C7">
              <w:rPr>
                <w:rFonts w:ascii="Cambria" w:hAnsi="Cambria"/>
                <w:noProof/>
                <w:lang w:val="sr-Latn-ME"/>
              </w:rPr>
              <w:t>("Sl. list CG", br. 24/14)</w:t>
            </w:r>
          </w:p>
        </w:tc>
        <w:tc>
          <w:tcPr>
            <w:tcW w:w="380" w:type="pct"/>
            <w:tcBorders>
              <w:top w:val="single" w:sz="4" w:space="0" w:color="auto"/>
              <w:bottom w:val="single" w:sz="4" w:space="0" w:color="auto"/>
            </w:tcBorders>
          </w:tcPr>
          <w:p w14:paraId="4BDA6589"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tc>
        <w:tc>
          <w:tcPr>
            <w:tcW w:w="774" w:type="pct"/>
            <w:tcBorders>
              <w:top w:val="single" w:sz="4" w:space="0" w:color="auto"/>
              <w:bottom w:val="single" w:sz="4" w:space="0" w:color="auto"/>
            </w:tcBorders>
          </w:tcPr>
          <w:p w14:paraId="147612B0"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Hemikalije u nekliničkim ispitivanjima</w:t>
            </w:r>
          </w:p>
        </w:tc>
        <w:tc>
          <w:tcPr>
            <w:tcW w:w="2100" w:type="pct"/>
            <w:tcBorders>
              <w:top w:val="single" w:sz="4" w:space="0" w:color="auto"/>
              <w:bottom w:val="single" w:sz="4" w:space="0" w:color="auto"/>
              <w:right w:val="double" w:sz="4" w:space="0" w:color="auto"/>
            </w:tcBorders>
          </w:tcPr>
          <w:p w14:paraId="10B79C38" w14:textId="77777777" w:rsidR="00C64A7E" w:rsidRPr="00AB15C7" w:rsidRDefault="00C64A7E" w:rsidP="005921EF">
            <w:pPr>
              <w:jc w:val="both"/>
              <w:rPr>
                <w:rFonts w:ascii="Cambria" w:hAnsi="Cambria"/>
                <w:noProof/>
              </w:rPr>
            </w:pPr>
            <w:r w:rsidRPr="00AB15C7">
              <w:rPr>
                <w:rFonts w:ascii="Cambria" w:hAnsi="Cambria"/>
                <w:noProof/>
              </w:rPr>
              <w:t>propisuje smjernice i uslove dobre laboratorijske prakse za laboratorije koje vrše neklinička ispitivanja hemikalija, radi procjene rizika i njihove opasnosti za život i zdravlje ljude i životnu sredinu. Odredbe ovog pravilnika su uskladjene sa EU Direktivom  2004/10/EC</w:t>
            </w:r>
          </w:p>
        </w:tc>
      </w:tr>
      <w:tr w:rsidR="00C64A7E" w:rsidRPr="00AB15C7" w14:paraId="0FB9D555" w14:textId="77777777" w:rsidTr="00165701">
        <w:trPr>
          <w:trHeight w:val="480"/>
        </w:trPr>
        <w:tc>
          <w:tcPr>
            <w:tcW w:w="1746" w:type="pct"/>
            <w:tcBorders>
              <w:top w:val="single" w:sz="4" w:space="0" w:color="auto"/>
              <w:left w:val="double" w:sz="4" w:space="0" w:color="auto"/>
              <w:bottom w:val="single" w:sz="4" w:space="0" w:color="auto"/>
            </w:tcBorders>
          </w:tcPr>
          <w:p w14:paraId="24E5C8DA"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Pravilnik o zabrani i ograničenju korišćenja, stavljanja u promet i proizvodnji hemikalija koje predstavljaju neprihvatljiv rizik po zdravlje ljudi i životnu sredinu  ("Sl. list CG", br. 49/13 i</w:t>
            </w:r>
            <w:r w:rsidRPr="00AB15C7">
              <w:rPr>
                <w:rFonts w:ascii="Cambria" w:hAnsi="Cambria"/>
                <w:noProof/>
              </w:rPr>
              <w:t xml:space="preserve"> </w:t>
            </w:r>
            <w:r w:rsidRPr="00AB15C7">
              <w:rPr>
                <w:rFonts w:ascii="Cambria" w:hAnsi="Cambria"/>
                <w:noProof/>
                <w:lang w:val="sr-Latn-ME"/>
              </w:rPr>
              <w:t>12/16 )</w:t>
            </w:r>
          </w:p>
        </w:tc>
        <w:tc>
          <w:tcPr>
            <w:tcW w:w="380" w:type="pct"/>
            <w:tcBorders>
              <w:top w:val="single" w:sz="4" w:space="0" w:color="auto"/>
              <w:bottom w:val="single" w:sz="4" w:space="0" w:color="auto"/>
            </w:tcBorders>
          </w:tcPr>
          <w:p w14:paraId="1E571B81"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tc>
        <w:tc>
          <w:tcPr>
            <w:tcW w:w="774" w:type="pct"/>
            <w:tcBorders>
              <w:top w:val="single" w:sz="4" w:space="0" w:color="auto"/>
              <w:bottom w:val="single" w:sz="4" w:space="0" w:color="auto"/>
            </w:tcBorders>
          </w:tcPr>
          <w:p w14:paraId="0EC6E235"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hemikalije ili određeni proizvodi koji predstavljaju neprihvatljiv rizik po zdravlje ljudi i životnu sredinu</w:t>
            </w:r>
          </w:p>
        </w:tc>
        <w:tc>
          <w:tcPr>
            <w:tcW w:w="2100" w:type="pct"/>
            <w:tcBorders>
              <w:top w:val="single" w:sz="4" w:space="0" w:color="auto"/>
              <w:bottom w:val="single" w:sz="4" w:space="0" w:color="auto"/>
              <w:right w:val="double" w:sz="4" w:space="0" w:color="auto"/>
            </w:tcBorders>
          </w:tcPr>
          <w:p w14:paraId="7EE0C386"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propisuje ograničenja i zabrane, stavljanja u promet i korišćenja hemikalija ili određenog proizvoda koje predstavljaju neprihvatljiv rizik po zdravlje ljudi i životnu sredinu. Odredbe ovog propisa su uskladjene sa</w:t>
            </w:r>
            <w:r w:rsidRPr="00AB15C7">
              <w:rPr>
                <w:rFonts w:ascii="Cambria" w:hAnsi="Cambria"/>
                <w:noProof/>
              </w:rPr>
              <w:t xml:space="preserve"> </w:t>
            </w:r>
            <w:r w:rsidRPr="00AB15C7">
              <w:rPr>
                <w:rFonts w:ascii="Cambria" w:hAnsi="Cambria"/>
                <w:noProof/>
                <w:lang w:val="sr-Latn-ME"/>
              </w:rPr>
              <w:t xml:space="preserve">Aneksom XVII REACH,  Uredbom EU </w:t>
            </w:r>
            <w:r w:rsidRPr="00AB15C7">
              <w:rPr>
                <w:rFonts w:ascii="Cambria" w:hAnsi="Cambria"/>
                <w:noProof/>
              </w:rPr>
              <w:t>850/2004 o dugotrajnim organskim zagađivačima </w:t>
            </w:r>
            <w:r w:rsidRPr="00AB15C7">
              <w:rPr>
                <w:rFonts w:ascii="Cambria" w:hAnsi="Cambria"/>
                <w:noProof/>
                <w:lang w:val="sr-Latn-ME"/>
              </w:rPr>
              <w:t>i Direktivom 2004/42/EC</w:t>
            </w:r>
            <w:r w:rsidRPr="00AB15C7">
              <w:rPr>
                <w:rFonts w:ascii="Cambria" w:hAnsi="Cambria"/>
                <w:noProof/>
              </w:rPr>
              <w:t xml:space="preserve"> o isparljivim organskim jedinjenjima u određenim bojama</w:t>
            </w:r>
          </w:p>
        </w:tc>
      </w:tr>
      <w:tr w:rsidR="00C64A7E" w:rsidRPr="00AB15C7" w14:paraId="5BB67366" w14:textId="77777777" w:rsidTr="00165701">
        <w:trPr>
          <w:trHeight w:val="480"/>
        </w:trPr>
        <w:tc>
          <w:tcPr>
            <w:tcW w:w="1746" w:type="pct"/>
            <w:tcBorders>
              <w:top w:val="single" w:sz="4" w:space="0" w:color="auto"/>
              <w:left w:val="double" w:sz="4" w:space="0" w:color="auto"/>
              <w:bottom w:val="single" w:sz="4" w:space="0" w:color="auto"/>
            </w:tcBorders>
          </w:tcPr>
          <w:p w14:paraId="6739D5D9"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Pravilnik o metodama ispitivanja biorazgradljivosti površinski aktivne supstance, načinu obilježavanja i sastavu detergenta ("Sl. list CG", br. 50/13)</w:t>
            </w:r>
          </w:p>
        </w:tc>
        <w:tc>
          <w:tcPr>
            <w:tcW w:w="380" w:type="pct"/>
            <w:tcBorders>
              <w:top w:val="single" w:sz="4" w:space="0" w:color="auto"/>
              <w:bottom w:val="single" w:sz="4" w:space="0" w:color="auto"/>
            </w:tcBorders>
          </w:tcPr>
          <w:p w14:paraId="30CDD9F9"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MORT</w:t>
            </w:r>
          </w:p>
          <w:p w14:paraId="642FEDC3" w14:textId="77777777" w:rsidR="00C64A7E" w:rsidRPr="00AB15C7" w:rsidRDefault="00C64A7E" w:rsidP="005921EF">
            <w:pPr>
              <w:jc w:val="both"/>
              <w:rPr>
                <w:rFonts w:ascii="Cambria" w:hAnsi="Cambria"/>
                <w:noProof/>
                <w:lang w:val="sr-Latn-ME"/>
              </w:rPr>
            </w:pPr>
          </w:p>
        </w:tc>
        <w:tc>
          <w:tcPr>
            <w:tcW w:w="774" w:type="pct"/>
            <w:tcBorders>
              <w:top w:val="single" w:sz="4" w:space="0" w:color="auto"/>
              <w:bottom w:val="single" w:sz="4" w:space="0" w:color="auto"/>
            </w:tcBorders>
          </w:tcPr>
          <w:p w14:paraId="1DC1368C"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detergenti</w:t>
            </w:r>
          </w:p>
        </w:tc>
        <w:tc>
          <w:tcPr>
            <w:tcW w:w="2100" w:type="pct"/>
            <w:tcBorders>
              <w:top w:val="single" w:sz="4" w:space="0" w:color="auto"/>
              <w:bottom w:val="single" w:sz="4" w:space="0" w:color="auto"/>
              <w:right w:val="double" w:sz="4" w:space="0" w:color="auto"/>
            </w:tcBorders>
          </w:tcPr>
          <w:p w14:paraId="18565122"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propisuje metode ispitivanja biorazgradljivosti površinski aktivne supstance u detergentima, način obilježavanja detergenta i sadržaj liste o sastavu detergenta za medicinske </w:t>
            </w:r>
            <w:r w:rsidRPr="00AB15C7">
              <w:rPr>
                <w:rFonts w:ascii="Cambria" w:hAnsi="Cambria"/>
                <w:noProof/>
                <w:lang w:val="sr-Latn-ME"/>
              </w:rPr>
              <w:lastRenderedPageBreak/>
              <w:t xml:space="preserve">potrebe. </w:t>
            </w:r>
            <w:r w:rsidRPr="00AB15C7">
              <w:rPr>
                <w:rFonts w:ascii="Cambria" w:hAnsi="Cambria"/>
                <w:noProof/>
              </w:rPr>
              <w:t xml:space="preserve">Odredbe ovog pravilnika su uskladjene sa Uredbom EU </w:t>
            </w:r>
            <w:r w:rsidRPr="00AB15C7">
              <w:rPr>
                <w:rFonts w:ascii="Cambria" w:hAnsi="Cambria"/>
                <w:noProof/>
                <w:lang w:val="sr-Latn-ME"/>
              </w:rPr>
              <w:t>648/2004.</w:t>
            </w:r>
          </w:p>
          <w:p w14:paraId="427348A3" w14:textId="77777777" w:rsidR="00C64A7E" w:rsidRPr="00AB15C7" w:rsidRDefault="00C64A7E" w:rsidP="005921EF">
            <w:pPr>
              <w:jc w:val="both"/>
              <w:rPr>
                <w:rFonts w:ascii="Cambria" w:hAnsi="Cambria"/>
                <w:noProof/>
                <w:lang w:val="sr-Latn-ME"/>
              </w:rPr>
            </w:pPr>
          </w:p>
        </w:tc>
      </w:tr>
      <w:tr w:rsidR="00C64A7E" w:rsidRPr="00AB15C7" w14:paraId="313771B0" w14:textId="77777777" w:rsidTr="00165701">
        <w:trPr>
          <w:trHeight w:val="480"/>
        </w:trPr>
        <w:tc>
          <w:tcPr>
            <w:tcW w:w="1746" w:type="pct"/>
            <w:tcBorders>
              <w:top w:val="single" w:sz="4" w:space="0" w:color="auto"/>
              <w:left w:val="double" w:sz="4" w:space="0" w:color="auto"/>
              <w:bottom w:val="single" w:sz="4" w:space="0" w:color="auto"/>
            </w:tcBorders>
          </w:tcPr>
          <w:p w14:paraId="0175F643"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Pravilnik o utvrđivanju liste površinski aktivnih supstanci koje se mogu koristiti u detergentu ("Sl. list CG", br. 36/13)</w:t>
            </w:r>
          </w:p>
        </w:tc>
        <w:tc>
          <w:tcPr>
            <w:tcW w:w="380" w:type="pct"/>
            <w:tcBorders>
              <w:top w:val="single" w:sz="4" w:space="0" w:color="auto"/>
              <w:bottom w:val="single" w:sz="4" w:space="0" w:color="auto"/>
            </w:tcBorders>
          </w:tcPr>
          <w:p w14:paraId="25751287"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 xml:space="preserve">  MORT</w:t>
            </w:r>
          </w:p>
        </w:tc>
        <w:tc>
          <w:tcPr>
            <w:tcW w:w="774" w:type="pct"/>
            <w:tcBorders>
              <w:top w:val="single" w:sz="4" w:space="0" w:color="auto"/>
              <w:bottom w:val="single" w:sz="4" w:space="0" w:color="auto"/>
            </w:tcBorders>
          </w:tcPr>
          <w:p w14:paraId="175482A3"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detergenti</w:t>
            </w:r>
          </w:p>
        </w:tc>
        <w:tc>
          <w:tcPr>
            <w:tcW w:w="2100" w:type="pct"/>
            <w:tcBorders>
              <w:top w:val="single" w:sz="4" w:space="0" w:color="auto"/>
              <w:bottom w:val="single" w:sz="4" w:space="0" w:color="auto"/>
              <w:right w:val="double" w:sz="4" w:space="0" w:color="auto"/>
            </w:tcBorders>
          </w:tcPr>
          <w:p w14:paraId="20247208" w14:textId="77777777" w:rsidR="00C64A7E" w:rsidRPr="00AB15C7" w:rsidRDefault="00C64A7E" w:rsidP="005921EF">
            <w:pPr>
              <w:jc w:val="both"/>
              <w:rPr>
                <w:rFonts w:ascii="Cambria" w:hAnsi="Cambria"/>
                <w:noProof/>
                <w:lang w:val="sr-Latn-ME"/>
              </w:rPr>
            </w:pPr>
            <w:r w:rsidRPr="00AB15C7">
              <w:rPr>
                <w:rFonts w:ascii="Cambria" w:hAnsi="Cambria"/>
                <w:noProof/>
                <w:lang w:val="sr-Latn-ME"/>
              </w:rPr>
              <w:t>utvrđuje listu površinski aktivnih supstanci koje se mogu koristiti u detergentu, a koja se preuzima iz Aneksa V Uredbe EU 648/2004.</w:t>
            </w:r>
          </w:p>
        </w:tc>
      </w:tr>
    </w:tbl>
    <w:p w14:paraId="2CFBE038" w14:textId="77777777" w:rsidR="001711E5" w:rsidRPr="00AB15C7" w:rsidRDefault="001711E5" w:rsidP="005921EF">
      <w:pPr>
        <w:jc w:val="both"/>
        <w:rPr>
          <w:rFonts w:ascii="Cambria" w:hAnsi="Cambria"/>
          <w:noProof/>
          <w:lang w:val="sr-Latn-ME"/>
        </w:rPr>
      </w:pPr>
    </w:p>
    <w:p w14:paraId="55D59F9B" w14:textId="12C6F58C" w:rsidR="00C64A7E" w:rsidRPr="00AB15C7" w:rsidRDefault="00C65B0A" w:rsidP="005921EF">
      <w:pPr>
        <w:jc w:val="both"/>
        <w:rPr>
          <w:rFonts w:ascii="Cambria" w:hAnsi="Cambria"/>
          <w:b/>
          <w:noProof/>
          <w:lang w:val="sr-Latn-ME"/>
        </w:rPr>
      </w:pPr>
      <w:r w:rsidRPr="00AB15C7">
        <w:rPr>
          <w:rFonts w:ascii="Cambria" w:hAnsi="Cambria"/>
          <w:b/>
          <w:noProof/>
          <w:lang w:val="sr-Latn-ME"/>
        </w:rPr>
        <w:t>D</w:t>
      </w:r>
      <w:r>
        <w:rPr>
          <w:rFonts w:ascii="Cambria" w:hAnsi="Cambria"/>
          <w:b/>
          <w:noProof/>
          <w:lang w:val="sr-Latn-ME"/>
        </w:rPr>
        <w:t>I</w:t>
      </w:r>
      <w:r w:rsidRPr="00AB15C7">
        <w:rPr>
          <w:rFonts w:ascii="Cambria" w:hAnsi="Cambria"/>
          <w:b/>
          <w:noProof/>
          <w:lang w:val="sr-Latn-ME"/>
        </w:rPr>
        <w:t xml:space="preserve">O </w:t>
      </w:r>
      <w:r w:rsidR="0042058B" w:rsidRPr="00AB15C7">
        <w:rPr>
          <w:rFonts w:ascii="Cambria" w:hAnsi="Cambria"/>
          <w:b/>
          <w:noProof/>
          <w:lang w:val="sr-Latn-ME"/>
        </w:rPr>
        <w:t xml:space="preserve">2.  PROPISI KOJI SE ODNOSE NA HEMIKALIJE SA </w:t>
      </w:r>
      <w:r w:rsidR="004B3B2E" w:rsidRPr="00AB15C7">
        <w:rPr>
          <w:rFonts w:ascii="Cambria" w:hAnsi="Cambria"/>
          <w:b/>
          <w:noProof/>
          <w:lang w:val="sr-Latn-ME"/>
        </w:rPr>
        <w:t>SPECIFIČN</w:t>
      </w:r>
      <w:r w:rsidR="004B3B2E">
        <w:rPr>
          <w:rFonts w:ascii="Cambria" w:hAnsi="Cambria"/>
          <w:b/>
          <w:noProof/>
          <w:lang w:val="sr-Latn-ME"/>
        </w:rPr>
        <w:t>i DEJSTVO</w:t>
      </w:r>
      <w:r w:rsidR="004B3B2E" w:rsidRPr="00AB15C7">
        <w:rPr>
          <w:rFonts w:ascii="Cambria" w:hAnsi="Cambria"/>
          <w:b/>
          <w:noProof/>
          <w:lang w:val="sr-Latn-ME"/>
        </w:rPr>
        <w:t xml:space="preserve">M </w:t>
      </w:r>
      <w:r w:rsidR="004B3B2E">
        <w:rPr>
          <w:rFonts w:ascii="Cambria" w:hAnsi="Cambria"/>
          <w:b/>
          <w:noProof/>
          <w:lang w:val="sr-Latn-ME"/>
        </w:rPr>
        <w:t xml:space="preserve">I </w:t>
      </w:r>
      <w:r w:rsidR="0042058B" w:rsidRPr="00AB15C7">
        <w:rPr>
          <w:rFonts w:ascii="Cambria" w:hAnsi="Cambria"/>
          <w:b/>
          <w:noProof/>
          <w:lang w:val="sr-Latn-ME"/>
        </w:rPr>
        <w:t>NAM</w:t>
      </w:r>
      <w:r w:rsidR="004B3B2E">
        <w:rPr>
          <w:rFonts w:ascii="Cambria" w:hAnsi="Cambria"/>
          <w:b/>
          <w:noProof/>
          <w:lang w:val="sr-Latn-ME"/>
        </w:rPr>
        <w:t>J</w:t>
      </w:r>
      <w:r w:rsidR="0042058B" w:rsidRPr="00AB15C7">
        <w:rPr>
          <w:rFonts w:ascii="Cambria" w:hAnsi="Cambria"/>
          <w:b/>
          <w:noProof/>
          <w:lang w:val="sr-Latn-ME"/>
        </w:rPr>
        <w:t>ENOM</w:t>
      </w:r>
    </w:p>
    <w:p w14:paraId="7F58E049" w14:textId="77777777" w:rsidR="00BD699A" w:rsidRPr="00A76A53" w:rsidRDefault="00BD699A" w:rsidP="005921EF">
      <w:pPr>
        <w:autoSpaceDE w:val="0"/>
        <w:autoSpaceDN w:val="0"/>
        <w:adjustRightInd w:val="0"/>
        <w:rPr>
          <w:rFonts w:ascii="Cambria" w:hAnsi="Cambria" w:cs="Arial"/>
          <w:b/>
          <w:i/>
          <w:noProof/>
          <w:lang w:val="sr-Latn-ME"/>
        </w:rPr>
      </w:pPr>
      <w:r w:rsidRPr="00A76A53">
        <w:rPr>
          <w:rFonts w:ascii="Cambria" w:hAnsi="Cambria"/>
          <w:b/>
          <w:i/>
          <w:noProof/>
          <w:lang w:val="sr-Latn-ME"/>
        </w:rPr>
        <w:t xml:space="preserve">Tabela A2. </w:t>
      </w:r>
      <w:r w:rsidRPr="00A76A53">
        <w:rPr>
          <w:rFonts w:ascii="Cambria" w:hAnsi="Cambria" w:cs="Arial"/>
          <w:b/>
          <w:noProof/>
          <w:lang w:val="sr-Latn-ME"/>
        </w:rPr>
        <w:t>Va</w:t>
      </w:r>
      <w:r w:rsidRPr="00A76A53">
        <w:rPr>
          <w:rFonts w:ascii="Cambria" w:hAnsi="Cambria" w:cs="Arial"/>
          <w:b/>
          <w:noProof/>
          <w:lang w:val="sr-Latn-RS"/>
        </w:rPr>
        <w:t xml:space="preserve">žeći propisi koji se odnose na oblast </w:t>
      </w:r>
      <w:r w:rsidRPr="00A76A53">
        <w:rPr>
          <w:rFonts w:ascii="Cambria" w:hAnsi="Cambria" w:cs="Arial"/>
          <w:b/>
          <w:noProof/>
          <w:lang w:val="sr-Latn-ME"/>
        </w:rPr>
        <w:t>biocidnih proizvoda</w:t>
      </w:r>
    </w:p>
    <w:tbl>
      <w:tblPr>
        <w:tblW w:w="1449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000000"/>
        </w:tblBorders>
        <w:tblLook w:val="04A0" w:firstRow="1" w:lastRow="0" w:firstColumn="1" w:lastColumn="0" w:noHBand="0" w:noVBand="1"/>
      </w:tblPr>
      <w:tblGrid>
        <w:gridCol w:w="5400"/>
        <w:gridCol w:w="1107"/>
        <w:gridCol w:w="1491"/>
        <w:gridCol w:w="6492"/>
      </w:tblGrid>
      <w:tr w:rsidR="00BD699A" w:rsidRPr="00AB15C7" w14:paraId="632AEDC5" w14:textId="77777777" w:rsidTr="00165701">
        <w:trPr>
          <w:trHeight w:val="480"/>
        </w:trPr>
        <w:tc>
          <w:tcPr>
            <w:tcW w:w="5400" w:type="dxa"/>
            <w:shd w:val="clear" w:color="auto" w:fill="D9D9D9"/>
            <w:hideMark/>
          </w:tcPr>
          <w:p w14:paraId="0FA14EB4" w14:textId="77777777" w:rsidR="00BD699A" w:rsidRPr="00AB15C7" w:rsidRDefault="00BD699A" w:rsidP="005921EF">
            <w:pPr>
              <w:autoSpaceDE w:val="0"/>
              <w:autoSpaceDN w:val="0"/>
              <w:adjustRightInd w:val="0"/>
              <w:spacing w:after="0"/>
              <w:jc w:val="both"/>
              <w:rPr>
                <w:rFonts w:ascii="Cambria" w:hAnsi="Cambria"/>
                <w:b/>
                <w:noProof/>
                <w:color w:val="000000"/>
                <w:lang w:val="sr-Latn-ME"/>
              </w:rPr>
            </w:pPr>
            <w:bookmarkStart w:id="170" w:name="_Hlk522711204"/>
            <w:r w:rsidRPr="00AB15C7">
              <w:rPr>
                <w:rFonts w:ascii="Cambria" w:hAnsi="Cambria"/>
                <w:b/>
                <w:noProof/>
                <w:color w:val="000000"/>
                <w:lang w:val="sr-Latn-ME"/>
              </w:rPr>
              <w:t>Propis</w:t>
            </w:r>
          </w:p>
        </w:tc>
        <w:tc>
          <w:tcPr>
            <w:tcW w:w="1107" w:type="dxa"/>
            <w:shd w:val="clear" w:color="auto" w:fill="D9D9D9"/>
            <w:hideMark/>
          </w:tcPr>
          <w:p w14:paraId="3A54FE5F" w14:textId="77777777" w:rsidR="00BD699A" w:rsidRPr="00AB15C7" w:rsidRDefault="00BD699A" w:rsidP="005921EF">
            <w:pPr>
              <w:autoSpaceDE w:val="0"/>
              <w:autoSpaceDN w:val="0"/>
              <w:adjustRightInd w:val="0"/>
              <w:spacing w:after="0"/>
              <w:jc w:val="both"/>
              <w:rPr>
                <w:rFonts w:ascii="Cambria" w:hAnsi="Cambria"/>
                <w:b/>
                <w:noProof/>
                <w:color w:val="000000"/>
                <w:lang w:val="sr-Latn-ME"/>
              </w:rPr>
            </w:pPr>
            <w:r w:rsidRPr="00AB15C7">
              <w:rPr>
                <w:rFonts w:ascii="Cambria" w:hAnsi="Cambria"/>
                <w:b/>
                <w:noProof/>
                <w:color w:val="000000"/>
                <w:lang w:val="sr-Latn-ME"/>
              </w:rPr>
              <w:t xml:space="preserve">Nadležni organ </w:t>
            </w:r>
          </w:p>
        </w:tc>
        <w:tc>
          <w:tcPr>
            <w:tcW w:w="0" w:type="auto"/>
            <w:shd w:val="clear" w:color="auto" w:fill="D9D9D9"/>
            <w:hideMark/>
          </w:tcPr>
          <w:p w14:paraId="69AF5814" w14:textId="77777777" w:rsidR="00BD699A" w:rsidRPr="00AB15C7" w:rsidRDefault="00BD699A" w:rsidP="005921EF">
            <w:pPr>
              <w:autoSpaceDE w:val="0"/>
              <w:autoSpaceDN w:val="0"/>
              <w:adjustRightInd w:val="0"/>
              <w:spacing w:after="0"/>
              <w:jc w:val="both"/>
              <w:rPr>
                <w:rFonts w:ascii="Cambria" w:hAnsi="Cambria"/>
                <w:b/>
                <w:noProof/>
                <w:color w:val="000000"/>
                <w:lang w:val="sr-Latn-ME"/>
              </w:rPr>
            </w:pPr>
            <w:r w:rsidRPr="00AB15C7">
              <w:rPr>
                <w:rFonts w:ascii="Cambria" w:hAnsi="Cambria"/>
                <w:b/>
                <w:noProof/>
                <w:color w:val="000000"/>
                <w:lang w:val="sr-Latn-ME"/>
              </w:rPr>
              <w:t>Regulisana hemikalija</w:t>
            </w:r>
          </w:p>
        </w:tc>
        <w:tc>
          <w:tcPr>
            <w:tcW w:w="6492" w:type="dxa"/>
            <w:shd w:val="clear" w:color="auto" w:fill="D9D9D9"/>
            <w:hideMark/>
          </w:tcPr>
          <w:p w14:paraId="06D2E1BE" w14:textId="77777777" w:rsidR="00BD699A" w:rsidRPr="00AB15C7" w:rsidRDefault="00BD699A" w:rsidP="005921EF">
            <w:pPr>
              <w:autoSpaceDE w:val="0"/>
              <w:autoSpaceDN w:val="0"/>
              <w:adjustRightInd w:val="0"/>
              <w:spacing w:after="0"/>
              <w:jc w:val="both"/>
              <w:rPr>
                <w:rFonts w:ascii="Cambria" w:hAnsi="Cambria"/>
                <w:b/>
                <w:noProof/>
                <w:color w:val="000000"/>
                <w:lang w:val="sr-Latn-ME"/>
              </w:rPr>
            </w:pPr>
            <w:r w:rsidRPr="00AB15C7">
              <w:rPr>
                <w:rFonts w:ascii="Cambria" w:hAnsi="Cambria"/>
                <w:b/>
                <w:noProof/>
                <w:color w:val="000000"/>
                <w:lang w:val="sr-Latn-ME"/>
              </w:rPr>
              <w:t>Cilj propisa i usklađenost sa EU</w:t>
            </w:r>
          </w:p>
        </w:tc>
      </w:tr>
      <w:tr w:rsidR="00BD699A" w:rsidRPr="00AB15C7" w14:paraId="0F148CB4" w14:textId="77777777" w:rsidTr="00165701">
        <w:trPr>
          <w:trHeight w:val="480"/>
        </w:trPr>
        <w:tc>
          <w:tcPr>
            <w:tcW w:w="5400" w:type="dxa"/>
          </w:tcPr>
          <w:p w14:paraId="00F07DCE" w14:textId="77777777" w:rsidR="00BD699A" w:rsidRPr="00AB15C7" w:rsidRDefault="00BD699A" w:rsidP="005921EF">
            <w:pPr>
              <w:autoSpaceDE w:val="0"/>
              <w:autoSpaceDN w:val="0"/>
              <w:adjustRightInd w:val="0"/>
              <w:spacing w:after="0"/>
              <w:rPr>
                <w:rFonts w:ascii="Cambria" w:hAnsi="Cambria"/>
                <w:bCs/>
                <w:noProof/>
                <w:color w:val="000000"/>
                <w:lang w:val="sr-Latn-ME"/>
              </w:rPr>
            </w:pPr>
            <w:r w:rsidRPr="00AB15C7">
              <w:rPr>
                <w:rFonts w:ascii="Cambria" w:hAnsi="Cambria"/>
                <w:b/>
                <w:bCs/>
                <w:noProof/>
                <w:color w:val="000000"/>
                <w:lang w:val="sr-Latn-ME"/>
              </w:rPr>
              <w:t xml:space="preserve">Zakon o  biocidnim proizvodima </w:t>
            </w:r>
            <w:r w:rsidRPr="00AB15C7">
              <w:rPr>
                <w:rFonts w:ascii="Cambria" w:hAnsi="Cambria"/>
                <w:bCs/>
                <w:noProof/>
                <w:color w:val="000000"/>
                <w:lang w:val="sr-Latn-ME"/>
              </w:rPr>
              <w:t xml:space="preserve">("Sl. list CG", br. </w:t>
            </w:r>
            <w:bookmarkStart w:id="171" w:name="_Hlk518341389"/>
            <w:r w:rsidRPr="00AB15C7">
              <w:rPr>
                <w:rFonts w:ascii="Cambria" w:hAnsi="Cambria"/>
                <w:bCs/>
                <w:noProof/>
                <w:color w:val="000000"/>
              </w:rPr>
              <w:t>54/16</w:t>
            </w:r>
            <w:bookmarkEnd w:id="171"/>
            <w:r w:rsidRPr="00AB15C7">
              <w:rPr>
                <w:rFonts w:ascii="Cambria" w:hAnsi="Cambria"/>
                <w:bCs/>
                <w:noProof/>
                <w:color w:val="000000"/>
                <w:lang w:val="sr-Latn-ME"/>
              </w:rPr>
              <w:t>)</w:t>
            </w:r>
          </w:p>
          <w:p w14:paraId="2516F625"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p>
        </w:tc>
        <w:tc>
          <w:tcPr>
            <w:tcW w:w="1107" w:type="dxa"/>
            <w:hideMark/>
          </w:tcPr>
          <w:p w14:paraId="7CEDA6A8"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lang w:val="sr-Latn-ME"/>
              </w:rPr>
              <w:t>MORT</w:t>
            </w:r>
          </w:p>
        </w:tc>
        <w:tc>
          <w:tcPr>
            <w:tcW w:w="0" w:type="auto"/>
            <w:hideMark/>
          </w:tcPr>
          <w:p w14:paraId="441F6FBB"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lang w:val="sr-Latn-ME"/>
              </w:rPr>
              <w:t>Biocidni proizvodi</w:t>
            </w:r>
          </w:p>
        </w:tc>
        <w:tc>
          <w:tcPr>
            <w:tcW w:w="6492" w:type="dxa"/>
            <w:hideMark/>
          </w:tcPr>
          <w:p w14:paraId="050E425D"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rPr>
              <w:t>Uređuje način stavljanja u promet i upotrebu biocidnog proizvoda, uvoz, izvoz, kao i druga pitanja od značaja za upotrebu biocida. Odredbe ovog zakona su usaglašene sa BPR</w:t>
            </w:r>
          </w:p>
        </w:tc>
      </w:tr>
      <w:tr w:rsidR="00BD699A" w:rsidRPr="00AB15C7" w14:paraId="5D30FDB5" w14:textId="77777777" w:rsidTr="00165701">
        <w:trPr>
          <w:trHeight w:val="480"/>
        </w:trPr>
        <w:tc>
          <w:tcPr>
            <w:tcW w:w="5400" w:type="dxa"/>
            <w:shd w:val="clear" w:color="auto" w:fill="F2F2F2"/>
            <w:hideMark/>
          </w:tcPr>
          <w:p w14:paraId="2266A198" w14:textId="77777777" w:rsidR="00BD699A" w:rsidRPr="00AB15C7" w:rsidRDefault="00BD699A" w:rsidP="005921EF">
            <w:pPr>
              <w:autoSpaceDE w:val="0"/>
              <w:autoSpaceDN w:val="0"/>
              <w:adjustRightInd w:val="0"/>
              <w:spacing w:after="0"/>
              <w:rPr>
                <w:rFonts w:ascii="Cambria" w:hAnsi="Cambria"/>
                <w:i/>
                <w:noProof/>
                <w:color w:val="000000"/>
                <w:lang w:val="sr-Latn-ME"/>
              </w:rPr>
            </w:pPr>
            <w:r w:rsidRPr="00AB15C7">
              <w:rPr>
                <w:rFonts w:ascii="Cambria" w:hAnsi="Cambria"/>
                <w:i/>
                <w:noProof/>
                <w:color w:val="000000"/>
                <w:lang w:val="sr-Latn-ME"/>
              </w:rPr>
              <w:t>Podzakonski propisi za sprovođenje ovog zakona</w:t>
            </w:r>
          </w:p>
        </w:tc>
        <w:tc>
          <w:tcPr>
            <w:tcW w:w="1107" w:type="dxa"/>
            <w:shd w:val="clear" w:color="auto" w:fill="F2F2F2"/>
            <w:hideMark/>
          </w:tcPr>
          <w:p w14:paraId="565213A4" w14:textId="77777777" w:rsidR="00BD699A" w:rsidRPr="00AB15C7" w:rsidRDefault="00BD699A" w:rsidP="005921EF">
            <w:pPr>
              <w:autoSpaceDE w:val="0"/>
              <w:autoSpaceDN w:val="0"/>
              <w:adjustRightInd w:val="0"/>
              <w:spacing w:after="0"/>
              <w:jc w:val="both"/>
              <w:rPr>
                <w:rFonts w:ascii="Cambria" w:hAnsi="Cambria"/>
                <w:i/>
                <w:noProof/>
                <w:color w:val="000000"/>
                <w:lang w:val="sr-Latn-ME"/>
              </w:rPr>
            </w:pPr>
            <w:r w:rsidRPr="00AB15C7">
              <w:rPr>
                <w:rFonts w:ascii="Cambria" w:hAnsi="Cambria"/>
                <w:i/>
                <w:noProof/>
                <w:color w:val="000000"/>
                <w:lang w:val="sr-Latn-ME"/>
              </w:rPr>
              <w:t xml:space="preserve">Nadležni organ </w:t>
            </w:r>
          </w:p>
        </w:tc>
        <w:tc>
          <w:tcPr>
            <w:tcW w:w="0" w:type="auto"/>
            <w:shd w:val="clear" w:color="auto" w:fill="F2F2F2"/>
            <w:hideMark/>
          </w:tcPr>
          <w:p w14:paraId="25C86919" w14:textId="77777777" w:rsidR="00BD699A" w:rsidRPr="00AB15C7" w:rsidRDefault="00BD699A" w:rsidP="005921EF">
            <w:pPr>
              <w:autoSpaceDE w:val="0"/>
              <w:autoSpaceDN w:val="0"/>
              <w:adjustRightInd w:val="0"/>
              <w:spacing w:after="0"/>
              <w:jc w:val="both"/>
              <w:rPr>
                <w:rFonts w:ascii="Cambria" w:hAnsi="Cambria"/>
                <w:i/>
                <w:noProof/>
                <w:color w:val="000000"/>
                <w:lang w:val="sr-Latn-ME"/>
              </w:rPr>
            </w:pPr>
            <w:r w:rsidRPr="00AB15C7">
              <w:rPr>
                <w:rFonts w:ascii="Cambria" w:hAnsi="Cambria"/>
                <w:i/>
                <w:noProof/>
                <w:color w:val="000000"/>
                <w:lang w:val="sr-Latn-ME"/>
              </w:rPr>
              <w:t>Regulisana hemikalija</w:t>
            </w:r>
          </w:p>
        </w:tc>
        <w:tc>
          <w:tcPr>
            <w:tcW w:w="6492" w:type="dxa"/>
            <w:shd w:val="clear" w:color="auto" w:fill="F2F2F2"/>
            <w:hideMark/>
          </w:tcPr>
          <w:p w14:paraId="1474BADA" w14:textId="77777777" w:rsidR="00BD699A" w:rsidRPr="00AB15C7" w:rsidRDefault="00BD699A" w:rsidP="005921EF">
            <w:pPr>
              <w:autoSpaceDE w:val="0"/>
              <w:autoSpaceDN w:val="0"/>
              <w:adjustRightInd w:val="0"/>
              <w:spacing w:after="0"/>
              <w:jc w:val="both"/>
              <w:rPr>
                <w:rFonts w:ascii="Cambria" w:hAnsi="Cambria"/>
                <w:i/>
                <w:noProof/>
                <w:color w:val="000000"/>
                <w:lang w:val="sr-Latn-ME"/>
              </w:rPr>
            </w:pPr>
            <w:r w:rsidRPr="00AB15C7">
              <w:rPr>
                <w:rFonts w:ascii="Cambria" w:hAnsi="Cambria"/>
                <w:i/>
                <w:noProof/>
                <w:color w:val="000000"/>
                <w:lang w:val="sr-Latn-ME"/>
              </w:rPr>
              <w:t>Cilj propisa i usklađenost sa EU</w:t>
            </w:r>
          </w:p>
        </w:tc>
      </w:tr>
      <w:tr w:rsidR="00BD699A" w:rsidRPr="00AB15C7" w14:paraId="0AD2A4F7" w14:textId="77777777" w:rsidTr="00165701">
        <w:trPr>
          <w:trHeight w:val="260"/>
        </w:trPr>
        <w:tc>
          <w:tcPr>
            <w:tcW w:w="5400" w:type="dxa"/>
            <w:hideMark/>
          </w:tcPr>
          <w:p w14:paraId="3B81F1A7"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lang w:val="sr-Latn-ME"/>
              </w:rPr>
              <w:t>Pravilnik o uslovima za stavljanje biocidnih proizvoda u promet i upotrebu ("Sl. list CG", br. 59/16).</w:t>
            </w:r>
          </w:p>
        </w:tc>
        <w:tc>
          <w:tcPr>
            <w:tcW w:w="1107" w:type="dxa"/>
            <w:hideMark/>
          </w:tcPr>
          <w:p w14:paraId="032078E6"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lang w:val="sr-Latn-ME"/>
              </w:rPr>
              <w:t>MORT</w:t>
            </w:r>
          </w:p>
        </w:tc>
        <w:tc>
          <w:tcPr>
            <w:tcW w:w="0" w:type="auto"/>
            <w:hideMark/>
          </w:tcPr>
          <w:p w14:paraId="0FCAD23E"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lang w:val="sr-Latn-ME"/>
              </w:rPr>
              <w:t>Biocidni proizvodi</w:t>
            </w:r>
          </w:p>
        </w:tc>
        <w:tc>
          <w:tcPr>
            <w:tcW w:w="6492" w:type="dxa"/>
            <w:hideMark/>
          </w:tcPr>
          <w:p w14:paraId="72F06153"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rPr>
              <w:t xml:space="preserve">Ovim pravilnikom </w:t>
            </w:r>
            <w:r w:rsidRPr="00AB15C7">
              <w:rPr>
                <w:rFonts w:ascii="Cambria" w:hAnsi="Cambria"/>
                <w:noProof/>
                <w:color w:val="000000"/>
                <w:lang w:val="sr-Latn-ME"/>
              </w:rPr>
              <w:t>propisuju se uslovi za stavljanje biocidnih proizvoda  u promet i upotrebu i sadržaj dozvole za stavljanje biocida u promet i upotrebu.</w:t>
            </w:r>
          </w:p>
        </w:tc>
      </w:tr>
      <w:tr w:rsidR="00BD699A" w:rsidRPr="00AB15C7" w14:paraId="6272D819" w14:textId="77777777" w:rsidTr="00165701">
        <w:trPr>
          <w:trHeight w:val="480"/>
        </w:trPr>
        <w:tc>
          <w:tcPr>
            <w:tcW w:w="5400" w:type="dxa"/>
            <w:hideMark/>
          </w:tcPr>
          <w:p w14:paraId="4E0F5C4A"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lang w:val="sr-Latn-ME"/>
              </w:rPr>
              <w:t>Pravilnik o sadržaju i načinu vođenja Registra biocidnih proizvoda ("Sl. list CG", br. 62/16)</w:t>
            </w:r>
          </w:p>
        </w:tc>
        <w:tc>
          <w:tcPr>
            <w:tcW w:w="1107" w:type="dxa"/>
            <w:hideMark/>
          </w:tcPr>
          <w:p w14:paraId="3E546471"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lang w:val="sr-Latn-ME"/>
              </w:rPr>
              <w:t>MORT</w:t>
            </w:r>
          </w:p>
        </w:tc>
        <w:tc>
          <w:tcPr>
            <w:tcW w:w="0" w:type="auto"/>
            <w:hideMark/>
          </w:tcPr>
          <w:p w14:paraId="469E098F"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lang w:val="sr-Latn-ME"/>
              </w:rPr>
              <w:t>Biocidni proizvodi</w:t>
            </w:r>
          </w:p>
        </w:tc>
        <w:tc>
          <w:tcPr>
            <w:tcW w:w="6492" w:type="dxa"/>
            <w:hideMark/>
          </w:tcPr>
          <w:p w14:paraId="37E189DE"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rPr>
              <w:t>Ovim pravilnikom propisuje se sadržaj i način vođenja registra biocidnih proizvoda</w:t>
            </w:r>
          </w:p>
        </w:tc>
      </w:tr>
      <w:tr w:rsidR="00BD699A" w:rsidRPr="00AB15C7" w14:paraId="2E4D0BD7" w14:textId="77777777" w:rsidTr="00165701">
        <w:trPr>
          <w:trHeight w:val="480"/>
        </w:trPr>
        <w:tc>
          <w:tcPr>
            <w:tcW w:w="5400" w:type="dxa"/>
            <w:hideMark/>
          </w:tcPr>
          <w:p w14:paraId="6AD917BD"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lang w:val="sr-Latn-ME"/>
              </w:rPr>
              <w:t>Pravilnik o načinu procjene rizika biocidnih proizvoda ("Sl. list CG", br. 62/16)</w:t>
            </w:r>
          </w:p>
        </w:tc>
        <w:tc>
          <w:tcPr>
            <w:tcW w:w="1107" w:type="dxa"/>
            <w:hideMark/>
          </w:tcPr>
          <w:p w14:paraId="257093A4" w14:textId="77777777" w:rsidR="00BD699A" w:rsidRPr="00AB15C7" w:rsidRDefault="00BD699A" w:rsidP="005921EF">
            <w:pPr>
              <w:rPr>
                <w:rFonts w:ascii="Cambria" w:hAnsi="Cambria"/>
                <w:noProof/>
                <w:color w:val="000000"/>
                <w:lang w:val="sr-Latn-ME"/>
              </w:rPr>
            </w:pPr>
            <w:r w:rsidRPr="00AB15C7">
              <w:rPr>
                <w:rFonts w:ascii="Cambria" w:hAnsi="Cambria"/>
                <w:noProof/>
                <w:color w:val="000000"/>
                <w:lang w:val="sr-Latn-ME"/>
              </w:rPr>
              <w:t>MORT</w:t>
            </w:r>
          </w:p>
        </w:tc>
        <w:tc>
          <w:tcPr>
            <w:tcW w:w="0" w:type="auto"/>
            <w:hideMark/>
          </w:tcPr>
          <w:p w14:paraId="6ADCB64B" w14:textId="77777777" w:rsidR="00BD699A" w:rsidRPr="00AB15C7" w:rsidRDefault="00BD699A" w:rsidP="005921EF">
            <w:pPr>
              <w:rPr>
                <w:rFonts w:ascii="Cambria" w:hAnsi="Cambria"/>
                <w:noProof/>
                <w:color w:val="000000"/>
                <w:lang w:val="sr-Latn-ME"/>
              </w:rPr>
            </w:pPr>
            <w:r w:rsidRPr="00AB15C7">
              <w:rPr>
                <w:rFonts w:ascii="Cambria" w:hAnsi="Cambria"/>
                <w:noProof/>
                <w:color w:val="000000"/>
                <w:lang w:val="sr-Latn-ME"/>
              </w:rPr>
              <w:t>Biocidni proizvodi</w:t>
            </w:r>
          </w:p>
        </w:tc>
        <w:tc>
          <w:tcPr>
            <w:tcW w:w="6492" w:type="dxa"/>
            <w:hideMark/>
          </w:tcPr>
          <w:p w14:paraId="304A5289"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rPr>
              <w:t>Ovim pravilnikom propisuje se način procjene rizika biocidnog proizvoda na osnovu tehničkog dosijea</w:t>
            </w:r>
            <w:r w:rsidRPr="00AB15C7">
              <w:rPr>
                <w:rFonts w:ascii="Cambria" w:hAnsi="Cambria"/>
                <w:noProof/>
                <w:color w:val="000000"/>
                <w:lang w:val="sr-Latn-ME"/>
              </w:rPr>
              <w:t>.</w:t>
            </w:r>
            <w:r w:rsidRPr="00AB15C7">
              <w:rPr>
                <w:rFonts w:ascii="Cambria" w:hAnsi="Cambria"/>
                <w:noProof/>
              </w:rPr>
              <w:t xml:space="preserve"> </w:t>
            </w:r>
            <w:r w:rsidRPr="00AB15C7">
              <w:rPr>
                <w:rFonts w:ascii="Cambria" w:hAnsi="Cambria"/>
                <w:noProof/>
                <w:color w:val="000000"/>
                <w:lang w:val="sr-Latn-ME"/>
              </w:rPr>
              <w:t>Odredbe ovog pravilnika  su uskladjene sa Aneksom VI BPR</w:t>
            </w:r>
          </w:p>
        </w:tc>
      </w:tr>
      <w:tr w:rsidR="00BD699A" w:rsidRPr="00AB15C7" w14:paraId="3D7D1419" w14:textId="77777777" w:rsidTr="00165701">
        <w:trPr>
          <w:trHeight w:val="480"/>
        </w:trPr>
        <w:tc>
          <w:tcPr>
            <w:tcW w:w="5400" w:type="dxa"/>
            <w:hideMark/>
          </w:tcPr>
          <w:p w14:paraId="5CCC082D"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lang w:val="sr-Latn-ME"/>
              </w:rPr>
              <w:t>Pravilnik o vrstama biocidnih proizvoda (“Sl. list CG”, br. 66/16)</w:t>
            </w:r>
          </w:p>
        </w:tc>
        <w:tc>
          <w:tcPr>
            <w:tcW w:w="1107" w:type="dxa"/>
            <w:hideMark/>
          </w:tcPr>
          <w:p w14:paraId="1A6294B8" w14:textId="77777777" w:rsidR="00BD699A" w:rsidRPr="00AB15C7" w:rsidRDefault="00BD699A" w:rsidP="005921EF">
            <w:pPr>
              <w:rPr>
                <w:rFonts w:ascii="Cambria" w:hAnsi="Cambria"/>
                <w:noProof/>
                <w:color w:val="000000"/>
                <w:lang w:val="sr-Latn-ME"/>
              </w:rPr>
            </w:pPr>
            <w:r w:rsidRPr="00AB15C7">
              <w:rPr>
                <w:rFonts w:ascii="Cambria" w:hAnsi="Cambria"/>
                <w:noProof/>
                <w:color w:val="000000"/>
                <w:lang w:val="sr-Latn-ME"/>
              </w:rPr>
              <w:t>MORT</w:t>
            </w:r>
          </w:p>
        </w:tc>
        <w:tc>
          <w:tcPr>
            <w:tcW w:w="0" w:type="auto"/>
            <w:hideMark/>
          </w:tcPr>
          <w:p w14:paraId="52F01FAC" w14:textId="77777777" w:rsidR="00BD699A" w:rsidRPr="00AB15C7" w:rsidRDefault="00BD699A" w:rsidP="005921EF">
            <w:pPr>
              <w:rPr>
                <w:rFonts w:ascii="Cambria" w:hAnsi="Cambria"/>
                <w:noProof/>
                <w:color w:val="000000"/>
                <w:lang w:val="sr-Latn-ME"/>
              </w:rPr>
            </w:pPr>
            <w:r w:rsidRPr="00AB15C7">
              <w:rPr>
                <w:rFonts w:ascii="Cambria" w:hAnsi="Cambria"/>
                <w:noProof/>
                <w:color w:val="000000"/>
                <w:lang w:val="sr-Latn-ME"/>
              </w:rPr>
              <w:t>Biocidni proizvodi</w:t>
            </w:r>
          </w:p>
        </w:tc>
        <w:tc>
          <w:tcPr>
            <w:tcW w:w="6492" w:type="dxa"/>
            <w:hideMark/>
          </w:tcPr>
          <w:p w14:paraId="60FBF89A"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rPr>
              <w:t>Ovim pravilnikom propisuju se vrste biocidnih proizvode sa opisom koji je usaglašen sa Aneksom V BPR</w:t>
            </w:r>
          </w:p>
        </w:tc>
      </w:tr>
      <w:tr w:rsidR="00BD699A" w:rsidRPr="00AB15C7" w14:paraId="19B64F84" w14:textId="77777777" w:rsidTr="00165701">
        <w:trPr>
          <w:trHeight w:val="480"/>
        </w:trPr>
        <w:tc>
          <w:tcPr>
            <w:tcW w:w="5400" w:type="dxa"/>
          </w:tcPr>
          <w:p w14:paraId="0278C8FF"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rPr>
              <w:lastRenderedPageBreak/>
              <w:t>Pravilnik o sadržaju izvještaja o uvozu biocidnih proizvoda (“Sl. list CG”, br. 69/16)</w:t>
            </w:r>
          </w:p>
        </w:tc>
        <w:tc>
          <w:tcPr>
            <w:tcW w:w="1107" w:type="dxa"/>
          </w:tcPr>
          <w:p w14:paraId="6EC37DCE"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lang w:val="sr-Latn-ME"/>
              </w:rPr>
              <w:t>MORT</w:t>
            </w:r>
          </w:p>
        </w:tc>
        <w:tc>
          <w:tcPr>
            <w:tcW w:w="0" w:type="auto"/>
          </w:tcPr>
          <w:p w14:paraId="5CBE3741" w14:textId="77777777" w:rsidR="00BD699A" w:rsidRPr="00AB15C7" w:rsidRDefault="00BD699A" w:rsidP="005921EF">
            <w:pPr>
              <w:rPr>
                <w:rFonts w:ascii="Cambria" w:hAnsi="Cambria"/>
                <w:noProof/>
                <w:color w:val="000000"/>
                <w:lang w:val="sr-Latn-ME"/>
              </w:rPr>
            </w:pPr>
            <w:r w:rsidRPr="00AB15C7">
              <w:rPr>
                <w:rFonts w:ascii="Cambria" w:hAnsi="Cambria"/>
                <w:noProof/>
                <w:color w:val="000000"/>
                <w:lang w:val="sr-Latn-ME"/>
              </w:rPr>
              <w:t>Biocidni proizvodi</w:t>
            </w:r>
          </w:p>
        </w:tc>
        <w:tc>
          <w:tcPr>
            <w:tcW w:w="6492" w:type="dxa"/>
          </w:tcPr>
          <w:p w14:paraId="085AAD48"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lang w:val="sr-Latn-ME"/>
              </w:rPr>
              <w:t>Izvještaj o uvozu biocidnih proizvoda sadrži podatke utvrđene ovim pravilnikom.</w:t>
            </w:r>
          </w:p>
        </w:tc>
      </w:tr>
      <w:tr w:rsidR="00BD699A" w:rsidRPr="00AB15C7" w14:paraId="3C646931" w14:textId="77777777" w:rsidTr="00165701">
        <w:trPr>
          <w:trHeight w:val="1317"/>
        </w:trPr>
        <w:tc>
          <w:tcPr>
            <w:tcW w:w="5400" w:type="dxa"/>
            <w:hideMark/>
          </w:tcPr>
          <w:p w14:paraId="021542D0" w14:textId="77777777" w:rsidR="00BD699A" w:rsidRPr="00AB15C7" w:rsidRDefault="00BD699A" w:rsidP="005921EF">
            <w:pPr>
              <w:autoSpaceDE w:val="0"/>
              <w:autoSpaceDN w:val="0"/>
              <w:adjustRightInd w:val="0"/>
              <w:spacing w:after="0"/>
              <w:rPr>
                <w:rFonts w:ascii="Cambria" w:hAnsi="Cambria"/>
                <w:noProof/>
                <w:color w:val="000000"/>
              </w:rPr>
            </w:pPr>
            <w:r w:rsidRPr="00AB15C7">
              <w:rPr>
                <w:rFonts w:ascii="Cambria" w:hAnsi="Cambria"/>
                <w:noProof/>
                <w:color w:val="000000"/>
              </w:rPr>
              <w:t>Pravilnik o listama aktivnih supstanci koje su dozvoljene za upotrebu u biocidnim proizvodima i biocidnim proizvodima manjeg rizika (“Sl. list CG”, br. 72/16)</w:t>
            </w:r>
          </w:p>
        </w:tc>
        <w:tc>
          <w:tcPr>
            <w:tcW w:w="1107" w:type="dxa"/>
            <w:hideMark/>
          </w:tcPr>
          <w:p w14:paraId="04B0E076" w14:textId="77777777" w:rsidR="00BD699A" w:rsidRPr="00AB15C7" w:rsidRDefault="00BD699A" w:rsidP="005921EF">
            <w:pPr>
              <w:rPr>
                <w:rFonts w:ascii="Cambria" w:hAnsi="Cambria"/>
                <w:noProof/>
                <w:color w:val="000000"/>
                <w:lang w:val="sr-Latn-ME"/>
              </w:rPr>
            </w:pPr>
            <w:r w:rsidRPr="00AB15C7">
              <w:rPr>
                <w:rFonts w:ascii="Cambria" w:hAnsi="Cambria"/>
                <w:noProof/>
                <w:color w:val="000000"/>
                <w:lang w:val="sr-Latn-ME"/>
              </w:rPr>
              <w:t>MORT</w:t>
            </w:r>
          </w:p>
        </w:tc>
        <w:tc>
          <w:tcPr>
            <w:tcW w:w="0" w:type="auto"/>
            <w:hideMark/>
          </w:tcPr>
          <w:p w14:paraId="109FB982"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lang w:val="sr-Latn-ME"/>
              </w:rPr>
              <w:t>Biocidni proizvodi</w:t>
            </w:r>
          </w:p>
        </w:tc>
        <w:tc>
          <w:tcPr>
            <w:tcW w:w="6492" w:type="dxa"/>
            <w:hideMark/>
          </w:tcPr>
          <w:p w14:paraId="5A9C61E5" w14:textId="77777777" w:rsidR="00BD699A" w:rsidRPr="00AB15C7" w:rsidRDefault="00BD699A" w:rsidP="005921EF">
            <w:pPr>
              <w:autoSpaceDE w:val="0"/>
              <w:autoSpaceDN w:val="0"/>
              <w:adjustRightInd w:val="0"/>
              <w:spacing w:after="0"/>
              <w:rPr>
                <w:rFonts w:ascii="Cambria" w:hAnsi="Cambria"/>
                <w:noProof/>
                <w:color w:val="000000"/>
                <w:lang w:val="sr-Latn-ME"/>
              </w:rPr>
            </w:pPr>
            <w:r w:rsidRPr="00AB15C7">
              <w:rPr>
                <w:rFonts w:ascii="Cambria" w:hAnsi="Cambria"/>
                <w:noProof/>
                <w:color w:val="000000"/>
              </w:rPr>
              <w:t xml:space="preserve">Ovaj pravilnik sadrži Listu aktivnih supstanci  koje su dozvoljene za upotrebu u biocidnim proizvodima sadrži aktivne supstance koje su odobrene u EU u skladu sa procedurom iz člana 4-16 BPR. i  kao takve preuzete, kao i Listu aktivnih supstanci koje su dozvoljene za upotrebu u biocidima manjeg rizika koja je preuzeta iz Aneksa I BPR. </w:t>
            </w:r>
          </w:p>
        </w:tc>
      </w:tr>
      <w:tr w:rsidR="00BD699A" w:rsidRPr="00AB15C7" w14:paraId="13EE070A" w14:textId="77777777" w:rsidTr="00165701">
        <w:trPr>
          <w:trHeight w:val="172"/>
        </w:trPr>
        <w:tc>
          <w:tcPr>
            <w:tcW w:w="5400" w:type="dxa"/>
          </w:tcPr>
          <w:p w14:paraId="73245A9C" w14:textId="77777777" w:rsidR="00BD699A" w:rsidRPr="00AB15C7" w:rsidRDefault="00BD699A" w:rsidP="005921EF">
            <w:pPr>
              <w:autoSpaceDE w:val="0"/>
              <w:autoSpaceDN w:val="0"/>
              <w:adjustRightInd w:val="0"/>
              <w:spacing w:after="0"/>
              <w:rPr>
                <w:rFonts w:ascii="Cambria" w:hAnsi="Cambria"/>
                <w:noProof/>
                <w:color w:val="000000"/>
              </w:rPr>
            </w:pPr>
            <w:r w:rsidRPr="00AB15C7">
              <w:rPr>
                <w:rFonts w:ascii="Cambria" w:hAnsi="Cambria"/>
                <w:noProof/>
                <w:color w:val="000000"/>
              </w:rPr>
              <w:t>Pravilnik o sadržaju tehničkog dosijea i osnovnim podacima o biocidu ("Sl. list CG" br. 5/17 i 19/18)</w:t>
            </w:r>
          </w:p>
        </w:tc>
        <w:tc>
          <w:tcPr>
            <w:tcW w:w="1107" w:type="dxa"/>
          </w:tcPr>
          <w:p w14:paraId="54B4FC65" w14:textId="77777777" w:rsidR="00BD699A" w:rsidRPr="00AB15C7" w:rsidRDefault="00BD699A" w:rsidP="005921EF">
            <w:pPr>
              <w:rPr>
                <w:rFonts w:ascii="Cambria" w:hAnsi="Cambria"/>
                <w:noProof/>
                <w:color w:val="000000"/>
                <w:lang w:val="sr-Latn-ME"/>
              </w:rPr>
            </w:pPr>
            <w:r w:rsidRPr="00AB15C7">
              <w:rPr>
                <w:rFonts w:ascii="Cambria" w:hAnsi="Cambria"/>
                <w:noProof/>
                <w:color w:val="000000"/>
                <w:lang w:val="sr-Latn-ME"/>
              </w:rPr>
              <w:t>MORT</w:t>
            </w:r>
          </w:p>
        </w:tc>
        <w:tc>
          <w:tcPr>
            <w:tcW w:w="0" w:type="auto"/>
          </w:tcPr>
          <w:p w14:paraId="3E4393EC"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lang w:val="sr-Latn-ME"/>
              </w:rPr>
              <w:t>Biocidni proizvodi</w:t>
            </w:r>
          </w:p>
        </w:tc>
        <w:tc>
          <w:tcPr>
            <w:tcW w:w="6492" w:type="dxa"/>
          </w:tcPr>
          <w:p w14:paraId="418E876C" w14:textId="77777777" w:rsidR="00BD699A" w:rsidRPr="00AB15C7" w:rsidRDefault="00BD699A" w:rsidP="005921EF">
            <w:pPr>
              <w:autoSpaceDE w:val="0"/>
              <w:autoSpaceDN w:val="0"/>
              <w:adjustRightInd w:val="0"/>
              <w:spacing w:after="0"/>
              <w:rPr>
                <w:rFonts w:ascii="Cambria" w:hAnsi="Cambria"/>
                <w:noProof/>
                <w:color w:val="000000"/>
              </w:rPr>
            </w:pPr>
            <w:r w:rsidRPr="00AB15C7">
              <w:rPr>
                <w:rFonts w:ascii="Cambria" w:hAnsi="Cambria"/>
                <w:noProof/>
                <w:color w:val="000000"/>
              </w:rPr>
              <w:t>Ovim pravilnikom propisuju se bliži sadržaj tehničkog dosijea i osnovnih podataka o biocidu. Odredbe ovog pravilnika su uskladjene sa odredbama Aneksa II-IV BPR</w:t>
            </w:r>
          </w:p>
        </w:tc>
      </w:tr>
      <w:tr w:rsidR="00BD699A" w:rsidRPr="00AB15C7" w14:paraId="69EB04F2" w14:textId="77777777" w:rsidTr="00165701">
        <w:trPr>
          <w:trHeight w:val="272"/>
        </w:trPr>
        <w:tc>
          <w:tcPr>
            <w:tcW w:w="5400" w:type="dxa"/>
          </w:tcPr>
          <w:p w14:paraId="2D90C514" w14:textId="77777777" w:rsidR="00BD699A" w:rsidRPr="00AB15C7" w:rsidRDefault="00BD699A" w:rsidP="005921EF">
            <w:pPr>
              <w:autoSpaceDE w:val="0"/>
              <w:autoSpaceDN w:val="0"/>
              <w:adjustRightInd w:val="0"/>
              <w:spacing w:after="0"/>
              <w:rPr>
                <w:rFonts w:ascii="Cambria" w:hAnsi="Cambria"/>
                <w:noProof/>
                <w:color w:val="000000"/>
              </w:rPr>
            </w:pPr>
            <w:r w:rsidRPr="00AB15C7">
              <w:rPr>
                <w:rFonts w:ascii="Cambria" w:hAnsi="Cambria"/>
                <w:noProof/>
                <w:color w:val="000000"/>
              </w:rPr>
              <w:t>Pravilnik o metodama za ispitivanje efikasnosti biocidnih proizvoda ("Sl. list CG" br.</w:t>
            </w:r>
            <w:r w:rsidRPr="00AB15C7">
              <w:rPr>
                <w:rFonts w:ascii="Cambria" w:hAnsi="Cambria"/>
                <w:noProof/>
              </w:rPr>
              <w:t xml:space="preserve"> </w:t>
            </w:r>
            <w:r w:rsidRPr="00AB15C7">
              <w:rPr>
                <w:rFonts w:ascii="Cambria" w:hAnsi="Cambria"/>
                <w:noProof/>
                <w:color w:val="000000"/>
              </w:rPr>
              <w:t>5/17)</w:t>
            </w:r>
          </w:p>
        </w:tc>
        <w:tc>
          <w:tcPr>
            <w:tcW w:w="1107" w:type="dxa"/>
          </w:tcPr>
          <w:p w14:paraId="25E55DD1" w14:textId="77777777" w:rsidR="00BD699A" w:rsidRPr="00AB15C7" w:rsidRDefault="00BD699A" w:rsidP="005921EF">
            <w:pPr>
              <w:autoSpaceDE w:val="0"/>
              <w:autoSpaceDN w:val="0"/>
              <w:adjustRightInd w:val="0"/>
              <w:spacing w:after="0"/>
              <w:jc w:val="both"/>
              <w:rPr>
                <w:rFonts w:ascii="Cambria" w:hAnsi="Cambria"/>
                <w:noProof/>
                <w:color w:val="000000"/>
              </w:rPr>
            </w:pPr>
            <w:r w:rsidRPr="00AB15C7">
              <w:rPr>
                <w:rFonts w:ascii="Cambria" w:hAnsi="Cambria"/>
                <w:noProof/>
                <w:color w:val="000000"/>
                <w:lang w:val="sr-Latn-ME"/>
              </w:rPr>
              <w:t>MORT</w:t>
            </w:r>
          </w:p>
        </w:tc>
        <w:tc>
          <w:tcPr>
            <w:tcW w:w="0" w:type="auto"/>
          </w:tcPr>
          <w:p w14:paraId="6B4CF4B0" w14:textId="77777777" w:rsidR="00BD699A" w:rsidRPr="00AB15C7" w:rsidRDefault="00BD699A" w:rsidP="005921EF">
            <w:pPr>
              <w:autoSpaceDE w:val="0"/>
              <w:autoSpaceDN w:val="0"/>
              <w:adjustRightInd w:val="0"/>
              <w:spacing w:after="0"/>
              <w:jc w:val="both"/>
              <w:rPr>
                <w:rFonts w:ascii="Cambria" w:hAnsi="Cambria"/>
                <w:noProof/>
                <w:color w:val="000000"/>
              </w:rPr>
            </w:pPr>
            <w:r w:rsidRPr="00AB15C7">
              <w:rPr>
                <w:rFonts w:ascii="Cambria" w:hAnsi="Cambria"/>
                <w:noProof/>
                <w:color w:val="000000"/>
                <w:lang w:val="sr-Latn-ME"/>
              </w:rPr>
              <w:t>Biocidni proizvodi</w:t>
            </w:r>
          </w:p>
        </w:tc>
        <w:tc>
          <w:tcPr>
            <w:tcW w:w="6492" w:type="dxa"/>
          </w:tcPr>
          <w:p w14:paraId="0253F502" w14:textId="77777777" w:rsidR="00BD699A" w:rsidRPr="00AB15C7" w:rsidRDefault="00BD699A" w:rsidP="005921EF">
            <w:pPr>
              <w:autoSpaceDE w:val="0"/>
              <w:autoSpaceDN w:val="0"/>
              <w:adjustRightInd w:val="0"/>
              <w:spacing w:after="0"/>
              <w:rPr>
                <w:rFonts w:ascii="Cambria" w:hAnsi="Cambria"/>
                <w:noProof/>
                <w:color w:val="000000"/>
              </w:rPr>
            </w:pPr>
            <w:r w:rsidRPr="00AB15C7">
              <w:rPr>
                <w:rFonts w:ascii="Cambria" w:hAnsi="Cambria"/>
                <w:noProof/>
                <w:color w:val="000000"/>
              </w:rPr>
              <w:t>Efikasnost biocidnih proizvoda za tehnički dosije ispituje se metodama utvrđenim ovim pravilnikom.</w:t>
            </w:r>
          </w:p>
        </w:tc>
      </w:tr>
      <w:tr w:rsidR="00BD699A" w:rsidRPr="00AB15C7" w14:paraId="7B33355E" w14:textId="77777777" w:rsidTr="00165701">
        <w:trPr>
          <w:trHeight w:val="272"/>
        </w:trPr>
        <w:tc>
          <w:tcPr>
            <w:tcW w:w="5400" w:type="dxa"/>
          </w:tcPr>
          <w:p w14:paraId="7829B318" w14:textId="77777777" w:rsidR="00BD699A" w:rsidRPr="00AB15C7" w:rsidRDefault="00BD699A" w:rsidP="005921EF">
            <w:pPr>
              <w:autoSpaceDE w:val="0"/>
              <w:autoSpaceDN w:val="0"/>
              <w:adjustRightInd w:val="0"/>
              <w:spacing w:after="0"/>
              <w:rPr>
                <w:rFonts w:ascii="Cambria" w:hAnsi="Cambria"/>
                <w:noProof/>
                <w:color w:val="000000"/>
              </w:rPr>
            </w:pPr>
            <w:r w:rsidRPr="00AB15C7">
              <w:rPr>
                <w:rFonts w:ascii="Cambria" w:hAnsi="Cambria"/>
                <w:noProof/>
                <w:color w:val="000000"/>
              </w:rPr>
              <w:t>Pravilnik o sadržaju zahtjeva za izdavanje dozvole za biocidne proizvode ("Sl. list CG" br. 17/17)</w:t>
            </w:r>
          </w:p>
        </w:tc>
        <w:tc>
          <w:tcPr>
            <w:tcW w:w="1107" w:type="dxa"/>
          </w:tcPr>
          <w:p w14:paraId="72C8A83C"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r w:rsidRPr="00AB15C7">
              <w:rPr>
                <w:rFonts w:ascii="Cambria" w:hAnsi="Cambria"/>
                <w:noProof/>
                <w:color w:val="000000"/>
                <w:lang w:val="sr-Latn-ME"/>
              </w:rPr>
              <w:t>MORT</w:t>
            </w:r>
            <w:r w:rsidRPr="00AB15C7">
              <w:rPr>
                <w:rFonts w:ascii="Cambria" w:hAnsi="Cambria"/>
                <w:noProof/>
                <w:color w:val="000000"/>
                <w:lang w:val="sr-Latn-ME"/>
              </w:rPr>
              <w:tab/>
            </w:r>
          </w:p>
        </w:tc>
        <w:tc>
          <w:tcPr>
            <w:tcW w:w="0" w:type="auto"/>
          </w:tcPr>
          <w:p w14:paraId="16EB0434" w14:textId="77777777" w:rsidR="00BD699A" w:rsidRPr="00AB15C7" w:rsidRDefault="00BD699A" w:rsidP="005921EF">
            <w:pPr>
              <w:autoSpaceDE w:val="0"/>
              <w:autoSpaceDN w:val="0"/>
              <w:adjustRightInd w:val="0"/>
              <w:spacing w:after="0"/>
              <w:jc w:val="both"/>
              <w:rPr>
                <w:rFonts w:ascii="Cambria" w:hAnsi="Cambria"/>
                <w:noProof/>
                <w:color w:val="000000"/>
              </w:rPr>
            </w:pPr>
            <w:r w:rsidRPr="00AB15C7">
              <w:rPr>
                <w:rFonts w:ascii="Cambria" w:hAnsi="Cambria"/>
                <w:noProof/>
                <w:color w:val="000000"/>
                <w:lang w:val="sr-Latn-ME"/>
              </w:rPr>
              <w:t>Biocidni proizvodi</w:t>
            </w:r>
          </w:p>
        </w:tc>
        <w:tc>
          <w:tcPr>
            <w:tcW w:w="6492" w:type="dxa"/>
          </w:tcPr>
          <w:p w14:paraId="510D02DA" w14:textId="77777777" w:rsidR="00BD699A" w:rsidRPr="00AB15C7" w:rsidRDefault="00BD699A" w:rsidP="005921EF">
            <w:pPr>
              <w:autoSpaceDE w:val="0"/>
              <w:autoSpaceDN w:val="0"/>
              <w:adjustRightInd w:val="0"/>
              <w:spacing w:after="0"/>
              <w:rPr>
                <w:rFonts w:ascii="Cambria" w:hAnsi="Cambria"/>
                <w:noProof/>
                <w:color w:val="000000"/>
              </w:rPr>
            </w:pPr>
            <w:r w:rsidRPr="00AB15C7">
              <w:rPr>
                <w:rFonts w:ascii="Cambria" w:hAnsi="Cambria"/>
                <w:noProof/>
                <w:color w:val="000000"/>
              </w:rPr>
              <w:t>Ovim pravilnikom utvrđuje se sadržaj zahtjeva za izdavanje dozvole za biocidne proizvodeza koje je izdata dozvola u državi članici Evropske unije i uslovi za stavljanje u promet i upotrebu biocidnih proizvoda</w:t>
            </w:r>
          </w:p>
        </w:tc>
      </w:tr>
      <w:tr w:rsidR="00BD699A" w:rsidRPr="00AB15C7" w14:paraId="2540EF80" w14:textId="77777777" w:rsidTr="00165701">
        <w:trPr>
          <w:trHeight w:val="272"/>
        </w:trPr>
        <w:tc>
          <w:tcPr>
            <w:tcW w:w="5400" w:type="dxa"/>
          </w:tcPr>
          <w:p w14:paraId="76933E9F" w14:textId="77777777" w:rsidR="00BD699A" w:rsidRPr="00AB15C7" w:rsidRDefault="00BD699A" w:rsidP="005921EF">
            <w:pPr>
              <w:autoSpaceDE w:val="0"/>
              <w:autoSpaceDN w:val="0"/>
              <w:adjustRightInd w:val="0"/>
              <w:spacing w:after="0"/>
              <w:rPr>
                <w:rFonts w:ascii="Cambria" w:hAnsi="Cambria"/>
                <w:noProof/>
                <w:color w:val="000000"/>
              </w:rPr>
            </w:pPr>
            <w:r w:rsidRPr="00AB15C7">
              <w:rPr>
                <w:rFonts w:ascii="Cambria" w:hAnsi="Cambria"/>
                <w:noProof/>
                <w:color w:val="000000"/>
              </w:rPr>
              <w:t>Pravilnik o uslovima u pogledu kadra, prostora i opreme za pravna lica koja profesionalno koriste biocidne proizvode ("Sl. list CG" br. 23/17)</w:t>
            </w:r>
          </w:p>
        </w:tc>
        <w:tc>
          <w:tcPr>
            <w:tcW w:w="1107" w:type="dxa"/>
          </w:tcPr>
          <w:p w14:paraId="09D65420" w14:textId="77777777" w:rsidR="00BD699A" w:rsidRPr="00AB15C7" w:rsidRDefault="00BD699A" w:rsidP="005921EF">
            <w:pPr>
              <w:rPr>
                <w:rFonts w:ascii="Cambria" w:hAnsi="Cambria"/>
                <w:noProof/>
                <w:color w:val="000000"/>
              </w:rPr>
            </w:pPr>
            <w:r w:rsidRPr="00AB15C7">
              <w:rPr>
                <w:rFonts w:ascii="Cambria" w:hAnsi="Cambria"/>
                <w:noProof/>
                <w:color w:val="000000"/>
              </w:rPr>
              <w:t>MORT</w:t>
            </w:r>
          </w:p>
        </w:tc>
        <w:tc>
          <w:tcPr>
            <w:tcW w:w="0" w:type="auto"/>
          </w:tcPr>
          <w:p w14:paraId="7E65F490" w14:textId="77777777" w:rsidR="00BD699A" w:rsidRPr="00AB15C7" w:rsidRDefault="00BD699A" w:rsidP="005921EF">
            <w:pPr>
              <w:rPr>
                <w:rFonts w:ascii="Cambria" w:hAnsi="Cambria"/>
                <w:noProof/>
                <w:color w:val="000000"/>
              </w:rPr>
            </w:pPr>
            <w:r w:rsidRPr="00AB15C7">
              <w:rPr>
                <w:rFonts w:ascii="Cambria" w:hAnsi="Cambria"/>
                <w:noProof/>
                <w:color w:val="000000"/>
              </w:rPr>
              <w:t>Biocidni proizvodi</w:t>
            </w:r>
          </w:p>
        </w:tc>
        <w:tc>
          <w:tcPr>
            <w:tcW w:w="6492" w:type="dxa"/>
          </w:tcPr>
          <w:p w14:paraId="28642735" w14:textId="77777777" w:rsidR="00BD699A" w:rsidRPr="00AB15C7" w:rsidRDefault="00BD699A" w:rsidP="005921EF">
            <w:pPr>
              <w:autoSpaceDE w:val="0"/>
              <w:autoSpaceDN w:val="0"/>
              <w:adjustRightInd w:val="0"/>
              <w:spacing w:after="0"/>
              <w:rPr>
                <w:rFonts w:ascii="Cambria" w:hAnsi="Cambria"/>
                <w:noProof/>
                <w:color w:val="000000"/>
              </w:rPr>
            </w:pPr>
            <w:r w:rsidRPr="00AB15C7">
              <w:rPr>
                <w:rFonts w:ascii="Cambria" w:hAnsi="Cambria"/>
                <w:noProof/>
                <w:color w:val="000000"/>
              </w:rPr>
              <w:t>Ovim pravilnikom propisuju se bliži uslovi u pogledu kadra, prostora i opreme za pravna lica koja profesionalno koriste biocidne proizvode i pravna lica koja obavljaju djelatnost proizvodnje, prometa, upotrebe i skladištenja biocida</w:t>
            </w:r>
          </w:p>
        </w:tc>
      </w:tr>
      <w:bookmarkEnd w:id="170"/>
    </w:tbl>
    <w:p w14:paraId="4730D3C5" w14:textId="77777777" w:rsidR="00BD699A" w:rsidRPr="00AB15C7" w:rsidRDefault="00BD699A" w:rsidP="005921EF">
      <w:pPr>
        <w:autoSpaceDE w:val="0"/>
        <w:autoSpaceDN w:val="0"/>
        <w:adjustRightInd w:val="0"/>
        <w:spacing w:after="0"/>
        <w:jc w:val="both"/>
        <w:rPr>
          <w:rFonts w:ascii="Cambria" w:hAnsi="Cambria"/>
          <w:noProof/>
          <w:color w:val="000000"/>
          <w:lang w:val="sr-Latn-ME"/>
        </w:rPr>
      </w:pPr>
    </w:p>
    <w:p w14:paraId="2441383A" w14:textId="77777777" w:rsidR="00C728FD" w:rsidRPr="00AB15C7" w:rsidRDefault="00C728FD" w:rsidP="005921EF">
      <w:pPr>
        <w:jc w:val="both"/>
        <w:rPr>
          <w:rFonts w:ascii="Cambria" w:hAnsi="Cambria"/>
          <w:b/>
          <w:noProof/>
          <w:lang w:val="sr-Latn-ME"/>
        </w:rPr>
      </w:pPr>
      <w:r w:rsidRPr="00AB15C7">
        <w:rPr>
          <w:rFonts w:ascii="Cambria" w:hAnsi="Cambria"/>
          <w:b/>
          <w:i/>
          <w:noProof/>
          <w:lang w:val="sr-Latn-ME"/>
        </w:rPr>
        <w:t xml:space="preserve">Tabela A3. </w:t>
      </w:r>
      <w:r w:rsidRPr="00A76A53">
        <w:rPr>
          <w:rFonts w:ascii="Cambria" w:hAnsi="Cambria"/>
          <w:b/>
          <w:noProof/>
          <w:lang w:val="sr-Latn-ME"/>
        </w:rPr>
        <w:t>Važeći propisi koji se odnose na oblast sredstava za zaštitu bilja</w:t>
      </w:r>
    </w:p>
    <w:tbl>
      <w:tblPr>
        <w:tblW w:w="5254" w:type="pct"/>
        <w:tblBorders>
          <w:top w:val="double" w:sz="4" w:space="0" w:color="auto"/>
          <w:left w:val="double" w:sz="4" w:space="0" w:color="auto"/>
          <w:bottom w:val="double" w:sz="4" w:space="0" w:color="auto"/>
          <w:right w:val="double" w:sz="4" w:space="0" w:color="auto"/>
          <w:insideH w:val="single" w:sz="4" w:space="0" w:color="auto"/>
          <w:insideV w:val="single" w:sz="4" w:space="0" w:color="000000"/>
        </w:tblBorders>
        <w:tblLook w:val="04A0" w:firstRow="1" w:lastRow="0" w:firstColumn="1" w:lastColumn="0" w:noHBand="0" w:noVBand="1"/>
      </w:tblPr>
      <w:tblGrid>
        <w:gridCol w:w="4394"/>
        <w:gridCol w:w="1225"/>
        <w:gridCol w:w="2467"/>
        <w:gridCol w:w="6390"/>
      </w:tblGrid>
      <w:tr w:rsidR="00C728FD" w:rsidRPr="00AB15C7" w14:paraId="1E7F9F18" w14:textId="77777777" w:rsidTr="00165701">
        <w:trPr>
          <w:trHeight w:val="480"/>
        </w:trPr>
        <w:tc>
          <w:tcPr>
            <w:tcW w:w="1518" w:type="pct"/>
            <w:shd w:val="clear" w:color="auto" w:fill="D9D9D9"/>
            <w:hideMark/>
          </w:tcPr>
          <w:p w14:paraId="7516D7D1" w14:textId="77777777" w:rsidR="00C728FD" w:rsidRPr="00AB15C7" w:rsidRDefault="00C728FD" w:rsidP="005921EF">
            <w:pPr>
              <w:jc w:val="both"/>
              <w:rPr>
                <w:rFonts w:ascii="Cambria" w:hAnsi="Cambria"/>
                <w:b/>
                <w:noProof/>
                <w:lang w:val="sr-Latn-ME"/>
              </w:rPr>
            </w:pPr>
            <w:r w:rsidRPr="00AB15C7">
              <w:rPr>
                <w:rFonts w:ascii="Cambria" w:hAnsi="Cambria"/>
                <w:b/>
                <w:noProof/>
                <w:lang w:val="sr-Latn-ME"/>
              </w:rPr>
              <w:t>Propis</w:t>
            </w:r>
          </w:p>
        </w:tc>
        <w:tc>
          <w:tcPr>
            <w:tcW w:w="423" w:type="pct"/>
            <w:shd w:val="clear" w:color="auto" w:fill="D9D9D9"/>
            <w:hideMark/>
          </w:tcPr>
          <w:p w14:paraId="08626976" w14:textId="77777777" w:rsidR="00C728FD" w:rsidRPr="00AB15C7" w:rsidRDefault="00C728FD" w:rsidP="005921EF">
            <w:pPr>
              <w:jc w:val="both"/>
              <w:rPr>
                <w:rFonts w:ascii="Cambria" w:hAnsi="Cambria"/>
                <w:b/>
                <w:noProof/>
                <w:lang w:val="sr-Latn-ME"/>
              </w:rPr>
            </w:pPr>
            <w:r w:rsidRPr="00AB15C7">
              <w:rPr>
                <w:rFonts w:ascii="Cambria" w:hAnsi="Cambria"/>
                <w:b/>
                <w:noProof/>
                <w:lang w:val="sr-Latn-ME"/>
              </w:rPr>
              <w:t xml:space="preserve">Nadležni organ </w:t>
            </w:r>
          </w:p>
        </w:tc>
        <w:tc>
          <w:tcPr>
            <w:tcW w:w="852" w:type="pct"/>
            <w:shd w:val="clear" w:color="auto" w:fill="D9D9D9"/>
            <w:hideMark/>
          </w:tcPr>
          <w:p w14:paraId="42748326" w14:textId="77777777" w:rsidR="00C728FD" w:rsidRPr="00AB15C7" w:rsidRDefault="00C728FD" w:rsidP="005921EF">
            <w:pPr>
              <w:jc w:val="both"/>
              <w:rPr>
                <w:rFonts w:ascii="Cambria" w:hAnsi="Cambria"/>
                <w:b/>
                <w:noProof/>
                <w:lang w:val="sr-Latn-ME"/>
              </w:rPr>
            </w:pPr>
            <w:r w:rsidRPr="00AB15C7">
              <w:rPr>
                <w:rFonts w:ascii="Cambria" w:hAnsi="Cambria"/>
                <w:b/>
                <w:noProof/>
                <w:lang w:val="sr-Latn-ME"/>
              </w:rPr>
              <w:t>Regulisana hemikalija</w:t>
            </w:r>
          </w:p>
        </w:tc>
        <w:tc>
          <w:tcPr>
            <w:tcW w:w="2207" w:type="pct"/>
            <w:shd w:val="clear" w:color="auto" w:fill="D9D9D9"/>
            <w:hideMark/>
          </w:tcPr>
          <w:p w14:paraId="0AD813E3" w14:textId="77777777" w:rsidR="00C728FD" w:rsidRPr="00AB15C7" w:rsidRDefault="00C728FD" w:rsidP="005921EF">
            <w:pPr>
              <w:jc w:val="both"/>
              <w:rPr>
                <w:rFonts w:ascii="Cambria" w:hAnsi="Cambria"/>
                <w:b/>
                <w:noProof/>
                <w:lang w:val="sr-Latn-ME"/>
              </w:rPr>
            </w:pPr>
            <w:r w:rsidRPr="00AB15C7">
              <w:rPr>
                <w:rFonts w:ascii="Cambria" w:hAnsi="Cambria"/>
                <w:b/>
                <w:noProof/>
                <w:lang w:val="sr-Latn-ME"/>
              </w:rPr>
              <w:t>Cilj propisa</w:t>
            </w:r>
          </w:p>
        </w:tc>
      </w:tr>
      <w:tr w:rsidR="00C728FD" w:rsidRPr="00AB15C7" w14:paraId="6CCEBDF5" w14:textId="77777777" w:rsidTr="00165701">
        <w:trPr>
          <w:trHeight w:val="480"/>
        </w:trPr>
        <w:tc>
          <w:tcPr>
            <w:tcW w:w="1518" w:type="pct"/>
          </w:tcPr>
          <w:p w14:paraId="210714F7" w14:textId="77777777" w:rsidR="00C728FD" w:rsidRPr="00AB15C7" w:rsidRDefault="00C728FD" w:rsidP="005921EF">
            <w:pPr>
              <w:jc w:val="both"/>
              <w:rPr>
                <w:rFonts w:ascii="Cambria" w:hAnsi="Cambria"/>
                <w:bCs/>
                <w:noProof/>
                <w:lang w:val="sr-Latn-ME"/>
              </w:rPr>
            </w:pPr>
            <w:r w:rsidRPr="00AB15C7">
              <w:rPr>
                <w:rFonts w:ascii="Cambria" w:hAnsi="Cambria"/>
                <w:b/>
                <w:bCs/>
                <w:noProof/>
                <w:lang w:val="sr-Latn-ME"/>
              </w:rPr>
              <w:t xml:space="preserve">Zakon o sredstvima za zaštitu bilja </w:t>
            </w:r>
            <w:r w:rsidRPr="00AB15C7">
              <w:rPr>
                <w:rFonts w:ascii="Cambria" w:hAnsi="Cambria"/>
                <w:bCs/>
                <w:noProof/>
                <w:lang w:val="sr-Latn-ME"/>
              </w:rPr>
              <w:t>("Sl. list CG", br. 51/08, 40/11, 18/14 i 30/17)</w:t>
            </w:r>
          </w:p>
          <w:p w14:paraId="27BC18E1" w14:textId="77777777" w:rsidR="00C728FD" w:rsidRPr="00AB15C7" w:rsidRDefault="00C728FD" w:rsidP="005921EF">
            <w:pPr>
              <w:jc w:val="both"/>
              <w:rPr>
                <w:rFonts w:ascii="Cambria" w:hAnsi="Cambria"/>
                <w:noProof/>
                <w:lang w:val="sr-Latn-ME"/>
              </w:rPr>
            </w:pPr>
          </w:p>
        </w:tc>
        <w:tc>
          <w:tcPr>
            <w:tcW w:w="423" w:type="pct"/>
            <w:hideMark/>
          </w:tcPr>
          <w:p w14:paraId="76133EB6" w14:textId="77777777" w:rsidR="00C728FD" w:rsidRPr="00AB15C7" w:rsidRDefault="00C728FD" w:rsidP="005921EF">
            <w:pPr>
              <w:jc w:val="both"/>
              <w:rPr>
                <w:rFonts w:ascii="Cambria" w:hAnsi="Cambria"/>
                <w:noProof/>
                <w:lang w:val="sr-Latn-ME"/>
              </w:rPr>
            </w:pPr>
            <w:r w:rsidRPr="00AB15C7">
              <w:rPr>
                <w:rFonts w:ascii="Cambria" w:hAnsi="Cambria"/>
                <w:noProof/>
              </w:rPr>
              <w:t>MPRR/</w:t>
            </w:r>
            <w:r w:rsidR="003D5C5B" w:rsidRPr="00AB15C7">
              <w:rPr>
                <w:rFonts w:ascii="Cambria" w:hAnsi="Cambria"/>
                <w:noProof/>
              </w:rPr>
              <w:t xml:space="preserve"> UBHVFP</w:t>
            </w:r>
          </w:p>
        </w:tc>
        <w:tc>
          <w:tcPr>
            <w:tcW w:w="852" w:type="pct"/>
            <w:hideMark/>
          </w:tcPr>
          <w:p w14:paraId="5B59B730"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sredstva za zaštitu bilja</w:t>
            </w:r>
          </w:p>
        </w:tc>
        <w:tc>
          <w:tcPr>
            <w:tcW w:w="2207" w:type="pct"/>
            <w:hideMark/>
          </w:tcPr>
          <w:p w14:paraId="1BD59C02"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uslovi za registraciju radi stavljanja u promet, proizvodnju i uvoz i promet na veliko i malo sredstava za zaštitu bilja</w:t>
            </w:r>
          </w:p>
        </w:tc>
      </w:tr>
      <w:tr w:rsidR="00C728FD" w:rsidRPr="00AB15C7" w14:paraId="287D91EB" w14:textId="77777777" w:rsidTr="00165701">
        <w:trPr>
          <w:trHeight w:val="480"/>
        </w:trPr>
        <w:tc>
          <w:tcPr>
            <w:tcW w:w="1518" w:type="pct"/>
            <w:shd w:val="clear" w:color="auto" w:fill="F2F2F2"/>
            <w:hideMark/>
          </w:tcPr>
          <w:p w14:paraId="525A59E9" w14:textId="77777777" w:rsidR="00C728FD" w:rsidRPr="00AB15C7" w:rsidRDefault="00C728FD" w:rsidP="005921EF">
            <w:pPr>
              <w:jc w:val="both"/>
              <w:rPr>
                <w:rFonts w:ascii="Cambria" w:hAnsi="Cambria"/>
                <w:i/>
                <w:noProof/>
                <w:lang w:val="sr-Latn-ME"/>
              </w:rPr>
            </w:pPr>
            <w:r w:rsidRPr="00AB15C7">
              <w:rPr>
                <w:rFonts w:ascii="Cambria" w:hAnsi="Cambria"/>
                <w:i/>
                <w:noProof/>
                <w:lang w:val="sr-Latn-ME"/>
              </w:rPr>
              <w:lastRenderedPageBreak/>
              <w:t>Podzakonski propisi za sprovođenje ovog zakona</w:t>
            </w:r>
          </w:p>
        </w:tc>
        <w:tc>
          <w:tcPr>
            <w:tcW w:w="423" w:type="pct"/>
            <w:shd w:val="clear" w:color="auto" w:fill="F2F2F2"/>
            <w:hideMark/>
          </w:tcPr>
          <w:p w14:paraId="6F382DDD" w14:textId="77777777" w:rsidR="00C728FD" w:rsidRPr="00AB15C7" w:rsidRDefault="00C728FD" w:rsidP="005921EF">
            <w:pPr>
              <w:jc w:val="both"/>
              <w:rPr>
                <w:rFonts w:ascii="Cambria" w:hAnsi="Cambria"/>
                <w:i/>
                <w:noProof/>
                <w:lang w:val="sr-Latn-ME"/>
              </w:rPr>
            </w:pPr>
            <w:r w:rsidRPr="00AB15C7">
              <w:rPr>
                <w:rFonts w:ascii="Cambria" w:hAnsi="Cambria"/>
                <w:i/>
                <w:noProof/>
                <w:lang w:val="sr-Latn-ME"/>
              </w:rPr>
              <w:t xml:space="preserve">Nadležni organ </w:t>
            </w:r>
          </w:p>
        </w:tc>
        <w:tc>
          <w:tcPr>
            <w:tcW w:w="852" w:type="pct"/>
            <w:shd w:val="clear" w:color="auto" w:fill="F2F2F2"/>
            <w:hideMark/>
          </w:tcPr>
          <w:p w14:paraId="5944588A" w14:textId="77777777" w:rsidR="00C728FD" w:rsidRPr="00AB15C7" w:rsidRDefault="00C728FD" w:rsidP="005921EF">
            <w:pPr>
              <w:jc w:val="both"/>
              <w:rPr>
                <w:rFonts w:ascii="Cambria" w:hAnsi="Cambria"/>
                <w:i/>
                <w:noProof/>
                <w:lang w:val="sr-Latn-ME"/>
              </w:rPr>
            </w:pPr>
            <w:r w:rsidRPr="00AB15C7">
              <w:rPr>
                <w:rFonts w:ascii="Cambria" w:hAnsi="Cambria"/>
                <w:i/>
                <w:noProof/>
                <w:lang w:val="sr-Latn-ME"/>
              </w:rPr>
              <w:t>Regulisana hemikalija</w:t>
            </w:r>
          </w:p>
        </w:tc>
        <w:tc>
          <w:tcPr>
            <w:tcW w:w="2207" w:type="pct"/>
            <w:shd w:val="clear" w:color="auto" w:fill="F2F2F2"/>
            <w:hideMark/>
          </w:tcPr>
          <w:p w14:paraId="2E059DA5" w14:textId="77777777" w:rsidR="00C728FD" w:rsidRPr="00AB15C7" w:rsidRDefault="00C728FD" w:rsidP="005921EF">
            <w:pPr>
              <w:jc w:val="both"/>
              <w:rPr>
                <w:rFonts w:ascii="Cambria" w:hAnsi="Cambria"/>
                <w:i/>
                <w:noProof/>
                <w:lang w:val="sr-Latn-ME"/>
              </w:rPr>
            </w:pPr>
            <w:r w:rsidRPr="00AB15C7">
              <w:rPr>
                <w:rFonts w:ascii="Cambria" w:hAnsi="Cambria"/>
                <w:i/>
                <w:noProof/>
                <w:lang w:val="sr-Latn-ME"/>
              </w:rPr>
              <w:t>Cilj propisa</w:t>
            </w:r>
          </w:p>
        </w:tc>
      </w:tr>
      <w:tr w:rsidR="00C728FD" w:rsidRPr="00AB15C7" w14:paraId="4CA6C11F" w14:textId="77777777" w:rsidTr="00165701">
        <w:trPr>
          <w:trHeight w:val="480"/>
        </w:trPr>
        <w:tc>
          <w:tcPr>
            <w:tcW w:w="1518" w:type="pct"/>
          </w:tcPr>
          <w:p w14:paraId="7453A914" w14:textId="77777777" w:rsidR="00C728FD" w:rsidRPr="00AB15C7" w:rsidRDefault="00C728FD" w:rsidP="005921EF">
            <w:pPr>
              <w:jc w:val="both"/>
              <w:rPr>
                <w:rFonts w:ascii="Cambria" w:hAnsi="Cambria"/>
                <w:noProof/>
                <w:lang w:val="sr-Latn-ME"/>
              </w:rPr>
            </w:pPr>
            <w:r w:rsidRPr="00AB15C7">
              <w:rPr>
                <w:rFonts w:ascii="Cambria" w:hAnsi="Cambria"/>
                <w:noProof/>
              </w:rPr>
              <w:t>Pravilnik o sadržaju liste aktivnih materija dozvoljenih za upotrebu u sredstvima za zaštitu bilja (“Sl. list CG”, br. 67/2009)</w:t>
            </w:r>
          </w:p>
        </w:tc>
        <w:tc>
          <w:tcPr>
            <w:tcW w:w="423" w:type="pct"/>
          </w:tcPr>
          <w:p w14:paraId="488A53C2"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7DBC1E1A"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Aktivne materije u sredstvima za zaštitu bilja</w:t>
            </w:r>
          </w:p>
        </w:tc>
        <w:tc>
          <w:tcPr>
            <w:tcW w:w="2207" w:type="pct"/>
          </w:tcPr>
          <w:p w14:paraId="34DBC97A"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propisuje se sadržaj liste aktivnih materija dozvoljenih za upotrebu u sredstvima za zaštitu</w:t>
            </w:r>
          </w:p>
          <w:p w14:paraId="6ECD14E0"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bilja</w:t>
            </w:r>
          </w:p>
        </w:tc>
      </w:tr>
      <w:tr w:rsidR="00C728FD" w:rsidRPr="00AB15C7" w14:paraId="6F74B44C" w14:textId="77777777" w:rsidTr="00165701">
        <w:trPr>
          <w:trHeight w:val="480"/>
        </w:trPr>
        <w:tc>
          <w:tcPr>
            <w:tcW w:w="1518" w:type="pct"/>
            <w:hideMark/>
          </w:tcPr>
          <w:p w14:paraId="344BA3E5"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Lista aktivnih materija dozvoljenih za upotrebu u sredstvima za zaštitu bilja (“Sl. list CG”, br. 12/18)</w:t>
            </w:r>
          </w:p>
        </w:tc>
        <w:tc>
          <w:tcPr>
            <w:tcW w:w="423" w:type="pct"/>
            <w:hideMark/>
          </w:tcPr>
          <w:p w14:paraId="54DB55AB"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hideMark/>
          </w:tcPr>
          <w:p w14:paraId="7D7253EA"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Aktivne materije u sredstvima za zaštitu bilja</w:t>
            </w:r>
          </w:p>
        </w:tc>
        <w:tc>
          <w:tcPr>
            <w:tcW w:w="2207" w:type="pct"/>
            <w:hideMark/>
          </w:tcPr>
          <w:p w14:paraId="260A2D33"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Utvrđuje listu aktivnih materija dozvoljenih za upotrebu u sredstvima za zaštitu bilja koja se preuzima iz EU</w:t>
            </w:r>
          </w:p>
        </w:tc>
      </w:tr>
      <w:tr w:rsidR="00C728FD" w:rsidRPr="00AB15C7" w14:paraId="3481191C" w14:textId="77777777" w:rsidTr="00165701">
        <w:trPr>
          <w:trHeight w:val="480"/>
        </w:trPr>
        <w:tc>
          <w:tcPr>
            <w:tcW w:w="1518" w:type="pct"/>
            <w:hideMark/>
          </w:tcPr>
          <w:p w14:paraId="6B35BF58"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Pravilnik o sadržaju i načinu vođenja evidencije o upotrebi sredstava za zaštitu bilja ("Sl. list CG", br. 24/13)</w:t>
            </w:r>
          </w:p>
        </w:tc>
        <w:tc>
          <w:tcPr>
            <w:tcW w:w="423" w:type="pct"/>
            <w:hideMark/>
          </w:tcPr>
          <w:p w14:paraId="07FA7700"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hideMark/>
          </w:tcPr>
          <w:p w14:paraId="2EB4015C"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sredstva za zaštitu bilja</w:t>
            </w:r>
          </w:p>
        </w:tc>
        <w:tc>
          <w:tcPr>
            <w:tcW w:w="2207" w:type="pct"/>
            <w:hideMark/>
          </w:tcPr>
          <w:p w14:paraId="4AA4EF67"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Evidencija o upotrebi sredstava za zaštitu bilja sadrži podatke i vodi se na način utvrđen ovim pravilnikom.</w:t>
            </w:r>
          </w:p>
        </w:tc>
      </w:tr>
      <w:tr w:rsidR="00C728FD" w:rsidRPr="00AB15C7" w14:paraId="5FB89C09" w14:textId="77777777" w:rsidTr="00165701">
        <w:trPr>
          <w:trHeight w:val="1317"/>
        </w:trPr>
        <w:tc>
          <w:tcPr>
            <w:tcW w:w="1518" w:type="pct"/>
            <w:hideMark/>
          </w:tcPr>
          <w:p w14:paraId="57AD2714" w14:textId="77777777" w:rsidR="00C728FD" w:rsidRPr="00AB15C7" w:rsidRDefault="00C728FD" w:rsidP="005921EF">
            <w:pPr>
              <w:jc w:val="both"/>
              <w:rPr>
                <w:rFonts w:ascii="Cambria" w:hAnsi="Cambria"/>
                <w:noProof/>
              </w:rPr>
            </w:pPr>
            <w:r w:rsidRPr="00AB15C7">
              <w:rPr>
                <w:rFonts w:ascii="Cambria" w:hAnsi="Cambria"/>
                <w:noProof/>
              </w:rPr>
              <w:t>Pravilnik o načinu vođenja i sadržaju registra sredstava za zaštitu bilja (“Sl. list CG”, br. 17/14)</w:t>
            </w:r>
          </w:p>
        </w:tc>
        <w:tc>
          <w:tcPr>
            <w:tcW w:w="423" w:type="pct"/>
            <w:hideMark/>
          </w:tcPr>
          <w:p w14:paraId="28C1174A"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hideMark/>
          </w:tcPr>
          <w:p w14:paraId="12A73060"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sredstva za zaštitu bilja</w:t>
            </w:r>
          </w:p>
        </w:tc>
        <w:tc>
          <w:tcPr>
            <w:tcW w:w="2207" w:type="pct"/>
            <w:hideMark/>
          </w:tcPr>
          <w:p w14:paraId="32F79915"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Ovim pravilnikom propisuje se način vođenja i sadržaj registra sredstava za zaštitu bilja i sadržaj liste registrovanih sredstava za zaštitu bilja.</w:t>
            </w:r>
          </w:p>
        </w:tc>
      </w:tr>
      <w:tr w:rsidR="00C728FD" w:rsidRPr="00AB15C7" w14:paraId="7A2DEDA5" w14:textId="77777777" w:rsidTr="00165701">
        <w:trPr>
          <w:trHeight w:val="1317"/>
        </w:trPr>
        <w:tc>
          <w:tcPr>
            <w:tcW w:w="1518" w:type="pct"/>
          </w:tcPr>
          <w:p w14:paraId="4846E434" w14:textId="77777777" w:rsidR="00C728FD" w:rsidRPr="00AB15C7" w:rsidRDefault="00C728FD" w:rsidP="00165701">
            <w:pPr>
              <w:jc w:val="both"/>
              <w:rPr>
                <w:rFonts w:ascii="Cambria" w:hAnsi="Cambria"/>
                <w:noProof/>
              </w:rPr>
            </w:pPr>
            <w:r w:rsidRPr="00AB15C7">
              <w:rPr>
                <w:rFonts w:ascii="Cambria" w:hAnsi="Cambria"/>
                <w:noProof/>
              </w:rPr>
              <w:t>Lista registrovanih sredstava za zaštitu bilja</w:t>
            </w:r>
            <w:r w:rsidR="00165701">
              <w:rPr>
                <w:rFonts w:ascii="Cambria" w:hAnsi="Cambria"/>
                <w:noProof/>
              </w:rPr>
              <w:t xml:space="preserve"> </w:t>
            </w:r>
            <w:r w:rsidRPr="00AB15C7">
              <w:rPr>
                <w:rFonts w:ascii="Cambria" w:hAnsi="Cambria"/>
                <w:noProof/>
              </w:rPr>
              <w:t>(“Sl. list CG”, br. 43/17)</w:t>
            </w:r>
          </w:p>
        </w:tc>
        <w:tc>
          <w:tcPr>
            <w:tcW w:w="423" w:type="pct"/>
          </w:tcPr>
          <w:p w14:paraId="62AD7E0C"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r w:rsidRPr="00AB15C7">
              <w:rPr>
                <w:rFonts w:ascii="Cambria" w:hAnsi="Cambria"/>
                <w:noProof/>
              </w:rPr>
              <w:tab/>
            </w:r>
          </w:p>
        </w:tc>
        <w:tc>
          <w:tcPr>
            <w:tcW w:w="852" w:type="pct"/>
          </w:tcPr>
          <w:p w14:paraId="34C9866D" w14:textId="77777777" w:rsidR="00C728FD" w:rsidRPr="00AB15C7" w:rsidRDefault="00C728FD" w:rsidP="005921EF">
            <w:pPr>
              <w:jc w:val="both"/>
              <w:rPr>
                <w:rFonts w:ascii="Cambria" w:hAnsi="Cambria"/>
                <w:noProof/>
                <w:lang w:val="sr-Latn-ME"/>
              </w:rPr>
            </w:pPr>
            <w:r w:rsidRPr="00AB15C7">
              <w:rPr>
                <w:rFonts w:ascii="Cambria" w:hAnsi="Cambria"/>
                <w:noProof/>
              </w:rPr>
              <w:t>sredstva za zaštitu bilja</w:t>
            </w:r>
          </w:p>
        </w:tc>
        <w:tc>
          <w:tcPr>
            <w:tcW w:w="2207" w:type="pct"/>
          </w:tcPr>
          <w:p w14:paraId="3236C4F0"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Organ uprave utvrđuje Listu registrovanih sredstava za zaštitu bilja koja se objavljuje u "Službenom listu Crne Gore", jednom godišnje.</w:t>
            </w:r>
          </w:p>
        </w:tc>
      </w:tr>
      <w:tr w:rsidR="00C728FD" w:rsidRPr="00AB15C7" w14:paraId="4160D615" w14:textId="77777777" w:rsidTr="00165701">
        <w:trPr>
          <w:trHeight w:val="172"/>
        </w:trPr>
        <w:tc>
          <w:tcPr>
            <w:tcW w:w="1518" w:type="pct"/>
          </w:tcPr>
          <w:p w14:paraId="4F02D790" w14:textId="77777777" w:rsidR="00C728FD" w:rsidRPr="00AB15C7" w:rsidRDefault="00C728FD" w:rsidP="005921EF">
            <w:pPr>
              <w:jc w:val="both"/>
              <w:rPr>
                <w:rFonts w:ascii="Cambria" w:hAnsi="Cambria"/>
                <w:noProof/>
              </w:rPr>
            </w:pPr>
            <w:r w:rsidRPr="00AB15C7">
              <w:rPr>
                <w:rFonts w:ascii="Cambria" w:hAnsi="Cambria"/>
                <w:noProof/>
              </w:rPr>
              <w:t>Pravilnik o označavanju sredstava za zaštitu bilja ("Službeni list CG" br. 46/14)</w:t>
            </w:r>
          </w:p>
        </w:tc>
        <w:tc>
          <w:tcPr>
            <w:tcW w:w="423" w:type="pct"/>
          </w:tcPr>
          <w:p w14:paraId="3B149CA2"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20C9CD38" w14:textId="77777777" w:rsidR="00C728FD" w:rsidRPr="00AB15C7" w:rsidRDefault="00C728FD" w:rsidP="005921EF">
            <w:pPr>
              <w:jc w:val="both"/>
              <w:rPr>
                <w:rFonts w:ascii="Cambria" w:hAnsi="Cambria"/>
                <w:noProof/>
              </w:rPr>
            </w:pPr>
            <w:r w:rsidRPr="00AB15C7">
              <w:rPr>
                <w:rFonts w:ascii="Cambria" w:hAnsi="Cambria"/>
                <w:noProof/>
              </w:rPr>
              <w:t>sredstva za zaštitu bilja</w:t>
            </w:r>
          </w:p>
        </w:tc>
        <w:tc>
          <w:tcPr>
            <w:tcW w:w="2207" w:type="pct"/>
          </w:tcPr>
          <w:p w14:paraId="78D29310" w14:textId="77777777" w:rsidR="00C728FD" w:rsidRPr="00AB15C7" w:rsidRDefault="00C728FD" w:rsidP="005921EF">
            <w:pPr>
              <w:jc w:val="both"/>
              <w:rPr>
                <w:rFonts w:ascii="Cambria" w:hAnsi="Cambria"/>
                <w:noProof/>
              </w:rPr>
            </w:pPr>
            <w:r w:rsidRPr="00AB15C7">
              <w:rPr>
                <w:rFonts w:ascii="Cambria" w:hAnsi="Cambria"/>
                <w:noProof/>
              </w:rPr>
              <w:t>propisuje se bliži sadržaj podataka i oznaka na pakovanju, uputstva za upotrebu, sadržaj etikete, standardni i dodatni izrazi kojima se upozorava na posebne opasnosti i mjere bezbjednosti za sredstva za zaštitu bilja.</w:t>
            </w:r>
          </w:p>
        </w:tc>
      </w:tr>
      <w:tr w:rsidR="00C728FD" w:rsidRPr="00AB15C7" w14:paraId="0F965164" w14:textId="77777777" w:rsidTr="00165701">
        <w:trPr>
          <w:trHeight w:val="480"/>
        </w:trPr>
        <w:tc>
          <w:tcPr>
            <w:tcW w:w="1518" w:type="pct"/>
            <w:hideMark/>
          </w:tcPr>
          <w:p w14:paraId="3B01B47A"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Pravilnik o bližim uslovima u pogledu prostora za skladištenje i promet sredstava za zaštitu bilja ("Sl. list CG", br. 15/13)</w:t>
            </w:r>
          </w:p>
        </w:tc>
        <w:tc>
          <w:tcPr>
            <w:tcW w:w="423" w:type="pct"/>
            <w:hideMark/>
          </w:tcPr>
          <w:p w14:paraId="4B7585C9"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hideMark/>
          </w:tcPr>
          <w:p w14:paraId="769A4536"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sredstva za zaštitu bilja</w:t>
            </w:r>
          </w:p>
        </w:tc>
        <w:tc>
          <w:tcPr>
            <w:tcW w:w="2207" w:type="pct"/>
            <w:hideMark/>
          </w:tcPr>
          <w:p w14:paraId="175E169D" w14:textId="77777777" w:rsidR="00C728FD" w:rsidRPr="00AB15C7" w:rsidRDefault="00C728FD" w:rsidP="005921EF">
            <w:pPr>
              <w:jc w:val="both"/>
              <w:rPr>
                <w:rFonts w:ascii="Cambria" w:hAnsi="Cambria"/>
                <w:noProof/>
                <w:lang w:val="sr-Latn-ME"/>
              </w:rPr>
            </w:pPr>
            <w:r w:rsidRPr="00AB15C7">
              <w:rPr>
                <w:rFonts w:ascii="Cambria" w:hAnsi="Cambria"/>
                <w:noProof/>
                <w:lang w:val="sr-Latn-ME"/>
              </w:rPr>
              <w:t xml:space="preserve">Ovim pravilnikom propisuju se bliži uslovi u pogledu prostora za skladištenje, odnosno prodaju sredstava za zaštitu bilja, koje treba da ispunjavaju privredna društva, druga pravna lica i preduzetnici, obrazac, sadržaj i način vođenja registra za promet sredstava za </w:t>
            </w:r>
            <w:r w:rsidRPr="00AB15C7">
              <w:rPr>
                <w:rFonts w:ascii="Cambria" w:hAnsi="Cambria"/>
                <w:noProof/>
                <w:lang w:val="sr-Latn-ME"/>
              </w:rPr>
              <w:lastRenderedPageBreak/>
              <w:t>zaštitu bilja na veliko i malo, dokumentaciju koja se prilaže uz zahtjev za upis, bliži sadržaj evidencije i način vođenja evidencije i dostavljanja podataka.</w:t>
            </w:r>
          </w:p>
        </w:tc>
      </w:tr>
      <w:tr w:rsidR="00C728FD" w:rsidRPr="00AB15C7" w14:paraId="2D973F4C" w14:textId="77777777" w:rsidTr="00165701">
        <w:trPr>
          <w:trHeight w:val="272"/>
        </w:trPr>
        <w:tc>
          <w:tcPr>
            <w:tcW w:w="1518" w:type="pct"/>
          </w:tcPr>
          <w:p w14:paraId="14BD2054" w14:textId="77777777" w:rsidR="00C728FD" w:rsidRPr="00AB15C7" w:rsidRDefault="00C728FD" w:rsidP="005921EF">
            <w:pPr>
              <w:jc w:val="both"/>
              <w:rPr>
                <w:rFonts w:ascii="Cambria" w:hAnsi="Cambria"/>
                <w:noProof/>
              </w:rPr>
            </w:pPr>
            <w:r w:rsidRPr="00AB15C7">
              <w:rPr>
                <w:rFonts w:ascii="Cambria" w:hAnsi="Cambria"/>
                <w:noProof/>
              </w:rPr>
              <w:t>Pravilnik o pravilima dobre poljoprivredne prakse za zaštitu bilja ("Službeni list CG" br. 45/14)</w:t>
            </w:r>
          </w:p>
        </w:tc>
        <w:tc>
          <w:tcPr>
            <w:tcW w:w="423" w:type="pct"/>
          </w:tcPr>
          <w:p w14:paraId="368DF66E"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7F33B179" w14:textId="77777777" w:rsidR="00C728FD" w:rsidRPr="00AB15C7" w:rsidRDefault="00C728FD" w:rsidP="005921EF">
            <w:pPr>
              <w:jc w:val="both"/>
              <w:rPr>
                <w:rFonts w:ascii="Cambria" w:hAnsi="Cambria"/>
                <w:noProof/>
              </w:rPr>
            </w:pPr>
            <w:r w:rsidRPr="00AB15C7">
              <w:rPr>
                <w:rFonts w:ascii="Cambria" w:hAnsi="Cambria"/>
                <w:noProof/>
              </w:rPr>
              <w:t>sredstva za zaštitu bilja</w:t>
            </w:r>
          </w:p>
        </w:tc>
        <w:tc>
          <w:tcPr>
            <w:tcW w:w="2207" w:type="pct"/>
          </w:tcPr>
          <w:p w14:paraId="7D2C7526" w14:textId="77777777" w:rsidR="00C728FD" w:rsidRPr="00AB15C7" w:rsidRDefault="00C728FD" w:rsidP="005921EF">
            <w:pPr>
              <w:jc w:val="both"/>
              <w:rPr>
                <w:rFonts w:ascii="Cambria" w:hAnsi="Cambria"/>
                <w:noProof/>
              </w:rPr>
            </w:pPr>
            <w:r w:rsidRPr="00AB15C7">
              <w:rPr>
                <w:rFonts w:ascii="Cambria" w:hAnsi="Cambria"/>
                <w:noProof/>
              </w:rPr>
              <w:t>propisuju se pravila dobre poljoprivredne prakse za primjenu sredstava za zaštitu bilja</w:t>
            </w:r>
          </w:p>
        </w:tc>
      </w:tr>
      <w:tr w:rsidR="005107D9" w:rsidRPr="00AB15C7" w14:paraId="210A6993" w14:textId="77777777" w:rsidTr="00165701">
        <w:trPr>
          <w:trHeight w:val="272"/>
        </w:trPr>
        <w:tc>
          <w:tcPr>
            <w:tcW w:w="1518" w:type="pct"/>
          </w:tcPr>
          <w:p w14:paraId="1E641044" w14:textId="77777777" w:rsidR="005107D9" w:rsidRPr="00AB15C7" w:rsidRDefault="005107D9" w:rsidP="005921EF">
            <w:pPr>
              <w:rPr>
                <w:rFonts w:ascii="Cambria" w:hAnsi="Cambria"/>
                <w:noProof/>
              </w:rPr>
            </w:pPr>
            <w:r w:rsidRPr="00AB15C7">
              <w:rPr>
                <w:rFonts w:ascii="Cambria" w:hAnsi="Cambria"/>
                <w:noProof/>
              </w:rPr>
              <w:t>Pravilnik o integralnoj zaštiti bilja</w:t>
            </w:r>
          </w:p>
          <w:p w14:paraId="7FD0C961" w14:textId="77777777" w:rsidR="005107D9" w:rsidRPr="00AB15C7" w:rsidRDefault="005107D9" w:rsidP="005921EF">
            <w:pPr>
              <w:rPr>
                <w:rFonts w:ascii="Cambria" w:hAnsi="Cambria"/>
                <w:noProof/>
              </w:rPr>
            </w:pPr>
            <w:r w:rsidRPr="00AB15C7">
              <w:rPr>
                <w:rFonts w:ascii="Cambria" w:hAnsi="Cambria"/>
                <w:noProof/>
              </w:rPr>
              <w:t>("Službeni list CG", br. 68/15)</w:t>
            </w:r>
          </w:p>
        </w:tc>
        <w:tc>
          <w:tcPr>
            <w:tcW w:w="423" w:type="pct"/>
          </w:tcPr>
          <w:p w14:paraId="07CA95CA" w14:textId="77777777" w:rsidR="005107D9" w:rsidRPr="00AB15C7" w:rsidRDefault="005107D9" w:rsidP="005921EF">
            <w:pPr>
              <w:rPr>
                <w:rFonts w:ascii="Cambria" w:hAnsi="Cambria" w:cs="Arial"/>
                <w:noProof/>
              </w:rPr>
            </w:pPr>
            <w:r w:rsidRPr="00AB15C7">
              <w:rPr>
                <w:rFonts w:ascii="Cambria" w:hAnsi="Cambria" w:cs="Arial"/>
                <w:noProof/>
              </w:rPr>
              <w:t>MPRR/</w:t>
            </w:r>
            <w:r w:rsidRPr="00AB15C7">
              <w:rPr>
                <w:rFonts w:ascii="Cambria" w:hAnsi="Cambria"/>
                <w:noProof/>
              </w:rPr>
              <w:t xml:space="preserve"> </w:t>
            </w:r>
            <w:r w:rsidRPr="00AB15C7">
              <w:rPr>
                <w:rFonts w:ascii="Cambria" w:hAnsi="Cambria" w:cs="Arial"/>
                <w:noProof/>
              </w:rPr>
              <w:t>UBHVFP</w:t>
            </w:r>
          </w:p>
        </w:tc>
        <w:tc>
          <w:tcPr>
            <w:tcW w:w="852" w:type="pct"/>
          </w:tcPr>
          <w:p w14:paraId="01E10A21" w14:textId="77777777" w:rsidR="005107D9" w:rsidRPr="00AB15C7" w:rsidRDefault="005107D9" w:rsidP="0060591B">
            <w:pPr>
              <w:rPr>
                <w:rFonts w:ascii="Cambria" w:hAnsi="Cambria"/>
                <w:noProof/>
              </w:rPr>
            </w:pPr>
            <w:r w:rsidRPr="00AB15C7">
              <w:rPr>
                <w:rFonts w:ascii="Cambria" w:hAnsi="Cambria"/>
                <w:noProof/>
              </w:rPr>
              <w:t>sredstva za zaštitu bilja</w:t>
            </w:r>
          </w:p>
        </w:tc>
        <w:tc>
          <w:tcPr>
            <w:tcW w:w="2207" w:type="pct"/>
          </w:tcPr>
          <w:p w14:paraId="314E39C1" w14:textId="77777777" w:rsidR="005107D9" w:rsidRPr="00AB15C7" w:rsidRDefault="005107D9" w:rsidP="005921EF">
            <w:pPr>
              <w:rPr>
                <w:rFonts w:ascii="Cambria" w:hAnsi="Cambria"/>
                <w:noProof/>
              </w:rPr>
            </w:pPr>
            <w:r w:rsidRPr="00AB15C7">
              <w:rPr>
                <w:rFonts w:ascii="Cambria" w:hAnsi="Cambria"/>
                <w:noProof/>
              </w:rPr>
              <w:t>propisuju se pravila za integralnu zaštitu bilja kroz  racionalnu upotrebu kombinacije bioloških, biotehnoloških, hemijskih i drugih mjera za uzgoj bilja, uz ograničenu upotrebu sredstava za zaštitu bilja, neophodnih za održavanje populacije štetnih organizama na nivou koji ne izaziva ekonomski neprihvatljivu štetu ili gubitak uz upotrebu onih sredstava za zaštitu bilja koriste se ona sredstva za zaštitu bilja, koja imaju najmanji rizik za zdravlje ljudi i životnu sredinu</w:t>
            </w:r>
          </w:p>
        </w:tc>
      </w:tr>
      <w:tr w:rsidR="00C728FD" w:rsidRPr="00AB15C7" w14:paraId="02689CE3" w14:textId="77777777" w:rsidTr="00165701">
        <w:trPr>
          <w:trHeight w:val="272"/>
        </w:trPr>
        <w:tc>
          <w:tcPr>
            <w:tcW w:w="1518" w:type="pct"/>
          </w:tcPr>
          <w:p w14:paraId="2780E952" w14:textId="77777777" w:rsidR="00C728FD" w:rsidRPr="00AB15C7" w:rsidRDefault="00C728FD" w:rsidP="005921EF">
            <w:pPr>
              <w:jc w:val="both"/>
              <w:rPr>
                <w:rFonts w:ascii="Cambria" w:hAnsi="Cambria"/>
                <w:noProof/>
              </w:rPr>
            </w:pPr>
            <w:r w:rsidRPr="00AB15C7">
              <w:rPr>
                <w:rFonts w:ascii="Cambria" w:hAnsi="Cambria"/>
                <w:noProof/>
              </w:rPr>
              <w:t>Pravilnik o metodama uzorkovanja za utvrđivanje rezidua sredstava za zaštitu bilja ("Službeni list CG" br. 48/14)</w:t>
            </w:r>
          </w:p>
        </w:tc>
        <w:tc>
          <w:tcPr>
            <w:tcW w:w="423" w:type="pct"/>
          </w:tcPr>
          <w:p w14:paraId="1783BC1E"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33D48FC2" w14:textId="77777777" w:rsidR="00C728FD" w:rsidRPr="00AB15C7" w:rsidRDefault="00C728FD" w:rsidP="005921EF">
            <w:pPr>
              <w:jc w:val="both"/>
              <w:rPr>
                <w:rFonts w:ascii="Cambria" w:hAnsi="Cambria"/>
                <w:noProof/>
              </w:rPr>
            </w:pPr>
            <w:r w:rsidRPr="00AB15C7">
              <w:rPr>
                <w:rFonts w:ascii="Cambria" w:hAnsi="Cambria"/>
                <w:noProof/>
              </w:rPr>
              <w:t>sredstva za zaštitu bilja</w:t>
            </w:r>
          </w:p>
        </w:tc>
        <w:tc>
          <w:tcPr>
            <w:tcW w:w="2207" w:type="pct"/>
          </w:tcPr>
          <w:p w14:paraId="7C9BDC8A" w14:textId="77777777" w:rsidR="00C728FD" w:rsidRPr="00AB15C7" w:rsidRDefault="00C728FD" w:rsidP="005921EF">
            <w:pPr>
              <w:jc w:val="both"/>
              <w:rPr>
                <w:rFonts w:ascii="Cambria" w:hAnsi="Cambria"/>
                <w:noProof/>
              </w:rPr>
            </w:pPr>
            <w:r w:rsidRPr="00AB15C7">
              <w:rPr>
                <w:rFonts w:ascii="Cambria" w:hAnsi="Cambria"/>
                <w:noProof/>
              </w:rPr>
              <w:t>Utvrđuje metodama uzorkovanja za utvrđivanje rezidua sredstava za zaštitu bilja</w:t>
            </w:r>
          </w:p>
        </w:tc>
      </w:tr>
      <w:tr w:rsidR="00C728FD" w:rsidRPr="00AB15C7" w14:paraId="01C58465" w14:textId="77777777" w:rsidTr="00165701">
        <w:trPr>
          <w:trHeight w:val="272"/>
        </w:trPr>
        <w:tc>
          <w:tcPr>
            <w:tcW w:w="1518" w:type="pct"/>
          </w:tcPr>
          <w:p w14:paraId="02576299" w14:textId="77777777" w:rsidR="00C728FD" w:rsidRPr="00AB15C7" w:rsidRDefault="00C728FD" w:rsidP="005921EF">
            <w:pPr>
              <w:jc w:val="both"/>
              <w:rPr>
                <w:rFonts w:ascii="Cambria" w:hAnsi="Cambria"/>
                <w:noProof/>
              </w:rPr>
            </w:pPr>
            <w:r w:rsidRPr="00AB15C7">
              <w:rPr>
                <w:rFonts w:ascii="Cambria" w:hAnsi="Cambria"/>
                <w:noProof/>
              </w:rPr>
              <w:t>Pravilnik o maksimalnom nivou rezidua sredstava za zaštitu bilja na ili u bilju, biljnim proizvodima, hrani ili hrani za životinje ("Službeni list CG" br. 21/15 i 44/15)</w:t>
            </w:r>
          </w:p>
        </w:tc>
        <w:tc>
          <w:tcPr>
            <w:tcW w:w="423" w:type="pct"/>
          </w:tcPr>
          <w:p w14:paraId="6D6E288D"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36169710" w14:textId="77777777" w:rsidR="00C728FD" w:rsidRPr="00AB15C7" w:rsidRDefault="00C728FD" w:rsidP="005921EF">
            <w:pPr>
              <w:jc w:val="both"/>
              <w:rPr>
                <w:rFonts w:ascii="Cambria" w:hAnsi="Cambria"/>
                <w:noProof/>
              </w:rPr>
            </w:pPr>
            <w:r w:rsidRPr="00AB15C7">
              <w:rPr>
                <w:rFonts w:ascii="Cambria" w:hAnsi="Cambria"/>
                <w:noProof/>
                <w:lang w:val="sr-Latn-ME"/>
              </w:rPr>
              <w:t>sredstva za zaštitu bilja</w:t>
            </w:r>
          </w:p>
        </w:tc>
        <w:tc>
          <w:tcPr>
            <w:tcW w:w="2207" w:type="pct"/>
          </w:tcPr>
          <w:p w14:paraId="1BAE1E1A" w14:textId="77777777" w:rsidR="00C728FD" w:rsidRPr="00AB15C7" w:rsidRDefault="00C728FD" w:rsidP="005921EF">
            <w:pPr>
              <w:jc w:val="both"/>
              <w:rPr>
                <w:rFonts w:ascii="Cambria" w:hAnsi="Cambria"/>
                <w:noProof/>
              </w:rPr>
            </w:pPr>
            <w:r w:rsidRPr="00AB15C7">
              <w:rPr>
                <w:rFonts w:ascii="Cambria" w:hAnsi="Cambria"/>
                <w:noProof/>
              </w:rPr>
              <w:t>Ovim pravilnikom propisuju se maksimalni nivoi rezidua sredstava za zaštitu bilja na/u bilju ili biljnim proizvodima, hrani ili hrani za životinje, kao i bilje i biljni proizvodi, hrana ili hrana za životinje za koju se utvrđuju maksimalni nivoi rezidua pesticida, radi zaštite potrošača i monitoring rezidua pesticida.</w:t>
            </w:r>
          </w:p>
        </w:tc>
      </w:tr>
      <w:tr w:rsidR="00C728FD" w:rsidRPr="00AB15C7" w14:paraId="1E69D618" w14:textId="77777777" w:rsidTr="00165701">
        <w:trPr>
          <w:trHeight w:val="272"/>
        </w:trPr>
        <w:tc>
          <w:tcPr>
            <w:tcW w:w="1518" w:type="pct"/>
          </w:tcPr>
          <w:p w14:paraId="1174CBF8" w14:textId="77777777" w:rsidR="00C728FD" w:rsidRPr="00AB15C7" w:rsidRDefault="00C728FD" w:rsidP="005921EF">
            <w:pPr>
              <w:jc w:val="both"/>
              <w:rPr>
                <w:rFonts w:ascii="Cambria" w:hAnsi="Cambria"/>
                <w:noProof/>
              </w:rPr>
            </w:pPr>
            <w:r w:rsidRPr="00AB15C7">
              <w:rPr>
                <w:rFonts w:ascii="Cambria" w:hAnsi="Cambria"/>
                <w:noProof/>
              </w:rPr>
              <w:t>Pravilnik o priznavanju registracije sredstava za zaštitu bilja ("Službeni list CG" br. 50/14)</w:t>
            </w:r>
          </w:p>
        </w:tc>
        <w:tc>
          <w:tcPr>
            <w:tcW w:w="423" w:type="pct"/>
          </w:tcPr>
          <w:p w14:paraId="48C1A231"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47780C04" w14:textId="77777777" w:rsidR="00C728FD" w:rsidRPr="00AB15C7" w:rsidRDefault="00C728FD" w:rsidP="005921EF">
            <w:pPr>
              <w:jc w:val="both"/>
              <w:rPr>
                <w:rFonts w:ascii="Cambria" w:hAnsi="Cambria"/>
                <w:noProof/>
              </w:rPr>
            </w:pPr>
            <w:r w:rsidRPr="00AB15C7">
              <w:rPr>
                <w:rFonts w:ascii="Cambria" w:hAnsi="Cambria"/>
                <w:noProof/>
                <w:lang w:val="sr-Latn-ME"/>
              </w:rPr>
              <w:t>sredstva za zaštitu bilja</w:t>
            </w:r>
          </w:p>
        </w:tc>
        <w:tc>
          <w:tcPr>
            <w:tcW w:w="2207" w:type="pct"/>
          </w:tcPr>
          <w:p w14:paraId="6371C39A" w14:textId="77777777" w:rsidR="00C728FD" w:rsidRPr="00AB15C7" w:rsidRDefault="00C728FD" w:rsidP="005921EF">
            <w:pPr>
              <w:jc w:val="both"/>
              <w:rPr>
                <w:rFonts w:ascii="Cambria" w:hAnsi="Cambria"/>
                <w:noProof/>
              </w:rPr>
            </w:pPr>
            <w:r w:rsidRPr="00AB15C7">
              <w:rPr>
                <w:rFonts w:ascii="Cambria" w:hAnsi="Cambria"/>
                <w:noProof/>
              </w:rPr>
              <w:t xml:space="preserve">Ovim pravilnikom propisuje se sadržaj zahtjeva za registraciju sredstava za zaštitu bilja, bliži uslovi i način za priznavanje registracije sredstava za zaštitu bilja, dodjela jedinstvenog registracionog broja i procjena uporedivosti prilika i klimatskih uslova, način dostavljanja i sadržaj dokumentacije za priznavanje registracije, bliži sadržaj rješenja o registraciji sredstava za zaštitu </w:t>
            </w:r>
            <w:r w:rsidRPr="00AB15C7">
              <w:rPr>
                <w:rFonts w:ascii="Cambria" w:hAnsi="Cambria"/>
                <w:noProof/>
              </w:rPr>
              <w:lastRenderedPageBreak/>
              <w:t>bilja i visina naknade za registraciju sredstava za zaštitu bilja i naknade za članove Komisije za sredstva za zaštitu bilja.</w:t>
            </w:r>
          </w:p>
        </w:tc>
      </w:tr>
      <w:tr w:rsidR="00C728FD" w:rsidRPr="00AB15C7" w14:paraId="4FAF1E79" w14:textId="77777777" w:rsidTr="00165701">
        <w:trPr>
          <w:trHeight w:val="272"/>
        </w:trPr>
        <w:tc>
          <w:tcPr>
            <w:tcW w:w="1518" w:type="pct"/>
          </w:tcPr>
          <w:p w14:paraId="5D4726D1" w14:textId="77777777" w:rsidR="00C728FD" w:rsidRPr="00AB15C7" w:rsidRDefault="00C728FD" w:rsidP="005921EF">
            <w:pPr>
              <w:jc w:val="both"/>
              <w:rPr>
                <w:rFonts w:ascii="Cambria" w:hAnsi="Cambria"/>
                <w:noProof/>
              </w:rPr>
            </w:pPr>
            <w:r w:rsidRPr="00AB15C7">
              <w:rPr>
                <w:rFonts w:ascii="Cambria" w:hAnsi="Cambria"/>
                <w:noProof/>
              </w:rPr>
              <w:t>Pravilnik o uslovima za izdavanje dozvole za proširenje namjene registrovanog sredstva za zaštitu bilja ("Službeni list CG" br. 48/16)</w:t>
            </w:r>
          </w:p>
        </w:tc>
        <w:tc>
          <w:tcPr>
            <w:tcW w:w="423" w:type="pct"/>
          </w:tcPr>
          <w:p w14:paraId="0DA90070"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27827A5E" w14:textId="77777777" w:rsidR="00C728FD" w:rsidRPr="00AB15C7" w:rsidRDefault="00C728FD" w:rsidP="005921EF">
            <w:pPr>
              <w:jc w:val="both"/>
              <w:rPr>
                <w:rFonts w:ascii="Cambria" w:hAnsi="Cambria"/>
                <w:noProof/>
              </w:rPr>
            </w:pPr>
            <w:r w:rsidRPr="00AB15C7">
              <w:rPr>
                <w:rFonts w:ascii="Cambria" w:hAnsi="Cambria"/>
                <w:noProof/>
                <w:lang w:val="sr-Latn-ME"/>
              </w:rPr>
              <w:t>sredstva za zaštitu bilja</w:t>
            </w:r>
          </w:p>
        </w:tc>
        <w:tc>
          <w:tcPr>
            <w:tcW w:w="2207" w:type="pct"/>
          </w:tcPr>
          <w:p w14:paraId="539D2C08" w14:textId="77777777" w:rsidR="00C728FD" w:rsidRPr="00AB15C7" w:rsidRDefault="00C728FD" w:rsidP="005921EF">
            <w:pPr>
              <w:jc w:val="both"/>
              <w:rPr>
                <w:rFonts w:ascii="Cambria" w:hAnsi="Cambria"/>
                <w:noProof/>
              </w:rPr>
            </w:pPr>
            <w:r w:rsidRPr="00AB15C7">
              <w:rPr>
                <w:rFonts w:ascii="Cambria" w:hAnsi="Cambria"/>
                <w:noProof/>
              </w:rPr>
              <w:t>propisuju se uslovi za izdavanje dozvole za proširenje namjene registrovanog sredstva za zaštitu bilja, sadržaj dozvole i uslovi za određivanje malih kultura bilja ili malih namjena.</w:t>
            </w:r>
          </w:p>
        </w:tc>
      </w:tr>
      <w:tr w:rsidR="00C728FD" w:rsidRPr="00AB15C7" w14:paraId="217D1CB3" w14:textId="77777777" w:rsidTr="00165701">
        <w:trPr>
          <w:trHeight w:val="272"/>
        </w:trPr>
        <w:tc>
          <w:tcPr>
            <w:tcW w:w="1518" w:type="pct"/>
          </w:tcPr>
          <w:p w14:paraId="0C30F38F" w14:textId="77777777" w:rsidR="00C728FD" w:rsidRPr="00AB15C7" w:rsidRDefault="00C728FD" w:rsidP="005921EF">
            <w:pPr>
              <w:jc w:val="both"/>
              <w:rPr>
                <w:rFonts w:ascii="Cambria" w:hAnsi="Cambria"/>
                <w:noProof/>
              </w:rPr>
            </w:pPr>
            <w:r w:rsidRPr="00AB15C7">
              <w:rPr>
                <w:rFonts w:ascii="Cambria" w:hAnsi="Cambria"/>
                <w:noProof/>
              </w:rPr>
              <w:t>Pravilnik o uslovima koje treba da ispunjavaju pravna lica koja vrše edukaciju lica odgovornih za promet i upotrebu sredstava za zaštitu bilja ("Službeni list CG" br. 28/16 i 66/16)</w:t>
            </w:r>
          </w:p>
        </w:tc>
        <w:tc>
          <w:tcPr>
            <w:tcW w:w="423" w:type="pct"/>
          </w:tcPr>
          <w:p w14:paraId="4CFC6221"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094D7A23" w14:textId="77777777" w:rsidR="00C728FD" w:rsidRPr="00AB15C7" w:rsidRDefault="00C728FD" w:rsidP="005921EF">
            <w:pPr>
              <w:jc w:val="both"/>
              <w:rPr>
                <w:rFonts w:ascii="Cambria" w:hAnsi="Cambria"/>
                <w:noProof/>
              </w:rPr>
            </w:pPr>
            <w:r w:rsidRPr="00AB15C7">
              <w:rPr>
                <w:rFonts w:ascii="Cambria" w:hAnsi="Cambria"/>
                <w:noProof/>
                <w:lang w:val="sr-Latn-ME"/>
              </w:rPr>
              <w:t>sredstva za zaštitu bilja</w:t>
            </w:r>
          </w:p>
        </w:tc>
        <w:tc>
          <w:tcPr>
            <w:tcW w:w="2207" w:type="pct"/>
          </w:tcPr>
          <w:p w14:paraId="7C5344A3" w14:textId="77777777" w:rsidR="00C728FD" w:rsidRPr="00AB15C7" w:rsidRDefault="00C728FD" w:rsidP="005921EF">
            <w:pPr>
              <w:jc w:val="both"/>
              <w:rPr>
                <w:rFonts w:ascii="Cambria" w:hAnsi="Cambria"/>
                <w:noProof/>
              </w:rPr>
            </w:pPr>
            <w:r w:rsidRPr="00AB15C7">
              <w:rPr>
                <w:rFonts w:ascii="Cambria" w:hAnsi="Cambria"/>
                <w:noProof/>
              </w:rPr>
              <w:t>Ovim pravilnikom propisuju se uslovi u pogledu stručnog kadra, opreme i uređaja za pravna lica koja vrše edukaciju lica odgovornih za promet i upotrebu sredstava za zaštitu bilja.</w:t>
            </w:r>
          </w:p>
        </w:tc>
      </w:tr>
      <w:tr w:rsidR="00C728FD" w:rsidRPr="00AB15C7" w14:paraId="534E01F5" w14:textId="77777777" w:rsidTr="00165701">
        <w:trPr>
          <w:trHeight w:val="272"/>
        </w:trPr>
        <w:tc>
          <w:tcPr>
            <w:tcW w:w="1518" w:type="pct"/>
          </w:tcPr>
          <w:p w14:paraId="57C2BFB0" w14:textId="77777777" w:rsidR="00C728FD" w:rsidRPr="00AB15C7" w:rsidRDefault="00C728FD" w:rsidP="005921EF">
            <w:pPr>
              <w:jc w:val="both"/>
              <w:rPr>
                <w:rFonts w:ascii="Cambria" w:hAnsi="Cambria"/>
                <w:noProof/>
              </w:rPr>
            </w:pPr>
            <w:r w:rsidRPr="00AB15C7">
              <w:rPr>
                <w:rFonts w:ascii="Cambria" w:hAnsi="Cambria"/>
                <w:noProof/>
              </w:rPr>
              <w:t>Pravilnik o programu specijalističkog kursa za sredstva za zaštitu bilja ("Službeni list CG" br.35/15)</w:t>
            </w:r>
          </w:p>
        </w:tc>
        <w:tc>
          <w:tcPr>
            <w:tcW w:w="423" w:type="pct"/>
          </w:tcPr>
          <w:p w14:paraId="6540B9C6"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7F23BDEA" w14:textId="77777777" w:rsidR="00C728FD" w:rsidRPr="00AB15C7" w:rsidRDefault="00C728FD" w:rsidP="005921EF">
            <w:pPr>
              <w:jc w:val="both"/>
              <w:rPr>
                <w:rFonts w:ascii="Cambria" w:hAnsi="Cambria"/>
                <w:noProof/>
              </w:rPr>
            </w:pPr>
            <w:r w:rsidRPr="00AB15C7">
              <w:rPr>
                <w:rFonts w:ascii="Cambria" w:hAnsi="Cambria"/>
                <w:noProof/>
              </w:rPr>
              <w:t>sredstva za zaštitu bilja</w:t>
            </w:r>
          </w:p>
        </w:tc>
        <w:tc>
          <w:tcPr>
            <w:tcW w:w="2207" w:type="pct"/>
          </w:tcPr>
          <w:p w14:paraId="1939A3CF" w14:textId="77777777" w:rsidR="00C728FD" w:rsidRPr="00AB15C7" w:rsidRDefault="00C728FD" w:rsidP="005921EF">
            <w:pPr>
              <w:jc w:val="both"/>
              <w:rPr>
                <w:rFonts w:ascii="Cambria" w:hAnsi="Cambria"/>
                <w:noProof/>
              </w:rPr>
            </w:pPr>
            <w:r w:rsidRPr="00AB15C7">
              <w:rPr>
                <w:rFonts w:ascii="Cambria" w:hAnsi="Cambria"/>
                <w:noProof/>
              </w:rPr>
              <w:t>Specijalistički kurs za lica odgovorna za nabavku, promet, smještaj, čuvanje i izdavanje sredstava za zaštitu bilja i za lica koja profesionalno koriste sredstva za zaštitu bilja sprovodi se po programu utvrđenom ovim pravilnikom.</w:t>
            </w:r>
          </w:p>
        </w:tc>
      </w:tr>
      <w:tr w:rsidR="00C728FD" w:rsidRPr="00AB15C7" w14:paraId="7CDA1339" w14:textId="77777777" w:rsidTr="00165701">
        <w:trPr>
          <w:trHeight w:val="272"/>
        </w:trPr>
        <w:tc>
          <w:tcPr>
            <w:tcW w:w="1518" w:type="pct"/>
          </w:tcPr>
          <w:p w14:paraId="72ADF1F6" w14:textId="77777777" w:rsidR="00C728FD" w:rsidRPr="00AB15C7" w:rsidRDefault="00C728FD" w:rsidP="005921EF">
            <w:pPr>
              <w:jc w:val="both"/>
              <w:rPr>
                <w:rFonts w:ascii="Cambria" w:hAnsi="Cambria"/>
                <w:noProof/>
              </w:rPr>
            </w:pPr>
            <w:r w:rsidRPr="00AB15C7">
              <w:rPr>
                <w:rFonts w:ascii="Cambria" w:hAnsi="Cambria"/>
                <w:noProof/>
              </w:rPr>
              <w:t>Pravilnik o načinu izdavanja i izgledu Legitimacije za profesionalno korišćenje sredstava za zaštitu bilja ("Službeni list CG" br. 67/15 i 84/17)</w:t>
            </w:r>
          </w:p>
        </w:tc>
        <w:tc>
          <w:tcPr>
            <w:tcW w:w="423" w:type="pct"/>
          </w:tcPr>
          <w:p w14:paraId="16286208"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26458388" w14:textId="77777777" w:rsidR="00C728FD" w:rsidRPr="00AB15C7" w:rsidRDefault="00C728FD" w:rsidP="005921EF">
            <w:pPr>
              <w:jc w:val="both"/>
              <w:rPr>
                <w:rFonts w:ascii="Cambria" w:hAnsi="Cambria"/>
                <w:noProof/>
              </w:rPr>
            </w:pPr>
            <w:r w:rsidRPr="00AB15C7">
              <w:rPr>
                <w:rFonts w:ascii="Cambria" w:hAnsi="Cambria"/>
                <w:noProof/>
              </w:rPr>
              <w:t>sredstva za zaštitu bilja</w:t>
            </w:r>
          </w:p>
        </w:tc>
        <w:tc>
          <w:tcPr>
            <w:tcW w:w="2207" w:type="pct"/>
          </w:tcPr>
          <w:p w14:paraId="53D3BBD7" w14:textId="77777777" w:rsidR="00C728FD" w:rsidRPr="00AB15C7" w:rsidRDefault="00C728FD" w:rsidP="005921EF">
            <w:pPr>
              <w:jc w:val="both"/>
              <w:rPr>
                <w:rFonts w:ascii="Cambria" w:hAnsi="Cambria"/>
                <w:noProof/>
              </w:rPr>
            </w:pPr>
            <w:r w:rsidRPr="00AB15C7">
              <w:rPr>
                <w:rFonts w:ascii="Cambria" w:hAnsi="Cambria"/>
                <w:noProof/>
              </w:rPr>
              <w:t xml:space="preserve">propisuje se način izdavanja i izgled legitimacije za profesionalno korišćenje sredstava za zaštitu bilja </w:t>
            </w:r>
          </w:p>
        </w:tc>
      </w:tr>
      <w:tr w:rsidR="00C728FD" w:rsidRPr="00AB15C7" w14:paraId="2A6CF29F" w14:textId="77777777" w:rsidTr="00165701">
        <w:trPr>
          <w:trHeight w:val="272"/>
        </w:trPr>
        <w:tc>
          <w:tcPr>
            <w:tcW w:w="1518" w:type="pct"/>
          </w:tcPr>
          <w:p w14:paraId="55207608" w14:textId="77777777" w:rsidR="00C728FD" w:rsidRPr="00AB15C7" w:rsidRDefault="00C728FD" w:rsidP="005921EF">
            <w:pPr>
              <w:jc w:val="both"/>
              <w:rPr>
                <w:rFonts w:ascii="Cambria" w:hAnsi="Cambria"/>
                <w:noProof/>
              </w:rPr>
            </w:pPr>
            <w:r w:rsidRPr="00AB15C7">
              <w:rPr>
                <w:rFonts w:ascii="Cambria" w:hAnsi="Cambria"/>
                <w:noProof/>
              </w:rPr>
              <w:t>Pravilnik o mjerama predostrožnosti koje se odnose na sredstva za zaštitu bilja ("Službeni list CG" br. 69/16)</w:t>
            </w:r>
          </w:p>
        </w:tc>
        <w:tc>
          <w:tcPr>
            <w:tcW w:w="423" w:type="pct"/>
          </w:tcPr>
          <w:p w14:paraId="595CE25A"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5B64818B" w14:textId="77777777" w:rsidR="00C728FD" w:rsidRPr="00AB15C7" w:rsidRDefault="00C728FD" w:rsidP="005921EF">
            <w:pPr>
              <w:jc w:val="both"/>
              <w:rPr>
                <w:rFonts w:ascii="Cambria" w:hAnsi="Cambria"/>
                <w:noProof/>
              </w:rPr>
            </w:pPr>
            <w:r w:rsidRPr="00AB15C7">
              <w:rPr>
                <w:rFonts w:ascii="Cambria" w:hAnsi="Cambria"/>
                <w:noProof/>
              </w:rPr>
              <w:t>sredstva za zaštitu bilja</w:t>
            </w:r>
          </w:p>
        </w:tc>
        <w:tc>
          <w:tcPr>
            <w:tcW w:w="2207" w:type="pct"/>
          </w:tcPr>
          <w:p w14:paraId="39CA8C16" w14:textId="77777777" w:rsidR="00C728FD" w:rsidRPr="00AB15C7" w:rsidRDefault="00C728FD" w:rsidP="005921EF">
            <w:pPr>
              <w:jc w:val="both"/>
              <w:rPr>
                <w:rFonts w:ascii="Cambria" w:hAnsi="Cambria"/>
                <w:noProof/>
              </w:rPr>
            </w:pPr>
            <w:r w:rsidRPr="00AB15C7">
              <w:rPr>
                <w:rFonts w:ascii="Cambria" w:hAnsi="Cambria"/>
                <w:noProof/>
              </w:rPr>
              <w:t>Mjere predostrožnosti koje se odnose na sredstva za zaštitu bilja, radi smanjenja rizika po zdravlje ljudi, životinja, bilja i životne sredine sprovode se u skladu sa ovim pravilnikom.</w:t>
            </w:r>
          </w:p>
        </w:tc>
      </w:tr>
      <w:tr w:rsidR="00C728FD" w:rsidRPr="00AB15C7" w14:paraId="1C4E0531" w14:textId="77777777" w:rsidTr="00165701">
        <w:trPr>
          <w:trHeight w:val="272"/>
        </w:trPr>
        <w:tc>
          <w:tcPr>
            <w:tcW w:w="1518" w:type="pct"/>
          </w:tcPr>
          <w:p w14:paraId="30A4944E" w14:textId="77777777" w:rsidR="00C728FD" w:rsidRPr="00AB15C7" w:rsidRDefault="00C728FD" w:rsidP="005921EF">
            <w:pPr>
              <w:jc w:val="both"/>
              <w:rPr>
                <w:rFonts w:ascii="Cambria" w:hAnsi="Cambria"/>
                <w:noProof/>
              </w:rPr>
            </w:pPr>
            <w:r w:rsidRPr="00AB15C7">
              <w:rPr>
                <w:rFonts w:ascii="Cambria" w:hAnsi="Cambria"/>
                <w:noProof/>
              </w:rPr>
              <w:t>Nacionalni plan za održivu upotrebu sredstava za zaštitu bilja ("Službeni list CG" br.  57/16)</w:t>
            </w:r>
          </w:p>
        </w:tc>
        <w:tc>
          <w:tcPr>
            <w:tcW w:w="423" w:type="pct"/>
          </w:tcPr>
          <w:p w14:paraId="34DA464F"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34C8139A" w14:textId="77777777" w:rsidR="00C728FD" w:rsidRPr="00AB15C7" w:rsidRDefault="00C728FD" w:rsidP="005921EF">
            <w:pPr>
              <w:jc w:val="both"/>
              <w:rPr>
                <w:rFonts w:ascii="Cambria" w:hAnsi="Cambria"/>
                <w:noProof/>
              </w:rPr>
            </w:pPr>
            <w:r w:rsidRPr="00AB15C7">
              <w:rPr>
                <w:rFonts w:ascii="Cambria" w:hAnsi="Cambria"/>
                <w:noProof/>
              </w:rPr>
              <w:t>sredstva za zaštitu bilja</w:t>
            </w:r>
          </w:p>
        </w:tc>
        <w:tc>
          <w:tcPr>
            <w:tcW w:w="2207" w:type="pct"/>
          </w:tcPr>
          <w:p w14:paraId="7AA4B8AF" w14:textId="77777777" w:rsidR="00C728FD" w:rsidRPr="00AB15C7" w:rsidRDefault="00C728FD" w:rsidP="005921EF">
            <w:pPr>
              <w:jc w:val="both"/>
              <w:rPr>
                <w:rFonts w:ascii="Cambria" w:hAnsi="Cambria"/>
                <w:noProof/>
              </w:rPr>
            </w:pPr>
            <w:r w:rsidRPr="00AB15C7">
              <w:rPr>
                <w:rFonts w:ascii="Cambria" w:hAnsi="Cambria"/>
                <w:noProof/>
              </w:rPr>
              <w:t>Nacionalnim planom za održivu upotrebu sredstava za zaštitu bilja utvrđuju se ciljevi, mjere, indikatori, rokovi i aktivnosti za smanjenje rizika i negativnih efekata sredstava za zaštitu bilja na zdravlje ljudi i na životnu sredinu odnosno za postizanje održive upotrebe sredstava za zaštitu bilja.</w:t>
            </w:r>
          </w:p>
        </w:tc>
      </w:tr>
      <w:tr w:rsidR="00C728FD" w:rsidRPr="00AB15C7" w14:paraId="630730F9" w14:textId="77777777" w:rsidTr="00165701">
        <w:trPr>
          <w:trHeight w:val="272"/>
        </w:trPr>
        <w:tc>
          <w:tcPr>
            <w:tcW w:w="1518" w:type="pct"/>
          </w:tcPr>
          <w:p w14:paraId="7829E6C3" w14:textId="77777777" w:rsidR="00C728FD" w:rsidRPr="00AB15C7" w:rsidRDefault="00C728FD" w:rsidP="005921EF">
            <w:pPr>
              <w:jc w:val="both"/>
              <w:rPr>
                <w:rFonts w:ascii="Cambria" w:hAnsi="Cambria"/>
                <w:noProof/>
              </w:rPr>
            </w:pPr>
            <w:r w:rsidRPr="00AB15C7">
              <w:rPr>
                <w:rFonts w:ascii="Cambria" w:hAnsi="Cambria"/>
                <w:noProof/>
              </w:rPr>
              <w:lastRenderedPageBreak/>
              <w:t>Program monitoringa post-registracijske kontrole sredstava za zaštitu bilja za 2018. godinu ("Službeni list CG" br. 12/18)</w:t>
            </w:r>
          </w:p>
        </w:tc>
        <w:tc>
          <w:tcPr>
            <w:tcW w:w="423" w:type="pct"/>
          </w:tcPr>
          <w:p w14:paraId="7A86CF5B"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20CDD477" w14:textId="77777777" w:rsidR="00C728FD" w:rsidRPr="00AB15C7" w:rsidRDefault="00C728FD" w:rsidP="005921EF">
            <w:pPr>
              <w:jc w:val="both"/>
              <w:rPr>
                <w:rFonts w:ascii="Cambria" w:hAnsi="Cambria"/>
                <w:noProof/>
              </w:rPr>
            </w:pPr>
            <w:r w:rsidRPr="00AB15C7">
              <w:rPr>
                <w:rFonts w:ascii="Cambria" w:hAnsi="Cambria"/>
                <w:noProof/>
              </w:rPr>
              <w:t>sredstva za zaštitu bilja</w:t>
            </w:r>
          </w:p>
        </w:tc>
        <w:tc>
          <w:tcPr>
            <w:tcW w:w="2207" w:type="pct"/>
          </w:tcPr>
          <w:p w14:paraId="135C9D32" w14:textId="77777777" w:rsidR="00C728FD" w:rsidRPr="00AB15C7" w:rsidRDefault="00C728FD" w:rsidP="005921EF">
            <w:pPr>
              <w:jc w:val="both"/>
              <w:rPr>
                <w:rFonts w:ascii="Cambria" w:hAnsi="Cambria"/>
                <w:noProof/>
              </w:rPr>
            </w:pPr>
            <w:r w:rsidRPr="00AB15C7">
              <w:rPr>
                <w:rFonts w:ascii="Cambria" w:hAnsi="Cambria"/>
                <w:noProof/>
              </w:rPr>
              <w:t>Programom monitoringa post-registracijske kontrole sredstava za zaštitu bilja određuju se vršioci, broj i vrsta uzoraka, način uzimanja uzoraka, vrsta ispitivanja.</w:t>
            </w:r>
          </w:p>
        </w:tc>
      </w:tr>
      <w:tr w:rsidR="00C728FD" w:rsidRPr="00AB15C7" w14:paraId="5E0DF7E7" w14:textId="77777777" w:rsidTr="00165701">
        <w:trPr>
          <w:trHeight w:val="272"/>
        </w:trPr>
        <w:tc>
          <w:tcPr>
            <w:tcW w:w="1518" w:type="pct"/>
          </w:tcPr>
          <w:p w14:paraId="25EEA7EF" w14:textId="77777777" w:rsidR="00C728FD" w:rsidRPr="00AB15C7" w:rsidRDefault="00C728FD" w:rsidP="005921EF">
            <w:pPr>
              <w:jc w:val="both"/>
              <w:rPr>
                <w:rFonts w:ascii="Cambria" w:hAnsi="Cambria"/>
                <w:noProof/>
              </w:rPr>
            </w:pPr>
            <w:r w:rsidRPr="00AB15C7">
              <w:rPr>
                <w:rFonts w:ascii="Cambria" w:hAnsi="Cambria"/>
                <w:noProof/>
              </w:rPr>
              <w:t>Pravilnik o uslovima za istraživanje u naučne i razvojne svrhe neregistrovanog sredstva za zaštitu bilja u životnoj sredini ("Službeni list CG" br. 5</w:t>
            </w:r>
            <w:r w:rsidR="005107D9" w:rsidRPr="00AB15C7">
              <w:rPr>
                <w:rFonts w:ascii="Cambria" w:hAnsi="Cambria"/>
                <w:noProof/>
              </w:rPr>
              <w:t>8</w:t>
            </w:r>
            <w:r w:rsidRPr="00AB15C7">
              <w:rPr>
                <w:rFonts w:ascii="Cambria" w:hAnsi="Cambria"/>
                <w:noProof/>
              </w:rPr>
              <w:t>/17)</w:t>
            </w:r>
          </w:p>
        </w:tc>
        <w:tc>
          <w:tcPr>
            <w:tcW w:w="423" w:type="pct"/>
          </w:tcPr>
          <w:p w14:paraId="4FAD4FBE" w14:textId="77777777" w:rsidR="00C728FD" w:rsidRPr="00AB15C7" w:rsidRDefault="00C728FD" w:rsidP="005921EF">
            <w:pPr>
              <w:jc w:val="both"/>
              <w:rPr>
                <w:rFonts w:ascii="Cambria" w:hAnsi="Cambria"/>
                <w:noProof/>
              </w:rPr>
            </w:pPr>
            <w:r w:rsidRPr="00AB15C7">
              <w:rPr>
                <w:rFonts w:ascii="Cambria" w:hAnsi="Cambria"/>
                <w:noProof/>
              </w:rPr>
              <w:t>MPRR/</w:t>
            </w:r>
            <w:r w:rsidR="003D5C5B" w:rsidRPr="00AB15C7">
              <w:rPr>
                <w:rFonts w:ascii="Cambria" w:hAnsi="Cambria"/>
                <w:noProof/>
              </w:rPr>
              <w:t xml:space="preserve"> UBHVFP</w:t>
            </w:r>
          </w:p>
        </w:tc>
        <w:tc>
          <w:tcPr>
            <w:tcW w:w="852" w:type="pct"/>
          </w:tcPr>
          <w:p w14:paraId="46D916A5" w14:textId="77777777" w:rsidR="00C728FD" w:rsidRPr="00AB15C7" w:rsidRDefault="00C728FD" w:rsidP="005921EF">
            <w:pPr>
              <w:jc w:val="both"/>
              <w:rPr>
                <w:rFonts w:ascii="Cambria" w:hAnsi="Cambria"/>
                <w:noProof/>
              </w:rPr>
            </w:pPr>
            <w:r w:rsidRPr="00AB15C7">
              <w:rPr>
                <w:rFonts w:ascii="Cambria" w:hAnsi="Cambria"/>
                <w:noProof/>
              </w:rPr>
              <w:t>sredstva za zaštitu bilja</w:t>
            </w:r>
          </w:p>
        </w:tc>
        <w:tc>
          <w:tcPr>
            <w:tcW w:w="2207" w:type="pct"/>
          </w:tcPr>
          <w:p w14:paraId="1146A3FE" w14:textId="77777777" w:rsidR="00C728FD" w:rsidRPr="00AB15C7" w:rsidRDefault="00C728FD" w:rsidP="005921EF">
            <w:pPr>
              <w:jc w:val="both"/>
              <w:rPr>
                <w:rFonts w:ascii="Cambria" w:hAnsi="Cambria"/>
                <w:noProof/>
              </w:rPr>
            </w:pPr>
            <w:r w:rsidRPr="00AB15C7">
              <w:rPr>
                <w:rFonts w:ascii="Cambria" w:hAnsi="Cambria"/>
                <w:noProof/>
              </w:rPr>
              <w:t>Ovim pravilnikom propisuju se uslovi za istraživanje u naučne i razvojne svrhe neregistrovanog sredstva za zaštitu bilja u životnoj sredini, sadržaj zahtjeva i dozvole, uslovi za sprovođenje istraživanja i rok istraživanja.</w:t>
            </w:r>
          </w:p>
        </w:tc>
      </w:tr>
    </w:tbl>
    <w:p w14:paraId="58EC2E56" w14:textId="77777777" w:rsidR="00C728FD" w:rsidRPr="00AB15C7" w:rsidRDefault="00C728FD" w:rsidP="005921EF">
      <w:pPr>
        <w:jc w:val="both"/>
        <w:rPr>
          <w:rFonts w:ascii="Cambria" w:hAnsi="Cambria"/>
          <w:noProof/>
          <w:lang w:val="sr-Latn-ME"/>
        </w:rPr>
      </w:pPr>
    </w:p>
    <w:p w14:paraId="474539A5" w14:textId="77777777" w:rsidR="001247F3" w:rsidRPr="00AB15C7" w:rsidRDefault="001247F3" w:rsidP="005921EF">
      <w:pPr>
        <w:jc w:val="both"/>
        <w:rPr>
          <w:rFonts w:ascii="Cambria" w:hAnsi="Cambria"/>
          <w:b/>
          <w:noProof/>
          <w:lang w:val="sr-Latn-ME"/>
        </w:rPr>
      </w:pPr>
      <w:r w:rsidRPr="00AB15C7">
        <w:rPr>
          <w:rFonts w:ascii="Cambria" w:hAnsi="Cambria"/>
          <w:b/>
          <w:i/>
          <w:noProof/>
          <w:lang w:val="sr-Latn-ME"/>
        </w:rPr>
        <w:t xml:space="preserve">Tabela A4. </w:t>
      </w:r>
      <w:r w:rsidRPr="00A76A53">
        <w:rPr>
          <w:rFonts w:ascii="Cambria" w:hAnsi="Cambria"/>
          <w:b/>
          <w:noProof/>
          <w:lang w:val="sr-Latn-ME"/>
        </w:rPr>
        <w:t>Važeći propisi koji se odnose na oblast sredstava za ishranu bilja</w:t>
      </w:r>
    </w:p>
    <w:tbl>
      <w:tblPr>
        <w:tblW w:w="5254" w:type="pct"/>
        <w:tblBorders>
          <w:top w:val="double" w:sz="4" w:space="0" w:color="auto"/>
          <w:left w:val="double" w:sz="4" w:space="0" w:color="auto"/>
          <w:bottom w:val="double" w:sz="4" w:space="0" w:color="auto"/>
          <w:right w:val="double" w:sz="4" w:space="0" w:color="auto"/>
          <w:insideH w:val="single" w:sz="4" w:space="0" w:color="auto"/>
          <w:insideV w:val="single" w:sz="4" w:space="0" w:color="000000"/>
        </w:tblBorders>
        <w:tblLook w:val="04A0" w:firstRow="1" w:lastRow="0" w:firstColumn="1" w:lastColumn="0" w:noHBand="0" w:noVBand="1"/>
      </w:tblPr>
      <w:tblGrid>
        <w:gridCol w:w="3827"/>
        <w:gridCol w:w="1810"/>
        <w:gridCol w:w="2415"/>
        <w:gridCol w:w="6424"/>
      </w:tblGrid>
      <w:tr w:rsidR="001247F3" w:rsidRPr="00AB15C7" w14:paraId="3C9F0998" w14:textId="77777777" w:rsidTr="00165701">
        <w:trPr>
          <w:trHeight w:val="260"/>
        </w:trPr>
        <w:tc>
          <w:tcPr>
            <w:tcW w:w="1322" w:type="pct"/>
            <w:shd w:val="clear" w:color="auto" w:fill="D9D9D9"/>
            <w:hideMark/>
          </w:tcPr>
          <w:p w14:paraId="45C14D93"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Propis</w:t>
            </w:r>
          </w:p>
        </w:tc>
        <w:tc>
          <w:tcPr>
            <w:tcW w:w="625" w:type="pct"/>
            <w:shd w:val="clear" w:color="auto" w:fill="D9D9D9"/>
            <w:hideMark/>
          </w:tcPr>
          <w:p w14:paraId="23C9EA0E"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 xml:space="preserve">Nadležni organ </w:t>
            </w:r>
          </w:p>
        </w:tc>
        <w:tc>
          <w:tcPr>
            <w:tcW w:w="834" w:type="pct"/>
            <w:shd w:val="clear" w:color="auto" w:fill="D9D9D9"/>
            <w:hideMark/>
          </w:tcPr>
          <w:p w14:paraId="1424D2E9"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Regulisana hemikalija</w:t>
            </w:r>
          </w:p>
        </w:tc>
        <w:tc>
          <w:tcPr>
            <w:tcW w:w="2219" w:type="pct"/>
            <w:shd w:val="clear" w:color="auto" w:fill="D9D9D9"/>
            <w:hideMark/>
          </w:tcPr>
          <w:p w14:paraId="63BBF47B"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Cilj propisa</w:t>
            </w:r>
          </w:p>
        </w:tc>
      </w:tr>
      <w:tr w:rsidR="001247F3" w:rsidRPr="00AB15C7" w14:paraId="3640BCC2" w14:textId="77777777" w:rsidTr="00165701">
        <w:trPr>
          <w:trHeight w:val="260"/>
        </w:trPr>
        <w:tc>
          <w:tcPr>
            <w:tcW w:w="1322" w:type="pct"/>
            <w:hideMark/>
          </w:tcPr>
          <w:p w14:paraId="3C3FF02C" w14:textId="77777777" w:rsidR="001247F3" w:rsidRPr="00AB15C7" w:rsidRDefault="001247F3" w:rsidP="005921EF">
            <w:pPr>
              <w:jc w:val="both"/>
              <w:rPr>
                <w:rFonts w:ascii="Cambria" w:hAnsi="Cambria"/>
                <w:noProof/>
                <w:lang w:val="sr-Latn-ME"/>
              </w:rPr>
            </w:pPr>
            <w:r w:rsidRPr="00AB15C7">
              <w:rPr>
                <w:rFonts w:ascii="Cambria" w:hAnsi="Cambria"/>
                <w:b/>
                <w:noProof/>
                <w:lang w:val="sr-Latn-ME"/>
              </w:rPr>
              <w:t>Zakon o sredstvima za ishranu bilja</w:t>
            </w:r>
            <w:r w:rsidRPr="00AB15C7">
              <w:rPr>
                <w:rFonts w:ascii="Cambria" w:hAnsi="Cambria"/>
                <w:noProof/>
                <w:lang w:val="sr-Latn-ME"/>
              </w:rPr>
              <w:t xml:space="preserve"> </w:t>
            </w:r>
            <w:bookmarkStart w:id="172" w:name="_Hlk518511891"/>
            <w:r w:rsidRPr="00AB15C7">
              <w:rPr>
                <w:rFonts w:ascii="Cambria" w:hAnsi="Cambria"/>
                <w:noProof/>
                <w:lang w:val="sr-Latn-ME"/>
              </w:rPr>
              <w:t xml:space="preserve">("Sl. list RCG", br. 48/07 i </w:t>
            </w:r>
            <w:r w:rsidRPr="00AB15C7">
              <w:rPr>
                <w:rFonts w:ascii="Cambria" w:hAnsi="Cambria"/>
                <w:bCs/>
                <w:noProof/>
                <w:lang w:val="sr-Latn-ME"/>
              </w:rPr>
              <w:t>"Sl. list CG", br.</w:t>
            </w:r>
            <w:r w:rsidRPr="00AB15C7">
              <w:rPr>
                <w:rFonts w:ascii="Cambria" w:hAnsi="Cambria"/>
                <w:noProof/>
                <w:lang w:val="sr-Latn-ME"/>
              </w:rPr>
              <w:t xml:space="preserve"> 76/08,  30/17</w:t>
            </w:r>
            <w:r w:rsidR="005107D9" w:rsidRPr="00AB15C7">
              <w:rPr>
                <w:rFonts w:ascii="Cambria" w:hAnsi="Cambria"/>
                <w:noProof/>
                <w:lang w:val="sr-Latn-ME"/>
              </w:rPr>
              <w:t xml:space="preserve"> i 43/18</w:t>
            </w:r>
            <w:r w:rsidRPr="00AB15C7">
              <w:rPr>
                <w:rFonts w:ascii="Cambria" w:hAnsi="Cambria"/>
                <w:noProof/>
                <w:lang w:val="sr-Latn-ME"/>
              </w:rPr>
              <w:t>)</w:t>
            </w:r>
            <w:bookmarkEnd w:id="172"/>
          </w:p>
        </w:tc>
        <w:tc>
          <w:tcPr>
            <w:tcW w:w="625" w:type="pct"/>
            <w:hideMark/>
          </w:tcPr>
          <w:p w14:paraId="7BEDADA9"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MPRR/</w:t>
            </w:r>
            <w:r w:rsidR="003D5C5B" w:rsidRPr="00AB15C7">
              <w:rPr>
                <w:rFonts w:ascii="Cambria" w:hAnsi="Cambria"/>
                <w:noProof/>
                <w:lang w:val="sr-Latn-ME"/>
              </w:rPr>
              <w:t xml:space="preserve"> UBHVFP</w:t>
            </w:r>
          </w:p>
        </w:tc>
        <w:tc>
          <w:tcPr>
            <w:tcW w:w="834" w:type="pct"/>
            <w:hideMark/>
          </w:tcPr>
          <w:p w14:paraId="682C18E3"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sredstva za ishranu bilja (đubriva)</w:t>
            </w:r>
          </w:p>
        </w:tc>
        <w:tc>
          <w:tcPr>
            <w:tcW w:w="2219" w:type="pct"/>
            <w:hideMark/>
          </w:tcPr>
          <w:p w14:paraId="7EC3BD43"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zakonom uređuju se uslovi za proizvodnju, promet, karakteristike i primjenu sredstava za ishranu bilja, kao i druga pitanja od značaja za proizvodnju i promet sredstava za ishranu bilja.</w:t>
            </w:r>
          </w:p>
        </w:tc>
      </w:tr>
      <w:tr w:rsidR="001247F3" w:rsidRPr="00AB15C7" w14:paraId="2186E8B4" w14:textId="77777777" w:rsidTr="00165701">
        <w:trPr>
          <w:trHeight w:val="260"/>
        </w:trPr>
        <w:tc>
          <w:tcPr>
            <w:tcW w:w="1322" w:type="pct"/>
            <w:shd w:val="clear" w:color="auto" w:fill="F2F2F2"/>
            <w:hideMark/>
          </w:tcPr>
          <w:p w14:paraId="6C963D69"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Podzakonski propisi za sprovođenje ovog zakona</w:t>
            </w:r>
          </w:p>
        </w:tc>
        <w:tc>
          <w:tcPr>
            <w:tcW w:w="625" w:type="pct"/>
            <w:shd w:val="clear" w:color="auto" w:fill="F2F2F2"/>
            <w:hideMark/>
          </w:tcPr>
          <w:p w14:paraId="5ABEC44D"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 xml:space="preserve">Nadležni organ </w:t>
            </w:r>
          </w:p>
        </w:tc>
        <w:tc>
          <w:tcPr>
            <w:tcW w:w="834" w:type="pct"/>
            <w:shd w:val="clear" w:color="auto" w:fill="F2F2F2"/>
            <w:hideMark/>
          </w:tcPr>
          <w:p w14:paraId="637DB22F"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Regulisana hemikalija</w:t>
            </w:r>
          </w:p>
        </w:tc>
        <w:tc>
          <w:tcPr>
            <w:tcW w:w="2219" w:type="pct"/>
            <w:shd w:val="clear" w:color="auto" w:fill="F2F2F2"/>
            <w:hideMark/>
          </w:tcPr>
          <w:p w14:paraId="6829AAB6"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Cilj propisa</w:t>
            </w:r>
          </w:p>
        </w:tc>
      </w:tr>
      <w:tr w:rsidR="001247F3" w:rsidRPr="00AB15C7" w14:paraId="32A49667" w14:textId="77777777" w:rsidTr="00165701">
        <w:trPr>
          <w:trHeight w:val="260"/>
        </w:trPr>
        <w:tc>
          <w:tcPr>
            <w:tcW w:w="1322" w:type="pct"/>
            <w:hideMark/>
          </w:tcPr>
          <w:p w14:paraId="4F99FA09"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posebnim uslovima za stavljanje u promet i primjenu amonijum nitrata (AN) kao sredstva za ishranu bilja ("Sl. list CG", br. 18/11)</w:t>
            </w:r>
          </w:p>
        </w:tc>
        <w:tc>
          <w:tcPr>
            <w:tcW w:w="625" w:type="pct"/>
            <w:hideMark/>
          </w:tcPr>
          <w:p w14:paraId="611A1165"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MPRR/</w:t>
            </w:r>
            <w:r w:rsidR="003D5C5B" w:rsidRPr="00AB15C7">
              <w:rPr>
                <w:rFonts w:ascii="Cambria" w:hAnsi="Cambria"/>
                <w:noProof/>
                <w:lang w:val="sr-Latn-ME"/>
              </w:rPr>
              <w:t xml:space="preserve"> UBHVFP</w:t>
            </w:r>
          </w:p>
        </w:tc>
        <w:tc>
          <w:tcPr>
            <w:tcW w:w="834" w:type="pct"/>
            <w:hideMark/>
          </w:tcPr>
          <w:p w14:paraId="401A3FA2"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amonijum nitrat kao sredstvo za ishranu bilja</w:t>
            </w:r>
          </w:p>
        </w:tc>
        <w:tc>
          <w:tcPr>
            <w:tcW w:w="2219" w:type="pct"/>
            <w:hideMark/>
          </w:tcPr>
          <w:p w14:paraId="4A0811ED"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pravilnikom propisuju se posebni uslovi za stavljanje u promet i primjenu amonijum nitrata (AN) sa visokom koncetracijom azota kao supstance koja predstavlja rizik po zdravlje ljudi i životnu sredinu.</w:t>
            </w:r>
          </w:p>
        </w:tc>
      </w:tr>
      <w:tr w:rsidR="001247F3" w:rsidRPr="00AB15C7" w14:paraId="1683A5A9" w14:textId="77777777" w:rsidTr="00165701">
        <w:trPr>
          <w:trHeight w:val="260"/>
        </w:trPr>
        <w:tc>
          <w:tcPr>
            <w:tcW w:w="1322" w:type="pct"/>
            <w:hideMark/>
          </w:tcPr>
          <w:p w14:paraId="6F2AB712"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bližim uslovima za skladišta sredstava za ishranu bilja (“Sl. list CG”, br. 27/14)</w:t>
            </w:r>
          </w:p>
        </w:tc>
        <w:tc>
          <w:tcPr>
            <w:tcW w:w="625" w:type="pct"/>
            <w:hideMark/>
          </w:tcPr>
          <w:p w14:paraId="54BE1C95"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MPRR/</w:t>
            </w:r>
            <w:r w:rsidR="003D5C5B" w:rsidRPr="00AB15C7">
              <w:rPr>
                <w:rFonts w:ascii="Cambria" w:hAnsi="Cambria"/>
                <w:noProof/>
                <w:lang w:val="sr-Latn-ME"/>
              </w:rPr>
              <w:t xml:space="preserve"> UBHVFP</w:t>
            </w:r>
          </w:p>
        </w:tc>
        <w:tc>
          <w:tcPr>
            <w:tcW w:w="834" w:type="pct"/>
            <w:hideMark/>
          </w:tcPr>
          <w:p w14:paraId="1C5B6177"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sredstva za ishranu bilja</w:t>
            </w:r>
          </w:p>
        </w:tc>
        <w:tc>
          <w:tcPr>
            <w:tcW w:w="2219" w:type="pct"/>
            <w:hideMark/>
          </w:tcPr>
          <w:p w14:paraId="78B6C3D4"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 xml:space="preserve">Ovim pravilnikom uređuje se način vođenja knjige evidencije o prometu sredstava za ishranu bilja i načinu dostavljanja podataka o prometu sredstava za ishranu bilja, uslove koje treba da ispunjavaju skladišta, kao i uslovi skladištenja, čuvanja i rukovanja sredstvima za ishranu bilja, način vođenja registra za distributere </w:t>
            </w:r>
            <w:r w:rsidRPr="00AB15C7">
              <w:rPr>
                <w:rFonts w:ascii="Cambria" w:hAnsi="Cambria"/>
                <w:noProof/>
                <w:lang w:val="sr-Latn-ME"/>
              </w:rPr>
              <w:lastRenderedPageBreak/>
              <w:t>na veliko, malo i uvoznika  i način podnošenja zahtjeva za upis u Registar</w:t>
            </w:r>
          </w:p>
        </w:tc>
      </w:tr>
      <w:tr w:rsidR="001247F3" w:rsidRPr="00AB15C7" w14:paraId="6AF27A6D" w14:textId="77777777" w:rsidTr="00165701">
        <w:trPr>
          <w:trHeight w:val="260"/>
        </w:trPr>
        <w:tc>
          <w:tcPr>
            <w:tcW w:w="1322" w:type="pct"/>
            <w:hideMark/>
          </w:tcPr>
          <w:p w14:paraId="537711CB"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načelima dobre poljoprivredne prakse za primjenu sredstava za ishranu bilja ("Sl. list CG", br. 29/14)</w:t>
            </w:r>
          </w:p>
        </w:tc>
        <w:tc>
          <w:tcPr>
            <w:tcW w:w="625" w:type="pct"/>
            <w:hideMark/>
          </w:tcPr>
          <w:p w14:paraId="19F28AF1"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MPRR/</w:t>
            </w:r>
            <w:r w:rsidR="003D5C5B" w:rsidRPr="00AB15C7">
              <w:rPr>
                <w:rFonts w:ascii="Cambria" w:hAnsi="Cambria"/>
                <w:noProof/>
                <w:lang w:val="sr-Latn-ME"/>
              </w:rPr>
              <w:t xml:space="preserve"> UBHVFP</w:t>
            </w:r>
          </w:p>
        </w:tc>
        <w:tc>
          <w:tcPr>
            <w:tcW w:w="834" w:type="pct"/>
            <w:hideMark/>
          </w:tcPr>
          <w:p w14:paraId="08C8EC23"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sredstva za ishranu bilja</w:t>
            </w:r>
          </w:p>
        </w:tc>
        <w:tc>
          <w:tcPr>
            <w:tcW w:w="2219" w:type="pct"/>
            <w:hideMark/>
          </w:tcPr>
          <w:p w14:paraId="1F17B11D"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pravilnikom propisuju se načela dobre poljoprivredne prakse i detaljna uputstva za primjenu sredstava za ishranu bilja.</w:t>
            </w:r>
          </w:p>
        </w:tc>
      </w:tr>
      <w:tr w:rsidR="001247F3" w:rsidRPr="00AB15C7" w14:paraId="2C8F8AF3" w14:textId="77777777" w:rsidTr="00165701">
        <w:trPr>
          <w:trHeight w:val="260"/>
        </w:trPr>
        <w:tc>
          <w:tcPr>
            <w:tcW w:w="1322" w:type="pct"/>
          </w:tcPr>
          <w:p w14:paraId="734FA014" w14:textId="77777777" w:rsidR="001247F3" w:rsidRPr="00AB15C7" w:rsidRDefault="001247F3" w:rsidP="006A3485">
            <w:pPr>
              <w:jc w:val="both"/>
              <w:rPr>
                <w:rFonts w:ascii="Cambria" w:hAnsi="Cambria"/>
                <w:noProof/>
                <w:lang w:val="sr-Latn-ME"/>
              </w:rPr>
            </w:pPr>
            <w:r w:rsidRPr="00AB15C7">
              <w:rPr>
                <w:rFonts w:ascii="Cambria" w:hAnsi="Cambria"/>
                <w:noProof/>
                <w:lang w:val="sr-Latn-ME"/>
              </w:rPr>
              <w:t>Pravilnik o načinu donošenja i sprovođenja mjera za sredstva za ishranu bilja koja predstavljaju rizik za zdravlje ljudi, životinja, bilja i životnu sredinu</w:t>
            </w:r>
            <w:r w:rsidR="006A3485">
              <w:rPr>
                <w:rFonts w:ascii="Cambria" w:hAnsi="Cambria"/>
                <w:noProof/>
                <w:lang w:val="sr-Latn-ME"/>
              </w:rPr>
              <w:t xml:space="preserve"> </w:t>
            </w:r>
            <w:r w:rsidRPr="00AB15C7">
              <w:rPr>
                <w:rFonts w:ascii="Cambria" w:hAnsi="Cambria"/>
                <w:noProof/>
                <w:lang w:val="sr-Latn-ME"/>
              </w:rPr>
              <w:t>("Sl. list CG", br. 35/15)</w:t>
            </w:r>
          </w:p>
        </w:tc>
        <w:tc>
          <w:tcPr>
            <w:tcW w:w="625" w:type="pct"/>
          </w:tcPr>
          <w:p w14:paraId="50BD2277"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MPRR/</w:t>
            </w:r>
            <w:r w:rsidR="003D5C5B" w:rsidRPr="00AB15C7">
              <w:rPr>
                <w:rFonts w:ascii="Cambria" w:hAnsi="Cambria"/>
                <w:noProof/>
                <w:lang w:val="sr-Latn-ME"/>
              </w:rPr>
              <w:t xml:space="preserve"> UBHVFP</w:t>
            </w:r>
          </w:p>
        </w:tc>
        <w:tc>
          <w:tcPr>
            <w:tcW w:w="834" w:type="pct"/>
          </w:tcPr>
          <w:p w14:paraId="02E00B2C"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sredstva za ishranu bilja</w:t>
            </w:r>
          </w:p>
        </w:tc>
        <w:tc>
          <w:tcPr>
            <w:tcW w:w="2219" w:type="pct"/>
          </w:tcPr>
          <w:p w14:paraId="68194596"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pravilnikom propisuje se način donošenja i sprovođenja mjera ukoliko se naučnim i tehničkim saznanjima utvrdi da sredstva za ishranu bilja predstavljaju rizik za zdravlje ljudi,</w:t>
            </w:r>
            <w:r w:rsidR="006A3485">
              <w:rPr>
                <w:rFonts w:ascii="Cambria" w:hAnsi="Cambria"/>
                <w:noProof/>
                <w:lang w:val="sr-Latn-ME"/>
              </w:rPr>
              <w:t xml:space="preserve"> </w:t>
            </w:r>
            <w:r w:rsidRPr="00AB15C7">
              <w:rPr>
                <w:rFonts w:ascii="Cambria" w:hAnsi="Cambria"/>
                <w:noProof/>
                <w:lang w:val="sr-Latn-ME"/>
              </w:rPr>
              <w:t>životinja, bilja i životnu sredinu</w:t>
            </w:r>
          </w:p>
        </w:tc>
      </w:tr>
      <w:tr w:rsidR="001247F3" w:rsidRPr="00AB15C7" w14:paraId="16A50770" w14:textId="77777777" w:rsidTr="00165701">
        <w:trPr>
          <w:trHeight w:val="260"/>
        </w:trPr>
        <w:tc>
          <w:tcPr>
            <w:tcW w:w="1322" w:type="pct"/>
          </w:tcPr>
          <w:p w14:paraId="19D255A3"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upisu u Registar sredstava za ishranu bilja ("Sl. list CG" br. 45/15)</w:t>
            </w:r>
          </w:p>
          <w:p w14:paraId="352BFB06" w14:textId="77777777" w:rsidR="001247F3" w:rsidRPr="00AB15C7" w:rsidRDefault="001247F3" w:rsidP="005921EF">
            <w:pPr>
              <w:jc w:val="both"/>
              <w:rPr>
                <w:rFonts w:ascii="Cambria" w:hAnsi="Cambria"/>
                <w:noProof/>
                <w:lang w:val="sr-Latn-ME"/>
              </w:rPr>
            </w:pPr>
          </w:p>
        </w:tc>
        <w:tc>
          <w:tcPr>
            <w:tcW w:w="625" w:type="pct"/>
          </w:tcPr>
          <w:p w14:paraId="7349E07B"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MPRR/</w:t>
            </w:r>
            <w:r w:rsidR="003D5C5B" w:rsidRPr="00AB15C7">
              <w:rPr>
                <w:rFonts w:ascii="Cambria" w:hAnsi="Cambria"/>
                <w:noProof/>
                <w:lang w:val="sr-Latn-ME"/>
              </w:rPr>
              <w:t xml:space="preserve"> UBHVFP</w:t>
            </w:r>
          </w:p>
        </w:tc>
        <w:tc>
          <w:tcPr>
            <w:tcW w:w="834" w:type="pct"/>
          </w:tcPr>
          <w:p w14:paraId="7435BD93"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sredstva za ishranu bilja</w:t>
            </w:r>
          </w:p>
        </w:tc>
        <w:tc>
          <w:tcPr>
            <w:tcW w:w="2219" w:type="pct"/>
          </w:tcPr>
          <w:p w14:paraId="4CB6AA03"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pravilnikom propisuju se bliži uslovi za upis u registar sredstava za ishranu bilja, sadržaj i način vođenja Registra, sadržaj zahtjeva i dokumentacije koja se prilaže uz zahtjev za upis u Registar, sadržaj Liste sredstava za ishranu bilja i visina naknada za dobijanje odobrenja za stavljanje u promet sredstava za ishranu bilja.</w:t>
            </w:r>
          </w:p>
        </w:tc>
      </w:tr>
      <w:tr w:rsidR="001247F3" w:rsidRPr="00AB15C7" w14:paraId="539DCE0B" w14:textId="77777777" w:rsidTr="00165701">
        <w:trPr>
          <w:trHeight w:val="260"/>
        </w:trPr>
        <w:tc>
          <w:tcPr>
            <w:tcW w:w="1322" w:type="pct"/>
          </w:tcPr>
          <w:p w14:paraId="541B1F11"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načinu skladištenja i rukovanja amonijum - nitratnim đubrivima sa visokim sadržajem azota ("Sl. list CG" br. 45/15)</w:t>
            </w:r>
          </w:p>
          <w:p w14:paraId="2F839EAD" w14:textId="77777777" w:rsidR="001247F3" w:rsidRPr="00AB15C7" w:rsidRDefault="001247F3" w:rsidP="005921EF">
            <w:pPr>
              <w:jc w:val="both"/>
              <w:rPr>
                <w:rFonts w:ascii="Cambria" w:hAnsi="Cambria"/>
                <w:noProof/>
                <w:lang w:val="sr-Latn-ME"/>
              </w:rPr>
            </w:pPr>
          </w:p>
        </w:tc>
        <w:tc>
          <w:tcPr>
            <w:tcW w:w="625" w:type="pct"/>
          </w:tcPr>
          <w:p w14:paraId="676B21F8"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MPRR/</w:t>
            </w:r>
            <w:r w:rsidR="003D5C5B" w:rsidRPr="00AB15C7">
              <w:rPr>
                <w:rFonts w:ascii="Cambria" w:hAnsi="Cambria"/>
                <w:noProof/>
                <w:lang w:val="sr-Latn-ME"/>
              </w:rPr>
              <w:t xml:space="preserve"> UBHVFP</w:t>
            </w:r>
          </w:p>
        </w:tc>
        <w:tc>
          <w:tcPr>
            <w:tcW w:w="834" w:type="pct"/>
          </w:tcPr>
          <w:p w14:paraId="1403201B" w14:textId="77777777" w:rsidR="001247F3" w:rsidRPr="00AB15C7" w:rsidRDefault="001247F3" w:rsidP="005921EF">
            <w:pPr>
              <w:jc w:val="both"/>
              <w:rPr>
                <w:rFonts w:ascii="Cambria" w:hAnsi="Cambria"/>
                <w:noProof/>
              </w:rPr>
            </w:pPr>
            <w:r w:rsidRPr="00AB15C7">
              <w:rPr>
                <w:rFonts w:ascii="Cambria" w:hAnsi="Cambria"/>
                <w:noProof/>
                <w:lang w:val="sr-Latn-ME"/>
              </w:rPr>
              <w:t>sredstva za ishranu bilja na bazi amonijum-nitrata</w:t>
            </w:r>
          </w:p>
        </w:tc>
        <w:tc>
          <w:tcPr>
            <w:tcW w:w="2219" w:type="pct"/>
          </w:tcPr>
          <w:p w14:paraId="56F36CB2" w14:textId="77777777" w:rsidR="001247F3" w:rsidRPr="00AB15C7" w:rsidRDefault="001247F3" w:rsidP="005921EF">
            <w:pPr>
              <w:jc w:val="both"/>
              <w:rPr>
                <w:rFonts w:ascii="Cambria" w:hAnsi="Cambria"/>
                <w:noProof/>
                <w:lang w:val="sr-Latn-ME"/>
              </w:rPr>
            </w:pPr>
            <w:r w:rsidRPr="00AB15C7">
              <w:rPr>
                <w:rFonts w:ascii="Cambria" w:hAnsi="Cambria"/>
                <w:noProof/>
              </w:rPr>
              <w:t>Ovim pravilnikom propisuje se način skladištenja i rukovanja amonijum - nitratnim đubrivima sa visokim sadržajem azota</w:t>
            </w:r>
          </w:p>
        </w:tc>
      </w:tr>
      <w:tr w:rsidR="001247F3" w:rsidRPr="00AB15C7" w14:paraId="4451426A" w14:textId="77777777" w:rsidTr="00165701">
        <w:trPr>
          <w:trHeight w:val="260"/>
        </w:trPr>
        <w:tc>
          <w:tcPr>
            <w:tcW w:w="1322" w:type="pct"/>
          </w:tcPr>
          <w:p w14:paraId="67F64C9E"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tipovima đubriva, uslovima za amonijum-nitratna đubriva visoke koncentracije azota, načinu</w:t>
            </w:r>
            <w:r w:rsidRPr="00AB15C7">
              <w:rPr>
                <w:rFonts w:ascii="Cambria" w:hAnsi="Cambria"/>
                <w:noProof/>
              </w:rPr>
              <w:t xml:space="preserve"> </w:t>
            </w:r>
            <w:r w:rsidRPr="00AB15C7">
              <w:rPr>
                <w:rFonts w:ascii="Cambria" w:hAnsi="Cambria"/>
                <w:noProof/>
                <w:lang w:val="sr-Latn-ME"/>
              </w:rPr>
              <w:t>označavanja i pakovanja đubriva ("Sl. list CG" br. 32/15)</w:t>
            </w:r>
          </w:p>
        </w:tc>
        <w:tc>
          <w:tcPr>
            <w:tcW w:w="625" w:type="pct"/>
          </w:tcPr>
          <w:p w14:paraId="6EE63452"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MPRR/</w:t>
            </w:r>
            <w:r w:rsidR="003D5C5B" w:rsidRPr="00AB15C7">
              <w:rPr>
                <w:rFonts w:ascii="Cambria" w:hAnsi="Cambria"/>
                <w:noProof/>
                <w:lang w:val="sr-Latn-ME"/>
              </w:rPr>
              <w:t xml:space="preserve"> UBHVFP</w:t>
            </w:r>
          </w:p>
        </w:tc>
        <w:tc>
          <w:tcPr>
            <w:tcW w:w="834" w:type="pct"/>
          </w:tcPr>
          <w:p w14:paraId="10720F59"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sredstva za ishranu bilja</w:t>
            </w:r>
          </w:p>
        </w:tc>
        <w:tc>
          <w:tcPr>
            <w:tcW w:w="2219" w:type="pct"/>
          </w:tcPr>
          <w:p w14:paraId="02C38FFE"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 xml:space="preserve">Ovim pravilnikom propisuju se tipovi mineralnih (neorganskih) </w:t>
            </w:r>
            <w:r w:rsidRPr="00AB15C7">
              <w:rPr>
                <w:rFonts w:ascii="Cambria" w:hAnsi="Cambria"/>
                <w:noProof/>
                <w:lang w:val="sr-Latn-RS"/>
              </w:rPr>
              <w:t>đ</w:t>
            </w:r>
            <w:r w:rsidRPr="00AB15C7">
              <w:rPr>
                <w:rFonts w:ascii="Cambria" w:hAnsi="Cambria"/>
                <w:noProof/>
                <w:lang w:val="sr-Latn-ME"/>
              </w:rPr>
              <w:t>ubriva, uslovi za amonijum-nitratna đubriva visoke koncentracije azota u pogledu karakteristika, graničnih vrijednosti, kao i metode za provjeru usklađenosti sa graničnim vrijednostima, otpornosti na</w:t>
            </w:r>
          </w:p>
          <w:p w14:paraId="2377C1C4"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lastRenderedPageBreak/>
              <w:t>detonacije, karakteristike i drugi uslovi za proizvodnju đubriva, bliži sadržaj deklaracije, način označavanja i pakovanja đubriva u prometu, metode ispitivanja i uzorkovanja za utvr]ivanje karakteristika đubriva i dozvoljena odstupanja.</w:t>
            </w:r>
          </w:p>
        </w:tc>
      </w:tr>
      <w:tr w:rsidR="001247F3" w:rsidRPr="00AB15C7" w14:paraId="551951C3" w14:textId="77777777" w:rsidTr="00165701">
        <w:trPr>
          <w:trHeight w:val="260"/>
        </w:trPr>
        <w:tc>
          <w:tcPr>
            <w:tcW w:w="1322" w:type="pct"/>
          </w:tcPr>
          <w:p w14:paraId="7C6DAE8D"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Program monitoringa karakteristika sredstava za ishranu bilja za 18. godinu ("Sl. list CG", br. 16/18)</w:t>
            </w:r>
          </w:p>
        </w:tc>
        <w:tc>
          <w:tcPr>
            <w:tcW w:w="625" w:type="pct"/>
          </w:tcPr>
          <w:p w14:paraId="16CE5375"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MPRR/</w:t>
            </w:r>
            <w:r w:rsidR="003D5C5B" w:rsidRPr="00AB15C7">
              <w:rPr>
                <w:rFonts w:ascii="Cambria" w:hAnsi="Cambria"/>
                <w:noProof/>
                <w:lang w:val="sr-Latn-ME"/>
              </w:rPr>
              <w:t xml:space="preserve"> UBHVFP</w:t>
            </w:r>
          </w:p>
        </w:tc>
        <w:tc>
          <w:tcPr>
            <w:tcW w:w="834" w:type="pct"/>
          </w:tcPr>
          <w:p w14:paraId="04646947"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sredstva za ishranu bilja</w:t>
            </w:r>
          </w:p>
        </w:tc>
        <w:tc>
          <w:tcPr>
            <w:tcW w:w="2219" w:type="pct"/>
          </w:tcPr>
          <w:p w14:paraId="1B277DFF"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Programom monitoringa karakteristika sredstava za ishranu bilja određuju se vršioci, broj i vrsta uzoraka, način uzimanja uzoraka i vrsta ispitivanja</w:t>
            </w:r>
          </w:p>
        </w:tc>
      </w:tr>
      <w:tr w:rsidR="001247F3" w:rsidRPr="00AB15C7" w14:paraId="025C7E8A" w14:textId="77777777" w:rsidTr="00165701">
        <w:trPr>
          <w:trHeight w:val="260"/>
        </w:trPr>
        <w:tc>
          <w:tcPr>
            <w:tcW w:w="1322" w:type="pct"/>
          </w:tcPr>
          <w:p w14:paraId="47629389"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bližem sadržaju zahtjeva za izdavanje odobrenja za istraživanja i ispitivanja novih sredstava za ishranu bilja ("Sl.list CG"br.</w:t>
            </w:r>
            <w:r w:rsidR="0015164C">
              <w:rPr>
                <w:rFonts w:ascii="Cambria" w:hAnsi="Cambria"/>
                <w:noProof/>
                <w:lang w:val="sr-Latn-ME"/>
              </w:rPr>
              <w:t xml:space="preserve"> </w:t>
            </w:r>
            <w:r w:rsidRPr="00AB15C7">
              <w:rPr>
                <w:rFonts w:ascii="Cambria" w:hAnsi="Cambria"/>
                <w:noProof/>
                <w:lang w:val="sr-Latn-ME"/>
              </w:rPr>
              <w:t>60/16)</w:t>
            </w:r>
          </w:p>
        </w:tc>
        <w:tc>
          <w:tcPr>
            <w:tcW w:w="625" w:type="pct"/>
          </w:tcPr>
          <w:p w14:paraId="2BC2C59D"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MPRR/</w:t>
            </w:r>
            <w:r w:rsidR="003D5C5B" w:rsidRPr="00AB15C7">
              <w:rPr>
                <w:rFonts w:ascii="Cambria" w:hAnsi="Cambria"/>
                <w:noProof/>
                <w:lang w:val="sr-Latn-ME"/>
              </w:rPr>
              <w:t xml:space="preserve"> UBHVFP</w:t>
            </w:r>
          </w:p>
        </w:tc>
        <w:tc>
          <w:tcPr>
            <w:tcW w:w="834" w:type="pct"/>
          </w:tcPr>
          <w:p w14:paraId="6A23DF84"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sredstva za ishranu bilja</w:t>
            </w:r>
          </w:p>
        </w:tc>
        <w:tc>
          <w:tcPr>
            <w:tcW w:w="2219" w:type="pct"/>
          </w:tcPr>
          <w:p w14:paraId="7D42AFBA"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pravilnikom propisuje se bliži sadržaj zahtjeva za izdavanje odobrenja za istraživanja i ispitivanja novih sredstava za ishranu bilja.</w:t>
            </w:r>
          </w:p>
        </w:tc>
      </w:tr>
    </w:tbl>
    <w:p w14:paraId="120FC92D" w14:textId="77777777" w:rsidR="00A73F66" w:rsidRPr="00AB15C7" w:rsidRDefault="00A73F66" w:rsidP="005921EF">
      <w:pPr>
        <w:jc w:val="both"/>
        <w:rPr>
          <w:rFonts w:ascii="Cambria" w:hAnsi="Cambria"/>
          <w:b/>
          <w:bCs/>
          <w:noProof/>
        </w:rPr>
      </w:pPr>
    </w:p>
    <w:p w14:paraId="02A5704F" w14:textId="75C6BCAB" w:rsidR="00A73F66" w:rsidRPr="00AB15C7" w:rsidRDefault="00C65B0A" w:rsidP="005921EF">
      <w:pPr>
        <w:jc w:val="both"/>
        <w:rPr>
          <w:rFonts w:ascii="Cambria" w:hAnsi="Cambria"/>
          <w:b/>
          <w:bCs/>
          <w:noProof/>
        </w:rPr>
      </w:pPr>
      <w:r w:rsidRPr="00AB15C7">
        <w:rPr>
          <w:rFonts w:ascii="Cambria" w:hAnsi="Cambria"/>
          <w:b/>
          <w:bCs/>
          <w:noProof/>
        </w:rPr>
        <w:t>D</w:t>
      </w:r>
      <w:r>
        <w:rPr>
          <w:rFonts w:ascii="Cambria" w:hAnsi="Cambria"/>
          <w:b/>
          <w:bCs/>
          <w:noProof/>
        </w:rPr>
        <w:t>I</w:t>
      </w:r>
      <w:r w:rsidRPr="00AB15C7">
        <w:rPr>
          <w:rFonts w:ascii="Cambria" w:hAnsi="Cambria"/>
          <w:b/>
          <w:bCs/>
          <w:noProof/>
        </w:rPr>
        <w:t xml:space="preserve">O </w:t>
      </w:r>
      <w:r w:rsidR="0042058B" w:rsidRPr="00AB15C7">
        <w:rPr>
          <w:rFonts w:ascii="Cambria" w:hAnsi="Cambria"/>
          <w:b/>
          <w:bCs/>
          <w:noProof/>
        </w:rPr>
        <w:t xml:space="preserve">3. DRUGI PROPISI OD ZNAČAJA ZA BEZBEDNO UPRAVLJANJE HEMIKALIJAMA </w:t>
      </w:r>
    </w:p>
    <w:p w14:paraId="1FD23994" w14:textId="77777777" w:rsidR="001247F3" w:rsidRPr="00A76A53" w:rsidRDefault="00A73F66" w:rsidP="00557C13">
      <w:pPr>
        <w:numPr>
          <w:ilvl w:val="0"/>
          <w:numId w:val="30"/>
        </w:numPr>
        <w:jc w:val="both"/>
        <w:rPr>
          <w:rFonts w:ascii="Cambria" w:hAnsi="Cambria"/>
          <w:b/>
          <w:noProof/>
          <w:lang w:val="sr-Latn-ME"/>
        </w:rPr>
      </w:pPr>
      <w:r w:rsidRPr="00A76A53">
        <w:rPr>
          <w:rFonts w:ascii="Cambria" w:hAnsi="Cambria"/>
          <w:b/>
          <w:noProof/>
          <w:lang w:val="sr-Latn-ME"/>
        </w:rPr>
        <w:t>Propisi u oblasti zaštite životne sredine</w:t>
      </w:r>
    </w:p>
    <w:p w14:paraId="5EF7A30E" w14:textId="77777777" w:rsidR="001247F3" w:rsidRPr="00AB15C7" w:rsidRDefault="001247F3" w:rsidP="005921EF">
      <w:pPr>
        <w:rPr>
          <w:rFonts w:ascii="Cambria" w:hAnsi="Cambria"/>
          <w:noProof/>
          <w:lang w:val="sr-Latn-ME" w:eastAsia="x-none"/>
        </w:rPr>
      </w:pPr>
      <w:r w:rsidRPr="00AB15C7">
        <w:rPr>
          <w:rFonts w:ascii="Cambria" w:hAnsi="Cambria"/>
          <w:b/>
          <w:i/>
          <w:noProof/>
          <w:lang w:val="sr-Latn-ME" w:eastAsia="x-none"/>
        </w:rPr>
        <w:t xml:space="preserve">Tabela A5. </w:t>
      </w:r>
      <w:r w:rsidRPr="00A76A53">
        <w:rPr>
          <w:rFonts w:ascii="Cambria" w:hAnsi="Cambria"/>
          <w:b/>
          <w:noProof/>
          <w:lang w:val="sr-Latn-ME" w:eastAsia="x-none"/>
        </w:rPr>
        <w:t>Važeći propisi koji se odnose na oblast životne sredine - Zakon o životnoj sredini</w:t>
      </w:r>
      <w:r w:rsidRPr="00AB15C7">
        <w:rPr>
          <w:rFonts w:ascii="Cambria" w:hAnsi="Cambria"/>
          <w:b/>
          <w:i/>
          <w:noProof/>
          <w:lang w:val="sr-Latn-ME" w:eastAsia="x-none"/>
        </w:rPr>
        <w:t xml:space="preserve"> </w:t>
      </w:r>
    </w:p>
    <w:tbl>
      <w:tblPr>
        <w:tblW w:w="52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23"/>
        <w:gridCol w:w="1609"/>
        <w:gridCol w:w="4630"/>
        <w:gridCol w:w="4523"/>
      </w:tblGrid>
      <w:tr w:rsidR="001247F3" w:rsidRPr="00AB15C7" w14:paraId="463C8BB0" w14:textId="77777777" w:rsidTr="00165701">
        <w:trPr>
          <w:trHeight w:val="480"/>
        </w:trPr>
        <w:tc>
          <w:tcPr>
            <w:tcW w:w="1259" w:type="pct"/>
            <w:tcBorders>
              <w:top w:val="double" w:sz="4" w:space="0" w:color="auto"/>
              <w:left w:val="double" w:sz="4" w:space="0" w:color="auto"/>
              <w:bottom w:val="single" w:sz="4" w:space="0" w:color="000000"/>
              <w:right w:val="single" w:sz="4" w:space="0" w:color="000000"/>
            </w:tcBorders>
            <w:shd w:val="clear" w:color="auto" w:fill="D9D9D9"/>
          </w:tcPr>
          <w:p w14:paraId="5D373B15" w14:textId="77777777" w:rsidR="001247F3" w:rsidRPr="00AB15C7" w:rsidRDefault="001247F3" w:rsidP="005921EF">
            <w:pPr>
              <w:spacing w:after="0"/>
              <w:rPr>
                <w:rFonts w:ascii="Cambria" w:hAnsi="Cambria"/>
                <w:b/>
                <w:noProof/>
                <w:lang w:val="sr-Latn-ME" w:eastAsia="x-none"/>
              </w:rPr>
            </w:pPr>
            <w:r w:rsidRPr="00AB15C7">
              <w:rPr>
                <w:rFonts w:ascii="Cambria" w:hAnsi="Cambria"/>
                <w:b/>
                <w:noProof/>
                <w:lang w:val="sr-Latn-ME" w:eastAsia="x-none"/>
              </w:rPr>
              <w:t>Propis</w:t>
            </w:r>
          </w:p>
        </w:tc>
        <w:tc>
          <w:tcPr>
            <w:tcW w:w="559" w:type="pct"/>
            <w:tcBorders>
              <w:top w:val="double" w:sz="4" w:space="0" w:color="auto"/>
              <w:left w:val="single" w:sz="4" w:space="0" w:color="000000"/>
              <w:bottom w:val="single" w:sz="4" w:space="0" w:color="000000"/>
              <w:right w:val="single" w:sz="4" w:space="0" w:color="000000"/>
            </w:tcBorders>
            <w:shd w:val="clear" w:color="auto" w:fill="D9D9D9"/>
          </w:tcPr>
          <w:p w14:paraId="2AE27D28" w14:textId="77777777" w:rsidR="001247F3" w:rsidRPr="00AB15C7" w:rsidRDefault="001247F3" w:rsidP="005921EF">
            <w:pPr>
              <w:spacing w:after="0"/>
              <w:rPr>
                <w:rFonts w:ascii="Cambria" w:hAnsi="Cambria"/>
                <w:b/>
                <w:noProof/>
                <w:lang w:val="sr-Latn-ME" w:eastAsia="x-none"/>
              </w:rPr>
            </w:pPr>
            <w:r w:rsidRPr="00AB15C7">
              <w:rPr>
                <w:rFonts w:ascii="Cambria" w:hAnsi="Cambria"/>
                <w:b/>
                <w:noProof/>
                <w:lang w:val="sr-Latn-ME" w:eastAsia="x-none"/>
              </w:rPr>
              <w:t xml:space="preserve">Nadležni organ </w:t>
            </w:r>
          </w:p>
        </w:tc>
        <w:tc>
          <w:tcPr>
            <w:tcW w:w="1609" w:type="pct"/>
            <w:tcBorders>
              <w:top w:val="double" w:sz="4" w:space="0" w:color="auto"/>
              <w:left w:val="single" w:sz="4" w:space="0" w:color="000000"/>
              <w:bottom w:val="single" w:sz="4" w:space="0" w:color="000000"/>
              <w:right w:val="single" w:sz="4" w:space="0" w:color="000000"/>
            </w:tcBorders>
            <w:shd w:val="clear" w:color="auto" w:fill="D9D9D9"/>
          </w:tcPr>
          <w:p w14:paraId="4DE829EB" w14:textId="77777777" w:rsidR="001247F3" w:rsidRPr="00AB15C7" w:rsidRDefault="001247F3" w:rsidP="005921EF">
            <w:pPr>
              <w:spacing w:after="0"/>
              <w:rPr>
                <w:rFonts w:ascii="Cambria" w:hAnsi="Cambria"/>
                <w:b/>
                <w:noProof/>
                <w:lang w:val="sr-Latn-ME" w:eastAsia="x-none"/>
              </w:rPr>
            </w:pPr>
            <w:r w:rsidRPr="00AB15C7">
              <w:rPr>
                <w:rFonts w:ascii="Cambria" w:hAnsi="Cambria"/>
                <w:b/>
                <w:noProof/>
                <w:lang w:val="sr-Latn-ME" w:eastAsia="x-none"/>
              </w:rPr>
              <w:t>Regulisana hemikalija</w:t>
            </w:r>
          </w:p>
        </w:tc>
        <w:tc>
          <w:tcPr>
            <w:tcW w:w="1572" w:type="pct"/>
            <w:tcBorders>
              <w:top w:val="double" w:sz="4" w:space="0" w:color="auto"/>
              <w:left w:val="single" w:sz="4" w:space="0" w:color="000000"/>
              <w:bottom w:val="single" w:sz="4" w:space="0" w:color="000000"/>
              <w:right w:val="double" w:sz="4" w:space="0" w:color="auto"/>
            </w:tcBorders>
            <w:shd w:val="clear" w:color="auto" w:fill="D9D9D9"/>
          </w:tcPr>
          <w:p w14:paraId="5E9CF3A9" w14:textId="77777777" w:rsidR="001247F3" w:rsidRPr="00AB15C7" w:rsidRDefault="001247F3" w:rsidP="005921EF">
            <w:pPr>
              <w:spacing w:after="0"/>
              <w:rPr>
                <w:rFonts w:ascii="Cambria" w:hAnsi="Cambria"/>
                <w:b/>
                <w:noProof/>
                <w:lang w:val="sr-Latn-ME" w:eastAsia="x-none"/>
              </w:rPr>
            </w:pPr>
            <w:r w:rsidRPr="00AB15C7">
              <w:rPr>
                <w:rFonts w:ascii="Cambria" w:hAnsi="Cambria"/>
                <w:b/>
                <w:noProof/>
                <w:lang w:val="sr-Latn-ME" w:eastAsia="x-none"/>
              </w:rPr>
              <w:t>Cilj propisa</w:t>
            </w:r>
          </w:p>
        </w:tc>
      </w:tr>
      <w:tr w:rsidR="001247F3" w:rsidRPr="00AB15C7" w14:paraId="0A7F6E45" w14:textId="77777777" w:rsidTr="00165701">
        <w:trPr>
          <w:trHeight w:val="480"/>
        </w:trPr>
        <w:tc>
          <w:tcPr>
            <w:tcW w:w="1259" w:type="pct"/>
            <w:tcBorders>
              <w:top w:val="single" w:sz="4" w:space="0" w:color="auto"/>
              <w:left w:val="double" w:sz="4" w:space="0" w:color="auto"/>
              <w:bottom w:val="single" w:sz="4" w:space="0" w:color="000000"/>
              <w:right w:val="single" w:sz="4" w:space="0" w:color="000000"/>
            </w:tcBorders>
          </w:tcPr>
          <w:p w14:paraId="1BC7AAFE" w14:textId="77777777" w:rsidR="001247F3" w:rsidRPr="00AB15C7" w:rsidRDefault="001247F3" w:rsidP="005921EF">
            <w:pPr>
              <w:spacing w:after="0"/>
              <w:rPr>
                <w:rFonts w:ascii="Cambria" w:hAnsi="Cambria"/>
                <w:noProof/>
                <w:lang w:val="sr-Latn-ME" w:eastAsia="x-none"/>
              </w:rPr>
            </w:pPr>
            <w:r w:rsidRPr="00AB15C7">
              <w:rPr>
                <w:rFonts w:ascii="Cambria" w:hAnsi="Cambria"/>
                <w:b/>
                <w:noProof/>
                <w:lang w:val="sr-Latn-ME" w:eastAsia="x-none"/>
              </w:rPr>
              <w:t xml:space="preserve">Zakon o životnoj sredini </w:t>
            </w:r>
            <w:r w:rsidRPr="00AB15C7">
              <w:rPr>
                <w:rFonts w:ascii="Cambria" w:hAnsi="Cambria"/>
                <w:noProof/>
                <w:lang w:val="sr-Latn-ME" w:eastAsia="x-none"/>
              </w:rPr>
              <w:t>(„Sl. list CG”, br. 25/16)</w:t>
            </w:r>
            <w:r w:rsidRPr="00AB15C7">
              <w:rPr>
                <w:rFonts w:ascii="Cambria" w:hAnsi="Cambria"/>
                <w:noProof/>
                <w:lang w:eastAsia="x-none"/>
              </w:rPr>
              <w:t xml:space="preserve"> </w:t>
            </w:r>
          </w:p>
        </w:tc>
        <w:tc>
          <w:tcPr>
            <w:tcW w:w="559" w:type="pct"/>
            <w:tcBorders>
              <w:top w:val="single" w:sz="4" w:space="0" w:color="auto"/>
              <w:left w:val="single" w:sz="4" w:space="0" w:color="000000"/>
              <w:bottom w:val="single" w:sz="4" w:space="0" w:color="000000"/>
              <w:right w:val="single" w:sz="4" w:space="0" w:color="000000"/>
            </w:tcBorders>
          </w:tcPr>
          <w:p w14:paraId="55F793C2"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MORT</w:t>
            </w:r>
          </w:p>
        </w:tc>
        <w:tc>
          <w:tcPr>
            <w:tcW w:w="1609" w:type="pct"/>
            <w:tcBorders>
              <w:top w:val="single" w:sz="4" w:space="0" w:color="auto"/>
              <w:left w:val="single" w:sz="4" w:space="0" w:color="000000"/>
              <w:bottom w:val="single" w:sz="4" w:space="0" w:color="000000"/>
              <w:right w:val="single" w:sz="4" w:space="0" w:color="000000"/>
            </w:tcBorders>
          </w:tcPr>
          <w:p w14:paraId="15EC703E"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opasne materije</w:t>
            </w:r>
            <w:r w:rsidRPr="00AB15C7">
              <w:rPr>
                <w:rFonts w:ascii="Cambria" w:hAnsi="Cambria"/>
                <w:noProof/>
                <w:vertAlign w:val="superscript"/>
                <w:lang w:val="sr-Latn-ME" w:eastAsia="x-none"/>
              </w:rPr>
              <w:footnoteReference w:id="65"/>
            </w:r>
            <w:r w:rsidRPr="00AB15C7">
              <w:rPr>
                <w:rFonts w:ascii="Cambria" w:hAnsi="Cambria"/>
                <w:noProof/>
                <w:lang w:val="sr-Latn-ME" w:eastAsia="x-none"/>
              </w:rPr>
              <w:t xml:space="preserve"> koje imaju štetne uticaje na životnu sredinu,  hemikalije</w:t>
            </w:r>
          </w:p>
        </w:tc>
        <w:tc>
          <w:tcPr>
            <w:tcW w:w="1572" w:type="pct"/>
            <w:tcBorders>
              <w:top w:val="single" w:sz="4" w:space="0" w:color="auto"/>
              <w:left w:val="single" w:sz="4" w:space="0" w:color="000000"/>
              <w:bottom w:val="single" w:sz="4" w:space="0" w:color="000000"/>
              <w:right w:val="double" w:sz="4" w:space="0" w:color="auto"/>
            </w:tcBorders>
          </w:tcPr>
          <w:p w14:paraId="2A9AAA2E"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uređuju se principi zaštite životne sredine i održivog razvoja, instrumenti i mjere zaštite životne sredine i druga pitanja od značaja za životnu sredinu</w:t>
            </w:r>
          </w:p>
        </w:tc>
      </w:tr>
      <w:tr w:rsidR="001247F3" w:rsidRPr="00AB15C7" w14:paraId="632BBE5E" w14:textId="77777777" w:rsidTr="00165701">
        <w:trPr>
          <w:trHeight w:val="480"/>
        </w:trPr>
        <w:tc>
          <w:tcPr>
            <w:tcW w:w="1259" w:type="pct"/>
            <w:tcBorders>
              <w:top w:val="single" w:sz="4" w:space="0" w:color="auto"/>
              <w:left w:val="double" w:sz="4" w:space="0" w:color="auto"/>
              <w:bottom w:val="single" w:sz="4" w:space="0" w:color="auto"/>
            </w:tcBorders>
            <w:shd w:val="clear" w:color="auto" w:fill="F2F2F2"/>
          </w:tcPr>
          <w:p w14:paraId="55B61273" w14:textId="77777777" w:rsidR="001247F3" w:rsidRPr="00AB15C7" w:rsidRDefault="001247F3" w:rsidP="005921EF">
            <w:pPr>
              <w:spacing w:after="0"/>
              <w:rPr>
                <w:rFonts w:ascii="Cambria" w:hAnsi="Cambria"/>
                <w:i/>
                <w:noProof/>
                <w:lang w:val="sr-Latn-ME" w:eastAsia="x-none"/>
              </w:rPr>
            </w:pPr>
            <w:r w:rsidRPr="00AB15C7">
              <w:rPr>
                <w:rFonts w:ascii="Cambria" w:hAnsi="Cambria"/>
                <w:i/>
                <w:noProof/>
                <w:lang w:val="sr-Latn-ME" w:eastAsia="x-none"/>
              </w:rPr>
              <w:t>Podzakonski propisi za sprovođenje ovog zakona</w:t>
            </w:r>
          </w:p>
        </w:tc>
        <w:tc>
          <w:tcPr>
            <w:tcW w:w="559" w:type="pct"/>
            <w:tcBorders>
              <w:top w:val="single" w:sz="4" w:space="0" w:color="auto"/>
              <w:bottom w:val="single" w:sz="4" w:space="0" w:color="auto"/>
            </w:tcBorders>
            <w:shd w:val="clear" w:color="auto" w:fill="F2F2F2"/>
          </w:tcPr>
          <w:p w14:paraId="44EEA742" w14:textId="77777777" w:rsidR="001247F3" w:rsidRPr="00AB15C7" w:rsidRDefault="001247F3" w:rsidP="005921EF">
            <w:pPr>
              <w:spacing w:after="0"/>
              <w:rPr>
                <w:rFonts w:ascii="Cambria" w:hAnsi="Cambria"/>
                <w:i/>
                <w:noProof/>
                <w:lang w:val="sr-Latn-ME" w:eastAsia="x-none"/>
              </w:rPr>
            </w:pPr>
            <w:r w:rsidRPr="00AB15C7">
              <w:rPr>
                <w:rFonts w:ascii="Cambria" w:hAnsi="Cambria"/>
                <w:i/>
                <w:noProof/>
                <w:lang w:val="sr-Latn-ME" w:eastAsia="x-none"/>
              </w:rPr>
              <w:t xml:space="preserve">Nadležni organ </w:t>
            </w:r>
          </w:p>
        </w:tc>
        <w:tc>
          <w:tcPr>
            <w:tcW w:w="1609" w:type="pct"/>
            <w:tcBorders>
              <w:top w:val="single" w:sz="4" w:space="0" w:color="auto"/>
              <w:bottom w:val="single" w:sz="4" w:space="0" w:color="auto"/>
            </w:tcBorders>
            <w:shd w:val="clear" w:color="auto" w:fill="F2F2F2"/>
          </w:tcPr>
          <w:p w14:paraId="129374E2" w14:textId="77777777" w:rsidR="001247F3" w:rsidRPr="00AB15C7" w:rsidRDefault="001247F3" w:rsidP="005921EF">
            <w:pPr>
              <w:spacing w:after="0"/>
              <w:rPr>
                <w:rFonts w:ascii="Cambria" w:hAnsi="Cambria"/>
                <w:i/>
                <w:noProof/>
                <w:lang w:val="sr-Latn-ME" w:eastAsia="x-none"/>
              </w:rPr>
            </w:pPr>
            <w:r w:rsidRPr="00AB15C7">
              <w:rPr>
                <w:rFonts w:ascii="Cambria" w:hAnsi="Cambria"/>
                <w:i/>
                <w:noProof/>
                <w:lang w:val="sr-Latn-ME" w:eastAsia="x-none"/>
              </w:rPr>
              <w:t>Regulisana hemikalija</w:t>
            </w:r>
          </w:p>
        </w:tc>
        <w:tc>
          <w:tcPr>
            <w:tcW w:w="1572" w:type="pct"/>
            <w:tcBorders>
              <w:top w:val="single" w:sz="4" w:space="0" w:color="auto"/>
              <w:bottom w:val="single" w:sz="4" w:space="0" w:color="auto"/>
              <w:right w:val="double" w:sz="4" w:space="0" w:color="auto"/>
            </w:tcBorders>
            <w:shd w:val="clear" w:color="auto" w:fill="F2F2F2"/>
          </w:tcPr>
          <w:p w14:paraId="3DF7B6C7" w14:textId="77777777" w:rsidR="001247F3" w:rsidRPr="00AB15C7" w:rsidRDefault="001247F3" w:rsidP="005921EF">
            <w:pPr>
              <w:spacing w:after="0"/>
              <w:rPr>
                <w:rFonts w:ascii="Cambria" w:hAnsi="Cambria"/>
                <w:i/>
                <w:noProof/>
                <w:lang w:val="sr-Latn-ME" w:eastAsia="x-none"/>
              </w:rPr>
            </w:pPr>
            <w:r w:rsidRPr="00AB15C7">
              <w:rPr>
                <w:rFonts w:ascii="Cambria" w:hAnsi="Cambria"/>
                <w:i/>
                <w:noProof/>
                <w:lang w:val="sr-Latn-ME" w:eastAsia="x-none"/>
              </w:rPr>
              <w:t>Cilj propisa</w:t>
            </w:r>
          </w:p>
        </w:tc>
      </w:tr>
      <w:tr w:rsidR="001247F3" w:rsidRPr="00AB15C7" w14:paraId="73BC062B" w14:textId="77777777" w:rsidTr="00165701">
        <w:trPr>
          <w:trHeight w:val="480"/>
        </w:trPr>
        <w:tc>
          <w:tcPr>
            <w:tcW w:w="1259" w:type="pct"/>
            <w:tcBorders>
              <w:top w:val="single" w:sz="4" w:space="0" w:color="auto"/>
              <w:left w:val="double" w:sz="4" w:space="0" w:color="auto"/>
              <w:bottom w:val="single" w:sz="4" w:space="0" w:color="auto"/>
            </w:tcBorders>
          </w:tcPr>
          <w:p w14:paraId="20330054" w14:textId="77777777" w:rsidR="001247F3" w:rsidRPr="00AB15C7" w:rsidRDefault="001247F3" w:rsidP="005921EF">
            <w:pPr>
              <w:spacing w:after="0"/>
              <w:rPr>
                <w:rFonts w:ascii="Cambria" w:hAnsi="Cambria"/>
                <w:bCs/>
                <w:noProof/>
                <w:lang w:val="sr-Latn-CS" w:eastAsia="x-none"/>
              </w:rPr>
            </w:pPr>
            <w:r w:rsidRPr="00AB15C7">
              <w:rPr>
                <w:rFonts w:ascii="Cambria" w:hAnsi="Cambria"/>
                <w:noProof/>
                <w:lang w:eastAsia="x-none"/>
              </w:rPr>
              <w:lastRenderedPageBreak/>
              <w:t>P</w:t>
            </w:r>
            <w:r w:rsidRPr="00AB15C7">
              <w:rPr>
                <w:rFonts w:ascii="Cambria" w:hAnsi="Cambria"/>
                <w:bCs/>
                <w:noProof/>
                <w:lang w:val="sr-Latn-CS" w:eastAsia="x-none"/>
              </w:rPr>
              <w:t>ravilnik o kriterijumima koje treba da ispunjava referentna laboratorija za monitoring životne sredine ("Sl. list CG", br.</w:t>
            </w:r>
            <w:r w:rsidRPr="00AB15C7">
              <w:rPr>
                <w:rFonts w:ascii="Cambria" w:hAnsi="Cambria"/>
                <w:noProof/>
              </w:rPr>
              <w:t xml:space="preserve"> </w:t>
            </w:r>
            <w:r w:rsidRPr="00AB15C7">
              <w:rPr>
                <w:rFonts w:ascii="Cambria" w:hAnsi="Cambria"/>
                <w:bCs/>
                <w:noProof/>
                <w:lang w:val="sr-Latn-CS" w:eastAsia="x-none"/>
              </w:rPr>
              <w:t>11/17)</w:t>
            </w:r>
          </w:p>
        </w:tc>
        <w:tc>
          <w:tcPr>
            <w:tcW w:w="559" w:type="pct"/>
            <w:tcBorders>
              <w:top w:val="single" w:sz="4" w:space="0" w:color="auto"/>
              <w:bottom w:val="single" w:sz="4" w:space="0" w:color="auto"/>
            </w:tcBorders>
          </w:tcPr>
          <w:p w14:paraId="5FA06ABC"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MORT</w:t>
            </w:r>
          </w:p>
        </w:tc>
        <w:tc>
          <w:tcPr>
            <w:tcW w:w="1609" w:type="pct"/>
            <w:tcBorders>
              <w:top w:val="single" w:sz="4" w:space="0" w:color="auto"/>
              <w:bottom w:val="single" w:sz="4" w:space="0" w:color="auto"/>
            </w:tcBorders>
          </w:tcPr>
          <w:p w14:paraId="282B8E6F" w14:textId="77777777" w:rsidR="001247F3" w:rsidRPr="00AB15C7" w:rsidRDefault="00137E53" w:rsidP="005921EF">
            <w:pPr>
              <w:spacing w:after="0"/>
              <w:rPr>
                <w:rFonts w:ascii="Cambria" w:hAnsi="Cambria"/>
                <w:noProof/>
                <w:lang w:val="sr-Latn-ME" w:eastAsia="x-none"/>
              </w:rPr>
            </w:pPr>
            <w:r w:rsidRPr="00AB15C7">
              <w:rPr>
                <w:rFonts w:ascii="Cambria" w:hAnsi="Cambria"/>
                <w:noProof/>
                <w:lang w:val="sr-Latn-ME" w:eastAsia="x-none"/>
              </w:rPr>
              <w:t xml:space="preserve">hemikalije </w:t>
            </w:r>
            <w:r w:rsidR="001247F3" w:rsidRPr="00AB15C7">
              <w:rPr>
                <w:rFonts w:ascii="Cambria" w:hAnsi="Cambria"/>
                <w:noProof/>
                <w:lang w:val="sr-Latn-ME" w:eastAsia="x-none"/>
              </w:rPr>
              <w:t>u životnoj sredini</w:t>
            </w:r>
          </w:p>
        </w:tc>
        <w:tc>
          <w:tcPr>
            <w:tcW w:w="1572" w:type="pct"/>
            <w:tcBorders>
              <w:top w:val="single" w:sz="4" w:space="0" w:color="auto"/>
              <w:bottom w:val="single" w:sz="4" w:space="0" w:color="auto"/>
              <w:right w:val="double" w:sz="4" w:space="0" w:color="auto"/>
            </w:tcBorders>
          </w:tcPr>
          <w:p w14:paraId="2A03ED86"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CS" w:eastAsia="x-none"/>
              </w:rPr>
              <w:t>Referentna laboratorija za monitoring životne sredine u pogledu međulaboratorijske provjere kvaliteta rada i iskustva za pojedine poslove monitoringa, treba da ispunjava kriterijume utvrđene ovim pravilnikom.</w:t>
            </w:r>
          </w:p>
        </w:tc>
      </w:tr>
      <w:tr w:rsidR="001247F3" w:rsidRPr="00AB15C7" w14:paraId="622FA28F" w14:textId="77777777" w:rsidTr="00165701">
        <w:trPr>
          <w:trHeight w:val="480"/>
        </w:trPr>
        <w:tc>
          <w:tcPr>
            <w:tcW w:w="1259" w:type="pct"/>
            <w:tcBorders>
              <w:top w:val="single" w:sz="4" w:space="0" w:color="auto"/>
              <w:left w:val="double" w:sz="4" w:space="0" w:color="auto"/>
              <w:bottom w:val="single" w:sz="4" w:space="0" w:color="auto"/>
            </w:tcBorders>
          </w:tcPr>
          <w:p w14:paraId="0F458D52" w14:textId="77777777" w:rsidR="001247F3" w:rsidRPr="00AB15C7" w:rsidRDefault="001247F3" w:rsidP="005921EF">
            <w:pPr>
              <w:spacing w:after="0"/>
              <w:rPr>
                <w:rFonts w:ascii="Cambria" w:hAnsi="Cambria"/>
                <w:noProof/>
                <w:lang w:eastAsia="x-none"/>
              </w:rPr>
            </w:pPr>
            <w:r w:rsidRPr="00AB15C7">
              <w:rPr>
                <w:rFonts w:ascii="Cambria" w:hAnsi="Cambria"/>
                <w:noProof/>
                <w:lang w:eastAsia="x-none"/>
              </w:rPr>
              <w:t>P</w:t>
            </w:r>
            <w:r w:rsidRPr="00AB15C7">
              <w:rPr>
                <w:rFonts w:ascii="Cambria" w:hAnsi="Cambria"/>
                <w:bCs/>
                <w:noProof/>
                <w:lang w:eastAsia="x-none"/>
              </w:rPr>
              <w:t xml:space="preserve">ravilnik </w:t>
            </w:r>
            <w:r w:rsidRPr="00AB15C7">
              <w:rPr>
                <w:rFonts w:ascii="Cambria" w:hAnsi="Cambria"/>
                <w:noProof/>
                <w:lang w:eastAsia="x-none"/>
              </w:rPr>
              <w:t>o</w:t>
            </w:r>
            <w:r w:rsidRPr="00AB15C7">
              <w:rPr>
                <w:rFonts w:ascii="Cambria" w:hAnsi="Cambria"/>
                <w:bCs/>
                <w:noProof/>
                <w:lang w:eastAsia="x-none"/>
              </w:rPr>
              <w:t xml:space="preserve"> bližem sadržaju plana prevencije i plana zaštite od udesa </w:t>
            </w:r>
            <w:r w:rsidRPr="00AB15C7">
              <w:rPr>
                <w:rFonts w:ascii="Cambria" w:hAnsi="Cambria"/>
                <w:bCs/>
                <w:noProof/>
                <w:lang w:val="sr-Latn-ME" w:eastAsia="x-none"/>
              </w:rPr>
              <w:t>("Sl. list CG", br.</w:t>
            </w:r>
            <w:r w:rsidRPr="00AB15C7">
              <w:rPr>
                <w:rFonts w:ascii="Cambria" w:hAnsi="Cambria"/>
                <w:noProof/>
              </w:rPr>
              <w:t xml:space="preserve"> </w:t>
            </w:r>
            <w:r w:rsidRPr="00AB15C7">
              <w:rPr>
                <w:rFonts w:ascii="Cambria" w:hAnsi="Cambria"/>
                <w:bCs/>
                <w:noProof/>
                <w:lang w:val="sr-Latn-ME" w:eastAsia="x-none"/>
              </w:rPr>
              <w:t>67/16)</w:t>
            </w:r>
          </w:p>
        </w:tc>
        <w:tc>
          <w:tcPr>
            <w:tcW w:w="559" w:type="pct"/>
            <w:tcBorders>
              <w:top w:val="single" w:sz="4" w:space="0" w:color="auto"/>
              <w:bottom w:val="single" w:sz="4" w:space="0" w:color="auto"/>
            </w:tcBorders>
          </w:tcPr>
          <w:p w14:paraId="7A4B3344" w14:textId="77777777" w:rsidR="001247F3" w:rsidRPr="00AB15C7" w:rsidRDefault="001247F3" w:rsidP="005921EF">
            <w:pPr>
              <w:spacing w:after="0"/>
              <w:rPr>
                <w:rFonts w:ascii="Cambria" w:hAnsi="Cambria"/>
                <w:noProof/>
              </w:rPr>
            </w:pPr>
            <w:r w:rsidRPr="00AB15C7">
              <w:rPr>
                <w:rFonts w:ascii="Cambria" w:hAnsi="Cambria"/>
                <w:noProof/>
              </w:rPr>
              <w:t>MORT</w:t>
            </w:r>
          </w:p>
        </w:tc>
        <w:tc>
          <w:tcPr>
            <w:tcW w:w="1609" w:type="pct"/>
            <w:tcBorders>
              <w:top w:val="single" w:sz="4" w:space="0" w:color="auto"/>
              <w:bottom w:val="single" w:sz="4" w:space="0" w:color="auto"/>
            </w:tcBorders>
          </w:tcPr>
          <w:p w14:paraId="31FAA58D" w14:textId="77777777" w:rsidR="001247F3" w:rsidRPr="00AB15C7" w:rsidRDefault="008F78AC" w:rsidP="005921EF">
            <w:pPr>
              <w:spacing w:after="0"/>
              <w:rPr>
                <w:rFonts w:ascii="Cambria" w:hAnsi="Cambria"/>
                <w:noProof/>
              </w:rPr>
            </w:pPr>
            <w:r w:rsidRPr="00AB15C7">
              <w:rPr>
                <w:rFonts w:ascii="Cambria" w:hAnsi="Cambria"/>
                <w:noProof/>
              </w:rPr>
              <w:t>hemi</w:t>
            </w:r>
            <w:r>
              <w:rPr>
                <w:rFonts w:ascii="Cambria" w:hAnsi="Cambria"/>
                <w:noProof/>
              </w:rPr>
              <w:t>k</w:t>
            </w:r>
            <w:r w:rsidRPr="00AB15C7">
              <w:rPr>
                <w:rFonts w:ascii="Cambria" w:hAnsi="Cambria"/>
                <w:noProof/>
              </w:rPr>
              <w:t xml:space="preserve">alije </w:t>
            </w:r>
            <w:r w:rsidR="001247F3" w:rsidRPr="00AB15C7">
              <w:rPr>
                <w:rFonts w:ascii="Cambria" w:hAnsi="Cambria"/>
                <w:noProof/>
              </w:rPr>
              <w:t>u vezi sa hemijskim udesima</w:t>
            </w:r>
          </w:p>
        </w:tc>
        <w:tc>
          <w:tcPr>
            <w:tcW w:w="1572" w:type="pct"/>
            <w:tcBorders>
              <w:top w:val="single" w:sz="4" w:space="0" w:color="auto"/>
              <w:bottom w:val="single" w:sz="4" w:space="0" w:color="auto"/>
              <w:right w:val="double" w:sz="4" w:space="0" w:color="auto"/>
            </w:tcBorders>
          </w:tcPr>
          <w:p w14:paraId="77ADD0C9"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bliži sadržaj plana prevencije udesa i obavještenja o seveso postrojenju, sadržaj i metodologija izrade izvještaja o bezbjednosti i plana zaštite od udesa.</w:t>
            </w:r>
          </w:p>
        </w:tc>
      </w:tr>
      <w:tr w:rsidR="001247F3" w:rsidRPr="00AB15C7" w14:paraId="1BAC8C54" w14:textId="77777777" w:rsidTr="00165701">
        <w:trPr>
          <w:trHeight w:val="480"/>
        </w:trPr>
        <w:tc>
          <w:tcPr>
            <w:tcW w:w="1259" w:type="pct"/>
            <w:tcBorders>
              <w:top w:val="single" w:sz="4" w:space="0" w:color="auto"/>
              <w:left w:val="double" w:sz="4" w:space="0" w:color="auto"/>
              <w:bottom w:val="single" w:sz="4" w:space="0" w:color="auto"/>
            </w:tcBorders>
          </w:tcPr>
          <w:p w14:paraId="587C2562" w14:textId="77777777" w:rsidR="001247F3" w:rsidRPr="0015164C" w:rsidRDefault="001247F3" w:rsidP="005921EF">
            <w:pPr>
              <w:spacing w:after="0"/>
              <w:rPr>
                <w:rFonts w:ascii="Cambria" w:hAnsi="Cambria"/>
                <w:noProof/>
                <w:lang w:val="sr-Latn-ME" w:eastAsia="x-none"/>
              </w:rPr>
            </w:pPr>
            <w:r w:rsidRPr="0015164C">
              <w:rPr>
                <w:rFonts w:ascii="Cambria" w:hAnsi="Cambria"/>
                <w:noProof/>
                <w:lang w:val="sr-Latn-ME" w:eastAsia="x-none"/>
              </w:rPr>
              <w:t>Pravilnik o količinama opasnih materija po kategorijama kojima se određuje stepen rizika seveso postrojenja ("Sl. list CG", br. 67/16)</w:t>
            </w:r>
          </w:p>
        </w:tc>
        <w:tc>
          <w:tcPr>
            <w:tcW w:w="559" w:type="pct"/>
            <w:tcBorders>
              <w:top w:val="single" w:sz="4" w:space="0" w:color="auto"/>
              <w:bottom w:val="single" w:sz="4" w:space="0" w:color="auto"/>
            </w:tcBorders>
          </w:tcPr>
          <w:p w14:paraId="2DB30DD9" w14:textId="77777777" w:rsidR="001247F3" w:rsidRPr="0015164C" w:rsidRDefault="0015164C" w:rsidP="005921EF">
            <w:pPr>
              <w:spacing w:after="0"/>
              <w:rPr>
                <w:rFonts w:ascii="Cambria" w:hAnsi="Cambria"/>
                <w:noProof/>
                <w:lang w:val="sr-Latn-ME" w:eastAsia="x-none"/>
              </w:rPr>
            </w:pPr>
            <w:r w:rsidRPr="0015164C">
              <w:rPr>
                <w:rFonts w:ascii="Cambria" w:hAnsi="Cambria"/>
                <w:noProof/>
                <w:lang w:val="sr-Latn-ME" w:eastAsia="x-none"/>
              </w:rPr>
              <w:t>MORT</w:t>
            </w:r>
          </w:p>
        </w:tc>
        <w:tc>
          <w:tcPr>
            <w:tcW w:w="1609" w:type="pct"/>
            <w:tcBorders>
              <w:top w:val="single" w:sz="4" w:space="0" w:color="auto"/>
              <w:bottom w:val="single" w:sz="4" w:space="0" w:color="auto"/>
            </w:tcBorders>
          </w:tcPr>
          <w:p w14:paraId="4927113A" w14:textId="77777777" w:rsidR="001247F3" w:rsidRPr="0015164C" w:rsidRDefault="001247F3" w:rsidP="005921EF">
            <w:pPr>
              <w:spacing w:after="0"/>
              <w:rPr>
                <w:rFonts w:ascii="Cambria" w:hAnsi="Cambria"/>
                <w:noProof/>
                <w:lang w:val="sr-Latn-ME" w:eastAsia="x-none"/>
              </w:rPr>
            </w:pPr>
            <w:r w:rsidRPr="0015164C">
              <w:rPr>
                <w:rFonts w:ascii="Cambria" w:hAnsi="Cambria"/>
                <w:noProof/>
                <w:lang w:val="sr-Latn-ME" w:eastAsia="x-none"/>
              </w:rPr>
              <w:t xml:space="preserve">opasne materije (hemikalije) </w:t>
            </w:r>
          </w:p>
        </w:tc>
        <w:tc>
          <w:tcPr>
            <w:tcW w:w="1572" w:type="pct"/>
            <w:tcBorders>
              <w:top w:val="single" w:sz="4" w:space="0" w:color="auto"/>
              <w:bottom w:val="single" w:sz="4" w:space="0" w:color="auto"/>
              <w:right w:val="double" w:sz="4" w:space="0" w:color="auto"/>
            </w:tcBorders>
          </w:tcPr>
          <w:p w14:paraId="7ACCBE46"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količina opasnih materija po kategorijama kojima se određuje stepen rizika seveso postrojenja.</w:t>
            </w:r>
          </w:p>
        </w:tc>
      </w:tr>
      <w:tr w:rsidR="001247F3" w:rsidRPr="00AB15C7" w14:paraId="1BCFF280" w14:textId="77777777" w:rsidTr="00165701">
        <w:trPr>
          <w:trHeight w:val="480"/>
        </w:trPr>
        <w:tc>
          <w:tcPr>
            <w:tcW w:w="1259" w:type="pct"/>
            <w:tcBorders>
              <w:top w:val="single" w:sz="4" w:space="0" w:color="auto"/>
              <w:left w:val="double" w:sz="4" w:space="0" w:color="auto"/>
              <w:bottom w:val="single" w:sz="4" w:space="0" w:color="auto"/>
            </w:tcBorders>
          </w:tcPr>
          <w:p w14:paraId="45902099"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Pravilnik o bližem sadržaju i načinu vođenja katastra zagađivača životne sredine ("Sl. list CG", br. 45/17)</w:t>
            </w:r>
          </w:p>
        </w:tc>
        <w:tc>
          <w:tcPr>
            <w:tcW w:w="559" w:type="pct"/>
            <w:tcBorders>
              <w:top w:val="single" w:sz="4" w:space="0" w:color="auto"/>
              <w:bottom w:val="single" w:sz="4" w:space="0" w:color="auto"/>
            </w:tcBorders>
          </w:tcPr>
          <w:p w14:paraId="453F5C42"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MORT</w:t>
            </w:r>
          </w:p>
        </w:tc>
        <w:tc>
          <w:tcPr>
            <w:tcW w:w="1609" w:type="pct"/>
            <w:tcBorders>
              <w:top w:val="single" w:sz="4" w:space="0" w:color="auto"/>
              <w:bottom w:val="single" w:sz="4" w:space="0" w:color="auto"/>
            </w:tcBorders>
          </w:tcPr>
          <w:p w14:paraId="2AC31F2D"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zagađujuće materije i otpad</w:t>
            </w:r>
          </w:p>
        </w:tc>
        <w:tc>
          <w:tcPr>
            <w:tcW w:w="1572" w:type="pct"/>
            <w:tcBorders>
              <w:top w:val="single" w:sz="4" w:space="0" w:color="auto"/>
              <w:bottom w:val="single" w:sz="4" w:space="0" w:color="auto"/>
              <w:right w:val="double" w:sz="4" w:space="0" w:color="auto"/>
            </w:tcBorders>
          </w:tcPr>
          <w:p w14:paraId="1A8FDAF7"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bliži sadržaj i način vođenja katastra zagađivača, obveznici, način, rokovi prikupljanja i dostavljanja podataka o emisijama, odnosno ispuštanju i drugi podaci od značaja.</w:t>
            </w:r>
          </w:p>
        </w:tc>
      </w:tr>
      <w:tr w:rsidR="001247F3" w:rsidRPr="00AB15C7" w14:paraId="54A82F78" w14:textId="77777777" w:rsidTr="00165701">
        <w:trPr>
          <w:trHeight w:val="480"/>
        </w:trPr>
        <w:tc>
          <w:tcPr>
            <w:tcW w:w="1259" w:type="pct"/>
            <w:tcBorders>
              <w:top w:val="single" w:sz="4" w:space="0" w:color="auto"/>
              <w:left w:val="double" w:sz="4" w:space="0" w:color="auto"/>
              <w:bottom w:val="single" w:sz="4" w:space="0" w:color="auto"/>
            </w:tcBorders>
          </w:tcPr>
          <w:p w14:paraId="1396D7E4"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Pravilnik o bližim uslovima, kriterijumima i postupku za dobijanje prava na korišćenje ekološkog znaka ("Sl. list CG", br. 50/17)</w:t>
            </w:r>
          </w:p>
        </w:tc>
        <w:tc>
          <w:tcPr>
            <w:tcW w:w="559" w:type="pct"/>
            <w:tcBorders>
              <w:top w:val="single" w:sz="4" w:space="0" w:color="auto"/>
              <w:bottom w:val="single" w:sz="4" w:space="0" w:color="auto"/>
            </w:tcBorders>
          </w:tcPr>
          <w:p w14:paraId="1CE512EF"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MORT</w:t>
            </w:r>
          </w:p>
        </w:tc>
        <w:tc>
          <w:tcPr>
            <w:tcW w:w="1609" w:type="pct"/>
            <w:tcBorders>
              <w:top w:val="single" w:sz="4" w:space="0" w:color="auto"/>
              <w:bottom w:val="single" w:sz="4" w:space="0" w:color="auto"/>
            </w:tcBorders>
          </w:tcPr>
          <w:p w14:paraId="1B140AC8"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proizvodi namijenjeni opštoj potrošnji (uključujući i hemikalije), koji u poređenju sa sličnim proizvodima manje zagađuju životnu sredinu.</w:t>
            </w:r>
          </w:p>
        </w:tc>
        <w:tc>
          <w:tcPr>
            <w:tcW w:w="1572" w:type="pct"/>
            <w:tcBorders>
              <w:top w:val="single" w:sz="4" w:space="0" w:color="auto"/>
              <w:bottom w:val="single" w:sz="4" w:space="0" w:color="auto"/>
              <w:right w:val="double" w:sz="4" w:space="0" w:color="auto"/>
            </w:tcBorders>
          </w:tcPr>
          <w:p w14:paraId="6AEE57B8"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eastAsia="x-none"/>
              </w:rPr>
              <w:t>propisuju se bliži uslovi, kriterijumi i postupak za dobijanje prava na korišćenje ekološkog znaka (u daljem tekst: Eko znak), visina troškova za dodjelu prava na korišćenje Eko znaka, izgled i način upotrebe Eko znaka za proizvode i usluge</w:t>
            </w:r>
          </w:p>
        </w:tc>
      </w:tr>
      <w:tr w:rsidR="001247F3" w:rsidRPr="00AB15C7" w14:paraId="55EF8B3F" w14:textId="77777777" w:rsidTr="00165701">
        <w:trPr>
          <w:trHeight w:val="480"/>
        </w:trPr>
        <w:tc>
          <w:tcPr>
            <w:tcW w:w="1259" w:type="pct"/>
            <w:tcBorders>
              <w:top w:val="single" w:sz="4" w:space="0" w:color="auto"/>
              <w:left w:val="double" w:sz="4" w:space="0" w:color="auto"/>
              <w:bottom w:val="single" w:sz="4" w:space="0" w:color="auto"/>
            </w:tcBorders>
          </w:tcPr>
          <w:p w14:paraId="5331F1B9"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eastAsia="x-none"/>
              </w:rPr>
              <w:t>Uredba o popisu vrsta opasnih materija, dozvoljenim količinama i kriterijumima za kategorizaciju opasnih materija("Sl. list CG", br.</w:t>
            </w:r>
            <w:r w:rsidRPr="00AB15C7">
              <w:rPr>
                <w:rFonts w:ascii="Cambria" w:hAnsi="Cambria"/>
                <w:noProof/>
              </w:rPr>
              <w:t xml:space="preserve"> </w:t>
            </w:r>
            <w:r w:rsidRPr="00AB15C7">
              <w:rPr>
                <w:rFonts w:ascii="Cambria" w:hAnsi="Cambria"/>
                <w:noProof/>
                <w:lang w:eastAsia="x-none"/>
              </w:rPr>
              <w:t>5/11)</w:t>
            </w:r>
          </w:p>
        </w:tc>
        <w:tc>
          <w:tcPr>
            <w:tcW w:w="559" w:type="pct"/>
            <w:tcBorders>
              <w:top w:val="single" w:sz="4" w:space="0" w:color="auto"/>
              <w:bottom w:val="single" w:sz="4" w:space="0" w:color="auto"/>
            </w:tcBorders>
          </w:tcPr>
          <w:p w14:paraId="3E132BF6"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MORT</w:t>
            </w:r>
          </w:p>
        </w:tc>
        <w:tc>
          <w:tcPr>
            <w:tcW w:w="1609" w:type="pct"/>
            <w:tcBorders>
              <w:top w:val="single" w:sz="4" w:space="0" w:color="auto"/>
              <w:bottom w:val="single" w:sz="4" w:space="0" w:color="auto"/>
            </w:tcBorders>
          </w:tcPr>
          <w:p w14:paraId="008A4979" w14:textId="77777777" w:rsidR="001247F3" w:rsidRPr="00AB15C7" w:rsidRDefault="00137E53" w:rsidP="005921EF">
            <w:pPr>
              <w:spacing w:after="0"/>
              <w:rPr>
                <w:rFonts w:ascii="Cambria" w:hAnsi="Cambria"/>
                <w:noProof/>
                <w:lang w:val="sr-Latn-ME" w:eastAsia="x-none"/>
              </w:rPr>
            </w:pPr>
            <w:r w:rsidRPr="00AB15C7">
              <w:rPr>
                <w:rFonts w:ascii="Cambria" w:hAnsi="Cambria"/>
                <w:noProof/>
                <w:lang w:val="sr-Latn-ME" w:eastAsia="x-none"/>
              </w:rPr>
              <w:t xml:space="preserve">opasne </w:t>
            </w:r>
            <w:r w:rsidR="001247F3" w:rsidRPr="00AB15C7">
              <w:rPr>
                <w:rFonts w:ascii="Cambria" w:hAnsi="Cambria"/>
                <w:noProof/>
                <w:lang w:val="sr-Latn-ME" w:eastAsia="x-none"/>
              </w:rPr>
              <w:t>materije</w:t>
            </w:r>
          </w:p>
        </w:tc>
        <w:tc>
          <w:tcPr>
            <w:tcW w:w="1572" w:type="pct"/>
            <w:tcBorders>
              <w:top w:val="single" w:sz="4" w:space="0" w:color="auto"/>
              <w:bottom w:val="single" w:sz="4" w:space="0" w:color="auto"/>
              <w:right w:val="double" w:sz="4" w:space="0" w:color="auto"/>
            </w:tcBorders>
          </w:tcPr>
          <w:p w14:paraId="543156E9" w14:textId="77777777" w:rsidR="001247F3" w:rsidRPr="00AB15C7" w:rsidRDefault="001247F3" w:rsidP="005921EF">
            <w:pPr>
              <w:spacing w:after="0"/>
              <w:rPr>
                <w:rFonts w:ascii="Cambria" w:hAnsi="Cambria"/>
                <w:noProof/>
                <w:lang w:val="sr-Latn-CS" w:eastAsia="x-none"/>
              </w:rPr>
            </w:pPr>
            <w:r w:rsidRPr="00AB15C7">
              <w:rPr>
                <w:rFonts w:ascii="Cambria" w:hAnsi="Cambria"/>
                <w:noProof/>
                <w:lang w:val="sr-Latn-CS" w:eastAsia="x-none"/>
              </w:rPr>
              <w:t>propisuje se popis vrsta opasnih materija, dozvoljene</w:t>
            </w:r>
          </w:p>
          <w:p w14:paraId="03E00C14" w14:textId="77777777" w:rsidR="001247F3" w:rsidRPr="00AB15C7" w:rsidRDefault="001247F3" w:rsidP="005921EF">
            <w:pPr>
              <w:spacing w:after="0"/>
              <w:rPr>
                <w:rFonts w:ascii="Cambria" w:hAnsi="Cambria"/>
                <w:noProof/>
                <w:lang w:val="sr-Latn-CS" w:eastAsia="x-none"/>
              </w:rPr>
            </w:pPr>
            <w:r w:rsidRPr="00AB15C7">
              <w:rPr>
                <w:rFonts w:ascii="Cambria" w:hAnsi="Cambria"/>
                <w:noProof/>
                <w:lang w:val="sr-Latn-CS" w:eastAsia="x-none"/>
              </w:rPr>
              <w:t>količine i kriterijumi za kategorizaciju opasnih materija koje se nalaze ili nastaju obavljanjem djelatnosti u postrojenjima, odnosno koje mogu nastati</w:t>
            </w:r>
          </w:p>
          <w:p w14:paraId="453C1BA1" w14:textId="77777777" w:rsidR="001247F3" w:rsidRPr="00AB15C7" w:rsidRDefault="001247F3" w:rsidP="005921EF">
            <w:pPr>
              <w:spacing w:after="0"/>
              <w:rPr>
                <w:rFonts w:ascii="Cambria" w:hAnsi="Cambria"/>
                <w:noProof/>
                <w:lang w:val="sr-Latn-CS" w:eastAsia="x-none"/>
              </w:rPr>
            </w:pPr>
            <w:r w:rsidRPr="00AB15C7">
              <w:rPr>
                <w:rFonts w:ascii="Cambria" w:hAnsi="Cambria"/>
                <w:noProof/>
                <w:lang w:val="sr-Latn-CS" w:eastAsia="x-none"/>
              </w:rPr>
              <w:t>prilikom velikog udesa.</w:t>
            </w:r>
          </w:p>
          <w:p w14:paraId="2DFCCA74" w14:textId="77777777" w:rsidR="001247F3" w:rsidRPr="00AB15C7" w:rsidRDefault="001247F3" w:rsidP="005921EF">
            <w:pPr>
              <w:spacing w:after="0"/>
              <w:rPr>
                <w:rFonts w:ascii="Cambria" w:hAnsi="Cambria"/>
                <w:noProof/>
                <w:lang w:eastAsia="x-none"/>
              </w:rPr>
            </w:pPr>
          </w:p>
        </w:tc>
      </w:tr>
      <w:tr w:rsidR="001247F3" w:rsidRPr="00AB15C7" w14:paraId="25BB9F17" w14:textId="77777777" w:rsidTr="00165701">
        <w:trPr>
          <w:trHeight w:val="480"/>
        </w:trPr>
        <w:tc>
          <w:tcPr>
            <w:tcW w:w="1259" w:type="pct"/>
            <w:tcBorders>
              <w:top w:val="single" w:sz="4" w:space="0" w:color="auto"/>
              <w:left w:val="double" w:sz="4" w:space="0" w:color="auto"/>
              <w:bottom w:val="double" w:sz="4" w:space="0" w:color="auto"/>
            </w:tcBorders>
          </w:tcPr>
          <w:p w14:paraId="61BDD82F" w14:textId="77777777" w:rsidR="001247F3" w:rsidRPr="00AB15C7" w:rsidRDefault="001247F3" w:rsidP="005921EF">
            <w:pPr>
              <w:spacing w:after="0"/>
              <w:rPr>
                <w:rFonts w:ascii="Cambria" w:hAnsi="Cambria"/>
                <w:noProof/>
                <w:lang w:eastAsia="x-none"/>
              </w:rPr>
            </w:pPr>
            <w:r w:rsidRPr="00AB15C7">
              <w:rPr>
                <w:rFonts w:ascii="Cambria" w:hAnsi="Cambria"/>
                <w:noProof/>
                <w:lang w:eastAsia="x-none"/>
              </w:rPr>
              <w:t>Uredba</w:t>
            </w:r>
            <w:r w:rsidR="0015164C">
              <w:rPr>
                <w:rFonts w:ascii="Cambria" w:hAnsi="Cambria"/>
                <w:noProof/>
                <w:lang w:eastAsia="x-none"/>
              </w:rPr>
              <w:t xml:space="preserve"> </w:t>
            </w:r>
            <w:r w:rsidRPr="00AB15C7">
              <w:rPr>
                <w:rFonts w:ascii="Cambria" w:hAnsi="Cambria"/>
                <w:noProof/>
                <w:lang w:eastAsia="x-none"/>
              </w:rPr>
              <w:t>o Nacionalnoj listi indikatora zaštite životne sredine</w:t>
            </w:r>
          </w:p>
          <w:p w14:paraId="4B1B7D48" w14:textId="77777777" w:rsidR="001247F3" w:rsidRPr="00AB15C7" w:rsidRDefault="001247F3" w:rsidP="005921EF">
            <w:pPr>
              <w:spacing w:after="0"/>
              <w:rPr>
                <w:rFonts w:ascii="Cambria" w:hAnsi="Cambria"/>
                <w:noProof/>
                <w:lang w:eastAsia="x-none"/>
              </w:rPr>
            </w:pPr>
            <w:r w:rsidRPr="00AB15C7">
              <w:rPr>
                <w:rFonts w:ascii="Cambria" w:hAnsi="Cambria"/>
                <w:noProof/>
                <w:lang w:eastAsia="x-none"/>
              </w:rPr>
              <w:t>("Sl. list CG", br. 19/13)</w:t>
            </w:r>
          </w:p>
        </w:tc>
        <w:tc>
          <w:tcPr>
            <w:tcW w:w="559" w:type="pct"/>
            <w:tcBorders>
              <w:top w:val="single" w:sz="4" w:space="0" w:color="auto"/>
              <w:bottom w:val="double" w:sz="4" w:space="0" w:color="auto"/>
            </w:tcBorders>
          </w:tcPr>
          <w:p w14:paraId="78A216CF" w14:textId="77777777" w:rsidR="001247F3" w:rsidRPr="00AB15C7" w:rsidRDefault="001247F3" w:rsidP="005921EF">
            <w:pPr>
              <w:spacing w:after="0"/>
              <w:rPr>
                <w:rFonts w:ascii="Cambria" w:hAnsi="Cambria"/>
                <w:noProof/>
                <w:lang w:val="sr-Latn-ME" w:eastAsia="x-none"/>
              </w:rPr>
            </w:pPr>
            <w:r w:rsidRPr="00AB15C7">
              <w:rPr>
                <w:rFonts w:ascii="Cambria" w:hAnsi="Cambria"/>
                <w:noProof/>
                <w:lang w:val="sr-Latn-ME" w:eastAsia="x-none"/>
              </w:rPr>
              <w:t>MORT</w:t>
            </w:r>
          </w:p>
        </w:tc>
        <w:tc>
          <w:tcPr>
            <w:tcW w:w="1609" w:type="pct"/>
            <w:tcBorders>
              <w:top w:val="single" w:sz="4" w:space="0" w:color="auto"/>
              <w:bottom w:val="double" w:sz="4" w:space="0" w:color="auto"/>
            </w:tcBorders>
          </w:tcPr>
          <w:p w14:paraId="7D51F35D" w14:textId="77777777" w:rsidR="001247F3" w:rsidRPr="00AB15C7" w:rsidRDefault="00137E53" w:rsidP="005921EF">
            <w:pPr>
              <w:spacing w:after="0"/>
              <w:rPr>
                <w:rFonts w:ascii="Cambria" w:hAnsi="Cambria"/>
                <w:noProof/>
                <w:lang w:val="sr-Latn-ME" w:eastAsia="x-none"/>
              </w:rPr>
            </w:pPr>
            <w:r w:rsidRPr="00AB15C7">
              <w:rPr>
                <w:rFonts w:ascii="Cambria" w:hAnsi="Cambria"/>
                <w:noProof/>
                <w:lang w:val="sr-Latn-ME" w:eastAsia="x-none"/>
              </w:rPr>
              <w:t xml:space="preserve">zagađujuće  </w:t>
            </w:r>
            <w:r w:rsidR="001247F3" w:rsidRPr="00AB15C7">
              <w:rPr>
                <w:rFonts w:ascii="Cambria" w:hAnsi="Cambria"/>
                <w:noProof/>
                <w:lang w:val="sr-Latn-ME" w:eastAsia="x-none"/>
              </w:rPr>
              <w:t>materije u životnoj sredini</w:t>
            </w:r>
          </w:p>
        </w:tc>
        <w:tc>
          <w:tcPr>
            <w:tcW w:w="1572" w:type="pct"/>
            <w:tcBorders>
              <w:top w:val="single" w:sz="4" w:space="0" w:color="auto"/>
              <w:bottom w:val="double" w:sz="4" w:space="0" w:color="auto"/>
              <w:right w:val="double" w:sz="4" w:space="0" w:color="auto"/>
            </w:tcBorders>
          </w:tcPr>
          <w:p w14:paraId="4BF233D7" w14:textId="77777777" w:rsidR="001247F3" w:rsidRPr="00AB15C7" w:rsidRDefault="001247F3" w:rsidP="005921EF">
            <w:pPr>
              <w:spacing w:after="0"/>
              <w:rPr>
                <w:rFonts w:ascii="Cambria" w:hAnsi="Cambria"/>
                <w:noProof/>
                <w:lang w:val="sr-Latn-CS" w:eastAsia="x-none"/>
              </w:rPr>
            </w:pPr>
            <w:r w:rsidRPr="00AB15C7">
              <w:rPr>
                <w:rFonts w:ascii="Cambria" w:hAnsi="Cambria"/>
                <w:noProof/>
                <w:lang w:eastAsia="x-none"/>
              </w:rPr>
              <w:t xml:space="preserve">Izvještaj o stanju životne sredine izrađuje se na osnovu Nacionalne liste indikatora </w:t>
            </w:r>
            <w:r w:rsidRPr="00AB15C7">
              <w:rPr>
                <w:rFonts w:ascii="Cambria" w:hAnsi="Cambria"/>
                <w:noProof/>
                <w:lang w:val="sr-Latn-CS" w:eastAsia="x-none"/>
              </w:rPr>
              <w:t>o stanju biodiverziteta, kopnenih voda, mora, zemljišta, vazduha, klimatskih promjena kao i indikatore uticaja proizvodnje otpada, poljoprivrede, ribarstva, energetike, saobraćaja i turizma na životnu sredinu.</w:t>
            </w:r>
          </w:p>
        </w:tc>
      </w:tr>
    </w:tbl>
    <w:p w14:paraId="2A57E7F6" w14:textId="77777777" w:rsidR="00490D85" w:rsidRDefault="00490D85" w:rsidP="005921EF">
      <w:pPr>
        <w:jc w:val="both"/>
        <w:rPr>
          <w:rFonts w:ascii="Cambria" w:hAnsi="Cambria"/>
          <w:b/>
          <w:i/>
          <w:noProof/>
          <w:lang w:val="sr-Latn-ME"/>
        </w:rPr>
      </w:pPr>
      <w:bookmarkStart w:id="173" w:name="_Hlk524090144"/>
    </w:p>
    <w:p w14:paraId="183BF8F5" w14:textId="796B7441" w:rsidR="001247F3" w:rsidRPr="00AB15C7" w:rsidRDefault="001247F3" w:rsidP="005921EF">
      <w:pPr>
        <w:jc w:val="both"/>
        <w:rPr>
          <w:rFonts w:ascii="Cambria" w:hAnsi="Cambria"/>
          <w:noProof/>
          <w:lang w:val="sr-Latn-ME"/>
        </w:rPr>
      </w:pPr>
      <w:r w:rsidRPr="00AB15C7">
        <w:rPr>
          <w:rFonts w:ascii="Cambria" w:hAnsi="Cambria"/>
          <w:b/>
          <w:i/>
          <w:noProof/>
          <w:lang w:val="sr-Latn-ME"/>
        </w:rPr>
        <w:t xml:space="preserve">Tabela A6. </w:t>
      </w:r>
      <w:r w:rsidRPr="00A76A53">
        <w:rPr>
          <w:rFonts w:ascii="Cambria" w:hAnsi="Cambria"/>
          <w:b/>
          <w:noProof/>
          <w:lang w:val="sr-Latn-ME"/>
        </w:rPr>
        <w:t>Važeći propisi koji se odnose na oblast životne sredine - Zakon o integrisanom sprečavanju i kontroli zagađivanja životne sredine</w:t>
      </w:r>
    </w:p>
    <w:tbl>
      <w:tblPr>
        <w:tblW w:w="52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48"/>
        <w:gridCol w:w="1789"/>
        <w:gridCol w:w="2523"/>
        <w:gridCol w:w="5725"/>
      </w:tblGrid>
      <w:tr w:rsidR="001247F3" w:rsidRPr="00AB15C7" w14:paraId="39F5C00B" w14:textId="77777777" w:rsidTr="00165701">
        <w:trPr>
          <w:trHeight w:val="480"/>
        </w:trPr>
        <w:tc>
          <w:tcPr>
            <w:tcW w:w="1511" w:type="pct"/>
            <w:tcBorders>
              <w:top w:val="double" w:sz="4" w:space="0" w:color="auto"/>
              <w:left w:val="double" w:sz="4" w:space="0" w:color="auto"/>
              <w:bottom w:val="single" w:sz="4" w:space="0" w:color="000000"/>
              <w:right w:val="single" w:sz="4" w:space="0" w:color="000000"/>
            </w:tcBorders>
            <w:shd w:val="clear" w:color="auto" w:fill="D9D9D9"/>
          </w:tcPr>
          <w:bookmarkEnd w:id="173"/>
          <w:p w14:paraId="4FCA8686"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Propis</w:t>
            </w:r>
          </w:p>
        </w:tc>
        <w:tc>
          <w:tcPr>
            <w:tcW w:w="622" w:type="pct"/>
            <w:tcBorders>
              <w:top w:val="double" w:sz="4" w:space="0" w:color="auto"/>
              <w:left w:val="single" w:sz="4" w:space="0" w:color="000000"/>
              <w:bottom w:val="single" w:sz="4" w:space="0" w:color="000000"/>
              <w:right w:val="single" w:sz="4" w:space="0" w:color="000000"/>
            </w:tcBorders>
            <w:shd w:val="clear" w:color="auto" w:fill="D9D9D9"/>
          </w:tcPr>
          <w:p w14:paraId="2797B360"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 xml:space="preserve">Nadležni organ </w:t>
            </w:r>
          </w:p>
        </w:tc>
        <w:tc>
          <w:tcPr>
            <w:tcW w:w="877" w:type="pct"/>
            <w:tcBorders>
              <w:top w:val="double" w:sz="4" w:space="0" w:color="auto"/>
              <w:left w:val="single" w:sz="4" w:space="0" w:color="000000"/>
              <w:bottom w:val="single" w:sz="4" w:space="0" w:color="000000"/>
              <w:right w:val="single" w:sz="4" w:space="0" w:color="000000"/>
            </w:tcBorders>
            <w:shd w:val="clear" w:color="auto" w:fill="D9D9D9"/>
          </w:tcPr>
          <w:p w14:paraId="01C9248C"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Regulisana hemikalija</w:t>
            </w:r>
          </w:p>
        </w:tc>
        <w:tc>
          <w:tcPr>
            <w:tcW w:w="1991" w:type="pct"/>
            <w:tcBorders>
              <w:top w:val="double" w:sz="4" w:space="0" w:color="auto"/>
              <w:left w:val="single" w:sz="4" w:space="0" w:color="000000"/>
              <w:bottom w:val="single" w:sz="4" w:space="0" w:color="000000"/>
              <w:right w:val="double" w:sz="4" w:space="0" w:color="auto"/>
            </w:tcBorders>
            <w:shd w:val="clear" w:color="auto" w:fill="D9D9D9"/>
          </w:tcPr>
          <w:p w14:paraId="1C8BCAF4"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Cilj propisa</w:t>
            </w:r>
          </w:p>
        </w:tc>
      </w:tr>
      <w:tr w:rsidR="001247F3" w:rsidRPr="00AB15C7" w14:paraId="3F417AB0" w14:textId="77777777" w:rsidTr="00165701">
        <w:trPr>
          <w:trHeight w:val="480"/>
        </w:trPr>
        <w:tc>
          <w:tcPr>
            <w:tcW w:w="1511" w:type="pct"/>
            <w:tcBorders>
              <w:top w:val="single" w:sz="4" w:space="0" w:color="auto"/>
              <w:left w:val="double" w:sz="4" w:space="0" w:color="auto"/>
              <w:bottom w:val="single" w:sz="4" w:space="0" w:color="auto"/>
            </w:tcBorders>
          </w:tcPr>
          <w:p w14:paraId="23D548D4" w14:textId="77777777" w:rsidR="001247F3" w:rsidRPr="00AB15C7" w:rsidRDefault="001247F3" w:rsidP="005921EF">
            <w:pPr>
              <w:jc w:val="both"/>
              <w:rPr>
                <w:rFonts w:ascii="Cambria" w:hAnsi="Cambria"/>
                <w:noProof/>
                <w:lang w:val="sr-Latn-ME"/>
              </w:rPr>
            </w:pPr>
            <w:r w:rsidRPr="00AB15C7">
              <w:rPr>
                <w:rFonts w:ascii="Cambria" w:hAnsi="Cambria"/>
                <w:b/>
                <w:noProof/>
                <w:lang w:val="sr-Latn-ME"/>
              </w:rPr>
              <w:t xml:space="preserve">Zakon o integrisanom sprečavanju i kontroli zagađivanja životne sredine </w:t>
            </w:r>
            <w:r w:rsidRPr="00AB15C7">
              <w:rPr>
                <w:rFonts w:ascii="Cambria" w:hAnsi="Cambria"/>
                <w:noProof/>
                <w:lang w:val="sr-Latn-ME"/>
              </w:rPr>
              <w:t>(„Sl. list RCG", br. 80/05 i „Sl. list CG", br. 54/09, 42/15</w:t>
            </w:r>
            <w:r w:rsidR="0015164C">
              <w:rPr>
                <w:rFonts w:ascii="Cambria" w:hAnsi="Cambria"/>
                <w:noProof/>
                <w:lang w:val="sr-Latn-ME"/>
              </w:rPr>
              <w:t>,</w:t>
            </w:r>
            <w:r w:rsidRPr="00AB15C7">
              <w:rPr>
                <w:rFonts w:ascii="Cambria" w:hAnsi="Cambria"/>
                <w:noProof/>
                <w:lang w:val="sr-Latn-ME"/>
              </w:rPr>
              <w:t xml:space="preserve"> 54/16</w:t>
            </w:r>
            <w:r w:rsidR="0015164C">
              <w:rPr>
                <w:noProof/>
              </w:rPr>
              <w:t xml:space="preserve"> i </w:t>
            </w:r>
            <w:r w:rsidR="0015164C" w:rsidRPr="0015164C">
              <w:rPr>
                <w:rFonts w:ascii="Cambria" w:hAnsi="Cambria"/>
                <w:noProof/>
                <w:lang w:val="sr-Latn-ME"/>
              </w:rPr>
              <w:t>55/</w:t>
            </w:r>
            <w:r w:rsidR="0015164C">
              <w:rPr>
                <w:rFonts w:ascii="Cambria" w:hAnsi="Cambria"/>
                <w:noProof/>
                <w:lang w:val="sr-Latn-ME"/>
              </w:rPr>
              <w:t xml:space="preserve"> </w:t>
            </w:r>
            <w:r w:rsidR="0015164C" w:rsidRPr="0015164C">
              <w:rPr>
                <w:rFonts w:ascii="Cambria" w:hAnsi="Cambria"/>
                <w:noProof/>
                <w:lang w:val="sr-Latn-ME"/>
              </w:rPr>
              <w:t>18</w:t>
            </w:r>
            <w:r w:rsidRPr="00AB15C7">
              <w:rPr>
                <w:rFonts w:ascii="Cambria" w:hAnsi="Cambria"/>
                <w:noProof/>
                <w:lang w:val="sr-Latn-ME"/>
              </w:rPr>
              <w:t>)</w:t>
            </w:r>
          </w:p>
        </w:tc>
        <w:tc>
          <w:tcPr>
            <w:tcW w:w="622" w:type="pct"/>
            <w:tcBorders>
              <w:top w:val="single" w:sz="4" w:space="0" w:color="auto"/>
              <w:bottom w:val="single" w:sz="4" w:space="0" w:color="auto"/>
            </w:tcBorders>
          </w:tcPr>
          <w:p w14:paraId="4857B6E5"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MORT</w:t>
            </w:r>
          </w:p>
        </w:tc>
        <w:tc>
          <w:tcPr>
            <w:tcW w:w="877" w:type="pct"/>
            <w:tcBorders>
              <w:top w:val="single" w:sz="4" w:space="0" w:color="auto"/>
              <w:bottom w:val="single" w:sz="4" w:space="0" w:color="auto"/>
            </w:tcBorders>
          </w:tcPr>
          <w:p w14:paraId="68104CC6"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 xml:space="preserve">u vezi sa </w:t>
            </w:r>
            <w:r w:rsidR="001247F3" w:rsidRPr="00AB15C7">
              <w:rPr>
                <w:rFonts w:ascii="Cambria" w:hAnsi="Cambria"/>
                <w:noProof/>
              </w:rPr>
              <w:t>IPPC postrojenjima</w:t>
            </w:r>
          </w:p>
        </w:tc>
        <w:tc>
          <w:tcPr>
            <w:tcW w:w="1991" w:type="pct"/>
            <w:tcBorders>
              <w:top w:val="single" w:sz="4" w:space="0" w:color="auto"/>
              <w:bottom w:val="single" w:sz="4" w:space="0" w:color="auto"/>
              <w:right w:val="double" w:sz="4" w:space="0" w:color="auto"/>
            </w:tcBorders>
          </w:tcPr>
          <w:p w14:paraId="545E431C"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zakonom uređuju se uslovi i postupak izdavanja integrisane dozvole za postrojenja i aktivnosti koje mogu imati negativne uticaje na zdravlje ljudi, životnu sredinu ili materijalna dobra, vrste aktivnosti i postrojenja, nadzor i druga pitanja od značaja za sprječavanje i kontrolu zagađivanja životne sredine.</w:t>
            </w:r>
          </w:p>
        </w:tc>
      </w:tr>
      <w:tr w:rsidR="001247F3" w:rsidRPr="00AB15C7" w14:paraId="5EDF694A" w14:textId="77777777" w:rsidTr="00165701">
        <w:trPr>
          <w:trHeight w:val="480"/>
        </w:trPr>
        <w:tc>
          <w:tcPr>
            <w:tcW w:w="1511" w:type="pct"/>
            <w:tcBorders>
              <w:top w:val="single" w:sz="4" w:space="0" w:color="auto"/>
              <w:left w:val="double" w:sz="4" w:space="0" w:color="auto"/>
              <w:bottom w:val="single" w:sz="4" w:space="0" w:color="auto"/>
              <w:right w:val="single" w:sz="4" w:space="0" w:color="000000"/>
            </w:tcBorders>
            <w:shd w:val="clear" w:color="auto" w:fill="F2F2F2"/>
          </w:tcPr>
          <w:p w14:paraId="4E0C92E5"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Podzakonski propisi za sprovođenje ovog zakona</w:t>
            </w:r>
          </w:p>
        </w:tc>
        <w:tc>
          <w:tcPr>
            <w:tcW w:w="622" w:type="pct"/>
            <w:tcBorders>
              <w:top w:val="single" w:sz="4" w:space="0" w:color="auto"/>
              <w:left w:val="single" w:sz="4" w:space="0" w:color="000000"/>
              <w:bottom w:val="single" w:sz="4" w:space="0" w:color="auto"/>
              <w:right w:val="single" w:sz="4" w:space="0" w:color="000000"/>
            </w:tcBorders>
            <w:shd w:val="clear" w:color="auto" w:fill="F2F2F2"/>
          </w:tcPr>
          <w:p w14:paraId="536C36AE"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Nadležni organ</w:t>
            </w:r>
          </w:p>
        </w:tc>
        <w:tc>
          <w:tcPr>
            <w:tcW w:w="877" w:type="pct"/>
            <w:tcBorders>
              <w:top w:val="single" w:sz="4" w:space="0" w:color="auto"/>
              <w:left w:val="single" w:sz="4" w:space="0" w:color="000000"/>
              <w:bottom w:val="single" w:sz="4" w:space="0" w:color="auto"/>
              <w:right w:val="single" w:sz="4" w:space="0" w:color="000000"/>
            </w:tcBorders>
            <w:shd w:val="clear" w:color="auto" w:fill="F2F2F2"/>
          </w:tcPr>
          <w:p w14:paraId="797A82BB"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Regulisana hemikalija</w:t>
            </w:r>
          </w:p>
        </w:tc>
        <w:tc>
          <w:tcPr>
            <w:tcW w:w="1991" w:type="pct"/>
            <w:tcBorders>
              <w:top w:val="single" w:sz="4" w:space="0" w:color="auto"/>
              <w:left w:val="single" w:sz="4" w:space="0" w:color="000000"/>
              <w:bottom w:val="single" w:sz="4" w:space="0" w:color="auto"/>
              <w:right w:val="double" w:sz="4" w:space="0" w:color="auto"/>
            </w:tcBorders>
            <w:shd w:val="clear" w:color="auto" w:fill="F2F2F2"/>
          </w:tcPr>
          <w:p w14:paraId="6BF631BF"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Cilj propisa</w:t>
            </w:r>
          </w:p>
        </w:tc>
      </w:tr>
      <w:tr w:rsidR="001247F3" w:rsidRPr="00AB15C7" w14:paraId="00A1B84A" w14:textId="77777777" w:rsidTr="00165701">
        <w:trPr>
          <w:trHeight w:val="480"/>
        </w:trPr>
        <w:tc>
          <w:tcPr>
            <w:tcW w:w="1511" w:type="pct"/>
            <w:tcBorders>
              <w:top w:val="single" w:sz="4" w:space="0" w:color="auto"/>
              <w:left w:val="double" w:sz="4" w:space="0" w:color="auto"/>
              <w:bottom w:val="single" w:sz="4" w:space="0" w:color="auto"/>
              <w:right w:val="single" w:sz="4" w:space="0" w:color="000000"/>
            </w:tcBorders>
          </w:tcPr>
          <w:p w14:paraId="3BD7344B"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Uredba o vrstama aktivnosti i postrojenja za koje se izdaje integrisana dozvola („Sl. list CG", br. 07/08)</w:t>
            </w:r>
          </w:p>
        </w:tc>
        <w:tc>
          <w:tcPr>
            <w:tcW w:w="622" w:type="pct"/>
            <w:tcBorders>
              <w:top w:val="single" w:sz="4" w:space="0" w:color="auto"/>
              <w:left w:val="single" w:sz="4" w:space="0" w:color="000000"/>
              <w:bottom w:val="single" w:sz="4" w:space="0" w:color="auto"/>
              <w:right w:val="single" w:sz="4" w:space="0" w:color="000000"/>
            </w:tcBorders>
          </w:tcPr>
          <w:p w14:paraId="49FDF71D"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MORT</w:t>
            </w:r>
          </w:p>
        </w:tc>
        <w:tc>
          <w:tcPr>
            <w:tcW w:w="877" w:type="pct"/>
            <w:tcBorders>
              <w:top w:val="single" w:sz="4" w:space="0" w:color="auto"/>
              <w:left w:val="single" w:sz="4" w:space="0" w:color="000000"/>
              <w:bottom w:val="single" w:sz="4" w:space="0" w:color="auto"/>
              <w:right w:val="single" w:sz="4" w:space="0" w:color="000000"/>
            </w:tcBorders>
          </w:tcPr>
          <w:p w14:paraId="2EFDF385"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IPPC postrojenjima</w:t>
            </w:r>
          </w:p>
        </w:tc>
        <w:tc>
          <w:tcPr>
            <w:tcW w:w="1991" w:type="pct"/>
            <w:tcBorders>
              <w:top w:val="single" w:sz="4" w:space="0" w:color="auto"/>
              <w:left w:val="single" w:sz="4" w:space="0" w:color="000000"/>
              <w:bottom w:val="single" w:sz="4" w:space="0" w:color="auto"/>
              <w:right w:val="double" w:sz="4" w:space="0" w:color="auto"/>
            </w:tcBorders>
          </w:tcPr>
          <w:p w14:paraId="5F7402F1"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propisuju se vrste aktivnosti, postrojenja i granični kapaciteti u okviru svake vrste aktivnosti, za koje se izdaje integrisana dozvola</w:t>
            </w:r>
          </w:p>
        </w:tc>
      </w:tr>
      <w:tr w:rsidR="001247F3" w:rsidRPr="00AB15C7" w14:paraId="141FF340" w14:textId="77777777" w:rsidTr="00165701">
        <w:trPr>
          <w:trHeight w:val="480"/>
        </w:trPr>
        <w:tc>
          <w:tcPr>
            <w:tcW w:w="1511" w:type="pct"/>
            <w:tcBorders>
              <w:top w:val="single" w:sz="4" w:space="0" w:color="auto"/>
              <w:left w:val="double" w:sz="4" w:space="0" w:color="auto"/>
              <w:bottom w:val="single" w:sz="4" w:space="0" w:color="auto"/>
            </w:tcBorders>
          </w:tcPr>
          <w:p w14:paraId="57278F1A"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 xml:space="preserve">Uredba o kriterijumima za određivanje najboljih dostupnih tehnika, za primjenu standarda kvaliteta, kao i za određivanje </w:t>
            </w:r>
            <w:r w:rsidRPr="00AB15C7">
              <w:rPr>
                <w:rFonts w:ascii="Cambria" w:hAnsi="Cambria"/>
                <w:noProof/>
                <w:lang w:val="sr-Latn-ME"/>
              </w:rPr>
              <w:lastRenderedPageBreak/>
              <w:t>graničnih vrijednosti emisija u integrisanoj dozvoli („Sl. list CG", br. 07/08)</w:t>
            </w:r>
          </w:p>
        </w:tc>
        <w:tc>
          <w:tcPr>
            <w:tcW w:w="622" w:type="pct"/>
            <w:tcBorders>
              <w:top w:val="single" w:sz="4" w:space="0" w:color="auto"/>
              <w:bottom w:val="single" w:sz="4" w:space="0" w:color="auto"/>
            </w:tcBorders>
          </w:tcPr>
          <w:p w14:paraId="23A9B655" w14:textId="77777777" w:rsidR="001247F3" w:rsidRPr="00AB15C7" w:rsidRDefault="001247F3" w:rsidP="005921EF">
            <w:pPr>
              <w:jc w:val="both"/>
              <w:rPr>
                <w:rFonts w:ascii="Cambria" w:hAnsi="Cambria"/>
                <w:noProof/>
              </w:rPr>
            </w:pPr>
            <w:r w:rsidRPr="00AB15C7">
              <w:rPr>
                <w:rFonts w:ascii="Cambria" w:hAnsi="Cambria"/>
                <w:noProof/>
                <w:lang w:val="sr-Latn-ME"/>
              </w:rPr>
              <w:lastRenderedPageBreak/>
              <w:t>MORT</w:t>
            </w:r>
          </w:p>
        </w:tc>
        <w:tc>
          <w:tcPr>
            <w:tcW w:w="877" w:type="pct"/>
            <w:tcBorders>
              <w:top w:val="single" w:sz="4" w:space="0" w:color="auto"/>
              <w:bottom w:val="single" w:sz="4" w:space="0" w:color="auto"/>
            </w:tcBorders>
          </w:tcPr>
          <w:p w14:paraId="40C4B0AC"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IPPC postrojenjima</w:t>
            </w:r>
          </w:p>
        </w:tc>
        <w:tc>
          <w:tcPr>
            <w:tcW w:w="1991" w:type="pct"/>
            <w:tcBorders>
              <w:top w:val="single" w:sz="4" w:space="0" w:color="auto"/>
              <w:bottom w:val="single" w:sz="4" w:space="0" w:color="auto"/>
              <w:right w:val="double" w:sz="4" w:space="0" w:color="auto"/>
            </w:tcBorders>
          </w:tcPr>
          <w:p w14:paraId="54BA8F80"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 xml:space="preserve">utvrđuju se kriterijumi za određivanje najboljih dostupnih tehnika, za primjenu standarda kvaliteta životne sredine, </w:t>
            </w:r>
            <w:r w:rsidRPr="00AB15C7">
              <w:rPr>
                <w:rFonts w:ascii="Cambria" w:hAnsi="Cambria"/>
                <w:noProof/>
                <w:lang w:val="sr-Latn-ME"/>
              </w:rPr>
              <w:lastRenderedPageBreak/>
              <w:t>kao i za određivanje graničnih vrijednosti emisija u integrisanoj dozvoli.</w:t>
            </w:r>
          </w:p>
        </w:tc>
      </w:tr>
      <w:tr w:rsidR="001247F3" w:rsidRPr="00AB15C7" w14:paraId="5C894EA7" w14:textId="77777777" w:rsidTr="00165701">
        <w:trPr>
          <w:trHeight w:val="480"/>
        </w:trPr>
        <w:tc>
          <w:tcPr>
            <w:tcW w:w="1511" w:type="pct"/>
            <w:tcBorders>
              <w:top w:val="single" w:sz="4" w:space="0" w:color="auto"/>
              <w:left w:val="double" w:sz="4" w:space="0" w:color="auto"/>
              <w:bottom w:val="single" w:sz="4" w:space="0" w:color="auto"/>
            </w:tcBorders>
          </w:tcPr>
          <w:p w14:paraId="28C3983F"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Uredba o sadržini programa mjera prilagođavanja rada postojećeg postrojenja ili aktivnosti propisanim uslovima („Sl. list CG", br. 07/08)</w:t>
            </w:r>
          </w:p>
        </w:tc>
        <w:tc>
          <w:tcPr>
            <w:tcW w:w="622" w:type="pct"/>
            <w:tcBorders>
              <w:top w:val="single" w:sz="4" w:space="0" w:color="auto"/>
              <w:bottom w:val="single" w:sz="4" w:space="0" w:color="auto"/>
            </w:tcBorders>
          </w:tcPr>
          <w:p w14:paraId="72B472FD" w14:textId="77777777" w:rsidR="001247F3" w:rsidRPr="00AB15C7" w:rsidRDefault="001247F3" w:rsidP="005921EF">
            <w:pPr>
              <w:jc w:val="both"/>
              <w:rPr>
                <w:rFonts w:ascii="Cambria" w:hAnsi="Cambria"/>
                <w:noProof/>
              </w:rPr>
            </w:pPr>
            <w:r w:rsidRPr="00AB15C7">
              <w:rPr>
                <w:rFonts w:ascii="Cambria" w:hAnsi="Cambria"/>
                <w:noProof/>
                <w:lang w:val="sr-Latn-ME"/>
              </w:rPr>
              <w:t>MORT</w:t>
            </w:r>
          </w:p>
        </w:tc>
        <w:tc>
          <w:tcPr>
            <w:tcW w:w="877" w:type="pct"/>
            <w:tcBorders>
              <w:top w:val="single" w:sz="4" w:space="0" w:color="auto"/>
              <w:bottom w:val="single" w:sz="4" w:space="0" w:color="auto"/>
            </w:tcBorders>
          </w:tcPr>
          <w:p w14:paraId="0FAC4667"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IPPC postrojenjima</w:t>
            </w:r>
          </w:p>
        </w:tc>
        <w:tc>
          <w:tcPr>
            <w:tcW w:w="1991" w:type="pct"/>
            <w:tcBorders>
              <w:top w:val="single" w:sz="4" w:space="0" w:color="auto"/>
              <w:bottom w:val="single" w:sz="4" w:space="0" w:color="auto"/>
              <w:right w:val="double" w:sz="4" w:space="0" w:color="auto"/>
            </w:tcBorders>
          </w:tcPr>
          <w:p w14:paraId="5F15A5DF"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propisuje se bliža sadržina programa mjera prilagođavanja rada postojećeg postrojenja ili aktivnosti propisanim uslovima za izdavanje integrisane dozvole.</w:t>
            </w:r>
          </w:p>
        </w:tc>
      </w:tr>
      <w:tr w:rsidR="001247F3" w:rsidRPr="00AB15C7" w14:paraId="5C5369DB" w14:textId="77777777" w:rsidTr="00165701">
        <w:trPr>
          <w:trHeight w:val="480"/>
        </w:trPr>
        <w:tc>
          <w:tcPr>
            <w:tcW w:w="1511" w:type="pct"/>
            <w:tcBorders>
              <w:top w:val="single" w:sz="4" w:space="0" w:color="auto"/>
              <w:left w:val="double" w:sz="4" w:space="0" w:color="auto"/>
              <w:bottom w:val="single" w:sz="4" w:space="0" w:color="auto"/>
            </w:tcBorders>
          </w:tcPr>
          <w:p w14:paraId="1A9B3310"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Program usklađivanja pojedinih privrednih grana sa Zakonom o integrisanom sprječavanju i kontroli zagađivanja životne sredine</w:t>
            </w:r>
            <w:r w:rsidRPr="00AB15C7">
              <w:rPr>
                <w:rFonts w:ascii="Cambria" w:hAnsi="Cambria"/>
                <w:noProof/>
              </w:rPr>
              <w:t xml:space="preserve"> („Sl. list CG", br. 19/12, 3/14 i 10/16)</w:t>
            </w:r>
          </w:p>
        </w:tc>
        <w:tc>
          <w:tcPr>
            <w:tcW w:w="622" w:type="pct"/>
            <w:tcBorders>
              <w:top w:val="single" w:sz="4" w:space="0" w:color="auto"/>
              <w:bottom w:val="single" w:sz="4" w:space="0" w:color="auto"/>
            </w:tcBorders>
          </w:tcPr>
          <w:p w14:paraId="4F02B0D9"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MORT</w:t>
            </w:r>
          </w:p>
        </w:tc>
        <w:tc>
          <w:tcPr>
            <w:tcW w:w="877" w:type="pct"/>
            <w:tcBorders>
              <w:top w:val="single" w:sz="4" w:space="0" w:color="auto"/>
              <w:bottom w:val="single" w:sz="4" w:space="0" w:color="auto"/>
            </w:tcBorders>
          </w:tcPr>
          <w:p w14:paraId="35474BFA"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IPPC postrojenjima</w:t>
            </w:r>
          </w:p>
        </w:tc>
        <w:tc>
          <w:tcPr>
            <w:tcW w:w="1991" w:type="pct"/>
            <w:tcBorders>
              <w:top w:val="single" w:sz="4" w:space="0" w:color="auto"/>
              <w:bottom w:val="single" w:sz="4" w:space="0" w:color="auto"/>
              <w:right w:val="double" w:sz="4" w:space="0" w:color="auto"/>
            </w:tcBorders>
          </w:tcPr>
          <w:p w14:paraId="0B3A72D1"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propisuju se rokovi usklađivanja pojedinih privrednih grana sa odredbama Zakona o integrisanom sprječavanju i kontroli zagađivanja životne sredine za postojeća postrojenja ili aktivnosti za koje se izdaje integrisana dozvola.</w:t>
            </w:r>
          </w:p>
        </w:tc>
      </w:tr>
      <w:tr w:rsidR="001247F3" w:rsidRPr="00AB15C7" w14:paraId="0DDC6449" w14:textId="77777777" w:rsidTr="00165701">
        <w:trPr>
          <w:trHeight w:val="480"/>
        </w:trPr>
        <w:tc>
          <w:tcPr>
            <w:tcW w:w="1511" w:type="pct"/>
            <w:tcBorders>
              <w:top w:val="single" w:sz="4" w:space="0" w:color="auto"/>
              <w:left w:val="double" w:sz="4" w:space="0" w:color="auto"/>
              <w:bottom w:val="single" w:sz="4" w:space="0" w:color="auto"/>
            </w:tcBorders>
          </w:tcPr>
          <w:p w14:paraId="0710DDAA"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sadržini i načinu vođenja registra izdatih integrisanih dozvola („Sl. list CG", br. 03/08)</w:t>
            </w:r>
          </w:p>
        </w:tc>
        <w:tc>
          <w:tcPr>
            <w:tcW w:w="622" w:type="pct"/>
            <w:tcBorders>
              <w:top w:val="single" w:sz="4" w:space="0" w:color="auto"/>
              <w:bottom w:val="single" w:sz="4" w:space="0" w:color="auto"/>
            </w:tcBorders>
          </w:tcPr>
          <w:p w14:paraId="2D1473D6" w14:textId="77777777" w:rsidR="001247F3" w:rsidRPr="00AB15C7" w:rsidRDefault="001247F3" w:rsidP="005921EF">
            <w:pPr>
              <w:jc w:val="both"/>
              <w:rPr>
                <w:rFonts w:ascii="Cambria" w:hAnsi="Cambria"/>
                <w:noProof/>
              </w:rPr>
            </w:pPr>
            <w:r w:rsidRPr="00AB15C7">
              <w:rPr>
                <w:rFonts w:ascii="Cambria" w:hAnsi="Cambria"/>
                <w:noProof/>
                <w:lang w:val="sr-Latn-ME"/>
              </w:rPr>
              <w:t>MORT</w:t>
            </w:r>
          </w:p>
        </w:tc>
        <w:tc>
          <w:tcPr>
            <w:tcW w:w="877" w:type="pct"/>
            <w:tcBorders>
              <w:top w:val="single" w:sz="4" w:space="0" w:color="auto"/>
              <w:bottom w:val="single" w:sz="4" w:space="0" w:color="auto"/>
            </w:tcBorders>
          </w:tcPr>
          <w:p w14:paraId="04ACB19C"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IPPC postrojenjima</w:t>
            </w:r>
          </w:p>
        </w:tc>
        <w:tc>
          <w:tcPr>
            <w:tcW w:w="1991" w:type="pct"/>
            <w:tcBorders>
              <w:top w:val="single" w:sz="4" w:space="0" w:color="auto"/>
              <w:bottom w:val="single" w:sz="4" w:space="0" w:color="auto"/>
              <w:right w:val="double" w:sz="4" w:space="0" w:color="auto"/>
            </w:tcBorders>
          </w:tcPr>
          <w:p w14:paraId="7026717B"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Bliže uredjuje sadržinu i način vođenja registra izdatih integrisanih dozvola</w:t>
            </w:r>
          </w:p>
        </w:tc>
      </w:tr>
      <w:tr w:rsidR="001247F3" w:rsidRPr="00AB15C7" w14:paraId="5EEB06A0" w14:textId="77777777" w:rsidTr="00165701">
        <w:trPr>
          <w:trHeight w:val="480"/>
        </w:trPr>
        <w:tc>
          <w:tcPr>
            <w:tcW w:w="1511" w:type="pct"/>
            <w:tcBorders>
              <w:top w:val="single" w:sz="4" w:space="0" w:color="auto"/>
              <w:left w:val="double" w:sz="4" w:space="0" w:color="auto"/>
              <w:bottom w:val="single" w:sz="4" w:space="0" w:color="auto"/>
            </w:tcBorders>
          </w:tcPr>
          <w:p w14:paraId="5B000DDF" w14:textId="77777777" w:rsidR="001247F3" w:rsidRPr="00AB15C7" w:rsidRDefault="001247F3" w:rsidP="005921EF">
            <w:pPr>
              <w:jc w:val="both"/>
              <w:rPr>
                <w:rFonts w:ascii="Cambria" w:hAnsi="Cambria"/>
                <w:b/>
                <w:noProof/>
                <w:lang w:val="sr-Latn-ME"/>
              </w:rPr>
            </w:pPr>
            <w:r w:rsidRPr="00AB15C7">
              <w:rPr>
                <w:rFonts w:ascii="Cambria" w:hAnsi="Cambria"/>
                <w:noProof/>
                <w:lang w:val="sr-Latn-ME"/>
              </w:rPr>
              <w:t>Pravilnik o sadržini, obliku i načinu popunjavanja zahtjeva za izdavanje integrisane dozvole („Sl. list CG", br. 03/08)</w:t>
            </w:r>
          </w:p>
        </w:tc>
        <w:tc>
          <w:tcPr>
            <w:tcW w:w="622" w:type="pct"/>
            <w:tcBorders>
              <w:top w:val="single" w:sz="4" w:space="0" w:color="auto"/>
              <w:bottom w:val="single" w:sz="4" w:space="0" w:color="auto"/>
            </w:tcBorders>
          </w:tcPr>
          <w:p w14:paraId="2C211D8C" w14:textId="77777777" w:rsidR="001247F3" w:rsidRPr="00AB15C7" w:rsidRDefault="001247F3" w:rsidP="005921EF">
            <w:pPr>
              <w:jc w:val="both"/>
              <w:rPr>
                <w:rFonts w:ascii="Cambria" w:hAnsi="Cambria"/>
                <w:noProof/>
              </w:rPr>
            </w:pPr>
            <w:r w:rsidRPr="00AB15C7">
              <w:rPr>
                <w:rFonts w:ascii="Cambria" w:hAnsi="Cambria"/>
                <w:noProof/>
                <w:lang w:val="sr-Latn-ME"/>
              </w:rPr>
              <w:t>MORT</w:t>
            </w:r>
          </w:p>
        </w:tc>
        <w:tc>
          <w:tcPr>
            <w:tcW w:w="877" w:type="pct"/>
            <w:tcBorders>
              <w:top w:val="single" w:sz="4" w:space="0" w:color="auto"/>
              <w:bottom w:val="single" w:sz="4" w:space="0" w:color="auto"/>
            </w:tcBorders>
          </w:tcPr>
          <w:p w14:paraId="0D774F2A"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IPPC postrojenjima</w:t>
            </w:r>
          </w:p>
        </w:tc>
        <w:tc>
          <w:tcPr>
            <w:tcW w:w="1991" w:type="pct"/>
            <w:tcBorders>
              <w:top w:val="single" w:sz="4" w:space="0" w:color="auto"/>
              <w:bottom w:val="single" w:sz="4" w:space="0" w:color="auto"/>
              <w:right w:val="double" w:sz="4" w:space="0" w:color="auto"/>
            </w:tcBorders>
          </w:tcPr>
          <w:p w14:paraId="3524C6CA"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Bliže uredjuje sadržinu, oblik i način popunjavanja zahtjeva za izdavanje integrisane dozvole, kao i druga pitanja od značaja za podnošenje zahtjeva.</w:t>
            </w:r>
          </w:p>
        </w:tc>
      </w:tr>
      <w:tr w:rsidR="001247F3" w:rsidRPr="00AB15C7" w14:paraId="5B8D58C4" w14:textId="77777777" w:rsidTr="00165701">
        <w:trPr>
          <w:trHeight w:val="480"/>
        </w:trPr>
        <w:tc>
          <w:tcPr>
            <w:tcW w:w="1511" w:type="pct"/>
            <w:tcBorders>
              <w:top w:val="single" w:sz="4" w:space="0" w:color="auto"/>
              <w:left w:val="double" w:sz="4" w:space="0" w:color="auto"/>
              <w:bottom w:val="single" w:sz="4" w:space="0" w:color="auto"/>
            </w:tcBorders>
          </w:tcPr>
          <w:p w14:paraId="796A20C2" w14:textId="77777777" w:rsidR="001247F3" w:rsidRPr="00AB15C7" w:rsidRDefault="001247F3" w:rsidP="005921EF">
            <w:pPr>
              <w:jc w:val="both"/>
              <w:rPr>
                <w:rFonts w:ascii="Cambria" w:hAnsi="Cambria"/>
                <w:b/>
                <w:noProof/>
                <w:lang w:val="sr-Latn-ME"/>
              </w:rPr>
            </w:pPr>
            <w:r w:rsidRPr="00AB15C7">
              <w:rPr>
                <w:rFonts w:ascii="Cambria" w:hAnsi="Cambria"/>
                <w:noProof/>
                <w:lang w:val="sr-Latn-ME"/>
              </w:rPr>
              <w:t>Pravilnik o sadržini i izgledu integrisane dozvole („Sl. list CG", br. 03/08).</w:t>
            </w:r>
          </w:p>
        </w:tc>
        <w:tc>
          <w:tcPr>
            <w:tcW w:w="622" w:type="pct"/>
            <w:tcBorders>
              <w:top w:val="single" w:sz="4" w:space="0" w:color="auto"/>
              <w:bottom w:val="single" w:sz="4" w:space="0" w:color="auto"/>
            </w:tcBorders>
          </w:tcPr>
          <w:p w14:paraId="77779D3F" w14:textId="77777777" w:rsidR="001247F3" w:rsidRPr="00AB15C7" w:rsidRDefault="001247F3" w:rsidP="005921EF">
            <w:pPr>
              <w:jc w:val="both"/>
              <w:rPr>
                <w:rFonts w:ascii="Cambria" w:hAnsi="Cambria"/>
                <w:noProof/>
              </w:rPr>
            </w:pPr>
            <w:r w:rsidRPr="00AB15C7">
              <w:rPr>
                <w:rFonts w:ascii="Cambria" w:hAnsi="Cambria"/>
                <w:noProof/>
                <w:lang w:val="sr-Latn-ME"/>
              </w:rPr>
              <w:t>MORT</w:t>
            </w:r>
          </w:p>
        </w:tc>
        <w:tc>
          <w:tcPr>
            <w:tcW w:w="877" w:type="pct"/>
            <w:tcBorders>
              <w:top w:val="single" w:sz="4" w:space="0" w:color="auto"/>
              <w:bottom w:val="single" w:sz="4" w:space="0" w:color="auto"/>
            </w:tcBorders>
          </w:tcPr>
          <w:p w14:paraId="42D873F2"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IPPC postrojenjima</w:t>
            </w:r>
          </w:p>
        </w:tc>
        <w:tc>
          <w:tcPr>
            <w:tcW w:w="1991" w:type="pct"/>
            <w:tcBorders>
              <w:top w:val="single" w:sz="4" w:space="0" w:color="auto"/>
              <w:bottom w:val="single" w:sz="4" w:space="0" w:color="auto"/>
              <w:right w:val="double" w:sz="4" w:space="0" w:color="auto"/>
            </w:tcBorders>
          </w:tcPr>
          <w:p w14:paraId="04E4E0B6"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Bliže uredjuje sadržinu i oblik integrisane dozvole</w:t>
            </w:r>
          </w:p>
        </w:tc>
      </w:tr>
    </w:tbl>
    <w:p w14:paraId="7B4EC051" w14:textId="77777777" w:rsidR="00490D85" w:rsidRDefault="00490D85" w:rsidP="005921EF">
      <w:pPr>
        <w:jc w:val="both"/>
        <w:rPr>
          <w:rFonts w:ascii="Cambria" w:hAnsi="Cambria"/>
          <w:b/>
          <w:i/>
          <w:noProof/>
          <w:lang w:val="sr-Latn-ME"/>
        </w:rPr>
      </w:pPr>
    </w:p>
    <w:p w14:paraId="2656906C" w14:textId="63E24A71" w:rsidR="001247F3" w:rsidRPr="00AB15C7" w:rsidRDefault="001247F3" w:rsidP="005921EF">
      <w:pPr>
        <w:jc w:val="both"/>
        <w:rPr>
          <w:rFonts w:ascii="Cambria" w:hAnsi="Cambria"/>
          <w:noProof/>
          <w:lang w:val="sr-Latn-ME"/>
        </w:rPr>
      </w:pPr>
      <w:r w:rsidRPr="00AB15C7">
        <w:rPr>
          <w:rFonts w:ascii="Cambria" w:hAnsi="Cambria"/>
          <w:b/>
          <w:i/>
          <w:noProof/>
          <w:lang w:val="sr-Latn-ME"/>
        </w:rPr>
        <w:t xml:space="preserve">Tabela A7. </w:t>
      </w:r>
      <w:r w:rsidRPr="00A76A53">
        <w:rPr>
          <w:rFonts w:ascii="Cambria" w:hAnsi="Cambria"/>
          <w:b/>
          <w:noProof/>
          <w:lang w:val="sr-Latn-ME"/>
        </w:rPr>
        <w:t>Važeći propisi koji se odnose na oblast životne sredine-Zakon o procjeni uticaja na životnu sredinu</w:t>
      </w:r>
    </w:p>
    <w:tbl>
      <w:tblPr>
        <w:tblW w:w="52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45"/>
        <w:gridCol w:w="1790"/>
        <w:gridCol w:w="2521"/>
        <w:gridCol w:w="5729"/>
      </w:tblGrid>
      <w:tr w:rsidR="001247F3" w:rsidRPr="00AB15C7" w14:paraId="658200B8" w14:textId="77777777" w:rsidTr="00165701">
        <w:trPr>
          <w:trHeight w:val="480"/>
        </w:trPr>
        <w:tc>
          <w:tcPr>
            <w:tcW w:w="1510" w:type="pct"/>
            <w:tcBorders>
              <w:top w:val="double" w:sz="4" w:space="0" w:color="auto"/>
              <w:left w:val="double" w:sz="4" w:space="0" w:color="auto"/>
              <w:bottom w:val="single" w:sz="4" w:space="0" w:color="000000"/>
              <w:right w:val="single" w:sz="4" w:space="0" w:color="000000"/>
            </w:tcBorders>
            <w:shd w:val="clear" w:color="auto" w:fill="D9D9D9"/>
          </w:tcPr>
          <w:p w14:paraId="61EF4956"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Propis</w:t>
            </w:r>
          </w:p>
        </w:tc>
        <w:tc>
          <w:tcPr>
            <w:tcW w:w="622" w:type="pct"/>
            <w:tcBorders>
              <w:top w:val="double" w:sz="4" w:space="0" w:color="auto"/>
              <w:left w:val="single" w:sz="4" w:space="0" w:color="000000"/>
              <w:bottom w:val="single" w:sz="4" w:space="0" w:color="000000"/>
              <w:right w:val="single" w:sz="4" w:space="0" w:color="000000"/>
            </w:tcBorders>
            <w:shd w:val="clear" w:color="auto" w:fill="D9D9D9"/>
          </w:tcPr>
          <w:p w14:paraId="33DD5ABC"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 xml:space="preserve">Nadležni organ </w:t>
            </w:r>
          </w:p>
        </w:tc>
        <w:tc>
          <w:tcPr>
            <w:tcW w:w="876" w:type="pct"/>
            <w:tcBorders>
              <w:top w:val="double" w:sz="4" w:space="0" w:color="auto"/>
              <w:left w:val="single" w:sz="4" w:space="0" w:color="000000"/>
              <w:bottom w:val="single" w:sz="4" w:space="0" w:color="000000"/>
              <w:right w:val="single" w:sz="4" w:space="0" w:color="000000"/>
            </w:tcBorders>
            <w:shd w:val="clear" w:color="auto" w:fill="D9D9D9"/>
          </w:tcPr>
          <w:p w14:paraId="4DEEA6C1"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Regulisana hemikalija</w:t>
            </w:r>
          </w:p>
        </w:tc>
        <w:tc>
          <w:tcPr>
            <w:tcW w:w="1991" w:type="pct"/>
            <w:tcBorders>
              <w:top w:val="double" w:sz="4" w:space="0" w:color="auto"/>
              <w:left w:val="single" w:sz="4" w:space="0" w:color="000000"/>
              <w:bottom w:val="single" w:sz="4" w:space="0" w:color="000000"/>
              <w:right w:val="double" w:sz="4" w:space="0" w:color="auto"/>
            </w:tcBorders>
            <w:shd w:val="clear" w:color="auto" w:fill="D9D9D9"/>
          </w:tcPr>
          <w:p w14:paraId="57800664" w14:textId="77777777" w:rsidR="001247F3" w:rsidRPr="00AB15C7" w:rsidRDefault="001247F3" w:rsidP="005921EF">
            <w:pPr>
              <w:jc w:val="both"/>
              <w:rPr>
                <w:rFonts w:ascii="Cambria" w:hAnsi="Cambria"/>
                <w:b/>
                <w:noProof/>
                <w:lang w:val="sr-Latn-ME"/>
              </w:rPr>
            </w:pPr>
            <w:r w:rsidRPr="00AB15C7">
              <w:rPr>
                <w:rFonts w:ascii="Cambria" w:hAnsi="Cambria"/>
                <w:b/>
                <w:noProof/>
                <w:lang w:val="sr-Latn-ME"/>
              </w:rPr>
              <w:t>Cilj propisa</w:t>
            </w:r>
          </w:p>
        </w:tc>
      </w:tr>
      <w:tr w:rsidR="001247F3" w:rsidRPr="00AB15C7" w14:paraId="0FA35F1F" w14:textId="77777777" w:rsidTr="00165701">
        <w:trPr>
          <w:trHeight w:val="480"/>
        </w:trPr>
        <w:tc>
          <w:tcPr>
            <w:tcW w:w="1510" w:type="pct"/>
            <w:tcBorders>
              <w:top w:val="single" w:sz="4" w:space="0" w:color="auto"/>
              <w:left w:val="double" w:sz="4" w:space="0" w:color="auto"/>
              <w:bottom w:val="single" w:sz="4" w:space="0" w:color="auto"/>
            </w:tcBorders>
          </w:tcPr>
          <w:p w14:paraId="47627D3E" w14:textId="77777777" w:rsidR="001247F3" w:rsidRPr="00AB15C7" w:rsidRDefault="001247F3" w:rsidP="005921EF">
            <w:pPr>
              <w:jc w:val="both"/>
              <w:rPr>
                <w:rFonts w:ascii="Cambria" w:hAnsi="Cambria"/>
                <w:noProof/>
                <w:lang w:val="sr-Latn-ME"/>
              </w:rPr>
            </w:pPr>
            <w:r w:rsidRPr="00AB15C7">
              <w:rPr>
                <w:rFonts w:ascii="Cambria" w:hAnsi="Cambria"/>
                <w:b/>
                <w:noProof/>
                <w:lang w:val="sr-Latn-ME"/>
              </w:rPr>
              <w:t>Zakon o procjeni uticaja na životnu sredinu</w:t>
            </w:r>
            <w:r w:rsidRPr="00AB15C7">
              <w:rPr>
                <w:rFonts w:ascii="Cambria" w:hAnsi="Cambria"/>
                <w:noProof/>
                <w:lang w:val="sr-Latn-ME"/>
              </w:rPr>
              <w:t xml:space="preserve"> (»Sl.list RCG«, br 80/05)</w:t>
            </w:r>
          </w:p>
        </w:tc>
        <w:tc>
          <w:tcPr>
            <w:tcW w:w="622" w:type="pct"/>
            <w:tcBorders>
              <w:top w:val="single" w:sz="4" w:space="0" w:color="auto"/>
              <w:bottom w:val="single" w:sz="4" w:space="0" w:color="auto"/>
            </w:tcBorders>
          </w:tcPr>
          <w:p w14:paraId="286B8AAB"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MORT</w:t>
            </w:r>
          </w:p>
        </w:tc>
        <w:tc>
          <w:tcPr>
            <w:tcW w:w="876" w:type="pct"/>
            <w:tcBorders>
              <w:top w:val="single" w:sz="4" w:space="0" w:color="auto"/>
              <w:bottom w:val="single" w:sz="4" w:space="0" w:color="auto"/>
            </w:tcBorders>
          </w:tcPr>
          <w:p w14:paraId="40B37F1D"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projektima koji mogu uticati životnu sredinu</w:t>
            </w:r>
          </w:p>
        </w:tc>
        <w:tc>
          <w:tcPr>
            <w:tcW w:w="1991" w:type="pct"/>
            <w:tcBorders>
              <w:top w:val="single" w:sz="4" w:space="0" w:color="auto"/>
              <w:bottom w:val="single" w:sz="4" w:space="0" w:color="auto"/>
              <w:right w:val="double" w:sz="4" w:space="0" w:color="auto"/>
            </w:tcBorders>
          </w:tcPr>
          <w:p w14:paraId="41204FD4"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postupak procjene uticaja na životnu sredinu</w:t>
            </w:r>
          </w:p>
        </w:tc>
      </w:tr>
      <w:tr w:rsidR="001247F3" w:rsidRPr="00AB15C7" w14:paraId="1439D332" w14:textId="77777777" w:rsidTr="00165701">
        <w:trPr>
          <w:trHeight w:val="480"/>
        </w:trPr>
        <w:tc>
          <w:tcPr>
            <w:tcW w:w="1510" w:type="pct"/>
            <w:tcBorders>
              <w:top w:val="single" w:sz="4" w:space="0" w:color="auto"/>
              <w:left w:val="double" w:sz="4" w:space="0" w:color="auto"/>
              <w:bottom w:val="single" w:sz="4" w:space="0" w:color="auto"/>
              <w:right w:val="single" w:sz="4" w:space="0" w:color="000000"/>
            </w:tcBorders>
            <w:shd w:val="clear" w:color="auto" w:fill="F2F2F2"/>
          </w:tcPr>
          <w:p w14:paraId="0984D958"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lastRenderedPageBreak/>
              <w:t>Podzakonski propisi za sprovođenje ovog zakona</w:t>
            </w:r>
          </w:p>
        </w:tc>
        <w:tc>
          <w:tcPr>
            <w:tcW w:w="622" w:type="pct"/>
            <w:tcBorders>
              <w:top w:val="single" w:sz="4" w:space="0" w:color="auto"/>
              <w:left w:val="single" w:sz="4" w:space="0" w:color="000000"/>
              <w:bottom w:val="single" w:sz="4" w:space="0" w:color="auto"/>
              <w:right w:val="single" w:sz="4" w:space="0" w:color="000000"/>
            </w:tcBorders>
            <w:shd w:val="clear" w:color="auto" w:fill="F2F2F2"/>
          </w:tcPr>
          <w:p w14:paraId="4892B778"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Nadležni organ</w:t>
            </w:r>
          </w:p>
        </w:tc>
        <w:tc>
          <w:tcPr>
            <w:tcW w:w="876" w:type="pct"/>
            <w:tcBorders>
              <w:top w:val="single" w:sz="4" w:space="0" w:color="auto"/>
              <w:left w:val="single" w:sz="4" w:space="0" w:color="000000"/>
              <w:bottom w:val="single" w:sz="4" w:space="0" w:color="auto"/>
              <w:right w:val="single" w:sz="4" w:space="0" w:color="000000"/>
            </w:tcBorders>
            <w:shd w:val="clear" w:color="auto" w:fill="F2F2F2"/>
          </w:tcPr>
          <w:p w14:paraId="3F9560C4"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Regulisana hemikalija</w:t>
            </w:r>
          </w:p>
        </w:tc>
        <w:tc>
          <w:tcPr>
            <w:tcW w:w="1991" w:type="pct"/>
            <w:tcBorders>
              <w:top w:val="single" w:sz="4" w:space="0" w:color="auto"/>
              <w:left w:val="single" w:sz="4" w:space="0" w:color="000000"/>
              <w:bottom w:val="single" w:sz="4" w:space="0" w:color="auto"/>
              <w:right w:val="double" w:sz="4" w:space="0" w:color="auto"/>
            </w:tcBorders>
            <w:shd w:val="clear" w:color="auto" w:fill="F2F2F2"/>
          </w:tcPr>
          <w:p w14:paraId="60AE27CD" w14:textId="77777777" w:rsidR="001247F3" w:rsidRPr="00AB15C7" w:rsidRDefault="001247F3" w:rsidP="005921EF">
            <w:pPr>
              <w:jc w:val="both"/>
              <w:rPr>
                <w:rFonts w:ascii="Cambria" w:hAnsi="Cambria"/>
                <w:i/>
                <w:noProof/>
                <w:lang w:val="sr-Latn-ME"/>
              </w:rPr>
            </w:pPr>
            <w:r w:rsidRPr="00AB15C7">
              <w:rPr>
                <w:rFonts w:ascii="Cambria" w:hAnsi="Cambria"/>
                <w:i/>
                <w:noProof/>
                <w:lang w:val="sr-Latn-ME"/>
              </w:rPr>
              <w:t>Cilj propisa</w:t>
            </w:r>
          </w:p>
        </w:tc>
      </w:tr>
      <w:tr w:rsidR="001247F3" w:rsidRPr="00AB15C7" w14:paraId="0EDB48C0" w14:textId="77777777" w:rsidTr="00165701">
        <w:trPr>
          <w:trHeight w:val="480"/>
        </w:trPr>
        <w:tc>
          <w:tcPr>
            <w:tcW w:w="1510" w:type="pct"/>
            <w:tcBorders>
              <w:top w:val="single" w:sz="4" w:space="0" w:color="auto"/>
              <w:left w:val="double" w:sz="4" w:space="0" w:color="auto"/>
              <w:bottom w:val="single" w:sz="4" w:space="0" w:color="auto"/>
              <w:right w:val="single" w:sz="4" w:space="0" w:color="000000"/>
            </w:tcBorders>
          </w:tcPr>
          <w:p w14:paraId="0967D1FA"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 xml:space="preserve">Uredba o projektima za koje se vrši procjena uticaja na životnu sredinu </w:t>
            </w:r>
            <w:bookmarkStart w:id="174" w:name="_Hlk518766619"/>
            <w:r w:rsidRPr="00AB15C7">
              <w:rPr>
                <w:rFonts w:ascii="Cambria" w:hAnsi="Cambria"/>
                <w:noProof/>
                <w:lang w:val="sr-Latn-ME"/>
              </w:rPr>
              <w:t xml:space="preserve">(„Sl. list RCG", br. </w:t>
            </w:r>
            <w:bookmarkEnd w:id="174"/>
            <w:r w:rsidRPr="00AB15C7">
              <w:rPr>
                <w:rFonts w:ascii="Cambria" w:hAnsi="Cambria"/>
                <w:noProof/>
                <w:lang w:val="sr-Latn-ME"/>
              </w:rPr>
              <w:t>20/07)</w:t>
            </w:r>
          </w:p>
        </w:tc>
        <w:tc>
          <w:tcPr>
            <w:tcW w:w="622" w:type="pct"/>
            <w:tcBorders>
              <w:top w:val="single" w:sz="4" w:space="0" w:color="auto"/>
              <w:left w:val="single" w:sz="4" w:space="0" w:color="000000"/>
              <w:bottom w:val="single" w:sz="4" w:space="0" w:color="auto"/>
              <w:right w:val="single" w:sz="4" w:space="0" w:color="000000"/>
            </w:tcBorders>
          </w:tcPr>
          <w:p w14:paraId="6EEF08C2"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MORT</w:t>
            </w:r>
          </w:p>
        </w:tc>
        <w:tc>
          <w:tcPr>
            <w:tcW w:w="876" w:type="pct"/>
            <w:tcBorders>
              <w:top w:val="single" w:sz="4" w:space="0" w:color="auto"/>
              <w:left w:val="single" w:sz="4" w:space="0" w:color="000000"/>
              <w:bottom w:val="single" w:sz="4" w:space="0" w:color="auto"/>
              <w:right w:val="single" w:sz="4" w:space="0" w:color="000000"/>
            </w:tcBorders>
          </w:tcPr>
          <w:p w14:paraId="632FE95E"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projektima koji mogu uticati životnu sredinu</w:t>
            </w:r>
          </w:p>
        </w:tc>
        <w:tc>
          <w:tcPr>
            <w:tcW w:w="1991" w:type="pct"/>
            <w:tcBorders>
              <w:top w:val="single" w:sz="4" w:space="0" w:color="auto"/>
              <w:left w:val="single" w:sz="4" w:space="0" w:color="000000"/>
              <w:bottom w:val="single" w:sz="4" w:space="0" w:color="auto"/>
              <w:right w:val="double" w:sz="4" w:space="0" w:color="auto"/>
            </w:tcBorders>
          </w:tcPr>
          <w:p w14:paraId="4018B4C2"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Ovom uredbom utvrđuju se projekti za koje je obavezna procjena uticaja na životnu sredinu i projekti za koje se može zahtijevati  procjena uticaja.</w:t>
            </w:r>
          </w:p>
        </w:tc>
      </w:tr>
      <w:tr w:rsidR="001247F3" w:rsidRPr="00AB15C7" w14:paraId="45166671" w14:textId="77777777" w:rsidTr="00165701">
        <w:trPr>
          <w:trHeight w:val="480"/>
        </w:trPr>
        <w:tc>
          <w:tcPr>
            <w:tcW w:w="1510" w:type="pct"/>
            <w:tcBorders>
              <w:top w:val="single" w:sz="4" w:space="0" w:color="auto"/>
              <w:left w:val="double" w:sz="4" w:space="0" w:color="auto"/>
              <w:bottom w:val="single" w:sz="4" w:space="0" w:color="auto"/>
              <w:right w:val="single" w:sz="4" w:space="0" w:color="000000"/>
            </w:tcBorders>
          </w:tcPr>
          <w:p w14:paraId="0D82B22A"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sadržaju dokumentacije koja se podnosi uz zahtjev za odlučivanje o potrebi procjene uticaja na životnu sredinu („Sl. list CG", br. 14/07)</w:t>
            </w:r>
          </w:p>
        </w:tc>
        <w:tc>
          <w:tcPr>
            <w:tcW w:w="622" w:type="pct"/>
            <w:tcBorders>
              <w:top w:val="single" w:sz="4" w:space="0" w:color="auto"/>
              <w:left w:val="single" w:sz="4" w:space="0" w:color="000000"/>
              <w:bottom w:val="single" w:sz="4" w:space="0" w:color="auto"/>
              <w:right w:val="single" w:sz="4" w:space="0" w:color="000000"/>
            </w:tcBorders>
          </w:tcPr>
          <w:p w14:paraId="69F9A283"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MORT</w:t>
            </w:r>
          </w:p>
        </w:tc>
        <w:tc>
          <w:tcPr>
            <w:tcW w:w="876" w:type="pct"/>
            <w:tcBorders>
              <w:top w:val="single" w:sz="4" w:space="0" w:color="auto"/>
              <w:left w:val="single" w:sz="4" w:space="0" w:color="000000"/>
              <w:bottom w:val="single" w:sz="4" w:space="0" w:color="auto"/>
              <w:right w:val="single" w:sz="4" w:space="0" w:color="000000"/>
            </w:tcBorders>
          </w:tcPr>
          <w:p w14:paraId="28DC70B4"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projektima koji mogu uticati životnu sredinu</w:t>
            </w:r>
          </w:p>
        </w:tc>
        <w:tc>
          <w:tcPr>
            <w:tcW w:w="1991" w:type="pct"/>
            <w:tcBorders>
              <w:top w:val="single" w:sz="4" w:space="0" w:color="auto"/>
              <w:left w:val="single" w:sz="4" w:space="0" w:color="000000"/>
              <w:bottom w:val="single" w:sz="4" w:space="0" w:color="auto"/>
              <w:right w:val="double" w:sz="4" w:space="0" w:color="auto"/>
            </w:tcBorders>
          </w:tcPr>
          <w:p w14:paraId="2BDC7F8F"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pravilnikom bliže se propisuje propisuje sadržaj dokumentacije koju nosilac projekta podnosi uz zahtjev za odlučivanje o potrebi procjene uticaja na životnu sredinu</w:t>
            </w:r>
          </w:p>
        </w:tc>
      </w:tr>
      <w:tr w:rsidR="001247F3" w:rsidRPr="00AB15C7" w14:paraId="41AA0184" w14:textId="77777777" w:rsidTr="00165701">
        <w:trPr>
          <w:trHeight w:val="480"/>
        </w:trPr>
        <w:tc>
          <w:tcPr>
            <w:tcW w:w="1510" w:type="pct"/>
            <w:tcBorders>
              <w:top w:val="single" w:sz="4" w:space="0" w:color="auto"/>
              <w:left w:val="double" w:sz="4" w:space="0" w:color="auto"/>
              <w:bottom w:val="single" w:sz="4" w:space="0" w:color="auto"/>
              <w:right w:val="single" w:sz="4" w:space="0" w:color="000000"/>
            </w:tcBorders>
          </w:tcPr>
          <w:p w14:paraId="0764E08F"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sadržaju dokumentacije koja se podnosi uz zahtjev za određivanje obima i sadržaja elaborata o procjeni uticaja na životnu sredinu („Sl. list CG", br. 14/07)</w:t>
            </w:r>
          </w:p>
        </w:tc>
        <w:tc>
          <w:tcPr>
            <w:tcW w:w="622" w:type="pct"/>
            <w:tcBorders>
              <w:top w:val="single" w:sz="4" w:space="0" w:color="auto"/>
              <w:left w:val="single" w:sz="4" w:space="0" w:color="000000"/>
              <w:bottom w:val="single" w:sz="4" w:space="0" w:color="auto"/>
              <w:right w:val="single" w:sz="4" w:space="0" w:color="000000"/>
            </w:tcBorders>
          </w:tcPr>
          <w:p w14:paraId="440789D1"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MORT</w:t>
            </w:r>
          </w:p>
        </w:tc>
        <w:tc>
          <w:tcPr>
            <w:tcW w:w="876" w:type="pct"/>
            <w:tcBorders>
              <w:top w:val="single" w:sz="4" w:space="0" w:color="auto"/>
              <w:left w:val="single" w:sz="4" w:space="0" w:color="000000"/>
              <w:bottom w:val="single" w:sz="4" w:space="0" w:color="auto"/>
              <w:right w:val="single" w:sz="4" w:space="0" w:color="000000"/>
            </w:tcBorders>
          </w:tcPr>
          <w:p w14:paraId="703EF5C8"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projektima koji mogu uticati životnu sredinu</w:t>
            </w:r>
          </w:p>
        </w:tc>
        <w:tc>
          <w:tcPr>
            <w:tcW w:w="1991" w:type="pct"/>
            <w:tcBorders>
              <w:top w:val="single" w:sz="4" w:space="0" w:color="auto"/>
              <w:left w:val="single" w:sz="4" w:space="0" w:color="000000"/>
              <w:bottom w:val="single" w:sz="4" w:space="0" w:color="auto"/>
              <w:right w:val="double" w:sz="4" w:space="0" w:color="auto"/>
            </w:tcBorders>
          </w:tcPr>
          <w:p w14:paraId="3A67F836"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pravilnikom bliže se propisuje sadržaj dokumentacije koja se podnosi uz zahtjev za određivanje obima i sadržaja elaborata o procjeni uticaja na životnu sredinu.</w:t>
            </w:r>
          </w:p>
        </w:tc>
      </w:tr>
      <w:tr w:rsidR="001247F3" w:rsidRPr="00AB15C7" w14:paraId="2EE6EE3D" w14:textId="77777777" w:rsidTr="00165701">
        <w:trPr>
          <w:trHeight w:val="480"/>
        </w:trPr>
        <w:tc>
          <w:tcPr>
            <w:tcW w:w="1510" w:type="pct"/>
            <w:tcBorders>
              <w:top w:val="single" w:sz="4" w:space="0" w:color="auto"/>
              <w:left w:val="double" w:sz="4" w:space="0" w:color="auto"/>
              <w:bottom w:val="single" w:sz="4" w:space="0" w:color="auto"/>
              <w:right w:val="single" w:sz="4" w:space="0" w:color="000000"/>
            </w:tcBorders>
          </w:tcPr>
          <w:p w14:paraId="3208ECE3"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sadržaju, obliku i načinu vođenja javne knjige o postupcima i odlukama o procjeni uticaja na životnu sredinu („Sl. list CG", br. 14/07)</w:t>
            </w:r>
          </w:p>
        </w:tc>
        <w:tc>
          <w:tcPr>
            <w:tcW w:w="622" w:type="pct"/>
            <w:tcBorders>
              <w:top w:val="single" w:sz="4" w:space="0" w:color="auto"/>
              <w:left w:val="single" w:sz="4" w:space="0" w:color="000000"/>
              <w:bottom w:val="single" w:sz="4" w:space="0" w:color="auto"/>
              <w:right w:val="single" w:sz="4" w:space="0" w:color="000000"/>
            </w:tcBorders>
          </w:tcPr>
          <w:p w14:paraId="1B748254"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MORT</w:t>
            </w:r>
          </w:p>
        </w:tc>
        <w:tc>
          <w:tcPr>
            <w:tcW w:w="876" w:type="pct"/>
            <w:tcBorders>
              <w:top w:val="single" w:sz="4" w:space="0" w:color="auto"/>
              <w:left w:val="single" w:sz="4" w:space="0" w:color="000000"/>
              <w:bottom w:val="single" w:sz="4" w:space="0" w:color="auto"/>
              <w:right w:val="single" w:sz="4" w:space="0" w:color="000000"/>
            </w:tcBorders>
          </w:tcPr>
          <w:p w14:paraId="5FB89D64"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hemikalije</w:t>
            </w:r>
            <w:r>
              <w:rPr>
                <w:rFonts w:ascii="Cambria" w:hAnsi="Cambria"/>
                <w:noProof/>
                <w:lang w:val="sr-Latn-ME"/>
              </w:rPr>
              <w:t xml:space="preserve"> </w:t>
            </w:r>
            <w:r w:rsidR="001247F3" w:rsidRPr="00AB15C7">
              <w:rPr>
                <w:rFonts w:ascii="Cambria" w:hAnsi="Cambria"/>
                <w:noProof/>
                <w:lang w:val="sr-Latn-ME"/>
              </w:rPr>
              <w:t>u vezi sa projektima koji mogu uticati životunu sredinu</w:t>
            </w:r>
          </w:p>
        </w:tc>
        <w:tc>
          <w:tcPr>
            <w:tcW w:w="1991" w:type="pct"/>
            <w:tcBorders>
              <w:top w:val="single" w:sz="4" w:space="0" w:color="auto"/>
              <w:left w:val="single" w:sz="4" w:space="0" w:color="000000"/>
              <w:bottom w:val="single" w:sz="4" w:space="0" w:color="auto"/>
              <w:right w:val="double" w:sz="4" w:space="0" w:color="auto"/>
            </w:tcBorders>
          </w:tcPr>
          <w:p w14:paraId="487AED1B"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pravilnikom bliže se propisuje sadržina, oblik i način vođenja evidencije o sprovedenim postupcima i donijetim odlukama u postupku procjene uticaja na životnu sredinu.</w:t>
            </w:r>
          </w:p>
        </w:tc>
      </w:tr>
      <w:tr w:rsidR="001247F3" w:rsidRPr="00AB15C7" w14:paraId="141D33F5" w14:textId="77777777" w:rsidTr="00165701">
        <w:trPr>
          <w:trHeight w:val="480"/>
        </w:trPr>
        <w:tc>
          <w:tcPr>
            <w:tcW w:w="1510" w:type="pct"/>
            <w:tcBorders>
              <w:top w:val="single" w:sz="4" w:space="0" w:color="auto"/>
              <w:left w:val="double" w:sz="4" w:space="0" w:color="auto"/>
              <w:bottom w:val="double" w:sz="4" w:space="0" w:color="auto"/>
              <w:right w:val="single" w:sz="4" w:space="0" w:color="000000"/>
            </w:tcBorders>
          </w:tcPr>
          <w:p w14:paraId="6C4E744C"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Pravilnik o sadržini elaborata o procjeni uticaja na životnu sredinu („Sl. list CG", br. 14/07)</w:t>
            </w:r>
          </w:p>
        </w:tc>
        <w:tc>
          <w:tcPr>
            <w:tcW w:w="622" w:type="pct"/>
            <w:tcBorders>
              <w:top w:val="single" w:sz="4" w:space="0" w:color="auto"/>
              <w:left w:val="single" w:sz="4" w:space="0" w:color="000000"/>
              <w:bottom w:val="double" w:sz="4" w:space="0" w:color="auto"/>
              <w:right w:val="single" w:sz="4" w:space="0" w:color="000000"/>
            </w:tcBorders>
          </w:tcPr>
          <w:p w14:paraId="18D07528"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MORT</w:t>
            </w:r>
          </w:p>
        </w:tc>
        <w:tc>
          <w:tcPr>
            <w:tcW w:w="876" w:type="pct"/>
            <w:tcBorders>
              <w:top w:val="single" w:sz="4" w:space="0" w:color="auto"/>
              <w:left w:val="single" w:sz="4" w:space="0" w:color="000000"/>
              <w:bottom w:val="double" w:sz="4" w:space="0" w:color="auto"/>
              <w:right w:val="single" w:sz="4" w:space="0" w:color="000000"/>
            </w:tcBorders>
          </w:tcPr>
          <w:p w14:paraId="102B4897" w14:textId="77777777" w:rsidR="001247F3" w:rsidRPr="00AB15C7" w:rsidRDefault="00137E53" w:rsidP="005921EF">
            <w:pPr>
              <w:jc w:val="both"/>
              <w:rPr>
                <w:rFonts w:ascii="Cambria" w:hAnsi="Cambria"/>
                <w:noProof/>
                <w:lang w:val="sr-Latn-ME"/>
              </w:rPr>
            </w:pPr>
            <w:r w:rsidRPr="00137E53">
              <w:rPr>
                <w:rFonts w:ascii="Cambria" w:hAnsi="Cambria"/>
                <w:noProof/>
                <w:lang w:val="sr-Latn-ME"/>
              </w:rPr>
              <w:t xml:space="preserve">hemikalije </w:t>
            </w:r>
            <w:r w:rsidR="001247F3" w:rsidRPr="00AB15C7">
              <w:rPr>
                <w:rFonts w:ascii="Cambria" w:hAnsi="Cambria"/>
                <w:noProof/>
                <w:lang w:val="sr-Latn-ME"/>
              </w:rPr>
              <w:t>u vezi sa projektima koji mogu uticati životunu sredinu</w:t>
            </w:r>
          </w:p>
        </w:tc>
        <w:tc>
          <w:tcPr>
            <w:tcW w:w="1991" w:type="pct"/>
            <w:tcBorders>
              <w:top w:val="single" w:sz="4" w:space="0" w:color="auto"/>
              <w:left w:val="single" w:sz="4" w:space="0" w:color="000000"/>
              <w:bottom w:val="double" w:sz="4" w:space="0" w:color="auto"/>
              <w:right w:val="double" w:sz="4" w:space="0" w:color="auto"/>
            </w:tcBorders>
          </w:tcPr>
          <w:p w14:paraId="678C8027" w14:textId="77777777" w:rsidR="001247F3" w:rsidRPr="00AB15C7" w:rsidRDefault="001247F3" w:rsidP="005921EF">
            <w:pPr>
              <w:jc w:val="both"/>
              <w:rPr>
                <w:rFonts w:ascii="Cambria" w:hAnsi="Cambria"/>
                <w:noProof/>
                <w:lang w:val="sr-Latn-ME"/>
              </w:rPr>
            </w:pPr>
            <w:r w:rsidRPr="00AB15C7">
              <w:rPr>
                <w:rFonts w:ascii="Cambria" w:hAnsi="Cambria"/>
                <w:noProof/>
                <w:lang w:val="sr-Latn-ME"/>
              </w:rPr>
              <w:t>Ovim pravilnikom bliže se propisuje sadržaj elaborata o procjeni uticaja na životnu sredinu.</w:t>
            </w:r>
          </w:p>
        </w:tc>
      </w:tr>
    </w:tbl>
    <w:p w14:paraId="42230826" w14:textId="77777777" w:rsidR="00490D85" w:rsidRDefault="00490D85" w:rsidP="00A76A53">
      <w:pPr>
        <w:rPr>
          <w:rFonts w:ascii="Cambria" w:hAnsi="Cambria"/>
          <w:b/>
          <w:noProof/>
          <w:lang w:val="sr-Latn-ME"/>
        </w:rPr>
      </w:pPr>
      <w:bookmarkStart w:id="175" w:name="_Hlk524090201"/>
    </w:p>
    <w:p w14:paraId="2F36EAEA" w14:textId="65B093CD" w:rsidR="00A73F66" w:rsidRPr="00A76A53" w:rsidRDefault="00A73F66" w:rsidP="00A76A53">
      <w:pPr>
        <w:rPr>
          <w:rFonts w:ascii="Cambria" w:hAnsi="Cambria"/>
          <w:b/>
          <w:noProof/>
          <w:lang w:val="sr-Latn-ME" w:eastAsia="x-none"/>
        </w:rPr>
      </w:pPr>
      <w:r w:rsidRPr="00A76A53">
        <w:rPr>
          <w:rFonts w:ascii="Cambria" w:hAnsi="Cambria"/>
          <w:b/>
          <w:i/>
          <w:noProof/>
          <w:lang w:val="sr-Latn-ME" w:eastAsia="x-none"/>
        </w:rPr>
        <w:t>Tabela A8.</w:t>
      </w:r>
      <w:r w:rsidRPr="00A76A53">
        <w:rPr>
          <w:rFonts w:ascii="Cambria" w:hAnsi="Cambria"/>
          <w:b/>
          <w:noProof/>
          <w:lang w:val="sr-Latn-ME" w:eastAsia="x-none"/>
        </w:rPr>
        <w:t xml:space="preserve"> Važeći propisi koji se odnose na oblast životne sredine - Zakon o strateškoj procjeni uticaja na životnu sredinu</w:t>
      </w:r>
    </w:p>
    <w:tbl>
      <w:tblPr>
        <w:tblW w:w="52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48"/>
        <w:gridCol w:w="1789"/>
        <w:gridCol w:w="2523"/>
        <w:gridCol w:w="5725"/>
      </w:tblGrid>
      <w:tr w:rsidR="00A73F66" w:rsidRPr="00AB15C7" w14:paraId="50BA3E93" w14:textId="77777777" w:rsidTr="00165701">
        <w:trPr>
          <w:trHeight w:val="480"/>
        </w:trPr>
        <w:tc>
          <w:tcPr>
            <w:tcW w:w="1511" w:type="pct"/>
            <w:tcBorders>
              <w:top w:val="double" w:sz="4" w:space="0" w:color="auto"/>
              <w:left w:val="double" w:sz="4" w:space="0" w:color="auto"/>
              <w:bottom w:val="single" w:sz="4" w:space="0" w:color="000000"/>
              <w:right w:val="single" w:sz="4" w:space="0" w:color="000000"/>
            </w:tcBorders>
            <w:shd w:val="clear" w:color="auto" w:fill="D9D9D9"/>
          </w:tcPr>
          <w:bookmarkEnd w:id="175"/>
          <w:p w14:paraId="68DECFEC" w14:textId="77777777" w:rsidR="00A73F66" w:rsidRPr="00AB15C7" w:rsidRDefault="00A73F66" w:rsidP="005921EF">
            <w:pPr>
              <w:rPr>
                <w:rFonts w:ascii="Cambria" w:hAnsi="Cambria"/>
                <w:b/>
                <w:noProof/>
                <w:lang w:val="sr-Latn-ME" w:eastAsia="x-none"/>
              </w:rPr>
            </w:pPr>
            <w:r w:rsidRPr="00AB15C7">
              <w:rPr>
                <w:rFonts w:ascii="Cambria" w:hAnsi="Cambria"/>
                <w:b/>
                <w:noProof/>
                <w:lang w:val="sr-Latn-ME" w:eastAsia="x-none"/>
              </w:rPr>
              <w:t>Propis</w:t>
            </w:r>
          </w:p>
        </w:tc>
        <w:tc>
          <w:tcPr>
            <w:tcW w:w="622" w:type="pct"/>
            <w:tcBorders>
              <w:top w:val="double" w:sz="4" w:space="0" w:color="auto"/>
              <w:left w:val="single" w:sz="4" w:space="0" w:color="000000"/>
              <w:bottom w:val="single" w:sz="4" w:space="0" w:color="000000"/>
              <w:right w:val="single" w:sz="4" w:space="0" w:color="000000"/>
            </w:tcBorders>
            <w:shd w:val="clear" w:color="auto" w:fill="D9D9D9"/>
          </w:tcPr>
          <w:p w14:paraId="46DB846C" w14:textId="77777777" w:rsidR="00A73F66" w:rsidRPr="00AB15C7" w:rsidRDefault="00A73F66" w:rsidP="005921EF">
            <w:pPr>
              <w:rPr>
                <w:rFonts w:ascii="Cambria" w:hAnsi="Cambria"/>
                <w:b/>
                <w:noProof/>
                <w:lang w:val="sr-Latn-ME" w:eastAsia="x-none"/>
              </w:rPr>
            </w:pPr>
            <w:r w:rsidRPr="00AB15C7">
              <w:rPr>
                <w:rFonts w:ascii="Cambria" w:hAnsi="Cambria"/>
                <w:b/>
                <w:noProof/>
                <w:lang w:val="sr-Latn-ME" w:eastAsia="x-none"/>
              </w:rPr>
              <w:t xml:space="preserve">Nadležni organ </w:t>
            </w:r>
          </w:p>
        </w:tc>
        <w:tc>
          <w:tcPr>
            <w:tcW w:w="877" w:type="pct"/>
            <w:tcBorders>
              <w:top w:val="double" w:sz="4" w:space="0" w:color="auto"/>
              <w:left w:val="single" w:sz="4" w:space="0" w:color="000000"/>
              <w:bottom w:val="single" w:sz="4" w:space="0" w:color="000000"/>
              <w:right w:val="single" w:sz="4" w:space="0" w:color="000000"/>
            </w:tcBorders>
            <w:shd w:val="clear" w:color="auto" w:fill="D9D9D9"/>
          </w:tcPr>
          <w:p w14:paraId="6E740E74" w14:textId="77777777" w:rsidR="00A73F66" w:rsidRPr="00AB15C7" w:rsidRDefault="00A73F66" w:rsidP="005921EF">
            <w:pPr>
              <w:rPr>
                <w:rFonts w:ascii="Cambria" w:hAnsi="Cambria"/>
                <w:b/>
                <w:noProof/>
                <w:lang w:val="sr-Latn-ME" w:eastAsia="x-none"/>
              </w:rPr>
            </w:pPr>
            <w:r w:rsidRPr="00AB15C7">
              <w:rPr>
                <w:rFonts w:ascii="Cambria" w:hAnsi="Cambria"/>
                <w:b/>
                <w:noProof/>
                <w:lang w:val="sr-Latn-ME" w:eastAsia="x-none"/>
              </w:rPr>
              <w:t>Regulisana hemikalija</w:t>
            </w:r>
          </w:p>
        </w:tc>
        <w:tc>
          <w:tcPr>
            <w:tcW w:w="1991" w:type="pct"/>
            <w:tcBorders>
              <w:top w:val="double" w:sz="4" w:space="0" w:color="auto"/>
              <w:left w:val="single" w:sz="4" w:space="0" w:color="000000"/>
              <w:bottom w:val="single" w:sz="4" w:space="0" w:color="000000"/>
              <w:right w:val="double" w:sz="4" w:space="0" w:color="auto"/>
            </w:tcBorders>
            <w:shd w:val="clear" w:color="auto" w:fill="D9D9D9"/>
          </w:tcPr>
          <w:p w14:paraId="755B7591" w14:textId="77777777" w:rsidR="00A73F66" w:rsidRPr="00AB15C7" w:rsidRDefault="00A73F66" w:rsidP="005921EF">
            <w:pPr>
              <w:rPr>
                <w:rFonts w:ascii="Cambria" w:hAnsi="Cambria"/>
                <w:b/>
                <w:noProof/>
                <w:lang w:val="sr-Latn-ME" w:eastAsia="x-none"/>
              </w:rPr>
            </w:pPr>
            <w:r w:rsidRPr="00AB15C7">
              <w:rPr>
                <w:rFonts w:ascii="Cambria" w:hAnsi="Cambria"/>
                <w:b/>
                <w:noProof/>
                <w:lang w:val="sr-Latn-ME" w:eastAsia="x-none"/>
              </w:rPr>
              <w:t>Cilj propisa</w:t>
            </w:r>
          </w:p>
        </w:tc>
      </w:tr>
      <w:tr w:rsidR="00A73F66" w:rsidRPr="00AB15C7" w14:paraId="66AEE04E" w14:textId="77777777" w:rsidTr="00165701">
        <w:trPr>
          <w:trHeight w:val="480"/>
        </w:trPr>
        <w:tc>
          <w:tcPr>
            <w:tcW w:w="1511" w:type="pct"/>
            <w:tcBorders>
              <w:top w:val="single" w:sz="4" w:space="0" w:color="auto"/>
              <w:left w:val="double" w:sz="4" w:space="0" w:color="auto"/>
              <w:bottom w:val="single" w:sz="4" w:space="0" w:color="auto"/>
            </w:tcBorders>
          </w:tcPr>
          <w:p w14:paraId="13FF73D5" w14:textId="77777777" w:rsidR="00A73F66" w:rsidRPr="00AB15C7" w:rsidRDefault="00A73F66" w:rsidP="005921EF">
            <w:pPr>
              <w:rPr>
                <w:rFonts w:ascii="Cambria" w:hAnsi="Cambria"/>
                <w:noProof/>
                <w:lang w:val="sr-Latn-ME" w:eastAsia="x-none"/>
              </w:rPr>
            </w:pPr>
            <w:r w:rsidRPr="00AB15C7">
              <w:rPr>
                <w:rFonts w:ascii="Cambria" w:hAnsi="Cambria"/>
                <w:b/>
                <w:noProof/>
                <w:lang w:val="sr-Latn-ME" w:eastAsia="x-none"/>
              </w:rPr>
              <w:lastRenderedPageBreak/>
              <w:t>Zakon o strateškoj procjeni uticaja na životnu sredinu</w:t>
            </w:r>
            <w:r w:rsidRPr="00AB15C7">
              <w:rPr>
                <w:rFonts w:ascii="Cambria" w:hAnsi="Cambria"/>
                <w:noProof/>
                <w:lang w:val="sr-Latn-ME" w:eastAsia="x-none"/>
              </w:rPr>
              <w:t xml:space="preserve"> („Sl. list RCG", br. 80/05 i „Sl. list CG", br. 59/2011 i 52/2016)</w:t>
            </w:r>
          </w:p>
        </w:tc>
        <w:tc>
          <w:tcPr>
            <w:tcW w:w="622" w:type="pct"/>
            <w:tcBorders>
              <w:top w:val="single" w:sz="4" w:space="0" w:color="auto"/>
              <w:bottom w:val="single" w:sz="4" w:space="0" w:color="auto"/>
            </w:tcBorders>
          </w:tcPr>
          <w:p w14:paraId="4A0B7178" w14:textId="77777777" w:rsidR="00A73F66" w:rsidRPr="00AB15C7" w:rsidRDefault="00A73F66" w:rsidP="005921EF">
            <w:pPr>
              <w:rPr>
                <w:rFonts w:ascii="Cambria" w:hAnsi="Cambria"/>
                <w:noProof/>
                <w:lang w:val="sr-Latn-ME" w:eastAsia="x-none"/>
              </w:rPr>
            </w:pPr>
            <w:r w:rsidRPr="00AB15C7">
              <w:rPr>
                <w:rFonts w:ascii="Cambria" w:hAnsi="Cambria"/>
                <w:noProof/>
                <w:lang w:val="sr-Latn-ME" w:eastAsia="x-none"/>
              </w:rPr>
              <w:t>MORT</w:t>
            </w:r>
          </w:p>
        </w:tc>
        <w:tc>
          <w:tcPr>
            <w:tcW w:w="877" w:type="pct"/>
            <w:tcBorders>
              <w:top w:val="single" w:sz="4" w:space="0" w:color="auto"/>
              <w:bottom w:val="single" w:sz="4" w:space="0" w:color="auto"/>
            </w:tcBorders>
          </w:tcPr>
          <w:p w14:paraId="340CE030" w14:textId="77777777" w:rsidR="00A73F66" w:rsidRPr="00AB15C7" w:rsidRDefault="00137E53" w:rsidP="005921EF">
            <w:pPr>
              <w:rPr>
                <w:rFonts w:ascii="Cambria" w:hAnsi="Cambria"/>
                <w:noProof/>
                <w:lang w:val="sr-Latn-ME" w:eastAsia="x-none"/>
              </w:rPr>
            </w:pPr>
            <w:r w:rsidRPr="00AB15C7">
              <w:rPr>
                <w:rFonts w:ascii="Cambria" w:hAnsi="Cambria"/>
                <w:noProof/>
                <w:lang w:val="sr-Latn-ME" w:eastAsia="x-none"/>
              </w:rPr>
              <w:t xml:space="preserve">hemikalije </w:t>
            </w:r>
            <w:r w:rsidR="00A73F66" w:rsidRPr="00AB15C7">
              <w:rPr>
                <w:rFonts w:ascii="Cambria" w:hAnsi="Cambria"/>
                <w:noProof/>
                <w:lang w:val="sr-Latn-ME" w:eastAsia="x-none"/>
              </w:rPr>
              <w:t xml:space="preserve">u vezi sa </w:t>
            </w:r>
            <w:r w:rsidR="00A73F66" w:rsidRPr="00AB15C7">
              <w:rPr>
                <w:rFonts w:ascii="Cambria" w:hAnsi="Cambria"/>
                <w:noProof/>
                <w:lang w:eastAsia="x-none"/>
              </w:rPr>
              <w:t xml:space="preserve">planovima i programima </w:t>
            </w:r>
            <w:r w:rsidR="00A73F66" w:rsidRPr="00AB15C7">
              <w:rPr>
                <w:rFonts w:ascii="Cambria" w:hAnsi="Cambria"/>
                <w:noProof/>
                <w:lang w:val="sr-Latn-ME" w:eastAsia="x-none"/>
              </w:rPr>
              <w:t>koji mogu uticati životnu sredinu</w:t>
            </w:r>
          </w:p>
        </w:tc>
        <w:tc>
          <w:tcPr>
            <w:tcW w:w="1991" w:type="pct"/>
            <w:tcBorders>
              <w:top w:val="single" w:sz="4" w:space="0" w:color="auto"/>
              <w:bottom w:val="single" w:sz="4" w:space="0" w:color="auto"/>
              <w:right w:val="double" w:sz="4" w:space="0" w:color="auto"/>
            </w:tcBorders>
          </w:tcPr>
          <w:p w14:paraId="6D0151E0" w14:textId="77777777" w:rsidR="00A73F66" w:rsidRPr="00AB15C7" w:rsidRDefault="00A73F66" w:rsidP="005921EF">
            <w:pPr>
              <w:rPr>
                <w:rFonts w:ascii="Cambria" w:hAnsi="Cambria"/>
                <w:noProof/>
                <w:lang w:val="sr-Latn-ME" w:eastAsia="x-none"/>
              </w:rPr>
            </w:pPr>
            <w:r w:rsidRPr="00AB15C7">
              <w:rPr>
                <w:rFonts w:ascii="Cambria" w:hAnsi="Cambria"/>
                <w:noProof/>
                <w:lang w:val="sr-Latn-ME" w:eastAsia="x-none"/>
              </w:rPr>
              <w:t xml:space="preserve">Uredjivanje </w:t>
            </w:r>
            <w:r w:rsidRPr="00AB15C7">
              <w:rPr>
                <w:rFonts w:ascii="Cambria" w:hAnsi="Cambria"/>
                <w:noProof/>
                <w:lang w:eastAsia="x-none"/>
              </w:rPr>
              <w:t>uticaja određenih planova i programa na životnu sredinu</w:t>
            </w:r>
          </w:p>
        </w:tc>
      </w:tr>
    </w:tbl>
    <w:p w14:paraId="356BECDC" w14:textId="77777777" w:rsidR="00490D85" w:rsidRDefault="00490D85" w:rsidP="00A76A53">
      <w:pPr>
        <w:autoSpaceDE w:val="0"/>
        <w:autoSpaceDN w:val="0"/>
        <w:adjustRightInd w:val="0"/>
        <w:spacing w:before="120" w:after="120"/>
        <w:rPr>
          <w:rFonts w:ascii="Cambria" w:hAnsi="Cambria"/>
          <w:b/>
          <w:i/>
          <w:noProof/>
          <w:lang w:val="sr-Latn-ME"/>
        </w:rPr>
      </w:pPr>
    </w:p>
    <w:p w14:paraId="0C4FAC78" w14:textId="3BDD5753" w:rsidR="00A73F66" w:rsidRPr="00A76A53" w:rsidRDefault="00A73F66" w:rsidP="00A76A53">
      <w:pPr>
        <w:autoSpaceDE w:val="0"/>
        <w:autoSpaceDN w:val="0"/>
        <w:adjustRightInd w:val="0"/>
        <w:spacing w:before="120" w:after="120"/>
        <w:rPr>
          <w:rFonts w:ascii="Cambria" w:hAnsi="Cambria"/>
          <w:b/>
          <w:noProof/>
          <w:color w:val="000000"/>
          <w:lang w:val="sr-Latn-ME"/>
        </w:rPr>
      </w:pPr>
      <w:r w:rsidRPr="00A76A53">
        <w:rPr>
          <w:rFonts w:ascii="Cambria" w:hAnsi="Cambria"/>
          <w:b/>
          <w:i/>
          <w:noProof/>
          <w:lang w:val="sr-Latn-ME"/>
        </w:rPr>
        <w:t>Tabela A9.</w:t>
      </w:r>
      <w:r w:rsidRPr="00A76A53">
        <w:rPr>
          <w:rFonts w:ascii="Cambria" w:hAnsi="Cambria"/>
          <w:b/>
          <w:noProof/>
          <w:lang w:val="sr-Latn-ME"/>
        </w:rPr>
        <w:t xml:space="preserve"> Važeći propisi koji se odnose na oblast upravljanja otpadom</w:t>
      </w:r>
    </w:p>
    <w:tbl>
      <w:tblPr>
        <w:tblW w:w="5221" w:type="pct"/>
        <w:tblBorders>
          <w:top w:val="double" w:sz="4" w:space="0" w:color="auto"/>
          <w:left w:val="double" w:sz="4" w:space="0" w:color="auto"/>
          <w:bottom w:val="double" w:sz="4" w:space="0" w:color="auto"/>
          <w:right w:val="double" w:sz="4" w:space="0" w:color="auto"/>
          <w:insideH w:val="single" w:sz="4" w:space="0" w:color="auto"/>
          <w:insideV w:val="single" w:sz="4" w:space="0" w:color="000000"/>
        </w:tblBorders>
        <w:tblLook w:val="04A0" w:firstRow="1" w:lastRow="0" w:firstColumn="1" w:lastColumn="0" w:noHBand="0" w:noVBand="1"/>
      </w:tblPr>
      <w:tblGrid>
        <w:gridCol w:w="4572"/>
        <w:gridCol w:w="1692"/>
        <w:gridCol w:w="2192"/>
        <w:gridCol w:w="5929"/>
      </w:tblGrid>
      <w:tr w:rsidR="00A73F66" w:rsidRPr="00AB15C7" w14:paraId="756F9D78" w14:textId="77777777" w:rsidTr="00165701">
        <w:trPr>
          <w:trHeight w:val="638"/>
        </w:trPr>
        <w:tc>
          <w:tcPr>
            <w:tcW w:w="1589" w:type="pct"/>
            <w:shd w:val="clear" w:color="auto" w:fill="D9D9D9"/>
            <w:hideMark/>
          </w:tcPr>
          <w:p w14:paraId="679820BA" w14:textId="77777777" w:rsidR="00A73F66" w:rsidRPr="00AB15C7" w:rsidRDefault="00A73F66" w:rsidP="005921EF">
            <w:pPr>
              <w:spacing w:after="0"/>
              <w:jc w:val="center"/>
              <w:rPr>
                <w:rFonts w:ascii="Cambria" w:hAnsi="Cambria"/>
                <w:i/>
                <w:noProof/>
                <w:lang w:val="sr-Latn-ME"/>
              </w:rPr>
            </w:pPr>
            <w:r w:rsidRPr="00AB15C7">
              <w:rPr>
                <w:rFonts w:ascii="Cambria" w:hAnsi="Cambria"/>
                <w:i/>
                <w:noProof/>
                <w:lang w:val="sr-Latn-ME"/>
              </w:rPr>
              <w:t>Propis</w:t>
            </w:r>
          </w:p>
        </w:tc>
        <w:tc>
          <w:tcPr>
            <w:tcW w:w="588" w:type="pct"/>
            <w:shd w:val="clear" w:color="auto" w:fill="D9D9D9"/>
            <w:hideMark/>
          </w:tcPr>
          <w:p w14:paraId="522C750F"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 xml:space="preserve">Nadležni organ </w:t>
            </w:r>
          </w:p>
        </w:tc>
        <w:tc>
          <w:tcPr>
            <w:tcW w:w="762" w:type="pct"/>
            <w:shd w:val="clear" w:color="auto" w:fill="D9D9D9"/>
            <w:hideMark/>
          </w:tcPr>
          <w:p w14:paraId="0E939319"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Regulisana hemikalija</w:t>
            </w:r>
          </w:p>
        </w:tc>
        <w:tc>
          <w:tcPr>
            <w:tcW w:w="2062" w:type="pct"/>
            <w:shd w:val="clear" w:color="auto" w:fill="D9D9D9"/>
            <w:hideMark/>
          </w:tcPr>
          <w:p w14:paraId="4E7EE6F8"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Cilj propisa</w:t>
            </w:r>
          </w:p>
        </w:tc>
      </w:tr>
      <w:tr w:rsidR="00A73F66" w:rsidRPr="00AB15C7" w14:paraId="71C7D2DB" w14:textId="77777777" w:rsidTr="00165701">
        <w:trPr>
          <w:trHeight w:val="455"/>
        </w:trPr>
        <w:tc>
          <w:tcPr>
            <w:tcW w:w="1589" w:type="pct"/>
            <w:hideMark/>
          </w:tcPr>
          <w:p w14:paraId="55F8FB94" w14:textId="77777777" w:rsidR="00A73F66" w:rsidRPr="00AB15C7" w:rsidRDefault="00A73F66" w:rsidP="005921EF">
            <w:pPr>
              <w:spacing w:after="0"/>
              <w:rPr>
                <w:rFonts w:ascii="Cambria" w:hAnsi="Cambria"/>
                <w:noProof/>
                <w:lang w:val="sr-Latn-ME"/>
              </w:rPr>
            </w:pPr>
            <w:r w:rsidRPr="00AB15C7">
              <w:rPr>
                <w:rFonts w:ascii="Cambria" w:hAnsi="Cambria"/>
                <w:b/>
                <w:noProof/>
                <w:lang w:val="sr-Latn-ME"/>
              </w:rPr>
              <w:t>Zakon o upravljanju otpadom</w:t>
            </w:r>
            <w:r w:rsidRPr="00AB15C7">
              <w:rPr>
                <w:rFonts w:ascii="Cambria" w:hAnsi="Cambria"/>
                <w:noProof/>
                <w:lang w:val="sr-Latn-ME"/>
              </w:rPr>
              <w:t xml:space="preserve"> („Sl. list CG“, br. 64/11 i </w:t>
            </w:r>
            <w:r w:rsidRPr="00AB15C7">
              <w:rPr>
                <w:rFonts w:ascii="Cambria" w:hAnsi="Cambria"/>
                <w:bCs/>
                <w:noProof/>
              </w:rPr>
              <w:t>39/16</w:t>
            </w:r>
            <w:r w:rsidRPr="00AB15C7">
              <w:rPr>
                <w:rFonts w:ascii="Cambria" w:hAnsi="Cambria"/>
                <w:noProof/>
                <w:lang w:val="sr-Latn-ME"/>
              </w:rPr>
              <w:t>)</w:t>
            </w:r>
          </w:p>
        </w:tc>
        <w:tc>
          <w:tcPr>
            <w:tcW w:w="588" w:type="pct"/>
            <w:hideMark/>
          </w:tcPr>
          <w:p w14:paraId="4BD847B0"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hideMark/>
          </w:tcPr>
          <w:p w14:paraId="43430C7F"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 uključujući i otpadne hemikalije</w:t>
            </w:r>
          </w:p>
        </w:tc>
        <w:tc>
          <w:tcPr>
            <w:tcW w:w="2062" w:type="pct"/>
            <w:hideMark/>
          </w:tcPr>
          <w:p w14:paraId="7E432AA4" w14:textId="77777777" w:rsidR="00A73F66" w:rsidRPr="00AB15C7" w:rsidRDefault="00A73F66" w:rsidP="005921EF">
            <w:pPr>
              <w:spacing w:after="0"/>
              <w:jc w:val="both"/>
              <w:rPr>
                <w:rFonts w:ascii="Cambria" w:hAnsi="Cambria" w:cs="Arial"/>
                <w:noProof/>
                <w:lang w:val="sr-Latn-ME"/>
              </w:rPr>
            </w:pPr>
            <w:r w:rsidRPr="00AB15C7">
              <w:rPr>
                <w:rFonts w:ascii="Cambria" w:hAnsi="Cambria"/>
                <w:noProof/>
              </w:rPr>
              <w:t>Utvrđuju se vrste i klasifikacija otpada, planiranje, uslovi i način upravljanja otpadom i druga pitanja od značaja za upravljanje otpadom.</w:t>
            </w:r>
          </w:p>
        </w:tc>
      </w:tr>
      <w:tr w:rsidR="00A73F66" w:rsidRPr="00AB15C7" w14:paraId="0603DE04" w14:textId="77777777" w:rsidTr="00165701">
        <w:trPr>
          <w:trHeight w:val="480"/>
        </w:trPr>
        <w:tc>
          <w:tcPr>
            <w:tcW w:w="1589" w:type="pct"/>
            <w:shd w:val="clear" w:color="auto" w:fill="F2F2F2"/>
            <w:hideMark/>
          </w:tcPr>
          <w:p w14:paraId="19F11060"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Podzakonski propisi za sprovođenje ovog zakona</w:t>
            </w:r>
          </w:p>
        </w:tc>
        <w:tc>
          <w:tcPr>
            <w:tcW w:w="588" w:type="pct"/>
            <w:shd w:val="clear" w:color="auto" w:fill="F2F2F2"/>
            <w:hideMark/>
          </w:tcPr>
          <w:p w14:paraId="500DED3E"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 xml:space="preserve">Nadležni organ </w:t>
            </w:r>
          </w:p>
        </w:tc>
        <w:tc>
          <w:tcPr>
            <w:tcW w:w="762" w:type="pct"/>
            <w:shd w:val="clear" w:color="auto" w:fill="F2F2F2"/>
            <w:hideMark/>
          </w:tcPr>
          <w:p w14:paraId="41535078"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Regulisana hemikalija</w:t>
            </w:r>
          </w:p>
        </w:tc>
        <w:tc>
          <w:tcPr>
            <w:tcW w:w="2062" w:type="pct"/>
            <w:shd w:val="clear" w:color="auto" w:fill="F2F2F2"/>
            <w:hideMark/>
          </w:tcPr>
          <w:p w14:paraId="3442E97B"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Cilj propisa</w:t>
            </w:r>
          </w:p>
        </w:tc>
      </w:tr>
      <w:tr w:rsidR="00A73F66" w:rsidRPr="00AB15C7" w14:paraId="3DD1286D" w14:textId="77777777" w:rsidTr="00165701">
        <w:trPr>
          <w:trHeight w:val="480"/>
        </w:trPr>
        <w:tc>
          <w:tcPr>
            <w:tcW w:w="1589" w:type="pct"/>
            <w:shd w:val="clear" w:color="auto" w:fill="FFFFFF"/>
          </w:tcPr>
          <w:p w14:paraId="5D68FA1F"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Uredba o načinu i uslovima skladištenja otpada</w:t>
            </w:r>
            <w:r w:rsidRPr="00AB15C7">
              <w:rPr>
                <w:rFonts w:ascii="Cambria" w:hAnsi="Cambria"/>
                <w:noProof/>
              </w:rPr>
              <w:t xml:space="preserve"> </w:t>
            </w:r>
            <w:r w:rsidRPr="00AB15C7">
              <w:rPr>
                <w:rFonts w:ascii="Cambria" w:hAnsi="Cambria" w:cs="Arial"/>
                <w:noProof/>
                <w:lang w:val="sr-Latn-ME"/>
              </w:rPr>
              <w:t>("Sl. list CG", br. 33/13 i 65/15)</w:t>
            </w:r>
          </w:p>
        </w:tc>
        <w:tc>
          <w:tcPr>
            <w:tcW w:w="588" w:type="pct"/>
            <w:shd w:val="clear" w:color="auto" w:fill="FFFFFF"/>
          </w:tcPr>
          <w:p w14:paraId="1F5059B8"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shd w:val="clear" w:color="auto" w:fill="FFFFFF"/>
          </w:tcPr>
          <w:p w14:paraId="688EB53E"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rPr>
              <w:t xml:space="preserve"> sve vrste otpada</w:t>
            </w:r>
          </w:p>
        </w:tc>
        <w:tc>
          <w:tcPr>
            <w:tcW w:w="2062" w:type="pct"/>
            <w:shd w:val="clear" w:color="auto" w:fill="FFFFFF"/>
          </w:tcPr>
          <w:p w14:paraId="45CBFDB7"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rPr>
              <w:t>Utvrđuje uslove i način skladištenja otpada u privremenim skladištima, skladištima obrađivača otpada i podzemnim skladištima.</w:t>
            </w:r>
          </w:p>
        </w:tc>
      </w:tr>
      <w:tr w:rsidR="00A73F66" w:rsidRPr="00AB15C7" w14:paraId="2DC0F087" w14:textId="77777777" w:rsidTr="00165701">
        <w:trPr>
          <w:trHeight w:val="480"/>
        </w:trPr>
        <w:tc>
          <w:tcPr>
            <w:tcW w:w="1589" w:type="pct"/>
            <w:shd w:val="clear" w:color="auto" w:fill="FFFFFF"/>
          </w:tcPr>
          <w:p w14:paraId="1C08BA5D"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bližem sadržaju dokumentacije koja se podnosi uz zahtjev za izdavanje dozvole za uvoz, izvoz i tranzit otpada, listi klasifikacije otpada i sadržaju i načinu vođenja registra izdatih dozvola ("Sl. list CG", br. 83/16 i  76/17)</w:t>
            </w:r>
          </w:p>
        </w:tc>
        <w:tc>
          <w:tcPr>
            <w:tcW w:w="588" w:type="pct"/>
            <w:shd w:val="clear" w:color="auto" w:fill="FFFFFF"/>
          </w:tcPr>
          <w:p w14:paraId="15E23052"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shd w:val="clear" w:color="auto" w:fill="FFFFFF"/>
          </w:tcPr>
          <w:p w14:paraId="2164658D" w14:textId="77777777" w:rsidR="00A73F66" w:rsidRPr="00AB15C7" w:rsidRDefault="00137E53" w:rsidP="005921EF">
            <w:pPr>
              <w:spacing w:after="0"/>
              <w:jc w:val="center"/>
              <w:rPr>
                <w:rFonts w:ascii="Cambria" w:hAnsi="Cambria" w:cs="Arial"/>
                <w:noProof/>
                <w:lang w:val="sr-Latn-ME"/>
              </w:rPr>
            </w:pPr>
            <w:r>
              <w:rPr>
                <w:rFonts w:ascii="Cambria" w:hAnsi="Cambria" w:cs="Arial"/>
                <w:noProof/>
                <w:lang w:val="sr-Latn-ME"/>
              </w:rPr>
              <w:t>o</w:t>
            </w:r>
            <w:r w:rsidR="00A73F66" w:rsidRPr="00AB15C7">
              <w:rPr>
                <w:rFonts w:ascii="Cambria" w:hAnsi="Cambria" w:cs="Arial"/>
                <w:noProof/>
                <w:lang w:val="sr-Latn-ME"/>
              </w:rPr>
              <w:t>tpad u prekograničnom kretanju</w:t>
            </w:r>
          </w:p>
        </w:tc>
        <w:tc>
          <w:tcPr>
            <w:tcW w:w="2062" w:type="pct"/>
            <w:shd w:val="clear" w:color="auto" w:fill="FFFFFF"/>
          </w:tcPr>
          <w:p w14:paraId="239888B3"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rPr>
              <w:t xml:space="preserve">Utvrđuje </w:t>
            </w:r>
            <w:r w:rsidRPr="00AB15C7">
              <w:rPr>
                <w:rFonts w:ascii="Cambria" w:hAnsi="Cambria" w:cs="Arial"/>
                <w:noProof/>
                <w:lang w:val="sr-Latn-ME"/>
              </w:rPr>
              <w:t>sadržaj dokumentacije koja se podnosi uz zahtjev za izdavanje dozvole za uvoz, izvoz i tranzit otpada, lista klasifikacije otpada i sadržaj, oblik i način vođenja registra izdatih dozvola za prekogranično kretanje otpada.</w:t>
            </w:r>
          </w:p>
        </w:tc>
      </w:tr>
      <w:tr w:rsidR="00A73F66" w:rsidRPr="00AB15C7" w14:paraId="67968D0D" w14:textId="77777777" w:rsidTr="00165701">
        <w:trPr>
          <w:trHeight w:val="480"/>
        </w:trPr>
        <w:tc>
          <w:tcPr>
            <w:tcW w:w="1589" w:type="pct"/>
            <w:shd w:val="clear" w:color="auto" w:fill="FFFFFF"/>
          </w:tcPr>
          <w:p w14:paraId="5DD8390B"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klasifikaciji otpada i katalogu otpada ("Sl. list CG", br. 59/13 i 83/16)</w:t>
            </w:r>
          </w:p>
        </w:tc>
        <w:tc>
          <w:tcPr>
            <w:tcW w:w="588" w:type="pct"/>
            <w:shd w:val="clear" w:color="auto" w:fill="FFFFFF"/>
          </w:tcPr>
          <w:p w14:paraId="4B113835"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shd w:val="clear" w:color="auto" w:fill="FFFFFF"/>
          </w:tcPr>
          <w:p w14:paraId="6EA62198"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rPr>
              <w:t>sve vrste otpada</w:t>
            </w:r>
          </w:p>
        </w:tc>
        <w:tc>
          <w:tcPr>
            <w:tcW w:w="2062" w:type="pct"/>
            <w:shd w:val="clear" w:color="auto" w:fill="FFFFFF"/>
          </w:tcPr>
          <w:p w14:paraId="7663A3F9"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rPr>
              <w:t>Propisuje se klasifikacija otpada, katalog otpada, postupci obrade, odnosno prerade i odstranjivanja otpada</w:t>
            </w:r>
          </w:p>
        </w:tc>
      </w:tr>
      <w:tr w:rsidR="00A73F66" w:rsidRPr="00AB15C7" w14:paraId="50995118" w14:textId="77777777" w:rsidTr="00165701">
        <w:trPr>
          <w:trHeight w:val="480"/>
        </w:trPr>
        <w:tc>
          <w:tcPr>
            <w:tcW w:w="1589" w:type="pct"/>
            <w:shd w:val="clear" w:color="auto" w:fill="FFFFFF"/>
          </w:tcPr>
          <w:p w14:paraId="15AE26D5" w14:textId="77777777" w:rsidR="00A73F66" w:rsidRPr="00AB15C7" w:rsidRDefault="00A73F66" w:rsidP="005921EF">
            <w:pPr>
              <w:spacing w:after="0"/>
              <w:rPr>
                <w:rFonts w:ascii="Cambria" w:hAnsi="Cambria" w:cs="Arial"/>
                <w:noProof/>
                <w:lang w:val="sr-Latn-ME"/>
              </w:rPr>
            </w:pPr>
            <w:r w:rsidRPr="00AB15C7">
              <w:rPr>
                <w:rFonts w:ascii="Cambria" w:hAnsi="Cambria" w:cs="Arial"/>
                <w:bCs/>
                <w:noProof/>
              </w:rPr>
              <w:t xml:space="preserve">Pravilnik o sadržaju zahtjeva i dokumentaciji za izdavanje dozvole za preradu i/ili zbrinjavanje otpada iz rudarstva </w:t>
            </w:r>
            <w:r w:rsidRPr="00AB15C7">
              <w:rPr>
                <w:rFonts w:ascii="Cambria" w:hAnsi="Cambria" w:cs="Arial"/>
                <w:bCs/>
                <w:noProof/>
                <w:lang w:val="sr-Latn-ME"/>
              </w:rPr>
              <w:t>("Sl. list CG", br. 48/12)</w:t>
            </w:r>
          </w:p>
        </w:tc>
        <w:tc>
          <w:tcPr>
            <w:tcW w:w="588" w:type="pct"/>
            <w:shd w:val="clear" w:color="auto" w:fill="FFFFFF"/>
          </w:tcPr>
          <w:p w14:paraId="55147D90"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shd w:val="clear" w:color="auto" w:fill="FFFFFF"/>
          </w:tcPr>
          <w:p w14:paraId="0E21E265"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rPr>
              <w:t>otpad iz rudarstva</w:t>
            </w:r>
          </w:p>
        </w:tc>
        <w:tc>
          <w:tcPr>
            <w:tcW w:w="2062" w:type="pct"/>
            <w:shd w:val="clear" w:color="auto" w:fill="FFFFFF"/>
          </w:tcPr>
          <w:p w14:paraId="44F6F171"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rPr>
              <w:t>Propisuje se sadržaj zahtjeva i dokumentacija za izdavanje dozvole za preradu i/ili zbrinjavanje otpada iz rudarstva.</w:t>
            </w:r>
          </w:p>
        </w:tc>
      </w:tr>
      <w:tr w:rsidR="00A73F66" w:rsidRPr="00AB15C7" w14:paraId="2AD9A1A1" w14:textId="77777777" w:rsidTr="00165701">
        <w:trPr>
          <w:trHeight w:val="480"/>
        </w:trPr>
        <w:tc>
          <w:tcPr>
            <w:tcW w:w="1589" w:type="pct"/>
            <w:shd w:val="clear" w:color="auto" w:fill="FFFFFF"/>
          </w:tcPr>
          <w:p w14:paraId="24C8E5C7" w14:textId="77777777" w:rsidR="00A73F66" w:rsidRPr="00AB15C7" w:rsidRDefault="00A73F66" w:rsidP="005921EF">
            <w:pPr>
              <w:spacing w:after="0"/>
              <w:rPr>
                <w:rFonts w:ascii="Cambria" w:hAnsi="Cambria" w:cs="Arial"/>
                <w:bCs/>
                <w:noProof/>
              </w:rPr>
            </w:pPr>
            <w:r w:rsidRPr="00AB15C7">
              <w:rPr>
                <w:rFonts w:ascii="Cambria" w:hAnsi="Cambria" w:cs="Arial"/>
                <w:bCs/>
                <w:noProof/>
              </w:rPr>
              <w:lastRenderedPageBreak/>
              <w:t xml:space="preserve">Pravilnik o  bližim karakteristikama lokacije, uslovima izgradnje, </w:t>
            </w:r>
          </w:p>
          <w:p w14:paraId="4A23D7E3" w14:textId="77777777" w:rsidR="00A73F66" w:rsidRPr="00AB15C7" w:rsidRDefault="00A73F66" w:rsidP="005921EF">
            <w:pPr>
              <w:spacing w:after="0"/>
              <w:rPr>
                <w:rFonts w:ascii="Cambria" w:hAnsi="Cambria" w:cs="Arial"/>
                <w:noProof/>
                <w:lang w:val="sr-Latn-ME"/>
              </w:rPr>
            </w:pPr>
            <w:r w:rsidRPr="00AB15C7">
              <w:rPr>
                <w:rFonts w:ascii="Cambria" w:hAnsi="Cambria" w:cs="Arial"/>
                <w:bCs/>
                <w:noProof/>
              </w:rPr>
              <w:t>sanitarno-tehničkim uslovima, načinu rada i zatvaranja deponija ("Sl. list CG", br.</w:t>
            </w:r>
            <w:r w:rsidRPr="00AB15C7">
              <w:rPr>
                <w:rFonts w:ascii="Cambria" w:hAnsi="Cambria"/>
                <w:noProof/>
              </w:rPr>
              <w:t xml:space="preserve"> </w:t>
            </w:r>
            <w:r w:rsidRPr="00AB15C7">
              <w:rPr>
                <w:rFonts w:ascii="Cambria" w:hAnsi="Cambria" w:cs="Arial"/>
                <w:bCs/>
                <w:noProof/>
              </w:rPr>
              <w:t>31/13 i 25/16)</w:t>
            </w:r>
          </w:p>
        </w:tc>
        <w:tc>
          <w:tcPr>
            <w:tcW w:w="588" w:type="pct"/>
            <w:shd w:val="clear" w:color="auto" w:fill="FFFFFF"/>
          </w:tcPr>
          <w:p w14:paraId="5C1DFC13" w14:textId="77777777" w:rsidR="00A73F66" w:rsidRPr="00AB15C7" w:rsidRDefault="00A73F66" w:rsidP="005921EF">
            <w:pPr>
              <w:spacing w:after="0"/>
              <w:jc w:val="center"/>
              <w:rPr>
                <w:rFonts w:ascii="Cambria" w:hAnsi="Cambria"/>
                <w:noProof/>
              </w:rPr>
            </w:pPr>
            <w:r w:rsidRPr="00AB15C7">
              <w:rPr>
                <w:rFonts w:ascii="Cambria" w:hAnsi="Cambria" w:cs="Arial"/>
                <w:noProof/>
                <w:lang w:val="sr-Latn-ME"/>
              </w:rPr>
              <w:t>MORT</w:t>
            </w:r>
          </w:p>
        </w:tc>
        <w:tc>
          <w:tcPr>
            <w:tcW w:w="762" w:type="pct"/>
            <w:shd w:val="clear" w:color="auto" w:fill="FFFFFF"/>
          </w:tcPr>
          <w:p w14:paraId="055C523A" w14:textId="77777777" w:rsidR="00A73F66" w:rsidRPr="00AB15C7" w:rsidRDefault="00A73F66" w:rsidP="005921EF">
            <w:pPr>
              <w:jc w:val="center"/>
              <w:rPr>
                <w:rFonts w:ascii="Cambria" w:hAnsi="Cambria"/>
                <w:noProof/>
              </w:rPr>
            </w:pPr>
            <w:r w:rsidRPr="00AB15C7">
              <w:rPr>
                <w:rFonts w:ascii="Cambria" w:hAnsi="Cambria" w:cs="Arial"/>
                <w:noProof/>
              </w:rPr>
              <w:t>otpad na deponijama</w:t>
            </w:r>
          </w:p>
        </w:tc>
        <w:tc>
          <w:tcPr>
            <w:tcW w:w="2062" w:type="pct"/>
            <w:shd w:val="clear" w:color="auto" w:fill="FFFFFF"/>
          </w:tcPr>
          <w:p w14:paraId="41CB2F12"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rPr>
              <w:t>Propisuju se karakteristike lokacije (geološke, hidrološke, morfološke, meteorološke, seizmološke i druge), uslovi izgradnje, sanitarno-tehnički uslovi, način rada i zatvaranje deponija, stručna sprema i kvalifikacije rukovodioca deponije i vrste otpada i uslovi za prihvatanje otpada na deponiju.</w:t>
            </w:r>
          </w:p>
        </w:tc>
      </w:tr>
      <w:tr w:rsidR="00A73F66" w:rsidRPr="00AB15C7" w14:paraId="390FFF0A" w14:textId="77777777" w:rsidTr="00165701">
        <w:trPr>
          <w:trHeight w:val="480"/>
        </w:trPr>
        <w:tc>
          <w:tcPr>
            <w:tcW w:w="1589" w:type="pct"/>
            <w:shd w:val="clear" w:color="auto" w:fill="FFFFFF"/>
            <w:hideMark/>
          </w:tcPr>
          <w:p w14:paraId="7A1A5A07"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postupanju sa opremom i otpadom koji sadrži PCB ("Sl. list CG", br. 48/12)</w:t>
            </w:r>
          </w:p>
        </w:tc>
        <w:tc>
          <w:tcPr>
            <w:tcW w:w="588" w:type="pct"/>
            <w:shd w:val="clear" w:color="auto" w:fill="FFFFFF"/>
            <w:hideMark/>
          </w:tcPr>
          <w:p w14:paraId="5FFCB5C1"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shd w:val="clear" w:color="auto" w:fill="FFFFFF"/>
            <w:hideMark/>
          </w:tcPr>
          <w:p w14:paraId="7CD586A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PCB</w:t>
            </w:r>
          </w:p>
        </w:tc>
        <w:tc>
          <w:tcPr>
            <w:tcW w:w="2062" w:type="pct"/>
            <w:shd w:val="clear" w:color="auto" w:fill="FFFFFF"/>
            <w:hideMark/>
          </w:tcPr>
          <w:p w14:paraId="269B90D5"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uređuje način sačinjavanja plana upravljanja opremom i otpadom koji sadrži PCB, način i postupak vođenja evidencije, način označavanja dekontaminirane opreme, način i postupak obrade opreme i otpada koji sadrži PCB i dekontaminacije opreme i količine PCB u opremi</w:t>
            </w:r>
          </w:p>
        </w:tc>
      </w:tr>
      <w:tr w:rsidR="00A73F66" w:rsidRPr="00AB15C7" w14:paraId="6EA75D8A" w14:textId="77777777" w:rsidTr="00165701">
        <w:trPr>
          <w:trHeight w:val="260"/>
        </w:trPr>
        <w:tc>
          <w:tcPr>
            <w:tcW w:w="1589" w:type="pct"/>
            <w:shd w:val="clear" w:color="auto" w:fill="FFFFFF"/>
            <w:hideMark/>
          </w:tcPr>
          <w:p w14:paraId="35B7FD4C"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postupanju sa otpadnim uljima ("Sl. list CG", br. 48/12)</w:t>
            </w:r>
          </w:p>
        </w:tc>
        <w:tc>
          <w:tcPr>
            <w:tcW w:w="588" w:type="pct"/>
            <w:shd w:val="clear" w:color="auto" w:fill="FFFFFF"/>
            <w:hideMark/>
          </w:tcPr>
          <w:p w14:paraId="6E7D1E34"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shd w:val="clear" w:color="auto" w:fill="FFFFFF"/>
          </w:tcPr>
          <w:p w14:paraId="50FCA9AD"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Otpadna ulja</w:t>
            </w:r>
          </w:p>
        </w:tc>
        <w:tc>
          <w:tcPr>
            <w:tcW w:w="2062" w:type="pct"/>
            <w:shd w:val="clear" w:color="auto" w:fill="FFFFFF"/>
            <w:hideMark/>
          </w:tcPr>
          <w:p w14:paraId="08062433"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uređuje postupanje sa otpadnim uljima u skladu sa tehničkim i tehnološkim uslovima obrade otpadnih ulja</w:t>
            </w:r>
          </w:p>
        </w:tc>
      </w:tr>
      <w:tr w:rsidR="00A73F66" w:rsidRPr="00AB15C7" w14:paraId="266E5DE7" w14:textId="77777777" w:rsidTr="00165701">
        <w:trPr>
          <w:trHeight w:val="480"/>
        </w:trPr>
        <w:tc>
          <w:tcPr>
            <w:tcW w:w="1589" w:type="pct"/>
            <w:shd w:val="clear" w:color="auto" w:fill="FFFFFF"/>
            <w:hideMark/>
          </w:tcPr>
          <w:p w14:paraId="25BC6CFF"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uslovima, načinu i postupku obrade medicinskog otpada ("Sl. list CG", br. 49/12)</w:t>
            </w:r>
          </w:p>
        </w:tc>
        <w:tc>
          <w:tcPr>
            <w:tcW w:w="588" w:type="pct"/>
            <w:shd w:val="clear" w:color="auto" w:fill="FFFFFF"/>
            <w:hideMark/>
          </w:tcPr>
          <w:p w14:paraId="48AE41D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MZ</w:t>
            </w:r>
          </w:p>
          <w:p w14:paraId="6020885B"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shd w:val="clear" w:color="auto" w:fill="FFFFFF"/>
          </w:tcPr>
          <w:p w14:paraId="5B1BEE30"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Medicinski otpad</w:t>
            </w:r>
          </w:p>
        </w:tc>
        <w:tc>
          <w:tcPr>
            <w:tcW w:w="2062" w:type="pct"/>
            <w:shd w:val="clear" w:color="auto" w:fill="FFFFFF"/>
            <w:hideMark/>
          </w:tcPr>
          <w:p w14:paraId="598D8D30"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utvrđuje uslove, način i postupak obrade medicinskog otpada</w:t>
            </w:r>
          </w:p>
        </w:tc>
      </w:tr>
      <w:tr w:rsidR="00A73F66" w:rsidRPr="00AB15C7" w14:paraId="01BB1AA2" w14:textId="77777777" w:rsidTr="00165701">
        <w:trPr>
          <w:trHeight w:val="480"/>
        </w:trPr>
        <w:tc>
          <w:tcPr>
            <w:tcW w:w="1589" w:type="pct"/>
            <w:hideMark/>
          </w:tcPr>
          <w:p w14:paraId="73153D3C"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postupanju sa građevinskim otpadom, načinu i postupku prerade građevinskog otpada, uslovima i načinu odlaganja cement azbestnog građevinskog otpada ("Sl. list CG", br. 50/12)</w:t>
            </w:r>
          </w:p>
        </w:tc>
        <w:tc>
          <w:tcPr>
            <w:tcW w:w="588" w:type="pct"/>
            <w:hideMark/>
          </w:tcPr>
          <w:p w14:paraId="10DB0A3B"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hideMark/>
          </w:tcPr>
          <w:p w14:paraId="3E242E69"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Gradjevinski otpad uključujući i onaj koji sadrži azbest</w:t>
            </w:r>
          </w:p>
        </w:tc>
        <w:tc>
          <w:tcPr>
            <w:tcW w:w="2062" w:type="pct"/>
            <w:hideMark/>
          </w:tcPr>
          <w:p w14:paraId="0D1535BC"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uređuje postupanje sa građevinskim otpadom, način i postupak prerade građevinskog otpada, uslove i način odlaganja cement azbestnog građevinskog otpada i uslove koje treba da ispunjava postrojenje za preradu građevinskog otpada</w:t>
            </w:r>
          </w:p>
        </w:tc>
      </w:tr>
      <w:tr w:rsidR="00A73F66" w:rsidRPr="00AB15C7" w14:paraId="770951D1" w14:textId="77777777" w:rsidTr="00165701">
        <w:trPr>
          <w:trHeight w:val="480"/>
        </w:trPr>
        <w:tc>
          <w:tcPr>
            <w:tcW w:w="1589" w:type="pct"/>
            <w:hideMark/>
          </w:tcPr>
          <w:p w14:paraId="01F96836"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Pravilnik o načinu vođenja evidencije otpada i sadržaju formulara o transportu otpada ("Sl. list CG", br. 50/12)</w:t>
            </w:r>
          </w:p>
        </w:tc>
        <w:tc>
          <w:tcPr>
            <w:tcW w:w="588" w:type="pct"/>
            <w:hideMark/>
          </w:tcPr>
          <w:p w14:paraId="581F8B4D"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4D2FF5D7"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w:t>
            </w:r>
          </w:p>
        </w:tc>
        <w:tc>
          <w:tcPr>
            <w:tcW w:w="2062" w:type="pct"/>
            <w:hideMark/>
          </w:tcPr>
          <w:p w14:paraId="43F70861"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utvrđuje način vođenja evidencije otpada (količine i vrste otpada), sadržaj i način popunjavanja formulara o transportu otpada i način sačinjavanja godišnjih izvještaja o otpadu</w:t>
            </w:r>
          </w:p>
        </w:tc>
      </w:tr>
      <w:tr w:rsidR="00A73F66" w:rsidRPr="00AB15C7" w14:paraId="73A4AC19" w14:textId="77777777" w:rsidTr="00165701">
        <w:trPr>
          <w:trHeight w:val="260"/>
        </w:trPr>
        <w:tc>
          <w:tcPr>
            <w:tcW w:w="1589" w:type="pct"/>
            <w:hideMark/>
          </w:tcPr>
          <w:p w14:paraId="3B94C44C"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uslovima koje treba da ispunjava privredno društvo odnosno preduzetnik za preradu i/ili odstranjivanje otpada ("Sl. list CG", br. 53/12</w:t>
            </w:r>
          </w:p>
        </w:tc>
        <w:tc>
          <w:tcPr>
            <w:tcW w:w="588" w:type="pct"/>
            <w:hideMark/>
          </w:tcPr>
          <w:p w14:paraId="553B7DBC"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6653853D"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w:t>
            </w:r>
          </w:p>
        </w:tc>
        <w:tc>
          <w:tcPr>
            <w:tcW w:w="2062" w:type="pct"/>
            <w:hideMark/>
          </w:tcPr>
          <w:p w14:paraId="2D2B5D3D"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utvrđuje uslove koje u pogledu opreme, postrojenja i broja zaposlenih treba da ispunjava privredno društvo odnosno preduzetnik koje vrši preradu i/ili odstranjivanje otpada i bliži sadržaj opisa radnog procesa postrojenja za preradu ili odstranjivanje otpada</w:t>
            </w:r>
          </w:p>
        </w:tc>
      </w:tr>
      <w:tr w:rsidR="00A73F66" w:rsidRPr="00AB15C7" w14:paraId="2CF0ACCC" w14:textId="77777777" w:rsidTr="00165701">
        <w:trPr>
          <w:trHeight w:val="260"/>
        </w:trPr>
        <w:tc>
          <w:tcPr>
            <w:tcW w:w="1589" w:type="pct"/>
            <w:hideMark/>
          </w:tcPr>
          <w:p w14:paraId="0F6B2B1A"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bližem sadržaju i načinu podnošenja godišnjih izvještaja o sprovođenju planova upravljanja otpadom ("Sl. list CG", br. 53/12)</w:t>
            </w:r>
          </w:p>
        </w:tc>
        <w:tc>
          <w:tcPr>
            <w:tcW w:w="588" w:type="pct"/>
            <w:hideMark/>
          </w:tcPr>
          <w:p w14:paraId="1D614D34"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38DB85AE"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w:t>
            </w:r>
          </w:p>
        </w:tc>
        <w:tc>
          <w:tcPr>
            <w:tcW w:w="2062" w:type="pct"/>
            <w:hideMark/>
          </w:tcPr>
          <w:p w14:paraId="58A42A1E"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 xml:space="preserve">utvrđuje bliži sadržaj i način podnošenja godišnjih izvještaja o sprovođenju državnog plana upravljanja otpadom, plana upravljanja medicinskim otpadom, plana upravljanja </w:t>
            </w:r>
            <w:r w:rsidRPr="00AB15C7">
              <w:rPr>
                <w:rFonts w:ascii="Cambria" w:hAnsi="Cambria" w:cs="Arial"/>
                <w:noProof/>
                <w:lang w:val="sr-Latn-ME"/>
              </w:rPr>
              <w:lastRenderedPageBreak/>
              <w:t>veterinarskim otpadom, plana upravljanja kanalizacionim muljem i lokalnog plana upravljanja komunalnim otpadom</w:t>
            </w:r>
          </w:p>
        </w:tc>
      </w:tr>
      <w:tr w:rsidR="00A73F66" w:rsidRPr="00AB15C7" w14:paraId="7B78FE6D" w14:textId="77777777" w:rsidTr="00165701">
        <w:trPr>
          <w:trHeight w:val="480"/>
        </w:trPr>
        <w:tc>
          <w:tcPr>
            <w:tcW w:w="1589" w:type="pct"/>
            <w:hideMark/>
          </w:tcPr>
          <w:p w14:paraId="2821D72B"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bližem sadržaju i načinu sačinjavanja plana upravljanja otpadom proizvođača otpada ("Sl. list CG", br. 05/13)</w:t>
            </w:r>
          </w:p>
        </w:tc>
        <w:tc>
          <w:tcPr>
            <w:tcW w:w="588" w:type="pct"/>
            <w:hideMark/>
          </w:tcPr>
          <w:p w14:paraId="354843EB"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30626A29"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w:t>
            </w:r>
          </w:p>
        </w:tc>
        <w:tc>
          <w:tcPr>
            <w:tcW w:w="2062" w:type="pct"/>
            <w:hideMark/>
          </w:tcPr>
          <w:p w14:paraId="4A8F6DED"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 xml:space="preserve">uređuje sadržaj i način izrade plana upravljanja otpadom proizvođača otpada </w:t>
            </w:r>
          </w:p>
        </w:tc>
      </w:tr>
      <w:tr w:rsidR="00A73F66" w:rsidRPr="00AB15C7" w14:paraId="05A1FE23" w14:textId="77777777" w:rsidTr="00165701">
        <w:trPr>
          <w:trHeight w:val="480"/>
        </w:trPr>
        <w:tc>
          <w:tcPr>
            <w:tcW w:w="1589" w:type="pct"/>
            <w:hideMark/>
          </w:tcPr>
          <w:p w14:paraId="6BC599ED"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načinu pakovanja i odstranjivanja otpada koji sadrži azbest ("Sl. list CG", br. 11/13)</w:t>
            </w:r>
          </w:p>
        </w:tc>
        <w:tc>
          <w:tcPr>
            <w:tcW w:w="588" w:type="pct"/>
            <w:hideMark/>
          </w:tcPr>
          <w:p w14:paraId="16AEFC88"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hideMark/>
          </w:tcPr>
          <w:p w14:paraId="521AA261"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 koji sadrži azbest</w:t>
            </w:r>
          </w:p>
        </w:tc>
        <w:tc>
          <w:tcPr>
            <w:tcW w:w="2062" w:type="pct"/>
            <w:hideMark/>
          </w:tcPr>
          <w:p w14:paraId="62D44D2F"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uređuje uslove pakovanja i odstranjivanja otpada koji sadrži azbest</w:t>
            </w:r>
          </w:p>
        </w:tc>
      </w:tr>
      <w:tr w:rsidR="00A73F66" w:rsidRPr="00AB15C7" w14:paraId="4DFEA068" w14:textId="77777777" w:rsidTr="00165701">
        <w:trPr>
          <w:trHeight w:val="480"/>
        </w:trPr>
        <w:tc>
          <w:tcPr>
            <w:tcW w:w="1589" w:type="pct"/>
            <w:hideMark/>
          </w:tcPr>
          <w:p w14:paraId="329F3412"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uslovima koje treba da ispunjava privredno društvo, odnosno preduzetnik za sakupljanje, odnosno transport otpada ("Sl. list CG ", br. 16/13)</w:t>
            </w:r>
          </w:p>
        </w:tc>
        <w:tc>
          <w:tcPr>
            <w:tcW w:w="588" w:type="pct"/>
            <w:hideMark/>
          </w:tcPr>
          <w:p w14:paraId="209D689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51C2185C"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w:t>
            </w:r>
          </w:p>
        </w:tc>
        <w:tc>
          <w:tcPr>
            <w:tcW w:w="2062" w:type="pct"/>
            <w:hideMark/>
          </w:tcPr>
          <w:p w14:paraId="1E2D6168"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uređuje uslove koje treba da ispunjava privredno društvo za sakupljanje, odnosno transport otpada</w:t>
            </w:r>
          </w:p>
        </w:tc>
      </w:tr>
      <w:tr w:rsidR="00A73F66" w:rsidRPr="00AB15C7" w14:paraId="32DBEE75" w14:textId="77777777" w:rsidTr="00165701">
        <w:trPr>
          <w:trHeight w:val="480"/>
        </w:trPr>
        <w:tc>
          <w:tcPr>
            <w:tcW w:w="1589" w:type="pct"/>
            <w:hideMark/>
          </w:tcPr>
          <w:p w14:paraId="3C5C9684"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načinu vođenja i sadržaju zahtjeva za upis u registar izvoznika neopasnog otpada ("Sl. list CG", br. 27/13)</w:t>
            </w:r>
          </w:p>
        </w:tc>
        <w:tc>
          <w:tcPr>
            <w:tcW w:w="588" w:type="pct"/>
            <w:hideMark/>
          </w:tcPr>
          <w:p w14:paraId="47070C89"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7478C1A7"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w:t>
            </w:r>
          </w:p>
        </w:tc>
        <w:tc>
          <w:tcPr>
            <w:tcW w:w="2062" w:type="pct"/>
            <w:hideMark/>
          </w:tcPr>
          <w:p w14:paraId="57AA145C"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uređuje način vođenja i sadržaj zahtjeva za upis u registar izvoznika neopasnog otpada</w:t>
            </w:r>
          </w:p>
        </w:tc>
      </w:tr>
      <w:tr w:rsidR="00A73F66" w:rsidRPr="00AB15C7" w14:paraId="49A9590D" w14:textId="77777777" w:rsidTr="00165701">
        <w:trPr>
          <w:trHeight w:val="480"/>
        </w:trPr>
        <w:tc>
          <w:tcPr>
            <w:tcW w:w="1589" w:type="pct"/>
            <w:hideMark/>
          </w:tcPr>
          <w:p w14:paraId="3A57BA99"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spaljivanju i/ili suspaljivanju otpada („Sl. list CG “, br. 33/13)</w:t>
            </w:r>
          </w:p>
        </w:tc>
        <w:tc>
          <w:tcPr>
            <w:tcW w:w="588" w:type="pct"/>
            <w:hideMark/>
          </w:tcPr>
          <w:p w14:paraId="529E4CFB"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1DFC2B60"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w:t>
            </w:r>
          </w:p>
        </w:tc>
        <w:tc>
          <w:tcPr>
            <w:tcW w:w="2062" w:type="pct"/>
            <w:hideMark/>
          </w:tcPr>
          <w:p w14:paraId="6E18D4D1"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uređuje način obrade otpada u postrojenju za spaljivanje ili suspaljivanje otpada, uslove koje treba da ispunjavaju objekti u postrojenju, tehničko-tehnološke postupke spaljivanja ili suspaljivanja pojedinih vrsta otpada, način sprječavanja nastanka i upravljanja otpadom nastalim procesom spaljivanja ili suspaljivanja, stručnu spremu i kvalifikaciju rukovodioca postrojenja i način funkcionisanja procesa spaljivanja i/ili suspaljivanje otpada</w:t>
            </w:r>
          </w:p>
        </w:tc>
      </w:tr>
      <w:tr w:rsidR="00A73F66" w:rsidRPr="00AB15C7" w14:paraId="6C5C99EE" w14:textId="77777777" w:rsidTr="00165701">
        <w:trPr>
          <w:trHeight w:val="480"/>
        </w:trPr>
        <w:tc>
          <w:tcPr>
            <w:tcW w:w="1589" w:type="pct"/>
            <w:hideMark/>
          </w:tcPr>
          <w:p w14:paraId="00CA1CC5"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Pravilnik o bližim uslovima za upis u registar posrednika i trgovaca otpadom ("Sl. list CG", br. 46/13 i 21/14)</w:t>
            </w:r>
          </w:p>
        </w:tc>
        <w:tc>
          <w:tcPr>
            <w:tcW w:w="588" w:type="pct"/>
            <w:hideMark/>
          </w:tcPr>
          <w:p w14:paraId="64BE6B42"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7825BDEF"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w:t>
            </w:r>
          </w:p>
        </w:tc>
        <w:tc>
          <w:tcPr>
            <w:tcW w:w="2062" w:type="pct"/>
            <w:hideMark/>
          </w:tcPr>
          <w:p w14:paraId="5AF461E6"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uređuje uslove u pogledu kadra i opreme za upis u registar posrednika i trgovaca otpadom</w:t>
            </w:r>
          </w:p>
        </w:tc>
      </w:tr>
      <w:tr w:rsidR="00A73F66" w:rsidRPr="00AB15C7" w14:paraId="22C8341A" w14:textId="77777777" w:rsidTr="00165701">
        <w:trPr>
          <w:trHeight w:val="260"/>
        </w:trPr>
        <w:tc>
          <w:tcPr>
            <w:tcW w:w="1589" w:type="pct"/>
            <w:hideMark/>
          </w:tcPr>
          <w:p w14:paraId="378A3673"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Pravilnik o vođenju registra izdatih dozvola za preradu i/ili odstranjivanje otpada, registra sakupljača prevoznika, trgovaca i posrednika otpada ("Sl. list CG", br. 47/13)</w:t>
            </w:r>
          </w:p>
        </w:tc>
        <w:tc>
          <w:tcPr>
            <w:tcW w:w="588" w:type="pct"/>
            <w:hideMark/>
          </w:tcPr>
          <w:p w14:paraId="4C579E5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58622ACC"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w:t>
            </w:r>
          </w:p>
        </w:tc>
        <w:tc>
          <w:tcPr>
            <w:tcW w:w="2062" w:type="pct"/>
            <w:hideMark/>
          </w:tcPr>
          <w:p w14:paraId="4910C0FB"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uređuje način vođenja registra izdatih dozvola za preradu i odstranjivanje otpada, registar sakupljača otpada, registar prevoznika i registar trgovaca i posrednika</w:t>
            </w:r>
          </w:p>
        </w:tc>
      </w:tr>
      <w:tr w:rsidR="00A73F66" w:rsidRPr="00AB15C7" w14:paraId="62A2A236" w14:textId="77777777" w:rsidTr="00165701">
        <w:trPr>
          <w:trHeight w:val="260"/>
        </w:trPr>
        <w:tc>
          <w:tcPr>
            <w:tcW w:w="1589" w:type="pct"/>
            <w:hideMark/>
          </w:tcPr>
          <w:p w14:paraId="758397E4"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lastRenderedPageBreak/>
              <w:t>Pravilnik</w:t>
            </w:r>
          </w:p>
          <w:p w14:paraId="54670CD9"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o metodama ispitivanja opasnih svojstava otpada i bližim uslovima koje treba da ispunjava akreditovana laboratorija za ispitivanje opasnih svojstava otpada ("Sl. list CG", br. 21/14)</w:t>
            </w:r>
          </w:p>
        </w:tc>
        <w:tc>
          <w:tcPr>
            <w:tcW w:w="588" w:type="pct"/>
            <w:hideMark/>
          </w:tcPr>
          <w:p w14:paraId="1064C6F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hideMark/>
          </w:tcPr>
          <w:p w14:paraId="053194F3"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ugljovodonici, PAH, PCB, elementi, Cr(VI)</w:t>
            </w:r>
          </w:p>
        </w:tc>
        <w:tc>
          <w:tcPr>
            <w:tcW w:w="2062" w:type="pct"/>
            <w:hideMark/>
          </w:tcPr>
          <w:p w14:paraId="5A2BEFFD"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utvrđuje metode ispitivanja opasnih svojstava otpada i bliže uslove koje treba da ispunjava akreditovana laboratorija za ispitivanje opasnih svojstava otpada</w:t>
            </w:r>
          </w:p>
        </w:tc>
      </w:tr>
      <w:tr w:rsidR="00A73F66" w:rsidRPr="00AB15C7" w14:paraId="10376151" w14:textId="77777777" w:rsidTr="00165701">
        <w:trPr>
          <w:trHeight w:val="260"/>
        </w:trPr>
        <w:tc>
          <w:tcPr>
            <w:tcW w:w="1589" w:type="pct"/>
          </w:tcPr>
          <w:p w14:paraId="1435E1A3"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bCs/>
                <w:noProof/>
              </w:rPr>
              <w:t>Uredba o načinu i postupku osnivanja sistema preuzimanja, sakupljanja i obrade otpadnih baterija i akumulatora i rada tog sistema ("Sl. list CG", br. 39/12 i 47/12)</w:t>
            </w:r>
          </w:p>
        </w:tc>
        <w:tc>
          <w:tcPr>
            <w:tcW w:w="588" w:type="pct"/>
          </w:tcPr>
          <w:p w14:paraId="721DF2E4"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01FC1C61"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bCs/>
                <w:noProof/>
              </w:rPr>
              <w:t>Otpadne baterije i akumulatori</w:t>
            </w:r>
          </w:p>
        </w:tc>
        <w:tc>
          <w:tcPr>
            <w:tcW w:w="2062" w:type="pct"/>
          </w:tcPr>
          <w:p w14:paraId="3FD958FB" w14:textId="77777777" w:rsidR="00A73F66" w:rsidRPr="00AB15C7" w:rsidRDefault="00A73F66" w:rsidP="005921EF">
            <w:pPr>
              <w:spacing w:after="0"/>
              <w:jc w:val="both"/>
              <w:rPr>
                <w:rFonts w:ascii="Cambria" w:hAnsi="Cambria" w:cs="Arial"/>
                <w:noProof/>
              </w:rPr>
            </w:pPr>
            <w:r w:rsidRPr="00AB15C7">
              <w:rPr>
                <w:rFonts w:ascii="Cambria" w:hAnsi="Cambria" w:cs="Arial"/>
                <w:noProof/>
              </w:rPr>
              <w:t>Uređuje se način i postupak osnivanja sistema preuzimanja, sakupljanja i obrade otpadnih baterija i akumulatora, rada tog sistema i način izračunavanja prosječne mase preuzetih otpadnih baterija i akumulatora</w:t>
            </w:r>
          </w:p>
        </w:tc>
      </w:tr>
      <w:tr w:rsidR="00A73F66" w:rsidRPr="00AB15C7" w14:paraId="185C9FD9" w14:textId="77777777" w:rsidTr="00165701">
        <w:trPr>
          <w:trHeight w:val="260"/>
        </w:trPr>
        <w:tc>
          <w:tcPr>
            <w:tcW w:w="1589" w:type="pct"/>
          </w:tcPr>
          <w:p w14:paraId="379D1986"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Uredba o načinu i postupku osnivanja sistema preuzimanja, sakupljanja i obrade otpadne ambalaže i rada tog sistema</w:t>
            </w:r>
            <w:r w:rsidRPr="00AB15C7">
              <w:rPr>
                <w:rFonts w:ascii="Cambria" w:hAnsi="Cambria"/>
                <w:noProof/>
              </w:rPr>
              <w:t xml:space="preserve"> </w:t>
            </w:r>
            <w:r w:rsidRPr="00AB15C7">
              <w:rPr>
                <w:rFonts w:ascii="Cambria" w:hAnsi="Cambria" w:cs="Arial"/>
                <w:noProof/>
                <w:lang w:val="sr-Latn-ME"/>
              </w:rPr>
              <w:t>("Sl. list CG", br.</w:t>
            </w:r>
            <w:r w:rsidRPr="00AB15C7">
              <w:rPr>
                <w:rFonts w:ascii="Cambria" w:hAnsi="Cambria" w:cs="Arial"/>
                <w:bCs/>
                <w:noProof/>
              </w:rPr>
              <w:t xml:space="preserve"> 42/12</w:t>
            </w:r>
            <w:r w:rsidRPr="00AB15C7">
              <w:rPr>
                <w:rFonts w:ascii="Cambria" w:hAnsi="Cambria" w:cs="Arial"/>
                <w:noProof/>
                <w:lang w:val="sr-Latn-ME"/>
              </w:rPr>
              <w:t>)</w:t>
            </w:r>
          </w:p>
        </w:tc>
        <w:tc>
          <w:tcPr>
            <w:tcW w:w="588" w:type="pct"/>
          </w:tcPr>
          <w:p w14:paraId="20E8ECE5"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22D4BE0C"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 xml:space="preserve">Otpadna ambalaža uključujući i onu koja sadži opasne sastojke </w:t>
            </w:r>
          </w:p>
        </w:tc>
        <w:tc>
          <w:tcPr>
            <w:tcW w:w="2062" w:type="pct"/>
          </w:tcPr>
          <w:p w14:paraId="568B9651" w14:textId="77777777" w:rsidR="00A73F66" w:rsidRPr="00AB15C7" w:rsidRDefault="00A73F66" w:rsidP="005921EF">
            <w:pPr>
              <w:spacing w:after="0"/>
              <w:jc w:val="both"/>
              <w:rPr>
                <w:rFonts w:ascii="Cambria" w:hAnsi="Cambria" w:cs="Arial"/>
                <w:noProof/>
              </w:rPr>
            </w:pPr>
          </w:p>
          <w:p w14:paraId="441297F6"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rPr>
              <w:t>Uređuje se način i postupak osnivanja sistema preuzimanja, sakupljanja i obrade otpadne ambalaže, kao i rada tog sistema</w:t>
            </w:r>
          </w:p>
        </w:tc>
      </w:tr>
      <w:tr w:rsidR="00A73F66" w:rsidRPr="00AB15C7" w14:paraId="3427CD1F" w14:textId="77777777" w:rsidTr="00165701">
        <w:trPr>
          <w:trHeight w:val="260"/>
        </w:trPr>
        <w:tc>
          <w:tcPr>
            <w:tcW w:w="1589" w:type="pct"/>
          </w:tcPr>
          <w:p w14:paraId="346CF564"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rPr>
              <w:t xml:space="preserve"> </w:t>
            </w:r>
            <w:r w:rsidRPr="00AB15C7">
              <w:rPr>
                <w:rFonts w:ascii="Cambria" w:hAnsi="Cambria" w:cs="Arial"/>
                <w:bCs/>
                <w:noProof/>
              </w:rPr>
              <w:t>Uredba  o načinu i postupku osnivanja sistema preuzimanja, sakupljanja i obrade otpadnih guma i rada tog sistema</w:t>
            </w:r>
            <w:r w:rsidRPr="00AB15C7">
              <w:rPr>
                <w:rFonts w:ascii="Cambria" w:hAnsi="Cambria"/>
                <w:noProof/>
              </w:rPr>
              <w:t xml:space="preserve"> </w:t>
            </w:r>
            <w:r w:rsidRPr="00AB15C7">
              <w:rPr>
                <w:rFonts w:ascii="Cambria" w:hAnsi="Cambria" w:cs="Arial"/>
                <w:noProof/>
                <w:lang w:val="sr-Latn-ME"/>
              </w:rPr>
              <w:t>("Sl. list CG", br.</w:t>
            </w:r>
            <w:r w:rsidRPr="00AB15C7">
              <w:rPr>
                <w:rFonts w:ascii="Cambria" w:hAnsi="Cambria" w:cs="Arial"/>
                <w:bCs/>
                <w:noProof/>
              </w:rPr>
              <w:t xml:space="preserve"> 39/12</w:t>
            </w:r>
            <w:r w:rsidRPr="00AB15C7">
              <w:rPr>
                <w:rFonts w:ascii="Cambria" w:hAnsi="Cambria" w:cs="Arial"/>
                <w:noProof/>
                <w:lang w:val="sr-Latn-ME"/>
              </w:rPr>
              <w:t>)</w:t>
            </w:r>
          </w:p>
        </w:tc>
        <w:tc>
          <w:tcPr>
            <w:tcW w:w="588" w:type="pct"/>
          </w:tcPr>
          <w:p w14:paraId="530EC19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78258389"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Otpadne gume</w:t>
            </w:r>
          </w:p>
        </w:tc>
        <w:tc>
          <w:tcPr>
            <w:tcW w:w="2062" w:type="pct"/>
          </w:tcPr>
          <w:p w14:paraId="52341C20" w14:textId="77777777" w:rsidR="00A73F66" w:rsidRPr="00AB15C7" w:rsidRDefault="00A73F66" w:rsidP="005921EF">
            <w:pPr>
              <w:spacing w:after="0"/>
              <w:jc w:val="both"/>
              <w:rPr>
                <w:rFonts w:ascii="Cambria" w:hAnsi="Cambria" w:cs="Arial"/>
                <w:noProof/>
              </w:rPr>
            </w:pPr>
            <w:r w:rsidRPr="00AB15C7">
              <w:rPr>
                <w:rFonts w:ascii="Cambria" w:hAnsi="Cambria" w:cs="Arial"/>
                <w:noProof/>
              </w:rPr>
              <w:t>Uređuje se način i postupak osnivanja sistema preuzimanja, sakupljanja i obrade otpadnih guma i rada tog sistema kao i godišnje količine otpadnih guma koje se moraju preraditi, obraditi i reciklirati</w:t>
            </w:r>
          </w:p>
        </w:tc>
      </w:tr>
      <w:tr w:rsidR="00A73F66" w:rsidRPr="00AB15C7" w14:paraId="010985A5" w14:textId="77777777" w:rsidTr="00165701">
        <w:trPr>
          <w:trHeight w:val="260"/>
        </w:trPr>
        <w:tc>
          <w:tcPr>
            <w:tcW w:w="1589" w:type="pct"/>
          </w:tcPr>
          <w:p w14:paraId="75F4DB66"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bCs/>
                <w:noProof/>
              </w:rPr>
              <w:t xml:space="preserve">Uredba o načinu i postupku osnivanja sistema preuzimanja, sakupljanja i obrade otpadnih vozila i rada tog sistema </w:t>
            </w:r>
            <w:r w:rsidRPr="00AB15C7">
              <w:rPr>
                <w:rFonts w:ascii="Cambria" w:hAnsi="Cambria" w:cs="Arial"/>
                <w:bCs/>
                <w:noProof/>
                <w:lang w:val="sr-Latn-ME"/>
              </w:rPr>
              <w:t>("Sl. list CG", br.</w:t>
            </w:r>
            <w:r w:rsidRPr="00AB15C7">
              <w:rPr>
                <w:rFonts w:ascii="Cambria" w:hAnsi="Cambria" w:cs="Arial"/>
                <w:bCs/>
                <w:noProof/>
              </w:rPr>
              <w:t xml:space="preserve"> 28/12</w:t>
            </w:r>
            <w:r w:rsidRPr="00AB15C7">
              <w:rPr>
                <w:rFonts w:ascii="Cambria" w:hAnsi="Cambria" w:cs="Arial"/>
                <w:bCs/>
                <w:noProof/>
                <w:lang w:val="sr-Latn-ME"/>
              </w:rPr>
              <w:t>)</w:t>
            </w:r>
          </w:p>
        </w:tc>
        <w:tc>
          <w:tcPr>
            <w:tcW w:w="588" w:type="pct"/>
          </w:tcPr>
          <w:p w14:paraId="4D91E0A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70641F3C"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Otpadna vozila</w:t>
            </w:r>
          </w:p>
        </w:tc>
        <w:tc>
          <w:tcPr>
            <w:tcW w:w="2062" w:type="pct"/>
          </w:tcPr>
          <w:p w14:paraId="4C0F4652" w14:textId="77777777" w:rsidR="00A73F66" w:rsidRPr="00AB15C7" w:rsidRDefault="00A73F66" w:rsidP="005921EF">
            <w:pPr>
              <w:spacing w:after="0"/>
              <w:jc w:val="both"/>
              <w:rPr>
                <w:rFonts w:ascii="Cambria" w:hAnsi="Cambria" w:cs="Arial"/>
                <w:noProof/>
              </w:rPr>
            </w:pPr>
            <w:r w:rsidRPr="00AB15C7">
              <w:rPr>
                <w:rFonts w:ascii="Cambria" w:hAnsi="Cambria" w:cs="Arial"/>
                <w:noProof/>
              </w:rPr>
              <w:t>Propisuje se način i postupak osnivanja sistema preuzimanja, sakupljanja i obrade otpadnih vozila i rada tog sistema, kao i godišnje količine otpadnih vozila koje se moraju obraditi, preraditi ili reciklirati.</w:t>
            </w:r>
          </w:p>
        </w:tc>
      </w:tr>
      <w:tr w:rsidR="00A73F66" w:rsidRPr="00AB15C7" w14:paraId="5EC37B4B" w14:textId="77777777" w:rsidTr="00165701">
        <w:trPr>
          <w:trHeight w:val="980"/>
        </w:trPr>
        <w:tc>
          <w:tcPr>
            <w:tcW w:w="1589" w:type="pct"/>
          </w:tcPr>
          <w:p w14:paraId="6558B3DA" w14:textId="77777777" w:rsidR="00A73F66" w:rsidRPr="00AB15C7" w:rsidRDefault="00A73F66" w:rsidP="005921EF">
            <w:pPr>
              <w:spacing w:after="0"/>
              <w:rPr>
                <w:rFonts w:ascii="Cambria" w:hAnsi="Cambria" w:cs="Arial"/>
                <w:noProof/>
              </w:rPr>
            </w:pPr>
            <w:r w:rsidRPr="00AB15C7">
              <w:rPr>
                <w:rFonts w:ascii="Cambria" w:hAnsi="Cambria" w:cs="Arial"/>
                <w:bCs/>
                <w:noProof/>
              </w:rPr>
              <w:t xml:space="preserve">Pravilnik o sakupljanju i predaji otpadnih vozila čiji je imalac nepoznat </w:t>
            </w:r>
            <w:r w:rsidRPr="00AB15C7">
              <w:rPr>
                <w:rFonts w:ascii="Cambria" w:hAnsi="Cambria" w:cs="Arial"/>
                <w:bCs/>
                <w:noProof/>
                <w:lang w:val="sr-Latn-ME"/>
              </w:rPr>
              <w:t>("Sl. list CG", br.</w:t>
            </w:r>
            <w:r w:rsidRPr="00AB15C7">
              <w:rPr>
                <w:rFonts w:ascii="Cambria" w:hAnsi="Cambria" w:cs="Arial"/>
                <w:bCs/>
                <w:noProof/>
              </w:rPr>
              <w:t xml:space="preserve"> 47/13</w:t>
            </w:r>
            <w:r w:rsidRPr="00AB15C7">
              <w:rPr>
                <w:rFonts w:ascii="Cambria" w:hAnsi="Cambria" w:cs="Arial"/>
                <w:bCs/>
                <w:noProof/>
                <w:lang w:val="sr-Latn-ME"/>
              </w:rPr>
              <w:t>)</w:t>
            </w:r>
          </w:p>
        </w:tc>
        <w:tc>
          <w:tcPr>
            <w:tcW w:w="588" w:type="pct"/>
          </w:tcPr>
          <w:p w14:paraId="16F892C8"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5923C6C4"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Otpadna vozila</w:t>
            </w:r>
          </w:p>
        </w:tc>
        <w:tc>
          <w:tcPr>
            <w:tcW w:w="2062" w:type="pct"/>
          </w:tcPr>
          <w:p w14:paraId="4C8D2B50" w14:textId="77777777" w:rsidR="00A73F66" w:rsidRPr="00AB15C7" w:rsidRDefault="00A73F66" w:rsidP="005921EF">
            <w:pPr>
              <w:spacing w:after="0"/>
              <w:jc w:val="both"/>
              <w:rPr>
                <w:rFonts w:ascii="Cambria" w:hAnsi="Cambria" w:cs="Arial"/>
                <w:noProof/>
              </w:rPr>
            </w:pPr>
            <w:r w:rsidRPr="00AB15C7">
              <w:rPr>
                <w:rFonts w:ascii="Cambria" w:hAnsi="Cambria" w:cs="Arial"/>
                <w:noProof/>
              </w:rPr>
              <w:t>Sakupljanje i predaja otpadnih vozila čiji je imalac nepoznat vrši se na način utvrđen ovim pravilnikom.</w:t>
            </w:r>
          </w:p>
        </w:tc>
      </w:tr>
      <w:tr w:rsidR="00A73F66" w:rsidRPr="00AB15C7" w14:paraId="49AA9120" w14:textId="77777777" w:rsidTr="00165701">
        <w:trPr>
          <w:trHeight w:val="260"/>
        </w:trPr>
        <w:tc>
          <w:tcPr>
            <w:tcW w:w="1589" w:type="pct"/>
          </w:tcPr>
          <w:p w14:paraId="0C5DE748" w14:textId="77777777" w:rsidR="00A73F66" w:rsidRPr="00AB15C7" w:rsidRDefault="00A73F66" w:rsidP="005921EF">
            <w:pPr>
              <w:spacing w:after="0"/>
              <w:rPr>
                <w:rFonts w:ascii="Cambria" w:hAnsi="Cambria" w:cs="Arial"/>
                <w:noProof/>
                <w:lang w:val="sr-Latn-ME"/>
              </w:rPr>
            </w:pPr>
            <w:r w:rsidRPr="00AB15C7">
              <w:rPr>
                <w:rFonts w:ascii="Cambria" w:hAnsi="Cambria" w:cs="Arial"/>
                <w:noProof/>
              </w:rPr>
              <w:t>U</w:t>
            </w:r>
            <w:r w:rsidRPr="00AB15C7">
              <w:rPr>
                <w:rFonts w:ascii="Cambria" w:hAnsi="Cambria" w:cs="Arial"/>
                <w:bCs/>
                <w:noProof/>
              </w:rPr>
              <w:t xml:space="preserve">redba  o načinu i postupku osnivanja sistema preuzimanja, sakupljanja i obrade otpada od električnih i elektronskih proizvoda i rada tog sistema </w:t>
            </w:r>
            <w:r w:rsidRPr="00AB15C7">
              <w:rPr>
                <w:rFonts w:ascii="Cambria" w:hAnsi="Cambria" w:cs="Arial"/>
                <w:bCs/>
                <w:noProof/>
                <w:lang w:val="sr-Latn-ME"/>
              </w:rPr>
              <w:t>("Sl. list CG", br.</w:t>
            </w:r>
            <w:r w:rsidRPr="00AB15C7">
              <w:rPr>
                <w:rFonts w:ascii="Cambria" w:hAnsi="Cambria" w:cs="Arial"/>
                <w:bCs/>
                <w:noProof/>
              </w:rPr>
              <w:t xml:space="preserve"> 24/12</w:t>
            </w:r>
            <w:r w:rsidRPr="00AB15C7">
              <w:rPr>
                <w:rFonts w:ascii="Cambria" w:hAnsi="Cambria" w:cs="Arial"/>
                <w:bCs/>
                <w:noProof/>
                <w:lang w:val="sr-Latn-ME"/>
              </w:rPr>
              <w:t>)</w:t>
            </w:r>
          </w:p>
        </w:tc>
        <w:tc>
          <w:tcPr>
            <w:tcW w:w="588" w:type="pct"/>
          </w:tcPr>
          <w:p w14:paraId="097E7260"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52F68FB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bCs/>
                <w:noProof/>
              </w:rPr>
              <w:t>Otpada od električnih i elektronskih proizvoda</w:t>
            </w:r>
          </w:p>
        </w:tc>
        <w:tc>
          <w:tcPr>
            <w:tcW w:w="2062" w:type="pct"/>
          </w:tcPr>
          <w:p w14:paraId="57F413DB" w14:textId="77777777" w:rsidR="00A73F66" w:rsidRPr="00AB15C7" w:rsidRDefault="00A73F66" w:rsidP="005921EF">
            <w:pPr>
              <w:spacing w:after="0"/>
              <w:jc w:val="both"/>
              <w:rPr>
                <w:rFonts w:ascii="Cambria" w:hAnsi="Cambria" w:cs="Arial"/>
                <w:noProof/>
              </w:rPr>
            </w:pPr>
            <w:r w:rsidRPr="00AB15C7">
              <w:rPr>
                <w:rFonts w:ascii="Cambria" w:hAnsi="Cambria" w:cs="Arial"/>
                <w:noProof/>
              </w:rPr>
              <w:t>Propisuje se način i postupak osnivanja sistema preuzimanja, sakupljanja i obrade otpada od električnih i elektronskih proizvoda (u daljem tekstu: otpadna oprema) i rada tog sistema, kao i godišnje količine otpada od električnih i elektronskih proizvoda koje se moraju preraditi, obraditi i reciklirati</w:t>
            </w:r>
          </w:p>
        </w:tc>
      </w:tr>
      <w:tr w:rsidR="00A73F66" w:rsidRPr="00AB15C7" w14:paraId="6C520269" w14:textId="77777777" w:rsidTr="00165701">
        <w:trPr>
          <w:trHeight w:val="480"/>
        </w:trPr>
        <w:tc>
          <w:tcPr>
            <w:tcW w:w="1589" w:type="pct"/>
            <w:shd w:val="clear" w:color="auto" w:fill="FFFFFF"/>
          </w:tcPr>
          <w:p w14:paraId="2F8E46ED" w14:textId="77777777" w:rsidR="00A73F66" w:rsidRPr="00AB15C7" w:rsidRDefault="00A73F66" w:rsidP="005921EF">
            <w:pPr>
              <w:spacing w:after="0"/>
              <w:rPr>
                <w:rFonts w:ascii="Cambria" w:hAnsi="Cambria" w:cs="Arial"/>
                <w:noProof/>
                <w:lang w:val="sr-Latn-ME"/>
              </w:rPr>
            </w:pPr>
            <w:r w:rsidRPr="00AB15C7">
              <w:rPr>
                <w:rFonts w:ascii="Cambria" w:hAnsi="Cambria" w:cs="Arial"/>
                <w:bCs/>
                <w:noProof/>
              </w:rPr>
              <w:lastRenderedPageBreak/>
              <w:t>Uredba o bližim uslovima koje treba da ispunjavaju materije ili predmeti koji nastaju iz proizvodnog procesa za sporedne proizvode ("Sl. list CG", br. 30/15)</w:t>
            </w:r>
          </w:p>
        </w:tc>
        <w:tc>
          <w:tcPr>
            <w:tcW w:w="588" w:type="pct"/>
            <w:shd w:val="clear" w:color="auto" w:fill="FFFFFF"/>
          </w:tcPr>
          <w:p w14:paraId="0043C4D3"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shd w:val="clear" w:color="auto" w:fill="FFFFFF"/>
          </w:tcPr>
          <w:p w14:paraId="42E27425" w14:textId="77777777" w:rsidR="00A73F66" w:rsidRPr="00AB15C7" w:rsidRDefault="00A73F66" w:rsidP="005921EF">
            <w:pPr>
              <w:spacing w:after="0"/>
              <w:jc w:val="center"/>
              <w:rPr>
                <w:rFonts w:ascii="Cambria" w:hAnsi="Cambria" w:cs="Arial"/>
                <w:noProof/>
              </w:rPr>
            </w:pPr>
            <w:r w:rsidRPr="00AB15C7">
              <w:rPr>
                <w:rFonts w:ascii="Cambria" w:hAnsi="Cambria" w:cs="Arial"/>
                <w:noProof/>
              </w:rPr>
              <w:t>sporedni proizvodi</w:t>
            </w:r>
          </w:p>
        </w:tc>
        <w:tc>
          <w:tcPr>
            <w:tcW w:w="2062" w:type="pct"/>
            <w:shd w:val="clear" w:color="auto" w:fill="FFFFFF"/>
          </w:tcPr>
          <w:p w14:paraId="048E90B4" w14:textId="77777777" w:rsidR="00A73F66" w:rsidRPr="00AB15C7" w:rsidRDefault="00A73F66" w:rsidP="005921EF">
            <w:pPr>
              <w:spacing w:after="0"/>
              <w:jc w:val="both"/>
              <w:rPr>
                <w:rFonts w:ascii="Cambria" w:hAnsi="Cambria" w:cs="Arial"/>
                <w:noProof/>
              </w:rPr>
            </w:pPr>
            <w:r w:rsidRPr="00AB15C7">
              <w:rPr>
                <w:rFonts w:ascii="Cambria" w:hAnsi="Cambria" w:cs="Arial"/>
                <w:noProof/>
              </w:rPr>
              <w:t>Materije ili predmeti, koji nastaju kao rezultat proizvodnog procesa čiji primarni cilj nije proizvodnja tih materija ili predmeta su sporedni proizvodi, a ne otpad ako ispunjavaju uslove utvrđene ovom uredbom.</w:t>
            </w:r>
          </w:p>
        </w:tc>
      </w:tr>
      <w:tr w:rsidR="00A73F66" w:rsidRPr="00AB15C7" w14:paraId="05696D9C" w14:textId="77777777" w:rsidTr="00165701">
        <w:trPr>
          <w:trHeight w:val="260"/>
        </w:trPr>
        <w:tc>
          <w:tcPr>
            <w:tcW w:w="1589" w:type="pct"/>
          </w:tcPr>
          <w:p w14:paraId="213358C1" w14:textId="77777777" w:rsidR="00A73F66" w:rsidRPr="00AB15C7" w:rsidRDefault="00A73F66" w:rsidP="005921EF">
            <w:pPr>
              <w:spacing w:after="0"/>
              <w:rPr>
                <w:rFonts w:ascii="Cambria" w:hAnsi="Cambria" w:cs="Arial"/>
                <w:bCs/>
                <w:noProof/>
              </w:rPr>
            </w:pPr>
            <w:r w:rsidRPr="00AB15C7">
              <w:rPr>
                <w:rFonts w:ascii="Cambria" w:hAnsi="Cambria" w:cs="Arial"/>
                <w:bCs/>
                <w:noProof/>
              </w:rPr>
              <w:t>Pravilnik o uslovima za preradu biootpada i kriterijumima za određivanje kvaliteta produkata organskog recikliranja iz biootpada ("Sl. list CG", br. 47/15)</w:t>
            </w:r>
          </w:p>
        </w:tc>
        <w:tc>
          <w:tcPr>
            <w:tcW w:w="588" w:type="pct"/>
          </w:tcPr>
          <w:p w14:paraId="49E0991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485DCAF1" w14:textId="77777777" w:rsidR="00A73F66" w:rsidRPr="00AB15C7" w:rsidRDefault="00A73F66" w:rsidP="005921EF">
            <w:pPr>
              <w:spacing w:after="0"/>
              <w:jc w:val="center"/>
              <w:rPr>
                <w:rFonts w:ascii="Cambria" w:hAnsi="Cambria" w:cs="Arial"/>
                <w:noProof/>
              </w:rPr>
            </w:pPr>
            <w:r w:rsidRPr="00AB15C7">
              <w:rPr>
                <w:rFonts w:ascii="Cambria" w:hAnsi="Cambria" w:cs="Arial"/>
                <w:noProof/>
              </w:rPr>
              <w:t>biootpad</w:t>
            </w:r>
          </w:p>
        </w:tc>
        <w:tc>
          <w:tcPr>
            <w:tcW w:w="2062" w:type="pct"/>
          </w:tcPr>
          <w:p w14:paraId="513F533F" w14:textId="77777777" w:rsidR="00A73F66" w:rsidRPr="00AB15C7" w:rsidRDefault="00A73F66" w:rsidP="005921EF">
            <w:pPr>
              <w:spacing w:after="0"/>
              <w:jc w:val="both"/>
              <w:rPr>
                <w:rFonts w:ascii="Cambria" w:hAnsi="Cambria" w:cs="Arial"/>
                <w:noProof/>
              </w:rPr>
            </w:pPr>
            <w:r w:rsidRPr="00AB15C7">
              <w:rPr>
                <w:rFonts w:ascii="Cambria" w:hAnsi="Cambria" w:cs="Arial"/>
                <w:noProof/>
              </w:rPr>
              <w:t>propisuju se uslovi za preradu biootpada i kriterijumi za određjivanje kvaliteta produkata organskog recikliranja iz biootpada</w:t>
            </w:r>
          </w:p>
        </w:tc>
      </w:tr>
      <w:tr w:rsidR="00A73F66" w:rsidRPr="00AB15C7" w14:paraId="47F27658" w14:textId="77777777" w:rsidTr="00165701">
        <w:trPr>
          <w:trHeight w:val="260"/>
        </w:trPr>
        <w:tc>
          <w:tcPr>
            <w:tcW w:w="1589" w:type="pct"/>
          </w:tcPr>
          <w:p w14:paraId="389EA55B" w14:textId="77777777" w:rsidR="00A73F66" w:rsidRPr="00AB15C7" w:rsidRDefault="00A73F66" w:rsidP="005921EF">
            <w:pPr>
              <w:spacing w:after="0"/>
              <w:rPr>
                <w:rFonts w:ascii="Cambria" w:hAnsi="Cambria" w:cs="Arial"/>
                <w:noProof/>
              </w:rPr>
            </w:pPr>
            <w:r w:rsidRPr="00AB15C7">
              <w:rPr>
                <w:rFonts w:ascii="Cambria" w:hAnsi="Cambria" w:cs="Arial"/>
                <w:bCs/>
                <w:noProof/>
              </w:rPr>
              <w:t xml:space="preserve">Uredba o bližim kriterijumima, visini i načinu plaćanja </w:t>
            </w:r>
            <w:r w:rsidRPr="00AB15C7">
              <w:rPr>
                <w:rFonts w:ascii="Cambria" w:hAnsi="Cambria" w:cs="Arial"/>
                <w:noProof/>
              </w:rPr>
              <w:t>p</w:t>
            </w:r>
            <w:r w:rsidRPr="00AB15C7">
              <w:rPr>
                <w:rFonts w:ascii="Cambria" w:hAnsi="Cambria" w:cs="Arial"/>
                <w:bCs/>
                <w:noProof/>
              </w:rPr>
              <w:t>osebne naknade za upravljanje otpadom ("Sl. list CG", br. 39/12)</w:t>
            </w:r>
          </w:p>
        </w:tc>
        <w:tc>
          <w:tcPr>
            <w:tcW w:w="588" w:type="pct"/>
          </w:tcPr>
          <w:p w14:paraId="393A69ED"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10FE8916" w14:textId="77777777" w:rsidR="00A73F66" w:rsidRPr="008324EE" w:rsidRDefault="00A73F66" w:rsidP="008324EE">
            <w:pPr>
              <w:spacing w:after="0"/>
              <w:jc w:val="center"/>
              <w:rPr>
                <w:rFonts w:ascii="Cambria" w:hAnsi="Cambria" w:cs="Arial"/>
                <w:noProof/>
              </w:rPr>
            </w:pPr>
            <w:r w:rsidRPr="00AB15C7">
              <w:rPr>
                <w:rFonts w:ascii="Cambria" w:hAnsi="Cambria" w:cs="Arial"/>
                <w:noProof/>
              </w:rPr>
              <w:t>baterije ili akumulatori, motorna ulja, gume, ambalaža u koju je upakovana roba,  ambalaža koja nije namijenjena pakovanju robe,  električni i elektronski proizvodi i vozila;</w:t>
            </w:r>
          </w:p>
        </w:tc>
        <w:tc>
          <w:tcPr>
            <w:tcW w:w="2062" w:type="pct"/>
          </w:tcPr>
          <w:p w14:paraId="0FDDB842" w14:textId="77777777" w:rsidR="00A73F66" w:rsidRPr="00AB15C7" w:rsidRDefault="00A73F66" w:rsidP="005921EF">
            <w:pPr>
              <w:spacing w:after="0"/>
              <w:jc w:val="both"/>
              <w:rPr>
                <w:rFonts w:ascii="Cambria" w:hAnsi="Cambria" w:cs="Arial"/>
                <w:noProof/>
              </w:rPr>
            </w:pPr>
            <w:r w:rsidRPr="00AB15C7">
              <w:rPr>
                <w:rFonts w:ascii="Cambria" w:hAnsi="Cambria" w:cs="Arial"/>
                <w:noProof/>
              </w:rPr>
              <w:t>Propisuju se bliži kriterijumi, visina i način plaćanja posebne naknade za upravljanje otpadom.</w:t>
            </w:r>
          </w:p>
        </w:tc>
      </w:tr>
      <w:tr w:rsidR="00A73F66" w:rsidRPr="00AB15C7" w14:paraId="3C3E5ECA" w14:textId="77777777" w:rsidTr="00165701">
        <w:trPr>
          <w:trHeight w:val="260"/>
        </w:trPr>
        <w:tc>
          <w:tcPr>
            <w:tcW w:w="1589" w:type="pct"/>
          </w:tcPr>
          <w:p w14:paraId="3BB2FAEA" w14:textId="77777777" w:rsidR="00A73F66" w:rsidRPr="00AB15C7" w:rsidRDefault="00A73F66" w:rsidP="005921EF">
            <w:pPr>
              <w:spacing w:after="0"/>
              <w:rPr>
                <w:rFonts w:ascii="Cambria" w:hAnsi="Cambria" w:cs="Arial"/>
                <w:bCs/>
                <w:noProof/>
              </w:rPr>
            </w:pPr>
            <w:r w:rsidRPr="00AB15C7">
              <w:rPr>
                <w:rFonts w:ascii="Cambria" w:hAnsi="Cambria" w:cs="Arial"/>
                <w:bCs/>
                <w:noProof/>
              </w:rPr>
              <w:t>Pravilnik o načinu obračuna i plaćanja naknade za privremeno skladištenje komunalnog i neopasnog građevinskog otpada ("Sl. list CG", br. 31/18)</w:t>
            </w:r>
          </w:p>
        </w:tc>
        <w:tc>
          <w:tcPr>
            <w:tcW w:w="588" w:type="pct"/>
          </w:tcPr>
          <w:p w14:paraId="5C50C0E4"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2104DB86" w14:textId="77777777" w:rsidR="00A73F66" w:rsidRPr="00AB15C7" w:rsidRDefault="00A73F66" w:rsidP="005921EF">
            <w:pPr>
              <w:spacing w:after="0"/>
              <w:jc w:val="center"/>
              <w:rPr>
                <w:rFonts w:ascii="Cambria" w:hAnsi="Cambria" w:cs="Arial"/>
                <w:noProof/>
              </w:rPr>
            </w:pPr>
            <w:r w:rsidRPr="00AB15C7">
              <w:rPr>
                <w:rFonts w:ascii="Cambria" w:hAnsi="Cambria" w:cs="Arial"/>
                <w:noProof/>
              </w:rPr>
              <w:t>otpad</w:t>
            </w:r>
          </w:p>
        </w:tc>
        <w:tc>
          <w:tcPr>
            <w:tcW w:w="2062" w:type="pct"/>
          </w:tcPr>
          <w:p w14:paraId="52665E59" w14:textId="77777777" w:rsidR="00A73F66" w:rsidRPr="00AB15C7" w:rsidRDefault="00A73F66" w:rsidP="005921EF">
            <w:pPr>
              <w:spacing w:after="0"/>
              <w:jc w:val="both"/>
              <w:rPr>
                <w:rFonts w:ascii="Cambria" w:hAnsi="Cambria" w:cs="Arial"/>
                <w:noProof/>
              </w:rPr>
            </w:pPr>
            <w:r w:rsidRPr="00AB15C7">
              <w:rPr>
                <w:rFonts w:ascii="Cambria" w:hAnsi="Cambria" w:cs="Arial"/>
                <w:noProof/>
              </w:rPr>
              <w:t>Obračun i plaćanje naknade za privremeno skladištenje komunalnog i neopasnog građevinskog otpada na lokacijama određenim od strane jedinica lokalnih samouprava vrši se na način utvrđen ovim pravilnikom</w:t>
            </w:r>
          </w:p>
        </w:tc>
      </w:tr>
      <w:tr w:rsidR="00A73F66" w:rsidRPr="00AB15C7" w14:paraId="2E3219FB" w14:textId="77777777" w:rsidTr="00165701">
        <w:trPr>
          <w:trHeight w:val="260"/>
        </w:trPr>
        <w:tc>
          <w:tcPr>
            <w:tcW w:w="1589" w:type="pct"/>
          </w:tcPr>
          <w:p w14:paraId="3FC738C9" w14:textId="77777777" w:rsidR="00A73F66" w:rsidRPr="00AB15C7" w:rsidRDefault="00A73F66" w:rsidP="005921EF">
            <w:pPr>
              <w:spacing w:after="0"/>
              <w:rPr>
                <w:rFonts w:ascii="Cambria" w:hAnsi="Cambria" w:cs="Arial"/>
                <w:bCs/>
                <w:noProof/>
              </w:rPr>
            </w:pPr>
            <w:r w:rsidRPr="00AB15C7">
              <w:rPr>
                <w:rFonts w:ascii="Cambria" w:hAnsi="Cambria" w:cs="Arial"/>
                <w:bCs/>
                <w:noProof/>
              </w:rPr>
              <w:t>Pravilnik o metodologiji za utvrđivanje sastava i količine komunalnog otpada na teritoriji jedinice lokalne samouprave ("Sl. list CG", br. 25/18)</w:t>
            </w:r>
          </w:p>
        </w:tc>
        <w:tc>
          <w:tcPr>
            <w:tcW w:w="588" w:type="pct"/>
          </w:tcPr>
          <w:p w14:paraId="58DA42D9"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484351C7" w14:textId="77777777" w:rsidR="00A73F66" w:rsidRPr="00AB15C7" w:rsidRDefault="00A73F66" w:rsidP="005921EF">
            <w:pPr>
              <w:spacing w:after="0"/>
              <w:jc w:val="center"/>
              <w:rPr>
                <w:rFonts w:ascii="Cambria" w:hAnsi="Cambria" w:cs="Arial"/>
                <w:noProof/>
              </w:rPr>
            </w:pPr>
            <w:r w:rsidRPr="00AB15C7">
              <w:rPr>
                <w:rFonts w:ascii="Cambria" w:hAnsi="Cambria" w:cs="Arial"/>
                <w:noProof/>
              </w:rPr>
              <w:t>otpad</w:t>
            </w:r>
          </w:p>
        </w:tc>
        <w:tc>
          <w:tcPr>
            <w:tcW w:w="2062" w:type="pct"/>
          </w:tcPr>
          <w:p w14:paraId="59A51C0E" w14:textId="77777777" w:rsidR="00A73F66" w:rsidRPr="00AB15C7" w:rsidRDefault="00A73F66" w:rsidP="005921EF">
            <w:pPr>
              <w:spacing w:after="0"/>
              <w:jc w:val="both"/>
              <w:rPr>
                <w:rFonts w:ascii="Cambria" w:hAnsi="Cambria" w:cs="Arial"/>
                <w:noProof/>
              </w:rPr>
            </w:pPr>
            <w:r w:rsidRPr="00AB15C7">
              <w:rPr>
                <w:rFonts w:ascii="Cambria" w:hAnsi="Cambria" w:cs="Arial"/>
                <w:noProof/>
              </w:rPr>
              <w:t>propisuje se metodologija za utvrđivanje sastava i količine (mase) komunalnog otpada sakupljenog na teritoriji jedinice lokalne samouprave</w:t>
            </w:r>
          </w:p>
        </w:tc>
      </w:tr>
      <w:tr w:rsidR="00A73F66" w:rsidRPr="00AB15C7" w14:paraId="78316296" w14:textId="77777777" w:rsidTr="00165701">
        <w:trPr>
          <w:trHeight w:val="260"/>
        </w:trPr>
        <w:tc>
          <w:tcPr>
            <w:tcW w:w="1589" w:type="pct"/>
          </w:tcPr>
          <w:p w14:paraId="531B844E" w14:textId="77777777" w:rsidR="00A73F66" w:rsidRPr="00AB15C7" w:rsidRDefault="00A73F66" w:rsidP="005921EF">
            <w:pPr>
              <w:spacing w:after="0"/>
              <w:rPr>
                <w:rFonts w:ascii="Cambria" w:hAnsi="Cambria" w:cs="Arial"/>
                <w:bCs/>
                <w:noProof/>
              </w:rPr>
            </w:pPr>
            <w:r w:rsidRPr="00AB15C7">
              <w:rPr>
                <w:rFonts w:ascii="Cambria" w:hAnsi="Cambria" w:cs="Arial"/>
                <w:bCs/>
                <w:noProof/>
              </w:rPr>
              <w:t>Pravilnik o načinu izračunavanja minimalnih suma osiguranja za slučaj štete pričinjene trećim licima ili njihovim stvarima ("Sl. list CG", br. 40/15)</w:t>
            </w:r>
          </w:p>
        </w:tc>
        <w:tc>
          <w:tcPr>
            <w:tcW w:w="588" w:type="pct"/>
          </w:tcPr>
          <w:p w14:paraId="61AF812C"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762" w:type="pct"/>
          </w:tcPr>
          <w:p w14:paraId="24FB50D9" w14:textId="77777777" w:rsidR="00A73F66" w:rsidRPr="00AB15C7" w:rsidRDefault="00A73F66" w:rsidP="005921EF">
            <w:pPr>
              <w:spacing w:after="0"/>
              <w:jc w:val="center"/>
              <w:rPr>
                <w:rFonts w:ascii="Cambria" w:hAnsi="Cambria" w:cs="Arial"/>
                <w:noProof/>
              </w:rPr>
            </w:pPr>
            <w:r w:rsidRPr="00AB15C7">
              <w:rPr>
                <w:rFonts w:ascii="Cambria" w:hAnsi="Cambria" w:cs="Arial"/>
                <w:noProof/>
              </w:rPr>
              <w:t>otpad</w:t>
            </w:r>
          </w:p>
        </w:tc>
        <w:tc>
          <w:tcPr>
            <w:tcW w:w="2062" w:type="pct"/>
          </w:tcPr>
          <w:p w14:paraId="585962D5" w14:textId="77777777" w:rsidR="00A73F66" w:rsidRPr="00AB15C7" w:rsidRDefault="00A73F66" w:rsidP="005921EF">
            <w:pPr>
              <w:spacing w:after="0"/>
              <w:jc w:val="both"/>
              <w:rPr>
                <w:rFonts w:ascii="Cambria" w:hAnsi="Cambria" w:cs="Arial"/>
                <w:noProof/>
              </w:rPr>
            </w:pPr>
            <w:r w:rsidRPr="00AB15C7">
              <w:rPr>
                <w:rFonts w:ascii="Cambria" w:hAnsi="Cambria" w:cs="Arial"/>
                <w:noProof/>
              </w:rPr>
              <w:t>propisuje se način izračunavanja minimalnih suma osiguranja za slučaj štete pričinjene trećim licima ili njihovim stvarima, prilikom obavljanja djelatnosti prerade i/ili odstranjivanja otpada</w:t>
            </w:r>
          </w:p>
        </w:tc>
      </w:tr>
    </w:tbl>
    <w:p w14:paraId="2D0D4500" w14:textId="01F0C62E" w:rsidR="00A73F66" w:rsidRPr="00AB15C7" w:rsidRDefault="00A73F66" w:rsidP="005921EF">
      <w:pPr>
        <w:jc w:val="both"/>
        <w:rPr>
          <w:rFonts w:ascii="Cambria" w:hAnsi="Cambria"/>
          <w:noProof/>
          <w:lang w:val="sr-Latn-ME"/>
        </w:rPr>
      </w:pPr>
    </w:p>
    <w:p w14:paraId="711CD0B0" w14:textId="77777777" w:rsidR="00A73F66" w:rsidRPr="00A76A53" w:rsidRDefault="00A73F66" w:rsidP="00A76A53">
      <w:pPr>
        <w:spacing w:before="120" w:after="120"/>
        <w:rPr>
          <w:rFonts w:ascii="Cambria" w:hAnsi="Cambria"/>
          <w:b/>
          <w:noProof/>
          <w:lang w:val="sr-Latn-ME"/>
        </w:rPr>
      </w:pPr>
      <w:r w:rsidRPr="00A76A53">
        <w:rPr>
          <w:rFonts w:ascii="Cambria" w:hAnsi="Cambria"/>
          <w:b/>
          <w:i/>
          <w:noProof/>
          <w:lang w:val="sr-Latn-ME"/>
        </w:rPr>
        <w:lastRenderedPageBreak/>
        <w:t>Tabela A10.</w:t>
      </w:r>
      <w:r w:rsidRPr="00A76A53">
        <w:rPr>
          <w:rFonts w:ascii="Cambria" w:hAnsi="Cambria"/>
          <w:b/>
          <w:noProof/>
          <w:lang w:val="sr-Latn-ME"/>
        </w:rPr>
        <w:t xml:space="preserve"> Važeći propisi koji se odnose na oblast zaštite vazduha</w:t>
      </w:r>
    </w:p>
    <w:tbl>
      <w:tblPr>
        <w:tblW w:w="5221" w:type="pct"/>
        <w:tblBorders>
          <w:top w:val="double" w:sz="4" w:space="0" w:color="auto"/>
          <w:left w:val="double" w:sz="4" w:space="0" w:color="auto"/>
          <w:bottom w:val="double" w:sz="4" w:space="0" w:color="auto"/>
          <w:right w:val="double" w:sz="4" w:space="0" w:color="auto"/>
          <w:insideH w:val="single" w:sz="4" w:space="0" w:color="auto"/>
          <w:insideV w:val="single" w:sz="4" w:space="0" w:color="000000"/>
        </w:tblBorders>
        <w:tblLook w:val="0000" w:firstRow="0" w:lastRow="0" w:firstColumn="0" w:lastColumn="0" w:noHBand="0" w:noVBand="0"/>
      </w:tblPr>
      <w:tblGrid>
        <w:gridCol w:w="3141"/>
        <w:gridCol w:w="1194"/>
        <w:gridCol w:w="5550"/>
        <w:gridCol w:w="4500"/>
      </w:tblGrid>
      <w:tr w:rsidR="00A73F66" w:rsidRPr="00AB15C7" w14:paraId="44E2C5CB" w14:textId="77777777" w:rsidTr="00165701">
        <w:trPr>
          <w:trHeight w:val="480"/>
        </w:trPr>
        <w:tc>
          <w:tcPr>
            <w:tcW w:w="1092" w:type="pct"/>
            <w:shd w:val="clear" w:color="auto" w:fill="D9D9D9"/>
          </w:tcPr>
          <w:p w14:paraId="797ED8E9" w14:textId="77777777" w:rsidR="00A73F66" w:rsidRPr="00AB15C7" w:rsidRDefault="00A73F66" w:rsidP="005921EF">
            <w:pPr>
              <w:spacing w:after="0"/>
              <w:jc w:val="center"/>
              <w:rPr>
                <w:rFonts w:ascii="Cambria" w:hAnsi="Cambria" w:cs="Arial"/>
                <w:b/>
                <w:noProof/>
                <w:lang w:val="sr-Latn-ME"/>
              </w:rPr>
            </w:pPr>
            <w:r w:rsidRPr="00AB15C7">
              <w:rPr>
                <w:rFonts w:ascii="Cambria" w:hAnsi="Cambria" w:cs="Arial"/>
                <w:b/>
                <w:noProof/>
                <w:lang w:val="sr-Latn-ME"/>
              </w:rPr>
              <w:t>Propis</w:t>
            </w:r>
          </w:p>
        </w:tc>
        <w:tc>
          <w:tcPr>
            <w:tcW w:w="415" w:type="pct"/>
            <w:shd w:val="clear" w:color="auto" w:fill="D9D9D9"/>
          </w:tcPr>
          <w:p w14:paraId="12544EEB" w14:textId="77777777" w:rsidR="00A73F66" w:rsidRPr="00AB15C7" w:rsidRDefault="00A73F66" w:rsidP="005921EF">
            <w:pPr>
              <w:spacing w:after="0"/>
              <w:jc w:val="center"/>
              <w:rPr>
                <w:rFonts w:ascii="Cambria" w:hAnsi="Cambria" w:cs="Arial"/>
                <w:b/>
                <w:noProof/>
                <w:lang w:val="sr-Latn-ME"/>
              </w:rPr>
            </w:pPr>
            <w:r w:rsidRPr="00AB15C7">
              <w:rPr>
                <w:rFonts w:ascii="Cambria" w:hAnsi="Cambria" w:cs="Arial"/>
                <w:b/>
                <w:noProof/>
                <w:lang w:val="sr-Latn-ME"/>
              </w:rPr>
              <w:t xml:space="preserve">Nadležni organ </w:t>
            </w:r>
          </w:p>
        </w:tc>
        <w:tc>
          <w:tcPr>
            <w:tcW w:w="1929" w:type="pct"/>
            <w:shd w:val="clear" w:color="auto" w:fill="D9D9D9"/>
          </w:tcPr>
          <w:p w14:paraId="476452FB" w14:textId="77777777" w:rsidR="00A73F66" w:rsidRPr="00AB15C7" w:rsidRDefault="00A73F66" w:rsidP="005921EF">
            <w:pPr>
              <w:spacing w:after="0"/>
              <w:jc w:val="center"/>
              <w:rPr>
                <w:rFonts w:ascii="Cambria" w:hAnsi="Cambria" w:cs="Arial"/>
                <w:b/>
                <w:noProof/>
                <w:lang w:val="sr-Latn-ME"/>
              </w:rPr>
            </w:pPr>
            <w:r w:rsidRPr="00AB15C7">
              <w:rPr>
                <w:rFonts w:ascii="Cambria" w:hAnsi="Cambria" w:cs="Arial"/>
                <w:b/>
                <w:noProof/>
                <w:lang w:val="sr-Latn-ME"/>
              </w:rPr>
              <w:t>Regulisana hemikalija</w:t>
            </w:r>
          </w:p>
        </w:tc>
        <w:tc>
          <w:tcPr>
            <w:tcW w:w="1564" w:type="pct"/>
            <w:shd w:val="clear" w:color="auto" w:fill="D9D9D9"/>
          </w:tcPr>
          <w:p w14:paraId="6ED03734" w14:textId="77777777" w:rsidR="00A73F66" w:rsidRPr="00AB15C7" w:rsidRDefault="00A73F66" w:rsidP="005921EF">
            <w:pPr>
              <w:spacing w:after="0"/>
              <w:jc w:val="center"/>
              <w:rPr>
                <w:rFonts w:ascii="Cambria" w:hAnsi="Cambria"/>
                <w:b/>
                <w:noProof/>
                <w:lang w:val="sr-Latn-ME"/>
              </w:rPr>
            </w:pPr>
            <w:r w:rsidRPr="00AB15C7">
              <w:rPr>
                <w:rFonts w:ascii="Cambria" w:hAnsi="Cambria"/>
                <w:b/>
                <w:noProof/>
                <w:lang w:val="sr-Latn-ME"/>
              </w:rPr>
              <w:t>Cilj propisa</w:t>
            </w:r>
          </w:p>
        </w:tc>
      </w:tr>
      <w:tr w:rsidR="00A73F66" w:rsidRPr="00AB15C7" w14:paraId="4E1EC4F7" w14:textId="77777777" w:rsidTr="00165701">
        <w:trPr>
          <w:trHeight w:val="480"/>
        </w:trPr>
        <w:tc>
          <w:tcPr>
            <w:tcW w:w="1092" w:type="pct"/>
          </w:tcPr>
          <w:p w14:paraId="4ACAD8FC" w14:textId="77777777" w:rsidR="00A73F66" w:rsidRPr="00AB15C7" w:rsidRDefault="00A73F66" w:rsidP="005921EF">
            <w:pPr>
              <w:spacing w:after="0"/>
              <w:jc w:val="both"/>
              <w:rPr>
                <w:rFonts w:ascii="Cambria" w:hAnsi="Cambria" w:cs="Arial"/>
                <w:b/>
                <w:noProof/>
                <w:lang w:val="sr-Latn-ME"/>
              </w:rPr>
            </w:pPr>
            <w:r w:rsidRPr="00AB15C7">
              <w:rPr>
                <w:rFonts w:ascii="Cambria" w:hAnsi="Cambria"/>
                <w:b/>
                <w:noProof/>
                <w:lang w:val="sr-Latn-ME"/>
              </w:rPr>
              <w:t xml:space="preserve">Zakon o zaštiti vazduha </w:t>
            </w:r>
            <w:r w:rsidRPr="00AB15C7">
              <w:rPr>
                <w:rFonts w:ascii="Cambria" w:hAnsi="Cambria" w:cs="Arial"/>
                <w:noProof/>
                <w:lang w:val="sr-Latn-ME"/>
              </w:rPr>
              <w:t>(“Sl. list CG”, br. 25/10, 40/11 i 43/2015)</w:t>
            </w:r>
          </w:p>
        </w:tc>
        <w:tc>
          <w:tcPr>
            <w:tcW w:w="415" w:type="pct"/>
          </w:tcPr>
          <w:p w14:paraId="62F3060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203B0327"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emisije u vazduh</w:t>
            </w:r>
          </w:p>
        </w:tc>
        <w:tc>
          <w:tcPr>
            <w:tcW w:w="1564" w:type="pct"/>
          </w:tcPr>
          <w:p w14:paraId="12F4A305" w14:textId="77777777" w:rsidR="00A73F66" w:rsidRPr="00AB15C7" w:rsidRDefault="00A73F66" w:rsidP="005921EF">
            <w:pPr>
              <w:spacing w:after="0"/>
              <w:jc w:val="both"/>
              <w:rPr>
                <w:rFonts w:ascii="Cambria" w:hAnsi="Cambria"/>
                <w:noProof/>
                <w:lang w:val="sr-Latn-ME"/>
              </w:rPr>
            </w:pPr>
            <w:r w:rsidRPr="00AB15C7">
              <w:rPr>
                <w:rFonts w:ascii="Cambria" w:hAnsi="Cambria"/>
                <w:noProof/>
                <w:color w:val="000000"/>
                <w:lang w:val="sr-Latn-ME"/>
              </w:rPr>
              <w:t>uređuje način praćenja kvaliteta vazduha, mjere zaštite, ocjenjivanje i poboljšanje kvaliteta vazduha, kao i planiranje i upravljanje kvalitetom vazduha</w:t>
            </w:r>
          </w:p>
        </w:tc>
      </w:tr>
      <w:tr w:rsidR="00A73F66" w:rsidRPr="00AB15C7" w14:paraId="2CFDBB22" w14:textId="77777777" w:rsidTr="00165701">
        <w:trPr>
          <w:trHeight w:val="555"/>
        </w:trPr>
        <w:tc>
          <w:tcPr>
            <w:tcW w:w="1092" w:type="pct"/>
            <w:shd w:val="clear" w:color="auto" w:fill="F2F2F2"/>
          </w:tcPr>
          <w:p w14:paraId="0D7722E2"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Podzakonski propisi za sprovođenje ovog zakona</w:t>
            </w:r>
          </w:p>
        </w:tc>
        <w:tc>
          <w:tcPr>
            <w:tcW w:w="415" w:type="pct"/>
            <w:shd w:val="clear" w:color="auto" w:fill="F2F2F2"/>
          </w:tcPr>
          <w:p w14:paraId="2E81E1D7"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 xml:space="preserve">Nadležni organ </w:t>
            </w:r>
          </w:p>
        </w:tc>
        <w:tc>
          <w:tcPr>
            <w:tcW w:w="1929" w:type="pct"/>
            <w:shd w:val="clear" w:color="auto" w:fill="F2F2F2"/>
          </w:tcPr>
          <w:p w14:paraId="47C1AF40"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Regulisana hemikalija</w:t>
            </w:r>
          </w:p>
        </w:tc>
        <w:tc>
          <w:tcPr>
            <w:tcW w:w="1564" w:type="pct"/>
            <w:shd w:val="clear" w:color="auto" w:fill="F2F2F2"/>
          </w:tcPr>
          <w:p w14:paraId="6C6D024A"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Cilj propisa</w:t>
            </w:r>
          </w:p>
        </w:tc>
      </w:tr>
      <w:tr w:rsidR="00A73F66" w:rsidRPr="00AB15C7" w14:paraId="4D0DC986" w14:textId="77777777" w:rsidTr="00165701">
        <w:trPr>
          <w:trHeight w:val="480"/>
        </w:trPr>
        <w:tc>
          <w:tcPr>
            <w:tcW w:w="1092" w:type="pct"/>
          </w:tcPr>
          <w:p w14:paraId="1D00D0B5" w14:textId="77777777" w:rsidR="00A73F66" w:rsidRPr="00AB15C7" w:rsidRDefault="00A73F66" w:rsidP="005921EF">
            <w:pPr>
              <w:spacing w:after="0"/>
              <w:jc w:val="both"/>
              <w:rPr>
                <w:rFonts w:ascii="Cambria" w:hAnsi="Cambria" w:cs="Arial"/>
                <w:noProof/>
                <w:lang w:val="sr-Latn-ME"/>
              </w:rPr>
            </w:pPr>
            <w:r w:rsidRPr="00AB15C7">
              <w:rPr>
                <w:rFonts w:ascii="Cambria" w:hAnsi="Cambria" w:cs="Constantia"/>
                <w:noProof/>
                <w:lang w:val="sr-Latn-ME"/>
              </w:rPr>
              <w:t>Uredba o utvrđivanju vrsta zagađujućih materija, graničnih vrijednosti i drugih standarda kvaliteta vaz</w:t>
            </w:r>
            <w:r w:rsidRPr="00AB15C7">
              <w:rPr>
                <w:rFonts w:ascii="Cambria" w:hAnsi="Cambria" w:cs="Arial"/>
                <w:noProof/>
                <w:lang w:val="sr-Latn-ME"/>
              </w:rPr>
              <w:t>duha ("Sl. list CG", br. 25/2012)</w:t>
            </w:r>
          </w:p>
        </w:tc>
        <w:tc>
          <w:tcPr>
            <w:tcW w:w="415" w:type="pct"/>
          </w:tcPr>
          <w:p w14:paraId="435382ED"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75D28966"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emisija hemikalija u vazduh- sumpor dioksid, azot dioksid, suspendovane čestice PM10 i PM2.5, olovo, benzen, ugljen-monoksid, teški metali (arsena, kadmijum i nikal) i benzo(a)piren</w:t>
            </w:r>
          </w:p>
        </w:tc>
        <w:tc>
          <w:tcPr>
            <w:tcW w:w="1564" w:type="pct"/>
          </w:tcPr>
          <w:p w14:paraId="28EDFCF3"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utvrđuje vrste zagađujućih materija, granične vrijednosti i druge standarde kvaliteta vazduha, granice ocjenjivanja, ciljne vrijednosti, kritične nivoe i potrebne mjere zaštite zdravlja ljudi, koje se pri njihovoj pojavi moraju preduzeti, kao i rokove za postepeno dostizanje graničnih i ciljnih vrijednosti kvaliteta vazduha i dugoročnih ciljeva za ozon</w:t>
            </w:r>
          </w:p>
        </w:tc>
      </w:tr>
      <w:tr w:rsidR="00A73F66" w:rsidRPr="00AB15C7" w14:paraId="0738A917" w14:textId="77777777" w:rsidTr="00165701">
        <w:trPr>
          <w:trHeight w:val="480"/>
        </w:trPr>
        <w:tc>
          <w:tcPr>
            <w:tcW w:w="1092" w:type="pct"/>
          </w:tcPr>
          <w:p w14:paraId="24F8EBF4" w14:textId="77777777" w:rsidR="00A73F66" w:rsidRPr="00AB15C7" w:rsidRDefault="00A73F66" w:rsidP="005921EF">
            <w:pPr>
              <w:pStyle w:val="ListParagraph11"/>
              <w:spacing w:after="0"/>
              <w:ind w:left="0"/>
              <w:jc w:val="both"/>
              <w:rPr>
                <w:rFonts w:ascii="Cambria" w:hAnsi="Cambria" w:cs="Arial"/>
                <w:noProof/>
                <w:lang w:val="sr-Latn-ME"/>
              </w:rPr>
            </w:pPr>
            <w:r w:rsidRPr="00AB15C7">
              <w:rPr>
                <w:rFonts w:ascii="Cambria" w:hAnsi="Cambria"/>
                <w:noProof/>
                <w:lang w:val="sr-Latn-ME"/>
              </w:rPr>
              <w:t>Uredba o uspostavljanju mreže mjernih mjesta za praćenje kvaliteta vazduha ("Sl. list CG", br. 44/2010 i 13/2011)</w:t>
            </w:r>
          </w:p>
        </w:tc>
        <w:tc>
          <w:tcPr>
            <w:tcW w:w="415" w:type="pct"/>
          </w:tcPr>
          <w:p w14:paraId="7C80B40C"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70882A57"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sumpor- dioksid, azot-dioksid i azotni oksidi, suspendovane čestice PM10 i PM2.5, olovo, benzen, ugljen-monoksid, benzo(a)piren, arsen, kadmijum i nikal</w:t>
            </w:r>
          </w:p>
        </w:tc>
        <w:tc>
          <w:tcPr>
            <w:tcW w:w="1564" w:type="pct"/>
          </w:tcPr>
          <w:p w14:paraId="32CD40B8"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utvrđuje zone kvaliteta vazduha u Crnoj Gori, kriterijume za određivanje lokacija mjernih mjesta i minimalnog broja mjernih mjesta, smanjivanje broja mjernih mjesta, broj, raspored i tačne lokacije mjernih mjesta, njihovu namjenu i karakteristike i vrste zagađujućih materija čije se koncentracije prate za svako mjerno mjesto pojedinačno</w:t>
            </w:r>
          </w:p>
        </w:tc>
      </w:tr>
      <w:tr w:rsidR="00A73F66" w:rsidRPr="00AB15C7" w14:paraId="3A6FEC74" w14:textId="77777777" w:rsidTr="00165701">
        <w:trPr>
          <w:trHeight w:val="480"/>
        </w:trPr>
        <w:tc>
          <w:tcPr>
            <w:tcW w:w="1092" w:type="pct"/>
          </w:tcPr>
          <w:p w14:paraId="23BB8D75" w14:textId="77777777" w:rsidR="00A73F66" w:rsidRPr="00AB15C7" w:rsidRDefault="00A73F66" w:rsidP="005921EF">
            <w:pPr>
              <w:pStyle w:val="ListParagraph11"/>
              <w:spacing w:after="0"/>
              <w:ind w:left="0"/>
              <w:jc w:val="both"/>
              <w:rPr>
                <w:rFonts w:ascii="Cambria" w:hAnsi="Cambria"/>
                <w:noProof/>
                <w:lang w:val="sr-Latn-ME"/>
              </w:rPr>
            </w:pPr>
            <w:r w:rsidRPr="00AB15C7">
              <w:rPr>
                <w:rFonts w:ascii="Cambria" w:hAnsi="Cambria"/>
                <w:noProof/>
                <w:lang w:val="sr-Latn-ME"/>
              </w:rPr>
              <w:t>Uredba o djelatnostima koje utiču ili mogu uticati na kvalitet vazduha</w:t>
            </w:r>
          </w:p>
          <w:p w14:paraId="6D2E7A86" w14:textId="77777777" w:rsidR="00A73F66" w:rsidRPr="00AB15C7" w:rsidRDefault="00A73F66" w:rsidP="005921EF">
            <w:pPr>
              <w:pStyle w:val="ListParagraph11"/>
              <w:spacing w:after="0"/>
              <w:ind w:left="0"/>
              <w:jc w:val="both"/>
              <w:rPr>
                <w:rFonts w:ascii="Cambria" w:hAnsi="Cambria"/>
                <w:noProof/>
                <w:lang w:val="sr-Latn-ME"/>
              </w:rPr>
            </w:pPr>
            <w:r w:rsidRPr="00AB15C7">
              <w:rPr>
                <w:rFonts w:ascii="Cambria" w:hAnsi="Cambria"/>
                <w:noProof/>
                <w:lang w:val="sr-Latn-ME"/>
              </w:rPr>
              <w:t>("Sl. list CG", br. 61/12)</w:t>
            </w:r>
          </w:p>
        </w:tc>
        <w:tc>
          <w:tcPr>
            <w:tcW w:w="415" w:type="pct"/>
          </w:tcPr>
          <w:p w14:paraId="2B1F4949"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6A4B50DB"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Hemikalije koje se emituju u vezi sa djelatnošću</w:t>
            </w:r>
          </w:p>
        </w:tc>
        <w:tc>
          <w:tcPr>
            <w:tcW w:w="1564" w:type="pct"/>
          </w:tcPr>
          <w:p w14:paraId="6669CB81" w14:textId="77777777" w:rsidR="00A73F66" w:rsidRPr="00AB15C7" w:rsidRDefault="00A73F66" w:rsidP="005921EF">
            <w:pPr>
              <w:autoSpaceDE w:val="0"/>
              <w:autoSpaceDN w:val="0"/>
              <w:adjustRightInd w:val="0"/>
              <w:spacing w:after="0"/>
              <w:jc w:val="both"/>
              <w:rPr>
                <w:rFonts w:ascii="Cambria" w:eastAsia="Calibri" w:hAnsi="Cambria"/>
                <w:noProof/>
                <w:lang w:val="sr-Latn-ME"/>
              </w:rPr>
            </w:pPr>
            <w:r w:rsidRPr="00AB15C7">
              <w:rPr>
                <w:rFonts w:ascii="Cambria" w:eastAsia="Calibri" w:hAnsi="Cambria"/>
                <w:noProof/>
                <w:lang w:val="sr-Latn-ME"/>
              </w:rPr>
              <w:t>Utvrđuje djelatnosti koje utiču ili mogu uticati na kvalitet vazduha</w:t>
            </w:r>
          </w:p>
          <w:p w14:paraId="03B10DED" w14:textId="77777777" w:rsidR="00A73F66" w:rsidRPr="00AB15C7" w:rsidRDefault="00A73F66" w:rsidP="005921EF">
            <w:pPr>
              <w:autoSpaceDE w:val="0"/>
              <w:autoSpaceDN w:val="0"/>
              <w:adjustRightInd w:val="0"/>
              <w:spacing w:after="0"/>
              <w:jc w:val="both"/>
              <w:rPr>
                <w:rFonts w:ascii="Cambria" w:eastAsia="Calibri" w:hAnsi="Cambria"/>
                <w:noProof/>
                <w:lang w:val="sr-Latn-ME"/>
              </w:rPr>
            </w:pPr>
          </w:p>
        </w:tc>
      </w:tr>
      <w:tr w:rsidR="00A73F66" w:rsidRPr="00AB15C7" w14:paraId="51281505" w14:textId="77777777" w:rsidTr="00165701">
        <w:trPr>
          <w:trHeight w:val="480"/>
        </w:trPr>
        <w:tc>
          <w:tcPr>
            <w:tcW w:w="1092" w:type="pct"/>
          </w:tcPr>
          <w:p w14:paraId="72CEF02F" w14:textId="77777777" w:rsidR="00A73F66" w:rsidRPr="00AB15C7" w:rsidRDefault="00A73F66" w:rsidP="005921EF">
            <w:pPr>
              <w:pStyle w:val="ListParagraph11"/>
              <w:spacing w:after="0"/>
              <w:ind w:left="0"/>
              <w:jc w:val="both"/>
              <w:rPr>
                <w:rFonts w:ascii="Cambria" w:hAnsi="Cambria"/>
                <w:noProof/>
                <w:lang w:val="sr-Latn-ME"/>
              </w:rPr>
            </w:pPr>
            <w:r w:rsidRPr="00AB15C7">
              <w:rPr>
                <w:rFonts w:ascii="Cambria" w:hAnsi="Cambria"/>
                <w:noProof/>
                <w:lang w:val="sr-Latn-ME"/>
              </w:rPr>
              <w:lastRenderedPageBreak/>
              <w:t xml:space="preserve">Pravilnik o načinu i uslovima praćenja kvaliteta vazduha ("Sl. list CG", br. 21/11 i </w:t>
            </w:r>
            <w:r w:rsidRPr="00AB15C7">
              <w:rPr>
                <w:rFonts w:ascii="Cambria" w:hAnsi="Cambria"/>
                <w:noProof/>
              </w:rPr>
              <w:t>32/16</w:t>
            </w:r>
            <w:r w:rsidRPr="00AB15C7">
              <w:rPr>
                <w:rFonts w:ascii="Cambria" w:hAnsi="Cambria"/>
                <w:noProof/>
                <w:lang w:val="sr-Latn-ME"/>
              </w:rPr>
              <w:t>)</w:t>
            </w:r>
          </w:p>
        </w:tc>
        <w:tc>
          <w:tcPr>
            <w:tcW w:w="415" w:type="pct"/>
          </w:tcPr>
          <w:p w14:paraId="07E1374F"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66138B78"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sumpor dioksid, azot dioksid i oksidi azota, suspendovane čestice PM10 i PM2.5, olovo, benzen, ugljen monoksid, prizemni ozon, arsen, kadmijum, živa, nikal, benzo(a)piren (kao marker policikličnih aromatičnih ugljovodonika) i fluoridi</w:t>
            </w:r>
          </w:p>
        </w:tc>
        <w:tc>
          <w:tcPr>
            <w:tcW w:w="1564" w:type="pct"/>
          </w:tcPr>
          <w:p w14:paraId="16DA5629" w14:textId="77777777" w:rsidR="00A73F66" w:rsidRPr="00AB15C7" w:rsidRDefault="00A73F66" w:rsidP="005921EF">
            <w:pPr>
              <w:autoSpaceDE w:val="0"/>
              <w:autoSpaceDN w:val="0"/>
              <w:adjustRightInd w:val="0"/>
              <w:spacing w:after="0"/>
              <w:jc w:val="both"/>
              <w:rPr>
                <w:rFonts w:ascii="Cambria" w:eastAsia="Calibri" w:hAnsi="Cambria"/>
                <w:noProof/>
                <w:lang w:val="sr-Latn-ME"/>
              </w:rPr>
            </w:pPr>
            <w:r w:rsidRPr="00AB15C7">
              <w:rPr>
                <w:rFonts w:ascii="Cambria" w:eastAsia="Calibri" w:hAnsi="Cambria"/>
                <w:noProof/>
                <w:lang w:val="sr-Latn-ME"/>
              </w:rPr>
              <w:t>utvrđuje uslove i način praćenja kvaliteta vazduha, standardizaciju mjerenja, uslove koje mora ispunjavati oprema za ocjenjivanje kvaliteta vazduha, referentne metode, kriterijume za postizanje kvaliteta podataka, obezbjeđivanje kvaliteta podataka i validaciju podataka kao i sadržaj rezultata ocjenjivanja kvaliteta vazduha</w:t>
            </w:r>
          </w:p>
        </w:tc>
      </w:tr>
      <w:tr w:rsidR="00A73F66" w:rsidRPr="00AB15C7" w14:paraId="2C4D7A61" w14:textId="77777777" w:rsidTr="00165701">
        <w:trPr>
          <w:trHeight w:val="480"/>
        </w:trPr>
        <w:tc>
          <w:tcPr>
            <w:tcW w:w="1092" w:type="pct"/>
          </w:tcPr>
          <w:p w14:paraId="09BB4E84" w14:textId="77777777" w:rsidR="00A73F66" w:rsidRPr="00AB15C7" w:rsidRDefault="00A73F66" w:rsidP="005921EF">
            <w:pPr>
              <w:pStyle w:val="ListParagraph11"/>
              <w:spacing w:after="0"/>
              <w:ind w:left="0"/>
              <w:jc w:val="both"/>
              <w:rPr>
                <w:rFonts w:ascii="Cambria" w:hAnsi="Cambria"/>
                <w:noProof/>
                <w:lang w:val="sr-Latn-ME"/>
              </w:rPr>
            </w:pPr>
            <w:r w:rsidRPr="00AB15C7">
              <w:rPr>
                <w:rFonts w:ascii="Cambria" w:hAnsi="Cambria"/>
                <w:noProof/>
                <w:lang w:val="sr-Latn-ME"/>
              </w:rPr>
              <w:t>Pravilnik o sadržaju i načinu izrade godišnje informacije o kvalitetu vazduha ("Sl. list CG", br. 27/12)</w:t>
            </w:r>
          </w:p>
        </w:tc>
        <w:tc>
          <w:tcPr>
            <w:tcW w:w="415" w:type="pct"/>
          </w:tcPr>
          <w:p w14:paraId="71BFCE6E"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665F3FCE"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sumpor dioksid, azot dioksid i oksidi azota, suspendovane čestice PM10 i PM2.5, olovo, benzen, ugljen monoksid, prizemni ozon, arsen, kadmijum, živa, nikal, benzo(a)piren (kao marker policikličnih aromatičnih ugljovodonika) i fluoridi</w:t>
            </w:r>
          </w:p>
        </w:tc>
        <w:tc>
          <w:tcPr>
            <w:tcW w:w="1564" w:type="pct"/>
          </w:tcPr>
          <w:p w14:paraId="6F1FA6C3"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propisuje bliži sadržaj i način izrade godišnje informacije o kvalitetu vazduha</w:t>
            </w:r>
          </w:p>
        </w:tc>
      </w:tr>
      <w:tr w:rsidR="00A73F66" w:rsidRPr="00AB15C7" w14:paraId="268791BD" w14:textId="77777777" w:rsidTr="00165701">
        <w:trPr>
          <w:trHeight w:val="480"/>
        </w:trPr>
        <w:tc>
          <w:tcPr>
            <w:tcW w:w="1092" w:type="pct"/>
          </w:tcPr>
          <w:p w14:paraId="335CB8AD" w14:textId="77777777" w:rsidR="00A73F66" w:rsidRPr="00AB15C7" w:rsidRDefault="00A73F66" w:rsidP="005921EF">
            <w:pPr>
              <w:pStyle w:val="ListParagraph11"/>
              <w:spacing w:after="0"/>
              <w:ind w:left="0"/>
              <w:rPr>
                <w:rFonts w:ascii="Cambria" w:hAnsi="Cambria"/>
                <w:noProof/>
                <w:lang w:val="sr-Latn-ME"/>
              </w:rPr>
            </w:pPr>
            <w:r w:rsidRPr="00AB15C7">
              <w:rPr>
                <w:rFonts w:ascii="Cambria" w:hAnsi="Cambria"/>
                <w:noProof/>
                <w:lang w:val="sr-Latn-ME"/>
              </w:rPr>
              <w:t>Pravilnik o bližem načinu i potrebnoj dokumentaciji za izdavanje dozvole o dozvoljenim emisijama zagađujućih materija u vazduh ("Sl.list CG", br. 25/13 i 61/13)</w:t>
            </w:r>
          </w:p>
        </w:tc>
        <w:tc>
          <w:tcPr>
            <w:tcW w:w="415" w:type="pct"/>
          </w:tcPr>
          <w:p w14:paraId="07258BBC" w14:textId="77777777" w:rsidR="00A73F66" w:rsidRPr="00AB15C7" w:rsidRDefault="00A73F66" w:rsidP="005921EF">
            <w:pPr>
              <w:spacing w:after="0"/>
              <w:jc w:val="center"/>
              <w:rPr>
                <w:rFonts w:ascii="Cambria" w:hAnsi="Cambria" w:cs="Arial"/>
                <w:noProof/>
                <w:lang w:val="sr-Latn-ME"/>
              </w:rPr>
            </w:pPr>
          </w:p>
        </w:tc>
        <w:tc>
          <w:tcPr>
            <w:tcW w:w="1929" w:type="pct"/>
          </w:tcPr>
          <w:p w14:paraId="466E5854"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Hemikalije iz emisija u vazduh</w:t>
            </w:r>
          </w:p>
        </w:tc>
        <w:tc>
          <w:tcPr>
            <w:tcW w:w="1564" w:type="pct"/>
          </w:tcPr>
          <w:p w14:paraId="123F6EBA" w14:textId="77777777" w:rsidR="00A73F66" w:rsidRPr="00AB15C7" w:rsidRDefault="00A73F66" w:rsidP="005921EF">
            <w:pPr>
              <w:spacing w:after="0"/>
              <w:rPr>
                <w:rFonts w:ascii="Cambria" w:hAnsi="Cambria" w:cs="Arial"/>
                <w:noProof/>
                <w:lang w:val="sr-Latn-ME"/>
              </w:rPr>
            </w:pPr>
            <w:r w:rsidRPr="00AB15C7">
              <w:rPr>
                <w:rFonts w:ascii="Cambria" w:hAnsi="Cambria" w:cs="Arial"/>
                <w:noProof/>
              </w:rPr>
              <w:t>Dozvola o dozvoljenim emisijama zagađujućih materija u vazduh  izdaje se na osnovu dokumentacije i na način utvrđen ovim pravilnikom.</w:t>
            </w:r>
          </w:p>
        </w:tc>
      </w:tr>
      <w:tr w:rsidR="00A73F66" w:rsidRPr="00AB15C7" w14:paraId="11F8F657" w14:textId="77777777" w:rsidTr="00165701">
        <w:trPr>
          <w:trHeight w:val="1452"/>
        </w:trPr>
        <w:tc>
          <w:tcPr>
            <w:tcW w:w="1092" w:type="pct"/>
          </w:tcPr>
          <w:p w14:paraId="39EED408" w14:textId="77777777" w:rsidR="00A73F66" w:rsidRPr="00AB15C7" w:rsidRDefault="00A73F66" w:rsidP="005921EF">
            <w:pPr>
              <w:pStyle w:val="ListParagraph11"/>
              <w:spacing w:after="0"/>
              <w:ind w:left="0"/>
              <w:rPr>
                <w:rFonts w:ascii="Cambria" w:hAnsi="Cambria"/>
                <w:noProof/>
                <w:lang w:val="sr-Latn-ME"/>
              </w:rPr>
            </w:pPr>
            <w:r w:rsidRPr="00AB15C7">
              <w:rPr>
                <w:rFonts w:ascii="Cambria" w:hAnsi="Cambria"/>
                <w:noProof/>
                <w:lang w:val="sr-Latn-ME"/>
              </w:rPr>
              <w:t>Uredba o graničnim vrijednostima emisija zagađujućih materija u vazduh iz stacionarnih izvora ("Sl.list CG", br. 10/11)</w:t>
            </w:r>
          </w:p>
        </w:tc>
        <w:tc>
          <w:tcPr>
            <w:tcW w:w="415" w:type="pct"/>
          </w:tcPr>
          <w:p w14:paraId="1A48FE9E"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7D5CA05A" w14:textId="77777777" w:rsidR="00A73F66" w:rsidRPr="00AB15C7" w:rsidRDefault="00A73F66" w:rsidP="005921EF">
            <w:pPr>
              <w:autoSpaceDE w:val="0"/>
              <w:autoSpaceDN w:val="0"/>
              <w:adjustRightInd w:val="0"/>
              <w:spacing w:after="0"/>
              <w:jc w:val="both"/>
              <w:rPr>
                <w:rFonts w:ascii="Cambria" w:eastAsia="Calibri" w:hAnsi="Cambria"/>
                <w:noProof/>
                <w:lang w:val="sr-Latn-ME"/>
              </w:rPr>
            </w:pPr>
            <w:r w:rsidRPr="00AB15C7">
              <w:rPr>
                <w:rFonts w:ascii="Cambria" w:hAnsi="Cambria" w:cs="Arial"/>
                <w:noProof/>
                <w:lang w:val="sr-Latn-ME"/>
              </w:rPr>
              <w:t xml:space="preserve">ukupne praškaste materije, Hg, Tl, Pb, Co, Ni, Se, Te, Sb, Cr, CN, F, Cu, Mn, V, Sn, kancoregene materije sa oznakom R40, materije štetne za reprodukciju sa oznakom R62 ili R63, </w:t>
            </w:r>
            <w:r w:rsidRPr="00AB15C7">
              <w:rPr>
                <w:rFonts w:ascii="Cambria" w:eastAsia="Calibri" w:hAnsi="Cambria"/>
                <w:noProof/>
                <w:lang w:val="sr-Latn-ME"/>
              </w:rPr>
              <w:t>mutagene materije sa oznakom R68, AsH</w:t>
            </w:r>
            <w:r w:rsidRPr="00AB15C7">
              <w:rPr>
                <w:rFonts w:ascii="Cambria" w:eastAsia="Calibri" w:hAnsi="Cambria"/>
                <w:noProof/>
                <w:vertAlign w:val="subscript"/>
                <w:lang w:val="sr-Latn-ME"/>
              </w:rPr>
              <w:t>3</w:t>
            </w:r>
            <w:r w:rsidRPr="00AB15C7">
              <w:rPr>
                <w:rFonts w:ascii="Cambria" w:eastAsia="Calibri" w:hAnsi="Cambria"/>
                <w:noProof/>
                <w:lang w:val="sr-Latn-ME"/>
              </w:rPr>
              <w:t>, CNCl, SOSI</w:t>
            </w:r>
            <w:r w:rsidRPr="00AB15C7">
              <w:rPr>
                <w:rFonts w:ascii="Cambria" w:eastAsia="Calibri" w:hAnsi="Cambria"/>
                <w:noProof/>
                <w:vertAlign w:val="subscript"/>
                <w:lang w:val="sr-Latn-ME"/>
              </w:rPr>
              <w:t>2</w:t>
            </w:r>
            <w:r w:rsidRPr="00AB15C7">
              <w:rPr>
                <w:rFonts w:ascii="Cambria" w:eastAsia="Calibri" w:hAnsi="Cambria"/>
                <w:noProof/>
                <w:lang w:val="sr-Latn-ME"/>
              </w:rPr>
              <w:t>, PH</w:t>
            </w:r>
            <w:r w:rsidRPr="00AB15C7">
              <w:rPr>
                <w:rFonts w:ascii="Cambria" w:eastAsia="Calibri" w:hAnsi="Cambria"/>
                <w:noProof/>
                <w:vertAlign w:val="subscript"/>
                <w:lang w:val="sr-Latn-ME"/>
              </w:rPr>
              <w:t>3</w:t>
            </w:r>
            <w:r w:rsidRPr="00AB15C7">
              <w:rPr>
                <w:rFonts w:ascii="Cambria" w:eastAsia="Calibri" w:hAnsi="Cambria"/>
                <w:noProof/>
                <w:lang w:val="sr-Latn-ME"/>
              </w:rPr>
              <w:t>, HBr, Cl</w:t>
            </w:r>
            <w:r w:rsidRPr="00AB15C7">
              <w:rPr>
                <w:rFonts w:ascii="Cambria" w:eastAsia="Calibri" w:hAnsi="Cambria"/>
                <w:noProof/>
                <w:vertAlign w:val="subscript"/>
                <w:lang w:val="sr-Latn-ME"/>
              </w:rPr>
              <w:t>2</w:t>
            </w:r>
            <w:r w:rsidRPr="00AB15C7">
              <w:rPr>
                <w:rFonts w:ascii="Cambria" w:eastAsia="Calibri" w:hAnsi="Cambria"/>
                <w:noProof/>
                <w:lang w:val="sr-Latn-ME"/>
              </w:rPr>
              <w:t>, HCN, HF, H</w:t>
            </w:r>
            <w:r w:rsidRPr="00AB15C7">
              <w:rPr>
                <w:rFonts w:ascii="Cambria" w:eastAsia="Calibri" w:hAnsi="Cambria"/>
                <w:noProof/>
                <w:vertAlign w:val="subscript"/>
                <w:lang w:val="sr-Latn-ME"/>
              </w:rPr>
              <w:t>2</w:t>
            </w:r>
            <w:r w:rsidRPr="00AB15C7">
              <w:rPr>
                <w:rFonts w:ascii="Cambria" w:eastAsia="Calibri" w:hAnsi="Cambria"/>
                <w:noProof/>
                <w:lang w:val="sr-Latn-ME"/>
              </w:rPr>
              <w:t>S, NH</w:t>
            </w:r>
            <w:r w:rsidRPr="00AB15C7">
              <w:rPr>
                <w:rFonts w:ascii="Cambria" w:eastAsia="Calibri" w:hAnsi="Cambria"/>
                <w:noProof/>
                <w:vertAlign w:val="subscript"/>
                <w:lang w:val="sr-Latn-ME"/>
              </w:rPr>
              <w:t>3</w:t>
            </w:r>
            <w:r w:rsidRPr="00AB15C7">
              <w:rPr>
                <w:rFonts w:ascii="Cambria" w:eastAsia="Calibri" w:hAnsi="Cambria"/>
                <w:noProof/>
                <w:lang w:val="sr-Latn-ME"/>
              </w:rPr>
              <w:t>, HCL, SO</w:t>
            </w:r>
            <w:r w:rsidRPr="00AB15C7">
              <w:rPr>
                <w:rFonts w:ascii="Cambria" w:eastAsia="Calibri" w:hAnsi="Cambria"/>
                <w:noProof/>
                <w:vertAlign w:val="subscript"/>
                <w:lang w:val="sr-Latn-ME"/>
              </w:rPr>
              <w:t>2</w:t>
            </w:r>
            <w:r w:rsidRPr="00AB15C7">
              <w:rPr>
                <w:rFonts w:ascii="Cambria" w:eastAsia="Calibri" w:hAnsi="Cambria"/>
                <w:noProof/>
                <w:lang w:val="sr-Latn-ME"/>
              </w:rPr>
              <w:t>, NO</w:t>
            </w:r>
            <w:r w:rsidRPr="00AB15C7">
              <w:rPr>
                <w:rFonts w:ascii="Cambria" w:eastAsia="Calibri" w:hAnsi="Cambria"/>
                <w:noProof/>
                <w:vertAlign w:val="subscript"/>
                <w:lang w:val="sr-Latn-ME"/>
              </w:rPr>
              <w:t>2</w:t>
            </w:r>
            <w:r w:rsidRPr="00AB15C7">
              <w:rPr>
                <w:rFonts w:ascii="Cambria" w:eastAsia="Calibri" w:hAnsi="Cambria"/>
                <w:noProof/>
                <w:lang w:val="sr-Latn-ME"/>
              </w:rPr>
              <w:t>, 1-bromo-3-hloropropan, 1,1-dihloretan, 1,2 dihloretan, etanska kiselina, metil formijat, nitroetan, nitrometan, oktametilciklotetrasiloksan, 1,1,1-trihloretan, 1,3,5-trioksan, otrovne ili jako otrovne materije sa oznakom R23, R24, R25, R26, R27, R28, R39 ali R48, akrilamid, akrilonitril, dinitrotoluen, etilen oksid,</w:t>
            </w:r>
            <w:r w:rsidRPr="00AB15C7">
              <w:rPr>
                <w:rFonts w:ascii="Cambria" w:hAnsi="Cambria"/>
                <w:noProof/>
                <w:lang w:val="sr-Latn-ME"/>
              </w:rPr>
              <w:t xml:space="preserve"> </w:t>
            </w:r>
            <w:r w:rsidRPr="00AB15C7">
              <w:rPr>
                <w:rFonts w:ascii="Cambria" w:eastAsia="Calibri" w:hAnsi="Cambria"/>
                <w:noProof/>
                <w:lang w:val="sr-Latn-ME"/>
              </w:rPr>
              <w:t xml:space="preserve">4-vinil-1,2-cikloheksandioksid, benzen, bromoetan, 1,3-butadien, 1,2-dihloroetan, 1,2-propilen oksid (1,2-epoksi propan), </w:t>
            </w:r>
            <w:r w:rsidRPr="00AB15C7">
              <w:rPr>
                <w:rFonts w:ascii="Cambria" w:eastAsia="Calibri" w:hAnsi="Cambria"/>
                <w:noProof/>
                <w:lang w:val="sr-Latn-ME"/>
              </w:rPr>
              <w:lastRenderedPageBreak/>
              <w:t>stiren oksid, o-toluidin, trihloroeten, vinil hlorid, kancerogene materije sa oznakom R45 ili 49, otrovne materije štetne za reprodukciju sa oznakom R60 ili R61, mutagene materije sa oznakom R46, polihlorisani dibenzodioksini (PCDD) i polihlorisani dibenzofurani (PCDF)</w:t>
            </w:r>
          </w:p>
        </w:tc>
        <w:tc>
          <w:tcPr>
            <w:tcW w:w="1564" w:type="pct"/>
          </w:tcPr>
          <w:p w14:paraId="65809C4C"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lastRenderedPageBreak/>
              <w:t>propisuje granične vrijednosti emisija zagađujućih materija i druge mjere zaštite vazduha od emisija iz stacionarnih izvora i aktivnosti koje uzrokuju emisije zagađujućih materija u vazduh</w:t>
            </w:r>
          </w:p>
        </w:tc>
      </w:tr>
      <w:tr w:rsidR="00A73F66" w:rsidRPr="00AB15C7" w14:paraId="501B7C60" w14:textId="77777777" w:rsidTr="00165701">
        <w:trPr>
          <w:trHeight w:val="1757"/>
        </w:trPr>
        <w:tc>
          <w:tcPr>
            <w:tcW w:w="1092" w:type="pct"/>
          </w:tcPr>
          <w:p w14:paraId="170F1C35" w14:textId="77777777" w:rsidR="00A73F66" w:rsidRPr="00AB15C7" w:rsidRDefault="00A73F66" w:rsidP="005921EF">
            <w:pPr>
              <w:pStyle w:val="ListParagraph11"/>
              <w:spacing w:after="0"/>
              <w:ind w:left="0"/>
              <w:rPr>
                <w:rFonts w:ascii="Cambria" w:hAnsi="Cambria"/>
                <w:noProof/>
                <w:lang w:val="sr-Latn-ME"/>
              </w:rPr>
            </w:pPr>
            <w:r w:rsidRPr="00AB15C7">
              <w:rPr>
                <w:rFonts w:ascii="Cambria" w:hAnsi="Cambria"/>
                <w:noProof/>
                <w:lang w:val="sr-Latn-ME"/>
              </w:rPr>
              <w:t xml:space="preserve">Uredba o graničnim vrijednostima sadržaja zagađujućih materija u tečnim gorivima naftnog porijekla ("Sl.list CG", br. </w:t>
            </w:r>
            <w:r w:rsidRPr="00AB15C7">
              <w:rPr>
                <w:rFonts w:ascii="Cambria" w:hAnsi="Cambria"/>
                <w:noProof/>
              </w:rPr>
              <w:t>17/2017</w:t>
            </w:r>
            <w:r w:rsidRPr="00AB15C7">
              <w:rPr>
                <w:rFonts w:ascii="Cambria" w:hAnsi="Cambria"/>
                <w:noProof/>
                <w:lang w:val="sr-Latn-ME"/>
              </w:rPr>
              <w:t>)</w:t>
            </w:r>
          </w:p>
        </w:tc>
        <w:tc>
          <w:tcPr>
            <w:tcW w:w="415" w:type="pct"/>
          </w:tcPr>
          <w:p w14:paraId="39B9E45D"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2B7A85B9"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ugljovodonici (olefini, aromati, benzen), oksigenati (methanol, etanol, izo-propil alkohol, terc-butil alkohol, izo-butil alkohol, estri sa pet i više C atoma po molekulu i ostali oksigenati), S, Pb, PAH, FAME</w:t>
            </w:r>
          </w:p>
        </w:tc>
        <w:tc>
          <w:tcPr>
            <w:tcW w:w="1564" w:type="pct"/>
          </w:tcPr>
          <w:p w14:paraId="1668DE0E" w14:textId="77777777" w:rsidR="00A73F66" w:rsidRPr="00AB15C7" w:rsidRDefault="00A73F66" w:rsidP="005921EF">
            <w:pPr>
              <w:spacing w:after="0"/>
              <w:rPr>
                <w:rFonts w:ascii="Cambria" w:hAnsi="Cambria" w:cs="Arial"/>
                <w:noProof/>
                <w:lang w:val="sr-Latn-ME"/>
              </w:rPr>
            </w:pPr>
            <w:r w:rsidRPr="00AB15C7">
              <w:rPr>
                <w:rFonts w:ascii="Cambria" w:hAnsi="Cambria" w:cs="Arial"/>
                <w:noProof/>
              </w:rPr>
              <w:t>Ovom uredbom propisuju se vrste tečnih goriva naftnog porijekla, granične vrijednosti sadržaja zagađujućih materija, sadržaj aditiva na bazi metala i druge karakteristike goriva, koje u pogledu zaštitu životne sredine, treba da ispunjavaju goriva koja se stavljaju u promet, upotreba goriva na plovnim objektima u lukama, teritorijalnim vodama i isključivim ekonomskim zonama i zonama kontrole emisija oksida sumpora, način utvrđivanja i praćenja karakteristika goriva, metode za smanjenje emisija zagađujućih materija u vazduh i izvještavanje o usklađenosti sa graničnim vrijednostima sadržaja zagađujućih materija.</w:t>
            </w:r>
          </w:p>
        </w:tc>
      </w:tr>
      <w:tr w:rsidR="00A73F66" w:rsidRPr="00AB15C7" w14:paraId="291B0110" w14:textId="77777777" w:rsidTr="00165701">
        <w:trPr>
          <w:trHeight w:val="557"/>
        </w:trPr>
        <w:tc>
          <w:tcPr>
            <w:tcW w:w="1092" w:type="pct"/>
          </w:tcPr>
          <w:p w14:paraId="497F5F0B" w14:textId="77777777" w:rsidR="00A73F66" w:rsidRPr="00AB15C7" w:rsidRDefault="00A73F66" w:rsidP="005921EF">
            <w:pPr>
              <w:pStyle w:val="ListParagraph11"/>
              <w:spacing w:after="0"/>
              <w:ind w:left="0"/>
              <w:rPr>
                <w:rFonts w:ascii="Cambria" w:hAnsi="Cambria"/>
                <w:noProof/>
                <w:lang w:val="sr-Latn-ME"/>
              </w:rPr>
            </w:pPr>
            <w:r w:rsidRPr="00AB15C7">
              <w:rPr>
                <w:rFonts w:ascii="Cambria" w:hAnsi="Cambria"/>
                <w:noProof/>
                <w:lang w:val="sr-Latn-ME"/>
              </w:rPr>
              <w:t>Uredba o maksimalnim nacionalnim emisijama određenih zagađujućih materija ("Sl. list CG", br. 3/12)</w:t>
            </w:r>
          </w:p>
        </w:tc>
        <w:tc>
          <w:tcPr>
            <w:tcW w:w="415" w:type="pct"/>
          </w:tcPr>
          <w:p w14:paraId="366DFF9D"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34F402FA"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sumpor(IV)-oksid (SO2), oksidi azota (NOx), isparljiva organska jedinjenja i amonijak (NH3)</w:t>
            </w:r>
          </w:p>
        </w:tc>
        <w:tc>
          <w:tcPr>
            <w:tcW w:w="1564" w:type="pct"/>
          </w:tcPr>
          <w:p w14:paraId="1022FB9A"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propisuje maksimalne nacionalne emisije za acidifikujuće i eutrofikujuće zagađujuće materije i prekursore ozona u cilju unaprijeđenja i zaštite životne sredine i zdravlja ljudi od štetnog dejstva acidifikacije, eutrofikacije i prizemnog ozona</w:t>
            </w:r>
          </w:p>
        </w:tc>
      </w:tr>
      <w:tr w:rsidR="00A73F66" w:rsidRPr="00AB15C7" w14:paraId="734B6EB9" w14:textId="77777777" w:rsidTr="00165701">
        <w:trPr>
          <w:trHeight w:val="1440"/>
        </w:trPr>
        <w:tc>
          <w:tcPr>
            <w:tcW w:w="1092" w:type="pct"/>
          </w:tcPr>
          <w:p w14:paraId="0C048C8C" w14:textId="77777777" w:rsidR="00A73F66" w:rsidRPr="00AB15C7" w:rsidRDefault="00A73F66" w:rsidP="005921EF">
            <w:pPr>
              <w:pStyle w:val="ListParagraph11"/>
              <w:spacing w:after="0"/>
              <w:ind w:left="0"/>
              <w:rPr>
                <w:rFonts w:ascii="Cambria" w:hAnsi="Cambria"/>
                <w:noProof/>
                <w:lang w:val="sr-Latn-ME"/>
              </w:rPr>
            </w:pPr>
            <w:r w:rsidRPr="00AB15C7">
              <w:rPr>
                <w:rFonts w:ascii="Cambria" w:hAnsi="Cambria"/>
                <w:noProof/>
                <w:lang w:val="sr-Latn-ME"/>
              </w:rPr>
              <w:t>Uredba o supstancama koje oštećuju ozonski omotač i alternativnim supstancama ("Sl. list CG", br. 5/11)</w:t>
            </w:r>
          </w:p>
          <w:p w14:paraId="25908026" w14:textId="77777777" w:rsidR="00A73F66" w:rsidRPr="00AB15C7" w:rsidRDefault="00A73F66" w:rsidP="005921EF">
            <w:pPr>
              <w:pStyle w:val="ListParagraph11"/>
              <w:spacing w:after="0"/>
              <w:ind w:left="0"/>
              <w:rPr>
                <w:rFonts w:ascii="Cambria" w:hAnsi="Cambria"/>
                <w:noProof/>
                <w:lang w:val="sr-Latn-ME"/>
              </w:rPr>
            </w:pPr>
          </w:p>
        </w:tc>
        <w:tc>
          <w:tcPr>
            <w:tcW w:w="415" w:type="pct"/>
          </w:tcPr>
          <w:p w14:paraId="3390E881"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59346744"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 xml:space="preserve">hlorofluorougljovodonici, ostali potpuno halogenovani hloroflorougljovodonici, haloni, ugljen tetrahlorid, 1, 1, 1-trihloretan (metil-hloroform), metilbromid, hidrohlorofluorougljovodonici, hidrobromofluorougljovodonici i bromohlorometan, kao </w:t>
            </w:r>
            <w:r w:rsidRPr="00AB15C7">
              <w:rPr>
                <w:rFonts w:ascii="Cambria" w:hAnsi="Cambria" w:cs="Arial"/>
                <w:noProof/>
                <w:lang w:val="sr-Latn-ME"/>
              </w:rPr>
              <w:lastRenderedPageBreak/>
              <w:t>i nove kontrolisane supstance: dibromodifluorometan, 1-bromopropan, bromoetan, trifluoroidometan i hromometan, bilo da su same ili u mješavini, iz prve prerade, rekuperovane, reciklirane ili regenerisane, uključujući i njihove izomere, fluorovani gasovi (fluorougljovodonici, perfluorougljenici i sumporheksafluorid) i njihove smješe čiji je potencijal oštećenja ozonskog omotača jednak nuli, ali doprinose globalnom zagrijavanju</w:t>
            </w:r>
          </w:p>
        </w:tc>
        <w:tc>
          <w:tcPr>
            <w:tcW w:w="1564" w:type="pct"/>
          </w:tcPr>
          <w:p w14:paraId="4A6A83B4"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lastRenderedPageBreak/>
              <w:t xml:space="preserve">propisuje postupno smanjivanje potrošnje supstanci koje oštećuju ozonski omotač, postupanje sa supstancama koje oštećuju ozonski omotač i alternativnim supstancama, postupanje sa proizvodima koji sadrže te </w:t>
            </w:r>
            <w:r w:rsidRPr="00AB15C7">
              <w:rPr>
                <w:rFonts w:ascii="Cambria" w:hAnsi="Cambria" w:cs="Arial"/>
                <w:noProof/>
                <w:lang w:val="sr-Latn-ME"/>
              </w:rPr>
              <w:lastRenderedPageBreak/>
              <w:t>supstance ili su pomoću tih supstanci proizvedeni, uvoz, izvoz i stavljanje u promet tih supstanci i proizvoda, postupanje sa tim supstancama nakon prestanka upotrebe proizvoda koji ih sadrži, način njihovog prikupljanja, korišćenja i trajnog odlaganja, način označavanja proizvoda koji sadrže alternativne supstance i uslovi koje moraju ispuniti pravna lica i preduzetnici koji obavljaju djelatnost održavanja, popravke, kao i isključivanja iz upotrebe proizvoda koji sadrže supstance koje oštećuju ozonski omotač, odnosno alternativne supstance</w:t>
            </w:r>
          </w:p>
        </w:tc>
      </w:tr>
      <w:tr w:rsidR="00A73F66" w:rsidRPr="00AB15C7" w14:paraId="29DAF06B" w14:textId="77777777" w:rsidTr="00165701">
        <w:trPr>
          <w:trHeight w:val="1440"/>
        </w:trPr>
        <w:tc>
          <w:tcPr>
            <w:tcW w:w="1092" w:type="pct"/>
          </w:tcPr>
          <w:p w14:paraId="2FE3A359" w14:textId="77777777" w:rsidR="00A73F66" w:rsidRPr="00AB15C7" w:rsidRDefault="00A73F66" w:rsidP="005921EF">
            <w:pPr>
              <w:pStyle w:val="ListParagraph11"/>
              <w:spacing w:after="0"/>
              <w:ind w:left="0"/>
              <w:jc w:val="both"/>
              <w:rPr>
                <w:rFonts w:ascii="Cambria" w:hAnsi="Cambria"/>
                <w:noProof/>
                <w:lang w:val="sr-Latn-ME"/>
              </w:rPr>
            </w:pPr>
            <w:r w:rsidRPr="00AB15C7">
              <w:rPr>
                <w:rFonts w:ascii="Cambria" w:hAnsi="Cambria"/>
                <w:noProof/>
                <w:lang w:val="sr-Latn-ME"/>
              </w:rPr>
              <w:t>Pravilnik o tehničkim standardima zaštite vazduha od emisija isparljivih organskih jedinjenja koje nastaju skladištenjem, pretakanjem i distribucijom motornih benzina ("Sl. list CG", br. 07/14)</w:t>
            </w:r>
          </w:p>
        </w:tc>
        <w:tc>
          <w:tcPr>
            <w:tcW w:w="415" w:type="pct"/>
          </w:tcPr>
          <w:p w14:paraId="4AFE55CA"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MORT</w:t>
            </w:r>
          </w:p>
        </w:tc>
        <w:tc>
          <w:tcPr>
            <w:tcW w:w="1929" w:type="pct"/>
          </w:tcPr>
          <w:p w14:paraId="1A2DF2AA"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naftni derivati</w:t>
            </w:r>
          </w:p>
        </w:tc>
        <w:tc>
          <w:tcPr>
            <w:tcW w:w="1564" w:type="pct"/>
          </w:tcPr>
          <w:p w14:paraId="6FC313C9"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propisuje tehničke standarde zaštite životne sredine za uređaje za skladištenje i pretakanje benzina na terminali ma i benzinskim stanicama, kao i za cistijerne koje se koriste za prevoz benzina od jednog terminala do drugog ili od terminala do benzinske stanice i rokove za njihovo postizanje</w:t>
            </w:r>
          </w:p>
        </w:tc>
      </w:tr>
    </w:tbl>
    <w:p w14:paraId="4DE12672" w14:textId="5A307592" w:rsidR="00A73F66" w:rsidRPr="00AB15C7" w:rsidRDefault="00A73F66" w:rsidP="005921EF">
      <w:pPr>
        <w:autoSpaceDE w:val="0"/>
        <w:autoSpaceDN w:val="0"/>
        <w:adjustRightInd w:val="0"/>
        <w:spacing w:before="120" w:after="0"/>
        <w:jc w:val="both"/>
        <w:rPr>
          <w:rFonts w:ascii="Cambria" w:hAnsi="Cambria"/>
          <w:b/>
          <w:noProof/>
        </w:rPr>
      </w:pPr>
    </w:p>
    <w:p w14:paraId="1E063A8E" w14:textId="77777777" w:rsidR="00A73F66" w:rsidRPr="00AB15C7" w:rsidRDefault="00A73F66" w:rsidP="00557C13">
      <w:pPr>
        <w:numPr>
          <w:ilvl w:val="0"/>
          <w:numId w:val="30"/>
        </w:numPr>
        <w:jc w:val="both"/>
        <w:rPr>
          <w:rFonts w:ascii="Cambria" w:hAnsi="Cambria"/>
          <w:b/>
          <w:noProof/>
          <w:lang w:val="sr-Latn-ME"/>
        </w:rPr>
      </w:pPr>
      <w:r w:rsidRPr="00AB15C7">
        <w:rPr>
          <w:rFonts w:ascii="Cambria" w:hAnsi="Cambria"/>
          <w:b/>
          <w:noProof/>
        </w:rPr>
        <w:t>Propisi u  oblasti  zaštite i zdravlja na radu</w:t>
      </w:r>
    </w:p>
    <w:p w14:paraId="700127CF" w14:textId="2A6655F0" w:rsidR="00A73F66" w:rsidRPr="00A76A53" w:rsidRDefault="00A73F66" w:rsidP="00A76A53">
      <w:pPr>
        <w:autoSpaceDE w:val="0"/>
        <w:autoSpaceDN w:val="0"/>
        <w:adjustRightInd w:val="0"/>
        <w:spacing w:before="120" w:after="120"/>
        <w:rPr>
          <w:rFonts w:ascii="Cambria" w:hAnsi="Cambria"/>
          <w:b/>
          <w:noProof/>
          <w:color w:val="000000"/>
          <w:lang w:val="sr-Latn-ME"/>
        </w:rPr>
      </w:pPr>
      <w:r w:rsidRPr="00A76A53">
        <w:rPr>
          <w:rFonts w:ascii="Cambria" w:hAnsi="Cambria"/>
          <w:b/>
          <w:i/>
          <w:noProof/>
          <w:lang w:val="sr-Latn-ME"/>
        </w:rPr>
        <w:t xml:space="preserve">Tabela </w:t>
      </w:r>
      <w:r w:rsidR="0042058B" w:rsidRPr="00A76A53">
        <w:rPr>
          <w:rFonts w:ascii="Cambria" w:hAnsi="Cambria"/>
          <w:b/>
          <w:i/>
          <w:noProof/>
          <w:lang w:val="sr-Latn-ME"/>
        </w:rPr>
        <w:t>A1</w:t>
      </w:r>
      <w:r w:rsidR="00E60B92">
        <w:rPr>
          <w:rFonts w:ascii="Cambria" w:hAnsi="Cambria"/>
          <w:b/>
          <w:i/>
          <w:noProof/>
          <w:lang w:val="sr-Latn-ME"/>
        </w:rPr>
        <w:t>1</w:t>
      </w:r>
      <w:r w:rsidRPr="00A76A53">
        <w:rPr>
          <w:rFonts w:ascii="Cambria" w:hAnsi="Cambria"/>
          <w:b/>
          <w:i/>
          <w:noProof/>
          <w:lang w:val="sr-Latn-ME"/>
        </w:rPr>
        <w:t xml:space="preserve">. </w:t>
      </w:r>
      <w:r w:rsidRPr="00A76A53">
        <w:rPr>
          <w:rFonts w:ascii="Cambria" w:hAnsi="Cambria"/>
          <w:b/>
          <w:noProof/>
          <w:lang w:val="sr-Latn-ME"/>
        </w:rPr>
        <w:t>Važeći propisi koji se odnose na zaštitu na radu</w:t>
      </w:r>
      <w:r w:rsidRPr="00A76A53">
        <w:rPr>
          <w:rFonts w:ascii="Cambria" w:hAnsi="Cambria"/>
          <w:b/>
          <w:i/>
          <w:noProof/>
          <w:lang w:val="sr-Latn-ME"/>
        </w:rPr>
        <w:t xml:space="preserve"> </w:t>
      </w:r>
    </w:p>
    <w:tbl>
      <w:tblPr>
        <w:tblW w:w="5221" w:type="pct"/>
        <w:tblBorders>
          <w:top w:val="double" w:sz="4" w:space="0" w:color="auto"/>
          <w:left w:val="double" w:sz="4" w:space="0" w:color="auto"/>
          <w:bottom w:val="double" w:sz="4" w:space="0" w:color="auto"/>
          <w:right w:val="double" w:sz="4" w:space="0" w:color="auto"/>
          <w:insideH w:val="single" w:sz="4" w:space="0" w:color="auto"/>
          <w:insideV w:val="single" w:sz="4" w:space="0" w:color="000000"/>
        </w:tblBorders>
        <w:tblLook w:val="04A0" w:firstRow="1" w:lastRow="0" w:firstColumn="1" w:lastColumn="0" w:noHBand="0" w:noVBand="1"/>
      </w:tblPr>
      <w:tblGrid>
        <w:gridCol w:w="3423"/>
        <w:gridCol w:w="1608"/>
        <w:gridCol w:w="3565"/>
        <w:gridCol w:w="5789"/>
      </w:tblGrid>
      <w:tr w:rsidR="00A73F66" w:rsidRPr="00AB15C7" w14:paraId="2CFAD4A9" w14:textId="77777777" w:rsidTr="00165701">
        <w:trPr>
          <w:trHeight w:val="480"/>
        </w:trPr>
        <w:tc>
          <w:tcPr>
            <w:tcW w:w="1190" w:type="pct"/>
            <w:tcBorders>
              <w:top w:val="double" w:sz="4" w:space="0" w:color="auto"/>
              <w:bottom w:val="single" w:sz="4" w:space="0" w:color="auto"/>
            </w:tcBorders>
            <w:shd w:val="clear" w:color="auto" w:fill="D9D9D9"/>
            <w:hideMark/>
          </w:tcPr>
          <w:p w14:paraId="77612250"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Propis</w:t>
            </w:r>
          </w:p>
        </w:tc>
        <w:tc>
          <w:tcPr>
            <w:tcW w:w="559" w:type="pct"/>
            <w:shd w:val="clear" w:color="auto" w:fill="D9D9D9"/>
            <w:hideMark/>
          </w:tcPr>
          <w:p w14:paraId="646E497A"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 xml:space="preserve">Nadležni organ </w:t>
            </w:r>
          </w:p>
        </w:tc>
        <w:tc>
          <w:tcPr>
            <w:tcW w:w="1239" w:type="pct"/>
            <w:shd w:val="clear" w:color="auto" w:fill="D9D9D9"/>
            <w:hideMark/>
          </w:tcPr>
          <w:p w14:paraId="7605B53E"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Regulisana hemikalija</w:t>
            </w:r>
          </w:p>
        </w:tc>
        <w:tc>
          <w:tcPr>
            <w:tcW w:w="2012" w:type="pct"/>
            <w:shd w:val="clear" w:color="auto" w:fill="D9D9D9"/>
            <w:hideMark/>
          </w:tcPr>
          <w:p w14:paraId="54070941"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Cilj propisa</w:t>
            </w:r>
          </w:p>
        </w:tc>
      </w:tr>
      <w:tr w:rsidR="00A73F66" w:rsidRPr="00AB15C7" w14:paraId="1CCC0E34" w14:textId="77777777" w:rsidTr="00165701">
        <w:trPr>
          <w:trHeight w:val="480"/>
        </w:trPr>
        <w:tc>
          <w:tcPr>
            <w:tcW w:w="1190" w:type="pct"/>
            <w:tcBorders>
              <w:top w:val="single" w:sz="4" w:space="0" w:color="auto"/>
            </w:tcBorders>
            <w:hideMark/>
          </w:tcPr>
          <w:p w14:paraId="2DBD2D44" w14:textId="77777777" w:rsidR="00A73F66" w:rsidRPr="00AB15C7" w:rsidRDefault="00A73F66" w:rsidP="005921EF">
            <w:pPr>
              <w:spacing w:after="0"/>
              <w:jc w:val="both"/>
              <w:rPr>
                <w:rFonts w:ascii="Cambria" w:hAnsi="Cambria"/>
                <w:bCs/>
                <w:noProof/>
                <w:lang w:val="sr-Latn-ME"/>
              </w:rPr>
            </w:pPr>
            <w:r w:rsidRPr="00AB15C7">
              <w:rPr>
                <w:rFonts w:ascii="Cambria" w:hAnsi="Cambria"/>
                <w:b/>
                <w:noProof/>
                <w:lang w:val="sr-Latn-ME"/>
              </w:rPr>
              <w:t>Z</w:t>
            </w:r>
            <w:r w:rsidRPr="00AB15C7">
              <w:rPr>
                <w:rFonts w:ascii="Cambria" w:hAnsi="Cambria"/>
                <w:b/>
                <w:bCs/>
                <w:noProof/>
                <w:lang w:val="sr-Latn-ME"/>
              </w:rPr>
              <w:t>akon o zaštiti i zdravlju na radu</w:t>
            </w:r>
            <w:r w:rsidRPr="00AB15C7">
              <w:rPr>
                <w:rFonts w:ascii="Cambria" w:hAnsi="Cambria"/>
                <w:bCs/>
                <w:noProof/>
                <w:lang w:val="sr-Latn-ME"/>
              </w:rPr>
              <w:t xml:space="preserve"> ("Sl. list CG", br. 34/14) </w:t>
            </w:r>
          </w:p>
        </w:tc>
        <w:tc>
          <w:tcPr>
            <w:tcW w:w="559" w:type="pct"/>
            <w:hideMark/>
          </w:tcPr>
          <w:p w14:paraId="4D7E4353"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MRSS</w:t>
            </w:r>
          </w:p>
        </w:tc>
        <w:tc>
          <w:tcPr>
            <w:tcW w:w="1239" w:type="pct"/>
            <w:hideMark/>
          </w:tcPr>
          <w:p w14:paraId="7FE994C6"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opasne materije koje se proizvode, koriste ili skladište u procesu rada, kao i materije koje sadrže te supstance i mogu da budu opasne po život i zdravlje zaposlenih</w:t>
            </w:r>
          </w:p>
        </w:tc>
        <w:tc>
          <w:tcPr>
            <w:tcW w:w="2012" w:type="pct"/>
            <w:hideMark/>
          </w:tcPr>
          <w:p w14:paraId="3EFD7707"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regulisanje zaštite i zdravlja na radu</w:t>
            </w:r>
          </w:p>
        </w:tc>
      </w:tr>
      <w:tr w:rsidR="00A73F66" w:rsidRPr="00AB15C7" w14:paraId="1B33ECAF" w14:textId="77777777" w:rsidTr="00165701">
        <w:trPr>
          <w:trHeight w:val="480"/>
        </w:trPr>
        <w:tc>
          <w:tcPr>
            <w:tcW w:w="1190" w:type="pct"/>
            <w:shd w:val="clear" w:color="auto" w:fill="F2F2F2"/>
            <w:hideMark/>
          </w:tcPr>
          <w:p w14:paraId="5B499F61"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lastRenderedPageBreak/>
              <w:t>Podzakonski propisi za sprovođenje ovog zakona</w:t>
            </w:r>
          </w:p>
        </w:tc>
        <w:tc>
          <w:tcPr>
            <w:tcW w:w="559" w:type="pct"/>
            <w:shd w:val="clear" w:color="auto" w:fill="F2F2F2"/>
            <w:hideMark/>
          </w:tcPr>
          <w:p w14:paraId="327438CF"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 xml:space="preserve">Nadležni organ </w:t>
            </w:r>
          </w:p>
        </w:tc>
        <w:tc>
          <w:tcPr>
            <w:tcW w:w="1239" w:type="pct"/>
            <w:shd w:val="clear" w:color="auto" w:fill="F2F2F2"/>
            <w:hideMark/>
          </w:tcPr>
          <w:p w14:paraId="2FB43E9B"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Regulisana hemikalija</w:t>
            </w:r>
          </w:p>
        </w:tc>
        <w:tc>
          <w:tcPr>
            <w:tcW w:w="2012" w:type="pct"/>
            <w:shd w:val="clear" w:color="auto" w:fill="F2F2F2"/>
            <w:hideMark/>
          </w:tcPr>
          <w:p w14:paraId="30D29F3E" w14:textId="77777777" w:rsidR="00A73F66" w:rsidRPr="00AB15C7" w:rsidRDefault="00A73F66" w:rsidP="005921EF">
            <w:pPr>
              <w:spacing w:after="0"/>
              <w:jc w:val="center"/>
              <w:rPr>
                <w:rFonts w:ascii="Cambria" w:hAnsi="Cambria" w:cs="Arial"/>
                <w:i/>
                <w:noProof/>
                <w:lang w:val="sr-Latn-ME"/>
              </w:rPr>
            </w:pPr>
            <w:r w:rsidRPr="00AB15C7">
              <w:rPr>
                <w:rFonts w:ascii="Cambria" w:hAnsi="Cambria" w:cs="Arial"/>
                <w:i/>
                <w:noProof/>
                <w:lang w:val="sr-Latn-ME"/>
              </w:rPr>
              <w:t>Cilj propisa</w:t>
            </w:r>
          </w:p>
        </w:tc>
      </w:tr>
      <w:tr w:rsidR="00A73F66" w:rsidRPr="00AB15C7" w14:paraId="71F27B4B" w14:textId="77777777" w:rsidTr="00165701">
        <w:trPr>
          <w:trHeight w:val="480"/>
        </w:trPr>
        <w:tc>
          <w:tcPr>
            <w:tcW w:w="1190" w:type="pct"/>
          </w:tcPr>
          <w:p w14:paraId="320BC347"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mjerama zaštite i zdravlja na radu od rizika izloženosti hemijskim materijama ("Sl. list CG", br. 81/16, 30/17 i</w:t>
            </w:r>
            <w:r w:rsidRPr="00AB15C7">
              <w:rPr>
                <w:rFonts w:ascii="Cambria" w:hAnsi="Cambria"/>
                <w:noProof/>
                <w:color w:val="000000"/>
                <w:shd w:val="clear" w:color="auto" w:fill="FFFFFF"/>
              </w:rPr>
              <w:t xml:space="preserve"> </w:t>
            </w:r>
            <w:r w:rsidRPr="00AB15C7">
              <w:rPr>
                <w:rFonts w:ascii="Cambria" w:hAnsi="Cambria" w:cs="Arial"/>
                <w:noProof/>
              </w:rPr>
              <w:t>40/18</w:t>
            </w:r>
            <w:r w:rsidRPr="00AB15C7">
              <w:rPr>
                <w:rFonts w:ascii="Cambria" w:hAnsi="Cambria" w:cs="Arial"/>
                <w:noProof/>
                <w:lang w:val="sr-Latn-ME"/>
              </w:rPr>
              <w:t xml:space="preserve"> )</w:t>
            </w:r>
          </w:p>
        </w:tc>
        <w:tc>
          <w:tcPr>
            <w:tcW w:w="559" w:type="pct"/>
          </w:tcPr>
          <w:p w14:paraId="084F3C22"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MRSS</w:t>
            </w:r>
          </w:p>
        </w:tc>
        <w:tc>
          <w:tcPr>
            <w:tcW w:w="1239" w:type="pct"/>
          </w:tcPr>
          <w:p w14:paraId="62C2A6D0"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opasne materije u radnoj sredini</w:t>
            </w:r>
          </w:p>
        </w:tc>
        <w:tc>
          <w:tcPr>
            <w:tcW w:w="2012" w:type="pct"/>
          </w:tcPr>
          <w:p w14:paraId="608657D2" w14:textId="77777777" w:rsidR="00A73F66" w:rsidRPr="00AB15C7" w:rsidRDefault="00A73F66" w:rsidP="00AF0DB8">
            <w:pPr>
              <w:spacing w:after="0"/>
              <w:jc w:val="both"/>
              <w:rPr>
                <w:rFonts w:ascii="Cambria" w:hAnsi="Cambria" w:cs="Arial"/>
                <w:noProof/>
                <w:lang w:val="sr-Latn-ME"/>
              </w:rPr>
            </w:pPr>
            <w:r w:rsidRPr="00AB15C7">
              <w:rPr>
                <w:rFonts w:ascii="Cambria" w:hAnsi="Cambria" w:cs="Arial"/>
                <w:noProof/>
                <w:lang w:val="sr-Latn-ME"/>
              </w:rPr>
              <w:t>propisuju se minimalni zahtjevi koje poslodavac treba da ispuni u</w:t>
            </w:r>
            <w:r w:rsidR="00AF0DB8">
              <w:rPr>
                <w:rFonts w:ascii="Cambria" w:hAnsi="Cambria" w:cs="Arial"/>
                <w:noProof/>
                <w:lang w:val="sr-Latn-ME"/>
              </w:rPr>
              <w:t xml:space="preserve"> </w:t>
            </w:r>
            <w:r w:rsidRPr="00AB15C7">
              <w:rPr>
                <w:rFonts w:ascii="Cambria" w:hAnsi="Cambria" w:cs="Arial"/>
                <w:noProof/>
                <w:lang w:val="sr-Latn-ME"/>
              </w:rPr>
              <w:t>obezbjeđivanju mjera zaštite i zdravlja na radu uključujući i granične vrijednosti, radi otklanjanja</w:t>
            </w:r>
          </w:p>
          <w:p w14:paraId="1CE40076"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ili smanjenja rizika od nastanka povreda na radu, profesionalnih bolesti i bolesti u vezi sa radom koje nastaju za vrijeme rada pri izlaganju zaposlenog hemijskim materijama.</w:t>
            </w:r>
          </w:p>
        </w:tc>
      </w:tr>
      <w:tr w:rsidR="00A73F66" w:rsidRPr="00AB15C7" w14:paraId="2961626A" w14:textId="77777777" w:rsidTr="00165701">
        <w:trPr>
          <w:trHeight w:val="480"/>
        </w:trPr>
        <w:tc>
          <w:tcPr>
            <w:tcW w:w="1190" w:type="pct"/>
          </w:tcPr>
          <w:p w14:paraId="7E70D092"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mjerama zaštite i zdravlja na radu od rizika izloženosti kancerogenim ili mutagenim materijama ("Sl. list CG", br. 60/16 i 11/17)</w:t>
            </w:r>
          </w:p>
        </w:tc>
        <w:tc>
          <w:tcPr>
            <w:tcW w:w="559" w:type="pct"/>
          </w:tcPr>
          <w:p w14:paraId="48FE79A2"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MRSS</w:t>
            </w:r>
          </w:p>
        </w:tc>
        <w:tc>
          <w:tcPr>
            <w:tcW w:w="1239" w:type="pct"/>
          </w:tcPr>
          <w:p w14:paraId="658D1AC9"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 xml:space="preserve">Kancerogene i mutagene materije u radnoj sredini </w:t>
            </w:r>
          </w:p>
        </w:tc>
        <w:tc>
          <w:tcPr>
            <w:tcW w:w="2012" w:type="pct"/>
          </w:tcPr>
          <w:p w14:paraId="7149702D"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propisuju se minimalni zahtjevi koje poslodavac treba da ispuni u obezbjeđivanju mjera zaštite i zdravlja na radu uključujući i granične vrijednosti, radi otklanjanja ili smanjenja rizika od nastanka povreda na radu, profesionalnih bolesti i bolesti u vezi sa radom koje nastaju za vrijeme rada pri izlaganju zaposlenog kancerogenim ili mutagenim materijama.</w:t>
            </w:r>
          </w:p>
        </w:tc>
      </w:tr>
      <w:tr w:rsidR="00A73F66" w:rsidRPr="00AB15C7" w14:paraId="607F5A10" w14:textId="77777777" w:rsidTr="00165701">
        <w:trPr>
          <w:trHeight w:val="480"/>
        </w:trPr>
        <w:tc>
          <w:tcPr>
            <w:tcW w:w="1190" w:type="pct"/>
          </w:tcPr>
          <w:p w14:paraId="18093DEC"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Pravilnik o mjerama zaštite na radu od rizika izloženosti azbestu ("Sl. list CG", br.</w:t>
            </w:r>
            <w:r w:rsidRPr="00AB15C7">
              <w:rPr>
                <w:rFonts w:ascii="Cambria" w:hAnsi="Cambria"/>
                <w:noProof/>
                <w:color w:val="000000"/>
                <w:shd w:val="clear" w:color="auto" w:fill="FFFFFF"/>
              </w:rPr>
              <w:t xml:space="preserve"> </w:t>
            </w:r>
            <w:r w:rsidRPr="00AB15C7">
              <w:rPr>
                <w:rFonts w:ascii="Cambria" w:hAnsi="Cambria" w:cs="Arial"/>
                <w:noProof/>
              </w:rPr>
              <w:t>14/17)</w:t>
            </w:r>
          </w:p>
        </w:tc>
        <w:tc>
          <w:tcPr>
            <w:tcW w:w="559" w:type="pct"/>
          </w:tcPr>
          <w:p w14:paraId="3599502A" w14:textId="77777777" w:rsidR="00A73F66" w:rsidRPr="00AB15C7" w:rsidRDefault="002E7F56" w:rsidP="005921EF">
            <w:pPr>
              <w:spacing w:after="0"/>
              <w:jc w:val="center"/>
              <w:rPr>
                <w:rFonts w:ascii="Cambria" w:hAnsi="Cambria" w:cs="Arial"/>
                <w:noProof/>
                <w:lang w:val="sr-Latn-ME"/>
              </w:rPr>
            </w:pPr>
            <w:r w:rsidRPr="002E7F56">
              <w:rPr>
                <w:rFonts w:ascii="Cambria" w:hAnsi="Cambria" w:cs="Arial"/>
                <w:noProof/>
                <w:lang w:val="sr-Latn-ME"/>
              </w:rPr>
              <w:t>MRSS</w:t>
            </w:r>
          </w:p>
        </w:tc>
        <w:tc>
          <w:tcPr>
            <w:tcW w:w="1239" w:type="pct"/>
          </w:tcPr>
          <w:p w14:paraId="55A53565"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Azbest u radnoj sredini</w:t>
            </w:r>
          </w:p>
        </w:tc>
        <w:tc>
          <w:tcPr>
            <w:tcW w:w="2012" w:type="pct"/>
          </w:tcPr>
          <w:p w14:paraId="3DFE513D" w14:textId="77777777" w:rsidR="00A73F66" w:rsidRPr="00AB15C7" w:rsidRDefault="00A73F66" w:rsidP="005921EF">
            <w:pPr>
              <w:spacing w:after="0"/>
              <w:rPr>
                <w:rFonts w:ascii="Cambria" w:hAnsi="Cambria" w:cs="Arial"/>
                <w:noProof/>
                <w:lang w:val="sr-Latn-ME"/>
              </w:rPr>
            </w:pPr>
            <w:r w:rsidRPr="00AB15C7">
              <w:rPr>
                <w:rFonts w:ascii="Cambria" w:hAnsi="Cambria" w:cs="Arial"/>
                <w:noProof/>
              </w:rPr>
              <w:t>propisuju se minimalni zahtjevi koje poslodavac treba da ispuni u obezbjeđivanju mjera zaštite i zdravlja na radu uključujući i granične vrijednosti, radi otklanjanja ili smanjenja rizika od nastanka povreda na radu, profesionalnih bolesti i bolesti u vezi sa radom koje nastaju za vrijeme rada pri izlaganju zaposlenog azbestu.</w:t>
            </w:r>
          </w:p>
        </w:tc>
      </w:tr>
      <w:tr w:rsidR="00A73F66" w:rsidRPr="00AB15C7" w14:paraId="0DE2D857" w14:textId="77777777" w:rsidTr="00165701">
        <w:trPr>
          <w:trHeight w:val="480"/>
        </w:trPr>
        <w:tc>
          <w:tcPr>
            <w:tcW w:w="1190" w:type="pct"/>
          </w:tcPr>
          <w:p w14:paraId="10AF0DE7"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Pravilnik o mjerama zaštite od rizika izloženosti eksplozivnoj atmosferi</w:t>
            </w:r>
          </w:p>
          <w:p w14:paraId="26B51496"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t>("Sl. list CG", br. 27/17 i 31/17)</w:t>
            </w:r>
          </w:p>
        </w:tc>
        <w:tc>
          <w:tcPr>
            <w:tcW w:w="559" w:type="pct"/>
          </w:tcPr>
          <w:p w14:paraId="0BE384C7" w14:textId="77777777" w:rsidR="00A73F66" w:rsidRPr="00AB15C7" w:rsidRDefault="002E7F56" w:rsidP="005921EF">
            <w:pPr>
              <w:spacing w:after="0"/>
              <w:jc w:val="center"/>
              <w:rPr>
                <w:rFonts w:ascii="Cambria" w:hAnsi="Cambria" w:cs="Arial"/>
                <w:noProof/>
                <w:lang w:val="sr-Latn-ME"/>
              </w:rPr>
            </w:pPr>
            <w:r w:rsidRPr="002E7F56">
              <w:rPr>
                <w:rFonts w:ascii="Cambria" w:hAnsi="Cambria" w:cs="Arial"/>
                <w:noProof/>
                <w:lang w:val="sr-Latn-ME"/>
              </w:rPr>
              <w:t>MRSS</w:t>
            </w:r>
          </w:p>
        </w:tc>
        <w:tc>
          <w:tcPr>
            <w:tcW w:w="1239" w:type="pct"/>
          </w:tcPr>
          <w:p w14:paraId="3269884E"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noProof/>
                <w:lang w:val="sr-Latn-ME"/>
              </w:rPr>
              <w:t>Eksplozivna atmosfera tj. smješa materija u obliku gasova, para, magle ili prašine sa vazduhom u atmosferskim uslovima u kojima se, nakon što je došlo do paljenja, sagorijevanje proširuje na cijelu smješu koja nije sagorjela.</w:t>
            </w:r>
          </w:p>
        </w:tc>
        <w:tc>
          <w:tcPr>
            <w:tcW w:w="2012" w:type="pct"/>
          </w:tcPr>
          <w:p w14:paraId="159EF327" w14:textId="77777777"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Ovim pravilnikom propisuju se minimalni zahtjevi koje poslodavac treba da ispuni u obezbjeđivanju mjera zaštite i zdravlja na radu, radi otklanjanja ili smanjenja rizika od nastanka povreda na radnim mjestima na kojima se obavljaju poslovi pri kojima su zaposleni izloženi ili mogu biti izloženi riziku od eksplozivne atmosfere, uključujući i poslove na kojima se pri radu koriste transportna sredstva koja su namijenjena za upotrebu u potencijalno eksplozivnim atmosferama.</w:t>
            </w:r>
          </w:p>
        </w:tc>
      </w:tr>
      <w:tr w:rsidR="00A73F66" w:rsidRPr="00AB15C7" w14:paraId="5A8C00A6" w14:textId="77777777" w:rsidTr="00165701">
        <w:trPr>
          <w:trHeight w:val="665"/>
        </w:trPr>
        <w:tc>
          <w:tcPr>
            <w:tcW w:w="1190" w:type="pct"/>
          </w:tcPr>
          <w:p w14:paraId="52924BC9" w14:textId="77777777" w:rsidR="00A73F66" w:rsidRPr="00AB15C7" w:rsidRDefault="00A73F66" w:rsidP="005921EF">
            <w:pPr>
              <w:spacing w:after="0"/>
              <w:jc w:val="both"/>
              <w:rPr>
                <w:rFonts w:ascii="Cambria" w:hAnsi="Cambria" w:cs="Arial"/>
                <w:noProof/>
                <w:lang w:val="sr-Latn-ME"/>
              </w:rPr>
            </w:pPr>
            <w:r w:rsidRPr="00AB15C7">
              <w:rPr>
                <w:rFonts w:ascii="Cambria" w:hAnsi="Cambria" w:cs="Arial"/>
                <w:noProof/>
                <w:lang w:val="sr-Latn-ME"/>
              </w:rPr>
              <w:lastRenderedPageBreak/>
              <w:t>Pravilnik o mjerama zaštite na radnom mjestu ("Sl. list CG", br.</w:t>
            </w:r>
            <w:r w:rsidRPr="00AB15C7">
              <w:rPr>
                <w:rFonts w:ascii="Cambria" w:hAnsi="Cambria"/>
                <w:noProof/>
              </w:rPr>
              <w:t xml:space="preserve"> </w:t>
            </w:r>
            <w:r w:rsidRPr="00AB15C7">
              <w:rPr>
                <w:rFonts w:ascii="Cambria" w:hAnsi="Cambria" w:cs="Arial"/>
                <w:noProof/>
                <w:lang w:val="sr-Latn-ME"/>
              </w:rPr>
              <w:t>40/15)</w:t>
            </w:r>
          </w:p>
        </w:tc>
        <w:tc>
          <w:tcPr>
            <w:tcW w:w="559" w:type="pct"/>
          </w:tcPr>
          <w:p w14:paraId="5172311D" w14:textId="77777777" w:rsidR="00A73F66" w:rsidRPr="00AB15C7" w:rsidRDefault="002E7F56" w:rsidP="005921EF">
            <w:pPr>
              <w:spacing w:after="0"/>
              <w:jc w:val="center"/>
              <w:rPr>
                <w:rFonts w:ascii="Cambria" w:hAnsi="Cambria" w:cs="Arial"/>
                <w:noProof/>
                <w:lang w:val="sr-Latn-ME"/>
              </w:rPr>
            </w:pPr>
            <w:r w:rsidRPr="002E7F56">
              <w:rPr>
                <w:rFonts w:ascii="Cambria" w:hAnsi="Cambria" w:cs="Arial"/>
                <w:noProof/>
                <w:lang w:val="sr-Latn-ME"/>
              </w:rPr>
              <w:t>MRSS</w:t>
            </w:r>
          </w:p>
        </w:tc>
        <w:tc>
          <w:tcPr>
            <w:tcW w:w="1239" w:type="pct"/>
          </w:tcPr>
          <w:p w14:paraId="24D3103C" w14:textId="77777777" w:rsidR="00A73F66" w:rsidRPr="00AB15C7" w:rsidRDefault="00A73F66" w:rsidP="005921EF">
            <w:pPr>
              <w:spacing w:after="0"/>
              <w:jc w:val="center"/>
              <w:rPr>
                <w:rFonts w:ascii="Cambria" w:hAnsi="Cambria" w:cs="Arial"/>
                <w:noProof/>
                <w:lang w:val="sr-Latn-ME"/>
              </w:rPr>
            </w:pPr>
            <w:r w:rsidRPr="00AB15C7">
              <w:rPr>
                <w:rFonts w:ascii="Cambria" w:hAnsi="Cambria" w:cs="Arial"/>
                <w:bCs/>
                <w:noProof/>
              </w:rPr>
              <w:t>hemijske materije i štetnosti</w:t>
            </w:r>
          </w:p>
        </w:tc>
        <w:tc>
          <w:tcPr>
            <w:tcW w:w="2012" w:type="pct"/>
          </w:tcPr>
          <w:p w14:paraId="50229A73" w14:textId="32FB9C60" w:rsidR="00A73F66" w:rsidRPr="00AB15C7" w:rsidRDefault="00A73F66" w:rsidP="005921EF">
            <w:pPr>
              <w:spacing w:after="0"/>
              <w:rPr>
                <w:rFonts w:ascii="Cambria" w:hAnsi="Cambria" w:cs="Arial"/>
                <w:noProof/>
                <w:lang w:val="sr-Latn-ME"/>
              </w:rPr>
            </w:pPr>
            <w:r w:rsidRPr="00AB15C7">
              <w:rPr>
                <w:rFonts w:ascii="Cambria" w:hAnsi="Cambria" w:cs="Arial"/>
                <w:noProof/>
                <w:lang w:val="sr-Latn-ME"/>
              </w:rPr>
              <w:t xml:space="preserve">propisuju se minimalne mjere zaštite na radnom mjestu , koje se </w:t>
            </w:r>
            <w:r w:rsidR="00715488" w:rsidRPr="00AB15C7">
              <w:rPr>
                <w:rFonts w:ascii="Cambria" w:hAnsi="Cambria" w:cs="Arial"/>
                <w:noProof/>
                <w:lang w:val="sr-Latn-ME"/>
              </w:rPr>
              <w:t>izme</w:t>
            </w:r>
            <w:r w:rsidR="00715488">
              <w:rPr>
                <w:rFonts w:ascii="Cambria" w:hAnsi="Cambria" w:cs="Arial"/>
                <w:noProof/>
                <w:lang w:val="sr-Latn-ME"/>
              </w:rPr>
              <w:t>đ</w:t>
            </w:r>
            <w:r w:rsidR="00715488" w:rsidRPr="00AB15C7">
              <w:rPr>
                <w:rFonts w:ascii="Cambria" w:hAnsi="Cambria" w:cs="Arial"/>
                <w:noProof/>
                <w:lang w:val="sr-Latn-ME"/>
              </w:rPr>
              <w:t xml:space="preserve">u </w:t>
            </w:r>
            <w:r w:rsidRPr="00AB15C7">
              <w:rPr>
                <w:rFonts w:ascii="Cambria" w:hAnsi="Cambria" w:cs="Arial"/>
                <w:noProof/>
                <w:lang w:val="sr-Latn-ME"/>
              </w:rPr>
              <w:t>ostalog odnose i na hemijskim materijama i štetnostima</w:t>
            </w:r>
          </w:p>
        </w:tc>
      </w:tr>
    </w:tbl>
    <w:p w14:paraId="04B3B61A" w14:textId="77777777" w:rsidR="0042058B" w:rsidRPr="00AB15C7" w:rsidRDefault="0042058B" w:rsidP="005921EF">
      <w:pPr>
        <w:jc w:val="both"/>
        <w:rPr>
          <w:rFonts w:ascii="Cambria" w:hAnsi="Cambria"/>
          <w:b/>
          <w:noProof/>
          <w:lang w:val="sr-Latn-ME"/>
        </w:rPr>
      </w:pPr>
    </w:p>
    <w:p w14:paraId="7D5DAED3" w14:textId="77777777" w:rsidR="0042058B" w:rsidRPr="00AB15C7" w:rsidRDefault="0042058B" w:rsidP="00557C13">
      <w:pPr>
        <w:numPr>
          <w:ilvl w:val="0"/>
          <w:numId w:val="30"/>
        </w:numPr>
        <w:jc w:val="both"/>
        <w:rPr>
          <w:rFonts w:ascii="Cambria" w:hAnsi="Cambria"/>
          <w:b/>
          <w:noProof/>
        </w:rPr>
      </w:pPr>
      <w:r w:rsidRPr="00AB15C7">
        <w:rPr>
          <w:rFonts w:ascii="Cambria" w:hAnsi="Cambria"/>
          <w:b/>
          <w:noProof/>
        </w:rPr>
        <w:t>Propisi u  oblasti  prevoza opasnih materija</w:t>
      </w:r>
    </w:p>
    <w:p w14:paraId="0E08DB60" w14:textId="79AACD96" w:rsidR="0042058B" w:rsidRPr="00A76A53" w:rsidRDefault="0042058B" w:rsidP="00A76A53">
      <w:pPr>
        <w:autoSpaceDE w:val="0"/>
        <w:autoSpaceDN w:val="0"/>
        <w:adjustRightInd w:val="0"/>
        <w:spacing w:before="120" w:after="120"/>
        <w:rPr>
          <w:rFonts w:ascii="Cambria" w:hAnsi="Cambria"/>
          <w:b/>
          <w:noProof/>
          <w:color w:val="000000"/>
          <w:lang w:val="sr-Latn-ME"/>
        </w:rPr>
      </w:pPr>
      <w:r w:rsidRPr="00A76A53">
        <w:rPr>
          <w:rFonts w:ascii="Cambria" w:hAnsi="Cambria"/>
          <w:b/>
          <w:i/>
          <w:noProof/>
          <w:lang w:val="sr-Latn-ME"/>
        </w:rPr>
        <w:t>Tabela A1</w:t>
      </w:r>
      <w:r w:rsidR="00E60B92">
        <w:rPr>
          <w:rFonts w:ascii="Cambria" w:hAnsi="Cambria"/>
          <w:b/>
          <w:i/>
          <w:noProof/>
          <w:lang w:val="sr-Latn-ME"/>
        </w:rPr>
        <w:t>2</w:t>
      </w:r>
      <w:r w:rsidRPr="00A76A53">
        <w:rPr>
          <w:rFonts w:ascii="Cambria" w:hAnsi="Cambria"/>
          <w:b/>
          <w:i/>
          <w:noProof/>
          <w:lang w:val="sr-Latn-ME"/>
        </w:rPr>
        <w:t xml:space="preserve">. </w:t>
      </w:r>
      <w:r w:rsidRPr="00A76A53">
        <w:rPr>
          <w:rFonts w:ascii="Cambria" w:hAnsi="Cambria"/>
          <w:b/>
          <w:noProof/>
          <w:lang w:val="sr-Latn-ME"/>
        </w:rPr>
        <w:t>Važeći propisi koji se odnose na oblast prevoza opasnih materija</w:t>
      </w:r>
    </w:p>
    <w:tbl>
      <w:tblPr>
        <w:tblW w:w="52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5"/>
        <w:gridCol w:w="1280"/>
        <w:gridCol w:w="2500"/>
        <w:gridCol w:w="5760"/>
      </w:tblGrid>
      <w:tr w:rsidR="0042058B" w:rsidRPr="00AB15C7" w14:paraId="47B92338" w14:textId="77777777" w:rsidTr="00360F0F">
        <w:trPr>
          <w:trHeight w:val="480"/>
        </w:trPr>
        <w:tc>
          <w:tcPr>
            <w:tcW w:w="1684" w:type="pct"/>
            <w:tcBorders>
              <w:top w:val="double" w:sz="4" w:space="0" w:color="auto"/>
              <w:left w:val="double" w:sz="4" w:space="0" w:color="auto"/>
              <w:bottom w:val="single" w:sz="4" w:space="0" w:color="auto"/>
              <w:right w:val="single" w:sz="4" w:space="0" w:color="000000"/>
            </w:tcBorders>
            <w:shd w:val="clear" w:color="auto" w:fill="D9D9D9"/>
            <w:hideMark/>
          </w:tcPr>
          <w:p w14:paraId="04D4BC22" w14:textId="77777777" w:rsidR="0042058B" w:rsidRPr="00AB15C7" w:rsidRDefault="0042058B" w:rsidP="005921EF">
            <w:pPr>
              <w:spacing w:after="0"/>
              <w:jc w:val="center"/>
              <w:rPr>
                <w:rFonts w:ascii="Cambria" w:hAnsi="Cambria" w:cs="Arial"/>
                <w:b/>
                <w:noProof/>
                <w:lang w:val="sr-Latn-ME"/>
              </w:rPr>
            </w:pPr>
            <w:r w:rsidRPr="00AB15C7">
              <w:rPr>
                <w:rFonts w:ascii="Cambria" w:hAnsi="Cambria" w:cs="Arial"/>
                <w:b/>
                <w:noProof/>
                <w:lang w:val="sr-Latn-ME"/>
              </w:rPr>
              <w:t>Propis</w:t>
            </w:r>
          </w:p>
        </w:tc>
        <w:tc>
          <w:tcPr>
            <w:tcW w:w="445" w:type="pct"/>
            <w:tcBorders>
              <w:top w:val="double" w:sz="4" w:space="0" w:color="auto"/>
              <w:left w:val="single" w:sz="4" w:space="0" w:color="000000"/>
              <w:bottom w:val="single" w:sz="4" w:space="0" w:color="auto"/>
              <w:right w:val="single" w:sz="4" w:space="0" w:color="000000"/>
            </w:tcBorders>
            <w:shd w:val="clear" w:color="auto" w:fill="D9D9D9"/>
            <w:hideMark/>
          </w:tcPr>
          <w:p w14:paraId="7042180D" w14:textId="77777777" w:rsidR="0042058B" w:rsidRPr="00AB15C7" w:rsidRDefault="0042058B" w:rsidP="005921EF">
            <w:pPr>
              <w:spacing w:after="0"/>
              <w:jc w:val="center"/>
              <w:rPr>
                <w:rFonts w:ascii="Cambria" w:hAnsi="Cambria" w:cs="Arial"/>
                <w:b/>
                <w:noProof/>
                <w:lang w:val="sr-Latn-ME"/>
              </w:rPr>
            </w:pPr>
            <w:r w:rsidRPr="00AB15C7">
              <w:rPr>
                <w:rFonts w:ascii="Cambria" w:hAnsi="Cambria" w:cs="Arial"/>
                <w:b/>
                <w:noProof/>
                <w:lang w:val="sr-Latn-ME"/>
              </w:rPr>
              <w:t xml:space="preserve">Nadležni organ </w:t>
            </w:r>
          </w:p>
        </w:tc>
        <w:tc>
          <w:tcPr>
            <w:tcW w:w="869" w:type="pct"/>
            <w:tcBorders>
              <w:top w:val="double" w:sz="4" w:space="0" w:color="auto"/>
              <w:left w:val="single" w:sz="4" w:space="0" w:color="000000"/>
              <w:bottom w:val="single" w:sz="4" w:space="0" w:color="auto"/>
              <w:right w:val="single" w:sz="4" w:space="0" w:color="000000"/>
            </w:tcBorders>
            <w:shd w:val="clear" w:color="auto" w:fill="D9D9D9"/>
            <w:hideMark/>
          </w:tcPr>
          <w:p w14:paraId="32A1914D" w14:textId="77777777" w:rsidR="0042058B" w:rsidRPr="00AB15C7" w:rsidRDefault="0042058B" w:rsidP="005921EF">
            <w:pPr>
              <w:spacing w:after="0"/>
              <w:jc w:val="center"/>
              <w:rPr>
                <w:rFonts w:ascii="Cambria" w:hAnsi="Cambria" w:cs="Arial"/>
                <w:b/>
                <w:noProof/>
                <w:lang w:val="sr-Latn-ME"/>
              </w:rPr>
            </w:pPr>
            <w:r w:rsidRPr="00AB15C7">
              <w:rPr>
                <w:rFonts w:ascii="Cambria" w:hAnsi="Cambria" w:cs="Arial"/>
                <w:b/>
                <w:noProof/>
                <w:lang w:val="sr-Latn-ME"/>
              </w:rPr>
              <w:t>Regulisana hemikalija</w:t>
            </w:r>
          </w:p>
        </w:tc>
        <w:tc>
          <w:tcPr>
            <w:tcW w:w="2002" w:type="pct"/>
            <w:tcBorders>
              <w:top w:val="double" w:sz="4" w:space="0" w:color="auto"/>
              <w:left w:val="single" w:sz="4" w:space="0" w:color="000000"/>
              <w:bottom w:val="single" w:sz="4" w:space="0" w:color="auto"/>
              <w:right w:val="double" w:sz="4" w:space="0" w:color="auto"/>
            </w:tcBorders>
            <w:shd w:val="clear" w:color="auto" w:fill="D9D9D9"/>
            <w:hideMark/>
          </w:tcPr>
          <w:p w14:paraId="7B500412" w14:textId="77777777" w:rsidR="0042058B" w:rsidRPr="00AB15C7" w:rsidRDefault="0042058B" w:rsidP="005921EF">
            <w:pPr>
              <w:spacing w:after="0"/>
              <w:jc w:val="center"/>
              <w:rPr>
                <w:rFonts w:ascii="Cambria" w:hAnsi="Cambria" w:cs="Arial"/>
                <w:b/>
                <w:noProof/>
                <w:lang w:val="sr-Latn-ME"/>
              </w:rPr>
            </w:pPr>
            <w:r w:rsidRPr="00AB15C7">
              <w:rPr>
                <w:rFonts w:ascii="Cambria" w:hAnsi="Cambria" w:cs="Arial"/>
                <w:b/>
                <w:noProof/>
                <w:lang w:val="sr-Latn-ME"/>
              </w:rPr>
              <w:t>Cilj propisa</w:t>
            </w:r>
          </w:p>
        </w:tc>
      </w:tr>
      <w:tr w:rsidR="0042058B" w:rsidRPr="00AB15C7" w14:paraId="0496124E" w14:textId="77777777" w:rsidTr="00360F0F">
        <w:trPr>
          <w:trHeight w:val="1394"/>
        </w:trPr>
        <w:tc>
          <w:tcPr>
            <w:tcW w:w="1684" w:type="pct"/>
            <w:tcBorders>
              <w:top w:val="single" w:sz="4" w:space="0" w:color="auto"/>
              <w:left w:val="double" w:sz="4" w:space="0" w:color="auto"/>
              <w:bottom w:val="single" w:sz="4" w:space="0" w:color="auto"/>
              <w:right w:val="single" w:sz="4" w:space="0" w:color="000000"/>
            </w:tcBorders>
            <w:hideMark/>
          </w:tcPr>
          <w:p w14:paraId="2488FEC7" w14:textId="77777777" w:rsidR="0042058B" w:rsidRPr="00AB15C7" w:rsidRDefault="0042058B" w:rsidP="005921EF">
            <w:pPr>
              <w:spacing w:after="0"/>
              <w:jc w:val="both"/>
              <w:rPr>
                <w:rFonts w:ascii="Cambria" w:hAnsi="Cambria" w:cs="Arial"/>
                <w:noProof/>
                <w:lang w:val="sr-Latn-ME"/>
              </w:rPr>
            </w:pPr>
            <w:r w:rsidRPr="00AB15C7">
              <w:rPr>
                <w:rFonts w:ascii="Cambria" w:hAnsi="Cambria"/>
                <w:b/>
                <w:noProof/>
                <w:lang w:val="sr-Latn-ME"/>
              </w:rPr>
              <w:t xml:space="preserve">Zakon o prevozu opasnih materija </w:t>
            </w:r>
            <w:r w:rsidRPr="00AB15C7">
              <w:rPr>
                <w:rFonts w:ascii="Cambria" w:hAnsi="Cambria"/>
                <w:noProof/>
                <w:lang w:val="sr-Latn-ME"/>
              </w:rPr>
              <w:t>("Sl. list CG", br. 33/14</w:t>
            </w:r>
            <w:r w:rsidRPr="00AB15C7">
              <w:rPr>
                <w:rFonts w:ascii="Cambria" w:hAnsi="Cambria"/>
                <w:noProof/>
              </w:rPr>
              <w:t xml:space="preserve"> </w:t>
            </w:r>
            <w:r w:rsidRPr="00AB15C7">
              <w:rPr>
                <w:rFonts w:ascii="Cambria" w:hAnsi="Cambria"/>
                <w:noProof/>
                <w:lang w:val="sr-Latn-ME"/>
              </w:rPr>
              <w:t>i 13/18)</w:t>
            </w:r>
          </w:p>
        </w:tc>
        <w:tc>
          <w:tcPr>
            <w:tcW w:w="445" w:type="pct"/>
            <w:tcBorders>
              <w:top w:val="single" w:sz="4" w:space="0" w:color="auto"/>
              <w:left w:val="single" w:sz="4" w:space="0" w:color="000000"/>
              <w:bottom w:val="single" w:sz="4" w:space="0" w:color="auto"/>
              <w:right w:val="single" w:sz="4" w:space="0" w:color="000000"/>
            </w:tcBorders>
            <w:hideMark/>
          </w:tcPr>
          <w:p w14:paraId="36A2CD31"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hideMark/>
          </w:tcPr>
          <w:p w14:paraId="1EA6B3C9"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prema kriterijumima navedenim u ADR/RID</w:t>
            </w:r>
          </w:p>
        </w:tc>
        <w:tc>
          <w:tcPr>
            <w:tcW w:w="2002" w:type="pct"/>
            <w:tcBorders>
              <w:top w:val="single" w:sz="4" w:space="0" w:color="auto"/>
              <w:left w:val="single" w:sz="4" w:space="0" w:color="000000"/>
              <w:bottom w:val="single" w:sz="4" w:space="0" w:color="auto"/>
              <w:right w:val="double" w:sz="4" w:space="0" w:color="auto"/>
            </w:tcBorders>
            <w:hideMark/>
          </w:tcPr>
          <w:p w14:paraId="7C4BD778"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uređuje uslove pod kojima se vrši prevoz opasnih materija i radnje koje su u vezi s tim prevozom (pripremanje materije za prevoz, utovar i istovar i usputne manipulacije), kao i nadzor nad sprovođenjem ovog zakona</w:t>
            </w:r>
          </w:p>
        </w:tc>
      </w:tr>
      <w:tr w:rsidR="0042058B" w:rsidRPr="00AB15C7" w14:paraId="2E5E08D9"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shd w:val="clear" w:color="auto" w:fill="F2F2F2"/>
            <w:hideMark/>
          </w:tcPr>
          <w:p w14:paraId="0C48E99F" w14:textId="77777777" w:rsidR="0042058B" w:rsidRPr="00AB15C7" w:rsidRDefault="0042058B" w:rsidP="005921EF">
            <w:pPr>
              <w:spacing w:after="0"/>
              <w:jc w:val="center"/>
              <w:rPr>
                <w:rFonts w:ascii="Cambria" w:hAnsi="Cambria" w:cs="Arial"/>
                <w:i/>
                <w:noProof/>
                <w:lang w:val="sr-Latn-ME"/>
              </w:rPr>
            </w:pPr>
            <w:r w:rsidRPr="00AB15C7">
              <w:rPr>
                <w:rFonts w:ascii="Cambria" w:hAnsi="Cambria" w:cs="Arial"/>
                <w:i/>
                <w:noProof/>
                <w:lang w:val="sr-Latn-ME"/>
              </w:rPr>
              <w:t>Podzakonski propisi za sprovođenje ovog zakona</w:t>
            </w:r>
          </w:p>
        </w:tc>
        <w:tc>
          <w:tcPr>
            <w:tcW w:w="445" w:type="pct"/>
            <w:tcBorders>
              <w:top w:val="single" w:sz="4" w:space="0" w:color="auto"/>
              <w:left w:val="single" w:sz="4" w:space="0" w:color="000000"/>
              <w:bottom w:val="single" w:sz="4" w:space="0" w:color="auto"/>
              <w:right w:val="single" w:sz="4" w:space="0" w:color="000000"/>
            </w:tcBorders>
            <w:shd w:val="clear" w:color="auto" w:fill="F2F2F2"/>
            <w:hideMark/>
          </w:tcPr>
          <w:p w14:paraId="64371D7A" w14:textId="77777777" w:rsidR="0042058B" w:rsidRPr="00AB15C7" w:rsidRDefault="0042058B" w:rsidP="005921EF">
            <w:pPr>
              <w:spacing w:after="0"/>
              <w:jc w:val="center"/>
              <w:rPr>
                <w:rFonts w:ascii="Cambria" w:hAnsi="Cambria" w:cs="Arial"/>
                <w:i/>
                <w:noProof/>
                <w:lang w:val="sr-Latn-ME"/>
              </w:rPr>
            </w:pPr>
            <w:r w:rsidRPr="00AB15C7">
              <w:rPr>
                <w:rFonts w:ascii="Cambria" w:hAnsi="Cambria" w:cs="Arial"/>
                <w:i/>
                <w:noProof/>
                <w:lang w:val="sr-Latn-ME"/>
              </w:rPr>
              <w:t xml:space="preserve">Nadležni organ </w:t>
            </w:r>
          </w:p>
        </w:tc>
        <w:tc>
          <w:tcPr>
            <w:tcW w:w="869" w:type="pct"/>
            <w:tcBorders>
              <w:top w:val="single" w:sz="4" w:space="0" w:color="auto"/>
              <w:left w:val="single" w:sz="4" w:space="0" w:color="000000"/>
              <w:bottom w:val="single" w:sz="4" w:space="0" w:color="auto"/>
              <w:right w:val="single" w:sz="4" w:space="0" w:color="000000"/>
            </w:tcBorders>
            <w:shd w:val="clear" w:color="auto" w:fill="F2F2F2"/>
            <w:hideMark/>
          </w:tcPr>
          <w:p w14:paraId="3172AB4F" w14:textId="77777777" w:rsidR="0042058B" w:rsidRPr="00AB15C7" w:rsidRDefault="0042058B" w:rsidP="005921EF">
            <w:pPr>
              <w:spacing w:after="0"/>
              <w:jc w:val="center"/>
              <w:rPr>
                <w:rFonts w:ascii="Cambria" w:hAnsi="Cambria" w:cs="Arial"/>
                <w:i/>
                <w:noProof/>
                <w:lang w:val="sr-Latn-ME"/>
              </w:rPr>
            </w:pPr>
            <w:r w:rsidRPr="00AB15C7">
              <w:rPr>
                <w:rFonts w:ascii="Cambria" w:hAnsi="Cambria" w:cs="Arial"/>
                <w:i/>
                <w:noProof/>
                <w:lang w:val="sr-Latn-ME"/>
              </w:rPr>
              <w:t>Regulisana hemikalija</w:t>
            </w:r>
          </w:p>
        </w:tc>
        <w:tc>
          <w:tcPr>
            <w:tcW w:w="2002" w:type="pct"/>
            <w:tcBorders>
              <w:top w:val="single" w:sz="4" w:space="0" w:color="auto"/>
              <w:left w:val="single" w:sz="4" w:space="0" w:color="000000"/>
              <w:bottom w:val="single" w:sz="4" w:space="0" w:color="auto"/>
              <w:right w:val="double" w:sz="4" w:space="0" w:color="auto"/>
            </w:tcBorders>
            <w:shd w:val="clear" w:color="auto" w:fill="F2F2F2"/>
            <w:hideMark/>
          </w:tcPr>
          <w:p w14:paraId="1722D54F" w14:textId="77777777" w:rsidR="0042058B" w:rsidRPr="00AB15C7" w:rsidRDefault="0042058B" w:rsidP="005921EF">
            <w:pPr>
              <w:spacing w:after="0"/>
              <w:jc w:val="center"/>
              <w:rPr>
                <w:rFonts w:ascii="Cambria" w:hAnsi="Cambria" w:cs="Arial"/>
                <w:i/>
                <w:noProof/>
                <w:lang w:val="sr-Latn-ME"/>
              </w:rPr>
            </w:pPr>
            <w:r w:rsidRPr="00AB15C7">
              <w:rPr>
                <w:rFonts w:ascii="Cambria" w:hAnsi="Cambria" w:cs="Arial"/>
                <w:i/>
                <w:noProof/>
                <w:lang w:val="sr-Latn-ME"/>
              </w:rPr>
              <w:t>Cilj propisa</w:t>
            </w:r>
          </w:p>
        </w:tc>
      </w:tr>
      <w:tr w:rsidR="0042058B" w:rsidRPr="00AB15C7" w14:paraId="06C9441F"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68863BCE" w14:textId="77777777" w:rsidR="0042058B" w:rsidRPr="00AB15C7" w:rsidRDefault="0042058B" w:rsidP="005921EF">
            <w:pPr>
              <w:spacing w:after="0"/>
              <w:rPr>
                <w:rFonts w:ascii="Cambria" w:hAnsi="Cambria" w:cs="Arial"/>
                <w:noProof/>
                <w:lang w:val="sr-Latn-ME"/>
              </w:rPr>
            </w:pPr>
            <w:r w:rsidRPr="00AB15C7">
              <w:rPr>
                <w:rFonts w:ascii="Cambria" w:hAnsi="Cambria" w:cs="Arial"/>
                <w:bCs/>
                <w:noProof/>
              </w:rPr>
              <w:t>Pravilnik o sadržaju i obrascu zapisnika o pregledu ispravnosti vozila za prevoz opasnih materija</w:t>
            </w:r>
            <w:r w:rsidRPr="00AB15C7">
              <w:rPr>
                <w:rFonts w:ascii="Cambria" w:hAnsi="Cambria"/>
                <w:noProof/>
              </w:rPr>
              <w:t xml:space="preserve"> („Sl. list CG“, br.</w:t>
            </w:r>
            <w:r w:rsidRPr="00AB15C7">
              <w:rPr>
                <w:rFonts w:ascii="Cambria" w:hAnsi="Cambria" w:cs="Arial"/>
                <w:bCs/>
                <w:noProof/>
              </w:rPr>
              <w:t>52/14)</w:t>
            </w:r>
          </w:p>
        </w:tc>
        <w:tc>
          <w:tcPr>
            <w:tcW w:w="445" w:type="pct"/>
            <w:tcBorders>
              <w:top w:val="single" w:sz="4" w:space="0" w:color="auto"/>
              <w:left w:val="single" w:sz="4" w:space="0" w:color="000000"/>
              <w:bottom w:val="single" w:sz="4" w:space="0" w:color="auto"/>
              <w:right w:val="single" w:sz="4" w:space="0" w:color="000000"/>
            </w:tcBorders>
          </w:tcPr>
          <w:p w14:paraId="00B138EA"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29E10BC7"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398D8F8F"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rPr>
              <w:t>propisuje se sadržaj i obrazac zapisnika o pregledu ispravnosti vozila za prevoz opasnih materija</w:t>
            </w:r>
          </w:p>
        </w:tc>
      </w:tr>
      <w:tr w:rsidR="0042058B" w:rsidRPr="00AB15C7" w14:paraId="4CD14212"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724708EA" w14:textId="77777777" w:rsidR="0042058B" w:rsidRPr="00AB15C7" w:rsidRDefault="0042058B" w:rsidP="005921EF">
            <w:pPr>
              <w:spacing w:after="0"/>
              <w:rPr>
                <w:rFonts w:ascii="Cambria" w:hAnsi="Cambria" w:cs="Arial"/>
                <w:bCs/>
                <w:noProof/>
              </w:rPr>
            </w:pPr>
            <w:r w:rsidRPr="00AB15C7">
              <w:rPr>
                <w:rFonts w:ascii="Cambria" w:hAnsi="Cambria" w:cs="Arial"/>
                <w:bCs/>
                <w:noProof/>
              </w:rPr>
              <w:t>Pravilnik o bližem sadržaju evidencije o izdatim sertifikatima o osposobljenosti vozača za prevoz opasnih materija(„Sl. list CG“, br.</w:t>
            </w:r>
            <w:r w:rsidRPr="00AB15C7">
              <w:rPr>
                <w:rFonts w:ascii="Cambria" w:hAnsi="Cambria"/>
                <w:noProof/>
              </w:rPr>
              <w:t xml:space="preserve"> </w:t>
            </w:r>
            <w:r w:rsidRPr="00AB15C7">
              <w:rPr>
                <w:rFonts w:ascii="Cambria" w:hAnsi="Cambria" w:cs="Arial"/>
                <w:bCs/>
                <w:noProof/>
              </w:rPr>
              <w:t>47/14)</w:t>
            </w:r>
          </w:p>
        </w:tc>
        <w:tc>
          <w:tcPr>
            <w:tcW w:w="445" w:type="pct"/>
            <w:tcBorders>
              <w:top w:val="single" w:sz="4" w:space="0" w:color="auto"/>
              <w:left w:val="single" w:sz="4" w:space="0" w:color="000000"/>
              <w:bottom w:val="single" w:sz="4" w:space="0" w:color="auto"/>
              <w:right w:val="single" w:sz="4" w:space="0" w:color="000000"/>
            </w:tcBorders>
          </w:tcPr>
          <w:p w14:paraId="2A2DE6EE"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3E00FDEB"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471A08D2"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propisuje se bliži sadržaj evidencije o izdatim sertifikatima o osposobljenosti vozača za prevoz opasnih materija po klasi opasne materije</w:t>
            </w:r>
          </w:p>
        </w:tc>
      </w:tr>
      <w:tr w:rsidR="0042058B" w:rsidRPr="00AB15C7" w14:paraId="7F84B5A2"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12E087F4" w14:textId="77777777" w:rsidR="0042058B" w:rsidRPr="00AB15C7" w:rsidRDefault="0042058B" w:rsidP="001711E5">
            <w:pPr>
              <w:spacing w:after="0"/>
              <w:rPr>
                <w:rFonts w:ascii="Cambria" w:hAnsi="Cambria" w:cs="Arial"/>
                <w:noProof/>
                <w:lang w:val="sr-Latn-ME"/>
              </w:rPr>
            </w:pPr>
            <w:r w:rsidRPr="00AB15C7">
              <w:rPr>
                <w:rFonts w:ascii="Cambria" w:hAnsi="Cambria" w:cs="Arial"/>
                <w:noProof/>
                <w:lang w:val="sr-Latn-ME"/>
              </w:rPr>
              <w:t>Pravilnik o sadržaju i obrascu zapisnika o inspekcijskom nadzoru nad prevozom opasnih materija u drumskom saobraćaju („Sl. list CG“, br.</w:t>
            </w:r>
            <w:r w:rsidRPr="00AB15C7">
              <w:rPr>
                <w:rFonts w:ascii="Cambria" w:hAnsi="Cambria"/>
                <w:noProof/>
              </w:rPr>
              <w:t xml:space="preserve"> </w:t>
            </w:r>
            <w:r w:rsidRPr="00AB15C7">
              <w:rPr>
                <w:rFonts w:ascii="Cambria" w:hAnsi="Cambria" w:cs="Arial"/>
                <w:noProof/>
                <w:lang w:val="sr-Latn-ME"/>
              </w:rPr>
              <w:t>58/14)</w:t>
            </w:r>
          </w:p>
        </w:tc>
        <w:tc>
          <w:tcPr>
            <w:tcW w:w="445" w:type="pct"/>
            <w:tcBorders>
              <w:top w:val="single" w:sz="4" w:space="0" w:color="auto"/>
              <w:left w:val="single" w:sz="4" w:space="0" w:color="000000"/>
              <w:bottom w:val="single" w:sz="4" w:space="0" w:color="auto"/>
              <w:right w:val="single" w:sz="4" w:space="0" w:color="000000"/>
            </w:tcBorders>
          </w:tcPr>
          <w:p w14:paraId="4ACC6632"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1E795BBE"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30C137C1" w14:textId="77777777" w:rsidR="0042058B" w:rsidRPr="00AB15C7" w:rsidRDefault="002E7F56" w:rsidP="005921EF">
            <w:pPr>
              <w:spacing w:after="0"/>
              <w:jc w:val="both"/>
              <w:rPr>
                <w:rFonts w:ascii="Cambria" w:hAnsi="Cambria" w:cs="Arial"/>
                <w:noProof/>
                <w:lang w:val="sr-Latn-ME"/>
              </w:rPr>
            </w:pPr>
            <w:r w:rsidRPr="002E7F56">
              <w:rPr>
                <w:rFonts w:ascii="Cambria" w:hAnsi="Cambria" w:cs="Arial"/>
                <w:noProof/>
                <w:lang w:val="sr-Latn-ME"/>
              </w:rPr>
              <w:t>propisuje se bliži sadržaj i obra</w:t>
            </w:r>
            <w:r>
              <w:rPr>
                <w:rFonts w:ascii="Cambria" w:hAnsi="Cambria" w:cs="Arial"/>
                <w:noProof/>
                <w:lang w:val="sr-Latn-ME"/>
              </w:rPr>
              <w:t>zac</w:t>
            </w:r>
            <w:r w:rsidRPr="002E7F56">
              <w:rPr>
                <w:rFonts w:ascii="Cambria" w:hAnsi="Cambria" w:cs="Arial"/>
                <w:noProof/>
                <w:lang w:val="sr-Latn-ME"/>
              </w:rPr>
              <w:t xml:space="preserve"> zapisnika o inspekcijskom nadzoru nad prevozom opasnih materija u drumskom saobraćaju</w:t>
            </w:r>
          </w:p>
        </w:tc>
      </w:tr>
      <w:tr w:rsidR="0042058B" w:rsidRPr="00AB15C7" w14:paraId="51C8A03A"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213915D8" w14:textId="77777777" w:rsidR="0042058B" w:rsidRPr="00AB15C7" w:rsidRDefault="0042058B" w:rsidP="001711E5">
            <w:pPr>
              <w:spacing w:after="0"/>
              <w:rPr>
                <w:rFonts w:ascii="Cambria" w:hAnsi="Cambria" w:cs="Arial"/>
                <w:noProof/>
                <w:lang w:val="sr-Latn-ME"/>
              </w:rPr>
            </w:pPr>
            <w:r w:rsidRPr="00AB15C7">
              <w:rPr>
                <w:rFonts w:ascii="Cambria" w:hAnsi="Cambria" w:cs="Arial"/>
                <w:noProof/>
                <w:lang w:val="sr-Latn-ME"/>
              </w:rPr>
              <w:t>Pravilnik o sadržaju i načinu vođenja evidencije o licu zaduženom za bezbjednost prevoza opasnih materija(„Sl. list CG“, br.</w:t>
            </w:r>
            <w:r w:rsidRPr="00AB15C7">
              <w:rPr>
                <w:rFonts w:ascii="Cambria" w:hAnsi="Cambria"/>
                <w:noProof/>
              </w:rPr>
              <w:t xml:space="preserve"> </w:t>
            </w:r>
            <w:r w:rsidRPr="00AB15C7">
              <w:rPr>
                <w:rFonts w:ascii="Cambria" w:hAnsi="Cambria" w:cs="Arial"/>
                <w:noProof/>
                <w:lang w:val="sr-Latn-ME"/>
              </w:rPr>
              <w:t>58/14)</w:t>
            </w:r>
          </w:p>
        </w:tc>
        <w:tc>
          <w:tcPr>
            <w:tcW w:w="445" w:type="pct"/>
            <w:tcBorders>
              <w:top w:val="single" w:sz="4" w:space="0" w:color="auto"/>
              <w:left w:val="single" w:sz="4" w:space="0" w:color="000000"/>
              <w:bottom w:val="single" w:sz="4" w:space="0" w:color="auto"/>
              <w:right w:val="single" w:sz="4" w:space="0" w:color="000000"/>
            </w:tcBorders>
          </w:tcPr>
          <w:p w14:paraId="2607BB0A"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119F319F"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233F6313" w14:textId="77777777" w:rsidR="0042058B" w:rsidRPr="00AB15C7" w:rsidRDefault="0042058B" w:rsidP="005921EF">
            <w:pPr>
              <w:spacing w:after="0"/>
              <w:rPr>
                <w:rFonts w:ascii="Cambria" w:hAnsi="Cambria" w:cs="Arial"/>
                <w:noProof/>
                <w:lang w:val="sr-Latn-ME"/>
              </w:rPr>
            </w:pPr>
            <w:r w:rsidRPr="00AB15C7">
              <w:rPr>
                <w:rFonts w:ascii="Cambria" w:hAnsi="Cambria" w:cs="Arial"/>
                <w:noProof/>
              </w:rPr>
              <w:t xml:space="preserve">propisuju se bliži podaci o licu zaduženom za bezbjednost prevoza opasnih materija (savjetnik za bezbjednost) koje prevoznik u drumskom i željezničkom saobraćaju, pošiljalac i primalac dostavljaju organu državne uprave </w:t>
            </w:r>
            <w:r w:rsidRPr="00AB15C7">
              <w:rPr>
                <w:rFonts w:ascii="Cambria" w:hAnsi="Cambria" w:cs="Arial"/>
                <w:noProof/>
              </w:rPr>
              <w:lastRenderedPageBreak/>
              <w:t>nadležnom za poslove zaštite i spašavanja, kao i sadržaj i način vođenja evidencije o tim podacima</w:t>
            </w:r>
          </w:p>
        </w:tc>
      </w:tr>
      <w:tr w:rsidR="0042058B" w:rsidRPr="00AB15C7" w14:paraId="3AC0A82F"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18B7A01F" w14:textId="77777777" w:rsidR="0042058B" w:rsidRPr="00AB15C7" w:rsidRDefault="0042058B" w:rsidP="001711E5">
            <w:pPr>
              <w:spacing w:after="0"/>
              <w:rPr>
                <w:rFonts w:ascii="Cambria" w:hAnsi="Cambria" w:cs="Arial"/>
                <w:noProof/>
                <w:lang w:val="sr-Latn-ME"/>
              </w:rPr>
            </w:pPr>
            <w:r w:rsidRPr="00AB15C7">
              <w:rPr>
                <w:rFonts w:ascii="Cambria" w:hAnsi="Cambria" w:cs="Arial"/>
                <w:noProof/>
                <w:lang w:val="sr-Latn-ME"/>
              </w:rPr>
              <w:t>Pravilnik o osposobljavanju zaposlenih u vezi prevoza opasnih materija i godišnjeg izvještaja o primjeni mjera bezbjednosti u prevozu opasnih materija(„Sl. list CG“, br.2/15)</w:t>
            </w:r>
          </w:p>
        </w:tc>
        <w:tc>
          <w:tcPr>
            <w:tcW w:w="445" w:type="pct"/>
            <w:tcBorders>
              <w:top w:val="single" w:sz="4" w:space="0" w:color="auto"/>
              <w:left w:val="single" w:sz="4" w:space="0" w:color="000000"/>
              <w:bottom w:val="single" w:sz="4" w:space="0" w:color="auto"/>
              <w:right w:val="single" w:sz="4" w:space="0" w:color="000000"/>
            </w:tcBorders>
          </w:tcPr>
          <w:p w14:paraId="578690F0"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6073328F"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3E677CF4" w14:textId="77777777" w:rsidR="0042058B" w:rsidRPr="00AB15C7" w:rsidRDefault="0042058B" w:rsidP="005921EF">
            <w:pPr>
              <w:spacing w:after="0"/>
              <w:rPr>
                <w:rFonts w:ascii="Cambria" w:hAnsi="Cambria" w:cs="Arial"/>
                <w:noProof/>
                <w:lang w:val="sr-Latn-ME"/>
              </w:rPr>
            </w:pPr>
            <w:r w:rsidRPr="00AB15C7">
              <w:rPr>
                <w:rFonts w:ascii="Cambria" w:hAnsi="Cambria" w:cs="Arial"/>
                <w:noProof/>
                <w:lang w:val="sr-Latn-ME"/>
              </w:rPr>
              <w:t>propisuje se bliži sadržaj evidencija o osposobljavanju zaposlenih u vezi prevoza opasnih materija i godišnjeg izvještaja o primjeni mjera bezbjednosti u prevozu</w:t>
            </w:r>
          </w:p>
          <w:p w14:paraId="233170CA" w14:textId="77777777" w:rsidR="0042058B" w:rsidRPr="00AB15C7" w:rsidRDefault="0042058B" w:rsidP="005921EF">
            <w:pPr>
              <w:spacing w:after="0"/>
              <w:rPr>
                <w:rFonts w:ascii="Cambria" w:hAnsi="Cambria" w:cs="Arial"/>
                <w:noProof/>
                <w:lang w:val="sr-Latn-ME"/>
              </w:rPr>
            </w:pPr>
            <w:r w:rsidRPr="00AB15C7">
              <w:rPr>
                <w:rFonts w:ascii="Cambria" w:hAnsi="Cambria" w:cs="Arial"/>
                <w:noProof/>
                <w:lang w:val="sr-Latn-ME"/>
              </w:rPr>
              <w:t>opasnih materija</w:t>
            </w:r>
          </w:p>
        </w:tc>
      </w:tr>
      <w:tr w:rsidR="0042058B" w:rsidRPr="00AB15C7" w14:paraId="53A97E85"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0C00F2C3" w14:textId="77777777" w:rsidR="0042058B" w:rsidRPr="00AB15C7" w:rsidRDefault="0042058B" w:rsidP="001711E5">
            <w:pPr>
              <w:spacing w:after="0"/>
              <w:rPr>
                <w:rFonts w:ascii="Cambria" w:hAnsi="Cambria" w:cs="Arial"/>
                <w:noProof/>
                <w:lang w:val="sr-Latn-ME"/>
              </w:rPr>
            </w:pPr>
            <w:r w:rsidRPr="00AB15C7">
              <w:rPr>
                <w:rFonts w:ascii="Cambria" w:hAnsi="Cambria" w:cs="Arial"/>
                <w:noProof/>
                <w:lang w:val="sr-Latn-ME"/>
              </w:rPr>
              <w:t>Pravilnik o obrascu sertifikata o ispravnosti vozila za prevoz opasnih materija(„Sl. list CG“, br.52/14)</w:t>
            </w:r>
          </w:p>
        </w:tc>
        <w:tc>
          <w:tcPr>
            <w:tcW w:w="445" w:type="pct"/>
            <w:tcBorders>
              <w:top w:val="single" w:sz="4" w:space="0" w:color="auto"/>
              <w:left w:val="single" w:sz="4" w:space="0" w:color="000000"/>
              <w:bottom w:val="single" w:sz="4" w:space="0" w:color="auto"/>
              <w:right w:val="single" w:sz="4" w:space="0" w:color="000000"/>
            </w:tcBorders>
          </w:tcPr>
          <w:p w14:paraId="1B6DD498"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5F819612"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09671BFD"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rPr>
              <w:t>Sertifikat o ispravnosti vozila za prevoz opasnih materija izdaje se na obrascu koji se propisuje ovim pravilnikom</w:t>
            </w:r>
          </w:p>
        </w:tc>
      </w:tr>
      <w:tr w:rsidR="0042058B" w:rsidRPr="00AB15C7" w14:paraId="7BC34016"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28678457" w14:textId="77777777" w:rsidR="0042058B" w:rsidRPr="00AB15C7" w:rsidRDefault="0042058B" w:rsidP="001711E5">
            <w:pPr>
              <w:spacing w:after="0"/>
              <w:rPr>
                <w:rFonts w:ascii="Cambria" w:hAnsi="Cambria" w:cs="Arial"/>
                <w:noProof/>
                <w:lang w:val="sr-Latn-ME"/>
              </w:rPr>
            </w:pPr>
            <w:r w:rsidRPr="00AB15C7">
              <w:rPr>
                <w:rFonts w:ascii="Cambria" w:hAnsi="Cambria" w:cs="Arial"/>
                <w:noProof/>
                <w:lang w:val="sr-Latn-ME"/>
              </w:rPr>
              <w:t>Pravilnik o obrascu Godišnjeg izvještaja o sprovođenju nadzora nad prevozom opasnih materija(„Sl. list CG“, br.</w:t>
            </w:r>
            <w:r w:rsidRPr="00AB15C7">
              <w:rPr>
                <w:rFonts w:ascii="Cambria" w:hAnsi="Cambria"/>
                <w:noProof/>
              </w:rPr>
              <w:t xml:space="preserve"> </w:t>
            </w:r>
            <w:r w:rsidRPr="00AB15C7">
              <w:rPr>
                <w:rFonts w:ascii="Cambria" w:hAnsi="Cambria" w:cs="Arial"/>
                <w:noProof/>
                <w:lang w:val="sr-Latn-ME"/>
              </w:rPr>
              <w:t>59/14)</w:t>
            </w:r>
          </w:p>
        </w:tc>
        <w:tc>
          <w:tcPr>
            <w:tcW w:w="445" w:type="pct"/>
            <w:tcBorders>
              <w:top w:val="single" w:sz="4" w:space="0" w:color="auto"/>
              <w:left w:val="single" w:sz="4" w:space="0" w:color="000000"/>
              <w:bottom w:val="single" w:sz="4" w:space="0" w:color="auto"/>
              <w:right w:val="single" w:sz="4" w:space="0" w:color="000000"/>
            </w:tcBorders>
          </w:tcPr>
          <w:p w14:paraId="264CD726"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6CE6829A"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622D37D1" w14:textId="77777777" w:rsidR="0042058B" w:rsidRPr="00AB15C7" w:rsidRDefault="0042058B" w:rsidP="002E7F56">
            <w:pPr>
              <w:spacing w:after="0"/>
              <w:jc w:val="both"/>
              <w:rPr>
                <w:rFonts w:ascii="Cambria" w:hAnsi="Cambria" w:cs="Arial"/>
                <w:noProof/>
                <w:lang w:val="sr-Latn-ME"/>
              </w:rPr>
            </w:pPr>
            <w:r w:rsidRPr="00AB15C7">
              <w:rPr>
                <w:rFonts w:ascii="Cambria" w:hAnsi="Cambria" w:cs="Arial"/>
                <w:noProof/>
                <w:lang w:val="sr-Latn-ME"/>
              </w:rPr>
              <w:t>propisuje se obrazac godišnjeg izvještaja o nadzoru nad sprovođenjem</w:t>
            </w:r>
            <w:r w:rsidR="002E7F56">
              <w:rPr>
                <w:rFonts w:ascii="Cambria" w:hAnsi="Cambria" w:cs="Arial"/>
                <w:noProof/>
                <w:lang w:val="sr-Latn-ME"/>
              </w:rPr>
              <w:t xml:space="preserve"> </w:t>
            </w:r>
            <w:r w:rsidRPr="00AB15C7">
              <w:rPr>
                <w:rFonts w:ascii="Cambria" w:hAnsi="Cambria" w:cs="Arial"/>
                <w:noProof/>
                <w:lang w:val="sr-Latn-ME"/>
              </w:rPr>
              <w:t>zakona kojim se uređuje prevoz opasnih materija</w:t>
            </w:r>
          </w:p>
        </w:tc>
      </w:tr>
      <w:tr w:rsidR="0042058B" w:rsidRPr="00AB15C7" w14:paraId="03279961"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0C7E932B" w14:textId="77777777" w:rsidR="0042058B" w:rsidRPr="00AB15C7" w:rsidRDefault="0042058B" w:rsidP="001711E5">
            <w:pPr>
              <w:spacing w:after="0"/>
              <w:rPr>
                <w:rFonts w:ascii="Cambria" w:hAnsi="Cambria" w:cs="Arial"/>
                <w:noProof/>
                <w:lang w:val="sr-Latn-ME"/>
              </w:rPr>
            </w:pPr>
            <w:r w:rsidRPr="00AB15C7">
              <w:rPr>
                <w:rFonts w:ascii="Cambria" w:hAnsi="Cambria" w:cs="Arial"/>
                <w:noProof/>
                <w:lang w:val="sr-Latn-ME"/>
              </w:rPr>
              <w:t>Pravilnik o bližem sadržaju zahtjeva za izdavanje i obrascu sertifikata o osposobljenosti vozača za prevoz opasnih materija(„Sl. list CG“, br.</w:t>
            </w:r>
            <w:r w:rsidRPr="00AB15C7">
              <w:rPr>
                <w:rFonts w:ascii="Cambria" w:hAnsi="Cambria"/>
                <w:noProof/>
              </w:rPr>
              <w:t xml:space="preserve"> </w:t>
            </w:r>
            <w:r w:rsidRPr="00AB15C7">
              <w:rPr>
                <w:rFonts w:ascii="Cambria" w:hAnsi="Cambria" w:cs="Arial"/>
                <w:noProof/>
                <w:lang w:val="sr-Latn-ME"/>
              </w:rPr>
              <w:t>26/15)</w:t>
            </w:r>
          </w:p>
        </w:tc>
        <w:tc>
          <w:tcPr>
            <w:tcW w:w="445" w:type="pct"/>
            <w:tcBorders>
              <w:top w:val="single" w:sz="4" w:space="0" w:color="auto"/>
              <w:left w:val="single" w:sz="4" w:space="0" w:color="000000"/>
              <w:bottom w:val="single" w:sz="4" w:space="0" w:color="auto"/>
              <w:right w:val="single" w:sz="4" w:space="0" w:color="000000"/>
            </w:tcBorders>
          </w:tcPr>
          <w:p w14:paraId="6EE07FCE"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359401F7"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0A1C2B96"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propisuje se bliži sadržaj zahtjeva za izdavanje sertifikata o</w:t>
            </w:r>
          </w:p>
          <w:p w14:paraId="75C0DE93" w14:textId="77777777" w:rsidR="0042058B" w:rsidRPr="00AB15C7" w:rsidRDefault="0042058B" w:rsidP="002E7F56">
            <w:pPr>
              <w:spacing w:after="0"/>
              <w:jc w:val="both"/>
              <w:rPr>
                <w:rFonts w:ascii="Cambria" w:hAnsi="Cambria" w:cs="Arial"/>
                <w:noProof/>
                <w:lang w:val="sr-Latn-ME"/>
              </w:rPr>
            </w:pPr>
            <w:r w:rsidRPr="00AB15C7">
              <w:rPr>
                <w:rFonts w:ascii="Cambria" w:hAnsi="Cambria" w:cs="Arial"/>
                <w:noProof/>
                <w:lang w:val="sr-Latn-ME"/>
              </w:rPr>
              <w:t xml:space="preserve">osposobljenosti vozača za prevoz opasnih materija po klasi opasne materije </w:t>
            </w:r>
            <w:r w:rsidR="002E7F56">
              <w:rPr>
                <w:rFonts w:ascii="Cambria" w:hAnsi="Cambria" w:cs="Arial"/>
                <w:noProof/>
                <w:lang w:val="sr-Latn-ME"/>
              </w:rPr>
              <w:t xml:space="preserve"> </w:t>
            </w:r>
            <w:r w:rsidRPr="00AB15C7">
              <w:rPr>
                <w:rFonts w:ascii="Cambria" w:hAnsi="Cambria" w:cs="Arial"/>
                <w:noProof/>
                <w:lang w:val="sr-Latn-ME"/>
              </w:rPr>
              <w:t>i obrazac sertifikata o osposobljenosti voza</w:t>
            </w:r>
          </w:p>
        </w:tc>
      </w:tr>
      <w:tr w:rsidR="0042058B" w:rsidRPr="00AB15C7" w14:paraId="3026C491"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2133C7FA" w14:textId="77777777" w:rsidR="0042058B" w:rsidRPr="00AB15C7" w:rsidRDefault="0042058B" w:rsidP="001711E5">
            <w:pPr>
              <w:spacing w:after="0"/>
              <w:rPr>
                <w:rFonts w:ascii="Cambria" w:hAnsi="Cambria" w:cs="Arial"/>
                <w:noProof/>
                <w:lang w:val="sr-Latn-ME"/>
              </w:rPr>
            </w:pPr>
            <w:r w:rsidRPr="00AB15C7">
              <w:rPr>
                <w:rFonts w:ascii="Cambria" w:hAnsi="Cambria" w:cs="Arial"/>
                <w:noProof/>
                <w:lang w:val="sr-Latn-ME"/>
              </w:rPr>
              <w:t>Pravilnik o bližem sadržaju evidencije o izdatim sertifikatima o osposobljenosti vozača za prevoz opasnih materija(„Sl. list CG“, br.</w:t>
            </w:r>
            <w:r w:rsidRPr="00AB15C7">
              <w:rPr>
                <w:rFonts w:ascii="Cambria" w:hAnsi="Cambria"/>
                <w:noProof/>
              </w:rPr>
              <w:t xml:space="preserve"> </w:t>
            </w:r>
            <w:r w:rsidRPr="00AB15C7">
              <w:rPr>
                <w:rFonts w:ascii="Cambria" w:hAnsi="Cambria" w:cs="Arial"/>
                <w:noProof/>
                <w:lang w:val="sr-Latn-ME"/>
              </w:rPr>
              <w:t>47/14)</w:t>
            </w:r>
          </w:p>
        </w:tc>
        <w:tc>
          <w:tcPr>
            <w:tcW w:w="445" w:type="pct"/>
            <w:tcBorders>
              <w:top w:val="single" w:sz="4" w:space="0" w:color="auto"/>
              <w:left w:val="single" w:sz="4" w:space="0" w:color="000000"/>
              <w:bottom w:val="single" w:sz="4" w:space="0" w:color="auto"/>
              <w:right w:val="single" w:sz="4" w:space="0" w:color="000000"/>
            </w:tcBorders>
          </w:tcPr>
          <w:p w14:paraId="5A8B7BF7"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341FA1C6"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3C8E0A1D" w14:textId="77777777" w:rsidR="0042058B" w:rsidRPr="00AB15C7" w:rsidRDefault="0042058B" w:rsidP="002E7F56">
            <w:pPr>
              <w:spacing w:after="0"/>
              <w:rPr>
                <w:rFonts w:ascii="Cambria" w:hAnsi="Cambria" w:cs="Arial"/>
                <w:noProof/>
                <w:lang w:val="sr-Latn-ME"/>
              </w:rPr>
            </w:pPr>
            <w:r w:rsidRPr="00AB15C7">
              <w:rPr>
                <w:rFonts w:ascii="Cambria" w:hAnsi="Cambria" w:cs="Arial"/>
                <w:noProof/>
                <w:lang w:val="sr-Latn-ME"/>
              </w:rPr>
              <w:t>propisuje se bliži sadržaj evidencije o izdatim sertifikatima o</w:t>
            </w:r>
            <w:r w:rsidR="002E7F56">
              <w:rPr>
                <w:rFonts w:ascii="Cambria" w:hAnsi="Cambria" w:cs="Arial"/>
                <w:noProof/>
                <w:lang w:val="sr-Latn-ME"/>
              </w:rPr>
              <w:t xml:space="preserve"> </w:t>
            </w:r>
            <w:r w:rsidRPr="00AB15C7">
              <w:rPr>
                <w:rFonts w:ascii="Cambria" w:hAnsi="Cambria" w:cs="Arial"/>
                <w:noProof/>
                <w:lang w:val="sr-Latn-ME"/>
              </w:rPr>
              <w:t>osposobljenosti vozača za prevoz opasnih materija po klasi opasne materije</w:t>
            </w:r>
          </w:p>
        </w:tc>
      </w:tr>
      <w:tr w:rsidR="0042058B" w:rsidRPr="00AB15C7" w14:paraId="023BECA0"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5A4FB3D5" w14:textId="77777777" w:rsidR="0042058B" w:rsidRPr="00AB15C7" w:rsidRDefault="0042058B" w:rsidP="001711E5">
            <w:pPr>
              <w:spacing w:after="0"/>
              <w:rPr>
                <w:rFonts w:ascii="Cambria" w:hAnsi="Cambria" w:cs="Arial"/>
                <w:noProof/>
                <w:lang w:val="sr-Latn-ME"/>
              </w:rPr>
            </w:pPr>
            <w:r w:rsidRPr="00AB15C7">
              <w:rPr>
                <w:rFonts w:ascii="Cambria" w:hAnsi="Cambria" w:cs="Arial"/>
                <w:noProof/>
                <w:lang w:val="sr-Latn-ME"/>
              </w:rPr>
              <w:t>Pravilnik o bližem načinu organizovanja i sprovođenja provjere znanja lica zaduženog za bezbjednost prevoza opasnih materija („Sl. list CG“, br.</w:t>
            </w:r>
            <w:r w:rsidRPr="00AB15C7">
              <w:rPr>
                <w:rFonts w:ascii="Cambria" w:hAnsi="Cambria"/>
                <w:noProof/>
              </w:rPr>
              <w:t xml:space="preserve"> </w:t>
            </w:r>
            <w:r w:rsidRPr="00AB15C7">
              <w:rPr>
                <w:rFonts w:ascii="Cambria" w:hAnsi="Cambria" w:cs="Arial"/>
                <w:noProof/>
                <w:lang w:val="sr-Latn-ME"/>
              </w:rPr>
              <w:t>31/15)</w:t>
            </w:r>
          </w:p>
        </w:tc>
        <w:tc>
          <w:tcPr>
            <w:tcW w:w="445" w:type="pct"/>
            <w:tcBorders>
              <w:top w:val="single" w:sz="4" w:space="0" w:color="auto"/>
              <w:left w:val="single" w:sz="4" w:space="0" w:color="000000"/>
              <w:bottom w:val="single" w:sz="4" w:space="0" w:color="auto"/>
              <w:right w:val="single" w:sz="4" w:space="0" w:color="000000"/>
            </w:tcBorders>
          </w:tcPr>
          <w:p w14:paraId="3EB2E552"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701446B0"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54E8CE37" w14:textId="77777777" w:rsidR="0042058B" w:rsidRPr="00AB15C7" w:rsidRDefault="0042058B" w:rsidP="002E7F56">
            <w:pPr>
              <w:spacing w:after="0"/>
              <w:ind w:right="-44"/>
              <w:rPr>
                <w:rFonts w:ascii="Cambria" w:hAnsi="Cambria" w:cs="Arial"/>
                <w:noProof/>
                <w:lang w:val="sr-Latn-ME"/>
              </w:rPr>
            </w:pPr>
            <w:r w:rsidRPr="00AB15C7">
              <w:rPr>
                <w:rFonts w:ascii="Cambria" w:hAnsi="Cambria" w:cs="Arial"/>
                <w:noProof/>
                <w:lang w:val="sr-Latn-ME"/>
              </w:rPr>
              <w:t>propisuje se bliži način organizovanja i sprovođenja provjere znanja lica zaduženog za bezbjednost prevoza opasnih materija u drumskom i željezničkom saobraćaju, obrascu uvjerenja o osposobljenosti za bezbjednost u prevozu opasnih materija, kao i način i postupak priznanja uvjerenja o osposobljenosti za bezbjednost u prevozu opasnih materija koje je izdao nadležni organ druge države.</w:t>
            </w:r>
          </w:p>
        </w:tc>
      </w:tr>
      <w:tr w:rsidR="0042058B" w:rsidRPr="00AB15C7" w14:paraId="20490639" w14:textId="77777777" w:rsidTr="00360F0F">
        <w:trPr>
          <w:trHeight w:val="480"/>
        </w:trPr>
        <w:tc>
          <w:tcPr>
            <w:tcW w:w="1684" w:type="pct"/>
            <w:tcBorders>
              <w:top w:val="single" w:sz="4" w:space="0" w:color="auto"/>
              <w:left w:val="double" w:sz="4" w:space="0" w:color="auto"/>
              <w:bottom w:val="single" w:sz="4" w:space="0" w:color="auto"/>
              <w:right w:val="single" w:sz="4" w:space="0" w:color="000000"/>
            </w:tcBorders>
          </w:tcPr>
          <w:p w14:paraId="4FF16508" w14:textId="77777777" w:rsidR="0042058B" w:rsidRPr="00AB15C7" w:rsidRDefault="0042058B" w:rsidP="001711E5">
            <w:pPr>
              <w:spacing w:after="0"/>
              <w:rPr>
                <w:rFonts w:ascii="Cambria" w:hAnsi="Cambria" w:cs="Arial"/>
                <w:noProof/>
                <w:lang w:val="sr-Latn-ME"/>
              </w:rPr>
            </w:pPr>
            <w:r w:rsidRPr="00AB15C7">
              <w:rPr>
                <w:rFonts w:ascii="Cambria" w:hAnsi="Cambria" w:cs="Arial"/>
                <w:noProof/>
                <w:lang w:val="sr-Latn-ME"/>
              </w:rPr>
              <w:t>Pravilnik o bližem načinu organizovanja i sprovođenja provjere znanja vozača za prevoz opasnih materija(„Sl. list CG“, br. 31/15)</w:t>
            </w:r>
          </w:p>
        </w:tc>
        <w:tc>
          <w:tcPr>
            <w:tcW w:w="445" w:type="pct"/>
            <w:tcBorders>
              <w:top w:val="single" w:sz="4" w:space="0" w:color="auto"/>
              <w:left w:val="single" w:sz="4" w:space="0" w:color="000000"/>
              <w:bottom w:val="single" w:sz="4" w:space="0" w:color="auto"/>
              <w:right w:val="single" w:sz="4" w:space="0" w:color="000000"/>
            </w:tcBorders>
          </w:tcPr>
          <w:p w14:paraId="7ABDB281"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MUP/DVS</w:t>
            </w:r>
          </w:p>
        </w:tc>
        <w:tc>
          <w:tcPr>
            <w:tcW w:w="869" w:type="pct"/>
            <w:tcBorders>
              <w:top w:val="single" w:sz="4" w:space="0" w:color="auto"/>
              <w:left w:val="single" w:sz="4" w:space="0" w:color="000000"/>
              <w:bottom w:val="single" w:sz="4" w:space="0" w:color="auto"/>
              <w:right w:val="single" w:sz="4" w:space="0" w:color="000000"/>
            </w:tcBorders>
          </w:tcPr>
          <w:p w14:paraId="5A760476" w14:textId="77777777" w:rsidR="0042058B" w:rsidRPr="00AB15C7" w:rsidRDefault="0042058B" w:rsidP="005921EF">
            <w:pPr>
              <w:spacing w:after="0"/>
              <w:jc w:val="both"/>
              <w:rPr>
                <w:rFonts w:ascii="Cambria" w:hAnsi="Cambria" w:cs="Arial"/>
                <w:noProof/>
                <w:lang w:val="sr-Latn-ME"/>
              </w:rPr>
            </w:pPr>
            <w:r w:rsidRPr="00AB15C7">
              <w:rPr>
                <w:rFonts w:ascii="Cambria" w:hAnsi="Cambria" w:cs="Arial"/>
                <w:noProof/>
                <w:lang w:val="sr-Latn-ME"/>
              </w:rPr>
              <w:t>Opasne materije u prevozu</w:t>
            </w:r>
          </w:p>
        </w:tc>
        <w:tc>
          <w:tcPr>
            <w:tcW w:w="2002" w:type="pct"/>
            <w:tcBorders>
              <w:top w:val="single" w:sz="4" w:space="0" w:color="auto"/>
              <w:left w:val="single" w:sz="4" w:space="0" w:color="000000"/>
              <w:bottom w:val="single" w:sz="4" w:space="0" w:color="auto"/>
              <w:right w:val="double" w:sz="4" w:space="0" w:color="auto"/>
            </w:tcBorders>
          </w:tcPr>
          <w:p w14:paraId="7C95F79C" w14:textId="77777777" w:rsidR="0042058B" w:rsidRPr="00AB15C7" w:rsidRDefault="0042058B" w:rsidP="002E7F56">
            <w:pPr>
              <w:spacing w:after="0"/>
              <w:rPr>
                <w:rFonts w:ascii="Cambria" w:hAnsi="Cambria" w:cs="Arial"/>
                <w:noProof/>
                <w:lang w:val="sr-Latn-ME"/>
              </w:rPr>
            </w:pPr>
            <w:r w:rsidRPr="00AB15C7">
              <w:rPr>
                <w:rFonts w:ascii="Cambria" w:hAnsi="Cambria" w:cs="Arial"/>
                <w:noProof/>
                <w:lang w:val="sr-Latn-ME"/>
              </w:rPr>
              <w:t>propisuje se bliži način organizovanja i sprovođenja provjere znanja lica za</w:t>
            </w:r>
            <w:r w:rsidR="002E7F56">
              <w:rPr>
                <w:rFonts w:ascii="Cambria" w:hAnsi="Cambria" w:cs="Arial"/>
                <w:noProof/>
                <w:lang w:val="sr-Latn-ME"/>
              </w:rPr>
              <w:t xml:space="preserve"> </w:t>
            </w:r>
            <w:r w:rsidRPr="00AB15C7">
              <w:rPr>
                <w:rFonts w:ascii="Cambria" w:hAnsi="Cambria" w:cs="Arial"/>
                <w:noProof/>
                <w:lang w:val="sr-Latn-ME"/>
              </w:rPr>
              <w:t>upravljanje vozilom koje prevozi opasne materije u drumskom saobraćaju</w:t>
            </w:r>
          </w:p>
        </w:tc>
      </w:tr>
    </w:tbl>
    <w:p w14:paraId="2C807793" w14:textId="77777777" w:rsidR="0042058B" w:rsidRDefault="0042058B" w:rsidP="005921EF">
      <w:pPr>
        <w:autoSpaceDE w:val="0"/>
        <w:autoSpaceDN w:val="0"/>
        <w:adjustRightInd w:val="0"/>
        <w:spacing w:before="120" w:after="0"/>
        <w:jc w:val="both"/>
        <w:rPr>
          <w:rFonts w:ascii="Cambria" w:hAnsi="Cambria"/>
          <w:b/>
          <w:noProof/>
          <w:color w:val="000000"/>
          <w:lang w:val="sr-Latn-ME"/>
        </w:rPr>
      </w:pPr>
    </w:p>
    <w:p w14:paraId="57780516" w14:textId="77777777" w:rsidR="001711E5" w:rsidRDefault="001711E5" w:rsidP="005921EF">
      <w:pPr>
        <w:autoSpaceDE w:val="0"/>
        <w:autoSpaceDN w:val="0"/>
        <w:adjustRightInd w:val="0"/>
        <w:spacing w:before="120" w:after="0"/>
        <w:jc w:val="both"/>
        <w:rPr>
          <w:rFonts w:ascii="Cambria" w:hAnsi="Cambria"/>
          <w:b/>
          <w:noProof/>
          <w:color w:val="000000"/>
          <w:lang w:val="sr-Latn-ME"/>
        </w:rPr>
      </w:pPr>
    </w:p>
    <w:p w14:paraId="32681028" w14:textId="77777777" w:rsidR="0042058B" w:rsidRPr="00AB15C7" w:rsidRDefault="0033011A" w:rsidP="00557C13">
      <w:pPr>
        <w:numPr>
          <w:ilvl w:val="0"/>
          <w:numId w:val="30"/>
        </w:numPr>
        <w:jc w:val="both"/>
        <w:rPr>
          <w:rFonts w:ascii="Cambria" w:hAnsi="Cambria"/>
          <w:b/>
          <w:noProof/>
        </w:rPr>
      </w:pPr>
      <w:r w:rsidRPr="00AB15C7">
        <w:rPr>
          <w:rFonts w:ascii="Cambria" w:hAnsi="Cambria"/>
          <w:b/>
          <w:noProof/>
        </w:rPr>
        <w:t>Ostali propisi</w:t>
      </w:r>
    </w:p>
    <w:p w14:paraId="5D40AF56" w14:textId="289DF4F8" w:rsidR="0042058B" w:rsidRPr="00A76A53" w:rsidRDefault="0042058B" w:rsidP="00A76A53">
      <w:pPr>
        <w:autoSpaceDE w:val="0"/>
        <w:autoSpaceDN w:val="0"/>
        <w:adjustRightInd w:val="0"/>
        <w:spacing w:before="120" w:after="120"/>
        <w:rPr>
          <w:rFonts w:ascii="Cambria" w:hAnsi="Cambria"/>
          <w:b/>
          <w:i/>
          <w:noProof/>
          <w:lang w:val="sr-Latn-ME"/>
        </w:rPr>
      </w:pPr>
      <w:r w:rsidRPr="00A76A53">
        <w:rPr>
          <w:rFonts w:ascii="Cambria" w:hAnsi="Cambria"/>
          <w:b/>
          <w:i/>
          <w:noProof/>
          <w:lang w:val="sr-Latn-ME"/>
        </w:rPr>
        <w:lastRenderedPageBreak/>
        <w:t xml:space="preserve">Tabela </w:t>
      </w:r>
      <w:r w:rsidR="0033011A" w:rsidRPr="00A76A53">
        <w:rPr>
          <w:rFonts w:ascii="Cambria" w:hAnsi="Cambria"/>
          <w:b/>
          <w:i/>
          <w:noProof/>
          <w:lang w:val="sr-Latn-ME"/>
        </w:rPr>
        <w:t>A1</w:t>
      </w:r>
      <w:r w:rsidR="00E60B92">
        <w:rPr>
          <w:rFonts w:ascii="Cambria" w:hAnsi="Cambria"/>
          <w:b/>
          <w:i/>
          <w:noProof/>
          <w:lang w:val="sr-Latn-ME"/>
        </w:rPr>
        <w:t>3</w:t>
      </w:r>
      <w:r w:rsidRPr="00A76A53">
        <w:rPr>
          <w:rFonts w:ascii="Cambria" w:hAnsi="Cambria"/>
          <w:b/>
          <w:i/>
          <w:noProof/>
          <w:lang w:val="sr-Latn-ME"/>
        </w:rPr>
        <w:t xml:space="preserve">. </w:t>
      </w:r>
      <w:r w:rsidRPr="00A76A53">
        <w:rPr>
          <w:rFonts w:ascii="Cambria" w:hAnsi="Cambria"/>
          <w:b/>
          <w:noProof/>
          <w:lang w:val="sr-Latn-ME"/>
        </w:rPr>
        <w:t xml:space="preserve">Važeći propisi </w:t>
      </w:r>
      <w:r w:rsidR="0033011A" w:rsidRPr="00A76A53">
        <w:rPr>
          <w:rFonts w:ascii="Cambria" w:hAnsi="Cambria"/>
          <w:b/>
          <w:noProof/>
          <w:lang w:val="sr-Latn-ME"/>
        </w:rPr>
        <w:t xml:space="preserve">iz ostalih oblasti koji su </w:t>
      </w:r>
      <w:r w:rsidRPr="00A76A53">
        <w:rPr>
          <w:rFonts w:ascii="Cambria" w:hAnsi="Cambria"/>
          <w:b/>
          <w:noProof/>
          <w:lang w:val="sr-Latn-ME"/>
        </w:rPr>
        <w:t>od značaja za upravljanje hemikalijama</w:t>
      </w:r>
    </w:p>
    <w:tbl>
      <w:tblPr>
        <w:tblW w:w="5221" w:type="pct"/>
        <w:tblBorders>
          <w:top w:val="double" w:sz="4" w:space="0" w:color="auto"/>
          <w:left w:val="double" w:sz="4" w:space="0" w:color="auto"/>
          <w:bottom w:val="double" w:sz="4" w:space="0" w:color="auto"/>
          <w:right w:val="double" w:sz="4" w:space="0" w:color="auto"/>
          <w:insideH w:val="single" w:sz="4" w:space="0" w:color="auto"/>
          <w:insideV w:val="single" w:sz="4" w:space="0" w:color="000000"/>
        </w:tblBorders>
        <w:tblLook w:val="04A0" w:firstRow="1" w:lastRow="0" w:firstColumn="1" w:lastColumn="0" w:noHBand="0" w:noVBand="1"/>
      </w:tblPr>
      <w:tblGrid>
        <w:gridCol w:w="3421"/>
        <w:gridCol w:w="1611"/>
        <w:gridCol w:w="9353"/>
      </w:tblGrid>
      <w:tr w:rsidR="0042058B" w:rsidRPr="00AB15C7" w14:paraId="51AA3A92" w14:textId="77777777" w:rsidTr="00165701">
        <w:trPr>
          <w:trHeight w:val="480"/>
        </w:trPr>
        <w:tc>
          <w:tcPr>
            <w:tcW w:w="1189" w:type="pct"/>
            <w:shd w:val="clear" w:color="auto" w:fill="D9D9D9"/>
            <w:hideMark/>
          </w:tcPr>
          <w:p w14:paraId="15936A29" w14:textId="77777777" w:rsidR="0042058B" w:rsidRPr="00AB15C7" w:rsidRDefault="0042058B" w:rsidP="005921EF">
            <w:pPr>
              <w:spacing w:after="0"/>
              <w:jc w:val="center"/>
              <w:rPr>
                <w:rFonts w:ascii="Cambria" w:hAnsi="Cambria" w:cs="Arial"/>
                <w:b/>
                <w:noProof/>
                <w:lang w:val="sr-Latn-ME"/>
              </w:rPr>
            </w:pPr>
            <w:r w:rsidRPr="00AB15C7">
              <w:rPr>
                <w:rFonts w:ascii="Cambria" w:hAnsi="Cambria" w:cs="Arial"/>
                <w:b/>
                <w:noProof/>
                <w:lang w:val="sr-Latn-ME"/>
              </w:rPr>
              <w:t>Propis</w:t>
            </w:r>
          </w:p>
        </w:tc>
        <w:tc>
          <w:tcPr>
            <w:tcW w:w="560" w:type="pct"/>
            <w:shd w:val="clear" w:color="auto" w:fill="D9D9D9"/>
            <w:hideMark/>
          </w:tcPr>
          <w:p w14:paraId="535C5A4B" w14:textId="77777777" w:rsidR="0042058B" w:rsidRPr="00AB15C7" w:rsidRDefault="0042058B" w:rsidP="005921EF">
            <w:pPr>
              <w:spacing w:after="0"/>
              <w:jc w:val="center"/>
              <w:rPr>
                <w:rFonts w:ascii="Cambria" w:hAnsi="Cambria" w:cs="Arial"/>
                <w:b/>
                <w:noProof/>
                <w:lang w:val="sr-Latn-ME"/>
              </w:rPr>
            </w:pPr>
            <w:r w:rsidRPr="00AB15C7">
              <w:rPr>
                <w:rFonts w:ascii="Cambria" w:hAnsi="Cambria" w:cs="Arial"/>
                <w:b/>
                <w:noProof/>
                <w:lang w:val="sr-Latn-ME"/>
              </w:rPr>
              <w:t xml:space="preserve">Nadležni organ </w:t>
            </w:r>
          </w:p>
        </w:tc>
        <w:tc>
          <w:tcPr>
            <w:tcW w:w="3251" w:type="pct"/>
            <w:shd w:val="clear" w:color="auto" w:fill="D9D9D9"/>
            <w:hideMark/>
          </w:tcPr>
          <w:p w14:paraId="1900E051" w14:textId="77777777" w:rsidR="0042058B" w:rsidRPr="00AB15C7" w:rsidRDefault="0042058B" w:rsidP="005921EF">
            <w:pPr>
              <w:spacing w:after="0"/>
              <w:jc w:val="center"/>
              <w:rPr>
                <w:rFonts w:ascii="Cambria" w:hAnsi="Cambria" w:cs="Arial"/>
                <w:b/>
                <w:noProof/>
                <w:lang w:val="sr-Latn-ME"/>
              </w:rPr>
            </w:pPr>
            <w:r w:rsidRPr="00AB15C7">
              <w:rPr>
                <w:rFonts w:ascii="Cambria" w:hAnsi="Cambria" w:cs="Arial"/>
                <w:b/>
                <w:noProof/>
                <w:lang w:val="sr-Latn-ME"/>
              </w:rPr>
              <w:t>Značaj propisa</w:t>
            </w:r>
            <w:r w:rsidRPr="00AB15C7">
              <w:rPr>
                <w:rFonts w:ascii="Cambria" w:hAnsi="Cambria"/>
                <w:noProof/>
                <w:lang w:val="sr-Latn-ME"/>
              </w:rPr>
              <w:t xml:space="preserve"> </w:t>
            </w:r>
            <w:r w:rsidRPr="00AB15C7">
              <w:rPr>
                <w:rFonts w:ascii="Cambria" w:hAnsi="Cambria" w:cs="Arial"/>
                <w:b/>
                <w:noProof/>
                <w:lang w:val="sr-Latn-ME"/>
              </w:rPr>
              <w:t>za upravljanje hemikalijama</w:t>
            </w:r>
          </w:p>
        </w:tc>
      </w:tr>
      <w:tr w:rsidR="0042058B" w:rsidRPr="00AB15C7" w14:paraId="058B4B5F" w14:textId="77777777" w:rsidTr="00165701">
        <w:trPr>
          <w:trHeight w:val="1403"/>
        </w:trPr>
        <w:tc>
          <w:tcPr>
            <w:tcW w:w="1189" w:type="pct"/>
          </w:tcPr>
          <w:p w14:paraId="0A95E742" w14:textId="77777777" w:rsidR="0042058B" w:rsidRPr="00AB15C7" w:rsidRDefault="0042058B" w:rsidP="005921EF">
            <w:pPr>
              <w:rPr>
                <w:rFonts w:ascii="Cambria" w:hAnsi="Cambria"/>
                <w:noProof/>
              </w:rPr>
            </w:pPr>
            <w:r w:rsidRPr="00AB15C7">
              <w:rPr>
                <w:rFonts w:ascii="Cambria" w:eastAsia="Calibri" w:hAnsi="Cambria" w:cs="Times-Bold"/>
                <w:b/>
                <w:bCs/>
                <w:noProof/>
              </w:rPr>
              <w:t xml:space="preserve">Zakon o bezbjednosti hrane </w:t>
            </w:r>
            <w:r w:rsidRPr="00AB15C7">
              <w:rPr>
                <w:rFonts w:ascii="Cambria" w:eastAsia="Calibri" w:hAnsi="Cambria" w:cs="Times-Bold"/>
                <w:bCs/>
                <w:noProof/>
              </w:rPr>
              <w:t>("Sl. list CG", br. 57/15)</w:t>
            </w:r>
          </w:p>
        </w:tc>
        <w:tc>
          <w:tcPr>
            <w:tcW w:w="560" w:type="pct"/>
          </w:tcPr>
          <w:p w14:paraId="33D577E3"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MPRR/ UBHVFP</w:t>
            </w:r>
          </w:p>
        </w:tc>
        <w:tc>
          <w:tcPr>
            <w:tcW w:w="3251" w:type="pct"/>
          </w:tcPr>
          <w:p w14:paraId="1F65200D" w14:textId="4ECBA323" w:rsidR="0042058B" w:rsidRPr="00AB15C7" w:rsidRDefault="0042058B" w:rsidP="005921EF">
            <w:pPr>
              <w:rPr>
                <w:rFonts w:ascii="Cambria" w:hAnsi="Cambria"/>
                <w:noProof/>
              </w:rPr>
            </w:pPr>
            <w:r w:rsidRPr="00AB15C7">
              <w:rPr>
                <w:rFonts w:ascii="Cambria" w:hAnsi="Cambria" w:cs="Arial"/>
                <w:noProof/>
                <w:lang w:val="sr-Latn-ME"/>
              </w:rPr>
              <w:t xml:space="preserve">Ovim zakonom propisuju se uslovi za bezbjednost hrane i hrane za životinje, obaveze i odgovornosti subjekata u poslovanju hranom i hranom za životinje, uključujući i tradicionalne proizvode, kao i druga pitanja od značaja za bezbjednost hrane i hrane za životinje, radi zaštite života i zdravlja ljudi, životne sredine, potrošača i efikasnog funkcionisanja tržišta. </w:t>
            </w:r>
            <w:r w:rsidR="00715488" w:rsidRPr="00AB15C7">
              <w:rPr>
                <w:rFonts w:ascii="Cambria" w:hAnsi="Cambria" w:cs="Arial"/>
                <w:noProof/>
                <w:lang w:val="sr-Latn-ME"/>
              </w:rPr>
              <w:t>Izme</w:t>
            </w:r>
            <w:r w:rsidR="00715488">
              <w:rPr>
                <w:rFonts w:ascii="Cambria" w:hAnsi="Cambria" w:cs="Arial"/>
                <w:noProof/>
                <w:lang w:val="sr-Latn-ME"/>
              </w:rPr>
              <w:t>đ</w:t>
            </w:r>
            <w:r w:rsidR="00715488" w:rsidRPr="00AB15C7">
              <w:rPr>
                <w:rFonts w:ascii="Cambria" w:hAnsi="Cambria" w:cs="Arial"/>
                <w:noProof/>
                <w:lang w:val="sr-Latn-ME"/>
              </w:rPr>
              <w:t xml:space="preserve">u </w:t>
            </w:r>
            <w:r w:rsidRPr="00AB15C7">
              <w:rPr>
                <w:rFonts w:ascii="Cambria" w:hAnsi="Cambria" w:cs="Arial"/>
                <w:noProof/>
                <w:lang w:val="sr-Latn-ME"/>
              </w:rPr>
              <w:t>ostalog, ovaj zakon daje ovlašćenje za propisivanja maksimalno dozvoljenih koncentracija kontaminenata u hrani.</w:t>
            </w:r>
          </w:p>
        </w:tc>
      </w:tr>
      <w:tr w:rsidR="0042058B" w:rsidRPr="00AB15C7" w14:paraId="21812FCC" w14:textId="77777777" w:rsidTr="00165701">
        <w:trPr>
          <w:trHeight w:val="1403"/>
        </w:trPr>
        <w:tc>
          <w:tcPr>
            <w:tcW w:w="1189" w:type="pct"/>
          </w:tcPr>
          <w:p w14:paraId="4BD73B46" w14:textId="77777777" w:rsidR="0042058B" w:rsidRPr="00AB15C7" w:rsidRDefault="0042058B" w:rsidP="005921EF">
            <w:pPr>
              <w:rPr>
                <w:rFonts w:ascii="Cambria" w:eastAsia="Calibri" w:hAnsi="Cambria" w:cs="Times-Bold"/>
                <w:b/>
                <w:bCs/>
                <w:noProof/>
              </w:rPr>
            </w:pPr>
            <w:r w:rsidRPr="00AB15C7">
              <w:rPr>
                <w:rFonts w:ascii="Cambria" w:eastAsia="Calibri" w:hAnsi="Cambria" w:cs="Times-Bold"/>
                <w:b/>
                <w:bCs/>
                <w:noProof/>
              </w:rPr>
              <w:t xml:space="preserve">Uredba o  maksimalno dozvoljenim količinama kontaminenata u hrani </w:t>
            </w:r>
            <w:r w:rsidRPr="00AB15C7">
              <w:rPr>
                <w:rFonts w:ascii="Cambria" w:eastAsia="Calibri" w:hAnsi="Cambria" w:cs="Times-Bold"/>
                <w:bCs/>
                <w:noProof/>
              </w:rPr>
              <w:t>("Sl. list CG", br. 48/16)</w:t>
            </w:r>
          </w:p>
        </w:tc>
        <w:tc>
          <w:tcPr>
            <w:tcW w:w="560" w:type="pct"/>
          </w:tcPr>
          <w:p w14:paraId="1B09DC60"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MPRR/ UBHVFP</w:t>
            </w:r>
          </w:p>
        </w:tc>
        <w:tc>
          <w:tcPr>
            <w:tcW w:w="3251" w:type="pct"/>
          </w:tcPr>
          <w:p w14:paraId="64581096" w14:textId="77777777" w:rsidR="0042058B" w:rsidRPr="00AB15C7" w:rsidRDefault="0042058B" w:rsidP="005921EF">
            <w:pPr>
              <w:rPr>
                <w:rFonts w:ascii="Cambria" w:hAnsi="Cambria" w:cs="Arial"/>
                <w:noProof/>
                <w:lang w:val="sr-Latn-ME"/>
              </w:rPr>
            </w:pPr>
            <w:r w:rsidRPr="00AB15C7">
              <w:rPr>
                <w:rFonts w:ascii="Cambria" w:hAnsi="Cambria" w:cs="Arial"/>
                <w:noProof/>
                <w:lang w:val="sr-Latn-ME"/>
              </w:rPr>
              <w:t>Ovom uredbom propisuju se maksimalno dozvoljene količine kontaminenata u hrani i način sprječavanja stavljanja na tržište hrane koja sadrži kontaminente koje prelaze propisane granice. Uredba se odnosi na MDK za sledeće kontaminante: nitrati, mikotoksini, metali, 3-monohloropropan-1,2-diol (3-mcpd), dioksini i polihlorovani bifenili (PCB), policiklični aromatični ugljovodonici, melamin i njegovi strukturni analozi, nerazdvojivi biljni toksini.</w:t>
            </w:r>
          </w:p>
        </w:tc>
      </w:tr>
      <w:tr w:rsidR="0036786E" w:rsidRPr="00AB15C7" w14:paraId="2109D42A" w14:textId="77777777" w:rsidTr="00165701">
        <w:trPr>
          <w:trHeight w:val="1403"/>
        </w:trPr>
        <w:tc>
          <w:tcPr>
            <w:tcW w:w="1189" w:type="pct"/>
          </w:tcPr>
          <w:p w14:paraId="74136EC3" w14:textId="77777777" w:rsidR="0036786E" w:rsidRPr="00AB15C7" w:rsidRDefault="0036786E" w:rsidP="005921EF">
            <w:pPr>
              <w:autoSpaceDE w:val="0"/>
              <w:autoSpaceDN w:val="0"/>
              <w:adjustRightInd w:val="0"/>
              <w:spacing w:after="0"/>
              <w:rPr>
                <w:rFonts w:ascii="Cambria" w:eastAsia="Calibri" w:hAnsi="Cambria" w:cs="Times-Bold"/>
                <w:b/>
                <w:bCs/>
                <w:noProof/>
              </w:rPr>
            </w:pPr>
            <w:r w:rsidRPr="00AB15C7">
              <w:rPr>
                <w:rFonts w:ascii="Cambria" w:eastAsia="Calibri" w:hAnsi="Cambria" w:cs="Times-Bold"/>
                <w:b/>
                <w:bCs/>
                <w:noProof/>
              </w:rPr>
              <w:t>Pravilnik o načinu uzimanja uzoraka hrane i metodama laboratorijskih ispitivanja kontaminenata u hrani</w:t>
            </w:r>
          </w:p>
          <w:p w14:paraId="288D1DE3" w14:textId="77777777" w:rsidR="0036786E" w:rsidRPr="00AB15C7" w:rsidRDefault="0036786E" w:rsidP="005921EF">
            <w:pPr>
              <w:autoSpaceDE w:val="0"/>
              <w:autoSpaceDN w:val="0"/>
              <w:adjustRightInd w:val="0"/>
              <w:spacing w:after="0"/>
              <w:rPr>
                <w:rFonts w:ascii="Cambria" w:eastAsia="Calibri" w:hAnsi="Cambria" w:cs="Times-Bold"/>
                <w:bCs/>
                <w:noProof/>
              </w:rPr>
            </w:pPr>
            <w:r w:rsidRPr="00AB15C7">
              <w:rPr>
                <w:rFonts w:ascii="Cambria" w:eastAsia="Calibri" w:hAnsi="Cambria" w:cs="Times-Bold"/>
                <w:bCs/>
                <w:noProof/>
              </w:rPr>
              <w:t>("Sl. list CG", br. 19/17 i 38/17)</w:t>
            </w:r>
          </w:p>
        </w:tc>
        <w:tc>
          <w:tcPr>
            <w:tcW w:w="560" w:type="pct"/>
          </w:tcPr>
          <w:p w14:paraId="48C0486F" w14:textId="77777777" w:rsidR="0036786E" w:rsidRPr="00AB15C7" w:rsidRDefault="0036786E" w:rsidP="005921EF">
            <w:pPr>
              <w:jc w:val="center"/>
              <w:rPr>
                <w:rFonts w:ascii="Cambria" w:hAnsi="Cambria" w:cs="Arial"/>
                <w:noProof/>
                <w:lang w:val="sr-Latn-ME"/>
              </w:rPr>
            </w:pPr>
            <w:r w:rsidRPr="00AB15C7">
              <w:rPr>
                <w:rFonts w:ascii="Cambria" w:hAnsi="Cambria" w:cs="Arial"/>
                <w:noProof/>
                <w:lang w:val="sr-Latn-ME"/>
              </w:rPr>
              <w:t>MPRR/ UBHVFP</w:t>
            </w:r>
          </w:p>
        </w:tc>
        <w:tc>
          <w:tcPr>
            <w:tcW w:w="3251" w:type="pct"/>
          </w:tcPr>
          <w:p w14:paraId="13A7A24B" w14:textId="77777777" w:rsidR="0036786E" w:rsidRPr="00AB15C7" w:rsidRDefault="0036786E" w:rsidP="005921EF">
            <w:pPr>
              <w:rPr>
                <w:rFonts w:ascii="Cambria" w:hAnsi="Cambria" w:cs="Arial"/>
                <w:noProof/>
                <w:lang w:val="sr-Latn-ME"/>
              </w:rPr>
            </w:pPr>
            <w:r w:rsidRPr="00AB15C7">
              <w:rPr>
                <w:rFonts w:ascii="Cambria" w:hAnsi="Cambria" w:cs="Arial"/>
                <w:noProof/>
                <w:lang w:val="sr-Latn-ME"/>
              </w:rPr>
              <w:t>Ovim pravilnikom propisuje se način uzimanja uzoraka hrane, metode za laboratorijska ispitivanja i način praćenja kontaminenata u hrani.</w:t>
            </w:r>
          </w:p>
        </w:tc>
      </w:tr>
      <w:tr w:rsidR="0036786E" w:rsidRPr="00AB15C7" w14:paraId="58AD3F3A" w14:textId="77777777" w:rsidTr="00165701">
        <w:trPr>
          <w:trHeight w:val="1403"/>
        </w:trPr>
        <w:tc>
          <w:tcPr>
            <w:tcW w:w="1189" w:type="pct"/>
          </w:tcPr>
          <w:p w14:paraId="111D1C96" w14:textId="77777777" w:rsidR="0036786E" w:rsidRPr="00AB15C7" w:rsidRDefault="0036786E" w:rsidP="005921EF">
            <w:pPr>
              <w:rPr>
                <w:rFonts w:ascii="Cambria" w:eastAsia="Calibri" w:hAnsi="Cambria" w:cs="Times-Bold"/>
                <w:bCs/>
                <w:noProof/>
              </w:rPr>
            </w:pPr>
            <w:r w:rsidRPr="00AB15C7">
              <w:rPr>
                <w:rFonts w:ascii="Cambria" w:eastAsia="Calibri" w:hAnsi="Cambria" w:cs="Times-Bold"/>
                <w:b/>
                <w:bCs/>
                <w:noProof/>
              </w:rPr>
              <w:t xml:space="preserve">Uredba o načinu praćenja nivoa dioksina u hrani </w:t>
            </w:r>
            <w:r w:rsidRPr="00AB15C7">
              <w:rPr>
                <w:rFonts w:ascii="Cambria" w:eastAsia="Calibri" w:hAnsi="Cambria" w:cs="Times-Bold"/>
                <w:bCs/>
                <w:noProof/>
              </w:rPr>
              <w:t>("Sl. list CG", br. 73/16)</w:t>
            </w:r>
          </w:p>
        </w:tc>
        <w:tc>
          <w:tcPr>
            <w:tcW w:w="560" w:type="pct"/>
          </w:tcPr>
          <w:p w14:paraId="24DE6B5A" w14:textId="77777777" w:rsidR="0036786E" w:rsidRPr="00AB15C7" w:rsidRDefault="0036786E" w:rsidP="005921EF">
            <w:pPr>
              <w:jc w:val="center"/>
              <w:rPr>
                <w:rFonts w:ascii="Cambria" w:hAnsi="Cambria" w:cs="Arial"/>
                <w:noProof/>
                <w:lang w:val="sr-Latn-ME"/>
              </w:rPr>
            </w:pPr>
            <w:r w:rsidRPr="00AB15C7">
              <w:rPr>
                <w:rFonts w:ascii="Cambria" w:hAnsi="Cambria" w:cs="Arial"/>
                <w:noProof/>
                <w:lang w:val="sr-Latn-ME"/>
              </w:rPr>
              <w:t>MPRR/ UBHVFP</w:t>
            </w:r>
          </w:p>
        </w:tc>
        <w:tc>
          <w:tcPr>
            <w:tcW w:w="3251" w:type="pct"/>
          </w:tcPr>
          <w:p w14:paraId="03C932C4" w14:textId="77777777" w:rsidR="0036786E" w:rsidRPr="00AB15C7" w:rsidRDefault="0036786E" w:rsidP="005921EF">
            <w:pPr>
              <w:rPr>
                <w:rFonts w:ascii="Cambria" w:hAnsi="Cambria" w:cs="Arial"/>
                <w:noProof/>
                <w:lang w:val="sr-Latn-ME"/>
              </w:rPr>
            </w:pPr>
            <w:r w:rsidRPr="00AB15C7">
              <w:rPr>
                <w:rFonts w:ascii="Cambria" w:hAnsi="Cambria" w:cs="Arial"/>
                <w:noProof/>
                <w:lang w:val="sr-Latn-ME"/>
              </w:rPr>
              <w:t>Ovom uredbom propisuje se način praćenja nivoa dioksina, polihlorovanih bifenila sličnih dioksinima i polihlorovanih bifenila koji nijesu slični dioksinima u hrani (u daljem tekstu: dioksini).</w:t>
            </w:r>
          </w:p>
        </w:tc>
      </w:tr>
      <w:tr w:rsidR="0042058B" w:rsidRPr="00AB15C7" w14:paraId="3825CCE9" w14:textId="77777777" w:rsidTr="00165701">
        <w:trPr>
          <w:trHeight w:val="1403"/>
        </w:trPr>
        <w:tc>
          <w:tcPr>
            <w:tcW w:w="1189" w:type="pct"/>
          </w:tcPr>
          <w:p w14:paraId="095F6C7D" w14:textId="77777777" w:rsidR="0042058B" w:rsidRPr="00AB15C7" w:rsidRDefault="0042058B" w:rsidP="005921EF">
            <w:pPr>
              <w:autoSpaceDE w:val="0"/>
              <w:autoSpaceDN w:val="0"/>
              <w:adjustRightInd w:val="0"/>
              <w:spacing w:after="0"/>
              <w:rPr>
                <w:rFonts w:ascii="Cambria" w:eastAsia="Calibri" w:hAnsi="Cambria" w:cs="Times-Bold"/>
                <w:b/>
                <w:bCs/>
                <w:noProof/>
              </w:rPr>
            </w:pPr>
            <w:r w:rsidRPr="00AB15C7">
              <w:rPr>
                <w:rFonts w:ascii="Cambria" w:eastAsia="Calibri" w:hAnsi="Cambria" w:cs="Times-Bold"/>
                <w:b/>
                <w:bCs/>
                <w:noProof/>
              </w:rPr>
              <w:t>Uredba o maksimalno dozvoljenim količinama nepoželjnih supstanci u hrani za životinje</w:t>
            </w:r>
          </w:p>
          <w:p w14:paraId="2CD1B7C6" w14:textId="77777777" w:rsidR="0042058B" w:rsidRPr="00AB15C7" w:rsidRDefault="0042058B" w:rsidP="005921EF">
            <w:pPr>
              <w:autoSpaceDE w:val="0"/>
              <w:autoSpaceDN w:val="0"/>
              <w:adjustRightInd w:val="0"/>
              <w:spacing w:after="0"/>
              <w:rPr>
                <w:rFonts w:ascii="Cambria" w:eastAsia="Calibri" w:hAnsi="Cambria" w:cs="Times-Bold"/>
                <w:bCs/>
                <w:noProof/>
              </w:rPr>
            </w:pPr>
            <w:r w:rsidRPr="00AB15C7">
              <w:rPr>
                <w:rFonts w:ascii="Cambria" w:eastAsia="Calibri" w:hAnsi="Cambria" w:cs="Times-Bold"/>
                <w:bCs/>
                <w:noProof/>
              </w:rPr>
              <w:t>("Sl. list CG", br. 31/17)</w:t>
            </w:r>
          </w:p>
        </w:tc>
        <w:tc>
          <w:tcPr>
            <w:tcW w:w="560" w:type="pct"/>
          </w:tcPr>
          <w:p w14:paraId="048401E6"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MPRR/</w:t>
            </w:r>
            <w:r w:rsidRPr="00AB15C7">
              <w:rPr>
                <w:rFonts w:ascii="Cambria" w:hAnsi="Cambria" w:cs="Arial"/>
                <w:noProof/>
              </w:rPr>
              <w:t xml:space="preserve"> UBHVFP</w:t>
            </w:r>
          </w:p>
        </w:tc>
        <w:tc>
          <w:tcPr>
            <w:tcW w:w="3251" w:type="pct"/>
          </w:tcPr>
          <w:p w14:paraId="5749754C" w14:textId="753E55C5" w:rsidR="0042058B" w:rsidRPr="00AB15C7" w:rsidRDefault="0042058B" w:rsidP="005921EF">
            <w:pPr>
              <w:rPr>
                <w:rFonts w:ascii="Cambria" w:hAnsi="Cambria" w:cs="Arial"/>
                <w:noProof/>
                <w:lang w:val="sr-Latn-ME"/>
              </w:rPr>
            </w:pPr>
            <w:r w:rsidRPr="00AB15C7">
              <w:rPr>
                <w:rFonts w:ascii="Cambria" w:hAnsi="Cambria" w:cs="Arial"/>
                <w:noProof/>
                <w:lang w:val="sr-Latn-ME"/>
              </w:rPr>
              <w:t xml:space="preserve">Ovom uredbom propisuju se maksimalno dozvoljene količine nepoželjnih supstanci u hrani za životinje i način postupanja kod utvrđivanja izvora pojedinih nepoželjnih supstanci. </w:t>
            </w:r>
            <w:r w:rsidR="00715488" w:rsidRPr="00AB15C7">
              <w:rPr>
                <w:rFonts w:ascii="Cambria" w:hAnsi="Cambria" w:cs="Arial"/>
                <w:noProof/>
                <w:lang w:val="sr-Latn-ME"/>
              </w:rPr>
              <w:t>Izme</w:t>
            </w:r>
            <w:r w:rsidR="00715488">
              <w:rPr>
                <w:rFonts w:ascii="Cambria" w:hAnsi="Cambria" w:cs="Arial"/>
                <w:noProof/>
                <w:lang w:val="sr-Latn-ME"/>
              </w:rPr>
              <w:t>đ</w:t>
            </w:r>
            <w:r w:rsidR="00715488" w:rsidRPr="00AB15C7">
              <w:rPr>
                <w:rFonts w:ascii="Cambria" w:hAnsi="Cambria" w:cs="Arial"/>
                <w:noProof/>
                <w:lang w:val="sr-Latn-ME"/>
              </w:rPr>
              <w:t xml:space="preserve">u </w:t>
            </w:r>
            <w:r w:rsidRPr="00AB15C7">
              <w:rPr>
                <w:rFonts w:ascii="Cambria" w:hAnsi="Cambria" w:cs="Arial"/>
                <w:noProof/>
                <w:lang w:val="sr-Latn-ME"/>
              </w:rPr>
              <w:t>ostalog nepođeljene supstance uključuju i određene neorganske kontaminente i azotna jedinjenja, mikotoksine, organska jedinjenja hlora (POPs pesticide), dioksine i PCB</w:t>
            </w:r>
          </w:p>
        </w:tc>
      </w:tr>
      <w:tr w:rsidR="0042058B" w:rsidRPr="00AB15C7" w14:paraId="75E76DCC" w14:textId="77777777" w:rsidTr="00165701">
        <w:trPr>
          <w:trHeight w:val="1403"/>
        </w:trPr>
        <w:tc>
          <w:tcPr>
            <w:tcW w:w="1189" w:type="pct"/>
          </w:tcPr>
          <w:p w14:paraId="1D32DA7E" w14:textId="77777777" w:rsidR="0042058B" w:rsidRPr="00AB15C7" w:rsidRDefault="0042058B" w:rsidP="005921EF">
            <w:pPr>
              <w:autoSpaceDE w:val="0"/>
              <w:autoSpaceDN w:val="0"/>
              <w:adjustRightInd w:val="0"/>
              <w:spacing w:after="0"/>
              <w:rPr>
                <w:rFonts w:ascii="Cambria" w:eastAsia="Calibri" w:hAnsi="Cambria" w:cs="Times-Bold"/>
                <w:b/>
                <w:bCs/>
                <w:noProof/>
              </w:rPr>
            </w:pPr>
            <w:r w:rsidRPr="00AB15C7">
              <w:rPr>
                <w:rFonts w:ascii="Cambria" w:eastAsia="Calibri" w:hAnsi="Cambria" w:cs="Times-Bold"/>
                <w:b/>
                <w:bCs/>
                <w:noProof/>
              </w:rPr>
              <w:lastRenderedPageBreak/>
              <w:t xml:space="preserve">Pravilnik o bližim zahtjevima koje u pogledu bezbjednosti treba da ispunjava voda za piće </w:t>
            </w:r>
            <w:r w:rsidRPr="00AB15C7">
              <w:rPr>
                <w:rFonts w:ascii="Cambria" w:eastAsia="Calibri" w:hAnsi="Cambria" w:cs="Times-Bold"/>
                <w:bCs/>
                <w:noProof/>
              </w:rPr>
              <w:t>("Sl. list CG", br. 24/12 i</w:t>
            </w:r>
            <w:r w:rsidRPr="00AB15C7">
              <w:rPr>
                <w:rFonts w:ascii="Cambria" w:hAnsi="Cambria"/>
                <w:noProof/>
                <w:color w:val="000000"/>
                <w:shd w:val="clear" w:color="auto" w:fill="FFFFFF"/>
              </w:rPr>
              <w:t xml:space="preserve"> </w:t>
            </w:r>
            <w:r w:rsidRPr="00AB15C7">
              <w:rPr>
                <w:rFonts w:ascii="Cambria" w:eastAsia="Calibri" w:hAnsi="Cambria" w:cs="Times-Bold"/>
                <w:bCs/>
                <w:noProof/>
              </w:rPr>
              <w:t>32/15)</w:t>
            </w:r>
          </w:p>
        </w:tc>
        <w:tc>
          <w:tcPr>
            <w:tcW w:w="560" w:type="pct"/>
          </w:tcPr>
          <w:p w14:paraId="42F4D111"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MPRR/</w:t>
            </w:r>
            <w:r w:rsidRPr="00AB15C7">
              <w:rPr>
                <w:rFonts w:ascii="Cambria" w:hAnsi="Cambria" w:cs="Arial"/>
                <w:noProof/>
              </w:rPr>
              <w:t xml:space="preserve"> UBHVFP</w:t>
            </w:r>
          </w:p>
        </w:tc>
        <w:tc>
          <w:tcPr>
            <w:tcW w:w="3251" w:type="pct"/>
          </w:tcPr>
          <w:p w14:paraId="450542FB" w14:textId="736D6185" w:rsidR="0042058B" w:rsidRPr="00AB15C7" w:rsidRDefault="0042058B" w:rsidP="005921EF">
            <w:pPr>
              <w:rPr>
                <w:rFonts w:ascii="Cambria" w:hAnsi="Cambria" w:cs="Arial"/>
                <w:noProof/>
                <w:lang w:val="sr-Latn-ME"/>
              </w:rPr>
            </w:pPr>
            <w:r w:rsidRPr="00AB15C7">
              <w:rPr>
                <w:rFonts w:ascii="Cambria" w:hAnsi="Cambria" w:cs="Arial"/>
                <w:noProof/>
                <w:lang w:val="sr-Latn-ME"/>
              </w:rPr>
              <w:t>Propisuju se bliži zahtjevi koje u pogledu bezbjednosti treba da ispunjava voda za piće.</w:t>
            </w:r>
            <w:r w:rsidRPr="00AB15C7">
              <w:rPr>
                <w:rFonts w:ascii="Cambria" w:hAnsi="Cambria" w:cs="Arial"/>
                <w:noProof/>
                <w:lang w:val="sr-Latn-ME"/>
              </w:rPr>
              <w:cr/>
            </w:r>
            <w:r w:rsidR="00715488" w:rsidRPr="00AB15C7">
              <w:rPr>
                <w:rFonts w:ascii="Cambria" w:hAnsi="Cambria" w:cs="Arial"/>
                <w:noProof/>
                <w:lang w:val="sr-Latn-ME"/>
              </w:rPr>
              <w:t>Izme</w:t>
            </w:r>
            <w:r w:rsidR="00715488">
              <w:rPr>
                <w:rFonts w:ascii="Cambria" w:hAnsi="Cambria" w:cs="Arial"/>
                <w:noProof/>
                <w:lang w:val="sr-Latn-ME"/>
              </w:rPr>
              <w:t>đ</w:t>
            </w:r>
            <w:r w:rsidR="00715488" w:rsidRPr="00AB15C7">
              <w:rPr>
                <w:rFonts w:ascii="Cambria" w:hAnsi="Cambria" w:cs="Arial"/>
                <w:noProof/>
                <w:lang w:val="sr-Latn-ME"/>
              </w:rPr>
              <w:t xml:space="preserve">u </w:t>
            </w:r>
            <w:r w:rsidRPr="00AB15C7">
              <w:rPr>
                <w:rFonts w:ascii="Cambria" w:hAnsi="Cambria" w:cs="Arial"/>
                <w:noProof/>
                <w:lang w:val="sr-Latn-ME"/>
              </w:rPr>
              <w:t>ostalog ovim pravilnikom su utvrđene i Maksimalno dozvoljene vrijednosti fizičkih, fizičko-hemijskih i hemijskih parametara u vodi za piće.</w:t>
            </w:r>
          </w:p>
        </w:tc>
      </w:tr>
      <w:tr w:rsidR="0042058B" w:rsidRPr="00AB15C7" w14:paraId="05C33BA0" w14:textId="77777777" w:rsidTr="00165701">
        <w:trPr>
          <w:trHeight w:val="1403"/>
        </w:trPr>
        <w:tc>
          <w:tcPr>
            <w:tcW w:w="1189" w:type="pct"/>
          </w:tcPr>
          <w:p w14:paraId="4A6C2A6A" w14:textId="77777777" w:rsidR="0042058B" w:rsidRPr="00AB15C7" w:rsidRDefault="0042058B" w:rsidP="005921EF">
            <w:pPr>
              <w:autoSpaceDE w:val="0"/>
              <w:autoSpaceDN w:val="0"/>
              <w:adjustRightInd w:val="0"/>
              <w:spacing w:after="0"/>
              <w:rPr>
                <w:rFonts w:ascii="Cambria" w:eastAsia="Calibri" w:hAnsi="Cambria" w:cs="Times-Bold"/>
                <w:b/>
                <w:bCs/>
                <w:noProof/>
              </w:rPr>
            </w:pPr>
            <w:r w:rsidRPr="00AB15C7">
              <w:rPr>
                <w:rFonts w:ascii="Cambria" w:eastAsia="Calibri" w:hAnsi="Cambria" w:cs="Times-Bold"/>
                <w:b/>
                <w:bCs/>
                <w:noProof/>
              </w:rPr>
              <w:t>Pravilnik o bližim zahtjevima koje u pogledu bezbjednosti treba da ispunjava prirodna mineralna, stona i izvorska voda za piće</w:t>
            </w:r>
            <w:r w:rsidRPr="00AB15C7">
              <w:rPr>
                <w:rFonts w:ascii="Cambria" w:eastAsia="Calibri" w:hAnsi="Cambria" w:cs="Times-Bold"/>
                <w:bCs/>
                <w:noProof/>
              </w:rPr>
              <w:t>("Sl. list CG", br. 32/15)</w:t>
            </w:r>
          </w:p>
        </w:tc>
        <w:tc>
          <w:tcPr>
            <w:tcW w:w="560" w:type="pct"/>
          </w:tcPr>
          <w:p w14:paraId="32A3EF5D"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MPRR/</w:t>
            </w:r>
            <w:r w:rsidRPr="00AB15C7">
              <w:rPr>
                <w:rFonts w:ascii="Cambria" w:hAnsi="Cambria" w:cs="Arial"/>
                <w:noProof/>
              </w:rPr>
              <w:t xml:space="preserve"> UBHVFP</w:t>
            </w:r>
          </w:p>
        </w:tc>
        <w:tc>
          <w:tcPr>
            <w:tcW w:w="3251" w:type="pct"/>
          </w:tcPr>
          <w:p w14:paraId="562287DE" w14:textId="77777777" w:rsidR="0042058B" w:rsidRPr="00AB15C7" w:rsidRDefault="0042058B" w:rsidP="005921EF">
            <w:pPr>
              <w:rPr>
                <w:rFonts w:ascii="Cambria" w:hAnsi="Cambria" w:cs="Arial"/>
                <w:noProof/>
                <w:lang w:val="sr-Latn-ME"/>
              </w:rPr>
            </w:pPr>
            <w:r w:rsidRPr="00AB15C7">
              <w:rPr>
                <w:rFonts w:ascii="Cambria" w:hAnsi="Cambria" w:cs="Arial"/>
                <w:noProof/>
                <w:lang w:val="sr-Latn-ME"/>
              </w:rPr>
              <w:t>Ovim pravilnikom propisuju se bliži zahtjevi koje u pogledu bezbjednosti treba da ispunjava prirodna mineralna, stona i izvorska voda za piće, uključujući i Spisak materija koje mogu da predstavljanju rizik za zdravlje i njihove maksimalno dozvoljene koncentracije u vrijeme punjenja vode u ambalažu, kao i vode koja se nalazi na tržištu.</w:t>
            </w:r>
          </w:p>
        </w:tc>
      </w:tr>
      <w:tr w:rsidR="006F0170" w:rsidRPr="00AB15C7" w14:paraId="4486100C" w14:textId="77777777" w:rsidTr="00165701">
        <w:trPr>
          <w:trHeight w:val="1403"/>
        </w:trPr>
        <w:tc>
          <w:tcPr>
            <w:tcW w:w="1189" w:type="pct"/>
          </w:tcPr>
          <w:p w14:paraId="2DD312C9" w14:textId="77777777" w:rsidR="006F0170" w:rsidRPr="00AB15C7" w:rsidRDefault="006F0170" w:rsidP="006F0170">
            <w:pPr>
              <w:autoSpaceDE w:val="0"/>
              <w:autoSpaceDN w:val="0"/>
              <w:adjustRightInd w:val="0"/>
              <w:spacing w:after="0"/>
              <w:rPr>
                <w:rFonts w:ascii="Cambria" w:eastAsia="Calibri" w:hAnsi="Cambria" w:cs="Times-Bold"/>
                <w:b/>
                <w:bCs/>
                <w:noProof/>
              </w:rPr>
            </w:pPr>
            <w:r w:rsidRPr="006F0170">
              <w:rPr>
                <w:rFonts w:ascii="Cambria" w:eastAsia="Calibri" w:hAnsi="Cambria" w:cs="Times-Bold"/>
                <w:b/>
                <w:bCs/>
                <w:noProof/>
              </w:rPr>
              <w:t>Uredb</w:t>
            </w:r>
            <w:r>
              <w:rPr>
                <w:rFonts w:ascii="Cambria" w:eastAsia="Calibri" w:hAnsi="Cambria" w:cs="Times-Bold"/>
                <w:b/>
                <w:bCs/>
                <w:noProof/>
              </w:rPr>
              <w:t>a o</w:t>
            </w:r>
            <w:r w:rsidRPr="006F0170">
              <w:rPr>
                <w:rFonts w:ascii="Cambria" w:eastAsia="Calibri" w:hAnsi="Cambria" w:cs="Times-Bold"/>
                <w:b/>
                <w:bCs/>
                <w:noProof/>
              </w:rPr>
              <w:t xml:space="preserve"> predmetima i materijalima koji dolaze u kontakt sa hranom koji se mogu stavljati na tržište</w:t>
            </w:r>
            <w:r w:rsidRPr="006F0170">
              <w:rPr>
                <w:rFonts w:ascii="Cambria" w:eastAsia="Calibri" w:hAnsi="Cambria" w:cs="Times-Bold"/>
                <w:bCs/>
                <w:noProof/>
              </w:rPr>
              <w:t xml:space="preserve">("Sl. list CG", br. </w:t>
            </w:r>
            <w:r>
              <w:rPr>
                <w:rFonts w:ascii="Cambria" w:eastAsia="Calibri" w:hAnsi="Cambria" w:cs="Times-Bold"/>
                <w:bCs/>
                <w:noProof/>
              </w:rPr>
              <w:t>80</w:t>
            </w:r>
            <w:r w:rsidRPr="006F0170">
              <w:rPr>
                <w:rFonts w:ascii="Cambria" w:eastAsia="Calibri" w:hAnsi="Cambria" w:cs="Times-Bold"/>
                <w:bCs/>
                <w:noProof/>
              </w:rPr>
              <w:t>/1</w:t>
            </w:r>
            <w:r>
              <w:rPr>
                <w:rFonts w:ascii="Cambria" w:eastAsia="Calibri" w:hAnsi="Cambria" w:cs="Times-Bold"/>
                <w:bCs/>
                <w:noProof/>
              </w:rPr>
              <w:t>6</w:t>
            </w:r>
            <w:r w:rsidRPr="006F0170">
              <w:rPr>
                <w:rFonts w:ascii="Cambria" w:eastAsia="Calibri" w:hAnsi="Cambria" w:cs="Times-Bold"/>
                <w:bCs/>
                <w:noProof/>
              </w:rPr>
              <w:t>)</w:t>
            </w:r>
          </w:p>
        </w:tc>
        <w:tc>
          <w:tcPr>
            <w:tcW w:w="560" w:type="pct"/>
          </w:tcPr>
          <w:p w14:paraId="15848290" w14:textId="77777777" w:rsidR="006F0170" w:rsidRPr="00AB15C7" w:rsidRDefault="006F0170" w:rsidP="005921EF">
            <w:pPr>
              <w:jc w:val="center"/>
              <w:rPr>
                <w:rFonts w:ascii="Cambria" w:hAnsi="Cambria" w:cs="Arial"/>
                <w:noProof/>
                <w:lang w:val="sr-Latn-ME"/>
              </w:rPr>
            </w:pPr>
            <w:r w:rsidRPr="006F0170">
              <w:rPr>
                <w:rFonts w:ascii="Cambria" w:hAnsi="Cambria" w:cs="Arial"/>
                <w:noProof/>
                <w:lang w:val="sr-Latn-ME"/>
              </w:rPr>
              <w:t>MPRR/ UBHVFP</w:t>
            </w:r>
          </w:p>
        </w:tc>
        <w:tc>
          <w:tcPr>
            <w:tcW w:w="3251" w:type="pct"/>
          </w:tcPr>
          <w:p w14:paraId="1791841D" w14:textId="77777777" w:rsidR="006F0170" w:rsidRPr="00AB15C7" w:rsidRDefault="006F0170" w:rsidP="005921EF">
            <w:pPr>
              <w:rPr>
                <w:rFonts w:ascii="Cambria" w:hAnsi="Cambria" w:cs="Arial"/>
                <w:noProof/>
                <w:lang w:val="sr-Latn-ME"/>
              </w:rPr>
            </w:pPr>
            <w:r w:rsidRPr="006F0170">
              <w:rPr>
                <w:rFonts w:ascii="Cambria" w:hAnsi="Cambria" w:cs="Arial"/>
                <w:noProof/>
                <w:lang w:val="sr-Latn-ME"/>
              </w:rPr>
              <w:t>Ovom uredbom propisuju se predmeti i materijali koji dolaze u kontakt sa hranom, koji se mogu koristiti u proizvodnji, pripremi i preradi hrane i stavljati na tržište, način njihovog označavanja i dobra proizvođačka praksa.</w:t>
            </w:r>
          </w:p>
        </w:tc>
      </w:tr>
      <w:tr w:rsidR="0042058B" w:rsidRPr="00AB15C7" w14:paraId="500F8F1D" w14:textId="77777777" w:rsidTr="00165701">
        <w:trPr>
          <w:trHeight w:val="1403"/>
        </w:trPr>
        <w:tc>
          <w:tcPr>
            <w:tcW w:w="1189" w:type="pct"/>
          </w:tcPr>
          <w:p w14:paraId="66226915" w14:textId="77777777" w:rsidR="0042058B" w:rsidRPr="00AB15C7" w:rsidRDefault="0042058B" w:rsidP="005921EF">
            <w:pPr>
              <w:autoSpaceDE w:val="0"/>
              <w:autoSpaceDN w:val="0"/>
              <w:adjustRightInd w:val="0"/>
              <w:spacing w:after="0"/>
              <w:rPr>
                <w:rFonts w:ascii="Cambria" w:eastAsia="Calibri" w:hAnsi="Cambria" w:cs="Times-Bold"/>
                <w:b/>
                <w:bCs/>
                <w:noProof/>
              </w:rPr>
            </w:pPr>
            <w:r w:rsidRPr="00AB15C7">
              <w:rPr>
                <w:rFonts w:ascii="Cambria" w:eastAsia="Calibri" w:hAnsi="Cambria" w:cs="Times-Bold"/>
                <w:b/>
                <w:bCs/>
                <w:noProof/>
              </w:rPr>
              <w:t>Zakon o vodama</w:t>
            </w:r>
            <w:r w:rsidRPr="00AB15C7">
              <w:rPr>
                <w:rFonts w:ascii="Cambria" w:hAnsi="Cambria"/>
                <w:noProof/>
              </w:rPr>
              <w:t xml:space="preserve"> </w:t>
            </w:r>
            <w:r w:rsidRPr="00AB15C7">
              <w:rPr>
                <w:rFonts w:ascii="Cambria" w:eastAsia="Calibri" w:hAnsi="Cambria" w:cs="Times-Bold"/>
                <w:bCs/>
                <w:noProof/>
              </w:rPr>
              <w:t>(„Sl. list RCG“, br. 27/07 i „Sl. list CG“, br. 73/10, 32/11, 47/11,  48/15 i 52/16, 55/16, 2/17 i 80/17)</w:t>
            </w:r>
            <w:r w:rsidRPr="00AB15C7">
              <w:rPr>
                <w:rFonts w:ascii="Cambria" w:hAnsi="Cambria"/>
                <w:noProof/>
              </w:rPr>
              <w:t xml:space="preserve"> </w:t>
            </w:r>
          </w:p>
        </w:tc>
        <w:tc>
          <w:tcPr>
            <w:tcW w:w="560" w:type="pct"/>
          </w:tcPr>
          <w:p w14:paraId="51264AD5"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 xml:space="preserve">MPRR/ Uprava za vode </w:t>
            </w:r>
          </w:p>
        </w:tc>
        <w:tc>
          <w:tcPr>
            <w:tcW w:w="3251" w:type="pct"/>
          </w:tcPr>
          <w:p w14:paraId="45119F0D" w14:textId="46432E5E" w:rsidR="0042058B" w:rsidRPr="00AB15C7" w:rsidRDefault="00715488" w:rsidP="005921EF">
            <w:pPr>
              <w:rPr>
                <w:rFonts w:ascii="Cambria" w:hAnsi="Cambria" w:cs="Arial"/>
                <w:noProof/>
                <w:lang w:val="sr-Latn-ME"/>
              </w:rPr>
            </w:pPr>
            <w:r w:rsidRPr="00AB15C7">
              <w:rPr>
                <w:rFonts w:ascii="Cambria" w:hAnsi="Cambria" w:cs="Arial"/>
                <w:noProof/>
                <w:lang w:val="sr-Latn-ME"/>
              </w:rPr>
              <w:t>Izme</w:t>
            </w:r>
            <w:r>
              <w:rPr>
                <w:rFonts w:ascii="Cambria" w:hAnsi="Cambria" w:cs="Arial"/>
                <w:noProof/>
                <w:lang w:val="sr-Latn-ME"/>
              </w:rPr>
              <w:t>đ</w:t>
            </w:r>
            <w:r w:rsidRPr="00AB15C7">
              <w:rPr>
                <w:rFonts w:ascii="Cambria" w:hAnsi="Cambria" w:cs="Arial"/>
                <w:noProof/>
                <w:lang w:val="sr-Latn-ME"/>
              </w:rPr>
              <w:t xml:space="preserve">u </w:t>
            </w:r>
            <w:r w:rsidR="0042058B" w:rsidRPr="00AB15C7">
              <w:rPr>
                <w:rFonts w:ascii="Cambria" w:hAnsi="Cambria" w:cs="Arial"/>
                <w:noProof/>
                <w:lang w:val="sr-Latn-ME"/>
              </w:rPr>
              <w:t>ostalog ovim zakonom se uredjuje zaštita voda od zagađivanja, kao i kontrola kvaliteta vode za vodosnabdijevanje.</w:t>
            </w:r>
          </w:p>
        </w:tc>
      </w:tr>
      <w:tr w:rsidR="0042058B" w:rsidRPr="00AB15C7" w14:paraId="48F275C5" w14:textId="77777777" w:rsidTr="00165701">
        <w:trPr>
          <w:trHeight w:val="480"/>
        </w:trPr>
        <w:tc>
          <w:tcPr>
            <w:tcW w:w="1189" w:type="pct"/>
          </w:tcPr>
          <w:p w14:paraId="7FF219C2" w14:textId="77777777" w:rsidR="0042058B" w:rsidRPr="00AB15C7" w:rsidRDefault="0042058B" w:rsidP="005921EF">
            <w:pPr>
              <w:autoSpaceDE w:val="0"/>
              <w:autoSpaceDN w:val="0"/>
              <w:adjustRightInd w:val="0"/>
              <w:spacing w:after="0"/>
              <w:rPr>
                <w:rFonts w:ascii="Cambria" w:eastAsia="Calibri" w:hAnsi="Cambria" w:cs="Times-Bold"/>
                <w:b/>
                <w:bCs/>
                <w:noProof/>
              </w:rPr>
            </w:pPr>
            <w:r w:rsidRPr="00AB15C7">
              <w:rPr>
                <w:rFonts w:ascii="Cambria" w:eastAsia="Calibri" w:hAnsi="Cambria" w:cs="Times-Bold"/>
                <w:b/>
                <w:bCs/>
                <w:noProof/>
              </w:rPr>
              <w:t xml:space="preserve">Zakon o zaštiti dobrobiti životinja </w:t>
            </w:r>
            <w:r w:rsidRPr="00AB15C7">
              <w:rPr>
                <w:rFonts w:ascii="Cambria" w:eastAsia="Calibri" w:hAnsi="Cambria" w:cs="Times-Bold"/>
                <w:bCs/>
                <w:noProof/>
              </w:rPr>
              <w:t>("Sl. list CG", br. 14/08  I</w:t>
            </w:r>
            <w:r w:rsidRPr="00AB15C7">
              <w:rPr>
                <w:rFonts w:ascii="Cambria" w:hAnsi="Cambria"/>
                <w:noProof/>
              </w:rPr>
              <w:t xml:space="preserve"> </w:t>
            </w:r>
            <w:r w:rsidRPr="00AB15C7">
              <w:rPr>
                <w:rFonts w:ascii="Cambria" w:eastAsia="Calibri" w:hAnsi="Cambria" w:cs="Times-Bold"/>
                <w:bCs/>
                <w:noProof/>
              </w:rPr>
              <w:t>47/15 )</w:t>
            </w:r>
          </w:p>
          <w:p w14:paraId="05D31999" w14:textId="77777777" w:rsidR="0042058B" w:rsidRPr="00AB15C7" w:rsidRDefault="0042058B" w:rsidP="005921EF">
            <w:pPr>
              <w:autoSpaceDE w:val="0"/>
              <w:autoSpaceDN w:val="0"/>
              <w:adjustRightInd w:val="0"/>
              <w:spacing w:after="0"/>
              <w:rPr>
                <w:rFonts w:ascii="Cambria" w:eastAsia="Calibri" w:hAnsi="Cambria" w:cs="Times-Bold"/>
                <w:b/>
                <w:bCs/>
                <w:noProof/>
              </w:rPr>
            </w:pPr>
          </w:p>
        </w:tc>
        <w:tc>
          <w:tcPr>
            <w:tcW w:w="560" w:type="pct"/>
          </w:tcPr>
          <w:p w14:paraId="0E89A846"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MPRR/</w:t>
            </w:r>
            <w:r w:rsidRPr="00AB15C7">
              <w:rPr>
                <w:rFonts w:ascii="Cambria" w:hAnsi="Cambria" w:cs="Arial"/>
                <w:noProof/>
                <w:color w:val="000000"/>
                <w:shd w:val="clear" w:color="auto" w:fill="FFFFFF"/>
              </w:rPr>
              <w:t xml:space="preserve"> </w:t>
            </w:r>
            <w:r w:rsidRPr="00AB15C7">
              <w:rPr>
                <w:rFonts w:ascii="Cambria" w:hAnsi="Cambria" w:cs="Arial"/>
                <w:noProof/>
              </w:rPr>
              <w:t>UBHVFP</w:t>
            </w:r>
          </w:p>
        </w:tc>
        <w:tc>
          <w:tcPr>
            <w:tcW w:w="3251" w:type="pct"/>
          </w:tcPr>
          <w:p w14:paraId="520946EB" w14:textId="1A569A27" w:rsidR="0042058B" w:rsidRPr="00AB15C7" w:rsidRDefault="0042058B" w:rsidP="005921EF">
            <w:pPr>
              <w:rPr>
                <w:rFonts w:ascii="Cambria" w:hAnsi="Cambria" w:cs="Arial"/>
                <w:noProof/>
                <w:lang w:val="sr-Latn-ME"/>
              </w:rPr>
            </w:pPr>
            <w:r w:rsidRPr="00AB15C7">
              <w:rPr>
                <w:rFonts w:ascii="Cambria" w:hAnsi="Cambria" w:cs="Arial"/>
                <w:noProof/>
                <w:lang w:val="sr-Latn-ME"/>
              </w:rPr>
              <w:t xml:space="preserve">Ovim zakonom uređuju se prava, obaveze i odgovornosti fizičkih i pravnih lica za zaštitu dobrobiti životinja </w:t>
            </w:r>
            <w:r w:rsidR="00715488" w:rsidRPr="00AB15C7">
              <w:rPr>
                <w:rFonts w:ascii="Cambria" w:hAnsi="Cambria" w:cs="Arial"/>
                <w:noProof/>
                <w:lang w:val="sr-Latn-ME"/>
              </w:rPr>
              <w:t>izme</w:t>
            </w:r>
            <w:r w:rsidR="00715488">
              <w:rPr>
                <w:rFonts w:ascii="Cambria" w:hAnsi="Cambria" w:cs="Arial"/>
                <w:noProof/>
                <w:lang w:val="sr-Latn-ME"/>
              </w:rPr>
              <w:t>đ</w:t>
            </w:r>
            <w:r w:rsidR="00715488" w:rsidRPr="00AB15C7">
              <w:rPr>
                <w:rFonts w:ascii="Cambria" w:hAnsi="Cambria" w:cs="Arial"/>
                <w:noProof/>
                <w:lang w:val="sr-Latn-ME"/>
              </w:rPr>
              <w:t xml:space="preserve">u </w:t>
            </w:r>
            <w:r w:rsidRPr="00AB15C7">
              <w:rPr>
                <w:rFonts w:ascii="Cambria" w:hAnsi="Cambria" w:cs="Arial"/>
                <w:noProof/>
                <w:lang w:val="sr-Latn-ME"/>
              </w:rPr>
              <w:t>ostalog i u pogledu zaštite životinja od mučenja pri vršenju eksperimenata, pravila postupanja sa životinjama, kao i drugapitanja od značaja za zaštitu dobrobiti životinja.</w:t>
            </w:r>
          </w:p>
        </w:tc>
      </w:tr>
      <w:tr w:rsidR="0042058B" w:rsidRPr="00AB15C7" w14:paraId="05A673DD" w14:textId="77777777" w:rsidTr="00165701">
        <w:trPr>
          <w:trHeight w:val="480"/>
        </w:trPr>
        <w:tc>
          <w:tcPr>
            <w:tcW w:w="1189" w:type="pct"/>
          </w:tcPr>
          <w:p w14:paraId="189CDC96" w14:textId="77777777" w:rsidR="0042058B" w:rsidRPr="00AB15C7" w:rsidRDefault="0042058B" w:rsidP="005921EF">
            <w:pPr>
              <w:autoSpaceDE w:val="0"/>
              <w:autoSpaceDN w:val="0"/>
              <w:adjustRightInd w:val="0"/>
              <w:spacing w:after="0"/>
              <w:rPr>
                <w:rFonts w:ascii="Cambria" w:eastAsia="Calibri" w:hAnsi="Cambria" w:cs="Times-Bold"/>
                <w:b/>
                <w:bCs/>
                <w:noProof/>
                <w:lang w:val="sr-Latn-RS"/>
              </w:rPr>
            </w:pPr>
            <w:r w:rsidRPr="00AB15C7">
              <w:rPr>
                <w:rFonts w:ascii="Cambria" w:eastAsia="Calibri" w:hAnsi="Cambria" w:cs="Times-Bold"/>
                <w:b/>
                <w:bCs/>
                <w:noProof/>
                <w:lang w:val="sr-Latn-ME"/>
              </w:rPr>
              <w:t>Zakon o poljoprivrednom zemljištu ("Sl. list RCG", br. 15/92, 59/92, 27/94 i "Sl. list CG", br. 73/10 i 32/11)</w:t>
            </w:r>
          </w:p>
        </w:tc>
        <w:tc>
          <w:tcPr>
            <w:tcW w:w="560" w:type="pct"/>
          </w:tcPr>
          <w:p w14:paraId="54C72E0C"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MPRR</w:t>
            </w:r>
          </w:p>
          <w:p w14:paraId="783E6E1A"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MORT</w:t>
            </w:r>
          </w:p>
        </w:tc>
        <w:tc>
          <w:tcPr>
            <w:tcW w:w="3251" w:type="pct"/>
          </w:tcPr>
          <w:p w14:paraId="0E12E34B" w14:textId="77777777" w:rsidR="0042058B" w:rsidRPr="00AB15C7" w:rsidRDefault="0042058B" w:rsidP="005921EF">
            <w:pPr>
              <w:rPr>
                <w:rFonts w:ascii="Cambria" w:hAnsi="Cambria" w:cs="Arial"/>
                <w:noProof/>
                <w:lang w:val="sr-Latn-ME"/>
              </w:rPr>
            </w:pPr>
            <w:r w:rsidRPr="00AB15C7">
              <w:rPr>
                <w:rFonts w:ascii="Cambria" w:hAnsi="Cambria" w:cs="Arial"/>
                <w:noProof/>
                <w:lang w:val="sr-Latn-ME"/>
              </w:rPr>
              <w:t>Poljoprivredno zemljište, kao dobro od opšteg interesa, uživa posebnu zaštitu i koristi se pod uslovima i na način propisan ovim zakonom.</w:t>
            </w:r>
            <w:r w:rsidRPr="00AB15C7">
              <w:rPr>
                <w:rFonts w:ascii="Cambria" w:hAnsi="Cambria"/>
                <w:noProof/>
              </w:rPr>
              <w:t xml:space="preserve"> </w:t>
            </w:r>
            <w:r w:rsidRPr="00AB15C7">
              <w:rPr>
                <w:rFonts w:ascii="Cambria" w:hAnsi="Cambria" w:cs="Arial"/>
                <w:noProof/>
                <w:lang w:val="sr-Latn-ME"/>
              </w:rPr>
              <w:t>Zabranjeno je ispuštanje opasnih i štetnih materija u količini koja može da ošteti i promijeni proizvodna svojstva poljoprivrednog zemljišta i kvalitet poljoprivrednih kultura kao i nepravilna upotreba vještačkih đubriva i sredstava za zaštitu bilja.</w:t>
            </w:r>
          </w:p>
        </w:tc>
      </w:tr>
      <w:tr w:rsidR="0042058B" w:rsidRPr="00AB15C7" w14:paraId="0E52B583" w14:textId="77777777" w:rsidTr="00165701">
        <w:trPr>
          <w:trHeight w:val="480"/>
        </w:trPr>
        <w:tc>
          <w:tcPr>
            <w:tcW w:w="1189" w:type="pct"/>
            <w:hideMark/>
          </w:tcPr>
          <w:p w14:paraId="5DB7A0ED" w14:textId="77777777" w:rsidR="0042058B" w:rsidRPr="00AB15C7" w:rsidRDefault="0042058B" w:rsidP="005921EF">
            <w:pPr>
              <w:autoSpaceDE w:val="0"/>
              <w:autoSpaceDN w:val="0"/>
              <w:adjustRightInd w:val="0"/>
              <w:spacing w:after="0"/>
              <w:rPr>
                <w:rFonts w:ascii="Cambria" w:eastAsia="Calibri" w:hAnsi="Cambria" w:cs="Times-Bold"/>
                <w:bCs/>
                <w:noProof/>
                <w:lang w:val="sr-Latn-ME"/>
              </w:rPr>
            </w:pPr>
            <w:r w:rsidRPr="00AB15C7">
              <w:rPr>
                <w:rFonts w:ascii="Cambria" w:eastAsia="Calibri" w:hAnsi="Cambria" w:cs="Times-Bold"/>
                <w:b/>
                <w:bCs/>
                <w:noProof/>
                <w:lang w:val="sr-Latn-ME"/>
              </w:rPr>
              <w:t xml:space="preserve">Zakon o zaštiti i spašavanju </w:t>
            </w:r>
            <w:r w:rsidRPr="00AB15C7">
              <w:rPr>
                <w:rFonts w:ascii="Cambria" w:eastAsia="Calibri" w:hAnsi="Cambria" w:cs="Times-Bold"/>
                <w:bCs/>
                <w:noProof/>
                <w:lang w:val="sr-Latn-ME"/>
              </w:rPr>
              <w:t>(“Sl. list CG”, br. 13/07)</w:t>
            </w:r>
          </w:p>
        </w:tc>
        <w:tc>
          <w:tcPr>
            <w:tcW w:w="560" w:type="pct"/>
            <w:hideMark/>
          </w:tcPr>
          <w:p w14:paraId="68A5946A"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MUP</w:t>
            </w:r>
          </w:p>
        </w:tc>
        <w:tc>
          <w:tcPr>
            <w:tcW w:w="3251" w:type="pct"/>
            <w:hideMark/>
          </w:tcPr>
          <w:p w14:paraId="333B8B10" w14:textId="07648105" w:rsidR="0042058B" w:rsidRPr="00AB15C7" w:rsidRDefault="00715488" w:rsidP="005921EF">
            <w:pPr>
              <w:rPr>
                <w:rFonts w:ascii="Cambria" w:hAnsi="Cambria" w:cs="Arial"/>
                <w:noProof/>
                <w:lang w:val="sr-Latn-ME"/>
              </w:rPr>
            </w:pPr>
            <w:r w:rsidRPr="00AB15C7">
              <w:rPr>
                <w:rFonts w:ascii="Cambria" w:hAnsi="Cambria" w:cs="Arial"/>
                <w:noProof/>
                <w:lang w:val="sr-Latn-ME"/>
              </w:rPr>
              <w:t>Izme</w:t>
            </w:r>
            <w:r>
              <w:rPr>
                <w:rFonts w:ascii="Cambria" w:hAnsi="Cambria" w:cs="Arial"/>
                <w:noProof/>
                <w:lang w:val="sr-Latn-ME"/>
              </w:rPr>
              <w:t>đ</w:t>
            </w:r>
            <w:r w:rsidRPr="00AB15C7">
              <w:rPr>
                <w:rFonts w:ascii="Cambria" w:hAnsi="Cambria" w:cs="Arial"/>
                <w:noProof/>
                <w:lang w:val="sr-Latn-ME"/>
              </w:rPr>
              <w:t xml:space="preserve">u </w:t>
            </w:r>
            <w:r w:rsidR="0042058B" w:rsidRPr="00AB15C7">
              <w:rPr>
                <w:rFonts w:ascii="Cambria" w:hAnsi="Cambria" w:cs="Arial"/>
                <w:noProof/>
                <w:lang w:val="sr-Latn-ME"/>
              </w:rPr>
              <w:t xml:space="preserve">ostalog ovim zakonom se uredjuje skup mjera i radnji koje se preduzimaju u cilju otkrivanja i sprječavanja opasnosti od požara, tehničko-tehnoloških nesreća, hemijskih, </w:t>
            </w:r>
            <w:r w:rsidR="0042058B" w:rsidRPr="00AB15C7">
              <w:rPr>
                <w:rFonts w:ascii="Cambria" w:hAnsi="Cambria" w:cs="Arial"/>
                <w:noProof/>
                <w:lang w:val="sr-Latn-ME"/>
              </w:rPr>
              <w:lastRenderedPageBreak/>
              <w:t>bioloških, nuklearnih i radioloških kontaminacija, i drugih nesreća, kao i spašavanja građana i materijalnih dobara ugroženih njihovim djelovanjem. Zaštitu i spašavanje vrše operativne jedinice za zaštitu i spašavanje.</w:t>
            </w:r>
          </w:p>
        </w:tc>
      </w:tr>
      <w:tr w:rsidR="0042058B" w:rsidRPr="00AB15C7" w14:paraId="44508305" w14:textId="77777777" w:rsidTr="00165701">
        <w:trPr>
          <w:trHeight w:val="480"/>
        </w:trPr>
        <w:tc>
          <w:tcPr>
            <w:tcW w:w="1189" w:type="pct"/>
          </w:tcPr>
          <w:p w14:paraId="160A2E1F" w14:textId="77777777" w:rsidR="0042058B" w:rsidRPr="00AB15C7" w:rsidRDefault="0042058B" w:rsidP="005921EF">
            <w:pPr>
              <w:autoSpaceDE w:val="0"/>
              <w:autoSpaceDN w:val="0"/>
              <w:adjustRightInd w:val="0"/>
              <w:spacing w:after="0"/>
              <w:rPr>
                <w:rFonts w:ascii="Cambria" w:eastAsia="Calibri" w:hAnsi="Cambria" w:cs="Times-Bold"/>
                <w:b/>
                <w:bCs/>
                <w:noProof/>
                <w:lang w:val="sr-Latn-ME"/>
              </w:rPr>
            </w:pPr>
            <w:r w:rsidRPr="00AB15C7">
              <w:rPr>
                <w:rFonts w:ascii="Cambria" w:eastAsia="Calibri" w:hAnsi="Cambria" w:cs="Times-Bold"/>
                <w:b/>
                <w:bCs/>
                <w:noProof/>
                <w:lang w:val="sr-Latn-ME"/>
              </w:rPr>
              <w:t xml:space="preserve">Zakon o zapaljivim tečnostima i gasovima </w:t>
            </w:r>
            <w:r w:rsidRPr="00AB15C7">
              <w:rPr>
                <w:rFonts w:ascii="Cambria" w:eastAsia="Calibri" w:hAnsi="Cambria" w:cs="Times-Bold"/>
                <w:bCs/>
                <w:noProof/>
                <w:lang w:val="sr-Latn-ME"/>
              </w:rPr>
              <w:t>("Sl. list CG", br. 26/10, 31/10 i 48/15)</w:t>
            </w:r>
          </w:p>
        </w:tc>
        <w:tc>
          <w:tcPr>
            <w:tcW w:w="560" w:type="pct"/>
          </w:tcPr>
          <w:p w14:paraId="1F981256"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MUP</w:t>
            </w:r>
          </w:p>
        </w:tc>
        <w:tc>
          <w:tcPr>
            <w:tcW w:w="3251" w:type="pct"/>
          </w:tcPr>
          <w:p w14:paraId="28043420" w14:textId="77777777" w:rsidR="0042058B" w:rsidRPr="00AB15C7" w:rsidRDefault="0042058B" w:rsidP="005921EF">
            <w:pPr>
              <w:rPr>
                <w:rFonts w:ascii="Cambria" w:hAnsi="Cambria" w:cs="Arial"/>
                <w:noProof/>
                <w:lang w:val="sr-Latn-ME"/>
              </w:rPr>
            </w:pPr>
            <w:r w:rsidRPr="00AB15C7">
              <w:rPr>
                <w:rFonts w:ascii="Cambria" w:hAnsi="Cambria" w:cs="Arial"/>
                <w:noProof/>
                <w:lang w:val="sr-Latn-ME"/>
              </w:rPr>
              <w:t>U cilju zaštite života, zdravlja i bezbjednosti ljudi, životinja i biljaka, životne sredine i imovine, prilikom izgradnje i rekonstrukcije objekata, skladištenja, držanja, prometa, rukovanja i upotrebe zapaljivih tečnosti i gasova, moraju da se sprovode preventivne i zaštitne mjere bezbjednosti propisane ovim zakonom.</w:t>
            </w:r>
          </w:p>
        </w:tc>
      </w:tr>
      <w:tr w:rsidR="0042058B" w:rsidRPr="00AB15C7" w14:paraId="25BB101E" w14:textId="77777777" w:rsidTr="00165701">
        <w:trPr>
          <w:trHeight w:val="480"/>
        </w:trPr>
        <w:tc>
          <w:tcPr>
            <w:tcW w:w="1189" w:type="pct"/>
          </w:tcPr>
          <w:p w14:paraId="5FBF3706" w14:textId="77777777" w:rsidR="0042058B" w:rsidRPr="00AB15C7" w:rsidRDefault="0042058B" w:rsidP="005921EF">
            <w:pPr>
              <w:autoSpaceDE w:val="0"/>
              <w:autoSpaceDN w:val="0"/>
              <w:adjustRightInd w:val="0"/>
              <w:spacing w:after="0"/>
              <w:rPr>
                <w:rFonts w:ascii="Cambria" w:eastAsia="Calibri" w:hAnsi="Cambria" w:cs="Times-Bold"/>
                <w:b/>
                <w:bCs/>
                <w:noProof/>
              </w:rPr>
            </w:pPr>
            <w:r w:rsidRPr="00AB15C7">
              <w:rPr>
                <w:rFonts w:ascii="Cambria" w:eastAsia="Calibri" w:hAnsi="Cambria" w:cs="Times-Bold"/>
                <w:b/>
                <w:bCs/>
                <w:noProof/>
              </w:rPr>
              <w:t xml:space="preserve">Zakon o opštoj bezbjednosti proizvoda </w:t>
            </w:r>
            <w:r w:rsidRPr="00AB15C7">
              <w:rPr>
                <w:rFonts w:ascii="Cambria" w:eastAsia="Calibri" w:hAnsi="Cambria" w:cs="Times-Bold"/>
                <w:bCs/>
                <w:noProof/>
              </w:rPr>
              <w:t>(Sl. list CG“, br. 45/14 I 13/18)</w:t>
            </w:r>
          </w:p>
        </w:tc>
        <w:tc>
          <w:tcPr>
            <w:tcW w:w="560" w:type="pct"/>
          </w:tcPr>
          <w:p w14:paraId="45AEC3B6" w14:textId="77777777" w:rsidR="0042058B" w:rsidRPr="00AB15C7" w:rsidRDefault="0042058B" w:rsidP="005921EF">
            <w:pPr>
              <w:jc w:val="center"/>
              <w:rPr>
                <w:rFonts w:ascii="Cambria" w:hAnsi="Cambria" w:cs="Arial"/>
                <w:noProof/>
                <w:lang w:val="sr-Latn-ME"/>
              </w:rPr>
            </w:pPr>
            <w:r w:rsidRPr="00AB15C7">
              <w:rPr>
                <w:rFonts w:ascii="Cambria" w:hAnsi="Cambria" w:cs="Arial"/>
                <w:noProof/>
                <w:lang w:val="sr-Latn-ME"/>
              </w:rPr>
              <w:t>ME</w:t>
            </w:r>
          </w:p>
        </w:tc>
        <w:tc>
          <w:tcPr>
            <w:tcW w:w="3251" w:type="pct"/>
          </w:tcPr>
          <w:p w14:paraId="5C96F17C" w14:textId="77777777" w:rsidR="0042058B" w:rsidRPr="00AB15C7" w:rsidRDefault="006F0170" w:rsidP="005921EF">
            <w:pPr>
              <w:rPr>
                <w:rFonts w:ascii="Cambria" w:hAnsi="Cambria" w:cs="Arial"/>
                <w:noProof/>
                <w:lang w:val="sr-Latn-ME"/>
              </w:rPr>
            </w:pPr>
            <w:r w:rsidRPr="006F0170">
              <w:rPr>
                <w:rFonts w:ascii="Cambria" w:hAnsi="Cambria" w:cs="Arial"/>
                <w:noProof/>
                <w:lang w:val="sr-Latn-ME"/>
              </w:rPr>
              <w:t xml:space="preserve">Ovim zakonom </w:t>
            </w:r>
            <w:r w:rsidR="0042058B" w:rsidRPr="00AB15C7">
              <w:rPr>
                <w:rFonts w:ascii="Cambria" w:hAnsi="Cambria" w:cs="Arial"/>
                <w:noProof/>
                <w:lang w:val="sr-Latn-ME"/>
              </w:rPr>
              <w:t>uređuje se opšti zahtjev bezbjednosti, kriterijumi bezbjednosti koje moraju da ispunjavaju proizvodi koji se isporučuju na tržište, obaveze proizvođača i distributera i način informisanja i razmjene informacija o opasnim proizvodima i rizicima koje ti proizvodi predstavljaju za potrošače i druge krajnje korisnike.</w:t>
            </w:r>
          </w:p>
        </w:tc>
      </w:tr>
      <w:tr w:rsidR="00E51999" w:rsidRPr="00AB15C7" w14:paraId="5CD76DA6" w14:textId="77777777" w:rsidTr="00165701">
        <w:trPr>
          <w:trHeight w:val="480"/>
        </w:trPr>
        <w:tc>
          <w:tcPr>
            <w:tcW w:w="1189" w:type="pct"/>
          </w:tcPr>
          <w:p w14:paraId="14662239" w14:textId="77777777" w:rsidR="00E51999" w:rsidRPr="00AB15C7" w:rsidRDefault="00E51999" w:rsidP="005921EF">
            <w:pPr>
              <w:spacing w:after="0"/>
              <w:rPr>
                <w:rFonts w:ascii="Cambria" w:hAnsi="Cambria" w:cs="Arial"/>
                <w:b/>
                <w:bCs/>
                <w:noProof/>
              </w:rPr>
            </w:pPr>
            <w:r w:rsidRPr="00E51999">
              <w:rPr>
                <w:rFonts w:ascii="Cambria" w:hAnsi="Cambria" w:cs="Arial"/>
                <w:b/>
                <w:bCs/>
                <w:noProof/>
              </w:rPr>
              <w:t>Zakon o tehničkim zahtjevima za proizvode i ocjenjivanju usaglašenosti</w:t>
            </w:r>
            <w:r>
              <w:rPr>
                <w:noProof/>
              </w:rPr>
              <w:t xml:space="preserve"> </w:t>
            </w:r>
            <w:r w:rsidRPr="00E51999">
              <w:rPr>
                <w:noProof/>
              </w:rPr>
              <w:t xml:space="preserve">(“Sl. list CG”, br. </w:t>
            </w:r>
            <w:r>
              <w:rPr>
                <w:noProof/>
              </w:rPr>
              <w:t>53</w:t>
            </w:r>
            <w:r w:rsidRPr="00E51999">
              <w:rPr>
                <w:noProof/>
              </w:rPr>
              <w:t>/1</w:t>
            </w:r>
            <w:r>
              <w:rPr>
                <w:noProof/>
              </w:rPr>
              <w:t>1</w:t>
            </w:r>
            <w:r w:rsidRPr="00E51999">
              <w:rPr>
                <w:noProof/>
              </w:rPr>
              <w:t>)</w:t>
            </w:r>
          </w:p>
        </w:tc>
        <w:tc>
          <w:tcPr>
            <w:tcW w:w="560" w:type="pct"/>
          </w:tcPr>
          <w:p w14:paraId="2D3B9796" w14:textId="77777777" w:rsidR="00E51999" w:rsidRPr="00AB15C7" w:rsidRDefault="00E51999" w:rsidP="005921EF">
            <w:pPr>
              <w:spacing w:after="0"/>
              <w:jc w:val="center"/>
              <w:rPr>
                <w:rFonts w:ascii="Cambria" w:hAnsi="Cambria" w:cs="Arial"/>
                <w:noProof/>
                <w:lang w:val="sr-Latn-ME"/>
              </w:rPr>
            </w:pPr>
            <w:r>
              <w:rPr>
                <w:rFonts w:ascii="Cambria" w:hAnsi="Cambria" w:cs="Arial"/>
                <w:noProof/>
                <w:lang w:val="sr-Latn-ME"/>
              </w:rPr>
              <w:t>ME</w:t>
            </w:r>
          </w:p>
        </w:tc>
        <w:tc>
          <w:tcPr>
            <w:tcW w:w="3251" w:type="pct"/>
          </w:tcPr>
          <w:p w14:paraId="623315C7" w14:textId="77777777" w:rsidR="00E51999" w:rsidRPr="00AB15C7" w:rsidRDefault="006F0170" w:rsidP="00E51999">
            <w:pPr>
              <w:rPr>
                <w:rFonts w:ascii="Cambria" w:hAnsi="Cambria" w:cs="Arial"/>
                <w:noProof/>
                <w:lang w:val="sr-Latn-ME"/>
              </w:rPr>
            </w:pPr>
            <w:r w:rsidRPr="006F0170">
              <w:rPr>
                <w:rFonts w:ascii="Cambria" w:hAnsi="Cambria" w:cs="Arial"/>
                <w:noProof/>
                <w:lang w:val="sr-Latn-ME"/>
              </w:rPr>
              <w:t xml:space="preserve">Ovim zakonom </w:t>
            </w:r>
            <w:r w:rsidRPr="006F0170">
              <w:rPr>
                <w:rFonts w:ascii="Cambria" w:hAnsi="Cambria" w:cs="Arial"/>
                <w:noProof/>
                <w:lang w:val="sr-Latn-CS"/>
              </w:rPr>
              <w:t>uređuje se način propisivanja tehničkih zahtjeva za proizvode, ocjenjivanje usaglašenosti proizvoda sa propisanim tehničkim zahtjevima, obaveze isporučioca proizvoda, važenje isprava o usaglašenosti i znakova usaglašenosti izdatih u inostranstvu, notifikacija tehničkih propisa i postupaka ocjenjivanja usaglašenosti.</w:t>
            </w:r>
          </w:p>
        </w:tc>
      </w:tr>
      <w:tr w:rsidR="0042058B" w:rsidRPr="00AB15C7" w14:paraId="2E10139A" w14:textId="77777777" w:rsidTr="00165701">
        <w:trPr>
          <w:trHeight w:val="480"/>
        </w:trPr>
        <w:tc>
          <w:tcPr>
            <w:tcW w:w="1189" w:type="pct"/>
          </w:tcPr>
          <w:p w14:paraId="4F966AE5" w14:textId="77777777" w:rsidR="0042058B" w:rsidRPr="00AB15C7" w:rsidRDefault="0042058B" w:rsidP="005921EF">
            <w:pPr>
              <w:spacing w:after="0"/>
              <w:rPr>
                <w:rFonts w:ascii="Cambria" w:hAnsi="Cambria" w:cs="Arial"/>
                <w:b/>
                <w:noProof/>
                <w:lang w:val="sr-Latn-ME"/>
              </w:rPr>
            </w:pPr>
            <w:r w:rsidRPr="00AB15C7">
              <w:rPr>
                <w:rFonts w:ascii="Cambria" w:hAnsi="Cambria" w:cs="Arial"/>
                <w:b/>
                <w:bCs/>
                <w:noProof/>
              </w:rPr>
              <w:t xml:space="preserve">Pravilnik o aerosolnim raspršivačima </w:t>
            </w:r>
            <w:r w:rsidRPr="00AB15C7">
              <w:rPr>
                <w:rFonts w:ascii="Cambria" w:hAnsi="Cambria" w:cs="Arial"/>
                <w:bCs/>
                <w:noProof/>
                <w:lang w:val="sr-Latn-ME"/>
              </w:rPr>
              <w:t xml:space="preserve">(“Sl. list CG”, br. </w:t>
            </w:r>
            <w:r w:rsidRPr="00AB15C7">
              <w:rPr>
                <w:rFonts w:ascii="Cambria" w:hAnsi="Cambria" w:cs="Arial"/>
                <w:bCs/>
                <w:noProof/>
              </w:rPr>
              <w:t>10/15</w:t>
            </w:r>
            <w:r w:rsidRPr="00AB15C7">
              <w:rPr>
                <w:rFonts w:ascii="Cambria" w:hAnsi="Cambria" w:cs="Arial"/>
                <w:bCs/>
                <w:noProof/>
                <w:lang w:val="sr-Latn-ME"/>
              </w:rPr>
              <w:t>)</w:t>
            </w:r>
          </w:p>
        </w:tc>
        <w:tc>
          <w:tcPr>
            <w:tcW w:w="560" w:type="pct"/>
          </w:tcPr>
          <w:p w14:paraId="588FBB1E"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ME</w:t>
            </w:r>
          </w:p>
        </w:tc>
        <w:tc>
          <w:tcPr>
            <w:tcW w:w="3251" w:type="pct"/>
          </w:tcPr>
          <w:p w14:paraId="1D0A4544" w14:textId="77777777" w:rsidR="0042058B" w:rsidRPr="00AB15C7" w:rsidRDefault="0042058B" w:rsidP="005921EF">
            <w:pPr>
              <w:rPr>
                <w:rFonts w:ascii="Cambria" w:hAnsi="Cambria" w:cs="Arial"/>
                <w:noProof/>
                <w:lang w:val="sr-Latn-ME"/>
              </w:rPr>
            </w:pPr>
            <w:r w:rsidRPr="00AB15C7">
              <w:rPr>
                <w:rFonts w:ascii="Cambria" w:hAnsi="Cambria" w:cs="Arial"/>
                <w:noProof/>
                <w:lang w:val="sr-Latn-ME"/>
              </w:rPr>
              <w:t>Ovim pravilnikom propisuju se tehnički zahtjevi koje mora da ispunjava aerosolni raspršivač, koji se isporučuje na tržište, odnosno stavlja u upotrebu.</w:t>
            </w:r>
          </w:p>
        </w:tc>
      </w:tr>
      <w:tr w:rsidR="00E51999" w:rsidRPr="00AB15C7" w14:paraId="5FA79458" w14:textId="77777777" w:rsidTr="00165701">
        <w:trPr>
          <w:trHeight w:val="480"/>
        </w:trPr>
        <w:tc>
          <w:tcPr>
            <w:tcW w:w="1189" w:type="pct"/>
          </w:tcPr>
          <w:p w14:paraId="39CCC2E1" w14:textId="77777777" w:rsidR="006F0170" w:rsidRPr="006F0170" w:rsidRDefault="006F0170" w:rsidP="006F0170">
            <w:pPr>
              <w:spacing w:after="0"/>
              <w:rPr>
                <w:rFonts w:ascii="Cambria" w:hAnsi="Cambria" w:cs="Arial"/>
                <w:b/>
                <w:bCs/>
                <w:noProof/>
              </w:rPr>
            </w:pPr>
            <w:r w:rsidRPr="006F0170">
              <w:rPr>
                <w:rFonts w:ascii="Cambria" w:hAnsi="Cambria" w:cs="Arial"/>
                <w:b/>
                <w:bCs/>
                <w:noProof/>
              </w:rPr>
              <w:t>Pravilnik</w:t>
            </w:r>
          </w:p>
          <w:p w14:paraId="7F5CF399" w14:textId="77777777" w:rsidR="00E51999" w:rsidRPr="00AB15C7" w:rsidRDefault="006F0170" w:rsidP="006F0170">
            <w:pPr>
              <w:spacing w:after="0"/>
              <w:rPr>
                <w:rFonts w:ascii="Cambria" w:hAnsi="Cambria" w:cs="Arial"/>
                <w:b/>
                <w:bCs/>
                <w:noProof/>
              </w:rPr>
            </w:pPr>
            <w:r w:rsidRPr="006F0170">
              <w:rPr>
                <w:rFonts w:ascii="Cambria" w:hAnsi="Cambria" w:cs="Arial"/>
                <w:b/>
                <w:bCs/>
                <w:noProof/>
              </w:rPr>
              <w:t>o bezbjednosti igračaka</w:t>
            </w:r>
            <w:r>
              <w:rPr>
                <w:rFonts w:ascii="Cambria" w:hAnsi="Cambria" w:cs="Arial"/>
                <w:b/>
                <w:bCs/>
                <w:noProof/>
              </w:rPr>
              <w:t xml:space="preserve"> </w:t>
            </w:r>
            <w:r w:rsidRPr="006F0170">
              <w:rPr>
                <w:rFonts w:ascii="Cambria" w:hAnsi="Cambria" w:cs="Arial"/>
                <w:noProof/>
                <w:lang w:val="sr-Latn-ME"/>
              </w:rPr>
              <w:t>(“Sl. list CG”, br. 04/15)</w:t>
            </w:r>
          </w:p>
        </w:tc>
        <w:tc>
          <w:tcPr>
            <w:tcW w:w="560" w:type="pct"/>
          </w:tcPr>
          <w:p w14:paraId="2BFA27D3" w14:textId="77777777" w:rsidR="00E51999" w:rsidRPr="00AB15C7" w:rsidRDefault="006F0170" w:rsidP="005921EF">
            <w:pPr>
              <w:spacing w:after="0"/>
              <w:jc w:val="center"/>
              <w:rPr>
                <w:rFonts w:ascii="Cambria" w:hAnsi="Cambria" w:cs="Arial"/>
                <w:noProof/>
                <w:lang w:val="sr-Latn-ME"/>
              </w:rPr>
            </w:pPr>
            <w:r>
              <w:rPr>
                <w:rFonts w:ascii="Cambria" w:hAnsi="Cambria" w:cs="Arial"/>
                <w:noProof/>
                <w:lang w:val="sr-Latn-ME"/>
              </w:rPr>
              <w:t>MZ</w:t>
            </w:r>
          </w:p>
        </w:tc>
        <w:tc>
          <w:tcPr>
            <w:tcW w:w="3251" w:type="pct"/>
          </w:tcPr>
          <w:p w14:paraId="36D68B37" w14:textId="77777777" w:rsidR="00E51999" w:rsidRPr="00AB15C7" w:rsidRDefault="006F0170" w:rsidP="006F0170">
            <w:pPr>
              <w:rPr>
                <w:rFonts w:ascii="Cambria" w:hAnsi="Cambria" w:cs="Arial"/>
                <w:noProof/>
                <w:lang w:val="sr-Latn-ME"/>
              </w:rPr>
            </w:pPr>
            <w:r w:rsidRPr="006F0170">
              <w:rPr>
                <w:rFonts w:ascii="Cambria" w:hAnsi="Cambria" w:cs="Arial"/>
                <w:noProof/>
                <w:lang w:val="sr-Latn-ME"/>
              </w:rPr>
              <w:t>Ovim pravilnikom propisuju se zahtjevi koje treba da ispunjavaju igračke u pogledu bezbjednosti i zaštite</w:t>
            </w:r>
            <w:r>
              <w:rPr>
                <w:rFonts w:ascii="Cambria" w:hAnsi="Cambria" w:cs="Arial"/>
                <w:noProof/>
                <w:lang w:val="sr-Latn-ME"/>
              </w:rPr>
              <w:t xml:space="preserve"> </w:t>
            </w:r>
            <w:r w:rsidRPr="006F0170">
              <w:rPr>
                <w:rFonts w:ascii="Cambria" w:hAnsi="Cambria" w:cs="Arial"/>
                <w:noProof/>
                <w:lang w:val="sr-Latn-ME"/>
              </w:rPr>
              <w:t>zdravlja djece, postupci ocjenjivanja usaglašenosti, znak usaglašenosti i stavljanje znaka usaglašenosti, kao i drugi</w:t>
            </w:r>
            <w:r>
              <w:rPr>
                <w:rFonts w:ascii="Cambria" w:hAnsi="Cambria" w:cs="Arial"/>
                <w:noProof/>
                <w:lang w:val="sr-Latn-ME"/>
              </w:rPr>
              <w:t xml:space="preserve"> </w:t>
            </w:r>
            <w:r w:rsidRPr="006F0170">
              <w:rPr>
                <w:rFonts w:ascii="Cambria" w:hAnsi="Cambria" w:cs="Arial"/>
                <w:noProof/>
                <w:lang w:val="sr-Latn-ME"/>
              </w:rPr>
              <w:t>zahtjevi čije ispunjavanje omogućava njihovo stavljanje na tržište</w:t>
            </w:r>
          </w:p>
        </w:tc>
      </w:tr>
      <w:tr w:rsidR="0042058B" w:rsidRPr="00AB15C7" w14:paraId="3E592AF7" w14:textId="77777777" w:rsidTr="00165701">
        <w:trPr>
          <w:trHeight w:val="480"/>
        </w:trPr>
        <w:tc>
          <w:tcPr>
            <w:tcW w:w="1189" w:type="pct"/>
            <w:hideMark/>
          </w:tcPr>
          <w:p w14:paraId="3AF2EC3B" w14:textId="77777777" w:rsidR="0042058B" w:rsidRPr="00AB15C7" w:rsidRDefault="0042058B" w:rsidP="005921EF">
            <w:pPr>
              <w:spacing w:after="0"/>
              <w:rPr>
                <w:rFonts w:ascii="Cambria" w:hAnsi="Cambria" w:cs="Arial"/>
                <w:noProof/>
                <w:lang w:val="sr-Latn-ME"/>
              </w:rPr>
            </w:pPr>
            <w:r w:rsidRPr="00AB15C7">
              <w:rPr>
                <w:rFonts w:ascii="Cambria" w:hAnsi="Cambria" w:cs="Arial"/>
                <w:b/>
                <w:noProof/>
                <w:lang w:val="sr-Latn-ME"/>
              </w:rPr>
              <w:t xml:space="preserve">Zakon o zaštiti potrošača </w:t>
            </w:r>
            <w:r w:rsidRPr="00AB15C7">
              <w:rPr>
                <w:rFonts w:ascii="Cambria" w:hAnsi="Cambria" w:cs="Arial"/>
                <w:noProof/>
                <w:lang w:val="sr-Latn-ME"/>
              </w:rPr>
              <w:t>(„Sl. list CG“, br. 2/14, 6/14, 43/15 i 70/17)</w:t>
            </w:r>
          </w:p>
        </w:tc>
        <w:tc>
          <w:tcPr>
            <w:tcW w:w="560" w:type="pct"/>
            <w:hideMark/>
          </w:tcPr>
          <w:p w14:paraId="145D5B5E" w14:textId="77777777" w:rsidR="0042058B" w:rsidRPr="00AB15C7" w:rsidRDefault="0042058B" w:rsidP="005921EF">
            <w:pPr>
              <w:spacing w:after="0"/>
              <w:jc w:val="center"/>
              <w:rPr>
                <w:rFonts w:ascii="Cambria" w:hAnsi="Cambria" w:cs="Arial"/>
                <w:noProof/>
                <w:lang w:val="sr-Latn-ME"/>
              </w:rPr>
            </w:pPr>
            <w:r w:rsidRPr="00AB15C7">
              <w:rPr>
                <w:rFonts w:ascii="Cambria" w:hAnsi="Cambria" w:cs="Arial"/>
                <w:noProof/>
                <w:lang w:val="sr-Latn-ME"/>
              </w:rPr>
              <w:t>ME</w:t>
            </w:r>
          </w:p>
        </w:tc>
        <w:tc>
          <w:tcPr>
            <w:tcW w:w="3251" w:type="pct"/>
            <w:hideMark/>
          </w:tcPr>
          <w:p w14:paraId="5C86E702" w14:textId="77777777" w:rsidR="0042058B" w:rsidRPr="00AB15C7" w:rsidRDefault="0042058B" w:rsidP="005921EF">
            <w:pPr>
              <w:rPr>
                <w:rFonts w:ascii="Cambria" w:hAnsi="Cambria" w:cs="Arial"/>
                <w:noProof/>
                <w:lang w:val="sr-Latn-ME"/>
              </w:rPr>
            </w:pPr>
            <w:r w:rsidRPr="00AB15C7">
              <w:rPr>
                <w:rFonts w:ascii="Cambria" w:hAnsi="Cambria" w:cs="Arial"/>
                <w:noProof/>
                <w:lang w:val="sr-Latn-ME"/>
              </w:rPr>
              <w:t>Ovim zakonom uređuje se zaštita prava potrošača pri kupovini i drugim oblicima prometa proizvoda na tržištu, a naročito: zaštita ekonomskih interesa, pravna zaštita, informisanje i obrazovanje, udruživanje potrošača radi zaštite njihovih interesa i druga pitanja od značaja za zaštitu potrošača.</w:t>
            </w:r>
          </w:p>
        </w:tc>
      </w:tr>
    </w:tbl>
    <w:p w14:paraId="7DD22D81" w14:textId="77777777" w:rsidR="0042058B" w:rsidRPr="00AB15C7" w:rsidRDefault="0042058B" w:rsidP="005921EF">
      <w:pPr>
        <w:autoSpaceDE w:val="0"/>
        <w:autoSpaceDN w:val="0"/>
        <w:adjustRightInd w:val="0"/>
        <w:spacing w:before="120" w:after="0"/>
        <w:jc w:val="both"/>
        <w:rPr>
          <w:rFonts w:ascii="Cambria" w:hAnsi="Cambria"/>
          <w:b/>
          <w:noProof/>
          <w:color w:val="000000"/>
          <w:lang w:val="sr-Latn-ME"/>
        </w:rPr>
      </w:pPr>
    </w:p>
    <w:sectPr w:rsidR="0042058B" w:rsidRPr="00AB15C7" w:rsidSect="00E730B5">
      <w:pgSz w:w="16840" w:h="11907" w:orient="landscape" w:code="9"/>
      <w:pgMar w:top="1134" w:right="1900"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A4107" w14:textId="77777777" w:rsidR="00B55A8E" w:rsidRDefault="00B55A8E" w:rsidP="000C17DD">
      <w:pPr>
        <w:spacing w:after="0" w:line="240" w:lineRule="auto"/>
      </w:pPr>
      <w:r>
        <w:separator/>
      </w:r>
    </w:p>
  </w:endnote>
  <w:endnote w:type="continuationSeparator" w:id="0">
    <w:p w14:paraId="05550AB7" w14:textId="77777777" w:rsidR="00B55A8E" w:rsidRDefault="00B55A8E" w:rsidP="000C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charset w:val="00"/>
    <w:family w:val="swiss"/>
    <w:pitch w:val="variable"/>
    <w:sig w:usb0="00000003" w:usb1="00000000" w:usb2="00000000" w:usb3="00000000" w:csb0="00000001" w:csb1="00000000"/>
  </w:font>
  <w:font w:name="ArialMT">
    <w:altName w:val="MS Mincho"/>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yriadPro-Light">
    <w:altName w:val="Times New Roman"/>
    <w:panose1 w:val="00000000000000000000"/>
    <w:charset w:val="00"/>
    <w:family w:val="auto"/>
    <w:notTrueType/>
    <w:pitch w:val="default"/>
    <w:sig w:usb0="00000003" w:usb1="00000000" w:usb2="00000000" w:usb3="00000000" w:csb0="00000001" w:csb1="00000000"/>
  </w:font>
  <w:font w:name="TimesNewRoman">
    <w:altName w:val="Times New Roman"/>
    <w:charset w:val="80"/>
    <w:family w:val="auto"/>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Times-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81585" w14:textId="77777777" w:rsidR="0034598E" w:rsidRDefault="0034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A464" w14:textId="0F87AB4B" w:rsidR="0034598E" w:rsidRPr="00373131" w:rsidRDefault="0034598E" w:rsidP="001C6605">
    <w:pPr>
      <w:pStyle w:val="Footer"/>
      <w:pBdr>
        <w:top w:val="single" w:sz="4" w:space="1" w:color="auto"/>
      </w:pBdr>
      <w:jc w:val="center"/>
      <w:rPr>
        <w:rFonts w:ascii="Cambria" w:hAnsi="Cambria"/>
        <w:b/>
        <w:i/>
        <w:lang w:val="en-US"/>
      </w:rPr>
    </w:pPr>
    <w:r>
      <w:rPr>
        <w:rFonts w:ascii="Cambria" w:hAnsi="Cambria"/>
        <w:b/>
        <w:i/>
        <w:lang w:val="en-US"/>
      </w:rPr>
      <w:t>Nacionalna s</w:t>
    </w:r>
    <w:r w:rsidRPr="00CD60AB">
      <w:rPr>
        <w:rFonts w:ascii="Cambria" w:hAnsi="Cambria"/>
        <w:b/>
        <w:i/>
      </w:rPr>
      <w:t>trategija upravljanja hemikalijama 201</w:t>
    </w:r>
    <w:r>
      <w:rPr>
        <w:rFonts w:ascii="Cambria" w:hAnsi="Cambria"/>
        <w:b/>
        <w:i/>
        <w:lang w:val="sr-Latn-RS"/>
      </w:rPr>
      <w:t>9</w:t>
    </w:r>
    <w:r w:rsidRPr="00CD60AB">
      <w:rPr>
        <w:rFonts w:ascii="Cambria" w:hAnsi="Cambria"/>
        <w:b/>
        <w:i/>
      </w:rPr>
      <w:t>-20</w:t>
    </w:r>
    <w:r>
      <w:rPr>
        <w:rFonts w:ascii="Cambria" w:hAnsi="Cambria"/>
        <w:b/>
        <w:i/>
        <w:lang w:val="sr-Latn-RS"/>
      </w:rPr>
      <w:t>22</w:t>
    </w:r>
    <w:r w:rsidRPr="00CD60AB">
      <w:rPr>
        <w:rFonts w:ascii="Cambria" w:hAnsi="Cambria"/>
        <w:b/>
        <w:i/>
      </w:rPr>
      <w:t>.</w:t>
    </w:r>
    <w:r>
      <w:rPr>
        <w:rFonts w:ascii="Cambria" w:hAnsi="Cambria"/>
        <w:b/>
        <w:i/>
        <w:lang w:val="sr-Latn-RS"/>
      </w:rPr>
      <w:t xml:space="preserve"> </w:t>
    </w:r>
    <w:r>
      <w:rPr>
        <w:rFonts w:ascii="Cambria" w:hAnsi="Cambria"/>
        <w:b/>
        <w:i/>
        <w:lang w:val="en-US"/>
      </w:rPr>
      <w:t xml:space="preserve">god.                                                                            </w:t>
    </w:r>
    <w:r w:rsidRPr="00F658EB">
      <w:rPr>
        <w:rFonts w:ascii="Cambria" w:hAnsi="Cambria"/>
        <w:b/>
        <w:i/>
      </w:rPr>
      <w:fldChar w:fldCharType="begin"/>
    </w:r>
    <w:r w:rsidRPr="00F658EB">
      <w:rPr>
        <w:rFonts w:ascii="Cambria" w:hAnsi="Cambria"/>
        <w:b/>
        <w:i/>
      </w:rPr>
      <w:instrText xml:space="preserve"> PAGE   \* MERGEFORMAT </w:instrText>
    </w:r>
    <w:r w:rsidRPr="00F658EB">
      <w:rPr>
        <w:rFonts w:ascii="Cambria" w:hAnsi="Cambria"/>
        <w:b/>
        <w:i/>
      </w:rPr>
      <w:fldChar w:fldCharType="separate"/>
    </w:r>
    <w:r w:rsidR="00CF386A">
      <w:rPr>
        <w:rFonts w:ascii="Cambria" w:hAnsi="Cambria"/>
        <w:b/>
        <w:i/>
        <w:noProof/>
      </w:rPr>
      <w:t>15</w:t>
    </w:r>
    <w:r w:rsidRPr="00F658EB">
      <w:rPr>
        <w:rFonts w:ascii="Cambria" w:hAnsi="Cambria"/>
        <w:b/>
        <w: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AA8E0" w14:textId="77777777" w:rsidR="0034598E" w:rsidRDefault="003459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7F5B1" w14:textId="6FA4EBA7" w:rsidR="0034598E" w:rsidRPr="00094F2D" w:rsidRDefault="0034598E" w:rsidP="00094F2D">
    <w:pPr>
      <w:pStyle w:val="Footer"/>
      <w:pBdr>
        <w:top w:val="single" w:sz="4" w:space="1" w:color="auto"/>
      </w:pBdr>
      <w:jc w:val="center"/>
      <w:rPr>
        <w:rFonts w:ascii="Cambria" w:hAnsi="Cambria"/>
        <w:b/>
        <w:i/>
        <w:sz w:val="18"/>
        <w:szCs w:val="18"/>
        <w:lang w:val="en-US"/>
      </w:rPr>
    </w:pPr>
    <w:r w:rsidRPr="00094F2D">
      <w:rPr>
        <w:rFonts w:ascii="Cambria" w:hAnsi="Cambria"/>
        <w:b/>
        <w:i/>
        <w:sz w:val="18"/>
        <w:szCs w:val="18"/>
        <w:lang w:val="en-US"/>
      </w:rPr>
      <w:t>Nacionalna s</w:t>
    </w:r>
    <w:r w:rsidRPr="00094F2D">
      <w:rPr>
        <w:rFonts w:ascii="Cambria" w:hAnsi="Cambria"/>
        <w:b/>
        <w:i/>
        <w:sz w:val="18"/>
        <w:szCs w:val="18"/>
      </w:rPr>
      <w:t>trategija upravljanja hemikalijama 201</w:t>
    </w:r>
    <w:r w:rsidRPr="00094F2D">
      <w:rPr>
        <w:rFonts w:ascii="Cambria" w:hAnsi="Cambria"/>
        <w:b/>
        <w:i/>
        <w:sz w:val="18"/>
        <w:szCs w:val="18"/>
        <w:lang w:val="sr-Latn-RS"/>
      </w:rPr>
      <w:t>9</w:t>
    </w:r>
    <w:r w:rsidRPr="00094F2D">
      <w:rPr>
        <w:rFonts w:ascii="Cambria" w:hAnsi="Cambria"/>
        <w:b/>
        <w:i/>
        <w:sz w:val="18"/>
        <w:szCs w:val="18"/>
      </w:rPr>
      <w:t>-20</w:t>
    </w:r>
    <w:r w:rsidRPr="00094F2D">
      <w:rPr>
        <w:rFonts w:ascii="Cambria" w:hAnsi="Cambria"/>
        <w:b/>
        <w:i/>
        <w:sz w:val="18"/>
        <w:szCs w:val="18"/>
        <w:lang w:val="sr-Latn-RS"/>
      </w:rPr>
      <w:t>22</w:t>
    </w:r>
    <w:r w:rsidRPr="00094F2D">
      <w:rPr>
        <w:rFonts w:ascii="Cambria" w:hAnsi="Cambria"/>
        <w:b/>
        <w:i/>
        <w:sz w:val="18"/>
        <w:szCs w:val="18"/>
      </w:rPr>
      <w:t>.</w:t>
    </w:r>
    <w:r w:rsidRPr="00094F2D">
      <w:rPr>
        <w:rFonts w:ascii="Cambria" w:hAnsi="Cambria"/>
        <w:b/>
        <w:i/>
        <w:sz w:val="18"/>
        <w:szCs w:val="18"/>
        <w:lang w:val="sr-Latn-RS"/>
      </w:rPr>
      <w:t xml:space="preserve"> </w:t>
    </w:r>
    <w:r w:rsidRPr="00094F2D">
      <w:rPr>
        <w:rFonts w:ascii="Cambria" w:hAnsi="Cambria"/>
        <w:b/>
        <w:i/>
        <w:sz w:val="18"/>
        <w:szCs w:val="18"/>
        <w:lang w:val="en-US"/>
      </w:rPr>
      <w:t xml:space="preserve">god.                                                                            </w:t>
    </w:r>
    <w:r w:rsidRPr="00094F2D">
      <w:rPr>
        <w:rFonts w:ascii="Cambria" w:hAnsi="Cambria"/>
        <w:b/>
        <w:i/>
        <w:sz w:val="18"/>
        <w:szCs w:val="18"/>
      </w:rPr>
      <w:fldChar w:fldCharType="begin"/>
    </w:r>
    <w:r w:rsidRPr="00094F2D">
      <w:rPr>
        <w:rFonts w:ascii="Cambria" w:hAnsi="Cambria"/>
        <w:b/>
        <w:i/>
        <w:sz w:val="18"/>
        <w:szCs w:val="18"/>
      </w:rPr>
      <w:instrText xml:space="preserve"> PAGE   \* MERGEFORMAT </w:instrText>
    </w:r>
    <w:r w:rsidRPr="00094F2D">
      <w:rPr>
        <w:rFonts w:ascii="Cambria" w:hAnsi="Cambria"/>
        <w:b/>
        <w:i/>
        <w:sz w:val="18"/>
        <w:szCs w:val="18"/>
      </w:rPr>
      <w:fldChar w:fldCharType="separate"/>
    </w:r>
    <w:r w:rsidR="00CF386A">
      <w:rPr>
        <w:rFonts w:ascii="Cambria" w:hAnsi="Cambria"/>
        <w:b/>
        <w:i/>
        <w:noProof/>
        <w:sz w:val="18"/>
        <w:szCs w:val="18"/>
      </w:rPr>
      <w:t>78</w:t>
    </w:r>
    <w:r w:rsidRPr="00094F2D">
      <w:rPr>
        <w:rFonts w:ascii="Cambria" w:hAnsi="Cambria"/>
        <w:b/>
        <w:i/>
        <w:noProof/>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7440F" w14:textId="19D96C43" w:rsidR="0034598E" w:rsidRPr="00094F2D" w:rsidRDefault="0034598E" w:rsidP="00094F2D">
    <w:pPr>
      <w:pStyle w:val="Footer"/>
      <w:pBdr>
        <w:top w:val="single" w:sz="4" w:space="1" w:color="auto"/>
      </w:pBdr>
      <w:jc w:val="center"/>
      <w:rPr>
        <w:rFonts w:ascii="Cambria" w:hAnsi="Cambria"/>
        <w:b/>
        <w:i/>
        <w:sz w:val="18"/>
        <w:szCs w:val="18"/>
        <w:lang w:val="en-US"/>
      </w:rPr>
    </w:pPr>
    <w:r w:rsidRPr="00094F2D">
      <w:rPr>
        <w:rFonts w:ascii="Cambria" w:hAnsi="Cambria"/>
        <w:b/>
        <w:i/>
        <w:sz w:val="18"/>
        <w:szCs w:val="18"/>
        <w:lang w:val="en-US"/>
      </w:rPr>
      <w:t>Nacionalna s</w:t>
    </w:r>
    <w:r w:rsidRPr="00094F2D">
      <w:rPr>
        <w:rFonts w:ascii="Cambria" w:hAnsi="Cambria"/>
        <w:b/>
        <w:i/>
        <w:sz w:val="18"/>
        <w:szCs w:val="18"/>
      </w:rPr>
      <w:t>trategija upravljanja hemikalijama 201</w:t>
    </w:r>
    <w:r w:rsidRPr="00094F2D">
      <w:rPr>
        <w:rFonts w:ascii="Cambria" w:hAnsi="Cambria"/>
        <w:b/>
        <w:i/>
        <w:sz w:val="18"/>
        <w:szCs w:val="18"/>
        <w:lang w:val="sr-Latn-RS"/>
      </w:rPr>
      <w:t>9</w:t>
    </w:r>
    <w:r w:rsidRPr="00094F2D">
      <w:rPr>
        <w:rFonts w:ascii="Cambria" w:hAnsi="Cambria"/>
        <w:b/>
        <w:i/>
        <w:sz w:val="18"/>
        <w:szCs w:val="18"/>
      </w:rPr>
      <w:t>-20</w:t>
    </w:r>
    <w:r w:rsidRPr="00094F2D">
      <w:rPr>
        <w:rFonts w:ascii="Cambria" w:hAnsi="Cambria"/>
        <w:b/>
        <w:i/>
        <w:sz w:val="18"/>
        <w:szCs w:val="18"/>
        <w:lang w:val="sr-Latn-RS"/>
      </w:rPr>
      <w:t>22</w:t>
    </w:r>
    <w:r w:rsidRPr="00094F2D">
      <w:rPr>
        <w:rFonts w:ascii="Cambria" w:hAnsi="Cambria"/>
        <w:b/>
        <w:i/>
        <w:sz w:val="18"/>
        <w:szCs w:val="18"/>
      </w:rPr>
      <w:t>.</w:t>
    </w:r>
    <w:r w:rsidRPr="00094F2D">
      <w:rPr>
        <w:rFonts w:ascii="Cambria" w:hAnsi="Cambria"/>
        <w:b/>
        <w:i/>
        <w:sz w:val="18"/>
        <w:szCs w:val="18"/>
        <w:lang w:val="sr-Latn-RS"/>
      </w:rPr>
      <w:t xml:space="preserve"> </w:t>
    </w:r>
    <w:r w:rsidRPr="00094F2D">
      <w:rPr>
        <w:rFonts w:ascii="Cambria" w:hAnsi="Cambria"/>
        <w:b/>
        <w:i/>
        <w:sz w:val="18"/>
        <w:szCs w:val="18"/>
        <w:lang w:val="en-US"/>
      </w:rPr>
      <w:t xml:space="preserve">god.                                                                            </w:t>
    </w:r>
    <w:r w:rsidRPr="00094F2D">
      <w:rPr>
        <w:rFonts w:ascii="Cambria" w:hAnsi="Cambria"/>
        <w:b/>
        <w:i/>
        <w:sz w:val="18"/>
        <w:szCs w:val="18"/>
      </w:rPr>
      <w:fldChar w:fldCharType="begin"/>
    </w:r>
    <w:r w:rsidRPr="00094F2D">
      <w:rPr>
        <w:rFonts w:ascii="Cambria" w:hAnsi="Cambria"/>
        <w:b/>
        <w:i/>
        <w:sz w:val="18"/>
        <w:szCs w:val="18"/>
      </w:rPr>
      <w:instrText xml:space="preserve"> PAGE   \* MERGEFORMAT </w:instrText>
    </w:r>
    <w:r w:rsidRPr="00094F2D">
      <w:rPr>
        <w:rFonts w:ascii="Cambria" w:hAnsi="Cambria"/>
        <w:b/>
        <w:i/>
        <w:sz w:val="18"/>
        <w:szCs w:val="18"/>
      </w:rPr>
      <w:fldChar w:fldCharType="separate"/>
    </w:r>
    <w:r w:rsidR="00CF386A">
      <w:rPr>
        <w:rFonts w:ascii="Cambria" w:hAnsi="Cambria"/>
        <w:b/>
        <w:i/>
        <w:noProof/>
        <w:sz w:val="18"/>
        <w:szCs w:val="18"/>
      </w:rPr>
      <w:t>145</w:t>
    </w:r>
    <w:r w:rsidRPr="00094F2D">
      <w:rPr>
        <w:rFonts w:ascii="Cambria" w:hAnsi="Cambria"/>
        <w:b/>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42211" w14:textId="77777777" w:rsidR="00B55A8E" w:rsidRDefault="00B55A8E" w:rsidP="000C17DD">
      <w:pPr>
        <w:spacing w:after="0" w:line="240" w:lineRule="auto"/>
      </w:pPr>
      <w:r>
        <w:separator/>
      </w:r>
    </w:p>
  </w:footnote>
  <w:footnote w:type="continuationSeparator" w:id="0">
    <w:p w14:paraId="42693EE5" w14:textId="77777777" w:rsidR="00B55A8E" w:rsidRDefault="00B55A8E" w:rsidP="000C17DD">
      <w:pPr>
        <w:spacing w:after="0" w:line="240" w:lineRule="auto"/>
      </w:pPr>
      <w:r>
        <w:continuationSeparator/>
      </w:r>
    </w:p>
  </w:footnote>
  <w:footnote w:id="1">
    <w:p w14:paraId="3400970B" w14:textId="77777777" w:rsidR="0034598E" w:rsidRPr="00F5466A" w:rsidRDefault="0034598E">
      <w:pPr>
        <w:pStyle w:val="FootnoteText"/>
        <w:rPr>
          <w:lang w:val="sr-Latn-RS"/>
        </w:rPr>
      </w:pPr>
      <w:r>
        <w:rPr>
          <w:rStyle w:val="FootnoteReference"/>
        </w:rPr>
        <w:footnoteRef/>
      </w:r>
      <w:r>
        <w:t xml:space="preserve"> </w:t>
      </w:r>
      <w:r w:rsidRPr="00F5466A">
        <w:t>Stokholmsk</w:t>
      </w:r>
      <w:r>
        <w:rPr>
          <w:lang w:val="sr-Latn-RS"/>
        </w:rPr>
        <w:t>a</w:t>
      </w:r>
      <w:r w:rsidRPr="00F5466A">
        <w:t xml:space="preserve"> Konvencij</w:t>
      </w:r>
      <w:r>
        <w:rPr>
          <w:lang w:val="sr-Latn-RS"/>
        </w:rPr>
        <w:t>a</w:t>
      </w:r>
      <w:r w:rsidRPr="00F5466A">
        <w:t xml:space="preserve"> o dugotrajnim organskim zagađujućim </w:t>
      </w:r>
      <w:r>
        <w:rPr>
          <w:lang w:val="sr-Latn-RS"/>
        </w:rPr>
        <w:t xml:space="preserve">supstancama </w:t>
      </w:r>
    </w:p>
  </w:footnote>
  <w:footnote w:id="2">
    <w:p w14:paraId="15AF4961" w14:textId="77777777" w:rsidR="0034598E" w:rsidRPr="00F5466A" w:rsidRDefault="0034598E">
      <w:pPr>
        <w:pStyle w:val="FootnoteText"/>
        <w:rPr>
          <w:lang w:val="sr-Latn-RS"/>
        </w:rPr>
      </w:pPr>
      <w:r>
        <w:rPr>
          <w:rStyle w:val="FootnoteReference"/>
        </w:rPr>
        <w:footnoteRef/>
      </w:r>
      <w:r>
        <w:t xml:space="preserve"> </w:t>
      </w:r>
      <w:r w:rsidRPr="00F5466A">
        <w:rPr>
          <w:lang w:val="sr-Latn-RS"/>
        </w:rPr>
        <w:t>Roterdamska konvencija o postupku davanja saglasnosti na osnovu prethodnog obavještavanja za određene opasne hemikalije i pesticide u međunarodnoj trgovini</w:t>
      </w:r>
      <w:r>
        <w:rPr>
          <w:lang w:val="sr-Latn-RS"/>
        </w:rPr>
        <w:t xml:space="preserve"> </w:t>
      </w:r>
    </w:p>
  </w:footnote>
  <w:footnote w:id="3">
    <w:p w14:paraId="079E43CD" w14:textId="0919886E" w:rsidR="0034598E" w:rsidRPr="00DA3202" w:rsidRDefault="0034598E">
      <w:pPr>
        <w:pStyle w:val="FootnoteText"/>
        <w:rPr>
          <w:lang w:val="sr-Latn-ME"/>
        </w:rPr>
      </w:pPr>
      <w:r>
        <w:rPr>
          <w:rStyle w:val="FootnoteReference"/>
        </w:rPr>
        <w:footnoteRef/>
      </w:r>
      <w:r>
        <w:t xml:space="preserve"> </w:t>
      </w:r>
      <w:r w:rsidRPr="00DA3202">
        <w:t>Bazelska konvencija o prekograničnom kretanju otpada</w:t>
      </w:r>
    </w:p>
  </w:footnote>
  <w:footnote w:id="4">
    <w:p w14:paraId="009ED38D" w14:textId="77777777" w:rsidR="0034598E" w:rsidRPr="00F5466A" w:rsidRDefault="0034598E">
      <w:pPr>
        <w:pStyle w:val="FootnoteText"/>
        <w:rPr>
          <w:lang w:val="sr-Latn-RS"/>
        </w:rPr>
      </w:pPr>
      <w:r>
        <w:rPr>
          <w:rStyle w:val="FootnoteReference"/>
        </w:rPr>
        <w:footnoteRef/>
      </w:r>
      <w:r>
        <w:t xml:space="preserve"> </w:t>
      </w:r>
      <w:r>
        <w:rPr>
          <w:lang w:val="sr-Latn-RS"/>
        </w:rPr>
        <w:t>Minamata konvencija o živi</w:t>
      </w:r>
    </w:p>
  </w:footnote>
  <w:footnote w:id="5">
    <w:p w14:paraId="68267C5F" w14:textId="77777777" w:rsidR="0034598E" w:rsidRPr="002B6EDF" w:rsidRDefault="0034598E">
      <w:pPr>
        <w:pStyle w:val="FootnoteText"/>
        <w:rPr>
          <w:lang w:val="sr-Latn-RS"/>
        </w:rPr>
      </w:pPr>
      <w:r>
        <w:rPr>
          <w:rStyle w:val="FootnoteReference"/>
        </w:rPr>
        <w:footnoteRef/>
      </w:r>
      <w:r>
        <w:t xml:space="preserve"> </w:t>
      </w:r>
      <w:r w:rsidRPr="00AB15C7">
        <w:rPr>
          <w:rFonts w:ascii="Cambria" w:hAnsi="Cambria"/>
          <w:noProof/>
          <w:lang w:val="sr-Latn-ME"/>
        </w:rPr>
        <w:t>Preparing a National Profile to Assess Infrastructure and Capacity Needs for Chemicals Management, Second Edition 2012, Guidance Document</w:t>
      </w:r>
    </w:p>
  </w:footnote>
  <w:footnote w:id="6">
    <w:p w14:paraId="277E328A" w14:textId="77777777" w:rsidR="0034598E" w:rsidRPr="002B6EDF" w:rsidRDefault="0034598E">
      <w:pPr>
        <w:pStyle w:val="FootnoteText"/>
        <w:rPr>
          <w:lang w:val="sr-Latn-RS"/>
        </w:rPr>
      </w:pPr>
      <w:r>
        <w:rPr>
          <w:rStyle w:val="FootnoteReference"/>
        </w:rPr>
        <w:footnoteRef/>
      </w:r>
      <w:r>
        <w:t xml:space="preserve"> </w:t>
      </w:r>
      <w:r w:rsidRPr="002B6EDF">
        <w:t>UNITAR - Untied Nations Institute for Training and Research</w:t>
      </w:r>
    </w:p>
  </w:footnote>
  <w:footnote w:id="7">
    <w:p w14:paraId="2F6597E6" w14:textId="77777777" w:rsidR="0034598E" w:rsidRPr="002B6EDF" w:rsidRDefault="0034598E">
      <w:pPr>
        <w:pStyle w:val="FootnoteText"/>
        <w:rPr>
          <w:lang w:val="sr-Latn-RS"/>
        </w:rPr>
      </w:pPr>
      <w:r>
        <w:rPr>
          <w:rStyle w:val="FootnoteReference"/>
        </w:rPr>
        <w:footnoteRef/>
      </w:r>
      <w:r>
        <w:t xml:space="preserve"> </w:t>
      </w:r>
      <w:r w:rsidRPr="002B6EDF">
        <w:t>IOMC - Inter-organization Programme for the Sound Management of Chemicals</w:t>
      </w:r>
    </w:p>
  </w:footnote>
  <w:footnote w:id="8">
    <w:p w14:paraId="67811C22" w14:textId="77777777" w:rsidR="0034598E" w:rsidRPr="002B6EDF" w:rsidRDefault="0034598E">
      <w:pPr>
        <w:pStyle w:val="FootnoteText"/>
        <w:rPr>
          <w:lang w:val="sr-Latn-RS"/>
        </w:rPr>
      </w:pPr>
      <w:r>
        <w:rPr>
          <w:rStyle w:val="FootnoteReference"/>
        </w:rPr>
        <w:footnoteRef/>
      </w:r>
      <w:r>
        <w:t xml:space="preserve"> </w:t>
      </w:r>
      <w:r w:rsidRPr="00AB15C7">
        <w:rPr>
          <w:rFonts w:ascii="Cambria" w:hAnsi="Cambria"/>
          <w:noProof/>
          <w:lang w:val="sr-Latn-ME"/>
        </w:rPr>
        <w:t>IFCS - International Forum for Chemicals Safety</w:t>
      </w:r>
    </w:p>
  </w:footnote>
  <w:footnote w:id="9">
    <w:p w14:paraId="5F212C6D" w14:textId="77777777" w:rsidR="0034598E" w:rsidRPr="007051F5" w:rsidRDefault="0034598E" w:rsidP="00AB4ED3">
      <w:pPr>
        <w:pStyle w:val="FootnoteText"/>
        <w:tabs>
          <w:tab w:val="left" w:pos="720"/>
        </w:tabs>
        <w:jc w:val="both"/>
        <w:rPr>
          <w:sz w:val="18"/>
          <w:lang w:val="en-US"/>
        </w:rPr>
      </w:pPr>
      <w:r w:rsidRPr="007051F5">
        <w:rPr>
          <w:rStyle w:val="FootnoteReference"/>
          <w:sz w:val="18"/>
        </w:rPr>
        <w:footnoteRef/>
      </w:r>
      <w:r w:rsidRPr="007051F5">
        <w:rPr>
          <w:sz w:val="18"/>
        </w:rPr>
        <w:t xml:space="preserve"> </w:t>
      </w:r>
      <w:r>
        <w:rPr>
          <w:sz w:val="18"/>
        </w:rPr>
        <w:t>Nakon dobijanja Mišljenja Komisije o zahtjevu Crne Gore za članstvo 9. novembra</w:t>
      </w:r>
      <w:r w:rsidRPr="007051F5">
        <w:rPr>
          <w:sz w:val="18"/>
        </w:rPr>
        <w:t xml:space="preserve"> 2010</w:t>
      </w:r>
      <w:r>
        <w:rPr>
          <w:sz w:val="18"/>
        </w:rPr>
        <w:t>. godine</w:t>
      </w:r>
      <w:r w:rsidRPr="007051F5">
        <w:rPr>
          <w:sz w:val="18"/>
        </w:rPr>
        <w:t xml:space="preserve">, </w:t>
      </w:r>
      <w:r>
        <w:rPr>
          <w:sz w:val="18"/>
        </w:rPr>
        <w:t>Crnoj Gori je 17. decembra 2010. godine zvanično dodijeljen status zemlje kandidata</w:t>
      </w:r>
      <w:r w:rsidRPr="007051F5">
        <w:rPr>
          <w:sz w:val="18"/>
        </w:rPr>
        <w:t xml:space="preserve">. </w:t>
      </w:r>
      <w:r>
        <w:rPr>
          <w:sz w:val="18"/>
        </w:rPr>
        <w:t>Pregovori o članstvu u EU započeti su u oktobru 2011. godine</w:t>
      </w:r>
      <w:r w:rsidRPr="007051F5">
        <w:rPr>
          <w:sz w:val="18"/>
        </w:rPr>
        <w:t xml:space="preserve"> </w:t>
      </w:r>
      <w:r>
        <w:rPr>
          <w:sz w:val="18"/>
        </w:rPr>
        <w:t>usvajanjem preporuke Evropske komisije da se započnu pregovori</w:t>
      </w:r>
      <w:r w:rsidRPr="007051F5">
        <w:rPr>
          <w:sz w:val="18"/>
        </w:rPr>
        <w:t xml:space="preserve">, </w:t>
      </w:r>
      <w:r>
        <w:rPr>
          <w:sz w:val="18"/>
        </w:rPr>
        <w:t>a 29. juna</w:t>
      </w:r>
      <w:r w:rsidRPr="007051F5">
        <w:rPr>
          <w:sz w:val="18"/>
        </w:rPr>
        <w:t xml:space="preserve"> 2012</w:t>
      </w:r>
      <w:r>
        <w:rPr>
          <w:sz w:val="18"/>
        </w:rPr>
        <w:t>. godine</w:t>
      </w:r>
      <w:r w:rsidRPr="007051F5">
        <w:rPr>
          <w:sz w:val="18"/>
        </w:rPr>
        <w:t xml:space="preserve"> </w:t>
      </w:r>
      <w:r>
        <w:rPr>
          <w:sz w:val="18"/>
        </w:rPr>
        <w:t>zvanično su započeti pregovori o članstvu procesom skrininga</w:t>
      </w:r>
      <w:r>
        <w:rPr>
          <w:sz w:val="18"/>
          <w:lang w:val="sr-Latn-ME"/>
        </w:rPr>
        <w:t>,</w:t>
      </w:r>
      <w:r>
        <w:rPr>
          <w:sz w:val="18"/>
        </w:rPr>
        <w:t xml:space="preserve"> koji je završen 27. juna </w:t>
      </w:r>
      <w:r w:rsidRPr="007051F5">
        <w:rPr>
          <w:sz w:val="18"/>
        </w:rPr>
        <w:t>2013.</w:t>
      </w:r>
      <w:r>
        <w:rPr>
          <w:sz w:val="18"/>
        </w:rPr>
        <w:t xml:space="preserve"> godine.</w:t>
      </w:r>
      <w:r w:rsidRPr="007051F5">
        <w:rPr>
          <w:sz w:val="18"/>
        </w:rPr>
        <w:t xml:space="preserve"> </w:t>
      </w:r>
      <w:r>
        <w:rPr>
          <w:sz w:val="18"/>
        </w:rPr>
        <w:t>U decembru 2013. godine usvojen je</w:t>
      </w:r>
      <w:r w:rsidRPr="007051F5">
        <w:rPr>
          <w:sz w:val="18"/>
        </w:rPr>
        <w:t xml:space="preserve"> </w:t>
      </w:r>
      <w:r>
        <w:rPr>
          <w:sz w:val="18"/>
        </w:rPr>
        <w:t>Program pristupanja Crne Gore Evropskoj uniji</w:t>
      </w:r>
      <w:r w:rsidRPr="007051F5">
        <w:rPr>
          <w:sz w:val="18"/>
        </w:rPr>
        <w:t xml:space="preserve"> (MPA) </w:t>
      </w:r>
      <w:r>
        <w:rPr>
          <w:sz w:val="18"/>
        </w:rPr>
        <w:t>za</w:t>
      </w:r>
      <w:r w:rsidRPr="007051F5">
        <w:rPr>
          <w:sz w:val="18"/>
        </w:rPr>
        <w:t xml:space="preserve"> period 2014</w:t>
      </w:r>
      <w:r>
        <w:rPr>
          <w:sz w:val="18"/>
        </w:rPr>
        <w:t>̶</w:t>
      </w:r>
      <w:r w:rsidRPr="007051F5">
        <w:rPr>
          <w:sz w:val="18"/>
        </w:rPr>
        <w:t>2018</w:t>
      </w:r>
      <w:r>
        <w:rPr>
          <w:sz w:val="18"/>
        </w:rPr>
        <w:t>. godine</w:t>
      </w:r>
      <w:r w:rsidRPr="007051F5">
        <w:rPr>
          <w:sz w:val="18"/>
        </w:rPr>
        <w:t>, a</w:t>
      </w:r>
      <w:r>
        <w:rPr>
          <w:sz w:val="18"/>
        </w:rPr>
        <w:t xml:space="preserve"> radi se o višegodišnjem strateškom dokumentu</w:t>
      </w:r>
      <w:r>
        <w:rPr>
          <w:sz w:val="18"/>
          <w:lang w:val="sr-Latn-ME"/>
        </w:rPr>
        <w:t>,</w:t>
      </w:r>
      <w:r>
        <w:rPr>
          <w:sz w:val="18"/>
        </w:rPr>
        <w:t xml:space="preserve"> koji treba da odgovori na potrebe pregovaračkog procesa. </w:t>
      </w:r>
      <w:r w:rsidRPr="007051F5">
        <w:rPr>
          <w:sz w:val="18"/>
        </w:rPr>
        <w:t xml:space="preserve"> </w:t>
      </w:r>
    </w:p>
  </w:footnote>
  <w:footnote w:id="10">
    <w:p w14:paraId="16B236E7" w14:textId="77777777" w:rsidR="0034598E" w:rsidRPr="00DF46C0" w:rsidRDefault="0034598E">
      <w:pPr>
        <w:pStyle w:val="FootnoteText"/>
        <w:rPr>
          <w:lang w:val="sr-Latn-RS"/>
        </w:rPr>
      </w:pPr>
      <w:r>
        <w:rPr>
          <w:rStyle w:val="FootnoteReference"/>
        </w:rPr>
        <w:footnoteRef/>
      </w:r>
      <w:r>
        <w:t xml:space="preserve"> </w:t>
      </w:r>
      <w:r>
        <w:rPr>
          <w:lang w:val="sr-Latn-RS"/>
        </w:rPr>
        <w:t xml:space="preserve">Izvor: Privredna komora Crne Core, </w:t>
      </w:r>
      <w:r w:rsidRPr="00916FA1">
        <w:t>http://www.privrednakomora.me/privredna-drustva-i-privreda</w:t>
      </w:r>
    </w:p>
  </w:footnote>
  <w:footnote w:id="11">
    <w:p w14:paraId="4DF10592" w14:textId="77777777" w:rsidR="0034598E" w:rsidRPr="00DF46C0" w:rsidRDefault="0034598E" w:rsidP="009A4689">
      <w:pPr>
        <w:pStyle w:val="FootnoteText"/>
        <w:rPr>
          <w:lang w:val="sr-Latn-RS"/>
        </w:rPr>
      </w:pPr>
      <w:r>
        <w:rPr>
          <w:rStyle w:val="FootnoteReference"/>
        </w:rPr>
        <w:footnoteRef/>
      </w:r>
      <w:r>
        <w:t xml:space="preserve"> </w:t>
      </w:r>
      <w:r w:rsidRPr="009A4689">
        <w:rPr>
          <w:lang w:val="sr-Latn-RS"/>
        </w:rPr>
        <w:t>Izvještaj</w:t>
      </w:r>
      <w:r>
        <w:rPr>
          <w:lang w:val="sr-Latn-RS"/>
        </w:rPr>
        <w:t xml:space="preserve"> </w:t>
      </w:r>
      <w:r w:rsidRPr="009A4689">
        <w:rPr>
          <w:lang w:val="sr-Latn-RS"/>
        </w:rPr>
        <w:t>o radu i stanju u upravnim oblastima</w:t>
      </w:r>
      <w:r>
        <w:rPr>
          <w:lang w:val="sr-Latn-RS"/>
        </w:rPr>
        <w:t xml:space="preserve"> M</w:t>
      </w:r>
      <w:r w:rsidRPr="009A4689">
        <w:rPr>
          <w:lang w:val="sr-Latn-RS"/>
        </w:rPr>
        <w:t>inistarstva održivog razvoja i turizma,</w:t>
      </w:r>
      <w:r>
        <w:rPr>
          <w:lang w:val="sr-Latn-RS"/>
        </w:rPr>
        <w:t xml:space="preserve"> </w:t>
      </w:r>
      <w:r w:rsidRPr="009A4689">
        <w:rPr>
          <w:lang w:val="sr-Latn-RS"/>
        </w:rPr>
        <w:t>organa uprave u sastavu ministarstva i</w:t>
      </w:r>
      <w:r>
        <w:rPr>
          <w:lang w:val="sr-Latn-RS"/>
        </w:rPr>
        <w:t xml:space="preserve"> Z</w:t>
      </w:r>
      <w:r w:rsidRPr="009A4689">
        <w:rPr>
          <w:lang w:val="sr-Latn-RS"/>
        </w:rPr>
        <w:t>avoda za hidrometeorologiju i</w:t>
      </w:r>
      <w:r>
        <w:rPr>
          <w:lang w:val="sr-Latn-RS"/>
        </w:rPr>
        <w:t xml:space="preserve"> </w:t>
      </w:r>
      <w:r w:rsidRPr="009A4689">
        <w:rPr>
          <w:lang w:val="sr-Latn-RS"/>
        </w:rPr>
        <w:t>seizmologiju</w:t>
      </w:r>
      <w:r>
        <w:rPr>
          <w:lang w:val="sr-Latn-RS"/>
        </w:rPr>
        <w:t xml:space="preserve"> </w:t>
      </w:r>
      <w:r w:rsidRPr="009A4689">
        <w:rPr>
          <w:lang w:val="sr-Latn-RS"/>
        </w:rPr>
        <w:t>za 2017. godinu</w:t>
      </w:r>
      <w:r>
        <w:rPr>
          <w:lang w:val="en-US"/>
        </w:rPr>
        <w:t>.</w:t>
      </w:r>
    </w:p>
  </w:footnote>
  <w:footnote w:id="12">
    <w:p w14:paraId="326FA115" w14:textId="77777777" w:rsidR="0034598E" w:rsidRPr="00651083" w:rsidRDefault="0034598E" w:rsidP="00651083">
      <w:pPr>
        <w:pStyle w:val="FootnoteText"/>
        <w:jc w:val="both"/>
        <w:rPr>
          <w:lang w:val="sr-Latn-ME"/>
        </w:rPr>
      </w:pPr>
      <w:r>
        <w:rPr>
          <w:rStyle w:val="FootnoteReference"/>
        </w:rPr>
        <w:footnoteRef/>
      </w:r>
      <w:r>
        <w:t xml:space="preserve"> </w:t>
      </w:r>
      <w:r w:rsidRPr="00651083">
        <w:rPr>
          <w:rFonts w:ascii="Cambria" w:hAnsi="Cambria"/>
          <w:szCs w:val="24"/>
          <w:lang w:val="sr-Latn-ME"/>
        </w:rPr>
        <w:t xml:space="preserve">Podaci su na </w:t>
      </w:r>
      <w:r w:rsidRPr="00651083">
        <w:rPr>
          <w:rFonts w:ascii="Cambria" w:hAnsi="Cambria"/>
          <w:bCs/>
          <w:szCs w:val="24"/>
          <w:lang w:val="sr-Latn-ME"/>
        </w:rPr>
        <w:t>mjesečnom nivou</w:t>
      </w:r>
      <w:r w:rsidRPr="00651083">
        <w:rPr>
          <w:rFonts w:ascii="Cambria" w:hAnsi="Cambria"/>
          <w:b/>
          <w:bCs/>
          <w:szCs w:val="24"/>
          <w:lang w:val="sr-Latn-ME"/>
        </w:rPr>
        <w:t xml:space="preserve"> </w:t>
      </w:r>
      <w:r w:rsidRPr="00651083">
        <w:rPr>
          <w:rFonts w:ascii="Cambria" w:hAnsi="Cambria"/>
          <w:szCs w:val="24"/>
          <w:lang w:val="sr-Latn-ME"/>
        </w:rPr>
        <w:t xml:space="preserve">izraženi u </w:t>
      </w:r>
      <w:r>
        <w:rPr>
          <w:rFonts w:ascii="Cambria" w:hAnsi="Cambria"/>
          <w:szCs w:val="24"/>
          <w:lang w:val="sr-Latn-ME"/>
        </w:rPr>
        <w:t xml:space="preserve">€ </w:t>
      </w:r>
      <w:r w:rsidRPr="00651083">
        <w:rPr>
          <w:rFonts w:ascii="Cambria" w:hAnsi="Cambria"/>
          <w:szCs w:val="24"/>
          <w:lang w:val="sr-Latn-ME"/>
        </w:rPr>
        <w:t>na nivou Crne Gore, koristeći COICOP klasifikaciju lične potrošnje po namjeni.</w:t>
      </w:r>
    </w:p>
  </w:footnote>
  <w:footnote w:id="13">
    <w:p w14:paraId="7F8383CF" w14:textId="77777777" w:rsidR="0034598E" w:rsidRPr="00711C3C" w:rsidRDefault="0034598E" w:rsidP="00711C3C">
      <w:pPr>
        <w:pStyle w:val="FootnoteText"/>
        <w:jc w:val="both"/>
        <w:rPr>
          <w:rFonts w:ascii="Cambria" w:hAnsi="Cambria"/>
          <w:lang w:val="sr-Latn-ME"/>
        </w:rPr>
      </w:pPr>
      <w:r w:rsidRPr="00711C3C">
        <w:rPr>
          <w:rStyle w:val="FootnoteReference"/>
          <w:rFonts w:ascii="Cambria" w:hAnsi="Cambria"/>
        </w:rPr>
        <w:footnoteRef/>
      </w:r>
      <w:r w:rsidRPr="00711C3C">
        <w:rPr>
          <w:rFonts w:ascii="Cambria" w:hAnsi="Cambria"/>
        </w:rPr>
        <w:t xml:space="preserve"> </w:t>
      </w:r>
      <w:r>
        <w:rPr>
          <w:rFonts w:ascii="Cambria" w:hAnsi="Cambria"/>
          <w:lang w:val="sr-Latn-RS"/>
        </w:rPr>
        <w:t xml:space="preserve">Monstat: </w:t>
      </w:r>
      <w:r w:rsidRPr="00C653DF">
        <w:rPr>
          <w:rFonts w:ascii="Cambria" w:hAnsi="Cambria"/>
          <w:lang w:val="en-US"/>
        </w:rPr>
        <w:t>Statistički godišnjak Crne Gore</w:t>
      </w:r>
      <w:r>
        <w:rPr>
          <w:rFonts w:ascii="Cambria" w:hAnsi="Cambria"/>
          <w:lang w:val="sr-Latn-ME"/>
        </w:rPr>
        <w:t>– Poglavlje 11: Poljoprivreda</w:t>
      </w:r>
    </w:p>
  </w:footnote>
  <w:footnote w:id="14">
    <w:p w14:paraId="73648C97" w14:textId="77777777" w:rsidR="0034598E" w:rsidRPr="0043527C" w:rsidRDefault="0034598E" w:rsidP="0043527C">
      <w:pPr>
        <w:pStyle w:val="FootnoteText"/>
        <w:rPr>
          <w:i/>
          <w:lang w:val="sr-Latn-ME"/>
        </w:rPr>
      </w:pPr>
      <w:r>
        <w:rPr>
          <w:rStyle w:val="FootnoteReference"/>
        </w:rPr>
        <w:footnoteRef/>
      </w:r>
      <w:r>
        <w:t xml:space="preserve"> </w:t>
      </w:r>
      <w:r w:rsidRPr="00DF46C0">
        <w:rPr>
          <w:lang w:val="sr-Latn-ME"/>
        </w:rPr>
        <w:t>Monstat, Saopštenje 133, Generisane količine otpada iz industrije 2016. godina</w:t>
      </w:r>
    </w:p>
    <w:p w14:paraId="73726860" w14:textId="77777777" w:rsidR="0034598E" w:rsidRPr="00DF46C0" w:rsidRDefault="0034598E">
      <w:pPr>
        <w:pStyle w:val="FootnoteText"/>
        <w:rPr>
          <w:lang w:val="sr-Latn-RS"/>
        </w:rPr>
      </w:pPr>
    </w:p>
  </w:footnote>
  <w:footnote w:id="15">
    <w:p w14:paraId="071B1DE5" w14:textId="77777777" w:rsidR="0034598E" w:rsidRPr="00DF46C0" w:rsidRDefault="0034598E" w:rsidP="008A60BE">
      <w:pPr>
        <w:pStyle w:val="FootnoteText"/>
        <w:rPr>
          <w:lang w:val="sr-Latn-RS"/>
        </w:rPr>
      </w:pPr>
      <w:r>
        <w:rPr>
          <w:rStyle w:val="FootnoteReference"/>
        </w:rPr>
        <w:footnoteRef/>
      </w:r>
      <w:r>
        <w:t xml:space="preserve"> </w:t>
      </w:r>
      <w:r w:rsidRPr="008A60BE">
        <w:rPr>
          <w:lang w:val="en-US"/>
        </w:rPr>
        <w:t>Informacija o stanju životne sredine u</w:t>
      </w:r>
      <w:r>
        <w:rPr>
          <w:lang w:val="en-US"/>
        </w:rPr>
        <w:t xml:space="preserve"> </w:t>
      </w:r>
      <w:r w:rsidRPr="008A60BE">
        <w:rPr>
          <w:lang w:val="en-US"/>
        </w:rPr>
        <w:t>Crnoj Gori za 2016. godinu</w:t>
      </w:r>
      <w:r>
        <w:rPr>
          <w:lang w:val="en-US"/>
        </w:rPr>
        <w:t xml:space="preserve">., </w:t>
      </w:r>
      <w:r w:rsidRPr="008A60BE">
        <w:rPr>
          <w:lang w:val="en-US"/>
        </w:rPr>
        <w:t>Agencija za zaštitu prirode i životne sredine</w:t>
      </w:r>
    </w:p>
  </w:footnote>
  <w:footnote w:id="16">
    <w:p w14:paraId="365686C6" w14:textId="77777777" w:rsidR="0034598E" w:rsidRPr="00962EE3" w:rsidRDefault="0034598E" w:rsidP="00962EE3">
      <w:pPr>
        <w:pStyle w:val="FootnoteText"/>
        <w:rPr>
          <w:lang w:val="sr-Latn-RS"/>
        </w:rPr>
      </w:pPr>
      <w:r>
        <w:rPr>
          <w:rStyle w:val="FootnoteReference"/>
        </w:rPr>
        <w:footnoteRef/>
      </w:r>
      <w:r>
        <w:t xml:space="preserve"> Nacionalni plan za implementaciju</w:t>
      </w:r>
      <w:r>
        <w:rPr>
          <w:lang w:val="sr-Latn-RS"/>
        </w:rPr>
        <w:t xml:space="preserve"> </w:t>
      </w:r>
      <w:r>
        <w:t>Stokholmske konvencije za period</w:t>
      </w:r>
      <w:r>
        <w:rPr>
          <w:lang w:val="sr-Latn-RS"/>
        </w:rPr>
        <w:t xml:space="preserve"> </w:t>
      </w:r>
      <w:r>
        <w:t>2014-2021. godine</w:t>
      </w:r>
    </w:p>
  </w:footnote>
  <w:footnote w:id="17">
    <w:p w14:paraId="307D36B1" w14:textId="77777777" w:rsidR="0034598E" w:rsidRDefault="0034598E" w:rsidP="00CB3722">
      <w:pPr>
        <w:pStyle w:val="FootnoteText"/>
        <w:jc w:val="both"/>
      </w:pPr>
      <w:r w:rsidRPr="00BB7723">
        <w:rPr>
          <w:rStyle w:val="FootnoteReference"/>
          <w:sz w:val="18"/>
        </w:rPr>
        <w:footnoteRef/>
      </w:r>
      <w:r>
        <w:rPr>
          <w:sz w:val="18"/>
        </w:rPr>
        <w:t xml:space="preserve"> </w:t>
      </w:r>
      <w:r>
        <w:rPr>
          <w:sz w:val="18"/>
          <w:lang w:val="sr-Latn-RS"/>
        </w:rPr>
        <w:t>N</w:t>
      </w:r>
      <w:r w:rsidRPr="00CB3722">
        <w:rPr>
          <w:sz w:val="18"/>
        </w:rPr>
        <w:t>acrt Izvještaja Minamata inicijalne</w:t>
      </w:r>
      <w:r>
        <w:rPr>
          <w:sz w:val="18"/>
          <w:lang w:val="sr-Latn-RS"/>
        </w:rPr>
        <w:t xml:space="preserve"> </w:t>
      </w:r>
      <w:r w:rsidRPr="00CB3722">
        <w:rPr>
          <w:sz w:val="18"/>
        </w:rPr>
        <w:t>procjene za Crnu Goru</w:t>
      </w:r>
      <w:r>
        <w:rPr>
          <w:sz w:val="18"/>
          <w:lang w:val="sr-Latn-RS"/>
        </w:rPr>
        <w:t xml:space="preserve">, </w:t>
      </w:r>
      <w:hyperlink r:id="rId1" w:history="1">
        <w:r w:rsidRPr="00BC064B">
          <w:rPr>
            <w:rStyle w:val="Hyperlink"/>
            <w:sz w:val="18"/>
            <w:lang w:val="sr-Latn-RS"/>
          </w:rPr>
          <w:t>www.mrt.gov.me</w:t>
        </w:r>
      </w:hyperlink>
      <w:r>
        <w:rPr>
          <w:sz w:val="18"/>
          <w:lang w:val="sr-Latn-RS"/>
        </w:rPr>
        <w:t xml:space="preserve">   </w:t>
      </w:r>
      <w:r>
        <w:rPr>
          <w:sz w:val="18"/>
        </w:rPr>
        <w:t xml:space="preserve">  </w:t>
      </w:r>
      <w:r w:rsidRPr="00BB7723">
        <w:rPr>
          <w:sz w:val="18"/>
        </w:rPr>
        <w:t xml:space="preserve"> </w:t>
      </w:r>
    </w:p>
  </w:footnote>
  <w:footnote w:id="18">
    <w:p w14:paraId="4EA7F932" w14:textId="35B64ECB" w:rsidR="0034598E" w:rsidRPr="0086556C" w:rsidRDefault="0034598E" w:rsidP="000430B7">
      <w:pPr>
        <w:pStyle w:val="FootnoteText"/>
        <w:jc w:val="both"/>
        <w:rPr>
          <w:lang w:val="sr-Latn-ME"/>
        </w:rPr>
      </w:pPr>
      <w:r>
        <w:rPr>
          <w:rStyle w:val="FootnoteReference"/>
        </w:rPr>
        <w:footnoteRef/>
      </w:r>
      <w:r>
        <w:t xml:space="preserve"> </w:t>
      </w:r>
      <w:r>
        <w:rPr>
          <w:rFonts w:ascii="Cambria" w:hAnsi="Cambria"/>
          <w:bCs/>
          <w:szCs w:val="24"/>
          <w:lang w:val="sr-Latn-ME"/>
        </w:rPr>
        <w:t>Za upravljanje p</w:t>
      </w:r>
      <w:r w:rsidRPr="00653EFF">
        <w:rPr>
          <w:rFonts w:ascii="Cambria" w:hAnsi="Cambria"/>
          <w:bCs/>
          <w:szCs w:val="24"/>
          <w:lang w:val="sr-Latn-ME"/>
        </w:rPr>
        <w:t xml:space="preserve">rojektom, </w:t>
      </w:r>
      <w:r>
        <w:rPr>
          <w:rFonts w:ascii="Cambria" w:hAnsi="Cambria"/>
          <w:bCs/>
          <w:szCs w:val="24"/>
          <w:lang w:val="sr-Latn-ME"/>
        </w:rPr>
        <w:t>zadužen</w:t>
      </w:r>
      <w:r w:rsidRPr="00653EFF">
        <w:rPr>
          <w:rFonts w:ascii="Cambria" w:hAnsi="Cambria"/>
          <w:bCs/>
          <w:szCs w:val="24"/>
          <w:lang w:val="sr-Latn-ME"/>
        </w:rPr>
        <w:t xml:space="preserve"> je Upravni odbor projekta koj</w:t>
      </w:r>
      <w:r>
        <w:rPr>
          <w:rFonts w:ascii="Cambria" w:hAnsi="Cambria"/>
          <w:bCs/>
          <w:szCs w:val="24"/>
          <w:lang w:val="sr-Latn-ME"/>
        </w:rPr>
        <w:t>i</w:t>
      </w:r>
      <w:r w:rsidRPr="00653EFF">
        <w:rPr>
          <w:rFonts w:ascii="Cambria" w:hAnsi="Cambria"/>
          <w:bCs/>
          <w:szCs w:val="24"/>
          <w:lang w:val="sr-Latn-ME"/>
        </w:rPr>
        <w:t xml:space="preserve"> čine predstavnici Ministarstva održivog razvoja i turizma, Agencije za zaštitu</w:t>
      </w:r>
      <w:r>
        <w:rPr>
          <w:rFonts w:ascii="Cambria" w:hAnsi="Cambria"/>
          <w:bCs/>
          <w:szCs w:val="24"/>
          <w:lang w:val="sr-Latn-ME"/>
        </w:rPr>
        <w:t xml:space="preserve"> prirode i </w:t>
      </w:r>
      <w:r w:rsidRPr="00653EFF">
        <w:rPr>
          <w:rFonts w:ascii="Cambria" w:hAnsi="Cambria"/>
          <w:bCs/>
          <w:szCs w:val="24"/>
          <w:lang w:val="sr-Latn-ME"/>
        </w:rPr>
        <w:t xml:space="preserve"> životne sredine, Ministarstva ekonomije, </w:t>
      </w:r>
      <w:r w:rsidRPr="00D41040">
        <w:rPr>
          <w:rFonts w:ascii="Cambria" w:hAnsi="Cambria"/>
          <w:bCs/>
          <w:szCs w:val="24"/>
          <w:lang w:val="sr-Latn-ME"/>
        </w:rPr>
        <w:t>Ministarstv</w:t>
      </w:r>
      <w:r>
        <w:rPr>
          <w:rFonts w:ascii="Cambria" w:hAnsi="Cambria"/>
          <w:bCs/>
          <w:szCs w:val="24"/>
          <w:lang w:val="sr-Latn-ME"/>
        </w:rPr>
        <w:t>a</w:t>
      </w:r>
      <w:r w:rsidRPr="00D41040">
        <w:rPr>
          <w:rFonts w:ascii="Cambria" w:hAnsi="Cambria"/>
          <w:bCs/>
          <w:szCs w:val="24"/>
          <w:lang w:val="sr-Latn-ME"/>
        </w:rPr>
        <w:t xml:space="preserve"> poljoprivrede i ruralnog ra</w:t>
      </w:r>
      <w:r>
        <w:rPr>
          <w:rFonts w:ascii="Cambria" w:hAnsi="Cambria"/>
          <w:bCs/>
          <w:szCs w:val="24"/>
          <w:lang w:val="sr-Latn-ME"/>
        </w:rPr>
        <w:t>z</w:t>
      </w:r>
      <w:r w:rsidRPr="00D41040">
        <w:rPr>
          <w:rFonts w:ascii="Cambria" w:hAnsi="Cambria"/>
          <w:bCs/>
          <w:szCs w:val="24"/>
          <w:lang w:val="sr-Latn-ME"/>
        </w:rPr>
        <w:t>voja</w:t>
      </w:r>
      <w:r w:rsidRPr="00653EFF">
        <w:rPr>
          <w:rFonts w:ascii="Cambria" w:hAnsi="Cambria"/>
          <w:bCs/>
          <w:szCs w:val="24"/>
          <w:lang w:val="sr-Latn-ME"/>
        </w:rPr>
        <w:t>, nevladinog sektora i Ministarstva finansija.</w:t>
      </w:r>
    </w:p>
  </w:footnote>
  <w:footnote w:id="19">
    <w:p w14:paraId="01105E5C" w14:textId="77777777" w:rsidR="0034598E" w:rsidRPr="00093591" w:rsidRDefault="0034598E" w:rsidP="005F66A3">
      <w:pPr>
        <w:pStyle w:val="FootnoteText"/>
      </w:pPr>
      <w:r w:rsidRPr="00093591">
        <w:rPr>
          <w:rStyle w:val="FootnoteReference"/>
        </w:rPr>
        <w:footnoteRef/>
      </w:r>
      <w:r w:rsidRPr="00093591">
        <w:t xml:space="preserve"> Godišnji Program monitoringa priprem</w:t>
      </w:r>
      <w:r>
        <w:t xml:space="preserve">a Agencija za zaštitu </w:t>
      </w:r>
      <w:r w:rsidRPr="00093591">
        <w:t xml:space="preserve">životne sredine koji, uz prethodnu saglasnost Ministarstva održivog razvoja i turizma, usvaja Vlada u </w:t>
      </w:r>
      <w:r w:rsidRPr="005F66A3">
        <w:rPr>
          <w:color w:val="000000"/>
        </w:rPr>
        <w:t xml:space="preserve">IV </w:t>
      </w:r>
      <w:r w:rsidRPr="00093591">
        <w:t>kvartalu tekuće za narednu godinu.</w:t>
      </w:r>
    </w:p>
  </w:footnote>
  <w:footnote w:id="20">
    <w:p w14:paraId="03673B02" w14:textId="45254098" w:rsidR="0034598E" w:rsidRPr="003803AD" w:rsidRDefault="0034598E" w:rsidP="009915F5">
      <w:pPr>
        <w:autoSpaceDE w:val="0"/>
        <w:autoSpaceDN w:val="0"/>
        <w:adjustRightInd w:val="0"/>
        <w:spacing w:before="120" w:after="0" w:line="240" w:lineRule="auto"/>
        <w:jc w:val="both"/>
        <w:rPr>
          <w:rFonts w:ascii="Cambria" w:hAnsi="Cambria"/>
          <w:sz w:val="20"/>
          <w:szCs w:val="20"/>
          <w:lang w:val="sr-Latn-ME"/>
        </w:rPr>
      </w:pPr>
      <w:r w:rsidRPr="00A17FD9">
        <w:rPr>
          <w:rStyle w:val="FootnoteReference"/>
          <w:rFonts w:ascii="Cambria" w:hAnsi="Cambria"/>
          <w:sz w:val="20"/>
          <w:szCs w:val="20"/>
        </w:rPr>
        <w:footnoteRef/>
      </w:r>
      <w:r w:rsidRPr="00A17FD9">
        <w:rPr>
          <w:rFonts w:ascii="Cambria" w:hAnsi="Cambria"/>
          <w:sz w:val="20"/>
          <w:szCs w:val="20"/>
        </w:rPr>
        <w:t xml:space="preserve"> </w:t>
      </w:r>
      <w:r w:rsidRPr="009915F5">
        <w:rPr>
          <w:rFonts w:ascii="Cambria" w:hAnsi="Cambria"/>
          <w:sz w:val="20"/>
          <w:szCs w:val="20"/>
        </w:rPr>
        <w:t>Upravljanje otpadom je sprječavanje nastanka, smanjenje količina otpada ili ponovna upotreba otpada i sakupljanje, transport, prerada i zbrinjavanje otpada, nadzor nad tim postupcima i naknadno održavanje deponija, uključujući i aktivnosti trgovca i posrednika otpadom</w:t>
      </w:r>
    </w:p>
    <w:p w14:paraId="444A50FC" w14:textId="77777777" w:rsidR="0034598E" w:rsidRPr="00E03009" w:rsidRDefault="0034598E" w:rsidP="009915F5">
      <w:pPr>
        <w:pStyle w:val="FootnoteText"/>
        <w:rPr>
          <w:lang w:val="sr-Latn-ME"/>
        </w:rPr>
      </w:pPr>
    </w:p>
  </w:footnote>
  <w:footnote w:id="21">
    <w:p w14:paraId="439F781F" w14:textId="7018244F" w:rsidR="0034598E" w:rsidRPr="00857141" w:rsidRDefault="0034598E" w:rsidP="00857141">
      <w:pPr>
        <w:pStyle w:val="FootnoteText"/>
        <w:jc w:val="both"/>
        <w:rPr>
          <w:rFonts w:ascii="Cambria" w:hAnsi="Cambria"/>
          <w:color w:val="000000"/>
          <w:lang w:val="en-US"/>
        </w:rPr>
      </w:pPr>
      <w:r w:rsidRPr="00B74008">
        <w:rPr>
          <w:rStyle w:val="FootnoteReference"/>
          <w:rFonts w:ascii="Cambria" w:hAnsi="Cambria"/>
        </w:rPr>
        <w:footnoteRef/>
      </w:r>
      <w:r w:rsidRPr="00AB15C7">
        <w:rPr>
          <w:rFonts w:ascii="Cambria" w:hAnsi="Cambria"/>
          <w:noProof/>
          <w:color w:val="000000"/>
          <w:lang w:val="sr-Latn-ME"/>
        </w:rPr>
        <w:t>Vlada Crne Gore trebalo je usvojila Nacionalnu strategiju upravljanja otpadom do 2030. i Državni plan upravljanja otpadom za period 2015-2020., a koji su usklađeni s najnovijim smjernicama EU u ovoj oblasti</w:t>
      </w:r>
    </w:p>
  </w:footnote>
  <w:footnote w:id="22">
    <w:p w14:paraId="279ACB47" w14:textId="77777777" w:rsidR="0034598E" w:rsidRPr="00DE3778" w:rsidRDefault="0034598E" w:rsidP="00F330E0">
      <w:pPr>
        <w:pStyle w:val="FootnoteText"/>
        <w:jc w:val="both"/>
        <w:rPr>
          <w:sz w:val="18"/>
          <w:szCs w:val="18"/>
        </w:rPr>
      </w:pPr>
      <w:r w:rsidRPr="00DE3778">
        <w:rPr>
          <w:rStyle w:val="FootnoteReference"/>
          <w:sz w:val="18"/>
          <w:szCs w:val="18"/>
        </w:rPr>
        <w:footnoteRef/>
      </w:r>
      <w:r w:rsidRPr="00DE3778">
        <w:rPr>
          <w:sz w:val="18"/>
          <w:szCs w:val="18"/>
        </w:rPr>
        <w:t xml:space="preserve"> Izvor: Strategija regionalnog razvoja Crne Gore 2014-2020, Ministarstvo ekonomije</w:t>
      </w:r>
    </w:p>
  </w:footnote>
  <w:footnote w:id="23">
    <w:p w14:paraId="78751B10" w14:textId="77777777" w:rsidR="0034598E" w:rsidRPr="009715CF" w:rsidRDefault="0034598E" w:rsidP="009715CF">
      <w:pPr>
        <w:pStyle w:val="FootnoteText"/>
        <w:rPr>
          <w:lang w:val="sr-Latn-RS"/>
        </w:rPr>
      </w:pPr>
      <w:r>
        <w:rPr>
          <w:rStyle w:val="FootnoteReference"/>
        </w:rPr>
        <w:footnoteRef/>
      </w:r>
      <w:r>
        <w:t xml:space="preserve"> </w:t>
      </w:r>
      <w:r>
        <w:rPr>
          <w:lang w:val="sr-Latn-RS"/>
        </w:rPr>
        <w:t>Eng:</w:t>
      </w:r>
      <w:r w:rsidRPr="009715CF">
        <w:t xml:space="preserve"> </w:t>
      </w:r>
      <w:r w:rsidRPr="009715CF">
        <w:rPr>
          <w:b/>
          <w:lang w:val="sr-Latn-RS"/>
        </w:rPr>
        <w:t>R</w:t>
      </w:r>
      <w:r w:rsidRPr="009715CF">
        <w:rPr>
          <w:lang w:val="sr-Latn-RS"/>
        </w:rPr>
        <w:t xml:space="preserve">egistration, </w:t>
      </w:r>
      <w:r w:rsidRPr="009715CF">
        <w:rPr>
          <w:b/>
          <w:lang w:val="sr-Latn-RS"/>
        </w:rPr>
        <w:t>E</w:t>
      </w:r>
      <w:r w:rsidRPr="009715CF">
        <w:rPr>
          <w:lang w:val="sr-Latn-RS"/>
        </w:rPr>
        <w:t xml:space="preserve">valuation, </w:t>
      </w:r>
      <w:r w:rsidRPr="009715CF">
        <w:rPr>
          <w:b/>
          <w:lang w:val="sr-Latn-RS"/>
        </w:rPr>
        <w:t>A</w:t>
      </w:r>
      <w:r w:rsidRPr="009715CF">
        <w:rPr>
          <w:lang w:val="sr-Latn-RS"/>
        </w:rPr>
        <w:t xml:space="preserve">uthorisation and </w:t>
      </w:r>
      <w:r w:rsidRPr="009715CF">
        <w:rPr>
          <w:b/>
          <w:lang w:val="sr-Latn-RS"/>
        </w:rPr>
        <w:t>R</w:t>
      </w:r>
      <w:r w:rsidRPr="009715CF">
        <w:rPr>
          <w:lang w:val="sr-Latn-RS"/>
        </w:rPr>
        <w:t xml:space="preserve">estriction of </w:t>
      </w:r>
      <w:r w:rsidRPr="009715CF">
        <w:rPr>
          <w:b/>
          <w:lang w:val="sr-Latn-RS"/>
        </w:rPr>
        <w:t>Ch</w:t>
      </w:r>
      <w:r w:rsidRPr="009715CF">
        <w:rPr>
          <w:lang w:val="sr-Latn-RS"/>
        </w:rPr>
        <w:t>emicals</w:t>
      </w:r>
      <w:r>
        <w:rPr>
          <w:lang w:val="sr-Latn-RS"/>
        </w:rPr>
        <w:t>-REACH</w:t>
      </w:r>
    </w:p>
  </w:footnote>
  <w:footnote w:id="24">
    <w:p w14:paraId="3F9C2CD9" w14:textId="77777777" w:rsidR="0034598E" w:rsidRPr="00807E8E" w:rsidRDefault="0034598E">
      <w:pPr>
        <w:pStyle w:val="FootnoteText"/>
        <w:rPr>
          <w:lang w:val="sr-Latn-RS"/>
        </w:rPr>
      </w:pPr>
      <w:r>
        <w:rPr>
          <w:rStyle w:val="FootnoteReference"/>
        </w:rPr>
        <w:footnoteRef/>
      </w:r>
      <w:r>
        <w:t xml:space="preserve"> </w:t>
      </w:r>
      <w:r>
        <w:rPr>
          <w:lang w:val="sr-Latn-RS"/>
        </w:rPr>
        <w:t xml:space="preserve">Eng: </w:t>
      </w:r>
      <w:r w:rsidRPr="00807E8E">
        <w:rPr>
          <w:b/>
          <w:lang w:val="sr-Latn-RS"/>
        </w:rPr>
        <w:t>S</w:t>
      </w:r>
      <w:r>
        <w:rPr>
          <w:lang w:val="sr-Latn-RS"/>
        </w:rPr>
        <w:t xml:space="preserve">ubstances of </w:t>
      </w:r>
      <w:r w:rsidRPr="00807E8E">
        <w:rPr>
          <w:b/>
          <w:lang w:val="sr-Latn-RS"/>
        </w:rPr>
        <w:t>V</w:t>
      </w:r>
      <w:r>
        <w:rPr>
          <w:lang w:val="sr-Latn-RS"/>
        </w:rPr>
        <w:t xml:space="preserve">ery </w:t>
      </w:r>
      <w:r w:rsidRPr="00807E8E">
        <w:rPr>
          <w:b/>
          <w:lang w:val="sr-Latn-RS"/>
        </w:rPr>
        <w:t>H</w:t>
      </w:r>
      <w:r>
        <w:rPr>
          <w:lang w:val="sr-Latn-RS"/>
        </w:rPr>
        <w:t xml:space="preserve">igh </w:t>
      </w:r>
      <w:r w:rsidRPr="00807E8E">
        <w:rPr>
          <w:b/>
          <w:lang w:val="sr-Latn-RS"/>
        </w:rPr>
        <w:t>C</w:t>
      </w:r>
      <w:r>
        <w:rPr>
          <w:lang w:val="sr-Latn-RS"/>
        </w:rPr>
        <w:t>oncern-SVHC</w:t>
      </w:r>
    </w:p>
  </w:footnote>
  <w:footnote w:id="25">
    <w:p w14:paraId="65715A5F" w14:textId="77777777" w:rsidR="0034598E" w:rsidRPr="005E5ECB" w:rsidRDefault="0034598E">
      <w:pPr>
        <w:pStyle w:val="FootnoteText"/>
        <w:rPr>
          <w:lang w:val="sr-Latn-RS"/>
        </w:rPr>
      </w:pPr>
      <w:r>
        <w:rPr>
          <w:rStyle w:val="FootnoteReference"/>
        </w:rPr>
        <w:footnoteRef/>
      </w:r>
      <w:r>
        <w:t xml:space="preserve"> </w:t>
      </w:r>
      <w:bookmarkStart w:id="70" w:name="_Hlk522638260"/>
      <w:r w:rsidRPr="005E5ECB">
        <w:t xml:space="preserve">Eng: </w:t>
      </w:r>
      <w:r w:rsidRPr="005E5ECB">
        <w:rPr>
          <w:lang w:val="en-US"/>
        </w:rPr>
        <w:t xml:space="preserve">Persistent, Bioaccumulative </w:t>
      </w:r>
      <w:r>
        <w:rPr>
          <w:lang w:val="en-US"/>
        </w:rPr>
        <w:t>a</w:t>
      </w:r>
      <w:r w:rsidRPr="005E5ECB">
        <w:rPr>
          <w:lang w:val="en-US"/>
        </w:rPr>
        <w:t xml:space="preserve">nd Toxic </w:t>
      </w:r>
      <w:r w:rsidRPr="005E5ECB">
        <w:t>-</w:t>
      </w:r>
      <w:r>
        <w:rPr>
          <w:lang w:val="sr-Latn-RS"/>
        </w:rPr>
        <w:t>PBT</w:t>
      </w:r>
      <w:bookmarkEnd w:id="70"/>
    </w:p>
  </w:footnote>
  <w:footnote w:id="26">
    <w:p w14:paraId="48A4CAAC" w14:textId="77777777" w:rsidR="0034598E" w:rsidRPr="005E5ECB" w:rsidRDefault="0034598E">
      <w:pPr>
        <w:pStyle w:val="FootnoteText"/>
        <w:rPr>
          <w:lang w:val="sr-Latn-RS"/>
        </w:rPr>
      </w:pPr>
      <w:r>
        <w:rPr>
          <w:rStyle w:val="FootnoteReference"/>
        </w:rPr>
        <w:footnoteRef/>
      </w:r>
      <w:r>
        <w:t xml:space="preserve"> </w:t>
      </w:r>
      <w:r w:rsidRPr="005E5ECB">
        <w:t xml:space="preserve">Eng: Very Persistent </w:t>
      </w:r>
      <w:r>
        <w:rPr>
          <w:lang w:val="sr-Latn-RS"/>
        </w:rPr>
        <w:t>a</w:t>
      </w:r>
      <w:r w:rsidRPr="005E5ECB">
        <w:t>nd Very Bioaccumulative -</w:t>
      </w:r>
      <w:r w:rsidRPr="005E5ECB">
        <w:rPr>
          <w:rFonts w:ascii="Cambria" w:hAnsi="Cambria"/>
          <w:sz w:val="24"/>
          <w:szCs w:val="24"/>
          <w:lang w:val="sr-Latn-ME" w:eastAsia="en-US"/>
        </w:rPr>
        <w:t xml:space="preserve"> </w:t>
      </w:r>
      <w:r w:rsidRPr="005E5ECB">
        <w:rPr>
          <w:lang w:val="sr-Latn-ME"/>
        </w:rPr>
        <w:t>vPvB</w:t>
      </w:r>
    </w:p>
  </w:footnote>
  <w:footnote w:id="27">
    <w:p w14:paraId="7500125B" w14:textId="77777777" w:rsidR="0034598E" w:rsidRPr="0064029C" w:rsidRDefault="0034598E">
      <w:pPr>
        <w:pStyle w:val="FootnoteText"/>
        <w:rPr>
          <w:lang w:val="sr-Latn-RS"/>
        </w:rPr>
      </w:pPr>
      <w:r>
        <w:rPr>
          <w:rStyle w:val="FootnoteReference"/>
        </w:rPr>
        <w:footnoteRef/>
      </w:r>
      <w:r>
        <w:t xml:space="preserve"> </w:t>
      </w:r>
      <w:r>
        <w:rPr>
          <w:lang w:val="sr-Latn-RS"/>
        </w:rPr>
        <w:t xml:space="preserve">Eng: </w:t>
      </w:r>
      <w:r w:rsidRPr="0064029C">
        <w:rPr>
          <w:b/>
          <w:lang w:val="sr-Latn-RS"/>
        </w:rPr>
        <w:t>C</w:t>
      </w:r>
      <w:r>
        <w:rPr>
          <w:lang w:val="sr-Latn-RS"/>
        </w:rPr>
        <w:t xml:space="preserve">hemical </w:t>
      </w:r>
      <w:r w:rsidRPr="0064029C">
        <w:rPr>
          <w:b/>
          <w:lang w:val="sr-Latn-RS"/>
        </w:rPr>
        <w:t>S</w:t>
      </w:r>
      <w:r>
        <w:rPr>
          <w:lang w:val="sr-Latn-RS"/>
        </w:rPr>
        <w:t xml:space="preserve">afety </w:t>
      </w:r>
      <w:r w:rsidRPr="0064029C">
        <w:rPr>
          <w:b/>
          <w:lang w:val="sr-Latn-RS"/>
        </w:rPr>
        <w:t>R</w:t>
      </w:r>
      <w:r>
        <w:rPr>
          <w:lang w:val="sr-Latn-RS"/>
        </w:rPr>
        <w:t>eport- CSR</w:t>
      </w:r>
    </w:p>
  </w:footnote>
  <w:footnote w:id="28">
    <w:p w14:paraId="1ECD2027" w14:textId="77777777" w:rsidR="0034598E" w:rsidRPr="005D53B0" w:rsidRDefault="0034598E">
      <w:pPr>
        <w:pStyle w:val="FootnoteText"/>
        <w:rPr>
          <w:lang w:val="sr-Latn-RS"/>
        </w:rPr>
      </w:pPr>
      <w:r>
        <w:rPr>
          <w:rStyle w:val="FootnoteReference"/>
        </w:rPr>
        <w:footnoteRef/>
      </w:r>
      <w:r>
        <w:t xml:space="preserve"> </w:t>
      </w:r>
      <w:r w:rsidRPr="005D53B0">
        <w:t xml:space="preserve">Eng: </w:t>
      </w:r>
      <w:r>
        <w:rPr>
          <w:lang w:val="sr-Latn-RS"/>
        </w:rPr>
        <w:t xml:space="preserve">Prior Informed Consent </w:t>
      </w:r>
      <w:r w:rsidRPr="005D53B0">
        <w:t xml:space="preserve"> - </w:t>
      </w:r>
      <w:r>
        <w:rPr>
          <w:lang w:val="sr-Latn-RS"/>
        </w:rPr>
        <w:t>PIC</w:t>
      </w:r>
    </w:p>
  </w:footnote>
  <w:footnote w:id="29">
    <w:p w14:paraId="3E572BA5" w14:textId="77777777" w:rsidR="0034598E" w:rsidRPr="005D40E5" w:rsidRDefault="0034598E">
      <w:pPr>
        <w:pStyle w:val="FootnoteText"/>
        <w:rPr>
          <w:lang w:val="sr-Latn-RS"/>
        </w:rPr>
      </w:pPr>
      <w:r>
        <w:rPr>
          <w:rStyle w:val="FootnoteReference"/>
        </w:rPr>
        <w:footnoteRef/>
      </w:r>
      <w:r>
        <w:t xml:space="preserve"> </w:t>
      </w:r>
      <w:r>
        <w:rPr>
          <w:lang w:val="sr-Latn-RS"/>
        </w:rPr>
        <w:t xml:space="preserve">Eng: </w:t>
      </w:r>
      <w:r w:rsidRPr="005D40E5">
        <w:rPr>
          <w:b/>
          <w:lang w:val="sr-Latn-RS"/>
        </w:rPr>
        <w:t>B</w:t>
      </w:r>
      <w:r>
        <w:rPr>
          <w:lang w:val="sr-Latn-RS"/>
        </w:rPr>
        <w:t xml:space="preserve">iocidal </w:t>
      </w:r>
      <w:r w:rsidRPr="005D40E5">
        <w:rPr>
          <w:b/>
          <w:lang w:val="sr-Latn-RS"/>
        </w:rPr>
        <w:t>P</w:t>
      </w:r>
      <w:r>
        <w:rPr>
          <w:lang w:val="sr-Latn-RS"/>
        </w:rPr>
        <w:t xml:space="preserve">roducts </w:t>
      </w:r>
      <w:r w:rsidRPr="005D40E5">
        <w:rPr>
          <w:b/>
          <w:lang w:val="sr-Latn-RS"/>
        </w:rPr>
        <w:t>R</w:t>
      </w:r>
      <w:r>
        <w:rPr>
          <w:lang w:val="sr-Latn-RS"/>
        </w:rPr>
        <w:t>egulation-BPR</w:t>
      </w:r>
    </w:p>
  </w:footnote>
  <w:footnote w:id="30">
    <w:p w14:paraId="31322A9D" w14:textId="14C9DDDD" w:rsidR="0034598E" w:rsidRPr="00F75761" w:rsidRDefault="0034598E">
      <w:pPr>
        <w:pStyle w:val="FootnoteText"/>
        <w:rPr>
          <w:lang w:val="en-US"/>
        </w:rPr>
      </w:pPr>
      <w:r>
        <w:rPr>
          <w:rStyle w:val="FootnoteReference"/>
        </w:rPr>
        <w:footnoteRef/>
      </w:r>
      <w:r>
        <w:t xml:space="preserve"> </w:t>
      </w:r>
      <w:r w:rsidRPr="00D01021">
        <w:t>R4BP</w:t>
      </w:r>
      <w:r>
        <w:rPr>
          <w:lang w:val="en-US"/>
        </w:rPr>
        <w:t xml:space="preserve">- eng. Register for Biocidal Products – on-line platforma </w:t>
      </w:r>
      <w:r w:rsidRPr="00F75761">
        <w:rPr>
          <w:lang w:val="en-US"/>
        </w:rPr>
        <w:t xml:space="preserve">putem koje se podnose svi zahtjevi </w:t>
      </w:r>
      <w:r>
        <w:rPr>
          <w:lang w:val="en-US"/>
        </w:rPr>
        <w:t xml:space="preserve">i prateća dokumentacija </w:t>
      </w:r>
      <w:r w:rsidRPr="00F75761">
        <w:rPr>
          <w:lang w:val="en-US"/>
        </w:rPr>
        <w:t xml:space="preserve">za </w:t>
      </w:r>
      <w:r>
        <w:rPr>
          <w:lang w:val="en-US"/>
        </w:rPr>
        <w:t>postupke u pogledu</w:t>
      </w:r>
      <w:r w:rsidRPr="00F75761">
        <w:rPr>
          <w:lang w:val="en-US"/>
        </w:rPr>
        <w:t xml:space="preserve"> biocidnih </w:t>
      </w:r>
      <w:r>
        <w:rPr>
          <w:lang w:val="en-US"/>
        </w:rPr>
        <w:t>proizvoda</w:t>
      </w:r>
      <w:r w:rsidRPr="00F75761">
        <w:rPr>
          <w:lang w:val="en-US"/>
        </w:rPr>
        <w:t xml:space="preserve">. Sadrži funkcije koje </w:t>
      </w:r>
      <w:r>
        <w:rPr>
          <w:lang w:val="en-US"/>
        </w:rPr>
        <w:t>privredi</w:t>
      </w:r>
      <w:r w:rsidRPr="00F75761">
        <w:rPr>
          <w:lang w:val="en-US"/>
        </w:rPr>
        <w:t xml:space="preserve"> i nadležnim tijelima omoguć</w:t>
      </w:r>
      <w:r>
        <w:rPr>
          <w:lang w:val="en-US"/>
        </w:rPr>
        <w:t>avaj</w:t>
      </w:r>
      <w:r w:rsidRPr="00F75761">
        <w:rPr>
          <w:lang w:val="en-US"/>
        </w:rPr>
        <w:t xml:space="preserve">u </w:t>
      </w:r>
      <w:r>
        <w:rPr>
          <w:lang w:val="en-US"/>
        </w:rPr>
        <w:t>sprovođene propisanih procedura i</w:t>
      </w:r>
      <w:r w:rsidRPr="00F75761">
        <w:rPr>
          <w:lang w:val="en-US"/>
        </w:rPr>
        <w:t xml:space="preserve"> međusobnu razmjenu informacija.  </w:t>
      </w:r>
    </w:p>
  </w:footnote>
  <w:footnote w:id="31">
    <w:p w14:paraId="6C99A26C" w14:textId="77777777" w:rsidR="0034598E" w:rsidRPr="005D40E5" w:rsidRDefault="0034598E" w:rsidP="006A3485">
      <w:pPr>
        <w:pStyle w:val="FootnoteText"/>
        <w:rPr>
          <w:lang w:val="sr-Latn-RS"/>
        </w:rPr>
      </w:pPr>
      <w:r>
        <w:rPr>
          <w:rStyle w:val="FootnoteReference"/>
        </w:rPr>
        <w:footnoteRef/>
      </w:r>
      <w:r>
        <w:t xml:space="preserve"> </w:t>
      </w:r>
      <w:r>
        <w:rPr>
          <w:lang w:val="sr-Latn-RS"/>
        </w:rPr>
        <w:t xml:space="preserve">Eng: </w:t>
      </w:r>
      <w:r>
        <w:rPr>
          <w:b/>
          <w:lang w:val="sr-Latn-RS"/>
        </w:rPr>
        <w:t>P</w:t>
      </w:r>
      <w:r w:rsidRPr="0018704B">
        <w:rPr>
          <w:lang w:val="sr-Latn-RS"/>
        </w:rPr>
        <w:t>lant</w:t>
      </w:r>
      <w:r>
        <w:rPr>
          <w:b/>
          <w:lang w:val="sr-Latn-RS"/>
        </w:rPr>
        <w:t xml:space="preserve"> P</w:t>
      </w:r>
      <w:r w:rsidRPr="0018704B">
        <w:rPr>
          <w:lang w:val="sr-Latn-RS"/>
        </w:rPr>
        <w:t xml:space="preserve">rotection </w:t>
      </w:r>
      <w:r w:rsidRPr="005D40E5">
        <w:rPr>
          <w:b/>
          <w:lang w:val="sr-Latn-RS"/>
        </w:rPr>
        <w:t>P</w:t>
      </w:r>
      <w:r>
        <w:rPr>
          <w:lang w:val="sr-Latn-RS"/>
        </w:rPr>
        <w:t xml:space="preserve">roducts </w:t>
      </w:r>
      <w:r w:rsidRPr="005D40E5">
        <w:rPr>
          <w:b/>
          <w:lang w:val="sr-Latn-RS"/>
        </w:rPr>
        <w:t>R</w:t>
      </w:r>
      <w:r>
        <w:rPr>
          <w:lang w:val="sr-Latn-RS"/>
        </w:rPr>
        <w:t>egulation-PPPR</w:t>
      </w:r>
    </w:p>
  </w:footnote>
  <w:footnote w:id="32">
    <w:p w14:paraId="12E91174" w14:textId="77777777" w:rsidR="0034598E" w:rsidRPr="006C4F91" w:rsidRDefault="0034598E" w:rsidP="00276CB4">
      <w:pPr>
        <w:pStyle w:val="FootnoteText"/>
        <w:rPr>
          <w:lang w:val="sr-Latn-RS"/>
        </w:rPr>
      </w:pPr>
      <w:r>
        <w:rPr>
          <w:rStyle w:val="FootnoteReference"/>
        </w:rPr>
        <w:footnoteRef/>
      </w:r>
      <w:r>
        <w:t xml:space="preserve"> </w:t>
      </w:r>
      <w:r w:rsidRPr="006E1B7D">
        <w:rPr>
          <w:lang w:val="en-US"/>
        </w:rPr>
        <w:t> </w:t>
      </w:r>
      <w:r>
        <w:rPr>
          <w:lang w:val="en-US"/>
        </w:rPr>
        <w:t xml:space="preserve">DG NEAR- eng. </w:t>
      </w:r>
      <w:r w:rsidRPr="006E1B7D">
        <w:rPr>
          <w:b/>
          <w:bCs/>
          <w:lang w:val="en-US"/>
        </w:rPr>
        <w:t>Directorate-General for Neighbourhood and Enlargement Negotiations</w:t>
      </w:r>
      <w:r>
        <w:rPr>
          <w:b/>
          <w:bCs/>
          <w:lang w:val="en-US"/>
        </w:rPr>
        <w:t xml:space="preserve"> –Direktorat Evropske komisije zadužen za susedske odnose i pregovore o pridruživanju</w:t>
      </w:r>
    </w:p>
  </w:footnote>
  <w:footnote w:id="33">
    <w:p w14:paraId="5CF8FDD2" w14:textId="77777777" w:rsidR="0034598E" w:rsidRPr="006C10FB" w:rsidRDefault="0034598E" w:rsidP="00B858EC">
      <w:pPr>
        <w:pStyle w:val="FootnoteText"/>
        <w:rPr>
          <w:lang w:val="sr-Latn-RS"/>
        </w:rPr>
      </w:pPr>
      <w:r>
        <w:rPr>
          <w:rStyle w:val="FootnoteReference"/>
        </w:rPr>
        <w:footnoteRef/>
      </w:r>
      <w:r>
        <w:t xml:space="preserve"> </w:t>
      </w:r>
      <w:r>
        <w:rPr>
          <w:lang w:val="sr-Latn-RS"/>
        </w:rPr>
        <w:t>Projekat: „</w:t>
      </w:r>
      <w:r w:rsidRPr="00B858EC">
        <w:rPr>
          <w:lang w:val="sr-Latn-RS"/>
        </w:rPr>
        <w:t>Mogućnost valorizacije sirovinske mješavine na bazi crvenog mulja metodom geopolimerizacije</w:t>
      </w:r>
      <w:r>
        <w:rPr>
          <w:lang w:val="sr-Latn-RS"/>
        </w:rPr>
        <w:t xml:space="preserve">“ </w:t>
      </w:r>
      <w:r w:rsidRPr="00B858EC">
        <w:rPr>
          <w:lang w:val="sr-Latn-RS"/>
        </w:rPr>
        <w:t>(2013-2016),</w:t>
      </w:r>
      <w:r>
        <w:rPr>
          <w:lang w:val="sr-Latn-RS"/>
        </w:rPr>
        <w:t xml:space="preserve"> </w:t>
      </w:r>
      <w:r w:rsidRPr="00B858EC">
        <w:rPr>
          <w:lang w:val="sr-Latn-RS"/>
        </w:rPr>
        <w:t>Rukovodilac prof. Dr Mira Vukčević</w:t>
      </w:r>
      <w:r>
        <w:rPr>
          <w:lang w:val="sr-Latn-RS"/>
        </w:rPr>
        <w:t xml:space="preserve">, MTF </w:t>
      </w:r>
    </w:p>
  </w:footnote>
  <w:footnote w:id="34">
    <w:p w14:paraId="572E5367" w14:textId="77777777" w:rsidR="0034598E" w:rsidRPr="006C10FB" w:rsidRDefault="0034598E">
      <w:pPr>
        <w:pStyle w:val="FootnoteText"/>
        <w:rPr>
          <w:lang w:val="sr-Latn-RS"/>
        </w:rPr>
      </w:pPr>
      <w:r>
        <w:rPr>
          <w:rStyle w:val="FootnoteReference"/>
        </w:rPr>
        <w:footnoteRef/>
      </w:r>
      <w:r>
        <w:t xml:space="preserve"> </w:t>
      </w:r>
      <w:r>
        <w:rPr>
          <w:lang w:val="sr-Latn-RS"/>
        </w:rPr>
        <w:t>P</w:t>
      </w:r>
      <w:r w:rsidRPr="00B858EC">
        <w:rPr>
          <w:lang w:val="sr-Latn-RS"/>
        </w:rPr>
        <w:t xml:space="preserve">rojekat: </w:t>
      </w:r>
      <w:r>
        <w:rPr>
          <w:lang w:val="sr-Latn-RS"/>
        </w:rPr>
        <w:t>„</w:t>
      </w:r>
      <w:r w:rsidRPr="00B858EC">
        <w:rPr>
          <w:lang w:val="sr-Latn-RS"/>
        </w:rPr>
        <w:t>Ispitivanje uzročno-posljedične veze izmedju stredora i zagadjivača životne sredine i toksičnog efekta na ekosistem Zetske ravnice primjenom bioloških testova</w:t>
      </w:r>
      <w:r>
        <w:rPr>
          <w:lang w:val="sr-Latn-RS"/>
        </w:rPr>
        <w:t xml:space="preserve">“ </w:t>
      </w:r>
      <w:r w:rsidRPr="00B858EC">
        <w:rPr>
          <w:lang w:val="sr-Latn-RS"/>
        </w:rPr>
        <w:t>(201</w:t>
      </w:r>
      <w:r>
        <w:rPr>
          <w:lang w:val="sr-Latn-RS"/>
        </w:rPr>
        <w:t>2</w:t>
      </w:r>
      <w:r w:rsidRPr="00B858EC">
        <w:rPr>
          <w:lang w:val="sr-Latn-RS"/>
        </w:rPr>
        <w:t>-201</w:t>
      </w:r>
      <w:r>
        <w:rPr>
          <w:lang w:val="sr-Latn-RS"/>
        </w:rPr>
        <w:t>2</w:t>
      </w:r>
      <w:r w:rsidRPr="00B858EC">
        <w:rPr>
          <w:lang w:val="sr-Latn-RS"/>
        </w:rPr>
        <w:t xml:space="preserve">), Rukovodilac </w:t>
      </w:r>
      <w:r>
        <w:rPr>
          <w:lang w:val="sr-Latn-RS"/>
        </w:rPr>
        <w:t>prof.</w:t>
      </w:r>
      <w:r w:rsidRPr="00B858EC">
        <w:rPr>
          <w:lang w:val="sr-Latn-RS"/>
        </w:rPr>
        <w:t xml:space="preserve"> Andrej Perovi</w:t>
      </w:r>
      <w:r>
        <w:rPr>
          <w:lang w:val="sr-Latn-RS"/>
        </w:rPr>
        <w:t>ć, PMF</w:t>
      </w:r>
    </w:p>
  </w:footnote>
  <w:footnote w:id="35">
    <w:p w14:paraId="274288C3" w14:textId="77777777" w:rsidR="0034598E" w:rsidRPr="00B444CA" w:rsidRDefault="0034598E">
      <w:pPr>
        <w:pStyle w:val="FootnoteText"/>
        <w:rPr>
          <w:lang w:val="sr-Latn-RS"/>
        </w:rPr>
      </w:pPr>
      <w:r>
        <w:rPr>
          <w:rStyle w:val="FootnoteReference"/>
        </w:rPr>
        <w:footnoteRef/>
      </w:r>
      <w:r>
        <w:t xml:space="preserve"> </w:t>
      </w:r>
      <w:r w:rsidRPr="00B444CA">
        <w:t>gasna hromatografija – masenomasena spektrometrija</w:t>
      </w:r>
    </w:p>
  </w:footnote>
  <w:footnote w:id="36">
    <w:p w14:paraId="3E855B5C" w14:textId="77777777" w:rsidR="0034598E" w:rsidRPr="00B444CA" w:rsidRDefault="0034598E">
      <w:pPr>
        <w:pStyle w:val="FootnoteText"/>
      </w:pPr>
      <w:r>
        <w:rPr>
          <w:rStyle w:val="FootnoteReference"/>
        </w:rPr>
        <w:footnoteRef/>
      </w:r>
      <w:r>
        <w:t xml:space="preserve"> </w:t>
      </w:r>
      <w:r w:rsidRPr="00B444CA">
        <w:t>gasna hromatografija – masena spektrometrija</w:t>
      </w:r>
    </w:p>
  </w:footnote>
  <w:footnote w:id="37">
    <w:p w14:paraId="1D0EACF2" w14:textId="77777777" w:rsidR="0034598E" w:rsidRPr="00B444CA" w:rsidRDefault="0034598E">
      <w:pPr>
        <w:pStyle w:val="FootnoteText"/>
        <w:rPr>
          <w:lang w:val="sr-Latn-RS"/>
        </w:rPr>
      </w:pPr>
      <w:r>
        <w:rPr>
          <w:rStyle w:val="FootnoteReference"/>
        </w:rPr>
        <w:footnoteRef/>
      </w:r>
      <w:r>
        <w:t xml:space="preserve"> </w:t>
      </w:r>
      <w:r w:rsidRPr="00B444CA">
        <w:rPr>
          <w:rFonts w:ascii="Cambria" w:hAnsi="Cambria"/>
        </w:rPr>
        <w:t>gasna hromatografija</w:t>
      </w:r>
      <w:r>
        <w:rPr>
          <w:rFonts w:ascii="Cambria" w:hAnsi="Cambria"/>
          <w:lang w:val="sr-Latn-RS"/>
        </w:rPr>
        <w:t xml:space="preserve"> </w:t>
      </w:r>
    </w:p>
  </w:footnote>
  <w:footnote w:id="38">
    <w:p w14:paraId="570D6F31" w14:textId="77777777" w:rsidR="0034598E" w:rsidRPr="00B444CA" w:rsidRDefault="0034598E">
      <w:pPr>
        <w:pStyle w:val="FootnoteText"/>
        <w:rPr>
          <w:lang w:val="sr-Latn-RS"/>
        </w:rPr>
      </w:pPr>
      <w:r>
        <w:rPr>
          <w:rStyle w:val="FootnoteReference"/>
        </w:rPr>
        <w:footnoteRef/>
      </w:r>
      <w:r>
        <w:t xml:space="preserve"> </w:t>
      </w:r>
      <w:r w:rsidRPr="00B444CA">
        <w:t>tečna hromatografija – masenomasena spektrometrija</w:t>
      </w:r>
    </w:p>
  </w:footnote>
  <w:footnote w:id="39">
    <w:p w14:paraId="396F9C3E" w14:textId="77777777" w:rsidR="0034598E" w:rsidRPr="00B444CA" w:rsidRDefault="0034598E">
      <w:pPr>
        <w:pStyle w:val="FootnoteText"/>
        <w:rPr>
          <w:lang w:val="sr-Latn-RS"/>
        </w:rPr>
      </w:pPr>
      <w:r>
        <w:rPr>
          <w:rStyle w:val="FootnoteReference"/>
        </w:rPr>
        <w:footnoteRef/>
      </w:r>
      <w:r>
        <w:t xml:space="preserve"> </w:t>
      </w:r>
      <w:r w:rsidRPr="00B444CA">
        <w:rPr>
          <w:rFonts w:ascii="Cambria" w:hAnsi="Cambria"/>
        </w:rPr>
        <w:t>tečna hromatografija sa masenim spektrometrom</w:t>
      </w:r>
    </w:p>
  </w:footnote>
  <w:footnote w:id="40">
    <w:p w14:paraId="09C9D084" w14:textId="77777777" w:rsidR="0034598E" w:rsidRPr="00B444CA" w:rsidRDefault="0034598E">
      <w:pPr>
        <w:pStyle w:val="FootnoteText"/>
        <w:rPr>
          <w:lang w:val="sr-Latn-RS"/>
        </w:rPr>
      </w:pPr>
      <w:r>
        <w:rPr>
          <w:rStyle w:val="FootnoteReference"/>
        </w:rPr>
        <w:footnoteRef/>
      </w:r>
      <w:r>
        <w:t xml:space="preserve"> </w:t>
      </w:r>
      <w:r w:rsidRPr="00B444CA">
        <w:rPr>
          <w:rFonts w:ascii="Cambria" w:hAnsi="Cambria"/>
        </w:rPr>
        <w:t>tečna hromatografija visokih performansi</w:t>
      </w:r>
    </w:p>
  </w:footnote>
  <w:footnote w:id="41">
    <w:p w14:paraId="1E511133" w14:textId="77777777" w:rsidR="0034598E" w:rsidRPr="00EB32BF" w:rsidRDefault="0034598E">
      <w:pPr>
        <w:pStyle w:val="FootnoteText"/>
        <w:rPr>
          <w:lang w:val="sr-Latn-RS"/>
        </w:rPr>
      </w:pPr>
      <w:r>
        <w:rPr>
          <w:rStyle w:val="FootnoteReference"/>
        </w:rPr>
        <w:footnoteRef/>
      </w:r>
      <w:r>
        <w:t xml:space="preserve"> </w:t>
      </w:r>
      <w:r w:rsidRPr="00B444CA">
        <w:rPr>
          <w:rFonts w:ascii="Cambria" w:hAnsi="Cambria"/>
        </w:rPr>
        <w:t>maseni spektrometar sa induktivno spregnutom plazmom</w:t>
      </w:r>
    </w:p>
  </w:footnote>
  <w:footnote w:id="42">
    <w:p w14:paraId="270DA2AD" w14:textId="77777777" w:rsidR="0034598E" w:rsidRPr="00EB32BF" w:rsidRDefault="0034598E">
      <w:pPr>
        <w:pStyle w:val="FootnoteText"/>
        <w:rPr>
          <w:lang w:val="sr-Latn-RS"/>
        </w:rPr>
      </w:pPr>
      <w:r>
        <w:rPr>
          <w:rStyle w:val="FootnoteReference"/>
        </w:rPr>
        <w:footnoteRef/>
      </w:r>
      <w:r>
        <w:t xml:space="preserve"> </w:t>
      </w:r>
      <w:r w:rsidRPr="00B444CA">
        <w:rPr>
          <w:rFonts w:ascii="Cambria" w:hAnsi="Cambria"/>
        </w:rPr>
        <w:t>induktivno spregnuta plazma – optička emisijska spektrometrija</w:t>
      </w:r>
    </w:p>
  </w:footnote>
  <w:footnote w:id="43">
    <w:p w14:paraId="512695D2" w14:textId="77777777" w:rsidR="0034598E" w:rsidRPr="00EB32BF" w:rsidRDefault="0034598E">
      <w:pPr>
        <w:pStyle w:val="FootnoteText"/>
        <w:rPr>
          <w:lang w:val="sr-Latn-RS"/>
        </w:rPr>
      </w:pPr>
      <w:r>
        <w:rPr>
          <w:rStyle w:val="FootnoteReference"/>
        </w:rPr>
        <w:footnoteRef/>
      </w:r>
      <w:r>
        <w:t xml:space="preserve"> </w:t>
      </w:r>
      <w:r w:rsidRPr="00EB32BF">
        <w:t>atomska apsorpciona spektrofotometrija -plamena i sa grafitnom kivetom</w:t>
      </w:r>
    </w:p>
  </w:footnote>
  <w:footnote w:id="44">
    <w:p w14:paraId="504E845C" w14:textId="77777777" w:rsidR="0034598E" w:rsidRPr="00EB32BF" w:rsidRDefault="0034598E">
      <w:pPr>
        <w:pStyle w:val="FootnoteText"/>
        <w:rPr>
          <w:lang w:val="sr-Latn-RS"/>
        </w:rPr>
      </w:pPr>
      <w:r>
        <w:rPr>
          <w:rStyle w:val="FootnoteReference"/>
        </w:rPr>
        <w:footnoteRef/>
      </w:r>
      <w:r>
        <w:t xml:space="preserve"> </w:t>
      </w:r>
      <w:r w:rsidRPr="00EB32BF">
        <w:t>Spektrofotometrija – UV i vidljiva oblast</w:t>
      </w:r>
    </w:p>
  </w:footnote>
  <w:footnote w:id="45">
    <w:p w14:paraId="6F38ACEA" w14:textId="77777777" w:rsidR="0034598E" w:rsidRPr="00EB32BF" w:rsidRDefault="0034598E">
      <w:pPr>
        <w:pStyle w:val="FootnoteText"/>
      </w:pPr>
      <w:r>
        <w:rPr>
          <w:rStyle w:val="FootnoteReference"/>
        </w:rPr>
        <w:footnoteRef/>
      </w:r>
      <w:r>
        <w:t xml:space="preserve"> </w:t>
      </w:r>
      <w:r w:rsidRPr="00EB32BF">
        <w:t>infracrven</w:t>
      </w:r>
      <w:r>
        <w:rPr>
          <w:lang w:val="sr-Latn-RS"/>
        </w:rPr>
        <w:t>a</w:t>
      </w:r>
      <w:r w:rsidRPr="00EB32BF">
        <w:t xml:space="preserve"> spektroskopij</w:t>
      </w:r>
      <w:r>
        <w:rPr>
          <w:lang w:val="sr-Latn-RS"/>
        </w:rPr>
        <w:t>a</w:t>
      </w:r>
      <w:r w:rsidRPr="00EB32BF">
        <w:t xml:space="preserve"> sa Furijeovom (Fourier) transformacijom</w:t>
      </w:r>
    </w:p>
  </w:footnote>
  <w:footnote w:id="46">
    <w:p w14:paraId="6C4E71A2" w14:textId="77777777" w:rsidR="0034598E" w:rsidRPr="00EB32BF" w:rsidRDefault="0034598E">
      <w:pPr>
        <w:pStyle w:val="FootnoteText"/>
        <w:rPr>
          <w:lang w:val="sr-Latn-RS"/>
        </w:rPr>
      </w:pPr>
      <w:r>
        <w:rPr>
          <w:rStyle w:val="FootnoteReference"/>
        </w:rPr>
        <w:footnoteRef/>
      </w:r>
      <w:r>
        <w:t xml:space="preserve"> </w:t>
      </w:r>
      <w:r w:rsidRPr="00EB32BF">
        <w:t>Analizator ukupnog organskog ugljika</w:t>
      </w:r>
    </w:p>
  </w:footnote>
  <w:footnote w:id="47">
    <w:p w14:paraId="186A51F5" w14:textId="77777777" w:rsidR="0034598E" w:rsidRPr="00A77A59" w:rsidRDefault="0034598E">
      <w:pPr>
        <w:pStyle w:val="FootnoteText"/>
        <w:rPr>
          <w:lang w:val="sr-Latn-RS"/>
        </w:rPr>
      </w:pPr>
      <w:r>
        <w:rPr>
          <w:rStyle w:val="FootnoteReference"/>
        </w:rPr>
        <w:footnoteRef/>
      </w:r>
      <w:r>
        <w:t xml:space="preserve"> </w:t>
      </w:r>
      <w:r>
        <w:rPr>
          <w:lang w:val="sr-Latn-RS"/>
        </w:rPr>
        <w:t>D</w:t>
      </w:r>
      <w:r w:rsidRPr="00A77A59">
        <w:t>inamičko-mehaničk</w:t>
      </w:r>
      <w:r>
        <w:rPr>
          <w:lang w:val="sr-Latn-RS"/>
        </w:rPr>
        <w:t>a</w:t>
      </w:r>
      <w:r w:rsidRPr="00A77A59">
        <w:t xml:space="preserve"> analiz</w:t>
      </w:r>
      <w:r>
        <w:rPr>
          <w:lang w:val="sr-Latn-RS"/>
        </w:rPr>
        <w:t>a</w:t>
      </w:r>
    </w:p>
  </w:footnote>
  <w:footnote w:id="48">
    <w:p w14:paraId="41D6F274" w14:textId="77777777" w:rsidR="0034598E" w:rsidRPr="00A77A59" w:rsidRDefault="0034598E">
      <w:pPr>
        <w:pStyle w:val="FootnoteText"/>
        <w:rPr>
          <w:lang w:val="sr-Latn-RS"/>
        </w:rPr>
      </w:pPr>
      <w:r>
        <w:rPr>
          <w:rStyle w:val="FootnoteReference"/>
        </w:rPr>
        <w:footnoteRef/>
      </w:r>
      <w:r>
        <w:t xml:space="preserve"> </w:t>
      </w:r>
      <w:r w:rsidRPr="00A77A59">
        <w:t>Atomska apsorpciona spektroskopija s grafitnom peći</w:t>
      </w:r>
    </w:p>
  </w:footnote>
  <w:footnote w:id="49">
    <w:p w14:paraId="6E202CCC" w14:textId="77777777" w:rsidR="0034598E" w:rsidRPr="00F16F6C" w:rsidRDefault="0034598E">
      <w:pPr>
        <w:pStyle w:val="FootnoteText"/>
        <w:rPr>
          <w:lang w:val="sr-Latn-RS"/>
        </w:rPr>
      </w:pPr>
      <w:r>
        <w:rPr>
          <w:rStyle w:val="FootnoteReference"/>
        </w:rPr>
        <w:footnoteRef/>
      </w:r>
      <w:r>
        <w:t xml:space="preserve"> </w:t>
      </w:r>
      <w:r>
        <w:rPr>
          <w:lang w:val="sr-Latn-RS"/>
        </w:rPr>
        <w:t>Infracrvena spektroskopija</w:t>
      </w:r>
    </w:p>
  </w:footnote>
  <w:footnote w:id="50">
    <w:p w14:paraId="5983B765" w14:textId="77777777" w:rsidR="0034598E" w:rsidRPr="00895CE0" w:rsidRDefault="0034598E" w:rsidP="004E35B8">
      <w:pPr>
        <w:pStyle w:val="FootnoteText"/>
        <w:rPr>
          <w:lang w:val="sr-Latn-RS"/>
        </w:rPr>
      </w:pPr>
      <w:r>
        <w:rPr>
          <w:rStyle w:val="FootnoteReference"/>
        </w:rPr>
        <w:footnoteRef/>
      </w:r>
      <w:r>
        <w:t xml:space="preserve"> </w:t>
      </w:r>
      <w:r>
        <w:rPr>
          <w:lang w:val="sr-Latn-RS"/>
        </w:rPr>
        <w:t xml:space="preserve"> Šifra </w:t>
      </w:r>
      <w:r w:rsidRPr="00895CE0">
        <w:t>T36-T50 obuhvata, između ostalog trovanja: narkoticima i psihodislepticima, anesteticima, antiepilepticima i sedativno-hipnotičkim ljekovima, psihotropnim ljekovima, antibioticima, hormonima i drugim ljekovima, preparatima i biološkim supstancama.</w:t>
      </w:r>
    </w:p>
  </w:footnote>
  <w:footnote w:id="51">
    <w:p w14:paraId="234A3900" w14:textId="77777777" w:rsidR="0034598E" w:rsidRPr="00895CE0" w:rsidRDefault="0034598E" w:rsidP="004E35B8">
      <w:pPr>
        <w:pStyle w:val="FootnoteText"/>
        <w:rPr>
          <w:bCs/>
          <w:lang w:val="en-US"/>
        </w:rPr>
      </w:pPr>
      <w:r>
        <w:rPr>
          <w:rStyle w:val="FootnoteReference"/>
        </w:rPr>
        <w:footnoteRef/>
      </w:r>
      <w:r>
        <w:t xml:space="preserve"> </w:t>
      </w:r>
      <w:r w:rsidRPr="00895CE0">
        <w:rPr>
          <w:lang w:val="sr-Latn-RS"/>
        </w:rPr>
        <w:t xml:space="preserve">Šifra </w:t>
      </w:r>
      <w:r w:rsidRPr="00895CE0">
        <w:rPr>
          <w:bCs/>
          <w:lang w:val="en-US"/>
        </w:rPr>
        <w:t>T51-T65</w:t>
      </w:r>
      <w:r>
        <w:rPr>
          <w:bCs/>
          <w:i/>
          <w:lang w:val="en-US"/>
        </w:rPr>
        <w:t xml:space="preserve"> </w:t>
      </w:r>
      <w:r w:rsidRPr="00895CE0">
        <w:rPr>
          <w:bCs/>
          <w:lang w:val="en-US"/>
        </w:rPr>
        <w:t>obuhvata, između ostalog toksično dejstvo: alkohola, organskih rastvarača, halogenih derivata alifatičnih i aromatičnih ugljovodonika, korozivnih supstanci, sapuna i deterdženata, metala, ugljen monoksida, pesticid</w:t>
      </w:r>
      <w:r>
        <w:rPr>
          <w:bCs/>
          <w:lang w:val="en-US"/>
        </w:rPr>
        <w:t>a</w:t>
      </w:r>
      <w:r w:rsidRPr="00895CE0">
        <w:rPr>
          <w:bCs/>
          <w:lang w:val="en-US"/>
        </w:rPr>
        <w:t>, alfatoksina i drugih neljekovitih supstanci.</w:t>
      </w:r>
    </w:p>
    <w:p w14:paraId="71798D1D" w14:textId="77777777" w:rsidR="0034598E" w:rsidRPr="00895CE0" w:rsidRDefault="0034598E" w:rsidP="004E35B8">
      <w:pPr>
        <w:pStyle w:val="FootnoteText"/>
        <w:rPr>
          <w:lang w:val="sr-Latn-RS"/>
        </w:rPr>
      </w:pPr>
    </w:p>
  </w:footnote>
  <w:footnote w:id="52">
    <w:p w14:paraId="13859A8B" w14:textId="1175EAF9" w:rsidR="0034598E" w:rsidRPr="00A70DFA" w:rsidRDefault="0034598E">
      <w:pPr>
        <w:pStyle w:val="FootnoteText"/>
        <w:rPr>
          <w:lang w:val="sr-Latn-RS"/>
        </w:rPr>
      </w:pPr>
      <w:r>
        <w:rPr>
          <w:rStyle w:val="FootnoteReference"/>
        </w:rPr>
        <w:footnoteRef/>
      </w:r>
      <w:r>
        <w:t xml:space="preserve"> </w:t>
      </w:r>
      <w:r w:rsidRPr="00A70DFA">
        <w:t>http://www.mrt.gov.me/rubrike/publikacije/174595/Brosura-o-izvoza-hemikalija-supstanci-smesa-i-proizvoda-na-trziste-EU.html</w:t>
      </w:r>
    </w:p>
  </w:footnote>
  <w:footnote w:id="53">
    <w:p w14:paraId="062E4617" w14:textId="77777777" w:rsidR="0034598E" w:rsidRPr="00015B10" w:rsidRDefault="0034598E" w:rsidP="00CD52E9">
      <w:pPr>
        <w:pStyle w:val="FootnoteText"/>
        <w:rPr>
          <w:lang w:val="sr-Latn-RS"/>
        </w:rPr>
      </w:pPr>
      <w:r w:rsidRPr="00C10F06">
        <w:rPr>
          <w:rStyle w:val="FootnoteReference"/>
          <w:sz w:val="18"/>
        </w:rPr>
        <w:footnoteRef/>
      </w:r>
      <w:r>
        <w:t xml:space="preserve"> </w:t>
      </w:r>
      <w:hyperlink r:id="rId2" w:anchor="action=share" w:history="1">
        <w:r w:rsidRPr="00C10F06">
          <w:rPr>
            <w:rFonts w:cs="Calibri"/>
            <w:sz w:val="18"/>
            <w:szCs w:val="22"/>
            <w:lang w:val="sr-Latn-ME"/>
          </w:rPr>
          <w:t>https://www.youtube.com/watch?v=UPxf5jN7Ta0#action=share</w:t>
        </w:r>
      </w:hyperlink>
    </w:p>
  </w:footnote>
  <w:footnote w:id="54">
    <w:p w14:paraId="38438B11" w14:textId="77777777" w:rsidR="0034598E" w:rsidRPr="008F6C9E" w:rsidRDefault="0034598E" w:rsidP="00CD52E9">
      <w:pPr>
        <w:pStyle w:val="FootnoteText"/>
        <w:rPr>
          <w:rFonts w:cs="Calibri"/>
          <w:sz w:val="16"/>
          <w:lang w:val="sr-Latn-RS"/>
        </w:rPr>
      </w:pPr>
      <w:r w:rsidRPr="008F6C9E">
        <w:rPr>
          <w:rStyle w:val="FootnoteReference"/>
          <w:rFonts w:cs="Calibri"/>
          <w:sz w:val="16"/>
        </w:rPr>
        <w:footnoteRef/>
      </w:r>
      <w:r w:rsidRPr="008F6C9E">
        <w:rPr>
          <w:rFonts w:cs="Calibri"/>
          <w:sz w:val="16"/>
        </w:rPr>
        <w:t xml:space="preserve"> </w:t>
      </w:r>
      <w:hyperlink r:id="rId3" w:history="1">
        <w:r w:rsidRPr="008F6C9E">
          <w:rPr>
            <w:rFonts w:cs="Calibri"/>
            <w:sz w:val="18"/>
            <w:szCs w:val="22"/>
            <w:lang w:val="sr-Latn-ME"/>
          </w:rPr>
          <w:t>http://www.ubh.gov.me/vijesti/169435/Promet-i-pravilna-upotreba-sredstava-za-zastitu-bilja-u-Crnoj-Gori.html</w:t>
        </w:r>
      </w:hyperlink>
    </w:p>
  </w:footnote>
  <w:footnote w:id="55">
    <w:p w14:paraId="123AD32F" w14:textId="77777777" w:rsidR="0034598E" w:rsidRPr="008F6C9E" w:rsidRDefault="0034598E" w:rsidP="00CD52E9">
      <w:pPr>
        <w:pStyle w:val="FootnoteText"/>
        <w:rPr>
          <w:rFonts w:cs="Calibri"/>
          <w:sz w:val="16"/>
          <w:lang w:val="sr-Latn-RS"/>
        </w:rPr>
      </w:pPr>
      <w:r w:rsidRPr="008F6C9E">
        <w:rPr>
          <w:rStyle w:val="FootnoteReference"/>
          <w:rFonts w:cs="Calibri"/>
          <w:sz w:val="16"/>
        </w:rPr>
        <w:footnoteRef/>
      </w:r>
      <w:r w:rsidRPr="008F6C9E">
        <w:rPr>
          <w:rFonts w:cs="Calibri"/>
          <w:sz w:val="16"/>
        </w:rPr>
        <w:t xml:space="preserve"> </w:t>
      </w:r>
      <w:r w:rsidRPr="008F6C9E">
        <w:rPr>
          <w:rFonts w:cs="Calibri"/>
          <w:sz w:val="18"/>
          <w:szCs w:val="22"/>
          <w:lang w:val="sr-Latn-ME"/>
        </w:rPr>
        <w:t xml:space="preserve"> </w:t>
      </w:r>
      <w:hyperlink r:id="rId4" w:history="1">
        <w:r w:rsidRPr="008F6C9E">
          <w:rPr>
            <w:rFonts w:cs="Calibri"/>
            <w:sz w:val="18"/>
            <w:szCs w:val="22"/>
            <w:lang w:val="sr-Latn-ME"/>
          </w:rPr>
          <w:t>h</w:t>
        </w:r>
      </w:hyperlink>
      <w:r w:rsidRPr="008F6C9E">
        <w:rPr>
          <w:rFonts w:cs="Calibri"/>
          <w:sz w:val="18"/>
          <w:szCs w:val="22"/>
          <w:lang w:val="sr-Latn-ME"/>
        </w:rPr>
        <w:t>ttp://www.ubh.gov.me/vijesti/169436/Licna-zastitna-oprema-obavezna-pri-rukovanju-sredstvima-za-zastitu-bilja.html</w:t>
      </w:r>
    </w:p>
  </w:footnote>
  <w:footnote w:id="56">
    <w:p w14:paraId="75C47AE7" w14:textId="77777777" w:rsidR="0034598E" w:rsidRPr="008F6C9E" w:rsidRDefault="0034598E" w:rsidP="00CD52E9">
      <w:pPr>
        <w:pStyle w:val="FootnoteText"/>
        <w:rPr>
          <w:rFonts w:cs="Calibri"/>
          <w:sz w:val="16"/>
          <w:lang w:val="sr-Latn-RS"/>
        </w:rPr>
      </w:pPr>
      <w:r w:rsidRPr="008F6C9E">
        <w:rPr>
          <w:rStyle w:val="FootnoteReference"/>
          <w:rFonts w:cs="Calibri"/>
          <w:sz w:val="16"/>
        </w:rPr>
        <w:footnoteRef/>
      </w:r>
      <w:r w:rsidRPr="008F6C9E">
        <w:rPr>
          <w:rFonts w:cs="Calibri"/>
          <w:sz w:val="16"/>
        </w:rPr>
        <w:t xml:space="preserve"> </w:t>
      </w:r>
      <w:hyperlink r:id="rId5" w:history="1">
        <w:r w:rsidRPr="008F6C9E">
          <w:rPr>
            <w:rFonts w:cs="Calibri"/>
            <w:sz w:val="18"/>
            <w:szCs w:val="22"/>
            <w:lang w:val="sr-Latn-ME"/>
          </w:rPr>
          <w:t>http://www.ubh.gov.me/vijesti/169504/Uputstvo-za-ciscenje-ambalaze-SZB-trostruko-ispiranje-ilovepdf-compressed.html</w:t>
        </w:r>
      </w:hyperlink>
    </w:p>
  </w:footnote>
  <w:footnote w:id="57">
    <w:p w14:paraId="0DABDF0A" w14:textId="77777777" w:rsidR="0034598E" w:rsidRPr="008F6C9E" w:rsidRDefault="0034598E" w:rsidP="00CD52E9">
      <w:pPr>
        <w:pStyle w:val="FootnoteText"/>
        <w:rPr>
          <w:rFonts w:cs="Calibri"/>
          <w:sz w:val="16"/>
          <w:lang w:val="sr-Latn-RS"/>
        </w:rPr>
      </w:pPr>
      <w:r w:rsidRPr="008F6C9E">
        <w:rPr>
          <w:rStyle w:val="FootnoteReference"/>
          <w:rFonts w:cs="Calibri"/>
          <w:sz w:val="16"/>
        </w:rPr>
        <w:footnoteRef/>
      </w:r>
      <w:r w:rsidRPr="008F6C9E">
        <w:rPr>
          <w:rFonts w:cs="Calibri"/>
          <w:sz w:val="16"/>
        </w:rPr>
        <w:t xml:space="preserve"> </w:t>
      </w:r>
      <w:hyperlink r:id="rId6" w:history="1">
        <w:r w:rsidRPr="008F6C9E">
          <w:rPr>
            <w:rFonts w:cs="Calibri"/>
            <w:sz w:val="18"/>
            <w:szCs w:val="22"/>
            <w:lang w:val="sr-Latn-ME"/>
          </w:rPr>
          <w:t>http://www.ubh.gov.me/vijesti/169536/Pcele-i-pesticidi.html</w:t>
        </w:r>
      </w:hyperlink>
    </w:p>
  </w:footnote>
  <w:footnote w:id="58">
    <w:p w14:paraId="1598447F" w14:textId="77777777" w:rsidR="0034598E" w:rsidRPr="008F6C9E" w:rsidRDefault="0034598E" w:rsidP="00CD52E9">
      <w:pPr>
        <w:pStyle w:val="FootnoteText"/>
        <w:rPr>
          <w:rFonts w:cs="Calibri"/>
          <w:sz w:val="16"/>
          <w:lang w:val="sr-Latn-RS"/>
        </w:rPr>
      </w:pPr>
      <w:r w:rsidRPr="008F6C9E">
        <w:rPr>
          <w:rStyle w:val="FootnoteReference"/>
          <w:rFonts w:cs="Calibri"/>
          <w:sz w:val="16"/>
        </w:rPr>
        <w:footnoteRef/>
      </w:r>
      <w:r w:rsidRPr="008F6C9E">
        <w:rPr>
          <w:rFonts w:cs="Calibri"/>
          <w:sz w:val="16"/>
        </w:rPr>
        <w:t xml:space="preserve"> </w:t>
      </w:r>
      <w:hyperlink r:id="rId7" w:history="1">
        <w:r w:rsidRPr="008F6C9E">
          <w:rPr>
            <w:rFonts w:cs="Calibri"/>
            <w:sz w:val="18"/>
            <w:szCs w:val="22"/>
            <w:lang w:val="sr-Latn-ME"/>
          </w:rPr>
          <w:t>http://www.ubh.gov.me/vijesti/169596/Ne-krivotvorenim-i-ilegalnim-pesticidima.html</w:t>
        </w:r>
      </w:hyperlink>
    </w:p>
  </w:footnote>
  <w:footnote w:id="59">
    <w:p w14:paraId="0D888904" w14:textId="77777777" w:rsidR="0034598E" w:rsidRPr="008F6C9E" w:rsidRDefault="0034598E" w:rsidP="00CD52E9">
      <w:pPr>
        <w:pStyle w:val="FootnoteText"/>
        <w:rPr>
          <w:rFonts w:cs="Calibri"/>
          <w:sz w:val="16"/>
          <w:lang w:val="sr-Latn-RS"/>
        </w:rPr>
      </w:pPr>
      <w:r w:rsidRPr="008F6C9E">
        <w:rPr>
          <w:rStyle w:val="FootnoteReference"/>
          <w:rFonts w:cs="Calibri"/>
          <w:sz w:val="16"/>
        </w:rPr>
        <w:footnoteRef/>
      </w:r>
      <w:r w:rsidRPr="008F6C9E">
        <w:rPr>
          <w:rFonts w:cs="Calibri"/>
          <w:sz w:val="16"/>
        </w:rPr>
        <w:t xml:space="preserve"> </w:t>
      </w:r>
      <w:r w:rsidRPr="008F6C9E">
        <w:rPr>
          <w:rFonts w:cs="Calibri"/>
          <w:sz w:val="18"/>
        </w:rPr>
        <w:t>http://www.ubh.gov.me/vijesti/169656/Sredstva-za-zastitu-bilja-i-bezbjednost.html</w:t>
      </w:r>
    </w:p>
  </w:footnote>
  <w:footnote w:id="60">
    <w:p w14:paraId="49FD1FDE" w14:textId="77777777" w:rsidR="0034598E" w:rsidRPr="008F6C9E" w:rsidRDefault="0034598E" w:rsidP="00CC34B2">
      <w:pPr>
        <w:spacing w:after="120" w:line="240" w:lineRule="auto"/>
        <w:jc w:val="both"/>
        <w:rPr>
          <w:rFonts w:cs="Calibri"/>
          <w:sz w:val="18"/>
          <w:lang w:val="sr-Latn-ME"/>
        </w:rPr>
      </w:pPr>
      <w:r w:rsidRPr="008F6C9E">
        <w:rPr>
          <w:rStyle w:val="FootnoteReference"/>
          <w:rFonts w:cs="Calibri"/>
          <w:sz w:val="18"/>
        </w:rPr>
        <w:footnoteRef/>
      </w:r>
      <w:r w:rsidRPr="008F6C9E">
        <w:rPr>
          <w:rFonts w:cs="Calibri"/>
          <w:sz w:val="18"/>
          <w:lang w:val="sr-Latn-ME"/>
        </w:rPr>
        <w:t>http://www.ubh.gov.me/vijesti/176709/Izvjestaj-TAIEX-radionica-o-odrzivoj-upotrebi-sredstava-za-zastitu-bilja.html</w:t>
      </w:r>
    </w:p>
    <w:p w14:paraId="0EBC5115" w14:textId="77777777" w:rsidR="0034598E" w:rsidRPr="00CC34B2" w:rsidRDefault="0034598E">
      <w:pPr>
        <w:pStyle w:val="FootnoteText"/>
        <w:rPr>
          <w:lang w:val="sr-Latn-RS"/>
        </w:rPr>
      </w:pPr>
    </w:p>
  </w:footnote>
  <w:footnote w:id="61">
    <w:p w14:paraId="697F4667" w14:textId="77777777" w:rsidR="0034598E" w:rsidRPr="007051F5" w:rsidRDefault="0034598E" w:rsidP="00E20433">
      <w:pPr>
        <w:pStyle w:val="FootnoteText"/>
        <w:jc w:val="both"/>
        <w:rPr>
          <w:sz w:val="18"/>
          <w:lang w:val="en-US"/>
        </w:rPr>
      </w:pPr>
      <w:r w:rsidRPr="007051F5">
        <w:rPr>
          <w:rStyle w:val="FootnoteReference"/>
          <w:sz w:val="18"/>
        </w:rPr>
        <w:footnoteRef/>
      </w:r>
      <w:r w:rsidRPr="007051F5">
        <w:rPr>
          <w:sz w:val="18"/>
        </w:rPr>
        <w:t xml:space="preserve"> </w:t>
      </w:r>
      <w:r>
        <w:rPr>
          <w:sz w:val="18"/>
          <w:lang w:val="en-US"/>
        </w:rPr>
        <w:t>Crna Gora je članica</w:t>
      </w:r>
      <w:r w:rsidRPr="007051F5">
        <w:rPr>
          <w:sz w:val="18"/>
          <w:lang w:val="en-US"/>
        </w:rPr>
        <w:t xml:space="preserve">: </w:t>
      </w:r>
      <w:r>
        <w:rPr>
          <w:sz w:val="18"/>
        </w:rPr>
        <w:t>Bazelske konvencije, Roterdamske konvencije, Stokholmske konvencije, Konvencije UN-a o biodiverzitetu, Protokola iz Kjotoa, Protok</w:t>
      </w:r>
      <w:r>
        <w:rPr>
          <w:sz w:val="18"/>
          <w:lang w:val="sr-Latn-ME"/>
        </w:rPr>
        <w:t>o</w:t>
      </w:r>
      <w:r>
        <w:rPr>
          <w:sz w:val="18"/>
        </w:rPr>
        <w:t xml:space="preserve">la iz Kartagine, Protokola iz Nagoje, </w:t>
      </w:r>
      <w:r w:rsidRPr="007051F5">
        <w:rPr>
          <w:sz w:val="18"/>
        </w:rPr>
        <w:t>London</w:t>
      </w:r>
      <w:r>
        <w:rPr>
          <w:sz w:val="18"/>
        </w:rPr>
        <w:t>ske konvencije, Konvencije UN-a za borbu protiv dezertifikacije (UNCCD)</w:t>
      </w:r>
      <w:r w:rsidRPr="007051F5">
        <w:rPr>
          <w:sz w:val="18"/>
        </w:rPr>
        <w:t xml:space="preserve">, </w:t>
      </w:r>
      <w:r>
        <w:rPr>
          <w:sz w:val="18"/>
        </w:rPr>
        <w:t>Okvirne konvencije UN-a o klimatskim promjenama (</w:t>
      </w:r>
      <w:r w:rsidRPr="007051F5">
        <w:rPr>
          <w:sz w:val="18"/>
        </w:rPr>
        <w:t>UNFCCC</w:t>
      </w:r>
      <w:r w:rsidRPr="007401D9">
        <w:rPr>
          <w:sz w:val="18"/>
        </w:rPr>
        <w:t xml:space="preserve">), </w:t>
      </w:r>
      <w:r w:rsidRPr="007401D9">
        <w:rPr>
          <w:bCs/>
          <w:sz w:val="18"/>
          <w:lang w:val="en-US"/>
        </w:rPr>
        <w:t>Konvencije o zabrani</w:t>
      </w:r>
      <w:r w:rsidRPr="007401D9">
        <w:rPr>
          <w:sz w:val="18"/>
          <w:lang w:val="en-US"/>
        </w:rPr>
        <w:t> razvoja, proizvodnje, skladištenja i upotrebe </w:t>
      </w:r>
      <w:r w:rsidRPr="007401D9">
        <w:rPr>
          <w:bCs/>
          <w:sz w:val="18"/>
          <w:lang w:val="en-US"/>
        </w:rPr>
        <w:t>hemijskog oružja</w:t>
      </w:r>
      <w:r w:rsidRPr="007401D9">
        <w:rPr>
          <w:sz w:val="18"/>
          <w:lang w:val="en-US"/>
        </w:rPr>
        <w:t> i o njegovom uništavanju (CWC)</w:t>
      </w:r>
      <w:r>
        <w:rPr>
          <w:sz w:val="18"/>
        </w:rPr>
        <w:t>Konvencije o zaštiti migratornih vrsta divljih životinja</w:t>
      </w:r>
      <w:r w:rsidRPr="007051F5">
        <w:rPr>
          <w:sz w:val="18"/>
        </w:rPr>
        <w:t xml:space="preserve"> (</w:t>
      </w:r>
      <w:r>
        <w:rPr>
          <w:sz w:val="18"/>
        </w:rPr>
        <w:t>Bonska konvencija</w:t>
      </w:r>
      <w:r w:rsidRPr="007051F5">
        <w:rPr>
          <w:sz w:val="18"/>
        </w:rPr>
        <w:t>), Bern</w:t>
      </w:r>
      <w:r>
        <w:rPr>
          <w:sz w:val="18"/>
        </w:rPr>
        <w:t>ske konvencije, Konvencije o međunarodnoj trgovini ugroženim vrstama divlje flore i faune (</w:t>
      </w:r>
      <w:r w:rsidRPr="007051F5">
        <w:rPr>
          <w:sz w:val="18"/>
        </w:rPr>
        <w:t>CITES</w:t>
      </w:r>
      <w:r>
        <w:rPr>
          <w:sz w:val="18"/>
        </w:rPr>
        <w:t>)</w:t>
      </w:r>
      <w:r w:rsidRPr="007051F5">
        <w:rPr>
          <w:sz w:val="18"/>
        </w:rPr>
        <w:t xml:space="preserve">, Ramsar </w:t>
      </w:r>
      <w:r>
        <w:rPr>
          <w:sz w:val="18"/>
        </w:rPr>
        <w:t>konvencije</w:t>
      </w:r>
      <w:r w:rsidRPr="007051F5">
        <w:rPr>
          <w:sz w:val="18"/>
        </w:rPr>
        <w:t xml:space="preserve">, </w:t>
      </w:r>
      <w:r>
        <w:rPr>
          <w:sz w:val="18"/>
        </w:rPr>
        <w:t>Protokola iz Montreala</w:t>
      </w:r>
      <w:r w:rsidRPr="007051F5">
        <w:rPr>
          <w:sz w:val="18"/>
        </w:rPr>
        <w:t xml:space="preserve">, </w:t>
      </w:r>
      <w:r>
        <w:rPr>
          <w:sz w:val="18"/>
        </w:rPr>
        <w:t>Međunarodne konvencije o sprečavanju zagađivanja sa brodova (</w:t>
      </w:r>
      <w:r w:rsidRPr="007051F5">
        <w:rPr>
          <w:sz w:val="18"/>
        </w:rPr>
        <w:t xml:space="preserve">MARPOL </w:t>
      </w:r>
      <w:r>
        <w:rPr>
          <w:sz w:val="18"/>
        </w:rPr>
        <w:t>konvencija)</w:t>
      </w:r>
      <w:r w:rsidRPr="007051F5">
        <w:rPr>
          <w:sz w:val="18"/>
        </w:rPr>
        <w:t xml:space="preserve">, </w:t>
      </w:r>
      <w:r>
        <w:rPr>
          <w:sz w:val="18"/>
        </w:rPr>
        <w:t>Međunarodne konvencije o zaštiti biljaka (</w:t>
      </w:r>
      <w:r w:rsidRPr="007051F5">
        <w:rPr>
          <w:sz w:val="18"/>
        </w:rPr>
        <w:t>IPPC</w:t>
      </w:r>
      <w:r>
        <w:rPr>
          <w:sz w:val="18"/>
        </w:rPr>
        <w:t>)</w:t>
      </w:r>
      <w:r w:rsidRPr="007051F5">
        <w:rPr>
          <w:sz w:val="18"/>
        </w:rPr>
        <w:t xml:space="preserve">, Espoo </w:t>
      </w:r>
      <w:r>
        <w:rPr>
          <w:sz w:val="18"/>
        </w:rPr>
        <w:t>konvencije</w:t>
      </w:r>
      <w:r w:rsidRPr="007051F5">
        <w:rPr>
          <w:sz w:val="18"/>
        </w:rPr>
        <w:t xml:space="preserve">, </w:t>
      </w:r>
      <w:r>
        <w:rPr>
          <w:sz w:val="18"/>
        </w:rPr>
        <w:t>Protokola o strateškoj procjeni uticaja na životnu sredinu</w:t>
      </w:r>
      <w:r w:rsidRPr="007051F5">
        <w:rPr>
          <w:sz w:val="18"/>
        </w:rPr>
        <w:t xml:space="preserve">, </w:t>
      </w:r>
      <w:r>
        <w:rPr>
          <w:sz w:val="18"/>
        </w:rPr>
        <w:t>Arhuske konvencije</w:t>
      </w:r>
      <w:r w:rsidRPr="007051F5">
        <w:rPr>
          <w:sz w:val="18"/>
        </w:rPr>
        <w:t xml:space="preserve">, </w:t>
      </w:r>
      <w:r>
        <w:rPr>
          <w:sz w:val="18"/>
        </w:rPr>
        <w:t>Konvencije o prekograničnom zagađivanju vazduha na velikim u</w:t>
      </w:r>
      <w:r>
        <w:rPr>
          <w:sz w:val="18"/>
          <w:lang w:val="sr-Latn-ME"/>
        </w:rPr>
        <w:t>d</w:t>
      </w:r>
      <w:r>
        <w:rPr>
          <w:sz w:val="18"/>
        </w:rPr>
        <w:t>aljenostima (</w:t>
      </w:r>
      <w:r w:rsidRPr="007051F5">
        <w:rPr>
          <w:sz w:val="18"/>
        </w:rPr>
        <w:t>CLRTAP</w:t>
      </w:r>
      <w:r>
        <w:rPr>
          <w:sz w:val="18"/>
        </w:rPr>
        <w:t>)</w:t>
      </w:r>
      <w:r w:rsidRPr="007051F5">
        <w:rPr>
          <w:sz w:val="18"/>
        </w:rPr>
        <w:t xml:space="preserve"> </w:t>
      </w:r>
      <w:r>
        <w:rPr>
          <w:sz w:val="18"/>
        </w:rPr>
        <w:t>i</w:t>
      </w:r>
      <w:r w:rsidRPr="007051F5">
        <w:rPr>
          <w:sz w:val="18"/>
        </w:rPr>
        <w:t xml:space="preserve"> </w:t>
      </w:r>
      <w:r>
        <w:rPr>
          <w:sz w:val="18"/>
        </w:rPr>
        <w:t>Barselonske</w:t>
      </w:r>
      <w:r w:rsidRPr="004E70E2">
        <w:rPr>
          <w:sz w:val="18"/>
        </w:rPr>
        <w:t xml:space="preserve"> </w:t>
      </w:r>
      <w:r>
        <w:rPr>
          <w:sz w:val="18"/>
        </w:rPr>
        <w:t>konvencije.</w:t>
      </w:r>
    </w:p>
  </w:footnote>
  <w:footnote w:id="62">
    <w:p w14:paraId="52BCCAF6" w14:textId="184AA8F8" w:rsidR="0034598E" w:rsidRPr="00C016CC" w:rsidRDefault="0034598E" w:rsidP="00F75761">
      <w:pPr>
        <w:pStyle w:val="FootnoteText"/>
        <w:rPr>
          <w:lang w:val="sr-Latn-RS"/>
        </w:rPr>
      </w:pPr>
      <w:r>
        <w:rPr>
          <w:rStyle w:val="FootnoteReference"/>
        </w:rPr>
        <w:footnoteRef/>
      </w:r>
      <w:r>
        <w:t xml:space="preserve"> </w:t>
      </w:r>
      <w:r w:rsidRPr="00C016CC">
        <w:t>Imajući u vidu činjenicu da su propisi iz ove oblasti direktno prim</w:t>
      </w:r>
      <w:r>
        <w:rPr>
          <w:lang w:val="sr-Latn-ME"/>
        </w:rPr>
        <w:t>j</w:t>
      </w:r>
      <w:r w:rsidRPr="00C016CC">
        <w:t>enjivi u državama članicama, za potrebe konsultovanja eksperata iz država članica, formirano je telo na EU nivou za</w:t>
      </w:r>
      <w:r>
        <w:rPr>
          <w:lang w:val="sr-Latn-RS"/>
        </w:rPr>
        <w:t xml:space="preserve"> medjucobnu razmjenu informacija i </w:t>
      </w:r>
      <w:r w:rsidRPr="00C016CC">
        <w:t xml:space="preserve"> sav</w:t>
      </w:r>
      <w:r>
        <w:rPr>
          <w:lang w:val="sr-Latn-ME"/>
        </w:rPr>
        <w:t>j</w:t>
      </w:r>
      <w:r w:rsidRPr="00C016CC">
        <w:t>etovanje u pogledu propisa koji se odnose na klasifikaciju, obeležavanje i pakovanje hemikalija (CLP Uredba) i stavljanje na tržište hemikalija (REACH)- CARACAL. Ovo tijelo čine predstavnici organa vlasti država članica nadležnih za REACH i CLP, predstavnici EFTA i EEA zemalja, kao i predstavnici trećih država, međunarodnih organizacija i zainteresovanih strana u svojstvu posmatrača.</w:t>
      </w:r>
    </w:p>
  </w:footnote>
  <w:footnote w:id="63">
    <w:p w14:paraId="2FC32EA3" w14:textId="77777777" w:rsidR="0034598E" w:rsidRPr="00B46895" w:rsidRDefault="0034598E" w:rsidP="00F75761">
      <w:pPr>
        <w:pStyle w:val="FootnoteText"/>
        <w:rPr>
          <w:lang w:val="sr-Latn-RS"/>
        </w:rPr>
      </w:pPr>
      <w:r>
        <w:rPr>
          <w:rStyle w:val="FootnoteReference"/>
        </w:rPr>
        <w:footnoteRef/>
      </w:r>
      <w:r>
        <w:t xml:space="preserve"> </w:t>
      </w:r>
      <w:r w:rsidRPr="00B46895">
        <w:t xml:space="preserve">HelpNet je mreža koju čine ECHA i nacionalne </w:t>
      </w:r>
      <w:r>
        <w:rPr>
          <w:lang w:val="sr-Latn-RS"/>
        </w:rPr>
        <w:t xml:space="preserve">help desk </w:t>
      </w:r>
      <w:r w:rsidRPr="00B46895">
        <w:t>službe za pomoć za BPR, CLP i REACH. Mreža je uspostavljena za poboljšanje s</w:t>
      </w:r>
      <w:r>
        <w:rPr>
          <w:lang w:val="sr-Latn-RS"/>
        </w:rPr>
        <w:t>a</w:t>
      </w:r>
      <w:r w:rsidRPr="00B46895">
        <w:t>radnje u pitanjima od zajedničkog interesa. Koristi od ove s</w:t>
      </w:r>
      <w:r>
        <w:rPr>
          <w:lang w:val="sr-Latn-RS"/>
        </w:rPr>
        <w:t>a</w:t>
      </w:r>
      <w:r w:rsidRPr="00B46895">
        <w:t xml:space="preserve">radnje uključuju postizanje uzajamnog razumijevanja u pogledu pravnih zahtjeva iz uredbi BPR, CLP i REACH te pružanje konzistentnih i usklađenih savjeta </w:t>
      </w:r>
      <w:r>
        <w:rPr>
          <w:lang w:val="sr-Latn-RS"/>
        </w:rPr>
        <w:t>industriji i drugim zainteresovanim stranama</w:t>
      </w:r>
      <w:r w:rsidRPr="00B46895">
        <w:t>.</w:t>
      </w:r>
    </w:p>
  </w:footnote>
  <w:footnote w:id="64">
    <w:p w14:paraId="335F8ACD" w14:textId="77777777" w:rsidR="0034598E" w:rsidRPr="009307B9" w:rsidRDefault="0034598E">
      <w:pPr>
        <w:pStyle w:val="FootnoteText"/>
        <w:rPr>
          <w:lang w:val="sr-Latn-RS"/>
        </w:rPr>
      </w:pPr>
      <w:r>
        <w:rPr>
          <w:rStyle w:val="FootnoteReference"/>
        </w:rPr>
        <w:footnoteRef/>
      </w:r>
      <w:r>
        <w:t xml:space="preserve"> </w:t>
      </w:r>
      <w:r w:rsidRPr="00CE5FFA">
        <w:rPr>
          <w:sz w:val="18"/>
        </w:rPr>
        <w:t xml:space="preserve">Prije dostavljanja izvještaja Vladi, potrebno je da </w:t>
      </w:r>
      <w:r>
        <w:rPr>
          <w:sz w:val="18"/>
          <w:lang w:val="sr-Latn-RS"/>
        </w:rPr>
        <w:t xml:space="preserve">Generalni sekretarijat Vlade </w:t>
      </w:r>
      <w:r w:rsidRPr="00CE5FFA">
        <w:rPr>
          <w:sz w:val="18"/>
        </w:rPr>
        <w:t xml:space="preserve">da mišljenje na izvještaj, </w:t>
      </w:r>
      <w:r w:rsidRPr="00CE5FFA">
        <w:rPr>
          <w:sz w:val="18"/>
          <w:lang w:val="sr-Latn-RS"/>
        </w:rPr>
        <w:t xml:space="preserve">odnosno </w:t>
      </w:r>
      <w:r w:rsidRPr="00CE5FFA">
        <w:rPr>
          <w:sz w:val="18"/>
        </w:rPr>
        <w:t>provjer</w:t>
      </w:r>
      <w:r w:rsidRPr="00CE5FFA">
        <w:rPr>
          <w:sz w:val="18"/>
          <w:lang w:val="sr-Latn-RS"/>
        </w:rPr>
        <w:t>i</w:t>
      </w:r>
      <w:r w:rsidRPr="00CE5FFA">
        <w:rPr>
          <w:sz w:val="18"/>
        </w:rPr>
        <w:t xml:space="preserve"> njegovu strukturu i sadržinu</w:t>
      </w:r>
      <w:r w:rsidRPr="00CE5FFA">
        <w:rPr>
          <w:sz w:val="18"/>
          <w:lang w:val="sr-Latn-RS"/>
        </w:rPr>
        <w:t xml:space="preserve"> u pogledu usaglašenosti sa zahtjevima </w:t>
      </w:r>
      <w:r w:rsidRPr="00CE5FFA">
        <w:rPr>
          <w:bCs/>
          <w:sz w:val="18"/>
          <w:lang w:val="en-US"/>
        </w:rPr>
        <w:t>Metodologije koja prati Uredbu o načinu i postupku izrade, usklađivanja i praćenja sprovođenja strategijskih dokumenata</w:t>
      </w:r>
      <w:r>
        <w:rPr>
          <w:bCs/>
          <w:sz w:val="18"/>
          <w:lang w:val="en-US"/>
        </w:rPr>
        <w:t>.</w:t>
      </w:r>
    </w:p>
  </w:footnote>
  <w:footnote w:id="65">
    <w:p w14:paraId="735CA121" w14:textId="77777777" w:rsidR="0034598E" w:rsidRDefault="0034598E" w:rsidP="001247F3">
      <w:pPr>
        <w:pStyle w:val="FootnoteText"/>
      </w:pPr>
      <w:r>
        <w:rPr>
          <w:rStyle w:val="FootnoteReference"/>
        </w:rPr>
        <w:footnoteRef/>
      </w:r>
      <w:r>
        <w:t xml:space="preserve"> opasna materija je materija, supstanca ili smješa koja je u postrojenju prisutna kao sirovina, proizvod,</w:t>
      </w:r>
    </w:p>
    <w:p w14:paraId="439E53D8" w14:textId="77777777" w:rsidR="0034598E" w:rsidRDefault="0034598E" w:rsidP="001247F3">
      <w:pPr>
        <w:pStyle w:val="FootnoteText"/>
      </w:pPr>
      <w:r>
        <w:t>nusproizvod ili poluproizvod, uključujući i one materije za koje se može pretpostaviti da mogu nastati u</w:t>
      </w:r>
    </w:p>
    <w:p w14:paraId="2C034BD4" w14:textId="77777777" w:rsidR="0034598E" w:rsidRPr="00CE3975" w:rsidRDefault="0034598E" w:rsidP="001247F3">
      <w:pPr>
        <w:pStyle w:val="FootnoteText"/>
        <w:rPr>
          <w:lang w:val="sr-Latn-RS"/>
        </w:rPr>
      </w:pPr>
      <w:r>
        <w:t>slučaju udesa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0AA6" w14:textId="77777777" w:rsidR="0034598E" w:rsidRDefault="0034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A2E9E" w14:textId="77777777" w:rsidR="0034598E" w:rsidRDefault="003459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543BE" w14:textId="77777777" w:rsidR="0034598E" w:rsidRDefault="0034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283"/>
    <w:multiLevelType w:val="hybridMultilevel"/>
    <w:tmpl w:val="A386C2E8"/>
    <w:lvl w:ilvl="0" w:tplc="9982859A">
      <w:start w:val="1"/>
      <w:numFmt w:val="decimal"/>
      <w:lvlText w:val="Aktivnost 5.%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 w15:restartNumberingAfterBreak="0">
    <w:nsid w:val="09287FE5"/>
    <w:multiLevelType w:val="hybridMultilevel"/>
    <w:tmpl w:val="3D403C82"/>
    <w:lvl w:ilvl="0" w:tplc="B5F654BE">
      <w:start w:val="1"/>
      <w:numFmt w:val="decimal"/>
      <w:lvlText w:val="Aktivnost 6.%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0BA9796C"/>
    <w:multiLevelType w:val="multilevel"/>
    <w:tmpl w:val="2A5EBCFC"/>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C18229B"/>
    <w:multiLevelType w:val="multilevel"/>
    <w:tmpl w:val="9648BE2A"/>
    <w:lvl w:ilvl="0">
      <w:start w:val="1"/>
      <w:numFmt w:val="decimal"/>
      <w:lvlText w:val="%1."/>
      <w:lvlJc w:val="left"/>
      <w:pPr>
        <w:ind w:left="720" w:hanging="360"/>
      </w:p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872360"/>
    <w:multiLevelType w:val="hybridMultilevel"/>
    <w:tmpl w:val="9DB0FB66"/>
    <w:lvl w:ilvl="0" w:tplc="01903A58">
      <w:start w:val="1"/>
      <w:numFmt w:val="decimal"/>
      <w:lvlText w:val="Aktivnost 7.%1."/>
      <w:lvlJc w:val="left"/>
      <w:pPr>
        <w:ind w:left="720" w:hanging="360"/>
      </w:pPr>
      <w:rPr>
        <w:rFonts w:asciiTheme="minorHAnsi" w:hAnsiTheme="minorHAns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97BEF"/>
    <w:multiLevelType w:val="hybridMultilevel"/>
    <w:tmpl w:val="C2500274"/>
    <w:lvl w:ilvl="0" w:tplc="F76A4F4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0317E"/>
    <w:multiLevelType w:val="hybridMultilevel"/>
    <w:tmpl w:val="D6701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B3724"/>
    <w:multiLevelType w:val="hybridMultilevel"/>
    <w:tmpl w:val="D1842C2C"/>
    <w:lvl w:ilvl="0" w:tplc="D1CC205E">
      <w:start w:val="1"/>
      <w:numFmt w:val="decimal"/>
      <w:lvlText w:val="Aktivnost 4.%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132A586D"/>
    <w:multiLevelType w:val="multilevel"/>
    <w:tmpl w:val="77128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877FE0"/>
    <w:multiLevelType w:val="hybridMultilevel"/>
    <w:tmpl w:val="FFCE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F84F67"/>
    <w:multiLevelType w:val="multilevel"/>
    <w:tmpl w:val="6DD2A702"/>
    <w:lvl w:ilvl="0">
      <w:start w:val="1"/>
      <w:numFmt w:val="decimal"/>
      <w:lvlText w:val="%1."/>
      <w:lvlJc w:val="left"/>
      <w:pPr>
        <w:ind w:left="420" w:hanging="420"/>
      </w:pPr>
      <w:rPr>
        <w:rFonts w:hint="default"/>
      </w:rPr>
    </w:lvl>
    <w:lvl w:ilvl="1">
      <w:start w:val="1"/>
      <w:numFmt w:val="decimal"/>
      <w:lvlText w:val="2.%2."/>
      <w:lvlJc w:val="left"/>
      <w:pPr>
        <w:ind w:left="720" w:hanging="720"/>
      </w:pPr>
      <w:rPr>
        <w:rFonts w:hint="default"/>
      </w:rPr>
    </w:lvl>
    <w:lvl w:ilvl="2">
      <w:start w:val="1"/>
      <w:numFmt w:val="decimal"/>
      <w:lvlText w:val="2.%2.%3."/>
      <w:lvlJc w:val="left"/>
      <w:pPr>
        <w:ind w:left="720" w:hanging="720"/>
      </w:pPr>
      <w:rPr>
        <w:rFonts w:hint="default"/>
      </w:rPr>
    </w:lvl>
    <w:lvl w:ilvl="3">
      <w:start w:val="1"/>
      <w:numFmt w:val="decimal"/>
      <w:lvlText w:val="2.4.%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F23276F"/>
    <w:multiLevelType w:val="multilevel"/>
    <w:tmpl w:val="0564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F57F49"/>
    <w:multiLevelType w:val="hybridMultilevel"/>
    <w:tmpl w:val="FF203110"/>
    <w:lvl w:ilvl="0" w:tplc="D62021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415F5"/>
    <w:multiLevelType w:val="hybridMultilevel"/>
    <w:tmpl w:val="BA2A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1A5182"/>
    <w:multiLevelType w:val="hybridMultilevel"/>
    <w:tmpl w:val="671CF25E"/>
    <w:lvl w:ilvl="0" w:tplc="E8EAE5EE">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DF544D"/>
    <w:multiLevelType w:val="hybridMultilevel"/>
    <w:tmpl w:val="9C143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F66A5"/>
    <w:multiLevelType w:val="hybridMultilevel"/>
    <w:tmpl w:val="486E01AA"/>
    <w:lvl w:ilvl="0" w:tplc="BE58ECFE">
      <w:start w:val="1"/>
      <w:numFmt w:val="decimal"/>
      <w:lvlText w:val="Aktivnost 3.%1."/>
      <w:lvlJc w:val="left"/>
      <w:pPr>
        <w:ind w:left="153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7" w15:restartNumberingAfterBreak="0">
    <w:nsid w:val="2F0E57A4"/>
    <w:multiLevelType w:val="multilevel"/>
    <w:tmpl w:val="2AB000DC"/>
    <w:lvl w:ilvl="0">
      <w:start w:val="1"/>
      <w:numFmt w:val="decimal"/>
      <w:lvlText w:val="%1."/>
      <w:lvlJc w:val="left"/>
      <w:pPr>
        <w:ind w:left="360" w:hanging="360"/>
      </w:pPr>
      <w:rPr>
        <w:rFonts w:hint="default"/>
      </w:rPr>
    </w:lvl>
    <w:lvl w:ilvl="1">
      <w:start w:val="1"/>
      <w:numFmt w:val="decimal"/>
      <w:lvlText w:val="3.%2."/>
      <w:lvlJc w:val="left"/>
      <w:pPr>
        <w:ind w:left="16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DD4EC9"/>
    <w:multiLevelType w:val="hybridMultilevel"/>
    <w:tmpl w:val="0144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5786F"/>
    <w:multiLevelType w:val="multilevel"/>
    <w:tmpl w:val="5D38BAC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661000"/>
    <w:multiLevelType w:val="hybridMultilevel"/>
    <w:tmpl w:val="D0504C92"/>
    <w:lvl w:ilvl="0" w:tplc="01903A58">
      <w:start w:val="1"/>
      <w:numFmt w:val="decimal"/>
      <w:lvlText w:val="Aktivnost 7.%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1" w15:restartNumberingAfterBreak="0">
    <w:nsid w:val="344D361E"/>
    <w:multiLevelType w:val="hybridMultilevel"/>
    <w:tmpl w:val="8130739C"/>
    <w:lvl w:ilvl="0" w:tplc="93C6B2F6">
      <w:start w:val="1"/>
      <w:numFmt w:val="decimal"/>
      <w:lvlText w:val="Aktivnost 2.%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2" w15:restartNumberingAfterBreak="0">
    <w:nsid w:val="35704DF3"/>
    <w:multiLevelType w:val="hybridMultilevel"/>
    <w:tmpl w:val="4946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C5D3C"/>
    <w:multiLevelType w:val="hybridMultilevel"/>
    <w:tmpl w:val="1F8C9690"/>
    <w:lvl w:ilvl="0" w:tplc="44AAA89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6C1205"/>
    <w:multiLevelType w:val="hybridMultilevel"/>
    <w:tmpl w:val="F8383B3E"/>
    <w:lvl w:ilvl="0" w:tplc="DAFA45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C2EB0"/>
    <w:multiLevelType w:val="hybridMultilevel"/>
    <w:tmpl w:val="6468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782432"/>
    <w:multiLevelType w:val="hybridMultilevel"/>
    <w:tmpl w:val="8130739C"/>
    <w:lvl w:ilvl="0" w:tplc="93C6B2F6">
      <w:start w:val="1"/>
      <w:numFmt w:val="decimal"/>
      <w:lvlText w:val="Aktivnost 2.%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7" w15:restartNumberingAfterBreak="0">
    <w:nsid w:val="3E2C682C"/>
    <w:multiLevelType w:val="multilevel"/>
    <w:tmpl w:val="0564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340CF8"/>
    <w:multiLevelType w:val="hybridMultilevel"/>
    <w:tmpl w:val="607C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FC0AC7"/>
    <w:multiLevelType w:val="multilevel"/>
    <w:tmpl w:val="30E8ADD8"/>
    <w:lvl w:ilvl="0">
      <w:start w:val="2"/>
      <w:numFmt w:val="decimal"/>
      <w:lvlText w:val="%1."/>
      <w:lvlJc w:val="left"/>
      <w:pPr>
        <w:ind w:left="420" w:hanging="420"/>
      </w:pPr>
      <w:rPr>
        <w:rFonts w:hint="default"/>
      </w:rPr>
    </w:lvl>
    <w:lvl w:ilvl="1">
      <w:start w:val="1"/>
      <w:numFmt w:val="decimal"/>
      <w:lvlText w:val="3.%2."/>
      <w:lvlJc w:val="left"/>
      <w:pPr>
        <w:ind w:left="1080" w:hanging="72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63C36A6"/>
    <w:multiLevelType w:val="hybridMultilevel"/>
    <w:tmpl w:val="9718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196042"/>
    <w:multiLevelType w:val="hybridMultilevel"/>
    <w:tmpl w:val="60BEC408"/>
    <w:lvl w:ilvl="0" w:tplc="22E40A64">
      <w:start w:val="1"/>
      <w:numFmt w:val="decimal"/>
      <w:lvlText w:val="Aktivnost 1.%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2" w15:restartNumberingAfterBreak="0">
    <w:nsid w:val="481F1CA4"/>
    <w:multiLevelType w:val="multilevel"/>
    <w:tmpl w:val="0564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860B62"/>
    <w:multiLevelType w:val="hybridMultilevel"/>
    <w:tmpl w:val="A9AC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306F53"/>
    <w:multiLevelType w:val="hybridMultilevel"/>
    <w:tmpl w:val="7498697A"/>
    <w:lvl w:ilvl="0" w:tplc="04090001">
      <w:start w:val="1"/>
      <w:numFmt w:val="bullet"/>
      <w:lvlText w:val=""/>
      <w:lvlJc w:val="left"/>
      <w:pPr>
        <w:ind w:left="770" w:hanging="360"/>
      </w:pPr>
      <w:rPr>
        <w:rFonts w:ascii="Symbol" w:hAnsi="Symbol" w:hint="default"/>
      </w:rPr>
    </w:lvl>
    <w:lvl w:ilvl="1" w:tplc="E8EAE5EE">
      <w:numFmt w:val="bullet"/>
      <w:lvlText w:val="•"/>
      <w:lvlJc w:val="left"/>
      <w:pPr>
        <w:ind w:left="1850" w:hanging="720"/>
      </w:pPr>
      <w:rPr>
        <w:rFonts w:ascii="Cambria" w:eastAsia="Times New Roman" w:hAnsi="Cambria" w:cs="Times New Roman"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15:restartNumberingAfterBreak="0">
    <w:nsid w:val="4D3C4D56"/>
    <w:multiLevelType w:val="hybridMultilevel"/>
    <w:tmpl w:val="4DE6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606A2E"/>
    <w:multiLevelType w:val="hybridMultilevel"/>
    <w:tmpl w:val="60BEC408"/>
    <w:lvl w:ilvl="0" w:tplc="22E40A64">
      <w:start w:val="1"/>
      <w:numFmt w:val="decimal"/>
      <w:lvlText w:val="Aktivnost 1.%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7" w15:restartNumberingAfterBreak="0">
    <w:nsid w:val="5137023A"/>
    <w:multiLevelType w:val="hybridMultilevel"/>
    <w:tmpl w:val="B79A0E04"/>
    <w:lvl w:ilvl="0" w:tplc="F620AC6E">
      <w:start w:val="1"/>
      <w:numFmt w:val="decimal"/>
      <w:lvlText w:val="Aktivnost 3.%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8" w15:restartNumberingAfterBreak="0">
    <w:nsid w:val="53AE7333"/>
    <w:multiLevelType w:val="hybridMultilevel"/>
    <w:tmpl w:val="C26C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E3678F"/>
    <w:multiLevelType w:val="hybridMultilevel"/>
    <w:tmpl w:val="E302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3529E2"/>
    <w:multiLevelType w:val="hybridMultilevel"/>
    <w:tmpl w:val="F19EF488"/>
    <w:lvl w:ilvl="0" w:tplc="37E00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4A24D7"/>
    <w:multiLevelType w:val="hybridMultilevel"/>
    <w:tmpl w:val="2B56CE0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2" w15:restartNumberingAfterBreak="0">
    <w:nsid w:val="578563E8"/>
    <w:multiLevelType w:val="multilevel"/>
    <w:tmpl w:val="4968A624"/>
    <w:lvl w:ilvl="0">
      <w:start w:val="1"/>
      <w:numFmt w:val="decimal"/>
      <w:lvlText w:val="%1."/>
      <w:lvlJc w:val="left"/>
      <w:pPr>
        <w:ind w:left="720" w:hanging="360"/>
      </w:pPr>
      <w:rPr>
        <w:rFonts w:hint="default"/>
      </w:rPr>
    </w:lvl>
    <w:lvl w:ilvl="1">
      <w:start w:val="1"/>
      <w:numFmt w:val="decimal"/>
      <w:isLgl/>
      <w:lvlText w:val="%1.%2."/>
      <w:lvlJc w:val="left"/>
      <w:pPr>
        <w:ind w:left="2322" w:hanging="720"/>
      </w:pPr>
      <w:rPr>
        <w:rFonts w:hint="default"/>
      </w:rPr>
    </w:lvl>
    <w:lvl w:ilvl="2">
      <w:start w:val="1"/>
      <w:numFmt w:val="decimal"/>
      <w:isLgl/>
      <w:lvlText w:val="%1.%2.%3."/>
      <w:lvlJc w:val="left"/>
      <w:pPr>
        <w:ind w:left="3564" w:hanging="720"/>
      </w:pPr>
      <w:rPr>
        <w:rFonts w:hint="default"/>
      </w:rPr>
    </w:lvl>
    <w:lvl w:ilvl="3">
      <w:start w:val="1"/>
      <w:numFmt w:val="decimal"/>
      <w:isLgl/>
      <w:lvlText w:val="%1.%2.%3.%4."/>
      <w:lvlJc w:val="left"/>
      <w:pPr>
        <w:ind w:left="5166" w:hanging="1080"/>
      </w:pPr>
      <w:rPr>
        <w:rFonts w:hint="default"/>
      </w:rPr>
    </w:lvl>
    <w:lvl w:ilvl="4">
      <w:start w:val="1"/>
      <w:numFmt w:val="decimal"/>
      <w:isLgl/>
      <w:lvlText w:val="%1.%2.%3.%4.%5."/>
      <w:lvlJc w:val="left"/>
      <w:pPr>
        <w:ind w:left="6408" w:hanging="1080"/>
      </w:pPr>
      <w:rPr>
        <w:rFonts w:hint="default"/>
      </w:rPr>
    </w:lvl>
    <w:lvl w:ilvl="5">
      <w:start w:val="1"/>
      <w:numFmt w:val="decimal"/>
      <w:isLgl/>
      <w:lvlText w:val="%1.%2.%3.%4.%5.%6."/>
      <w:lvlJc w:val="left"/>
      <w:pPr>
        <w:ind w:left="8010" w:hanging="1440"/>
      </w:pPr>
      <w:rPr>
        <w:rFonts w:hint="default"/>
      </w:rPr>
    </w:lvl>
    <w:lvl w:ilvl="6">
      <w:start w:val="1"/>
      <w:numFmt w:val="decimal"/>
      <w:isLgl/>
      <w:lvlText w:val="%1.%2.%3.%4.%5.%6.%7."/>
      <w:lvlJc w:val="left"/>
      <w:pPr>
        <w:ind w:left="9252" w:hanging="1440"/>
      </w:pPr>
      <w:rPr>
        <w:rFonts w:hint="default"/>
      </w:rPr>
    </w:lvl>
    <w:lvl w:ilvl="7">
      <w:start w:val="1"/>
      <w:numFmt w:val="decimal"/>
      <w:isLgl/>
      <w:lvlText w:val="%1.%2.%3.%4.%5.%6.%7.%8."/>
      <w:lvlJc w:val="left"/>
      <w:pPr>
        <w:ind w:left="10854" w:hanging="1800"/>
      </w:pPr>
      <w:rPr>
        <w:rFonts w:hint="default"/>
      </w:rPr>
    </w:lvl>
    <w:lvl w:ilvl="8">
      <w:start w:val="1"/>
      <w:numFmt w:val="decimal"/>
      <w:isLgl/>
      <w:lvlText w:val="%1.%2.%3.%4.%5.%6.%7.%8.%9."/>
      <w:lvlJc w:val="left"/>
      <w:pPr>
        <w:ind w:left="12096" w:hanging="1800"/>
      </w:pPr>
      <w:rPr>
        <w:rFonts w:hint="default"/>
      </w:rPr>
    </w:lvl>
  </w:abstractNum>
  <w:abstractNum w:abstractNumId="43" w15:restartNumberingAfterBreak="0">
    <w:nsid w:val="58643E62"/>
    <w:multiLevelType w:val="hybridMultilevel"/>
    <w:tmpl w:val="3C447DD4"/>
    <w:lvl w:ilvl="0" w:tplc="B5F654BE">
      <w:start w:val="1"/>
      <w:numFmt w:val="decimal"/>
      <w:lvlText w:val="Aktivnost 6.%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4" w15:restartNumberingAfterBreak="0">
    <w:nsid w:val="5AE845BF"/>
    <w:multiLevelType w:val="hybridMultilevel"/>
    <w:tmpl w:val="D676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A97DB8"/>
    <w:multiLevelType w:val="hybridMultilevel"/>
    <w:tmpl w:val="87542CD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15:restartNumberingAfterBreak="0">
    <w:nsid w:val="5EFA680E"/>
    <w:multiLevelType w:val="hybridMultilevel"/>
    <w:tmpl w:val="64685B92"/>
    <w:lvl w:ilvl="0" w:tplc="0C384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621EBA"/>
    <w:multiLevelType w:val="multilevel"/>
    <w:tmpl w:val="43160E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3923232"/>
    <w:multiLevelType w:val="hybridMultilevel"/>
    <w:tmpl w:val="C878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45340E"/>
    <w:multiLevelType w:val="hybridMultilevel"/>
    <w:tmpl w:val="67A6C55C"/>
    <w:lvl w:ilvl="0" w:tplc="454CC5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68C5E8C"/>
    <w:multiLevelType w:val="multilevel"/>
    <w:tmpl w:val="EDFA1F3A"/>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683457B3"/>
    <w:multiLevelType w:val="hybridMultilevel"/>
    <w:tmpl w:val="4DDC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3B76A2"/>
    <w:multiLevelType w:val="hybridMultilevel"/>
    <w:tmpl w:val="D580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B975E6F"/>
    <w:multiLevelType w:val="hybridMultilevel"/>
    <w:tmpl w:val="1D82612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3F66B5D"/>
    <w:multiLevelType w:val="hybridMultilevel"/>
    <w:tmpl w:val="4C8625D6"/>
    <w:lvl w:ilvl="0" w:tplc="DAFA459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AFA4592">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FB4608"/>
    <w:multiLevelType w:val="hybridMultilevel"/>
    <w:tmpl w:val="9D50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DC5E62"/>
    <w:multiLevelType w:val="hybridMultilevel"/>
    <w:tmpl w:val="EC82D4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142F2E"/>
    <w:multiLevelType w:val="hybridMultilevel"/>
    <w:tmpl w:val="0270FAE8"/>
    <w:lvl w:ilvl="0" w:tplc="D1CC205E">
      <w:start w:val="1"/>
      <w:numFmt w:val="decimal"/>
      <w:lvlText w:val="Aktivnost 4.%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8" w15:restartNumberingAfterBreak="0">
    <w:nsid w:val="7D531D9B"/>
    <w:multiLevelType w:val="hybridMultilevel"/>
    <w:tmpl w:val="369EB180"/>
    <w:lvl w:ilvl="0" w:tplc="9982859A">
      <w:start w:val="1"/>
      <w:numFmt w:val="decimal"/>
      <w:lvlText w:val="Aktivnost 5.%1."/>
      <w:lvlJc w:val="left"/>
      <w:pPr>
        <w:ind w:left="720" w:hanging="360"/>
      </w:pPr>
      <w:rPr>
        <w:rFonts w:asciiTheme="minorHAnsi" w:hAnsiTheme="minorHAnsi"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9" w15:restartNumberingAfterBreak="0">
    <w:nsid w:val="7E4E5B3C"/>
    <w:multiLevelType w:val="hybridMultilevel"/>
    <w:tmpl w:val="C14C2B98"/>
    <w:lvl w:ilvl="0" w:tplc="37E00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0"/>
  </w:num>
  <w:num w:numId="3">
    <w:abstractNumId w:val="13"/>
  </w:num>
  <w:num w:numId="4">
    <w:abstractNumId w:val="5"/>
  </w:num>
  <w:num w:numId="5">
    <w:abstractNumId w:val="52"/>
  </w:num>
  <w:num w:numId="6">
    <w:abstractNumId w:val="53"/>
  </w:num>
  <w:num w:numId="7">
    <w:abstractNumId w:val="49"/>
  </w:num>
  <w:num w:numId="8">
    <w:abstractNumId w:val="56"/>
  </w:num>
  <w:num w:numId="9">
    <w:abstractNumId w:val="38"/>
  </w:num>
  <w:num w:numId="10">
    <w:abstractNumId w:val="34"/>
  </w:num>
  <w:num w:numId="11">
    <w:abstractNumId w:val="23"/>
  </w:num>
  <w:num w:numId="12">
    <w:abstractNumId w:val="3"/>
  </w:num>
  <w:num w:numId="13">
    <w:abstractNumId w:val="22"/>
  </w:num>
  <w:num w:numId="14">
    <w:abstractNumId w:val="6"/>
  </w:num>
  <w:num w:numId="15">
    <w:abstractNumId w:val="30"/>
  </w:num>
  <w:num w:numId="16">
    <w:abstractNumId w:val="55"/>
  </w:num>
  <w:num w:numId="17">
    <w:abstractNumId w:val="25"/>
  </w:num>
  <w:num w:numId="18">
    <w:abstractNumId w:val="48"/>
  </w:num>
  <w:num w:numId="19">
    <w:abstractNumId w:val="59"/>
  </w:num>
  <w:num w:numId="20">
    <w:abstractNumId w:val="42"/>
  </w:num>
  <w:num w:numId="21">
    <w:abstractNumId w:val="47"/>
  </w:num>
  <w:num w:numId="22">
    <w:abstractNumId w:val="40"/>
  </w:num>
  <w:num w:numId="23">
    <w:abstractNumId w:val="12"/>
  </w:num>
  <w:num w:numId="24">
    <w:abstractNumId w:val="9"/>
  </w:num>
  <w:num w:numId="25">
    <w:abstractNumId w:val="32"/>
  </w:num>
  <w:num w:numId="26">
    <w:abstractNumId w:val="27"/>
  </w:num>
  <w:num w:numId="27">
    <w:abstractNumId w:val="11"/>
  </w:num>
  <w:num w:numId="28">
    <w:abstractNumId w:val="8"/>
  </w:num>
  <w:num w:numId="29">
    <w:abstractNumId w:val="15"/>
  </w:num>
  <w:num w:numId="30">
    <w:abstractNumId w:val="35"/>
  </w:num>
  <w:num w:numId="31">
    <w:abstractNumId w:val="19"/>
  </w:num>
  <w:num w:numId="32">
    <w:abstractNumId w:val="17"/>
  </w:num>
  <w:num w:numId="33">
    <w:abstractNumId w:val="2"/>
  </w:num>
  <w:num w:numId="34">
    <w:abstractNumId w:val="29"/>
  </w:num>
  <w:num w:numId="35">
    <w:abstractNumId w:val="39"/>
  </w:num>
  <w:num w:numId="36">
    <w:abstractNumId w:val="31"/>
  </w:num>
  <w:num w:numId="37">
    <w:abstractNumId w:val="26"/>
  </w:num>
  <w:num w:numId="38">
    <w:abstractNumId w:val="37"/>
  </w:num>
  <w:num w:numId="39">
    <w:abstractNumId w:val="0"/>
  </w:num>
  <w:num w:numId="40">
    <w:abstractNumId w:val="43"/>
  </w:num>
  <w:num w:numId="41">
    <w:abstractNumId w:val="20"/>
  </w:num>
  <w:num w:numId="42">
    <w:abstractNumId w:val="57"/>
  </w:num>
  <w:num w:numId="43">
    <w:abstractNumId w:val="51"/>
  </w:num>
  <w:num w:numId="44">
    <w:abstractNumId w:val="16"/>
  </w:num>
  <w:num w:numId="45">
    <w:abstractNumId w:val="7"/>
  </w:num>
  <w:num w:numId="46">
    <w:abstractNumId w:val="58"/>
  </w:num>
  <w:num w:numId="47">
    <w:abstractNumId w:val="1"/>
  </w:num>
  <w:num w:numId="48">
    <w:abstractNumId w:val="4"/>
  </w:num>
  <w:num w:numId="49">
    <w:abstractNumId w:val="36"/>
  </w:num>
  <w:num w:numId="50">
    <w:abstractNumId w:val="21"/>
  </w:num>
  <w:num w:numId="51">
    <w:abstractNumId w:val="18"/>
  </w:num>
  <w:num w:numId="52">
    <w:abstractNumId w:val="24"/>
  </w:num>
  <w:num w:numId="53">
    <w:abstractNumId w:val="54"/>
  </w:num>
  <w:num w:numId="54">
    <w:abstractNumId w:val="46"/>
  </w:num>
  <w:num w:numId="55">
    <w:abstractNumId w:val="50"/>
  </w:num>
  <w:num w:numId="56">
    <w:abstractNumId w:val="33"/>
  </w:num>
  <w:num w:numId="57">
    <w:abstractNumId w:val="14"/>
  </w:num>
  <w:num w:numId="58">
    <w:abstractNumId w:val="28"/>
  </w:num>
  <w:num w:numId="59">
    <w:abstractNumId w:val="41"/>
  </w:num>
  <w:num w:numId="60">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DD"/>
    <w:rsid w:val="00001C90"/>
    <w:rsid w:val="0000246B"/>
    <w:rsid w:val="00002592"/>
    <w:rsid w:val="00002F49"/>
    <w:rsid w:val="00005763"/>
    <w:rsid w:val="000073D0"/>
    <w:rsid w:val="00010333"/>
    <w:rsid w:val="000116B1"/>
    <w:rsid w:val="000133AB"/>
    <w:rsid w:val="00013714"/>
    <w:rsid w:val="0001515D"/>
    <w:rsid w:val="00015B10"/>
    <w:rsid w:val="00015B46"/>
    <w:rsid w:val="00020387"/>
    <w:rsid w:val="000216AF"/>
    <w:rsid w:val="00021B6E"/>
    <w:rsid w:val="000223F5"/>
    <w:rsid w:val="00023269"/>
    <w:rsid w:val="00023F5E"/>
    <w:rsid w:val="00024186"/>
    <w:rsid w:val="0002435A"/>
    <w:rsid w:val="00024687"/>
    <w:rsid w:val="00025D7B"/>
    <w:rsid w:val="00026AE3"/>
    <w:rsid w:val="00030D15"/>
    <w:rsid w:val="00030F7F"/>
    <w:rsid w:val="0003254F"/>
    <w:rsid w:val="00032F9B"/>
    <w:rsid w:val="0003406E"/>
    <w:rsid w:val="000344D7"/>
    <w:rsid w:val="00035079"/>
    <w:rsid w:val="00037832"/>
    <w:rsid w:val="00037A7F"/>
    <w:rsid w:val="00037E3F"/>
    <w:rsid w:val="0004011E"/>
    <w:rsid w:val="00040893"/>
    <w:rsid w:val="000419FA"/>
    <w:rsid w:val="00041C7C"/>
    <w:rsid w:val="000422E3"/>
    <w:rsid w:val="0004283B"/>
    <w:rsid w:val="00042B4E"/>
    <w:rsid w:val="000430B7"/>
    <w:rsid w:val="00043F8E"/>
    <w:rsid w:val="00045AA4"/>
    <w:rsid w:val="00047270"/>
    <w:rsid w:val="00047366"/>
    <w:rsid w:val="0005165A"/>
    <w:rsid w:val="000516DC"/>
    <w:rsid w:val="000527B1"/>
    <w:rsid w:val="00052AA8"/>
    <w:rsid w:val="00053490"/>
    <w:rsid w:val="00053D8E"/>
    <w:rsid w:val="00053F9C"/>
    <w:rsid w:val="000544CF"/>
    <w:rsid w:val="000546D7"/>
    <w:rsid w:val="0005493B"/>
    <w:rsid w:val="00055C23"/>
    <w:rsid w:val="00055CAC"/>
    <w:rsid w:val="00056187"/>
    <w:rsid w:val="00056A73"/>
    <w:rsid w:val="000623ED"/>
    <w:rsid w:val="00062970"/>
    <w:rsid w:val="00062FDF"/>
    <w:rsid w:val="00064BBB"/>
    <w:rsid w:val="00064FB2"/>
    <w:rsid w:val="000653E3"/>
    <w:rsid w:val="000653E9"/>
    <w:rsid w:val="000668A9"/>
    <w:rsid w:val="00067B5D"/>
    <w:rsid w:val="00067FA8"/>
    <w:rsid w:val="00070642"/>
    <w:rsid w:val="00070FC7"/>
    <w:rsid w:val="0007142F"/>
    <w:rsid w:val="0007154F"/>
    <w:rsid w:val="00071B99"/>
    <w:rsid w:val="00071FE1"/>
    <w:rsid w:val="0007230F"/>
    <w:rsid w:val="000748B2"/>
    <w:rsid w:val="00075446"/>
    <w:rsid w:val="0007692C"/>
    <w:rsid w:val="00081015"/>
    <w:rsid w:val="000828B5"/>
    <w:rsid w:val="0008339A"/>
    <w:rsid w:val="0008348E"/>
    <w:rsid w:val="000835CA"/>
    <w:rsid w:val="00083643"/>
    <w:rsid w:val="00084039"/>
    <w:rsid w:val="00085406"/>
    <w:rsid w:val="000863BA"/>
    <w:rsid w:val="0008756C"/>
    <w:rsid w:val="0008775E"/>
    <w:rsid w:val="00087AFC"/>
    <w:rsid w:val="00091655"/>
    <w:rsid w:val="00093E0D"/>
    <w:rsid w:val="00094F2D"/>
    <w:rsid w:val="000954F7"/>
    <w:rsid w:val="00095910"/>
    <w:rsid w:val="00096FE6"/>
    <w:rsid w:val="00097581"/>
    <w:rsid w:val="000A09FD"/>
    <w:rsid w:val="000A0D9B"/>
    <w:rsid w:val="000A0F1E"/>
    <w:rsid w:val="000A0FE1"/>
    <w:rsid w:val="000A1BD7"/>
    <w:rsid w:val="000A2036"/>
    <w:rsid w:val="000A2E4D"/>
    <w:rsid w:val="000A3368"/>
    <w:rsid w:val="000A4052"/>
    <w:rsid w:val="000A46A9"/>
    <w:rsid w:val="000A4B4A"/>
    <w:rsid w:val="000A51F8"/>
    <w:rsid w:val="000A65AA"/>
    <w:rsid w:val="000A6649"/>
    <w:rsid w:val="000A7728"/>
    <w:rsid w:val="000B064C"/>
    <w:rsid w:val="000B09D8"/>
    <w:rsid w:val="000B0AA2"/>
    <w:rsid w:val="000B19F7"/>
    <w:rsid w:val="000B1AEC"/>
    <w:rsid w:val="000B2C7D"/>
    <w:rsid w:val="000B4A03"/>
    <w:rsid w:val="000B4A3C"/>
    <w:rsid w:val="000B69B4"/>
    <w:rsid w:val="000C0A5A"/>
    <w:rsid w:val="000C0BFE"/>
    <w:rsid w:val="000C0D54"/>
    <w:rsid w:val="000C17DD"/>
    <w:rsid w:val="000C2428"/>
    <w:rsid w:val="000C390A"/>
    <w:rsid w:val="000C3C5C"/>
    <w:rsid w:val="000C4ACB"/>
    <w:rsid w:val="000C6C88"/>
    <w:rsid w:val="000C6CE8"/>
    <w:rsid w:val="000C7749"/>
    <w:rsid w:val="000D0507"/>
    <w:rsid w:val="000D1C68"/>
    <w:rsid w:val="000D221C"/>
    <w:rsid w:val="000D2522"/>
    <w:rsid w:val="000D2A27"/>
    <w:rsid w:val="000D32A5"/>
    <w:rsid w:val="000D3736"/>
    <w:rsid w:val="000D44F9"/>
    <w:rsid w:val="000D46E5"/>
    <w:rsid w:val="000D5187"/>
    <w:rsid w:val="000D659C"/>
    <w:rsid w:val="000D68FD"/>
    <w:rsid w:val="000D7288"/>
    <w:rsid w:val="000D7868"/>
    <w:rsid w:val="000D7B62"/>
    <w:rsid w:val="000E03B4"/>
    <w:rsid w:val="000E15EB"/>
    <w:rsid w:val="000E1B12"/>
    <w:rsid w:val="000E29FE"/>
    <w:rsid w:val="000E36E4"/>
    <w:rsid w:val="000E3F89"/>
    <w:rsid w:val="000E440C"/>
    <w:rsid w:val="000E4428"/>
    <w:rsid w:val="000E46E4"/>
    <w:rsid w:val="000E4858"/>
    <w:rsid w:val="000E4B34"/>
    <w:rsid w:val="000E4C73"/>
    <w:rsid w:val="000E5D13"/>
    <w:rsid w:val="000E5DB8"/>
    <w:rsid w:val="000E60F1"/>
    <w:rsid w:val="000E62E4"/>
    <w:rsid w:val="000E63A8"/>
    <w:rsid w:val="000E6B58"/>
    <w:rsid w:val="000F02E7"/>
    <w:rsid w:val="000F07A3"/>
    <w:rsid w:val="000F1012"/>
    <w:rsid w:val="000F1895"/>
    <w:rsid w:val="000F254E"/>
    <w:rsid w:val="000F319E"/>
    <w:rsid w:val="000F530F"/>
    <w:rsid w:val="000F55CB"/>
    <w:rsid w:val="000F5798"/>
    <w:rsid w:val="000F5CF8"/>
    <w:rsid w:val="000F6800"/>
    <w:rsid w:val="000F682E"/>
    <w:rsid w:val="000F718C"/>
    <w:rsid w:val="0010076F"/>
    <w:rsid w:val="0010115C"/>
    <w:rsid w:val="0010135D"/>
    <w:rsid w:val="0010146E"/>
    <w:rsid w:val="00102B3C"/>
    <w:rsid w:val="001032DA"/>
    <w:rsid w:val="001037EE"/>
    <w:rsid w:val="00103DDF"/>
    <w:rsid w:val="0010404A"/>
    <w:rsid w:val="00105000"/>
    <w:rsid w:val="001053BD"/>
    <w:rsid w:val="00105A52"/>
    <w:rsid w:val="00105F95"/>
    <w:rsid w:val="001061D7"/>
    <w:rsid w:val="00106259"/>
    <w:rsid w:val="00106914"/>
    <w:rsid w:val="00107123"/>
    <w:rsid w:val="001078FA"/>
    <w:rsid w:val="00110DC4"/>
    <w:rsid w:val="001112C6"/>
    <w:rsid w:val="00112856"/>
    <w:rsid w:val="00113370"/>
    <w:rsid w:val="0011359D"/>
    <w:rsid w:val="00113CB3"/>
    <w:rsid w:val="0011488D"/>
    <w:rsid w:val="00115BD9"/>
    <w:rsid w:val="00117268"/>
    <w:rsid w:val="0011738A"/>
    <w:rsid w:val="00121182"/>
    <w:rsid w:val="00121F3D"/>
    <w:rsid w:val="00122BA4"/>
    <w:rsid w:val="00122FF2"/>
    <w:rsid w:val="001230F2"/>
    <w:rsid w:val="00123817"/>
    <w:rsid w:val="001247F3"/>
    <w:rsid w:val="001252C0"/>
    <w:rsid w:val="00125553"/>
    <w:rsid w:val="001259B3"/>
    <w:rsid w:val="001278E2"/>
    <w:rsid w:val="00127CB8"/>
    <w:rsid w:val="00127CF9"/>
    <w:rsid w:val="001308E9"/>
    <w:rsid w:val="00130E54"/>
    <w:rsid w:val="0013139B"/>
    <w:rsid w:val="00131CAD"/>
    <w:rsid w:val="00132E2D"/>
    <w:rsid w:val="00133554"/>
    <w:rsid w:val="00134EF4"/>
    <w:rsid w:val="00135304"/>
    <w:rsid w:val="0013786B"/>
    <w:rsid w:val="00137E53"/>
    <w:rsid w:val="00137FA5"/>
    <w:rsid w:val="001431F0"/>
    <w:rsid w:val="00146758"/>
    <w:rsid w:val="0014748D"/>
    <w:rsid w:val="001477E3"/>
    <w:rsid w:val="00147FDC"/>
    <w:rsid w:val="00150559"/>
    <w:rsid w:val="0015164C"/>
    <w:rsid w:val="00151B33"/>
    <w:rsid w:val="00151CB8"/>
    <w:rsid w:val="00152D5E"/>
    <w:rsid w:val="00153A3D"/>
    <w:rsid w:val="00154A64"/>
    <w:rsid w:val="00155208"/>
    <w:rsid w:val="00155C62"/>
    <w:rsid w:val="00156069"/>
    <w:rsid w:val="00157C40"/>
    <w:rsid w:val="0016028A"/>
    <w:rsid w:val="00160DFB"/>
    <w:rsid w:val="001642D7"/>
    <w:rsid w:val="00165701"/>
    <w:rsid w:val="001657D7"/>
    <w:rsid w:val="00165812"/>
    <w:rsid w:val="001658E3"/>
    <w:rsid w:val="00165B60"/>
    <w:rsid w:val="00166042"/>
    <w:rsid w:val="0016713E"/>
    <w:rsid w:val="00167315"/>
    <w:rsid w:val="0017074F"/>
    <w:rsid w:val="001711E5"/>
    <w:rsid w:val="0017230A"/>
    <w:rsid w:val="001755B5"/>
    <w:rsid w:val="00177C46"/>
    <w:rsid w:val="00181346"/>
    <w:rsid w:val="00181EB6"/>
    <w:rsid w:val="001833D4"/>
    <w:rsid w:val="00184CF3"/>
    <w:rsid w:val="00186824"/>
    <w:rsid w:val="0018704B"/>
    <w:rsid w:val="001907E8"/>
    <w:rsid w:val="00190FB8"/>
    <w:rsid w:val="001933FA"/>
    <w:rsid w:val="001938DC"/>
    <w:rsid w:val="00193961"/>
    <w:rsid w:val="001943C7"/>
    <w:rsid w:val="001957F7"/>
    <w:rsid w:val="00195DB2"/>
    <w:rsid w:val="00196289"/>
    <w:rsid w:val="00197DE8"/>
    <w:rsid w:val="001A0237"/>
    <w:rsid w:val="001A1199"/>
    <w:rsid w:val="001A1BB7"/>
    <w:rsid w:val="001A1F6B"/>
    <w:rsid w:val="001A3C68"/>
    <w:rsid w:val="001A3E89"/>
    <w:rsid w:val="001A4341"/>
    <w:rsid w:val="001A5163"/>
    <w:rsid w:val="001A6A86"/>
    <w:rsid w:val="001A7C92"/>
    <w:rsid w:val="001B037B"/>
    <w:rsid w:val="001B1E53"/>
    <w:rsid w:val="001B2843"/>
    <w:rsid w:val="001B339F"/>
    <w:rsid w:val="001B60A1"/>
    <w:rsid w:val="001B6896"/>
    <w:rsid w:val="001B70E4"/>
    <w:rsid w:val="001B7B50"/>
    <w:rsid w:val="001B7BB6"/>
    <w:rsid w:val="001C0283"/>
    <w:rsid w:val="001C0420"/>
    <w:rsid w:val="001C0B8A"/>
    <w:rsid w:val="001C0B9B"/>
    <w:rsid w:val="001C0C23"/>
    <w:rsid w:val="001C2B77"/>
    <w:rsid w:val="001C310D"/>
    <w:rsid w:val="001C333D"/>
    <w:rsid w:val="001C57F9"/>
    <w:rsid w:val="001C627D"/>
    <w:rsid w:val="001C62CE"/>
    <w:rsid w:val="001C6605"/>
    <w:rsid w:val="001C7112"/>
    <w:rsid w:val="001C74B7"/>
    <w:rsid w:val="001D0B03"/>
    <w:rsid w:val="001D0F2C"/>
    <w:rsid w:val="001D20ED"/>
    <w:rsid w:val="001D24CA"/>
    <w:rsid w:val="001D42BC"/>
    <w:rsid w:val="001D58F5"/>
    <w:rsid w:val="001D63E4"/>
    <w:rsid w:val="001D66D1"/>
    <w:rsid w:val="001D6FE5"/>
    <w:rsid w:val="001E056D"/>
    <w:rsid w:val="001E0726"/>
    <w:rsid w:val="001E5D21"/>
    <w:rsid w:val="001F0019"/>
    <w:rsid w:val="001F187C"/>
    <w:rsid w:val="001F198B"/>
    <w:rsid w:val="001F19E1"/>
    <w:rsid w:val="001F2DC1"/>
    <w:rsid w:val="001F37A4"/>
    <w:rsid w:val="001F398C"/>
    <w:rsid w:val="001F5870"/>
    <w:rsid w:val="001F5A86"/>
    <w:rsid w:val="001F7EFC"/>
    <w:rsid w:val="002016CF"/>
    <w:rsid w:val="002026B7"/>
    <w:rsid w:val="0020324D"/>
    <w:rsid w:val="00203E06"/>
    <w:rsid w:val="002040A4"/>
    <w:rsid w:val="00205CED"/>
    <w:rsid w:val="002077E5"/>
    <w:rsid w:val="002101C3"/>
    <w:rsid w:val="00210FCC"/>
    <w:rsid w:val="00211385"/>
    <w:rsid w:val="002118A6"/>
    <w:rsid w:val="00212C65"/>
    <w:rsid w:val="002150D5"/>
    <w:rsid w:val="002158E6"/>
    <w:rsid w:val="00216AD6"/>
    <w:rsid w:val="00216F9F"/>
    <w:rsid w:val="00216FD7"/>
    <w:rsid w:val="002171DF"/>
    <w:rsid w:val="00217735"/>
    <w:rsid w:val="002206DD"/>
    <w:rsid w:val="00221C9F"/>
    <w:rsid w:val="00221EA9"/>
    <w:rsid w:val="002237DF"/>
    <w:rsid w:val="00223E2E"/>
    <w:rsid w:val="002240B7"/>
    <w:rsid w:val="00224297"/>
    <w:rsid w:val="002252F3"/>
    <w:rsid w:val="0022590C"/>
    <w:rsid w:val="002311EB"/>
    <w:rsid w:val="002315B3"/>
    <w:rsid w:val="00232922"/>
    <w:rsid w:val="0023338B"/>
    <w:rsid w:val="00235015"/>
    <w:rsid w:val="00235B6A"/>
    <w:rsid w:val="002364E5"/>
    <w:rsid w:val="0023659D"/>
    <w:rsid w:val="002367ED"/>
    <w:rsid w:val="00236D88"/>
    <w:rsid w:val="00237FAE"/>
    <w:rsid w:val="002408B0"/>
    <w:rsid w:val="0024103E"/>
    <w:rsid w:val="002437E0"/>
    <w:rsid w:val="00243F13"/>
    <w:rsid w:val="0024427C"/>
    <w:rsid w:val="00244A9E"/>
    <w:rsid w:val="00245FD4"/>
    <w:rsid w:val="0024642E"/>
    <w:rsid w:val="00246474"/>
    <w:rsid w:val="00246FB3"/>
    <w:rsid w:val="0024711D"/>
    <w:rsid w:val="00250EF9"/>
    <w:rsid w:val="00250F22"/>
    <w:rsid w:val="002518E9"/>
    <w:rsid w:val="0025220B"/>
    <w:rsid w:val="002525A4"/>
    <w:rsid w:val="00254175"/>
    <w:rsid w:val="00254FD2"/>
    <w:rsid w:val="002558D2"/>
    <w:rsid w:val="002565AB"/>
    <w:rsid w:val="00257417"/>
    <w:rsid w:val="00257CAA"/>
    <w:rsid w:val="002612B5"/>
    <w:rsid w:val="002618B9"/>
    <w:rsid w:val="002675A3"/>
    <w:rsid w:val="0027048E"/>
    <w:rsid w:val="00270B21"/>
    <w:rsid w:val="00270BD8"/>
    <w:rsid w:val="00271994"/>
    <w:rsid w:val="002722AA"/>
    <w:rsid w:val="00272414"/>
    <w:rsid w:val="00272DF2"/>
    <w:rsid w:val="002744C3"/>
    <w:rsid w:val="002748B5"/>
    <w:rsid w:val="00276055"/>
    <w:rsid w:val="0027617F"/>
    <w:rsid w:val="00276CB4"/>
    <w:rsid w:val="00276F01"/>
    <w:rsid w:val="00277238"/>
    <w:rsid w:val="00277FCB"/>
    <w:rsid w:val="002816E7"/>
    <w:rsid w:val="00282397"/>
    <w:rsid w:val="0028333D"/>
    <w:rsid w:val="00283534"/>
    <w:rsid w:val="00283C33"/>
    <w:rsid w:val="00283CD0"/>
    <w:rsid w:val="00283FA1"/>
    <w:rsid w:val="00285AE7"/>
    <w:rsid w:val="00286B30"/>
    <w:rsid w:val="00286BDD"/>
    <w:rsid w:val="002874C8"/>
    <w:rsid w:val="002874DC"/>
    <w:rsid w:val="00287B7C"/>
    <w:rsid w:val="00287FEA"/>
    <w:rsid w:val="002904CB"/>
    <w:rsid w:val="00290EA3"/>
    <w:rsid w:val="00290F28"/>
    <w:rsid w:val="0029163C"/>
    <w:rsid w:val="00291ECD"/>
    <w:rsid w:val="002923DE"/>
    <w:rsid w:val="002924FB"/>
    <w:rsid w:val="002958D3"/>
    <w:rsid w:val="0029627D"/>
    <w:rsid w:val="00296923"/>
    <w:rsid w:val="0029787C"/>
    <w:rsid w:val="002A00E2"/>
    <w:rsid w:val="002A1E13"/>
    <w:rsid w:val="002A20FD"/>
    <w:rsid w:val="002A27A9"/>
    <w:rsid w:val="002A2D07"/>
    <w:rsid w:val="002A32CB"/>
    <w:rsid w:val="002A4003"/>
    <w:rsid w:val="002A66AE"/>
    <w:rsid w:val="002A691E"/>
    <w:rsid w:val="002A746D"/>
    <w:rsid w:val="002A7969"/>
    <w:rsid w:val="002B05F0"/>
    <w:rsid w:val="002B0F60"/>
    <w:rsid w:val="002B32B9"/>
    <w:rsid w:val="002B4DD2"/>
    <w:rsid w:val="002B63E2"/>
    <w:rsid w:val="002B643C"/>
    <w:rsid w:val="002B6478"/>
    <w:rsid w:val="002B686B"/>
    <w:rsid w:val="002B6B6D"/>
    <w:rsid w:val="002B6EDF"/>
    <w:rsid w:val="002C0250"/>
    <w:rsid w:val="002C0B2B"/>
    <w:rsid w:val="002C0FA6"/>
    <w:rsid w:val="002C2E3F"/>
    <w:rsid w:val="002C2E89"/>
    <w:rsid w:val="002C4B9D"/>
    <w:rsid w:val="002C6914"/>
    <w:rsid w:val="002C6E82"/>
    <w:rsid w:val="002D0651"/>
    <w:rsid w:val="002D2869"/>
    <w:rsid w:val="002D3AB0"/>
    <w:rsid w:val="002D3CBC"/>
    <w:rsid w:val="002D4DF2"/>
    <w:rsid w:val="002D4FB9"/>
    <w:rsid w:val="002D5E29"/>
    <w:rsid w:val="002D5FE9"/>
    <w:rsid w:val="002D75FF"/>
    <w:rsid w:val="002D7809"/>
    <w:rsid w:val="002E012D"/>
    <w:rsid w:val="002E04B8"/>
    <w:rsid w:val="002E09FF"/>
    <w:rsid w:val="002E0FCA"/>
    <w:rsid w:val="002E1AB0"/>
    <w:rsid w:val="002E260B"/>
    <w:rsid w:val="002E3156"/>
    <w:rsid w:val="002E33B2"/>
    <w:rsid w:val="002E3850"/>
    <w:rsid w:val="002E3C72"/>
    <w:rsid w:val="002E4470"/>
    <w:rsid w:val="002E56F7"/>
    <w:rsid w:val="002E57F8"/>
    <w:rsid w:val="002E5D50"/>
    <w:rsid w:val="002E6546"/>
    <w:rsid w:val="002E65A6"/>
    <w:rsid w:val="002E7F56"/>
    <w:rsid w:val="002F06E9"/>
    <w:rsid w:val="002F1169"/>
    <w:rsid w:val="002F2364"/>
    <w:rsid w:val="002F272F"/>
    <w:rsid w:val="002F376E"/>
    <w:rsid w:val="002F383D"/>
    <w:rsid w:val="002F3D32"/>
    <w:rsid w:val="002F4269"/>
    <w:rsid w:val="002F4F87"/>
    <w:rsid w:val="002F6330"/>
    <w:rsid w:val="002F7BA9"/>
    <w:rsid w:val="00301A27"/>
    <w:rsid w:val="0030322D"/>
    <w:rsid w:val="003060FE"/>
    <w:rsid w:val="003066B5"/>
    <w:rsid w:val="00306A74"/>
    <w:rsid w:val="00310F65"/>
    <w:rsid w:val="0031143D"/>
    <w:rsid w:val="00312BA3"/>
    <w:rsid w:val="0031312C"/>
    <w:rsid w:val="00313BC5"/>
    <w:rsid w:val="00314E5F"/>
    <w:rsid w:val="00315759"/>
    <w:rsid w:val="00316771"/>
    <w:rsid w:val="003167C7"/>
    <w:rsid w:val="00317542"/>
    <w:rsid w:val="00317DB9"/>
    <w:rsid w:val="0032034A"/>
    <w:rsid w:val="00321800"/>
    <w:rsid w:val="00322997"/>
    <w:rsid w:val="00322C89"/>
    <w:rsid w:val="00323797"/>
    <w:rsid w:val="00323B85"/>
    <w:rsid w:val="003251FF"/>
    <w:rsid w:val="00325D9E"/>
    <w:rsid w:val="00326EC7"/>
    <w:rsid w:val="003300F6"/>
    <w:rsid w:val="0033011A"/>
    <w:rsid w:val="00330670"/>
    <w:rsid w:val="00331B6E"/>
    <w:rsid w:val="0033547A"/>
    <w:rsid w:val="00336B07"/>
    <w:rsid w:val="00337C4F"/>
    <w:rsid w:val="00340FD3"/>
    <w:rsid w:val="00341680"/>
    <w:rsid w:val="0034207A"/>
    <w:rsid w:val="003424AB"/>
    <w:rsid w:val="003426CC"/>
    <w:rsid w:val="00343DBA"/>
    <w:rsid w:val="003449B5"/>
    <w:rsid w:val="00344C01"/>
    <w:rsid w:val="00344C4F"/>
    <w:rsid w:val="0034598E"/>
    <w:rsid w:val="003468A9"/>
    <w:rsid w:val="00347154"/>
    <w:rsid w:val="00347AF2"/>
    <w:rsid w:val="00347C4B"/>
    <w:rsid w:val="0035085F"/>
    <w:rsid w:val="00350B64"/>
    <w:rsid w:val="00350CAA"/>
    <w:rsid w:val="00352E3D"/>
    <w:rsid w:val="00352EF2"/>
    <w:rsid w:val="003533F0"/>
    <w:rsid w:val="00353A1A"/>
    <w:rsid w:val="00353EF9"/>
    <w:rsid w:val="0035434E"/>
    <w:rsid w:val="003549FD"/>
    <w:rsid w:val="0035574D"/>
    <w:rsid w:val="00355A1F"/>
    <w:rsid w:val="00357548"/>
    <w:rsid w:val="00357903"/>
    <w:rsid w:val="00360169"/>
    <w:rsid w:val="0036020B"/>
    <w:rsid w:val="00360C40"/>
    <w:rsid w:val="00360F0F"/>
    <w:rsid w:val="00364211"/>
    <w:rsid w:val="003647B9"/>
    <w:rsid w:val="00365DE8"/>
    <w:rsid w:val="003664DB"/>
    <w:rsid w:val="0036786E"/>
    <w:rsid w:val="00370377"/>
    <w:rsid w:val="00372201"/>
    <w:rsid w:val="0037290F"/>
    <w:rsid w:val="00373131"/>
    <w:rsid w:val="00373259"/>
    <w:rsid w:val="003733DE"/>
    <w:rsid w:val="00373829"/>
    <w:rsid w:val="003740E5"/>
    <w:rsid w:val="0037496B"/>
    <w:rsid w:val="00374BC4"/>
    <w:rsid w:val="003752C9"/>
    <w:rsid w:val="00376311"/>
    <w:rsid w:val="0037633B"/>
    <w:rsid w:val="00376480"/>
    <w:rsid w:val="00376D4A"/>
    <w:rsid w:val="003773FE"/>
    <w:rsid w:val="003777C0"/>
    <w:rsid w:val="003803AD"/>
    <w:rsid w:val="003808E9"/>
    <w:rsid w:val="00380A52"/>
    <w:rsid w:val="00381EB2"/>
    <w:rsid w:val="0038206C"/>
    <w:rsid w:val="00382B1D"/>
    <w:rsid w:val="00382C95"/>
    <w:rsid w:val="003831C7"/>
    <w:rsid w:val="00385591"/>
    <w:rsid w:val="00386862"/>
    <w:rsid w:val="00386D52"/>
    <w:rsid w:val="00386D72"/>
    <w:rsid w:val="00386F07"/>
    <w:rsid w:val="003926F4"/>
    <w:rsid w:val="00392F98"/>
    <w:rsid w:val="00393A99"/>
    <w:rsid w:val="00393D93"/>
    <w:rsid w:val="0039429C"/>
    <w:rsid w:val="003A0352"/>
    <w:rsid w:val="003A2ADF"/>
    <w:rsid w:val="003A2D38"/>
    <w:rsid w:val="003A3326"/>
    <w:rsid w:val="003A4A26"/>
    <w:rsid w:val="003A53E9"/>
    <w:rsid w:val="003A594F"/>
    <w:rsid w:val="003A6E23"/>
    <w:rsid w:val="003B1193"/>
    <w:rsid w:val="003B3FC7"/>
    <w:rsid w:val="003B51A6"/>
    <w:rsid w:val="003B705B"/>
    <w:rsid w:val="003B727E"/>
    <w:rsid w:val="003C055C"/>
    <w:rsid w:val="003C1928"/>
    <w:rsid w:val="003C228E"/>
    <w:rsid w:val="003C3160"/>
    <w:rsid w:val="003C34CD"/>
    <w:rsid w:val="003C3D5D"/>
    <w:rsid w:val="003C3D62"/>
    <w:rsid w:val="003C423F"/>
    <w:rsid w:val="003C46BF"/>
    <w:rsid w:val="003C4C55"/>
    <w:rsid w:val="003C6923"/>
    <w:rsid w:val="003C69D5"/>
    <w:rsid w:val="003C7962"/>
    <w:rsid w:val="003D0BEC"/>
    <w:rsid w:val="003D0C4E"/>
    <w:rsid w:val="003D147E"/>
    <w:rsid w:val="003D15E0"/>
    <w:rsid w:val="003D3EC6"/>
    <w:rsid w:val="003D4102"/>
    <w:rsid w:val="003D423E"/>
    <w:rsid w:val="003D525D"/>
    <w:rsid w:val="003D54AF"/>
    <w:rsid w:val="003D5C5B"/>
    <w:rsid w:val="003D5E2A"/>
    <w:rsid w:val="003E04DD"/>
    <w:rsid w:val="003E0BB3"/>
    <w:rsid w:val="003E106C"/>
    <w:rsid w:val="003E2700"/>
    <w:rsid w:val="003E3419"/>
    <w:rsid w:val="003E48C0"/>
    <w:rsid w:val="003F02A2"/>
    <w:rsid w:val="003F103F"/>
    <w:rsid w:val="003F145B"/>
    <w:rsid w:val="003F1610"/>
    <w:rsid w:val="003F1AEC"/>
    <w:rsid w:val="003F1CB2"/>
    <w:rsid w:val="003F1D97"/>
    <w:rsid w:val="003F2320"/>
    <w:rsid w:val="003F262E"/>
    <w:rsid w:val="003F2FA1"/>
    <w:rsid w:val="003F3045"/>
    <w:rsid w:val="003F388B"/>
    <w:rsid w:val="003F429A"/>
    <w:rsid w:val="003F47AE"/>
    <w:rsid w:val="003F4A56"/>
    <w:rsid w:val="003F623D"/>
    <w:rsid w:val="003F6A15"/>
    <w:rsid w:val="003F6C43"/>
    <w:rsid w:val="003F6D59"/>
    <w:rsid w:val="00400933"/>
    <w:rsid w:val="00401093"/>
    <w:rsid w:val="004010CC"/>
    <w:rsid w:val="00403B60"/>
    <w:rsid w:val="00403E04"/>
    <w:rsid w:val="00404B7D"/>
    <w:rsid w:val="00405FD2"/>
    <w:rsid w:val="00406843"/>
    <w:rsid w:val="004071DC"/>
    <w:rsid w:val="00410C25"/>
    <w:rsid w:val="004117F7"/>
    <w:rsid w:val="00411C07"/>
    <w:rsid w:val="0041248D"/>
    <w:rsid w:val="00412A56"/>
    <w:rsid w:val="00413168"/>
    <w:rsid w:val="004131E2"/>
    <w:rsid w:val="004135EE"/>
    <w:rsid w:val="00413A3C"/>
    <w:rsid w:val="00415245"/>
    <w:rsid w:val="00416DE9"/>
    <w:rsid w:val="00416F0E"/>
    <w:rsid w:val="00417D72"/>
    <w:rsid w:val="0042000A"/>
    <w:rsid w:val="0042058B"/>
    <w:rsid w:val="00421141"/>
    <w:rsid w:val="004216C7"/>
    <w:rsid w:val="00421B1C"/>
    <w:rsid w:val="00421DFB"/>
    <w:rsid w:val="00423238"/>
    <w:rsid w:val="0042339A"/>
    <w:rsid w:val="00424A3C"/>
    <w:rsid w:val="00424C76"/>
    <w:rsid w:val="00425496"/>
    <w:rsid w:val="00425B66"/>
    <w:rsid w:val="00425BD7"/>
    <w:rsid w:val="00425E62"/>
    <w:rsid w:val="00426A24"/>
    <w:rsid w:val="004301C7"/>
    <w:rsid w:val="004314EF"/>
    <w:rsid w:val="00434342"/>
    <w:rsid w:val="0043446E"/>
    <w:rsid w:val="0043527C"/>
    <w:rsid w:val="00435387"/>
    <w:rsid w:val="00436256"/>
    <w:rsid w:val="0043742F"/>
    <w:rsid w:val="00440908"/>
    <w:rsid w:val="0044097C"/>
    <w:rsid w:val="00441997"/>
    <w:rsid w:val="00441DB2"/>
    <w:rsid w:val="00442546"/>
    <w:rsid w:val="0044335C"/>
    <w:rsid w:val="004448AA"/>
    <w:rsid w:val="00445342"/>
    <w:rsid w:val="004456BC"/>
    <w:rsid w:val="00447AA5"/>
    <w:rsid w:val="00450083"/>
    <w:rsid w:val="004500BB"/>
    <w:rsid w:val="0045023D"/>
    <w:rsid w:val="00450C84"/>
    <w:rsid w:val="00451D96"/>
    <w:rsid w:val="004533AF"/>
    <w:rsid w:val="00453571"/>
    <w:rsid w:val="00453CD7"/>
    <w:rsid w:val="00457791"/>
    <w:rsid w:val="00461F57"/>
    <w:rsid w:val="00462A1B"/>
    <w:rsid w:val="004644E2"/>
    <w:rsid w:val="004656D4"/>
    <w:rsid w:val="00465899"/>
    <w:rsid w:val="00465997"/>
    <w:rsid w:val="00467998"/>
    <w:rsid w:val="0047102B"/>
    <w:rsid w:val="0047133A"/>
    <w:rsid w:val="0047314D"/>
    <w:rsid w:val="00475A7B"/>
    <w:rsid w:val="00475AE3"/>
    <w:rsid w:val="00476A8B"/>
    <w:rsid w:val="00476D71"/>
    <w:rsid w:val="00477612"/>
    <w:rsid w:val="00477CA6"/>
    <w:rsid w:val="00477FE7"/>
    <w:rsid w:val="00477FED"/>
    <w:rsid w:val="00480B6F"/>
    <w:rsid w:val="004819F5"/>
    <w:rsid w:val="00483135"/>
    <w:rsid w:val="00484708"/>
    <w:rsid w:val="00484999"/>
    <w:rsid w:val="00486584"/>
    <w:rsid w:val="00486AD7"/>
    <w:rsid w:val="00486EB8"/>
    <w:rsid w:val="004870C6"/>
    <w:rsid w:val="004903FF"/>
    <w:rsid w:val="00490707"/>
    <w:rsid w:val="004909B6"/>
    <w:rsid w:val="00490BA0"/>
    <w:rsid w:val="00490C3E"/>
    <w:rsid w:val="00490D85"/>
    <w:rsid w:val="00492F6C"/>
    <w:rsid w:val="004937FF"/>
    <w:rsid w:val="00493B41"/>
    <w:rsid w:val="0049413B"/>
    <w:rsid w:val="004944A5"/>
    <w:rsid w:val="004949F5"/>
    <w:rsid w:val="00494A86"/>
    <w:rsid w:val="00495181"/>
    <w:rsid w:val="00495A61"/>
    <w:rsid w:val="004969FE"/>
    <w:rsid w:val="0049794A"/>
    <w:rsid w:val="00497F14"/>
    <w:rsid w:val="004A0911"/>
    <w:rsid w:val="004A0C23"/>
    <w:rsid w:val="004A39F6"/>
    <w:rsid w:val="004A3C2D"/>
    <w:rsid w:val="004A3F24"/>
    <w:rsid w:val="004A6758"/>
    <w:rsid w:val="004A7AF5"/>
    <w:rsid w:val="004B1618"/>
    <w:rsid w:val="004B2219"/>
    <w:rsid w:val="004B290C"/>
    <w:rsid w:val="004B3B2E"/>
    <w:rsid w:val="004B3D6A"/>
    <w:rsid w:val="004B69E0"/>
    <w:rsid w:val="004B7500"/>
    <w:rsid w:val="004C1982"/>
    <w:rsid w:val="004C2D25"/>
    <w:rsid w:val="004C3C34"/>
    <w:rsid w:val="004C43E5"/>
    <w:rsid w:val="004C5464"/>
    <w:rsid w:val="004C59C2"/>
    <w:rsid w:val="004C638C"/>
    <w:rsid w:val="004C6B73"/>
    <w:rsid w:val="004C7B70"/>
    <w:rsid w:val="004C7F94"/>
    <w:rsid w:val="004C7FDB"/>
    <w:rsid w:val="004D0455"/>
    <w:rsid w:val="004D1BD3"/>
    <w:rsid w:val="004D5988"/>
    <w:rsid w:val="004E065C"/>
    <w:rsid w:val="004E0D09"/>
    <w:rsid w:val="004E256B"/>
    <w:rsid w:val="004E28F0"/>
    <w:rsid w:val="004E291F"/>
    <w:rsid w:val="004E303A"/>
    <w:rsid w:val="004E3454"/>
    <w:rsid w:val="004E35B8"/>
    <w:rsid w:val="004E4363"/>
    <w:rsid w:val="004E584A"/>
    <w:rsid w:val="004E5B2A"/>
    <w:rsid w:val="004E6456"/>
    <w:rsid w:val="004E7B4F"/>
    <w:rsid w:val="004F0E91"/>
    <w:rsid w:val="004F0F23"/>
    <w:rsid w:val="004F1468"/>
    <w:rsid w:val="004F36D5"/>
    <w:rsid w:val="004F37C5"/>
    <w:rsid w:val="004F48A2"/>
    <w:rsid w:val="004F594E"/>
    <w:rsid w:val="004F6ADC"/>
    <w:rsid w:val="004F714E"/>
    <w:rsid w:val="005007A4"/>
    <w:rsid w:val="00502816"/>
    <w:rsid w:val="005038F6"/>
    <w:rsid w:val="00503E47"/>
    <w:rsid w:val="00503E89"/>
    <w:rsid w:val="00503EF4"/>
    <w:rsid w:val="005059EA"/>
    <w:rsid w:val="00506286"/>
    <w:rsid w:val="005063B1"/>
    <w:rsid w:val="00506785"/>
    <w:rsid w:val="00506B1A"/>
    <w:rsid w:val="005078B5"/>
    <w:rsid w:val="00507E78"/>
    <w:rsid w:val="005107D9"/>
    <w:rsid w:val="00511191"/>
    <w:rsid w:val="0051236E"/>
    <w:rsid w:val="005123AA"/>
    <w:rsid w:val="00512F95"/>
    <w:rsid w:val="00514952"/>
    <w:rsid w:val="00515504"/>
    <w:rsid w:val="00520F70"/>
    <w:rsid w:val="0052104D"/>
    <w:rsid w:val="00521254"/>
    <w:rsid w:val="0052290F"/>
    <w:rsid w:val="00523368"/>
    <w:rsid w:val="0052500F"/>
    <w:rsid w:val="00525353"/>
    <w:rsid w:val="00525424"/>
    <w:rsid w:val="005260B9"/>
    <w:rsid w:val="00527545"/>
    <w:rsid w:val="005277AC"/>
    <w:rsid w:val="00530763"/>
    <w:rsid w:val="00531124"/>
    <w:rsid w:val="0053277F"/>
    <w:rsid w:val="005331A9"/>
    <w:rsid w:val="00533270"/>
    <w:rsid w:val="005333F6"/>
    <w:rsid w:val="005334B3"/>
    <w:rsid w:val="0053405F"/>
    <w:rsid w:val="005343D9"/>
    <w:rsid w:val="00534991"/>
    <w:rsid w:val="00536AC3"/>
    <w:rsid w:val="0053782D"/>
    <w:rsid w:val="00537E0C"/>
    <w:rsid w:val="00540307"/>
    <w:rsid w:val="00540E9F"/>
    <w:rsid w:val="00542C1F"/>
    <w:rsid w:val="00542D5D"/>
    <w:rsid w:val="00542DFF"/>
    <w:rsid w:val="0054427E"/>
    <w:rsid w:val="0054451E"/>
    <w:rsid w:val="00546BEE"/>
    <w:rsid w:val="00546C17"/>
    <w:rsid w:val="00546D71"/>
    <w:rsid w:val="00547807"/>
    <w:rsid w:val="00550987"/>
    <w:rsid w:val="0055224A"/>
    <w:rsid w:val="00554E1D"/>
    <w:rsid w:val="00555019"/>
    <w:rsid w:val="00556BFE"/>
    <w:rsid w:val="00557C13"/>
    <w:rsid w:val="00557EDB"/>
    <w:rsid w:val="0056041D"/>
    <w:rsid w:val="00561083"/>
    <w:rsid w:val="00561249"/>
    <w:rsid w:val="00561436"/>
    <w:rsid w:val="00561897"/>
    <w:rsid w:val="00562A57"/>
    <w:rsid w:val="00562D8E"/>
    <w:rsid w:val="00563045"/>
    <w:rsid w:val="00565A03"/>
    <w:rsid w:val="00565D01"/>
    <w:rsid w:val="005668BA"/>
    <w:rsid w:val="00567251"/>
    <w:rsid w:val="0057124E"/>
    <w:rsid w:val="00571CC8"/>
    <w:rsid w:val="00571FE8"/>
    <w:rsid w:val="00572851"/>
    <w:rsid w:val="0057372D"/>
    <w:rsid w:val="00573BFF"/>
    <w:rsid w:val="00573F69"/>
    <w:rsid w:val="0057443C"/>
    <w:rsid w:val="00574CE6"/>
    <w:rsid w:val="0057559C"/>
    <w:rsid w:val="005776A1"/>
    <w:rsid w:val="005804D6"/>
    <w:rsid w:val="00581807"/>
    <w:rsid w:val="00581A04"/>
    <w:rsid w:val="00581C54"/>
    <w:rsid w:val="00582A2B"/>
    <w:rsid w:val="00583857"/>
    <w:rsid w:val="00583F89"/>
    <w:rsid w:val="005846ED"/>
    <w:rsid w:val="00584DD9"/>
    <w:rsid w:val="00584E2D"/>
    <w:rsid w:val="00585371"/>
    <w:rsid w:val="00586C5E"/>
    <w:rsid w:val="00590279"/>
    <w:rsid w:val="00590AF5"/>
    <w:rsid w:val="00591053"/>
    <w:rsid w:val="00591CFE"/>
    <w:rsid w:val="005921EF"/>
    <w:rsid w:val="00592373"/>
    <w:rsid w:val="00592D14"/>
    <w:rsid w:val="005932CD"/>
    <w:rsid w:val="00595417"/>
    <w:rsid w:val="005959D2"/>
    <w:rsid w:val="00597F0A"/>
    <w:rsid w:val="005A11BA"/>
    <w:rsid w:val="005A249A"/>
    <w:rsid w:val="005A3A49"/>
    <w:rsid w:val="005A4421"/>
    <w:rsid w:val="005A48BB"/>
    <w:rsid w:val="005A5EB0"/>
    <w:rsid w:val="005A66BE"/>
    <w:rsid w:val="005A78A7"/>
    <w:rsid w:val="005B0597"/>
    <w:rsid w:val="005B0B2B"/>
    <w:rsid w:val="005B0B2C"/>
    <w:rsid w:val="005B0D66"/>
    <w:rsid w:val="005B0ED4"/>
    <w:rsid w:val="005B2954"/>
    <w:rsid w:val="005B4998"/>
    <w:rsid w:val="005B4C46"/>
    <w:rsid w:val="005B5004"/>
    <w:rsid w:val="005B5239"/>
    <w:rsid w:val="005B5882"/>
    <w:rsid w:val="005B5B15"/>
    <w:rsid w:val="005B62D7"/>
    <w:rsid w:val="005B73E1"/>
    <w:rsid w:val="005C041E"/>
    <w:rsid w:val="005C04D6"/>
    <w:rsid w:val="005C0956"/>
    <w:rsid w:val="005C1222"/>
    <w:rsid w:val="005C1542"/>
    <w:rsid w:val="005C3066"/>
    <w:rsid w:val="005C3E18"/>
    <w:rsid w:val="005C4DBB"/>
    <w:rsid w:val="005C6796"/>
    <w:rsid w:val="005C6ED4"/>
    <w:rsid w:val="005D0612"/>
    <w:rsid w:val="005D0BC4"/>
    <w:rsid w:val="005D0E17"/>
    <w:rsid w:val="005D1BB6"/>
    <w:rsid w:val="005D2A90"/>
    <w:rsid w:val="005D2E5B"/>
    <w:rsid w:val="005D2F8B"/>
    <w:rsid w:val="005D2FF1"/>
    <w:rsid w:val="005D40E5"/>
    <w:rsid w:val="005D4E9D"/>
    <w:rsid w:val="005D53B0"/>
    <w:rsid w:val="005D54D8"/>
    <w:rsid w:val="005D591D"/>
    <w:rsid w:val="005D7417"/>
    <w:rsid w:val="005D7D1B"/>
    <w:rsid w:val="005D7DC3"/>
    <w:rsid w:val="005E104B"/>
    <w:rsid w:val="005E1113"/>
    <w:rsid w:val="005E2A4B"/>
    <w:rsid w:val="005E3884"/>
    <w:rsid w:val="005E4EE4"/>
    <w:rsid w:val="005E5106"/>
    <w:rsid w:val="005E5C18"/>
    <w:rsid w:val="005E5ECB"/>
    <w:rsid w:val="005E76C1"/>
    <w:rsid w:val="005E7D17"/>
    <w:rsid w:val="005F000E"/>
    <w:rsid w:val="005F027E"/>
    <w:rsid w:val="005F0443"/>
    <w:rsid w:val="005F0997"/>
    <w:rsid w:val="005F0A6F"/>
    <w:rsid w:val="005F1B1A"/>
    <w:rsid w:val="005F2EBF"/>
    <w:rsid w:val="005F3CD1"/>
    <w:rsid w:val="005F4568"/>
    <w:rsid w:val="005F47FA"/>
    <w:rsid w:val="005F4C3F"/>
    <w:rsid w:val="005F6498"/>
    <w:rsid w:val="005F66A3"/>
    <w:rsid w:val="005F783C"/>
    <w:rsid w:val="005F790F"/>
    <w:rsid w:val="0060057A"/>
    <w:rsid w:val="00601676"/>
    <w:rsid w:val="00602FAA"/>
    <w:rsid w:val="006035BD"/>
    <w:rsid w:val="00603EBA"/>
    <w:rsid w:val="0060591B"/>
    <w:rsid w:val="00606ECD"/>
    <w:rsid w:val="0061028B"/>
    <w:rsid w:val="00610567"/>
    <w:rsid w:val="00610677"/>
    <w:rsid w:val="0061179A"/>
    <w:rsid w:val="006118ED"/>
    <w:rsid w:val="006127E9"/>
    <w:rsid w:val="00612B8B"/>
    <w:rsid w:val="00612CE0"/>
    <w:rsid w:val="00613668"/>
    <w:rsid w:val="00613EFF"/>
    <w:rsid w:val="0061598C"/>
    <w:rsid w:val="006167CF"/>
    <w:rsid w:val="00617129"/>
    <w:rsid w:val="006178CA"/>
    <w:rsid w:val="00620FFC"/>
    <w:rsid w:val="00624BA6"/>
    <w:rsid w:val="00626317"/>
    <w:rsid w:val="006269DB"/>
    <w:rsid w:val="00627701"/>
    <w:rsid w:val="006303A6"/>
    <w:rsid w:val="00631A10"/>
    <w:rsid w:val="00632126"/>
    <w:rsid w:val="00634452"/>
    <w:rsid w:val="00634FD4"/>
    <w:rsid w:val="00635425"/>
    <w:rsid w:val="0063579F"/>
    <w:rsid w:val="00635E00"/>
    <w:rsid w:val="006360F5"/>
    <w:rsid w:val="00636631"/>
    <w:rsid w:val="00636D75"/>
    <w:rsid w:val="00636FCB"/>
    <w:rsid w:val="006379FD"/>
    <w:rsid w:val="006400F3"/>
    <w:rsid w:val="00640155"/>
    <w:rsid w:val="0064029C"/>
    <w:rsid w:val="00640C62"/>
    <w:rsid w:val="00642269"/>
    <w:rsid w:val="00643962"/>
    <w:rsid w:val="00643AC7"/>
    <w:rsid w:val="00645945"/>
    <w:rsid w:val="00646B08"/>
    <w:rsid w:val="0065073A"/>
    <w:rsid w:val="00651083"/>
    <w:rsid w:val="006514C9"/>
    <w:rsid w:val="00651749"/>
    <w:rsid w:val="00651AA5"/>
    <w:rsid w:val="00651DD8"/>
    <w:rsid w:val="00652BEB"/>
    <w:rsid w:val="00653EFF"/>
    <w:rsid w:val="00654204"/>
    <w:rsid w:val="0065481A"/>
    <w:rsid w:val="006549DC"/>
    <w:rsid w:val="00655360"/>
    <w:rsid w:val="00656103"/>
    <w:rsid w:val="00656283"/>
    <w:rsid w:val="0065633C"/>
    <w:rsid w:val="00656A03"/>
    <w:rsid w:val="00656D4A"/>
    <w:rsid w:val="006606B7"/>
    <w:rsid w:val="0066079C"/>
    <w:rsid w:val="0066183A"/>
    <w:rsid w:val="00661EFA"/>
    <w:rsid w:val="006632B4"/>
    <w:rsid w:val="00663B7C"/>
    <w:rsid w:val="00664549"/>
    <w:rsid w:val="006647B8"/>
    <w:rsid w:val="006702DD"/>
    <w:rsid w:val="00671322"/>
    <w:rsid w:val="0067264D"/>
    <w:rsid w:val="00673FC8"/>
    <w:rsid w:val="00674ACF"/>
    <w:rsid w:val="00674EDD"/>
    <w:rsid w:val="00674F53"/>
    <w:rsid w:val="00675D3D"/>
    <w:rsid w:val="006761D3"/>
    <w:rsid w:val="0067654C"/>
    <w:rsid w:val="00676593"/>
    <w:rsid w:val="00676BF4"/>
    <w:rsid w:val="00677C5F"/>
    <w:rsid w:val="00682B79"/>
    <w:rsid w:val="00683287"/>
    <w:rsid w:val="006832AA"/>
    <w:rsid w:val="0068340A"/>
    <w:rsid w:val="0068358F"/>
    <w:rsid w:val="006838F1"/>
    <w:rsid w:val="00683F41"/>
    <w:rsid w:val="00685AEA"/>
    <w:rsid w:val="00685E0D"/>
    <w:rsid w:val="006861E1"/>
    <w:rsid w:val="00686BFC"/>
    <w:rsid w:val="00686EC0"/>
    <w:rsid w:val="006875DA"/>
    <w:rsid w:val="0069029D"/>
    <w:rsid w:val="0069157E"/>
    <w:rsid w:val="00691EBA"/>
    <w:rsid w:val="006928C5"/>
    <w:rsid w:val="00692D09"/>
    <w:rsid w:val="0069329C"/>
    <w:rsid w:val="006939E8"/>
    <w:rsid w:val="00694C11"/>
    <w:rsid w:val="00695025"/>
    <w:rsid w:val="006952C8"/>
    <w:rsid w:val="00695A18"/>
    <w:rsid w:val="00696668"/>
    <w:rsid w:val="00696884"/>
    <w:rsid w:val="00696D29"/>
    <w:rsid w:val="00697709"/>
    <w:rsid w:val="006A0A64"/>
    <w:rsid w:val="006A3422"/>
    <w:rsid w:val="006A3485"/>
    <w:rsid w:val="006A39DE"/>
    <w:rsid w:val="006A4DE2"/>
    <w:rsid w:val="006A4E27"/>
    <w:rsid w:val="006A68D5"/>
    <w:rsid w:val="006B0C10"/>
    <w:rsid w:val="006B13BB"/>
    <w:rsid w:val="006B1B06"/>
    <w:rsid w:val="006B1D38"/>
    <w:rsid w:val="006B3B9C"/>
    <w:rsid w:val="006B3CE0"/>
    <w:rsid w:val="006B43FF"/>
    <w:rsid w:val="006B4807"/>
    <w:rsid w:val="006B6789"/>
    <w:rsid w:val="006B6B9A"/>
    <w:rsid w:val="006B7DAE"/>
    <w:rsid w:val="006C0116"/>
    <w:rsid w:val="006C10FB"/>
    <w:rsid w:val="006C35D5"/>
    <w:rsid w:val="006C4EC4"/>
    <w:rsid w:val="006C68F4"/>
    <w:rsid w:val="006C7AFA"/>
    <w:rsid w:val="006D00EE"/>
    <w:rsid w:val="006D039B"/>
    <w:rsid w:val="006D0EB4"/>
    <w:rsid w:val="006D1506"/>
    <w:rsid w:val="006D230F"/>
    <w:rsid w:val="006D38D6"/>
    <w:rsid w:val="006D38FB"/>
    <w:rsid w:val="006D3C55"/>
    <w:rsid w:val="006D4C72"/>
    <w:rsid w:val="006D54B8"/>
    <w:rsid w:val="006D5AA3"/>
    <w:rsid w:val="006D5D32"/>
    <w:rsid w:val="006D5DED"/>
    <w:rsid w:val="006D5EC8"/>
    <w:rsid w:val="006D61F2"/>
    <w:rsid w:val="006D6411"/>
    <w:rsid w:val="006D7597"/>
    <w:rsid w:val="006E03AD"/>
    <w:rsid w:val="006E0514"/>
    <w:rsid w:val="006E0DEF"/>
    <w:rsid w:val="006E1487"/>
    <w:rsid w:val="006E1B7D"/>
    <w:rsid w:val="006E26D7"/>
    <w:rsid w:val="006E47B9"/>
    <w:rsid w:val="006E6F9A"/>
    <w:rsid w:val="006E7A62"/>
    <w:rsid w:val="006F0170"/>
    <w:rsid w:val="006F01A5"/>
    <w:rsid w:val="006F032E"/>
    <w:rsid w:val="006F10CC"/>
    <w:rsid w:val="006F1428"/>
    <w:rsid w:val="006F2670"/>
    <w:rsid w:val="006F30C0"/>
    <w:rsid w:val="006F312B"/>
    <w:rsid w:val="006F3CCA"/>
    <w:rsid w:val="006F4EFD"/>
    <w:rsid w:val="006F4F6E"/>
    <w:rsid w:val="0070118B"/>
    <w:rsid w:val="00701602"/>
    <w:rsid w:val="00703B4A"/>
    <w:rsid w:val="00704FDC"/>
    <w:rsid w:val="00705D38"/>
    <w:rsid w:val="007060EF"/>
    <w:rsid w:val="00710549"/>
    <w:rsid w:val="00711505"/>
    <w:rsid w:val="0071160F"/>
    <w:rsid w:val="00711C3C"/>
    <w:rsid w:val="00711DB3"/>
    <w:rsid w:val="007122EB"/>
    <w:rsid w:val="00712EF6"/>
    <w:rsid w:val="007146E4"/>
    <w:rsid w:val="00715488"/>
    <w:rsid w:val="0071686B"/>
    <w:rsid w:val="00720A4E"/>
    <w:rsid w:val="00722504"/>
    <w:rsid w:val="00722762"/>
    <w:rsid w:val="00723321"/>
    <w:rsid w:val="007259CF"/>
    <w:rsid w:val="007264A7"/>
    <w:rsid w:val="007265D6"/>
    <w:rsid w:val="00727D11"/>
    <w:rsid w:val="00730806"/>
    <w:rsid w:val="00730D87"/>
    <w:rsid w:val="007312CC"/>
    <w:rsid w:val="00731477"/>
    <w:rsid w:val="007329B0"/>
    <w:rsid w:val="00734200"/>
    <w:rsid w:val="0073461B"/>
    <w:rsid w:val="00735DD8"/>
    <w:rsid w:val="0073627B"/>
    <w:rsid w:val="007370FF"/>
    <w:rsid w:val="00737B73"/>
    <w:rsid w:val="007401D9"/>
    <w:rsid w:val="00740301"/>
    <w:rsid w:val="0074068D"/>
    <w:rsid w:val="00740EA3"/>
    <w:rsid w:val="00741166"/>
    <w:rsid w:val="007411AF"/>
    <w:rsid w:val="007430B9"/>
    <w:rsid w:val="007431DE"/>
    <w:rsid w:val="007436B7"/>
    <w:rsid w:val="007451BE"/>
    <w:rsid w:val="00745774"/>
    <w:rsid w:val="007460F9"/>
    <w:rsid w:val="00746507"/>
    <w:rsid w:val="00746B63"/>
    <w:rsid w:val="00746F57"/>
    <w:rsid w:val="00746FE6"/>
    <w:rsid w:val="00747C56"/>
    <w:rsid w:val="00753D9E"/>
    <w:rsid w:val="00754607"/>
    <w:rsid w:val="00754B2C"/>
    <w:rsid w:val="00754BC2"/>
    <w:rsid w:val="0075515F"/>
    <w:rsid w:val="0075662F"/>
    <w:rsid w:val="0075678C"/>
    <w:rsid w:val="007572F2"/>
    <w:rsid w:val="00762344"/>
    <w:rsid w:val="00762BF4"/>
    <w:rsid w:val="00764413"/>
    <w:rsid w:val="0076526E"/>
    <w:rsid w:val="0076590A"/>
    <w:rsid w:val="007659D6"/>
    <w:rsid w:val="00765C17"/>
    <w:rsid w:val="00767729"/>
    <w:rsid w:val="00767A05"/>
    <w:rsid w:val="00767BBB"/>
    <w:rsid w:val="007707E8"/>
    <w:rsid w:val="00770D0F"/>
    <w:rsid w:val="007711F3"/>
    <w:rsid w:val="0077367D"/>
    <w:rsid w:val="00774E21"/>
    <w:rsid w:val="007750E9"/>
    <w:rsid w:val="0077690B"/>
    <w:rsid w:val="007770DA"/>
    <w:rsid w:val="007771D9"/>
    <w:rsid w:val="0077786A"/>
    <w:rsid w:val="007803B4"/>
    <w:rsid w:val="00780FFD"/>
    <w:rsid w:val="00783388"/>
    <w:rsid w:val="007842BC"/>
    <w:rsid w:val="00784351"/>
    <w:rsid w:val="00785C8B"/>
    <w:rsid w:val="00787100"/>
    <w:rsid w:val="00787416"/>
    <w:rsid w:val="00787E1D"/>
    <w:rsid w:val="007906F8"/>
    <w:rsid w:val="00790D12"/>
    <w:rsid w:val="0079167F"/>
    <w:rsid w:val="007917F2"/>
    <w:rsid w:val="00791BB0"/>
    <w:rsid w:val="00793D1D"/>
    <w:rsid w:val="0079500E"/>
    <w:rsid w:val="007970A9"/>
    <w:rsid w:val="0079777C"/>
    <w:rsid w:val="007A0154"/>
    <w:rsid w:val="007A0E34"/>
    <w:rsid w:val="007A15E8"/>
    <w:rsid w:val="007A2421"/>
    <w:rsid w:val="007A28FB"/>
    <w:rsid w:val="007A2C18"/>
    <w:rsid w:val="007A2D29"/>
    <w:rsid w:val="007A2E7C"/>
    <w:rsid w:val="007A308F"/>
    <w:rsid w:val="007A3777"/>
    <w:rsid w:val="007A3CA3"/>
    <w:rsid w:val="007A49A5"/>
    <w:rsid w:val="007A5120"/>
    <w:rsid w:val="007A565B"/>
    <w:rsid w:val="007A62A4"/>
    <w:rsid w:val="007A651B"/>
    <w:rsid w:val="007A7576"/>
    <w:rsid w:val="007A7F97"/>
    <w:rsid w:val="007B16F6"/>
    <w:rsid w:val="007B2169"/>
    <w:rsid w:val="007B2817"/>
    <w:rsid w:val="007B2931"/>
    <w:rsid w:val="007B2B79"/>
    <w:rsid w:val="007B3E99"/>
    <w:rsid w:val="007B4B07"/>
    <w:rsid w:val="007B56DB"/>
    <w:rsid w:val="007B5C7E"/>
    <w:rsid w:val="007B67F1"/>
    <w:rsid w:val="007C17BA"/>
    <w:rsid w:val="007C1934"/>
    <w:rsid w:val="007C1D28"/>
    <w:rsid w:val="007C323B"/>
    <w:rsid w:val="007C39F5"/>
    <w:rsid w:val="007C44C5"/>
    <w:rsid w:val="007C51BC"/>
    <w:rsid w:val="007C5386"/>
    <w:rsid w:val="007C5532"/>
    <w:rsid w:val="007C559C"/>
    <w:rsid w:val="007C6993"/>
    <w:rsid w:val="007C6CE4"/>
    <w:rsid w:val="007C736B"/>
    <w:rsid w:val="007C7DC7"/>
    <w:rsid w:val="007D084C"/>
    <w:rsid w:val="007D1232"/>
    <w:rsid w:val="007D1BB6"/>
    <w:rsid w:val="007D1CDD"/>
    <w:rsid w:val="007D2273"/>
    <w:rsid w:val="007D5C05"/>
    <w:rsid w:val="007D5DE4"/>
    <w:rsid w:val="007D7019"/>
    <w:rsid w:val="007D72F5"/>
    <w:rsid w:val="007E16F4"/>
    <w:rsid w:val="007E1C87"/>
    <w:rsid w:val="007E37C6"/>
    <w:rsid w:val="007E4974"/>
    <w:rsid w:val="007E4F13"/>
    <w:rsid w:val="007E5ADB"/>
    <w:rsid w:val="007E6477"/>
    <w:rsid w:val="007E6FE1"/>
    <w:rsid w:val="007F0E59"/>
    <w:rsid w:val="007F10FC"/>
    <w:rsid w:val="007F198F"/>
    <w:rsid w:val="007F38DA"/>
    <w:rsid w:val="007F436A"/>
    <w:rsid w:val="007F4FED"/>
    <w:rsid w:val="007F6352"/>
    <w:rsid w:val="007F653A"/>
    <w:rsid w:val="007F6DD8"/>
    <w:rsid w:val="00800102"/>
    <w:rsid w:val="00800999"/>
    <w:rsid w:val="008017A6"/>
    <w:rsid w:val="00801AAE"/>
    <w:rsid w:val="00802271"/>
    <w:rsid w:val="0080280A"/>
    <w:rsid w:val="00803871"/>
    <w:rsid w:val="00803D9D"/>
    <w:rsid w:val="00805019"/>
    <w:rsid w:val="00805123"/>
    <w:rsid w:val="008064B4"/>
    <w:rsid w:val="00806723"/>
    <w:rsid w:val="00807896"/>
    <w:rsid w:val="00807ADB"/>
    <w:rsid w:val="00807E8E"/>
    <w:rsid w:val="00810210"/>
    <w:rsid w:val="008105D8"/>
    <w:rsid w:val="00812254"/>
    <w:rsid w:val="00815221"/>
    <w:rsid w:val="00817D67"/>
    <w:rsid w:val="008205C6"/>
    <w:rsid w:val="008241E7"/>
    <w:rsid w:val="00824D95"/>
    <w:rsid w:val="00824E91"/>
    <w:rsid w:val="00825CF8"/>
    <w:rsid w:val="008275DD"/>
    <w:rsid w:val="008276E3"/>
    <w:rsid w:val="00827E02"/>
    <w:rsid w:val="00830007"/>
    <w:rsid w:val="00831554"/>
    <w:rsid w:val="008324EE"/>
    <w:rsid w:val="008327BA"/>
    <w:rsid w:val="0083287C"/>
    <w:rsid w:val="00832C46"/>
    <w:rsid w:val="008330A3"/>
    <w:rsid w:val="0083373D"/>
    <w:rsid w:val="008341B0"/>
    <w:rsid w:val="00834BE5"/>
    <w:rsid w:val="00837F7B"/>
    <w:rsid w:val="008415C4"/>
    <w:rsid w:val="00842685"/>
    <w:rsid w:val="00842BAF"/>
    <w:rsid w:val="00842E1A"/>
    <w:rsid w:val="00846C39"/>
    <w:rsid w:val="00847C3D"/>
    <w:rsid w:val="0085059E"/>
    <w:rsid w:val="00850939"/>
    <w:rsid w:val="00852D20"/>
    <w:rsid w:val="008551E6"/>
    <w:rsid w:val="00855389"/>
    <w:rsid w:val="00855536"/>
    <w:rsid w:val="00855B1D"/>
    <w:rsid w:val="00855EB6"/>
    <w:rsid w:val="0085640A"/>
    <w:rsid w:val="00856924"/>
    <w:rsid w:val="00856C87"/>
    <w:rsid w:val="00856CE5"/>
    <w:rsid w:val="00856E4C"/>
    <w:rsid w:val="0085708F"/>
    <w:rsid w:val="008570A3"/>
    <w:rsid w:val="00857141"/>
    <w:rsid w:val="00860F23"/>
    <w:rsid w:val="008619D9"/>
    <w:rsid w:val="00861F4D"/>
    <w:rsid w:val="00863592"/>
    <w:rsid w:val="008637EC"/>
    <w:rsid w:val="00863D5B"/>
    <w:rsid w:val="00863EF8"/>
    <w:rsid w:val="0086556C"/>
    <w:rsid w:val="0086692E"/>
    <w:rsid w:val="00867326"/>
    <w:rsid w:val="008705D2"/>
    <w:rsid w:val="008709CD"/>
    <w:rsid w:val="00870D2E"/>
    <w:rsid w:val="0087208A"/>
    <w:rsid w:val="00872772"/>
    <w:rsid w:val="00872AA7"/>
    <w:rsid w:val="008749B7"/>
    <w:rsid w:val="00875659"/>
    <w:rsid w:val="00875CA5"/>
    <w:rsid w:val="00876149"/>
    <w:rsid w:val="00882317"/>
    <w:rsid w:val="0088780B"/>
    <w:rsid w:val="00887DD9"/>
    <w:rsid w:val="00887FFA"/>
    <w:rsid w:val="00890E9B"/>
    <w:rsid w:val="008918CD"/>
    <w:rsid w:val="00891B73"/>
    <w:rsid w:val="00892092"/>
    <w:rsid w:val="0089255C"/>
    <w:rsid w:val="00892F65"/>
    <w:rsid w:val="00893735"/>
    <w:rsid w:val="008942BA"/>
    <w:rsid w:val="00894C6C"/>
    <w:rsid w:val="0089576E"/>
    <w:rsid w:val="00895CE0"/>
    <w:rsid w:val="00896326"/>
    <w:rsid w:val="008A0329"/>
    <w:rsid w:val="008A116D"/>
    <w:rsid w:val="008A14DB"/>
    <w:rsid w:val="008A1D23"/>
    <w:rsid w:val="008A1DDF"/>
    <w:rsid w:val="008A218A"/>
    <w:rsid w:val="008A57CC"/>
    <w:rsid w:val="008A5EBA"/>
    <w:rsid w:val="008A60BE"/>
    <w:rsid w:val="008A6807"/>
    <w:rsid w:val="008A69BF"/>
    <w:rsid w:val="008A7504"/>
    <w:rsid w:val="008A7DCD"/>
    <w:rsid w:val="008A7FDE"/>
    <w:rsid w:val="008B1475"/>
    <w:rsid w:val="008B2373"/>
    <w:rsid w:val="008B2575"/>
    <w:rsid w:val="008B3161"/>
    <w:rsid w:val="008B32E9"/>
    <w:rsid w:val="008B3355"/>
    <w:rsid w:val="008B3F61"/>
    <w:rsid w:val="008B5046"/>
    <w:rsid w:val="008B55C9"/>
    <w:rsid w:val="008B670C"/>
    <w:rsid w:val="008B6979"/>
    <w:rsid w:val="008B6F78"/>
    <w:rsid w:val="008C0174"/>
    <w:rsid w:val="008C0A58"/>
    <w:rsid w:val="008C152B"/>
    <w:rsid w:val="008C27FD"/>
    <w:rsid w:val="008C29A9"/>
    <w:rsid w:val="008C3987"/>
    <w:rsid w:val="008C4365"/>
    <w:rsid w:val="008C4D14"/>
    <w:rsid w:val="008C62E8"/>
    <w:rsid w:val="008C6B35"/>
    <w:rsid w:val="008C7366"/>
    <w:rsid w:val="008C73B5"/>
    <w:rsid w:val="008C75D5"/>
    <w:rsid w:val="008D0F9A"/>
    <w:rsid w:val="008D188A"/>
    <w:rsid w:val="008D23BD"/>
    <w:rsid w:val="008D2DC4"/>
    <w:rsid w:val="008D369E"/>
    <w:rsid w:val="008D37D9"/>
    <w:rsid w:val="008D580E"/>
    <w:rsid w:val="008D5B72"/>
    <w:rsid w:val="008D6982"/>
    <w:rsid w:val="008D6E16"/>
    <w:rsid w:val="008D6F0B"/>
    <w:rsid w:val="008E029E"/>
    <w:rsid w:val="008E0C63"/>
    <w:rsid w:val="008E2AF5"/>
    <w:rsid w:val="008E2E6C"/>
    <w:rsid w:val="008E2E94"/>
    <w:rsid w:val="008E332D"/>
    <w:rsid w:val="008E52B3"/>
    <w:rsid w:val="008E61DA"/>
    <w:rsid w:val="008E7A1D"/>
    <w:rsid w:val="008F3B4B"/>
    <w:rsid w:val="008F4B65"/>
    <w:rsid w:val="008F51EA"/>
    <w:rsid w:val="008F5637"/>
    <w:rsid w:val="008F5A7E"/>
    <w:rsid w:val="008F6C9E"/>
    <w:rsid w:val="008F71E7"/>
    <w:rsid w:val="008F77E7"/>
    <w:rsid w:val="008F78AC"/>
    <w:rsid w:val="008F7EE3"/>
    <w:rsid w:val="00902DF5"/>
    <w:rsid w:val="009030B9"/>
    <w:rsid w:val="00903AAF"/>
    <w:rsid w:val="00904165"/>
    <w:rsid w:val="00904931"/>
    <w:rsid w:val="00906B5E"/>
    <w:rsid w:val="00907053"/>
    <w:rsid w:val="009072B8"/>
    <w:rsid w:val="00910365"/>
    <w:rsid w:val="0091054A"/>
    <w:rsid w:val="00910BCB"/>
    <w:rsid w:val="00910FDA"/>
    <w:rsid w:val="0091391E"/>
    <w:rsid w:val="0091463D"/>
    <w:rsid w:val="00915563"/>
    <w:rsid w:val="00916CF8"/>
    <w:rsid w:val="00916FA1"/>
    <w:rsid w:val="009207F6"/>
    <w:rsid w:val="00920B64"/>
    <w:rsid w:val="00921782"/>
    <w:rsid w:val="00921D60"/>
    <w:rsid w:val="00921EF5"/>
    <w:rsid w:val="00922792"/>
    <w:rsid w:val="00922FAB"/>
    <w:rsid w:val="009234F5"/>
    <w:rsid w:val="00923C27"/>
    <w:rsid w:val="00924A83"/>
    <w:rsid w:val="00926C48"/>
    <w:rsid w:val="0092713E"/>
    <w:rsid w:val="0092728A"/>
    <w:rsid w:val="009307B9"/>
    <w:rsid w:val="00930A68"/>
    <w:rsid w:val="00930A7A"/>
    <w:rsid w:val="009314B9"/>
    <w:rsid w:val="00932E8B"/>
    <w:rsid w:val="009332E5"/>
    <w:rsid w:val="0093398B"/>
    <w:rsid w:val="0093461A"/>
    <w:rsid w:val="0093674E"/>
    <w:rsid w:val="00936A60"/>
    <w:rsid w:val="0093769A"/>
    <w:rsid w:val="00937AB8"/>
    <w:rsid w:val="00940417"/>
    <w:rsid w:val="00940834"/>
    <w:rsid w:val="00940A11"/>
    <w:rsid w:val="00940B64"/>
    <w:rsid w:val="00941F74"/>
    <w:rsid w:val="00941FCE"/>
    <w:rsid w:val="009422BC"/>
    <w:rsid w:val="00944400"/>
    <w:rsid w:val="0094490C"/>
    <w:rsid w:val="00945E56"/>
    <w:rsid w:val="0094668D"/>
    <w:rsid w:val="009466FC"/>
    <w:rsid w:val="00946AFC"/>
    <w:rsid w:val="00946CAF"/>
    <w:rsid w:val="00946D28"/>
    <w:rsid w:val="009474CF"/>
    <w:rsid w:val="00947E72"/>
    <w:rsid w:val="00951E33"/>
    <w:rsid w:val="00953D2A"/>
    <w:rsid w:val="00955A6A"/>
    <w:rsid w:val="00955D61"/>
    <w:rsid w:val="009561CD"/>
    <w:rsid w:val="0095798E"/>
    <w:rsid w:val="009601A5"/>
    <w:rsid w:val="00960964"/>
    <w:rsid w:val="009617DA"/>
    <w:rsid w:val="009618A5"/>
    <w:rsid w:val="00961D3D"/>
    <w:rsid w:val="00962081"/>
    <w:rsid w:val="0096294C"/>
    <w:rsid w:val="00962EE3"/>
    <w:rsid w:val="009632C6"/>
    <w:rsid w:val="00963B5B"/>
    <w:rsid w:val="00964368"/>
    <w:rsid w:val="00966871"/>
    <w:rsid w:val="00966DB7"/>
    <w:rsid w:val="00966F87"/>
    <w:rsid w:val="00966FF1"/>
    <w:rsid w:val="00967194"/>
    <w:rsid w:val="009702E0"/>
    <w:rsid w:val="0097077D"/>
    <w:rsid w:val="009715CF"/>
    <w:rsid w:val="00971F20"/>
    <w:rsid w:val="00972B37"/>
    <w:rsid w:val="00972B81"/>
    <w:rsid w:val="00972DC2"/>
    <w:rsid w:val="009734D4"/>
    <w:rsid w:val="0097377F"/>
    <w:rsid w:val="00974575"/>
    <w:rsid w:val="00974E00"/>
    <w:rsid w:val="00975D6F"/>
    <w:rsid w:val="00976AAD"/>
    <w:rsid w:val="00977EFE"/>
    <w:rsid w:val="00980931"/>
    <w:rsid w:val="00981662"/>
    <w:rsid w:val="009816D2"/>
    <w:rsid w:val="00981B14"/>
    <w:rsid w:val="00982420"/>
    <w:rsid w:val="0098327E"/>
    <w:rsid w:val="009838D8"/>
    <w:rsid w:val="00983A30"/>
    <w:rsid w:val="0098592A"/>
    <w:rsid w:val="00985DEC"/>
    <w:rsid w:val="009865E8"/>
    <w:rsid w:val="00990568"/>
    <w:rsid w:val="009915F5"/>
    <w:rsid w:val="00991910"/>
    <w:rsid w:val="00992458"/>
    <w:rsid w:val="009932E4"/>
    <w:rsid w:val="00993758"/>
    <w:rsid w:val="00996076"/>
    <w:rsid w:val="009962BC"/>
    <w:rsid w:val="009967D2"/>
    <w:rsid w:val="00996D10"/>
    <w:rsid w:val="009A1E83"/>
    <w:rsid w:val="009A2099"/>
    <w:rsid w:val="009A309B"/>
    <w:rsid w:val="009A32BD"/>
    <w:rsid w:val="009A459D"/>
    <w:rsid w:val="009A4689"/>
    <w:rsid w:val="009A46A9"/>
    <w:rsid w:val="009A4A70"/>
    <w:rsid w:val="009A4AC8"/>
    <w:rsid w:val="009A4E40"/>
    <w:rsid w:val="009A4FFD"/>
    <w:rsid w:val="009A50A0"/>
    <w:rsid w:val="009A58CE"/>
    <w:rsid w:val="009A5AAD"/>
    <w:rsid w:val="009A645C"/>
    <w:rsid w:val="009A6817"/>
    <w:rsid w:val="009A7BCF"/>
    <w:rsid w:val="009B0395"/>
    <w:rsid w:val="009B1797"/>
    <w:rsid w:val="009B1D7C"/>
    <w:rsid w:val="009B2942"/>
    <w:rsid w:val="009B35E5"/>
    <w:rsid w:val="009B4111"/>
    <w:rsid w:val="009B434C"/>
    <w:rsid w:val="009B4A5C"/>
    <w:rsid w:val="009B5529"/>
    <w:rsid w:val="009B591E"/>
    <w:rsid w:val="009B5F08"/>
    <w:rsid w:val="009B67DD"/>
    <w:rsid w:val="009B6E34"/>
    <w:rsid w:val="009B7207"/>
    <w:rsid w:val="009B7238"/>
    <w:rsid w:val="009B7EFE"/>
    <w:rsid w:val="009C009C"/>
    <w:rsid w:val="009C0247"/>
    <w:rsid w:val="009C168E"/>
    <w:rsid w:val="009C19AC"/>
    <w:rsid w:val="009C1F18"/>
    <w:rsid w:val="009C1F7D"/>
    <w:rsid w:val="009C1F89"/>
    <w:rsid w:val="009C57AC"/>
    <w:rsid w:val="009C673D"/>
    <w:rsid w:val="009C6B34"/>
    <w:rsid w:val="009C7924"/>
    <w:rsid w:val="009D037B"/>
    <w:rsid w:val="009D2B7D"/>
    <w:rsid w:val="009D3C32"/>
    <w:rsid w:val="009D41A9"/>
    <w:rsid w:val="009D56B4"/>
    <w:rsid w:val="009D62DB"/>
    <w:rsid w:val="009D6E0E"/>
    <w:rsid w:val="009E0567"/>
    <w:rsid w:val="009E14FD"/>
    <w:rsid w:val="009E194E"/>
    <w:rsid w:val="009E1AA5"/>
    <w:rsid w:val="009E23BB"/>
    <w:rsid w:val="009E3693"/>
    <w:rsid w:val="009E654D"/>
    <w:rsid w:val="009E6F26"/>
    <w:rsid w:val="009F04FB"/>
    <w:rsid w:val="009F28D9"/>
    <w:rsid w:val="009F2E60"/>
    <w:rsid w:val="009F389E"/>
    <w:rsid w:val="009F41C4"/>
    <w:rsid w:val="009F4A8F"/>
    <w:rsid w:val="009F4D7D"/>
    <w:rsid w:val="009F534E"/>
    <w:rsid w:val="009F562B"/>
    <w:rsid w:val="009F5700"/>
    <w:rsid w:val="009F5CF6"/>
    <w:rsid w:val="009F635F"/>
    <w:rsid w:val="009F6DFC"/>
    <w:rsid w:val="00A006A3"/>
    <w:rsid w:val="00A009F9"/>
    <w:rsid w:val="00A00DBF"/>
    <w:rsid w:val="00A0229B"/>
    <w:rsid w:val="00A02932"/>
    <w:rsid w:val="00A02A9E"/>
    <w:rsid w:val="00A037E5"/>
    <w:rsid w:val="00A04DA1"/>
    <w:rsid w:val="00A05142"/>
    <w:rsid w:val="00A0690D"/>
    <w:rsid w:val="00A07A7D"/>
    <w:rsid w:val="00A12E4F"/>
    <w:rsid w:val="00A13E77"/>
    <w:rsid w:val="00A1416A"/>
    <w:rsid w:val="00A14CAE"/>
    <w:rsid w:val="00A1516F"/>
    <w:rsid w:val="00A16010"/>
    <w:rsid w:val="00A16323"/>
    <w:rsid w:val="00A16CCF"/>
    <w:rsid w:val="00A17268"/>
    <w:rsid w:val="00A17FD9"/>
    <w:rsid w:val="00A2065E"/>
    <w:rsid w:val="00A20A6C"/>
    <w:rsid w:val="00A20E4E"/>
    <w:rsid w:val="00A23138"/>
    <w:rsid w:val="00A23565"/>
    <w:rsid w:val="00A23AA7"/>
    <w:rsid w:val="00A23E6C"/>
    <w:rsid w:val="00A2447C"/>
    <w:rsid w:val="00A254CD"/>
    <w:rsid w:val="00A275C9"/>
    <w:rsid w:val="00A3070D"/>
    <w:rsid w:val="00A30B4A"/>
    <w:rsid w:val="00A30F9C"/>
    <w:rsid w:val="00A3121A"/>
    <w:rsid w:val="00A32C88"/>
    <w:rsid w:val="00A32E05"/>
    <w:rsid w:val="00A331C9"/>
    <w:rsid w:val="00A33298"/>
    <w:rsid w:val="00A33355"/>
    <w:rsid w:val="00A33365"/>
    <w:rsid w:val="00A3399A"/>
    <w:rsid w:val="00A33A63"/>
    <w:rsid w:val="00A35346"/>
    <w:rsid w:val="00A359D3"/>
    <w:rsid w:val="00A3607A"/>
    <w:rsid w:val="00A40307"/>
    <w:rsid w:val="00A41DF4"/>
    <w:rsid w:val="00A41E89"/>
    <w:rsid w:val="00A44C15"/>
    <w:rsid w:val="00A45CCE"/>
    <w:rsid w:val="00A47EEF"/>
    <w:rsid w:val="00A50058"/>
    <w:rsid w:val="00A50135"/>
    <w:rsid w:val="00A50140"/>
    <w:rsid w:val="00A515D5"/>
    <w:rsid w:val="00A52947"/>
    <w:rsid w:val="00A52D50"/>
    <w:rsid w:val="00A530CF"/>
    <w:rsid w:val="00A53B1F"/>
    <w:rsid w:val="00A550EE"/>
    <w:rsid w:val="00A55912"/>
    <w:rsid w:val="00A55AB5"/>
    <w:rsid w:val="00A56913"/>
    <w:rsid w:val="00A56FAF"/>
    <w:rsid w:val="00A570F1"/>
    <w:rsid w:val="00A577E0"/>
    <w:rsid w:val="00A60ADF"/>
    <w:rsid w:val="00A60B70"/>
    <w:rsid w:val="00A60FEF"/>
    <w:rsid w:val="00A61239"/>
    <w:rsid w:val="00A66021"/>
    <w:rsid w:val="00A66EFA"/>
    <w:rsid w:val="00A67A72"/>
    <w:rsid w:val="00A67D4B"/>
    <w:rsid w:val="00A703CA"/>
    <w:rsid w:val="00A70DFA"/>
    <w:rsid w:val="00A70EC8"/>
    <w:rsid w:val="00A70FB1"/>
    <w:rsid w:val="00A73F66"/>
    <w:rsid w:val="00A74123"/>
    <w:rsid w:val="00A74E34"/>
    <w:rsid w:val="00A7574A"/>
    <w:rsid w:val="00A75B06"/>
    <w:rsid w:val="00A76A53"/>
    <w:rsid w:val="00A77A59"/>
    <w:rsid w:val="00A8049C"/>
    <w:rsid w:val="00A8197B"/>
    <w:rsid w:val="00A82B17"/>
    <w:rsid w:val="00A84269"/>
    <w:rsid w:val="00A84E04"/>
    <w:rsid w:val="00A86227"/>
    <w:rsid w:val="00A90B32"/>
    <w:rsid w:val="00A910D7"/>
    <w:rsid w:val="00A914B9"/>
    <w:rsid w:val="00A92315"/>
    <w:rsid w:val="00A93091"/>
    <w:rsid w:val="00A94B95"/>
    <w:rsid w:val="00A95211"/>
    <w:rsid w:val="00A96EC4"/>
    <w:rsid w:val="00A97321"/>
    <w:rsid w:val="00A97570"/>
    <w:rsid w:val="00A97589"/>
    <w:rsid w:val="00A97895"/>
    <w:rsid w:val="00AA0EE4"/>
    <w:rsid w:val="00AA10D5"/>
    <w:rsid w:val="00AA15F0"/>
    <w:rsid w:val="00AA1CA6"/>
    <w:rsid w:val="00AA1ED7"/>
    <w:rsid w:val="00AA2832"/>
    <w:rsid w:val="00AA2A71"/>
    <w:rsid w:val="00AA5076"/>
    <w:rsid w:val="00AA540D"/>
    <w:rsid w:val="00AA60A8"/>
    <w:rsid w:val="00AA60E5"/>
    <w:rsid w:val="00AA773D"/>
    <w:rsid w:val="00AB0603"/>
    <w:rsid w:val="00AB0B6A"/>
    <w:rsid w:val="00AB13CF"/>
    <w:rsid w:val="00AB15C7"/>
    <w:rsid w:val="00AB1819"/>
    <w:rsid w:val="00AB388F"/>
    <w:rsid w:val="00AB4ED3"/>
    <w:rsid w:val="00AB591E"/>
    <w:rsid w:val="00AB608A"/>
    <w:rsid w:val="00AB63A6"/>
    <w:rsid w:val="00AC1EE9"/>
    <w:rsid w:val="00AC38A0"/>
    <w:rsid w:val="00AC4E8E"/>
    <w:rsid w:val="00AC537B"/>
    <w:rsid w:val="00AC55AE"/>
    <w:rsid w:val="00AC741F"/>
    <w:rsid w:val="00AC746D"/>
    <w:rsid w:val="00AC78FB"/>
    <w:rsid w:val="00AD0051"/>
    <w:rsid w:val="00AD0629"/>
    <w:rsid w:val="00AD0B3A"/>
    <w:rsid w:val="00AD3776"/>
    <w:rsid w:val="00AD3C92"/>
    <w:rsid w:val="00AD69CF"/>
    <w:rsid w:val="00AD7BAF"/>
    <w:rsid w:val="00AE1139"/>
    <w:rsid w:val="00AE1C52"/>
    <w:rsid w:val="00AE22F7"/>
    <w:rsid w:val="00AE2A80"/>
    <w:rsid w:val="00AE6B0B"/>
    <w:rsid w:val="00AE72C2"/>
    <w:rsid w:val="00AE7F5F"/>
    <w:rsid w:val="00AF0221"/>
    <w:rsid w:val="00AF0B42"/>
    <w:rsid w:val="00AF0DB8"/>
    <w:rsid w:val="00AF1891"/>
    <w:rsid w:val="00AF1E38"/>
    <w:rsid w:val="00AF260E"/>
    <w:rsid w:val="00AF2C1E"/>
    <w:rsid w:val="00AF305D"/>
    <w:rsid w:val="00AF3C32"/>
    <w:rsid w:val="00AF3C55"/>
    <w:rsid w:val="00AF3F19"/>
    <w:rsid w:val="00AF42DB"/>
    <w:rsid w:val="00AF4857"/>
    <w:rsid w:val="00B0017C"/>
    <w:rsid w:val="00B00A06"/>
    <w:rsid w:val="00B01B5B"/>
    <w:rsid w:val="00B01ECB"/>
    <w:rsid w:val="00B02A93"/>
    <w:rsid w:val="00B03346"/>
    <w:rsid w:val="00B03C55"/>
    <w:rsid w:val="00B04E8A"/>
    <w:rsid w:val="00B0527C"/>
    <w:rsid w:val="00B0583A"/>
    <w:rsid w:val="00B05AA3"/>
    <w:rsid w:val="00B07329"/>
    <w:rsid w:val="00B11E34"/>
    <w:rsid w:val="00B12A23"/>
    <w:rsid w:val="00B12DEF"/>
    <w:rsid w:val="00B131FB"/>
    <w:rsid w:val="00B13978"/>
    <w:rsid w:val="00B169A1"/>
    <w:rsid w:val="00B17534"/>
    <w:rsid w:val="00B21483"/>
    <w:rsid w:val="00B22D49"/>
    <w:rsid w:val="00B23B08"/>
    <w:rsid w:val="00B24086"/>
    <w:rsid w:val="00B2434F"/>
    <w:rsid w:val="00B2666C"/>
    <w:rsid w:val="00B26DE7"/>
    <w:rsid w:val="00B2702C"/>
    <w:rsid w:val="00B27AB2"/>
    <w:rsid w:val="00B30530"/>
    <w:rsid w:val="00B3081E"/>
    <w:rsid w:val="00B312C2"/>
    <w:rsid w:val="00B31AB8"/>
    <w:rsid w:val="00B325C3"/>
    <w:rsid w:val="00B3386F"/>
    <w:rsid w:val="00B34384"/>
    <w:rsid w:val="00B343CC"/>
    <w:rsid w:val="00B34D96"/>
    <w:rsid w:val="00B34ECE"/>
    <w:rsid w:val="00B372A5"/>
    <w:rsid w:val="00B37BB8"/>
    <w:rsid w:val="00B410D0"/>
    <w:rsid w:val="00B4116A"/>
    <w:rsid w:val="00B418B4"/>
    <w:rsid w:val="00B4194A"/>
    <w:rsid w:val="00B426D4"/>
    <w:rsid w:val="00B444CA"/>
    <w:rsid w:val="00B45CBA"/>
    <w:rsid w:val="00B45FC8"/>
    <w:rsid w:val="00B46895"/>
    <w:rsid w:val="00B510DB"/>
    <w:rsid w:val="00B51FC4"/>
    <w:rsid w:val="00B51FDF"/>
    <w:rsid w:val="00B521FA"/>
    <w:rsid w:val="00B529F1"/>
    <w:rsid w:val="00B52F8C"/>
    <w:rsid w:val="00B53672"/>
    <w:rsid w:val="00B53A55"/>
    <w:rsid w:val="00B53DFC"/>
    <w:rsid w:val="00B55A8E"/>
    <w:rsid w:val="00B5685C"/>
    <w:rsid w:val="00B5707D"/>
    <w:rsid w:val="00B571B5"/>
    <w:rsid w:val="00B573C6"/>
    <w:rsid w:val="00B602C5"/>
    <w:rsid w:val="00B60506"/>
    <w:rsid w:val="00B61D26"/>
    <w:rsid w:val="00B624AD"/>
    <w:rsid w:val="00B62A08"/>
    <w:rsid w:val="00B633B3"/>
    <w:rsid w:val="00B6733A"/>
    <w:rsid w:val="00B673A3"/>
    <w:rsid w:val="00B70DBD"/>
    <w:rsid w:val="00B710BF"/>
    <w:rsid w:val="00B711A8"/>
    <w:rsid w:val="00B71677"/>
    <w:rsid w:val="00B73891"/>
    <w:rsid w:val="00B73E19"/>
    <w:rsid w:val="00B74008"/>
    <w:rsid w:val="00B740E0"/>
    <w:rsid w:val="00B74C9D"/>
    <w:rsid w:val="00B82BD3"/>
    <w:rsid w:val="00B82EE1"/>
    <w:rsid w:val="00B82FBC"/>
    <w:rsid w:val="00B8483C"/>
    <w:rsid w:val="00B858EC"/>
    <w:rsid w:val="00B85F47"/>
    <w:rsid w:val="00B86968"/>
    <w:rsid w:val="00B87016"/>
    <w:rsid w:val="00B873E0"/>
    <w:rsid w:val="00B874DE"/>
    <w:rsid w:val="00B90B40"/>
    <w:rsid w:val="00B91A5F"/>
    <w:rsid w:val="00B91A9A"/>
    <w:rsid w:val="00B928F7"/>
    <w:rsid w:val="00B92A76"/>
    <w:rsid w:val="00B930FF"/>
    <w:rsid w:val="00B96770"/>
    <w:rsid w:val="00B96B81"/>
    <w:rsid w:val="00BA12A9"/>
    <w:rsid w:val="00BA2125"/>
    <w:rsid w:val="00BA24C7"/>
    <w:rsid w:val="00BA250F"/>
    <w:rsid w:val="00BA2C6C"/>
    <w:rsid w:val="00BA2F55"/>
    <w:rsid w:val="00BA3C2E"/>
    <w:rsid w:val="00BA3E9F"/>
    <w:rsid w:val="00BA3EFB"/>
    <w:rsid w:val="00BA467C"/>
    <w:rsid w:val="00BA5372"/>
    <w:rsid w:val="00BA5FC8"/>
    <w:rsid w:val="00BA63A3"/>
    <w:rsid w:val="00BA6431"/>
    <w:rsid w:val="00BA6710"/>
    <w:rsid w:val="00BA6CB6"/>
    <w:rsid w:val="00BA6F07"/>
    <w:rsid w:val="00BB0D09"/>
    <w:rsid w:val="00BB11A0"/>
    <w:rsid w:val="00BB1A52"/>
    <w:rsid w:val="00BB1F21"/>
    <w:rsid w:val="00BB2BC8"/>
    <w:rsid w:val="00BB2BF4"/>
    <w:rsid w:val="00BB313F"/>
    <w:rsid w:val="00BB3E7C"/>
    <w:rsid w:val="00BB3FEF"/>
    <w:rsid w:val="00BB43C0"/>
    <w:rsid w:val="00BB4485"/>
    <w:rsid w:val="00BB5711"/>
    <w:rsid w:val="00BB628D"/>
    <w:rsid w:val="00BC3D6C"/>
    <w:rsid w:val="00BC4E5E"/>
    <w:rsid w:val="00BC68D3"/>
    <w:rsid w:val="00BC7668"/>
    <w:rsid w:val="00BC7B5D"/>
    <w:rsid w:val="00BD0892"/>
    <w:rsid w:val="00BD1E86"/>
    <w:rsid w:val="00BD32BF"/>
    <w:rsid w:val="00BD3562"/>
    <w:rsid w:val="00BD387C"/>
    <w:rsid w:val="00BD399B"/>
    <w:rsid w:val="00BD3BC7"/>
    <w:rsid w:val="00BD4FA8"/>
    <w:rsid w:val="00BD5575"/>
    <w:rsid w:val="00BD5926"/>
    <w:rsid w:val="00BD5BA8"/>
    <w:rsid w:val="00BD699A"/>
    <w:rsid w:val="00BD72EC"/>
    <w:rsid w:val="00BE03D0"/>
    <w:rsid w:val="00BE0A0B"/>
    <w:rsid w:val="00BE15CF"/>
    <w:rsid w:val="00BE22D9"/>
    <w:rsid w:val="00BE2F7B"/>
    <w:rsid w:val="00BE665F"/>
    <w:rsid w:val="00BE6D98"/>
    <w:rsid w:val="00BE74F1"/>
    <w:rsid w:val="00BE75A2"/>
    <w:rsid w:val="00BE7824"/>
    <w:rsid w:val="00BE7C8C"/>
    <w:rsid w:val="00BE7DE9"/>
    <w:rsid w:val="00BF012A"/>
    <w:rsid w:val="00BF05C5"/>
    <w:rsid w:val="00BF308A"/>
    <w:rsid w:val="00BF63D1"/>
    <w:rsid w:val="00C00A3E"/>
    <w:rsid w:val="00C00CC4"/>
    <w:rsid w:val="00C01639"/>
    <w:rsid w:val="00C016CC"/>
    <w:rsid w:val="00C01BF5"/>
    <w:rsid w:val="00C01EA8"/>
    <w:rsid w:val="00C020AA"/>
    <w:rsid w:val="00C028C4"/>
    <w:rsid w:val="00C028DF"/>
    <w:rsid w:val="00C02BD1"/>
    <w:rsid w:val="00C035F0"/>
    <w:rsid w:val="00C037C9"/>
    <w:rsid w:val="00C03CBF"/>
    <w:rsid w:val="00C045AB"/>
    <w:rsid w:val="00C04F19"/>
    <w:rsid w:val="00C05E44"/>
    <w:rsid w:val="00C07E04"/>
    <w:rsid w:val="00C10448"/>
    <w:rsid w:val="00C10DB0"/>
    <w:rsid w:val="00C10F06"/>
    <w:rsid w:val="00C13BB2"/>
    <w:rsid w:val="00C13C04"/>
    <w:rsid w:val="00C14781"/>
    <w:rsid w:val="00C14F4D"/>
    <w:rsid w:val="00C15E52"/>
    <w:rsid w:val="00C16852"/>
    <w:rsid w:val="00C17CA3"/>
    <w:rsid w:val="00C21454"/>
    <w:rsid w:val="00C22F6F"/>
    <w:rsid w:val="00C23AE7"/>
    <w:rsid w:val="00C24331"/>
    <w:rsid w:val="00C24AB5"/>
    <w:rsid w:val="00C24CCD"/>
    <w:rsid w:val="00C24E60"/>
    <w:rsid w:val="00C275A3"/>
    <w:rsid w:val="00C27706"/>
    <w:rsid w:val="00C30D42"/>
    <w:rsid w:val="00C315A0"/>
    <w:rsid w:val="00C332C4"/>
    <w:rsid w:val="00C3452B"/>
    <w:rsid w:val="00C34FA4"/>
    <w:rsid w:val="00C35109"/>
    <w:rsid w:val="00C358AD"/>
    <w:rsid w:val="00C35EA4"/>
    <w:rsid w:val="00C3760D"/>
    <w:rsid w:val="00C37A9F"/>
    <w:rsid w:val="00C37B93"/>
    <w:rsid w:val="00C37F7C"/>
    <w:rsid w:val="00C403D3"/>
    <w:rsid w:val="00C40E63"/>
    <w:rsid w:val="00C41408"/>
    <w:rsid w:val="00C41D3E"/>
    <w:rsid w:val="00C432AA"/>
    <w:rsid w:val="00C44436"/>
    <w:rsid w:val="00C4482D"/>
    <w:rsid w:val="00C44A9B"/>
    <w:rsid w:val="00C44F6D"/>
    <w:rsid w:val="00C44FE0"/>
    <w:rsid w:val="00C450E6"/>
    <w:rsid w:val="00C47A54"/>
    <w:rsid w:val="00C51402"/>
    <w:rsid w:val="00C51AF4"/>
    <w:rsid w:val="00C51E59"/>
    <w:rsid w:val="00C5205D"/>
    <w:rsid w:val="00C526A1"/>
    <w:rsid w:val="00C532A2"/>
    <w:rsid w:val="00C53572"/>
    <w:rsid w:val="00C54D6C"/>
    <w:rsid w:val="00C54F22"/>
    <w:rsid w:val="00C55EBF"/>
    <w:rsid w:val="00C564D1"/>
    <w:rsid w:val="00C5663D"/>
    <w:rsid w:val="00C57EAA"/>
    <w:rsid w:val="00C60114"/>
    <w:rsid w:val="00C613EB"/>
    <w:rsid w:val="00C61D37"/>
    <w:rsid w:val="00C62B45"/>
    <w:rsid w:val="00C62BB2"/>
    <w:rsid w:val="00C62D36"/>
    <w:rsid w:val="00C63014"/>
    <w:rsid w:val="00C63A60"/>
    <w:rsid w:val="00C647D8"/>
    <w:rsid w:val="00C64A7E"/>
    <w:rsid w:val="00C64BDB"/>
    <w:rsid w:val="00C653DF"/>
    <w:rsid w:val="00C65473"/>
    <w:rsid w:val="00C65B0A"/>
    <w:rsid w:val="00C675DA"/>
    <w:rsid w:val="00C6769A"/>
    <w:rsid w:val="00C67D79"/>
    <w:rsid w:val="00C70A5E"/>
    <w:rsid w:val="00C728FD"/>
    <w:rsid w:val="00C72B77"/>
    <w:rsid w:val="00C730D4"/>
    <w:rsid w:val="00C74C02"/>
    <w:rsid w:val="00C74D32"/>
    <w:rsid w:val="00C75233"/>
    <w:rsid w:val="00C7530B"/>
    <w:rsid w:val="00C758F1"/>
    <w:rsid w:val="00C75EA0"/>
    <w:rsid w:val="00C76066"/>
    <w:rsid w:val="00C76E37"/>
    <w:rsid w:val="00C772D9"/>
    <w:rsid w:val="00C81717"/>
    <w:rsid w:val="00C81B34"/>
    <w:rsid w:val="00C81D56"/>
    <w:rsid w:val="00C822E8"/>
    <w:rsid w:val="00C82968"/>
    <w:rsid w:val="00C82D3B"/>
    <w:rsid w:val="00C83E92"/>
    <w:rsid w:val="00C84516"/>
    <w:rsid w:val="00C84A46"/>
    <w:rsid w:val="00C853FD"/>
    <w:rsid w:val="00C860D0"/>
    <w:rsid w:val="00C86D0B"/>
    <w:rsid w:val="00C91B63"/>
    <w:rsid w:val="00C920FE"/>
    <w:rsid w:val="00C92787"/>
    <w:rsid w:val="00C938B5"/>
    <w:rsid w:val="00C93E15"/>
    <w:rsid w:val="00C94088"/>
    <w:rsid w:val="00C94858"/>
    <w:rsid w:val="00C94A69"/>
    <w:rsid w:val="00C95ED1"/>
    <w:rsid w:val="00C9621B"/>
    <w:rsid w:val="00C96A78"/>
    <w:rsid w:val="00C96D8B"/>
    <w:rsid w:val="00C96F84"/>
    <w:rsid w:val="00CA1C14"/>
    <w:rsid w:val="00CA3593"/>
    <w:rsid w:val="00CA3900"/>
    <w:rsid w:val="00CA3B9B"/>
    <w:rsid w:val="00CA3F88"/>
    <w:rsid w:val="00CA437B"/>
    <w:rsid w:val="00CA4381"/>
    <w:rsid w:val="00CA49C4"/>
    <w:rsid w:val="00CA664E"/>
    <w:rsid w:val="00CA7A72"/>
    <w:rsid w:val="00CA7E98"/>
    <w:rsid w:val="00CB1835"/>
    <w:rsid w:val="00CB3722"/>
    <w:rsid w:val="00CB517E"/>
    <w:rsid w:val="00CB6467"/>
    <w:rsid w:val="00CB6AEC"/>
    <w:rsid w:val="00CB7385"/>
    <w:rsid w:val="00CB7560"/>
    <w:rsid w:val="00CC0BBF"/>
    <w:rsid w:val="00CC1A80"/>
    <w:rsid w:val="00CC1BB7"/>
    <w:rsid w:val="00CC1E78"/>
    <w:rsid w:val="00CC326C"/>
    <w:rsid w:val="00CC34B2"/>
    <w:rsid w:val="00CC37C5"/>
    <w:rsid w:val="00CC38DF"/>
    <w:rsid w:val="00CC420D"/>
    <w:rsid w:val="00CC5E28"/>
    <w:rsid w:val="00CC60F3"/>
    <w:rsid w:val="00CC6A88"/>
    <w:rsid w:val="00CC7331"/>
    <w:rsid w:val="00CC73F8"/>
    <w:rsid w:val="00CD015E"/>
    <w:rsid w:val="00CD03D1"/>
    <w:rsid w:val="00CD1A9D"/>
    <w:rsid w:val="00CD4905"/>
    <w:rsid w:val="00CD4BDD"/>
    <w:rsid w:val="00CD52E9"/>
    <w:rsid w:val="00CD58B6"/>
    <w:rsid w:val="00CD60AB"/>
    <w:rsid w:val="00CD7272"/>
    <w:rsid w:val="00CD79E8"/>
    <w:rsid w:val="00CE00A7"/>
    <w:rsid w:val="00CE0224"/>
    <w:rsid w:val="00CE2243"/>
    <w:rsid w:val="00CE2273"/>
    <w:rsid w:val="00CE3380"/>
    <w:rsid w:val="00CE38D3"/>
    <w:rsid w:val="00CE3975"/>
    <w:rsid w:val="00CE3ACE"/>
    <w:rsid w:val="00CE3CA5"/>
    <w:rsid w:val="00CE3EC4"/>
    <w:rsid w:val="00CE4178"/>
    <w:rsid w:val="00CE5FFA"/>
    <w:rsid w:val="00CE71EF"/>
    <w:rsid w:val="00CF0414"/>
    <w:rsid w:val="00CF2652"/>
    <w:rsid w:val="00CF30A2"/>
    <w:rsid w:val="00CF3570"/>
    <w:rsid w:val="00CF380F"/>
    <w:rsid w:val="00CF386A"/>
    <w:rsid w:val="00CF3E6B"/>
    <w:rsid w:val="00CF4064"/>
    <w:rsid w:val="00CF4927"/>
    <w:rsid w:val="00CF67B9"/>
    <w:rsid w:val="00CF7D26"/>
    <w:rsid w:val="00CF7EF9"/>
    <w:rsid w:val="00D007D1"/>
    <w:rsid w:val="00D01021"/>
    <w:rsid w:val="00D0250B"/>
    <w:rsid w:val="00D025A9"/>
    <w:rsid w:val="00D02650"/>
    <w:rsid w:val="00D028C1"/>
    <w:rsid w:val="00D0304D"/>
    <w:rsid w:val="00D0335F"/>
    <w:rsid w:val="00D04960"/>
    <w:rsid w:val="00D04D7C"/>
    <w:rsid w:val="00D06806"/>
    <w:rsid w:val="00D06A26"/>
    <w:rsid w:val="00D06A73"/>
    <w:rsid w:val="00D07124"/>
    <w:rsid w:val="00D07D62"/>
    <w:rsid w:val="00D113E2"/>
    <w:rsid w:val="00D1147C"/>
    <w:rsid w:val="00D1249D"/>
    <w:rsid w:val="00D1372E"/>
    <w:rsid w:val="00D138E9"/>
    <w:rsid w:val="00D13CF1"/>
    <w:rsid w:val="00D13E6B"/>
    <w:rsid w:val="00D13F5F"/>
    <w:rsid w:val="00D1458C"/>
    <w:rsid w:val="00D15914"/>
    <w:rsid w:val="00D1783D"/>
    <w:rsid w:val="00D20FCF"/>
    <w:rsid w:val="00D212B8"/>
    <w:rsid w:val="00D21A55"/>
    <w:rsid w:val="00D22904"/>
    <w:rsid w:val="00D22C86"/>
    <w:rsid w:val="00D234AF"/>
    <w:rsid w:val="00D23AD3"/>
    <w:rsid w:val="00D255D4"/>
    <w:rsid w:val="00D25B29"/>
    <w:rsid w:val="00D27BB6"/>
    <w:rsid w:val="00D30271"/>
    <w:rsid w:val="00D3043A"/>
    <w:rsid w:val="00D30534"/>
    <w:rsid w:val="00D321DF"/>
    <w:rsid w:val="00D32679"/>
    <w:rsid w:val="00D32A2F"/>
    <w:rsid w:val="00D32C8D"/>
    <w:rsid w:val="00D32C94"/>
    <w:rsid w:val="00D33C24"/>
    <w:rsid w:val="00D348CA"/>
    <w:rsid w:val="00D34F8E"/>
    <w:rsid w:val="00D3512F"/>
    <w:rsid w:val="00D3556D"/>
    <w:rsid w:val="00D36026"/>
    <w:rsid w:val="00D37BC8"/>
    <w:rsid w:val="00D405EE"/>
    <w:rsid w:val="00D40F81"/>
    <w:rsid w:val="00D41040"/>
    <w:rsid w:val="00D413CA"/>
    <w:rsid w:val="00D41909"/>
    <w:rsid w:val="00D4376B"/>
    <w:rsid w:val="00D4402C"/>
    <w:rsid w:val="00D44B9B"/>
    <w:rsid w:val="00D46B26"/>
    <w:rsid w:val="00D470F4"/>
    <w:rsid w:val="00D47750"/>
    <w:rsid w:val="00D47843"/>
    <w:rsid w:val="00D508FE"/>
    <w:rsid w:val="00D5168C"/>
    <w:rsid w:val="00D5292C"/>
    <w:rsid w:val="00D52FA4"/>
    <w:rsid w:val="00D5442E"/>
    <w:rsid w:val="00D54720"/>
    <w:rsid w:val="00D56BDC"/>
    <w:rsid w:val="00D578A9"/>
    <w:rsid w:val="00D57E65"/>
    <w:rsid w:val="00D6015E"/>
    <w:rsid w:val="00D618B4"/>
    <w:rsid w:val="00D61B5F"/>
    <w:rsid w:val="00D61B75"/>
    <w:rsid w:val="00D620E6"/>
    <w:rsid w:val="00D62399"/>
    <w:rsid w:val="00D628E6"/>
    <w:rsid w:val="00D62C81"/>
    <w:rsid w:val="00D6714B"/>
    <w:rsid w:val="00D674F4"/>
    <w:rsid w:val="00D6774F"/>
    <w:rsid w:val="00D70F07"/>
    <w:rsid w:val="00D71602"/>
    <w:rsid w:val="00D71AE0"/>
    <w:rsid w:val="00D727D2"/>
    <w:rsid w:val="00D73799"/>
    <w:rsid w:val="00D74244"/>
    <w:rsid w:val="00D7438F"/>
    <w:rsid w:val="00D74AAC"/>
    <w:rsid w:val="00D7528B"/>
    <w:rsid w:val="00D756DE"/>
    <w:rsid w:val="00D758A7"/>
    <w:rsid w:val="00D762A8"/>
    <w:rsid w:val="00D803B0"/>
    <w:rsid w:val="00D81A2B"/>
    <w:rsid w:val="00D8294C"/>
    <w:rsid w:val="00D82D6E"/>
    <w:rsid w:val="00D8319D"/>
    <w:rsid w:val="00D8458C"/>
    <w:rsid w:val="00D84B61"/>
    <w:rsid w:val="00D86333"/>
    <w:rsid w:val="00D86C48"/>
    <w:rsid w:val="00D86F95"/>
    <w:rsid w:val="00D87252"/>
    <w:rsid w:val="00D872CC"/>
    <w:rsid w:val="00D93E84"/>
    <w:rsid w:val="00D93F41"/>
    <w:rsid w:val="00D94851"/>
    <w:rsid w:val="00D94981"/>
    <w:rsid w:val="00D949F6"/>
    <w:rsid w:val="00D95E03"/>
    <w:rsid w:val="00D97263"/>
    <w:rsid w:val="00D97D16"/>
    <w:rsid w:val="00DA0143"/>
    <w:rsid w:val="00DA2995"/>
    <w:rsid w:val="00DA2B09"/>
    <w:rsid w:val="00DA3202"/>
    <w:rsid w:val="00DA4171"/>
    <w:rsid w:val="00DA4DFC"/>
    <w:rsid w:val="00DA50F9"/>
    <w:rsid w:val="00DA5ECE"/>
    <w:rsid w:val="00DA5F6D"/>
    <w:rsid w:val="00DA6287"/>
    <w:rsid w:val="00DA6A86"/>
    <w:rsid w:val="00DB05F8"/>
    <w:rsid w:val="00DB0676"/>
    <w:rsid w:val="00DB0E6B"/>
    <w:rsid w:val="00DB185E"/>
    <w:rsid w:val="00DB1B79"/>
    <w:rsid w:val="00DB2471"/>
    <w:rsid w:val="00DB43D6"/>
    <w:rsid w:val="00DB6757"/>
    <w:rsid w:val="00DB6D43"/>
    <w:rsid w:val="00DB6E45"/>
    <w:rsid w:val="00DB752F"/>
    <w:rsid w:val="00DC1B65"/>
    <w:rsid w:val="00DC381E"/>
    <w:rsid w:val="00DC3A15"/>
    <w:rsid w:val="00DC41F0"/>
    <w:rsid w:val="00DC487B"/>
    <w:rsid w:val="00DC4B9D"/>
    <w:rsid w:val="00DC5599"/>
    <w:rsid w:val="00DC7277"/>
    <w:rsid w:val="00DD0120"/>
    <w:rsid w:val="00DD1486"/>
    <w:rsid w:val="00DD2EE8"/>
    <w:rsid w:val="00DD3F74"/>
    <w:rsid w:val="00DD3F8F"/>
    <w:rsid w:val="00DD6737"/>
    <w:rsid w:val="00DD75F5"/>
    <w:rsid w:val="00DD78E9"/>
    <w:rsid w:val="00DE0D61"/>
    <w:rsid w:val="00DE259B"/>
    <w:rsid w:val="00DE26C6"/>
    <w:rsid w:val="00DE50A7"/>
    <w:rsid w:val="00DE66AC"/>
    <w:rsid w:val="00DE6B82"/>
    <w:rsid w:val="00DE6B87"/>
    <w:rsid w:val="00DE7E08"/>
    <w:rsid w:val="00DF0D6C"/>
    <w:rsid w:val="00DF3C85"/>
    <w:rsid w:val="00DF3D6A"/>
    <w:rsid w:val="00DF46C0"/>
    <w:rsid w:val="00DF6BDD"/>
    <w:rsid w:val="00DF6D1F"/>
    <w:rsid w:val="00DF78C5"/>
    <w:rsid w:val="00E00040"/>
    <w:rsid w:val="00E021EB"/>
    <w:rsid w:val="00E02477"/>
    <w:rsid w:val="00E03009"/>
    <w:rsid w:val="00E032BF"/>
    <w:rsid w:val="00E03831"/>
    <w:rsid w:val="00E04218"/>
    <w:rsid w:val="00E0547A"/>
    <w:rsid w:val="00E0604A"/>
    <w:rsid w:val="00E06748"/>
    <w:rsid w:val="00E0748E"/>
    <w:rsid w:val="00E07659"/>
    <w:rsid w:val="00E0782A"/>
    <w:rsid w:val="00E079DC"/>
    <w:rsid w:val="00E10FC0"/>
    <w:rsid w:val="00E14620"/>
    <w:rsid w:val="00E15B3E"/>
    <w:rsid w:val="00E16358"/>
    <w:rsid w:val="00E16A8F"/>
    <w:rsid w:val="00E17B9B"/>
    <w:rsid w:val="00E20148"/>
    <w:rsid w:val="00E20433"/>
    <w:rsid w:val="00E23B2F"/>
    <w:rsid w:val="00E23BD8"/>
    <w:rsid w:val="00E24192"/>
    <w:rsid w:val="00E242B3"/>
    <w:rsid w:val="00E24CA8"/>
    <w:rsid w:val="00E24FA9"/>
    <w:rsid w:val="00E25538"/>
    <w:rsid w:val="00E30347"/>
    <w:rsid w:val="00E327C8"/>
    <w:rsid w:val="00E33E00"/>
    <w:rsid w:val="00E34015"/>
    <w:rsid w:val="00E3575E"/>
    <w:rsid w:val="00E40816"/>
    <w:rsid w:val="00E408AA"/>
    <w:rsid w:val="00E414AD"/>
    <w:rsid w:val="00E415B6"/>
    <w:rsid w:val="00E41841"/>
    <w:rsid w:val="00E41E46"/>
    <w:rsid w:val="00E43C5C"/>
    <w:rsid w:val="00E43D37"/>
    <w:rsid w:val="00E44EDC"/>
    <w:rsid w:val="00E45235"/>
    <w:rsid w:val="00E4568D"/>
    <w:rsid w:val="00E459AE"/>
    <w:rsid w:val="00E45B04"/>
    <w:rsid w:val="00E46E27"/>
    <w:rsid w:val="00E474CD"/>
    <w:rsid w:val="00E47B17"/>
    <w:rsid w:val="00E47DB2"/>
    <w:rsid w:val="00E50E89"/>
    <w:rsid w:val="00E515CD"/>
    <w:rsid w:val="00E518B3"/>
    <w:rsid w:val="00E51999"/>
    <w:rsid w:val="00E51E8D"/>
    <w:rsid w:val="00E527D1"/>
    <w:rsid w:val="00E52CB2"/>
    <w:rsid w:val="00E52D65"/>
    <w:rsid w:val="00E538E5"/>
    <w:rsid w:val="00E53E5F"/>
    <w:rsid w:val="00E545ED"/>
    <w:rsid w:val="00E54EF3"/>
    <w:rsid w:val="00E55CCD"/>
    <w:rsid w:val="00E55FA3"/>
    <w:rsid w:val="00E57253"/>
    <w:rsid w:val="00E60678"/>
    <w:rsid w:val="00E607A4"/>
    <w:rsid w:val="00E609E0"/>
    <w:rsid w:val="00E60B92"/>
    <w:rsid w:val="00E61124"/>
    <w:rsid w:val="00E61BE1"/>
    <w:rsid w:val="00E624F5"/>
    <w:rsid w:val="00E6278E"/>
    <w:rsid w:val="00E62C95"/>
    <w:rsid w:val="00E6309F"/>
    <w:rsid w:val="00E63ADD"/>
    <w:rsid w:val="00E655B2"/>
    <w:rsid w:val="00E656A7"/>
    <w:rsid w:val="00E66B5F"/>
    <w:rsid w:val="00E66C8A"/>
    <w:rsid w:val="00E67AC3"/>
    <w:rsid w:val="00E70014"/>
    <w:rsid w:val="00E70976"/>
    <w:rsid w:val="00E70E71"/>
    <w:rsid w:val="00E70E72"/>
    <w:rsid w:val="00E7188E"/>
    <w:rsid w:val="00E71EE2"/>
    <w:rsid w:val="00E724D6"/>
    <w:rsid w:val="00E730B5"/>
    <w:rsid w:val="00E732CC"/>
    <w:rsid w:val="00E7392F"/>
    <w:rsid w:val="00E74220"/>
    <w:rsid w:val="00E746DE"/>
    <w:rsid w:val="00E8056F"/>
    <w:rsid w:val="00E80BDE"/>
    <w:rsid w:val="00E81343"/>
    <w:rsid w:val="00E81CAF"/>
    <w:rsid w:val="00E827E5"/>
    <w:rsid w:val="00E85206"/>
    <w:rsid w:val="00E85567"/>
    <w:rsid w:val="00E85FEC"/>
    <w:rsid w:val="00E8702F"/>
    <w:rsid w:val="00E87104"/>
    <w:rsid w:val="00E905AA"/>
    <w:rsid w:val="00E90C02"/>
    <w:rsid w:val="00E912EF"/>
    <w:rsid w:val="00E91505"/>
    <w:rsid w:val="00E9278A"/>
    <w:rsid w:val="00E92974"/>
    <w:rsid w:val="00E92FCF"/>
    <w:rsid w:val="00E931C5"/>
    <w:rsid w:val="00E94A10"/>
    <w:rsid w:val="00E953A7"/>
    <w:rsid w:val="00E9567F"/>
    <w:rsid w:val="00E966B1"/>
    <w:rsid w:val="00EA357D"/>
    <w:rsid w:val="00EA3D53"/>
    <w:rsid w:val="00EA4231"/>
    <w:rsid w:val="00EA4690"/>
    <w:rsid w:val="00EA59DC"/>
    <w:rsid w:val="00EA6ECE"/>
    <w:rsid w:val="00EB0A9A"/>
    <w:rsid w:val="00EB0D91"/>
    <w:rsid w:val="00EB0EDA"/>
    <w:rsid w:val="00EB1521"/>
    <w:rsid w:val="00EB1E19"/>
    <w:rsid w:val="00EB32BF"/>
    <w:rsid w:val="00EB3C7E"/>
    <w:rsid w:val="00EB4AAD"/>
    <w:rsid w:val="00EB50DD"/>
    <w:rsid w:val="00EB65A0"/>
    <w:rsid w:val="00EB6744"/>
    <w:rsid w:val="00EB777A"/>
    <w:rsid w:val="00EC0D78"/>
    <w:rsid w:val="00EC2E23"/>
    <w:rsid w:val="00EC4213"/>
    <w:rsid w:val="00EC4DE1"/>
    <w:rsid w:val="00EC5AA2"/>
    <w:rsid w:val="00EC6F5E"/>
    <w:rsid w:val="00EC7879"/>
    <w:rsid w:val="00ED0462"/>
    <w:rsid w:val="00ED2577"/>
    <w:rsid w:val="00ED2CCC"/>
    <w:rsid w:val="00ED3B1E"/>
    <w:rsid w:val="00ED4135"/>
    <w:rsid w:val="00ED4158"/>
    <w:rsid w:val="00ED565B"/>
    <w:rsid w:val="00ED5AF6"/>
    <w:rsid w:val="00ED63BB"/>
    <w:rsid w:val="00ED6E02"/>
    <w:rsid w:val="00ED6EC8"/>
    <w:rsid w:val="00ED7E4E"/>
    <w:rsid w:val="00EE099F"/>
    <w:rsid w:val="00EE3066"/>
    <w:rsid w:val="00EE3F56"/>
    <w:rsid w:val="00EE4D37"/>
    <w:rsid w:val="00EE509F"/>
    <w:rsid w:val="00EE5811"/>
    <w:rsid w:val="00EE5CC6"/>
    <w:rsid w:val="00EE69E3"/>
    <w:rsid w:val="00EE74F0"/>
    <w:rsid w:val="00EF0CA3"/>
    <w:rsid w:val="00EF173E"/>
    <w:rsid w:val="00EF268B"/>
    <w:rsid w:val="00EF2DF7"/>
    <w:rsid w:val="00EF3E91"/>
    <w:rsid w:val="00EF4004"/>
    <w:rsid w:val="00EF4512"/>
    <w:rsid w:val="00EF4C53"/>
    <w:rsid w:val="00EF52B7"/>
    <w:rsid w:val="00EF52E1"/>
    <w:rsid w:val="00EF58EE"/>
    <w:rsid w:val="00EF61FD"/>
    <w:rsid w:val="00EF6B8C"/>
    <w:rsid w:val="00EF78CA"/>
    <w:rsid w:val="00F00CF3"/>
    <w:rsid w:val="00F02206"/>
    <w:rsid w:val="00F02212"/>
    <w:rsid w:val="00F05877"/>
    <w:rsid w:val="00F05B8D"/>
    <w:rsid w:val="00F05BA1"/>
    <w:rsid w:val="00F05C6B"/>
    <w:rsid w:val="00F06D8F"/>
    <w:rsid w:val="00F07335"/>
    <w:rsid w:val="00F078AF"/>
    <w:rsid w:val="00F07F45"/>
    <w:rsid w:val="00F107C7"/>
    <w:rsid w:val="00F11231"/>
    <w:rsid w:val="00F1200A"/>
    <w:rsid w:val="00F12DB5"/>
    <w:rsid w:val="00F1313E"/>
    <w:rsid w:val="00F132C4"/>
    <w:rsid w:val="00F143B5"/>
    <w:rsid w:val="00F15EAD"/>
    <w:rsid w:val="00F163D6"/>
    <w:rsid w:val="00F16F6C"/>
    <w:rsid w:val="00F17BF9"/>
    <w:rsid w:val="00F17E51"/>
    <w:rsid w:val="00F20EEB"/>
    <w:rsid w:val="00F217FC"/>
    <w:rsid w:val="00F21D2E"/>
    <w:rsid w:val="00F21FAB"/>
    <w:rsid w:val="00F2252D"/>
    <w:rsid w:val="00F23492"/>
    <w:rsid w:val="00F23E1B"/>
    <w:rsid w:val="00F24FB0"/>
    <w:rsid w:val="00F255EF"/>
    <w:rsid w:val="00F2672B"/>
    <w:rsid w:val="00F26B60"/>
    <w:rsid w:val="00F26EDC"/>
    <w:rsid w:val="00F308F8"/>
    <w:rsid w:val="00F31CA5"/>
    <w:rsid w:val="00F31FA6"/>
    <w:rsid w:val="00F32165"/>
    <w:rsid w:val="00F324B6"/>
    <w:rsid w:val="00F330E0"/>
    <w:rsid w:val="00F338A7"/>
    <w:rsid w:val="00F34574"/>
    <w:rsid w:val="00F364C4"/>
    <w:rsid w:val="00F4086B"/>
    <w:rsid w:val="00F42302"/>
    <w:rsid w:val="00F427AD"/>
    <w:rsid w:val="00F42B41"/>
    <w:rsid w:val="00F43A1D"/>
    <w:rsid w:val="00F43CAC"/>
    <w:rsid w:val="00F44A97"/>
    <w:rsid w:val="00F45853"/>
    <w:rsid w:val="00F45B6F"/>
    <w:rsid w:val="00F47937"/>
    <w:rsid w:val="00F47A66"/>
    <w:rsid w:val="00F518ED"/>
    <w:rsid w:val="00F54614"/>
    <w:rsid w:val="00F5466A"/>
    <w:rsid w:val="00F55BBD"/>
    <w:rsid w:val="00F567B2"/>
    <w:rsid w:val="00F567BD"/>
    <w:rsid w:val="00F56805"/>
    <w:rsid w:val="00F57867"/>
    <w:rsid w:val="00F600D3"/>
    <w:rsid w:val="00F6034C"/>
    <w:rsid w:val="00F60D36"/>
    <w:rsid w:val="00F6163F"/>
    <w:rsid w:val="00F61A9B"/>
    <w:rsid w:val="00F6384C"/>
    <w:rsid w:val="00F63F29"/>
    <w:rsid w:val="00F654B6"/>
    <w:rsid w:val="00F65827"/>
    <w:rsid w:val="00F658EB"/>
    <w:rsid w:val="00F66063"/>
    <w:rsid w:val="00F6618B"/>
    <w:rsid w:val="00F67030"/>
    <w:rsid w:val="00F677A3"/>
    <w:rsid w:val="00F70A79"/>
    <w:rsid w:val="00F7291B"/>
    <w:rsid w:val="00F7528C"/>
    <w:rsid w:val="00F75761"/>
    <w:rsid w:val="00F757AE"/>
    <w:rsid w:val="00F75B11"/>
    <w:rsid w:val="00F76D3D"/>
    <w:rsid w:val="00F773D7"/>
    <w:rsid w:val="00F77DB4"/>
    <w:rsid w:val="00F8033F"/>
    <w:rsid w:val="00F81D31"/>
    <w:rsid w:val="00F820B7"/>
    <w:rsid w:val="00F82188"/>
    <w:rsid w:val="00F83E10"/>
    <w:rsid w:val="00F83EF1"/>
    <w:rsid w:val="00F84739"/>
    <w:rsid w:val="00F84AE7"/>
    <w:rsid w:val="00F85773"/>
    <w:rsid w:val="00F85A53"/>
    <w:rsid w:val="00F860EF"/>
    <w:rsid w:val="00F86760"/>
    <w:rsid w:val="00F871D8"/>
    <w:rsid w:val="00F879F4"/>
    <w:rsid w:val="00F904D0"/>
    <w:rsid w:val="00F905C3"/>
    <w:rsid w:val="00F91E99"/>
    <w:rsid w:val="00F930BA"/>
    <w:rsid w:val="00F941C6"/>
    <w:rsid w:val="00F9645D"/>
    <w:rsid w:val="00FA17F7"/>
    <w:rsid w:val="00FA191C"/>
    <w:rsid w:val="00FA1A60"/>
    <w:rsid w:val="00FA204D"/>
    <w:rsid w:val="00FA2196"/>
    <w:rsid w:val="00FA23BE"/>
    <w:rsid w:val="00FA3B37"/>
    <w:rsid w:val="00FA4ED9"/>
    <w:rsid w:val="00FA5311"/>
    <w:rsid w:val="00FA7498"/>
    <w:rsid w:val="00FB032D"/>
    <w:rsid w:val="00FB147E"/>
    <w:rsid w:val="00FB15FE"/>
    <w:rsid w:val="00FB1BF1"/>
    <w:rsid w:val="00FB1F1D"/>
    <w:rsid w:val="00FB3764"/>
    <w:rsid w:val="00FB3996"/>
    <w:rsid w:val="00FB3D42"/>
    <w:rsid w:val="00FB3FBA"/>
    <w:rsid w:val="00FB44F2"/>
    <w:rsid w:val="00FB4A07"/>
    <w:rsid w:val="00FB4E05"/>
    <w:rsid w:val="00FB4EF8"/>
    <w:rsid w:val="00FB6176"/>
    <w:rsid w:val="00FB62D8"/>
    <w:rsid w:val="00FB6E49"/>
    <w:rsid w:val="00FC004B"/>
    <w:rsid w:val="00FC019E"/>
    <w:rsid w:val="00FC01DD"/>
    <w:rsid w:val="00FC07B5"/>
    <w:rsid w:val="00FC0F57"/>
    <w:rsid w:val="00FC12F7"/>
    <w:rsid w:val="00FC177C"/>
    <w:rsid w:val="00FC2D49"/>
    <w:rsid w:val="00FC2F99"/>
    <w:rsid w:val="00FC318C"/>
    <w:rsid w:val="00FC44BB"/>
    <w:rsid w:val="00FC5579"/>
    <w:rsid w:val="00FC60FA"/>
    <w:rsid w:val="00FC7B54"/>
    <w:rsid w:val="00FD06C7"/>
    <w:rsid w:val="00FD0C1F"/>
    <w:rsid w:val="00FD11FB"/>
    <w:rsid w:val="00FD2503"/>
    <w:rsid w:val="00FD2A36"/>
    <w:rsid w:val="00FD2C29"/>
    <w:rsid w:val="00FD3138"/>
    <w:rsid w:val="00FD372B"/>
    <w:rsid w:val="00FD4F74"/>
    <w:rsid w:val="00FD4FE3"/>
    <w:rsid w:val="00FD5637"/>
    <w:rsid w:val="00FD582F"/>
    <w:rsid w:val="00FD59D1"/>
    <w:rsid w:val="00FD5DE5"/>
    <w:rsid w:val="00FD5F6D"/>
    <w:rsid w:val="00FD7AB5"/>
    <w:rsid w:val="00FE0380"/>
    <w:rsid w:val="00FE0653"/>
    <w:rsid w:val="00FE100B"/>
    <w:rsid w:val="00FE1726"/>
    <w:rsid w:val="00FE1B94"/>
    <w:rsid w:val="00FE316A"/>
    <w:rsid w:val="00FE3D3A"/>
    <w:rsid w:val="00FE460E"/>
    <w:rsid w:val="00FE6163"/>
    <w:rsid w:val="00FE6361"/>
    <w:rsid w:val="00FE65B2"/>
    <w:rsid w:val="00FE696F"/>
    <w:rsid w:val="00FE6D19"/>
    <w:rsid w:val="00FE75FE"/>
    <w:rsid w:val="00FE798E"/>
    <w:rsid w:val="00FF008F"/>
    <w:rsid w:val="00FF087C"/>
    <w:rsid w:val="00FF1B79"/>
    <w:rsid w:val="00FF314E"/>
    <w:rsid w:val="00FF3A42"/>
    <w:rsid w:val="00FF3DE0"/>
    <w:rsid w:val="00FF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4F5B6D"/>
  <w15:chartTrackingRefBased/>
  <w15:docId w15:val="{2933F15F-0653-4F29-8FFD-909697870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SimSun" w:hAnsi="Arial"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semiHidden="1" w:unhideWhenUsed="1"/>
    <w:lsdException w:name="footnote text" w:semiHidden="1" w:uiPriority="99"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31A9"/>
    <w:pPr>
      <w:spacing w:after="200" w:line="276" w:lineRule="auto"/>
    </w:pPr>
    <w:rPr>
      <w:rFonts w:ascii="Calibri" w:eastAsia="Times New Roman" w:hAnsi="Calibri" w:cs="Times New Roman"/>
      <w:sz w:val="22"/>
      <w:szCs w:val="22"/>
    </w:rPr>
  </w:style>
  <w:style w:type="paragraph" w:styleId="Heading1">
    <w:name w:val="heading 1"/>
    <w:basedOn w:val="Normal"/>
    <w:next w:val="Normal"/>
    <w:link w:val="Heading1Char"/>
    <w:qFormat/>
    <w:rsid w:val="002A27A9"/>
    <w:pPr>
      <w:keepNext/>
      <w:keepLines/>
      <w:spacing w:before="480" w:after="0"/>
      <w:outlineLvl w:val="0"/>
    </w:pPr>
    <w:rPr>
      <w:rFonts w:ascii="Cambria" w:hAnsi="Cambria"/>
      <w:b/>
      <w:bCs/>
      <w:sz w:val="44"/>
      <w:szCs w:val="28"/>
      <w:lang w:val="x-none" w:eastAsia="x-none"/>
    </w:rPr>
  </w:style>
  <w:style w:type="paragraph" w:styleId="Heading2">
    <w:name w:val="heading 2"/>
    <w:basedOn w:val="Normal"/>
    <w:next w:val="Normal"/>
    <w:link w:val="Heading2Char"/>
    <w:unhideWhenUsed/>
    <w:qFormat/>
    <w:rsid w:val="000E6B58"/>
    <w:pPr>
      <w:keepNext/>
      <w:keepLines/>
      <w:spacing w:before="200" w:after="0"/>
      <w:outlineLvl w:val="1"/>
    </w:pPr>
    <w:rPr>
      <w:rFonts w:ascii="Cambria" w:eastAsia="SimSun" w:hAnsi="Cambria"/>
      <w:b/>
      <w:bCs/>
      <w:sz w:val="24"/>
      <w:szCs w:val="26"/>
      <w:lang w:val="x-none" w:eastAsia="x-none"/>
    </w:rPr>
  </w:style>
  <w:style w:type="paragraph" w:styleId="Heading3">
    <w:name w:val="heading 3"/>
    <w:basedOn w:val="Normal"/>
    <w:next w:val="Normal"/>
    <w:link w:val="Heading3Char"/>
    <w:unhideWhenUsed/>
    <w:qFormat/>
    <w:rsid w:val="000E6B58"/>
    <w:pPr>
      <w:keepNext/>
      <w:keepLines/>
      <w:spacing w:before="200" w:after="0"/>
      <w:outlineLvl w:val="2"/>
    </w:pPr>
    <w:rPr>
      <w:rFonts w:ascii="Cambria" w:eastAsia="SimSun" w:hAnsi="Cambria"/>
      <w:b/>
      <w:bCs/>
      <w:sz w:val="24"/>
      <w:szCs w:val="20"/>
      <w:lang w:val="x-none" w:eastAsia="x-none"/>
    </w:rPr>
  </w:style>
  <w:style w:type="paragraph" w:styleId="Heading4">
    <w:name w:val="heading 4"/>
    <w:basedOn w:val="Normal"/>
    <w:next w:val="Normal"/>
    <w:link w:val="Heading4Char"/>
    <w:unhideWhenUsed/>
    <w:qFormat/>
    <w:rsid w:val="000C17DD"/>
    <w:pPr>
      <w:keepNext/>
      <w:keepLines/>
      <w:spacing w:before="200" w:after="0"/>
      <w:outlineLvl w:val="3"/>
    </w:pPr>
    <w:rPr>
      <w:rFonts w:ascii="Cambria" w:eastAsia="SimSun" w:hAnsi="Cambria"/>
      <w:b/>
      <w:bCs/>
      <w:i/>
      <w:iCs/>
      <w:color w:val="4F81BD"/>
      <w:sz w:val="20"/>
      <w:szCs w:val="20"/>
      <w:lang w:val="x-none" w:eastAsia="x-none"/>
    </w:rPr>
  </w:style>
  <w:style w:type="paragraph" w:styleId="Heading5">
    <w:name w:val="heading 5"/>
    <w:basedOn w:val="Normal"/>
    <w:next w:val="Normal"/>
    <w:link w:val="Heading5Char"/>
    <w:qFormat/>
    <w:rsid w:val="00EE69E3"/>
    <w:pPr>
      <w:tabs>
        <w:tab w:val="num" w:pos="0"/>
      </w:tabs>
      <w:spacing w:before="240" w:after="60"/>
      <w:jc w:val="both"/>
      <w:outlineLvl w:val="4"/>
    </w:pPr>
    <w:rPr>
      <w:rFonts w:ascii="Times New Roman" w:hAnsi="Times New Roman"/>
      <w:sz w:val="24"/>
      <w:szCs w:val="20"/>
      <w:lang w:val="en-GB" w:eastAsia="de-DE"/>
    </w:rPr>
  </w:style>
  <w:style w:type="paragraph" w:styleId="Heading6">
    <w:name w:val="heading 6"/>
    <w:basedOn w:val="Normal"/>
    <w:next w:val="Normal"/>
    <w:link w:val="Heading6Char"/>
    <w:qFormat/>
    <w:rsid w:val="00EE69E3"/>
    <w:pPr>
      <w:tabs>
        <w:tab w:val="num" w:pos="0"/>
      </w:tabs>
      <w:spacing w:before="240" w:after="60"/>
      <w:jc w:val="both"/>
      <w:outlineLvl w:val="5"/>
    </w:pPr>
    <w:rPr>
      <w:rFonts w:ascii="Times New Roman" w:hAnsi="Times New Roman"/>
      <w:i/>
      <w:sz w:val="24"/>
      <w:szCs w:val="20"/>
      <w:lang w:val="en-GB" w:eastAsia="de-DE"/>
    </w:rPr>
  </w:style>
  <w:style w:type="paragraph" w:styleId="Heading7">
    <w:name w:val="heading 7"/>
    <w:basedOn w:val="Normal"/>
    <w:next w:val="Normal"/>
    <w:link w:val="Heading7Char"/>
    <w:qFormat/>
    <w:rsid w:val="00EE69E3"/>
    <w:pPr>
      <w:tabs>
        <w:tab w:val="num" w:pos="0"/>
      </w:tabs>
      <w:spacing w:before="240" w:after="60"/>
      <w:jc w:val="both"/>
      <w:outlineLvl w:val="6"/>
    </w:pPr>
    <w:rPr>
      <w:rFonts w:ascii="Times New Roman" w:hAnsi="Times New Roman"/>
      <w:sz w:val="20"/>
      <w:szCs w:val="20"/>
      <w:lang w:val="en-GB" w:eastAsia="de-DE"/>
    </w:rPr>
  </w:style>
  <w:style w:type="paragraph" w:styleId="Heading8">
    <w:name w:val="heading 8"/>
    <w:basedOn w:val="Normal"/>
    <w:next w:val="Normal"/>
    <w:link w:val="Heading8Char"/>
    <w:qFormat/>
    <w:rsid w:val="00EE69E3"/>
    <w:pPr>
      <w:tabs>
        <w:tab w:val="num" w:pos="0"/>
      </w:tabs>
      <w:spacing w:before="240" w:after="60"/>
      <w:jc w:val="both"/>
      <w:outlineLvl w:val="7"/>
    </w:pPr>
    <w:rPr>
      <w:rFonts w:ascii="Times New Roman" w:hAnsi="Times New Roman"/>
      <w:i/>
      <w:sz w:val="20"/>
      <w:szCs w:val="20"/>
      <w:lang w:val="en-GB" w:eastAsia="de-DE"/>
    </w:rPr>
  </w:style>
  <w:style w:type="paragraph" w:styleId="Heading9">
    <w:name w:val="heading 9"/>
    <w:basedOn w:val="Normal"/>
    <w:next w:val="Normal"/>
    <w:link w:val="Heading9Char"/>
    <w:qFormat/>
    <w:rsid w:val="00EE69E3"/>
    <w:pPr>
      <w:tabs>
        <w:tab w:val="num" w:pos="0"/>
      </w:tabs>
      <w:spacing w:before="240" w:after="60"/>
      <w:jc w:val="both"/>
      <w:outlineLvl w:val="8"/>
    </w:pPr>
    <w:rPr>
      <w:rFonts w:ascii="Times New Roman" w:hAnsi="Times New Roman"/>
      <w:i/>
      <w:sz w:val="18"/>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0C17DD"/>
    <w:pPr>
      <w:spacing w:after="0" w:line="240" w:lineRule="auto"/>
    </w:pPr>
    <w:rPr>
      <w:rFonts w:ascii="Tahoma" w:hAnsi="Tahoma"/>
      <w:sz w:val="16"/>
      <w:szCs w:val="16"/>
      <w:lang w:val="x-none" w:eastAsia="x-none"/>
    </w:rPr>
  </w:style>
  <w:style w:type="paragraph" w:styleId="CommentText">
    <w:name w:val="annotation text"/>
    <w:basedOn w:val="Normal"/>
    <w:link w:val="CommentTextChar"/>
    <w:semiHidden/>
    <w:unhideWhenUsed/>
    <w:rsid w:val="000C17DD"/>
    <w:pPr>
      <w:spacing w:line="240" w:lineRule="auto"/>
    </w:pPr>
    <w:rPr>
      <w:sz w:val="20"/>
      <w:szCs w:val="20"/>
      <w:lang w:val="x-none" w:eastAsia="x-none"/>
    </w:rPr>
  </w:style>
  <w:style w:type="paragraph" w:styleId="CommentSubject">
    <w:name w:val="annotation subject"/>
    <w:basedOn w:val="CommentText"/>
    <w:next w:val="CommentText"/>
    <w:link w:val="CommentSubjectChar"/>
    <w:semiHidden/>
    <w:unhideWhenUsed/>
    <w:rsid w:val="000C17DD"/>
    <w:rPr>
      <w:b/>
      <w:bCs/>
    </w:rPr>
  </w:style>
  <w:style w:type="paragraph" w:styleId="Footer">
    <w:name w:val="footer"/>
    <w:basedOn w:val="Normal"/>
    <w:link w:val="FooterChar"/>
    <w:uiPriority w:val="99"/>
    <w:unhideWhenUsed/>
    <w:rsid w:val="000C17DD"/>
    <w:pPr>
      <w:tabs>
        <w:tab w:val="center" w:pos="4680"/>
        <w:tab w:val="right" w:pos="9360"/>
      </w:tabs>
      <w:spacing w:after="0" w:line="240" w:lineRule="auto"/>
    </w:pPr>
    <w:rPr>
      <w:sz w:val="20"/>
      <w:szCs w:val="20"/>
      <w:lang w:val="x-none" w:eastAsia="x-none"/>
    </w:rPr>
  </w:style>
  <w:style w:type="paragraph" w:styleId="FootnoteText">
    <w:name w:val="footnote text"/>
    <w:aliases w:val="single space,footnote text"/>
    <w:basedOn w:val="Normal"/>
    <w:link w:val="FootnoteTextChar"/>
    <w:uiPriority w:val="99"/>
    <w:unhideWhenUsed/>
    <w:rsid w:val="000C17DD"/>
    <w:pPr>
      <w:spacing w:after="0" w:line="240" w:lineRule="auto"/>
    </w:pPr>
    <w:rPr>
      <w:sz w:val="20"/>
      <w:szCs w:val="20"/>
      <w:lang w:val="x-none" w:eastAsia="x-none"/>
    </w:rPr>
  </w:style>
  <w:style w:type="paragraph" w:styleId="Header">
    <w:name w:val="header"/>
    <w:basedOn w:val="Normal"/>
    <w:link w:val="HeaderChar"/>
    <w:uiPriority w:val="99"/>
    <w:unhideWhenUsed/>
    <w:rsid w:val="000C17DD"/>
    <w:pPr>
      <w:tabs>
        <w:tab w:val="center" w:pos="4680"/>
        <w:tab w:val="right" w:pos="9360"/>
      </w:tabs>
      <w:spacing w:after="0" w:line="240" w:lineRule="auto"/>
    </w:pPr>
    <w:rPr>
      <w:sz w:val="20"/>
      <w:szCs w:val="20"/>
      <w:lang w:val="x-none" w:eastAsia="x-none"/>
    </w:rPr>
  </w:style>
  <w:style w:type="paragraph" w:styleId="TOC1">
    <w:name w:val="toc 1"/>
    <w:basedOn w:val="Normal"/>
    <w:next w:val="Normal"/>
    <w:uiPriority w:val="39"/>
    <w:unhideWhenUsed/>
    <w:qFormat/>
    <w:rsid w:val="000C17DD"/>
    <w:pPr>
      <w:spacing w:after="100"/>
    </w:pPr>
  </w:style>
  <w:style w:type="paragraph" w:styleId="TOC2">
    <w:name w:val="toc 2"/>
    <w:basedOn w:val="Normal"/>
    <w:next w:val="Normal"/>
    <w:uiPriority w:val="39"/>
    <w:unhideWhenUsed/>
    <w:qFormat/>
    <w:rsid w:val="000C17DD"/>
    <w:pPr>
      <w:spacing w:after="100"/>
      <w:ind w:left="220"/>
    </w:pPr>
  </w:style>
  <w:style w:type="paragraph" w:styleId="TOC3">
    <w:name w:val="toc 3"/>
    <w:basedOn w:val="Normal"/>
    <w:next w:val="Normal"/>
    <w:uiPriority w:val="39"/>
    <w:unhideWhenUsed/>
    <w:qFormat/>
    <w:rsid w:val="000C17DD"/>
    <w:pPr>
      <w:spacing w:after="100"/>
      <w:ind w:left="440"/>
    </w:pPr>
  </w:style>
  <w:style w:type="paragraph" w:styleId="TOC4">
    <w:name w:val="toc 4"/>
    <w:basedOn w:val="Normal"/>
    <w:next w:val="Normal"/>
    <w:unhideWhenUsed/>
    <w:rsid w:val="000C17DD"/>
    <w:pPr>
      <w:spacing w:after="100"/>
      <w:ind w:left="660"/>
    </w:pPr>
  </w:style>
  <w:style w:type="paragraph" w:styleId="TOC5">
    <w:name w:val="toc 5"/>
    <w:basedOn w:val="Normal"/>
    <w:next w:val="Normal"/>
    <w:unhideWhenUsed/>
    <w:rsid w:val="000C17DD"/>
    <w:pPr>
      <w:spacing w:after="100"/>
      <w:ind w:left="880"/>
    </w:pPr>
  </w:style>
  <w:style w:type="paragraph" w:styleId="TOC6">
    <w:name w:val="toc 6"/>
    <w:basedOn w:val="Normal"/>
    <w:next w:val="Normal"/>
    <w:unhideWhenUsed/>
    <w:rsid w:val="000C17DD"/>
    <w:pPr>
      <w:spacing w:after="100"/>
      <w:ind w:left="1100"/>
    </w:pPr>
  </w:style>
  <w:style w:type="paragraph" w:styleId="TOC7">
    <w:name w:val="toc 7"/>
    <w:basedOn w:val="Normal"/>
    <w:next w:val="Normal"/>
    <w:unhideWhenUsed/>
    <w:rsid w:val="000C17DD"/>
    <w:pPr>
      <w:spacing w:after="100"/>
      <w:ind w:left="1320"/>
    </w:pPr>
  </w:style>
  <w:style w:type="paragraph" w:styleId="TOC8">
    <w:name w:val="toc 8"/>
    <w:basedOn w:val="Normal"/>
    <w:next w:val="Normal"/>
    <w:unhideWhenUsed/>
    <w:rsid w:val="000C17DD"/>
    <w:pPr>
      <w:spacing w:after="100"/>
      <w:ind w:left="1540"/>
    </w:pPr>
  </w:style>
  <w:style w:type="paragraph" w:styleId="TOC9">
    <w:name w:val="toc 9"/>
    <w:basedOn w:val="Normal"/>
    <w:next w:val="Normal"/>
    <w:unhideWhenUsed/>
    <w:rsid w:val="000C17DD"/>
    <w:pPr>
      <w:spacing w:after="100"/>
      <w:ind w:left="1760"/>
    </w:pPr>
  </w:style>
  <w:style w:type="character" w:styleId="CommentReference">
    <w:name w:val="annotation reference"/>
    <w:semiHidden/>
    <w:unhideWhenUsed/>
    <w:rsid w:val="000C17DD"/>
    <w:rPr>
      <w:sz w:val="16"/>
      <w:szCs w:val="16"/>
    </w:rPr>
  </w:style>
  <w:style w:type="character" w:styleId="FootnoteReference">
    <w:name w:val="footnote reference"/>
    <w:aliases w:val="ftref,Footnote text,Ref. de nota al pie1,16 Point,Superscript 6 Point,Footnote Reference Number,Superscript 6 Point + 11 pt,Ref,de nota al pie,Footnote symbol,Знак сноски-FN,Footnote Reference Superscript,Footnote Reference_LVL6,BVI f"/>
    <w:uiPriority w:val="99"/>
    <w:unhideWhenUsed/>
    <w:rsid w:val="000C17DD"/>
    <w:rPr>
      <w:vertAlign w:val="superscript"/>
    </w:rPr>
  </w:style>
  <w:style w:type="character" w:styleId="Hyperlink">
    <w:name w:val="Hyperlink"/>
    <w:uiPriority w:val="99"/>
    <w:unhideWhenUsed/>
    <w:rsid w:val="000C17DD"/>
    <w:rPr>
      <w:color w:val="0000FF"/>
      <w:u w:val="single"/>
    </w:rPr>
  </w:style>
  <w:style w:type="paragraph" w:customStyle="1" w:styleId="NoSpacing1">
    <w:name w:val="No Spacing1"/>
    <w:link w:val="NoSpacingChar"/>
    <w:uiPriority w:val="99"/>
    <w:qFormat/>
    <w:rsid w:val="000C17DD"/>
    <w:rPr>
      <w:rFonts w:ascii="Calibri" w:eastAsia="Calibri" w:hAnsi="Calibri" w:cs="Times New Roman"/>
      <w:sz w:val="22"/>
      <w:szCs w:val="22"/>
    </w:rPr>
  </w:style>
  <w:style w:type="paragraph" w:customStyle="1" w:styleId="TOCHeading1">
    <w:name w:val="TOC Heading1"/>
    <w:basedOn w:val="Heading1"/>
    <w:next w:val="Normal"/>
    <w:uiPriority w:val="39"/>
    <w:unhideWhenUsed/>
    <w:qFormat/>
    <w:rsid w:val="000C17DD"/>
    <w:pPr>
      <w:outlineLvl w:val="9"/>
    </w:pPr>
    <w:rPr>
      <w:lang w:eastAsia="ja-JP"/>
    </w:rPr>
  </w:style>
  <w:style w:type="paragraph" w:customStyle="1" w:styleId="ListParagraph1">
    <w:name w:val="List Paragraph1"/>
    <w:basedOn w:val="Normal"/>
    <w:uiPriority w:val="34"/>
    <w:qFormat/>
    <w:rsid w:val="000C17DD"/>
    <w:pPr>
      <w:ind w:left="720"/>
      <w:contextualSpacing/>
    </w:pPr>
  </w:style>
  <w:style w:type="paragraph" w:customStyle="1" w:styleId="Default">
    <w:name w:val="Default"/>
    <w:rsid w:val="000C17DD"/>
    <w:pPr>
      <w:autoSpaceDE w:val="0"/>
      <w:autoSpaceDN w:val="0"/>
      <w:adjustRightInd w:val="0"/>
    </w:pPr>
    <w:rPr>
      <w:rFonts w:ascii="Times New Roman" w:hAnsi="Times New Roman" w:cs="Times New Roman"/>
      <w:color w:val="000000"/>
      <w:sz w:val="24"/>
      <w:szCs w:val="24"/>
      <w:lang w:eastAsia="zh-CN"/>
    </w:rPr>
  </w:style>
  <w:style w:type="character" w:customStyle="1" w:styleId="BalloonTextChar">
    <w:name w:val="Balloon Text Char"/>
    <w:link w:val="BalloonText"/>
    <w:semiHidden/>
    <w:rsid w:val="000C17DD"/>
    <w:rPr>
      <w:rFonts w:ascii="Tahoma" w:eastAsia="Times New Roman" w:hAnsi="Tahoma" w:cs="Tahoma"/>
      <w:sz w:val="16"/>
      <w:szCs w:val="16"/>
    </w:rPr>
  </w:style>
  <w:style w:type="character" w:customStyle="1" w:styleId="HeaderChar">
    <w:name w:val="Header Char"/>
    <w:link w:val="Header"/>
    <w:uiPriority w:val="99"/>
    <w:rsid w:val="000C17DD"/>
    <w:rPr>
      <w:rFonts w:ascii="Calibri" w:eastAsia="Times New Roman" w:hAnsi="Calibri" w:cs="Times New Roman"/>
    </w:rPr>
  </w:style>
  <w:style w:type="character" w:customStyle="1" w:styleId="FooterChar">
    <w:name w:val="Footer Char"/>
    <w:link w:val="Footer"/>
    <w:uiPriority w:val="99"/>
    <w:rsid w:val="000C17DD"/>
    <w:rPr>
      <w:rFonts w:ascii="Calibri" w:eastAsia="Times New Roman" w:hAnsi="Calibri" w:cs="Times New Roman"/>
    </w:rPr>
  </w:style>
  <w:style w:type="character" w:customStyle="1" w:styleId="NoSpacingChar">
    <w:name w:val="No Spacing Char"/>
    <w:link w:val="NoSpacing1"/>
    <w:uiPriority w:val="99"/>
    <w:locked/>
    <w:rsid w:val="000C17DD"/>
    <w:rPr>
      <w:rFonts w:ascii="Calibri" w:eastAsia="Calibri" w:hAnsi="Calibri" w:cs="Times New Roman"/>
      <w:sz w:val="22"/>
      <w:szCs w:val="22"/>
      <w:lang w:val="en-US" w:eastAsia="en-US" w:bidi="ar-SA"/>
    </w:rPr>
  </w:style>
  <w:style w:type="character" w:customStyle="1" w:styleId="Heading1Char">
    <w:name w:val="Heading 1 Char"/>
    <w:link w:val="Heading1"/>
    <w:rsid w:val="002A27A9"/>
    <w:rPr>
      <w:rFonts w:ascii="Cambria" w:eastAsia="Times New Roman" w:hAnsi="Cambria" w:cs="Times New Roman"/>
      <w:b/>
      <w:bCs/>
      <w:sz w:val="44"/>
      <w:szCs w:val="28"/>
    </w:rPr>
  </w:style>
  <w:style w:type="character" w:customStyle="1" w:styleId="Heading2Char">
    <w:name w:val="Heading 2 Char"/>
    <w:link w:val="Heading2"/>
    <w:rsid w:val="000E6B58"/>
    <w:rPr>
      <w:rFonts w:ascii="Cambria" w:hAnsi="Cambria" w:cs="Times New Roman"/>
      <w:b/>
      <w:bCs/>
      <w:sz w:val="24"/>
      <w:szCs w:val="26"/>
      <w:lang w:val="x-none" w:eastAsia="x-none"/>
    </w:rPr>
  </w:style>
  <w:style w:type="character" w:customStyle="1" w:styleId="Heading3Char">
    <w:name w:val="Heading 3 Char"/>
    <w:link w:val="Heading3"/>
    <w:rsid w:val="000E6B58"/>
    <w:rPr>
      <w:rFonts w:ascii="Cambria" w:hAnsi="Cambria" w:cs="Times New Roman"/>
      <w:b/>
      <w:bCs/>
      <w:sz w:val="24"/>
      <w:lang w:val="x-none" w:eastAsia="x-none"/>
    </w:rPr>
  </w:style>
  <w:style w:type="character" w:customStyle="1" w:styleId="Heading4Char">
    <w:name w:val="Heading 4 Char"/>
    <w:link w:val="Heading4"/>
    <w:rsid w:val="000C17DD"/>
    <w:rPr>
      <w:rFonts w:ascii="Cambria" w:hAnsi="Cambria"/>
      <w:b/>
      <w:bCs/>
      <w:i/>
      <w:iCs/>
      <w:color w:val="4F81BD"/>
    </w:rPr>
  </w:style>
  <w:style w:type="character" w:customStyle="1" w:styleId="FootnoteTextChar">
    <w:name w:val="Footnote Text Char"/>
    <w:aliases w:val="single space Char,footnote text Char"/>
    <w:link w:val="FootnoteText"/>
    <w:uiPriority w:val="99"/>
    <w:rsid w:val="000C17DD"/>
    <w:rPr>
      <w:rFonts w:ascii="Calibri" w:eastAsia="Times New Roman" w:hAnsi="Calibri" w:cs="Times New Roman"/>
      <w:sz w:val="20"/>
      <w:szCs w:val="20"/>
    </w:rPr>
  </w:style>
  <w:style w:type="character" w:customStyle="1" w:styleId="CommentTextChar">
    <w:name w:val="Comment Text Char"/>
    <w:link w:val="CommentText"/>
    <w:semiHidden/>
    <w:rsid w:val="000C17DD"/>
    <w:rPr>
      <w:rFonts w:ascii="Calibri" w:eastAsia="Times New Roman" w:hAnsi="Calibri" w:cs="Times New Roman"/>
      <w:sz w:val="20"/>
      <w:szCs w:val="20"/>
    </w:rPr>
  </w:style>
  <w:style w:type="character" w:customStyle="1" w:styleId="CommentSubjectChar">
    <w:name w:val="Comment Subject Char"/>
    <w:link w:val="CommentSubject"/>
    <w:rsid w:val="000C17DD"/>
    <w:rPr>
      <w:rFonts w:ascii="Calibri" w:eastAsia="Times New Roman" w:hAnsi="Calibri" w:cs="Times New Roman"/>
      <w:b/>
      <w:bCs/>
      <w:sz w:val="20"/>
      <w:szCs w:val="20"/>
    </w:rPr>
  </w:style>
  <w:style w:type="character" w:customStyle="1" w:styleId="apple-converted-space">
    <w:name w:val="apple-converted-space"/>
    <w:basedOn w:val="DefaultParagraphFont"/>
    <w:rsid w:val="000C17DD"/>
  </w:style>
  <w:style w:type="paragraph" w:customStyle="1" w:styleId="NoSpacing11">
    <w:name w:val="No Spacing11"/>
    <w:uiPriority w:val="99"/>
    <w:qFormat/>
    <w:rsid w:val="000C17DD"/>
    <w:pPr>
      <w:spacing w:after="200" w:line="276" w:lineRule="auto"/>
    </w:pPr>
    <w:rPr>
      <w:rFonts w:ascii="Calibri" w:eastAsia="Calibri" w:hAnsi="Calibri" w:cs="Times New Roman"/>
      <w:sz w:val="22"/>
      <w:szCs w:val="22"/>
    </w:rPr>
  </w:style>
  <w:style w:type="paragraph" w:customStyle="1" w:styleId="ListParagraph11">
    <w:name w:val="List Paragraph11"/>
    <w:basedOn w:val="Normal"/>
    <w:uiPriority w:val="34"/>
    <w:qFormat/>
    <w:rsid w:val="000C17DD"/>
    <w:pPr>
      <w:ind w:left="720"/>
      <w:contextualSpacing/>
    </w:pPr>
  </w:style>
  <w:style w:type="character" w:customStyle="1" w:styleId="spelle">
    <w:name w:val="spelle"/>
    <w:basedOn w:val="DefaultParagraphFont"/>
    <w:rsid w:val="00112856"/>
  </w:style>
  <w:style w:type="paragraph" w:styleId="BodyTextIndent">
    <w:name w:val="Body Text Indent"/>
    <w:basedOn w:val="Normal"/>
    <w:link w:val="BodyTextIndentChar"/>
    <w:rsid w:val="00112856"/>
    <w:pPr>
      <w:tabs>
        <w:tab w:val="left" w:pos="1843"/>
      </w:tabs>
      <w:spacing w:after="0" w:line="360" w:lineRule="auto"/>
    </w:pPr>
    <w:rPr>
      <w:rFonts w:ascii="Times New Roman" w:hAnsi="Times New Roman"/>
      <w:sz w:val="24"/>
      <w:szCs w:val="20"/>
      <w:lang w:val="sl-SI"/>
    </w:rPr>
  </w:style>
  <w:style w:type="character" w:customStyle="1" w:styleId="BodyTextIndentChar">
    <w:name w:val="Body Text Indent Char"/>
    <w:link w:val="BodyTextIndent"/>
    <w:rsid w:val="00112856"/>
    <w:rPr>
      <w:rFonts w:ascii="Times New Roman" w:eastAsia="Times New Roman" w:hAnsi="Times New Roman" w:cs="Times New Roman"/>
      <w:sz w:val="24"/>
      <w:lang w:val="sl-SI" w:eastAsia="en-US"/>
    </w:rPr>
  </w:style>
  <w:style w:type="paragraph" w:customStyle="1" w:styleId="BasicParagraph">
    <w:name w:val="[Basic Paragraph]"/>
    <w:basedOn w:val="Normal"/>
    <w:rsid w:val="00112856"/>
    <w:pPr>
      <w:autoSpaceDE w:val="0"/>
      <w:autoSpaceDN w:val="0"/>
      <w:adjustRightInd w:val="0"/>
      <w:spacing w:after="0" w:line="288" w:lineRule="auto"/>
      <w:textAlignment w:val="center"/>
    </w:pPr>
    <w:rPr>
      <w:rFonts w:ascii="Arial" w:eastAsia="Calibri" w:hAnsi="Arial" w:cs="Arial"/>
      <w:color w:val="000000"/>
      <w:sz w:val="24"/>
      <w:szCs w:val="24"/>
      <w:lang w:val="en-GB"/>
    </w:rPr>
  </w:style>
  <w:style w:type="paragraph" w:styleId="BodyText2">
    <w:name w:val="Body Text 2"/>
    <w:basedOn w:val="Normal"/>
    <w:link w:val="BodyText2Char"/>
    <w:semiHidden/>
    <w:unhideWhenUsed/>
    <w:rsid w:val="00D0335F"/>
    <w:pPr>
      <w:spacing w:after="120" w:line="480" w:lineRule="auto"/>
    </w:pPr>
    <w:rPr>
      <w:lang w:val="x-none"/>
    </w:rPr>
  </w:style>
  <w:style w:type="character" w:customStyle="1" w:styleId="BodyText2Char">
    <w:name w:val="Body Text 2 Char"/>
    <w:link w:val="BodyText2"/>
    <w:semiHidden/>
    <w:rsid w:val="00D0335F"/>
    <w:rPr>
      <w:rFonts w:ascii="Calibri" w:eastAsia="Times New Roman" w:hAnsi="Calibri" w:cs="Times New Roman"/>
      <w:sz w:val="22"/>
      <w:szCs w:val="22"/>
      <w:lang w:eastAsia="en-US"/>
    </w:rPr>
  </w:style>
  <w:style w:type="paragraph" w:styleId="BodyText">
    <w:name w:val="Body Text"/>
    <w:basedOn w:val="Normal"/>
    <w:link w:val="BodyTextChar"/>
    <w:unhideWhenUsed/>
    <w:rsid w:val="00D0335F"/>
    <w:pPr>
      <w:spacing w:after="120"/>
    </w:pPr>
    <w:rPr>
      <w:lang w:val="x-none"/>
    </w:rPr>
  </w:style>
  <w:style w:type="character" w:customStyle="1" w:styleId="BodyTextChar">
    <w:name w:val="Body Text Char"/>
    <w:link w:val="BodyText"/>
    <w:rsid w:val="00D0335F"/>
    <w:rPr>
      <w:rFonts w:ascii="Calibri" w:eastAsia="Times New Roman" w:hAnsi="Calibri" w:cs="Times New Roman"/>
      <w:sz w:val="22"/>
      <w:szCs w:val="22"/>
      <w:lang w:eastAsia="en-US"/>
    </w:rPr>
  </w:style>
  <w:style w:type="character" w:customStyle="1" w:styleId="hps">
    <w:name w:val="hps"/>
    <w:basedOn w:val="DefaultParagraphFont"/>
    <w:rsid w:val="00D0335F"/>
  </w:style>
  <w:style w:type="table" w:styleId="TableGrid">
    <w:name w:val="Table Grid"/>
    <w:basedOn w:val="TableNormal"/>
    <w:rsid w:val="00C44A9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66079C"/>
  </w:style>
  <w:style w:type="paragraph" w:styleId="NormalWeb">
    <w:name w:val="Normal (Web)"/>
    <w:basedOn w:val="Normal"/>
    <w:uiPriority w:val="99"/>
    <w:unhideWhenUsed/>
    <w:rsid w:val="0066079C"/>
    <w:pPr>
      <w:spacing w:before="100" w:beforeAutospacing="1" w:after="100" w:afterAutospacing="1" w:line="240" w:lineRule="auto"/>
    </w:pPr>
    <w:rPr>
      <w:rFonts w:ascii="Times New Roman" w:hAnsi="Times New Roman"/>
      <w:sz w:val="24"/>
      <w:szCs w:val="24"/>
    </w:rPr>
  </w:style>
  <w:style w:type="paragraph" w:styleId="NoSpacing">
    <w:name w:val="No Spacing"/>
    <w:qFormat/>
    <w:rsid w:val="00D36026"/>
    <w:rPr>
      <w:rFonts w:ascii="Calibri" w:eastAsia="Calibri" w:hAnsi="Calibri" w:cs="Times New Roman"/>
      <w:sz w:val="22"/>
      <w:szCs w:val="22"/>
    </w:rPr>
  </w:style>
  <w:style w:type="paragraph" w:styleId="ListParagraph">
    <w:name w:val="List Paragraph"/>
    <w:basedOn w:val="Normal"/>
    <w:link w:val="ListParagraphChar"/>
    <w:uiPriority w:val="34"/>
    <w:qFormat/>
    <w:rsid w:val="00D36026"/>
    <w:pPr>
      <w:ind w:left="720"/>
    </w:pPr>
  </w:style>
  <w:style w:type="character" w:customStyle="1" w:styleId="ListParagraphChar">
    <w:name w:val="List Paragraph Char"/>
    <w:link w:val="ListParagraph"/>
    <w:uiPriority w:val="99"/>
    <w:locked/>
    <w:rsid w:val="00D36026"/>
    <w:rPr>
      <w:rFonts w:ascii="Calibri" w:eastAsia="Times New Roman" w:hAnsi="Calibri" w:cs="Times New Roman"/>
      <w:sz w:val="22"/>
      <w:szCs w:val="22"/>
      <w:lang w:val="en-US" w:eastAsia="en-US"/>
    </w:rPr>
  </w:style>
  <w:style w:type="character" w:customStyle="1" w:styleId="Heading5Char">
    <w:name w:val="Heading 5 Char"/>
    <w:link w:val="Heading5"/>
    <w:rsid w:val="00EE69E3"/>
    <w:rPr>
      <w:rFonts w:ascii="Times New Roman" w:eastAsia="Times New Roman" w:hAnsi="Times New Roman" w:cs="Times New Roman"/>
      <w:sz w:val="24"/>
      <w:lang w:val="en-GB" w:eastAsia="de-DE"/>
    </w:rPr>
  </w:style>
  <w:style w:type="character" w:customStyle="1" w:styleId="Heading6Char">
    <w:name w:val="Heading 6 Char"/>
    <w:link w:val="Heading6"/>
    <w:rsid w:val="00EE69E3"/>
    <w:rPr>
      <w:rFonts w:ascii="Times New Roman" w:eastAsia="Times New Roman" w:hAnsi="Times New Roman" w:cs="Times New Roman"/>
      <w:i/>
      <w:sz w:val="24"/>
      <w:lang w:val="en-GB" w:eastAsia="de-DE"/>
    </w:rPr>
  </w:style>
  <w:style w:type="character" w:customStyle="1" w:styleId="Heading7Char">
    <w:name w:val="Heading 7 Char"/>
    <w:link w:val="Heading7"/>
    <w:rsid w:val="00EE69E3"/>
    <w:rPr>
      <w:rFonts w:ascii="Times New Roman" w:eastAsia="Times New Roman" w:hAnsi="Times New Roman" w:cs="Times New Roman"/>
      <w:lang w:val="en-GB" w:eastAsia="de-DE"/>
    </w:rPr>
  </w:style>
  <w:style w:type="character" w:customStyle="1" w:styleId="Heading8Char">
    <w:name w:val="Heading 8 Char"/>
    <w:link w:val="Heading8"/>
    <w:rsid w:val="00EE69E3"/>
    <w:rPr>
      <w:rFonts w:ascii="Times New Roman" w:eastAsia="Times New Roman" w:hAnsi="Times New Roman" w:cs="Times New Roman"/>
      <w:i/>
      <w:lang w:val="en-GB" w:eastAsia="de-DE"/>
    </w:rPr>
  </w:style>
  <w:style w:type="character" w:customStyle="1" w:styleId="Heading9Char">
    <w:name w:val="Heading 9 Char"/>
    <w:link w:val="Heading9"/>
    <w:rsid w:val="00EE69E3"/>
    <w:rPr>
      <w:rFonts w:ascii="Times New Roman" w:eastAsia="Times New Roman" w:hAnsi="Times New Roman" w:cs="Times New Roman"/>
      <w:i/>
      <w:sz w:val="18"/>
      <w:lang w:val="en-GB" w:eastAsia="de-DE"/>
    </w:rPr>
  </w:style>
  <w:style w:type="character" w:customStyle="1" w:styleId="CommentTextChar1">
    <w:name w:val="Comment Text Char1"/>
    <w:semiHidden/>
    <w:rsid w:val="00EE69E3"/>
    <w:rPr>
      <w:rFonts w:ascii="Times New Roman" w:eastAsia="Times New Roman" w:hAnsi="Times New Roman" w:cs="Times New Roman"/>
      <w:sz w:val="20"/>
      <w:szCs w:val="20"/>
      <w:lang w:val="en-US"/>
    </w:rPr>
  </w:style>
  <w:style w:type="character" w:customStyle="1" w:styleId="wordlink">
    <w:name w:val="wordlink"/>
    <w:rsid w:val="00EE69E3"/>
  </w:style>
  <w:style w:type="character" w:styleId="PageNumber">
    <w:name w:val="page number"/>
    <w:rsid w:val="00EE69E3"/>
  </w:style>
  <w:style w:type="paragraph" w:styleId="DocumentMap">
    <w:name w:val="Document Map"/>
    <w:basedOn w:val="Normal"/>
    <w:link w:val="DocumentMapChar"/>
    <w:semiHidden/>
    <w:unhideWhenUsed/>
    <w:rsid w:val="00EE69E3"/>
    <w:rPr>
      <w:rFonts w:ascii="Tahoma" w:hAnsi="Tahoma"/>
      <w:sz w:val="16"/>
      <w:szCs w:val="16"/>
    </w:rPr>
  </w:style>
  <w:style w:type="character" w:customStyle="1" w:styleId="DocumentMapChar">
    <w:name w:val="Document Map Char"/>
    <w:link w:val="DocumentMap"/>
    <w:semiHidden/>
    <w:rsid w:val="00EE69E3"/>
    <w:rPr>
      <w:rFonts w:ascii="Tahoma" w:eastAsia="Times New Roman" w:hAnsi="Tahoma" w:cs="Tahoma"/>
      <w:sz w:val="16"/>
      <w:szCs w:val="16"/>
      <w:lang w:val="en-US" w:eastAsia="en-US"/>
    </w:rPr>
  </w:style>
  <w:style w:type="character" w:styleId="Strong">
    <w:name w:val="Strong"/>
    <w:qFormat/>
    <w:rsid w:val="00EE69E3"/>
    <w:rPr>
      <w:b/>
      <w:bCs/>
    </w:rPr>
  </w:style>
  <w:style w:type="paragraph" w:styleId="BodyText3">
    <w:name w:val="Body Text 3"/>
    <w:basedOn w:val="Normal"/>
    <w:link w:val="BodyText3Char"/>
    <w:rsid w:val="00EE69E3"/>
    <w:pPr>
      <w:spacing w:after="120"/>
    </w:pPr>
    <w:rPr>
      <w:sz w:val="16"/>
      <w:szCs w:val="16"/>
    </w:rPr>
  </w:style>
  <w:style w:type="character" w:customStyle="1" w:styleId="BodyText3Char">
    <w:name w:val="Body Text 3 Char"/>
    <w:link w:val="BodyText3"/>
    <w:rsid w:val="00EE69E3"/>
    <w:rPr>
      <w:rFonts w:ascii="Calibri" w:eastAsia="Times New Roman" w:hAnsi="Calibri" w:cs="Times New Roman"/>
      <w:sz w:val="16"/>
      <w:szCs w:val="16"/>
      <w:lang w:val="en-US" w:eastAsia="en-US"/>
    </w:rPr>
  </w:style>
  <w:style w:type="character" w:styleId="Emphasis">
    <w:name w:val="Emphasis"/>
    <w:qFormat/>
    <w:rsid w:val="00EE69E3"/>
    <w:rPr>
      <w:i/>
      <w:iCs/>
    </w:rPr>
  </w:style>
  <w:style w:type="paragraph" w:customStyle="1" w:styleId="tabela11milan">
    <w:name w:val="tabela 11 milan"/>
    <w:basedOn w:val="Normal"/>
    <w:rsid w:val="00EE69E3"/>
    <w:pPr>
      <w:spacing w:after="60" w:line="240" w:lineRule="auto"/>
      <w:jc w:val="center"/>
    </w:pPr>
    <w:rPr>
      <w:rFonts w:ascii="Arial" w:hAnsi="Arial"/>
      <w:szCs w:val="20"/>
    </w:rPr>
  </w:style>
  <w:style w:type="paragraph" w:customStyle="1" w:styleId="T-98-2">
    <w:name w:val="T-9/8-2"/>
    <w:rsid w:val="00EE69E3"/>
    <w:pPr>
      <w:widowControl w:val="0"/>
      <w:tabs>
        <w:tab w:val="left" w:pos="2153"/>
      </w:tabs>
      <w:autoSpaceDE w:val="0"/>
      <w:autoSpaceDN w:val="0"/>
      <w:adjustRightInd w:val="0"/>
      <w:spacing w:after="43"/>
      <w:ind w:firstLine="342"/>
      <w:jc w:val="both"/>
    </w:pPr>
    <w:rPr>
      <w:rFonts w:ascii="Times-NewRoman" w:eastAsia="Times New Roman" w:hAnsi="Times-NewRoman" w:cs="Times New Roman"/>
      <w:sz w:val="19"/>
      <w:szCs w:val="19"/>
    </w:rPr>
  </w:style>
  <w:style w:type="paragraph" w:styleId="List">
    <w:name w:val="List"/>
    <w:basedOn w:val="BodyText"/>
    <w:rsid w:val="00EE69E3"/>
    <w:pPr>
      <w:tabs>
        <w:tab w:val="left" w:pos="720"/>
      </w:tabs>
      <w:spacing w:after="80" w:line="480" w:lineRule="auto"/>
      <w:ind w:left="720" w:hanging="360"/>
      <w:jc w:val="both"/>
    </w:pPr>
    <w:rPr>
      <w:rFonts w:ascii="Times New Roman" w:hAnsi="Times New Roman"/>
      <w:sz w:val="24"/>
      <w:lang w:val="en-GB" w:eastAsia="de-DE"/>
    </w:rPr>
  </w:style>
  <w:style w:type="character" w:customStyle="1" w:styleId="CommentSubjectChar1">
    <w:name w:val="Comment Subject Char1"/>
    <w:semiHidden/>
    <w:rsid w:val="00EE69E3"/>
    <w:rPr>
      <w:rFonts w:ascii="Calibri" w:eastAsia="Times New Roman" w:hAnsi="Calibri" w:cs="Times New Roman"/>
      <w:b/>
      <w:bCs/>
      <w:sz w:val="20"/>
      <w:szCs w:val="20"/>
      <w:lang w:val="en-US"/>
    </w:rPr>
  </w:style>
  <w:style w:type="paragraph" w:customStyle="1" w:styleId="stil1tekst">
    <w:name w:val="stil_1tekst"/>
    <w:basedOn w:val="Normal"/>
    <w:rsid w:val="00EE69E3"/>
    <w:pPr>
      <w:spacing w:before="100" w:beforeAutospacing="1" w:after="100" w:afterAutospacing="1" w:line="240" w:lineRule="auto"/>
    </w:pPr>
    <w:rPr>
      <w:rFonts w:ascii="Times New Roman" w:hAnsi="Times New Roman"/>
      <w:sz w:val="24"/>
      <w:szCs w:val="24"/>
    </w:rPr>
  </w:style>
  <w:style w:type="paragraph" w:customStyle="1" w:styleId="stil2zakon">
    <w:name w:val="stil_2zakon"/>
    <w:basedOn w:val="Normal"/>
    <w:rsid w:val="00EE69E3"/>
    <w:pPr>
      <w:spacing w:before="100" w:beforeAutospacing="1" w:after="100" w:afterAutospacing="1" w:line="240" w:lineRule="auto"/>
    </w:pPr>
    <w:rPr>
      <w:rFonts w:ascii="Times New Roman" w:hAnsi="Times New Roman"/>
      <w:sz w:val="24"/>
      <w:szCs w:val="24"/>
    </w:rPr>
  </w:style>
  <w:style w:type="paragraph" w:customStyle="1" w:styleId="stil3mesto">
    <w:name w:val="stil_3mesto"/>
    <w:basedOn w:val="Normal"/>
    <w:rsid w:val="00EE69E3"/>
    <w:pPr>
      <w:spacing w:before="100" w:beforeAutospacing="1" w:after="100" w:afterAutospacing="1" w:line="240" w:lineRule="auto"/>
    </w:pPr>
    <w:rPr>
      <w:rFonts w:ascii="Times New Roman" w:hAnsi="Times New Roman"/>
      <w:sz w:val="24"/>
      <w:szCs w:val="24"/>
    </w:rPr>
  </w:style>
  <w:style w:type="paragraph" w:styleId="PlainText">
    <w:name w:val="Plain Text"/>
    <w:basedOn w:val="Normal"/>
    <w:link w:val="PlainTextChar"/>
    <w:rsid w:val="00EE69E3"/>
    <w:pPr>
      <w:spacing w:after="0" w:line="240" w:lineRule="auto"/>
    </w:pPr>
    <w:rPr>
      <w:rFonts w:ascii="Courier New" w:hAnsi="Courier New"/>
      <w:sz w:val="20"/>
      <w:szCs w:val="20"/>
    </w:rPr>
  </w:style>
  <w:style w:type="character" w:customStyle="1" w:styleId="PlainTextChar">
    <w:name w:val="Plain Text Char"/>
    <w:link w:val="PlainText"/>
    <w:rsid w:val="00EE69E3"/>
    <w:rPr>
      <w:rFonts w:ascii="Courier New" w:eastAsia="Times New Roman" w:hAnsi="Courier New" w:cs="Courier New"/>
      <w:lang w:val="en-US" w:eastAsia="en-US"/>
    </w:rPr>
  </w:style>
  <w:style w:type="character" w:styleId="SubtleEmphasis">
    <w:name w:val="Subtle Emphasis"/>
    <w:qFormat/>
    <w:rsid w:val="00EE69E3"/>
    <w:rPr>
      <w:rFonts w:cs="Times New Roman"/>
      <w:i/>
      <w:iCs/>
      <w:color w:val="808080"/>
    </w:rPr>
  </w:style>
  <w:style w:type="paragraph" w:customStyle="1" w:styleId="stil4clan">
    <w:name w:val="stil_4clan"/>
    <w:basedOn w:val="Normal"/>
    <w:rsid w:val="00EE69E3"/>
    <w:pPr>
      <w:spacing w:before="100" w:beforeAutospacing="1" w:after="100" w:afterAutospacing="1" w:line="240" w:lineRule="auto"/>
    </w:pPr>
    <w:rPr>
      <w:rFonts w:ascii="Times New Roman" w:hAnsi="Times New Roman"/>
      <w:sz w:val="24"/>
      <w:szCs w:val="24"/>
    </w:rPr>
  </w:style>
  <w:style w:type="character" w:customStyle="1" w:styleId="hpsatn">
    <w:name w:val="hps atn"/>
    <w:rsid w:val="00EE69E3"/>
  </w:style>
  <w:style w:type="table" w:styleId="TableSimple1">
    <w:name w:val="Table Simple 1"/>
    <w:basedOn w:val="TableNormal"/>
    <w:rsid w:val="00EE69E3"/>
    <w:pPr>
      <w:spacing w:after="200" w:line="276" w:lineRule="auto"/>
    </w:pPr>
    <w:rPr>
      <w:rFonts w:ascii="Calibri" w:eastAsia="Times New Roman" w:hAnsi="Calibri"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msolistparagraph0">
    <w:name w:val="msolistparagraph"/>
    <w:basedOn w:val="Normal"/>
    <w:rsid w:val="00EE69E3"/>
    <w:pPr>
      <w:ind w:left="720"/>
    </w:pPr>
    <w:rPr>
      <w:rFonts w:eastAsia="Calibri"/>
    </w:rPr>
  </w:style>
  <w:style w:type="character" w:styleId="HTMLCite">
    <w:name w:val="HTML Cite"/>
    <w:rsid w:val="00EE69E3"/>
    <w:rPr>
      <w:i/>
      <w:iCs/>
    </w:rPr>
  </w:style>
  <w:style w:type="paragraph" w:styleId="EndnoteText">
    <w:name w:val="endnote text"/>
    <w:basedOn w:val="Normal"/>
    <w:link w:val="EndnoteTextChar"/>
    <w:rsid w:val="00EE69E3"/>
    <w:pPr>
      <w:spacing w:after="0" w:line="240" w:lineRule="auto"/>
    </w:pPr>
    <w:rPr>
      <w:rFonts w:ascii="Times New Roman" w:hAnsi="Times New Roman"/>
      <w:sz w:val="20"/>
      <w:szCs w:val="20"/>
    </w:rPr>
  </w:style>
  <w:style w:type="character" w:customStyle="1" w:styleId="EndnoteTextChar">
    <w:name w:val="Endnote Text Char"/>
    <w:link w:val="EndnoteText"/>
    <w:rsid w:val="00EE69E3"/>
    <w:rPr>
      <w:rFonts w:ascii="Times New Roman" w:eastAsia="Times New Roman" w:hAnsi="Times New Roman" w:cs="Times New Roman"/>
      <w:lang w:val="en-US" w:eastAsia="en-US"/>
    </w:rPr>
  </w:style>
  <w:style w:type="character" w:styleId="EndnoteReference">
    <w:name w:val="endnote reference"/>
    <w:rsid w:val="00EE69E3"/>
    <w:rPr>
      <w:vertAlign w:val="superscript"/>
    </w:rPr>
  </w:style>
  <w:style w:type="paragraph" w:customStyle="1" w:styleId="RENA-normal">
    <w:name w:val="RENA-normal"/>
    <w:basedOn w:val="Normal"/>
    <w:link w:val="RENA-normalChar"/>
    <w:qFormat/>
    <w:rsid w:val="000653E9"/>
    <w:pPr>
      <w:spacing w:after="120" w:line="240" w:lineRule="auto"/>
      <w:jc w:val="both"/>
    </w:pPr>
    <w:rPr>
      <w:rFonts w:ascii="Garamond" w:hAnsi="Garamond"/>
      <w:szCs w:val="24"/>
    </w:rPr>
  </w:style>
  <w:style w:type="character" w:customStyle="1" w:styleId="RENA-normalChar">
    <w:name w:val="RENA-normal Char"/>
    <w:link w:val="RENA-normal"/>
    <w:locked/>
    <w:rsid w:val="000653E9"/>
    <w:rPr>
      <w:rFonts w:ascii="Garamond" w:eastAsia="Times New Roman" w:hAnsi="Garamond" w:cs="Garamond"/>
      <w:sz w:val="22"/>
      <w:szCs w:val="24"/>
      <w:lang w:val="en-US" w:eastAsia="en-US"/>
    </w:rPr>
  </w:style>
  <w:style w:type="paragraph" w:customStyle="1" w:styleId="RENAPM-Heading3">
    <w:name w:val="RENA PM-Heading 3"/>
    <w:basedOn w:val="Normal"/>
    <w:link w:val="RENAPM-Heading3Char"/>
    <w:uiPriority w:val="99"/>
    <w:qFormat/>
    <w:rsid w:val="000653E9"/>
    <w:pPr>
      <w:keepNext/>
      <w:spacing w:before="360" w:after="120" w:line="240" w:lineRule="auto"/>
      <w:jc w:val="both"/>
      <w:outlineLvl w:val="2"/>
    </w:pPr>
    <w:rPr>
      <w:rFonts w:ascii="Arial" w:hAnsi="Arial"/>
      <w:b/>
      <w:sz w:val="24"/>
      <w:szCs w:val="24"/>
    </w:rPr>
  </w:style>
  <w:style w:type="character" w:customStyle="1" w:styleId="RENAPM-Heading3Char">
    <w:name w:val="RENA PM-Heading 3 Char"/>
    <w:link w:val="RENAPM-Heading3"/>
    <w:uiPriority w:val="99"/>
    <w:locked/>
    <w:rsid w:val="000653E9"/>
    <w:rPr>
      <w:rFonts w:eastAsia="Times New Roman"/>
      <w:b/>
      <w:sz w:val="24"/>
      <w:szCs w:val="24"/>
      <w:lang w:val="en-US" w:eastAsia="en-US"/>
    </w:rPr>
  </w:style>
  <w:style w:type="paragraph" w:customStyle="1" w:styleId="RENANormal">
    <w:name w:val="RENA Normal"/>
    <w:basedOn w:val="Normal"/>
    <w:uiPriority w:val="99"/>
    <w:qFormat/>
    <w:rsid w:val="000653E9"/>
    <w:pPr>
      <w:spacing w:after="0" w:line="240" w:lineRule="auto"/>
    </w:pPr>
    <w:rPr>
      <w:rFonts w:ascii="Garamond" w:eastAsia="SimSun" w:hAnsi="Garamond"/>
      <w:szCs w:val="24"/>
      <w:lang w:val="en-GB" w:eastAsia="nl-NL"/>
    </w:rPr>
  </w:style>
  <w:style w:type="table" w:customStyle="1" w:styleId="TableGrid1">
    <w:name w:val="Table Grid1"/>
    <w:basedOn w:val="TableNormal"/>
    <w:next w:val="TableGrid"/>
    <w:uiPriority w:val="59"/>
    <w:rsid w:val="00002592"/>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1tekst"/>
    <w:basedOn w:val="Normal"/>
    <w:rsid w:val="00445342"/>
    <w:pPr>
      <w:spacing w:after="0" w:line="240" w:lineRule="auto"/>
      <w:ind w:left="340" w:right="340" w:firstLine="240"/>
      <w:jc w:val="both"/>
    </w:pPr>
    <w:rPr>
      <w:rFonts w:ascii="Arial" w:hAnsi="Arial" w:cs="Arial"/>
      <w:sz w:val="20"/>
      <w:szCs w:val="20"/>
    </w:rPr>
  </w:style>
  <w:style w:type="paragraph" w:styleId="TOCHeading">
    <w:name w:val="TOC Heading"/>
    <w:basedOn w:val="Heading1"/>
    <w:next w:val="Normal"/>
    <w:uiPriority w:val="39"/>
    <w:unhideWhenUsed/>
    <w:qFormat/>
    <w:rsid w:val="00E609E0"/>
    <w:pPr>
      <w:outlineLvl w:val="9"/>
    </w:pPr>
    <w:rPr>
      <w:rFonts w:eastAsia="MS Gothic"/>
      <w:color w:val="365F91"/>
      <w:lang w:eastAsia="ja-JP"/>
    </w:rPr>
  </w:style>
  <w:style w:type="paragraph" w:styleId="Revision">
    <w:name w:val="Revision"/>
    <w:hidden/>
    <w:uiPriority w:val="99"/>
    <w:semiHidden/>
    <w:rsid w:val="002958D3"/>
    <w:rPr>
      <w:rFonts w:ascii="Calibri" w:eastAsia="Times New Roman" w:hAnsi="Calibri" w:cs="Times New Roman"/>
      <w:sz w:val="22"/>
      <w:szCs w:val="22"/>
    </w:rPr>
  </w:style>
  <w:style w:type="character" w:customStyle="1" w:styleId="UnresolvedMention1">
    <w:name w:val="Unresolved Mention1"/>
    <w:uiPriority w:val="99"/>
    <w:semiHidden/>
    <w:unhideWhenUsed/>
    <w:rsid w:val="00676BF4"/>
    <w:rPr>
      <w:color w:val="605E5C"/>
      <w:shd w:val="clear" w:color="auto" w:fill="E1DFDD"/>
    </w:rPr>
  </w:style>
  <w:style w:type="character" w:styleId="FollowedHyperlink">
    <w:name w:val="FollowedHyperlink"/>
    <w:semiHidden/>
    <w:unhideWhenUsed/>
    <w:rsid w:val="002D5FE9"/>
    <w:rPr>
      <w:color w:val="954F72"/>
      <w:u w:val="single"/>
    </w:rPr>
  </w:style>
  <w:style w:type="paragraph" w:styleId="Caption">
    <w:name w:val="caption"/>
    <w:basedOn w:val="Normal"/>
    <w:next w:val="Normal"/>
    <w:uiPriority w:val="35"/>
    <w:unhideWhenUsed/>
    <w:qFormat/>
    <w:rsid w:val="00CA7E98"/>
    <w:pPr>
      <w:spacing w:line="240" w:lineRule="auto"/>
      <w:jc w:val="both"/>
    </w:pPr>
    <w:rPr>
      <w:rFonts w:ascii="Myriad Pro" w:hAnsi="Myriad Pro"/>
      <w:i/>
      <w:iCs/>
      <w:color w:val="1F497D"/>
      <w:sz w:val="18"/>
      <w:szCs w:val="18"/>
    </w:rPr>
  </w:style>
  <w:style w:type="table" w:styleId="MediumShading1-Accent2">
    <w:name w:val="Medium Shading 1 Accent 2"/>
    <w:basedOn w:val="TableNormal"/>
    <w:uiPriority w:val="63"/>
    <w:rsid w:val="005F66A3"/>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GridTable5Dark-Accent11">
    <w:name w:val="Grid Table 5 Dark - Accent 11"/>
    <w:basedOn w:val="TableNormal"/>
    <w:uiPriority w:val="50"/>
    <w:rsid w:val="008105D8"/>
    <w:rPr>
      <w:rFonts w:ascii="Calibri" w:eastAsia="Calibri" w:hAnsi="Calibri" w:cs="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5Dark-Accent111">
    <w:name w:val="Grid Table 5 Dark - Accent 111"/>
    <w:basedOn w:val="TableNormal"/>
    <w:uiPriority w:val="50"/>
    <w:rsid w:val="008105D8"/>
    <w:rPr>
      <w:rFonts w:ascii="Calibri" w:eastAsia="Calibri" w:hAnsi="Calibri" w:cs="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4963">
      <w:bodyDiv w:val="1"/>
      <w:marLeft w:val="0"/>
      <w:marRight w:val="0"/>
      <w:marTop w:val="0"/>
      <w:marBottom w:val="0"/>
      <w:divBdr>
        <w:top w:val="none" w:sz="0" w:space="0" w:color="auto"/>
        <w:left w:val="none" w:sz="0" w:space="0" w:color="auto"/>
        <w:bottom w:val="none" w:sz="0" w:space="0" w:color="auto"/>
        <w:right w:val="none" w:sz="0" w:space="0" w:color="auto"/>
      </w:divBdr>
    </w:div>
    <w:div w:id="32124166">
      <w:bodyDiv w:val="1"/>
      <w:marLeft w:val="0"/>
      <w:marRight w:val="0"/>
      <w:marTop w:val="0"/>
      <w:marBottom w:val="0"/>
      <w:divBdr>
        <w:top w:val="none" w:sz="0" w:space="0" w:color="auto"/>
        <w:left w:val="none" w:sz="0" w:space="0" w:color="auto"/>
        <w:bottom w:val="none" w:sz="0" w:space="0" w:color="auto"/>
        <w:right w:val="none" w:sz="0" w:space="0" w:color="auto"/>
      </w:divBdr>
    </w:div>
    <w:div w:id="35859560">
      <w:bodyDiv w:val="1"/>
      <w:marLeft w:val="0"/>
      <w:marRight w:val="0"/>
      <w:marTop w:val="0"/>
      <w:marBottom w:val="0"/>
      <w:divBdr>
        <w:top w:val="none" w:sz="0" w:space="0" w:color="auto"/>
        <w:left w:val="none" w:sz="0" w:space="0" w:color="auto"/>
        <w:bottom w:val="none" w:sz="0" w:space="0" w:color="auto"/>
        <w:right w:val="none" w:sz="0" w:space="0" w:color="auto"/>
      </w:divBdr>
    </w:div>
    <w:div w:id="115024397">
      <w:bodyDiv w:val="1"/>
      <w:marLeft w:val="0"/>
      <w:marRight w:val="0"/>
      <w:marTop w:val="0"/>
      <w:marBottom w:val="0"/>
      <w:divBdr>
        <w:top w:val="none" w:sz="0" w:space="0" w:color="auto"/>
        <w:left w:val="none" w:sz="0" w:space="0" w:color="auto"/>
        <w:bottom w:val="none" w:sz="0" w:space="0" w:color="auto"/>
        <w:right w:val="none" w:sz="0" w:space="0" w:color="auto"/>
      </w:divBdr>
    </w:div>
    <w:div w:id="120849600">
      <w:bodyDiv w:val="1"/>
      <w:marLeft w:val="0"/>
      <w:marRight w:val="0"/>
      <w:marTop w:val="0"/>
      <w:marBottom w:val="0"/>
      <w:divBdr>
        <w:top w:val="none" w:sz="0" w:space="0" w:color="auto"/>
        <w:left w:val="none" w:sz="0" w:space="0" w:color="auto"/>
        <w:bottom w:val="none" w:sz="0" w:space="0" w:color="auto"/>
        <w:right w:val="none" w:sz="0" w:space="0" w:color="auto"/>
      </w:divBdr>
    </w:div>
    <w:div w:id="131363936">
      <w:bodyDiv w:val="1"/>
      <w:marLeft w:val="0"/>
      <w:marRight w:val="0"/>
      <w:marTop w:val="0"/>
      <w:marBottom w:val="0"/>
      <w:divBdr>
        <w:top w:val="none" w:sz="0" w:space="0" w:color="auto"/>
        <w:left w:val="none" w:sz="0" w:space="0" w:color="auto"/>
        <w:bottom w:val="none" w:sz="0" w:space="0" w:color="auto"/>
        <w:right w:val="none" w:sz="0" w:space="0" w:color="auto"/>
      </w:divBdr>
    </w:div>
    <w:div w:id="220793355">
      <w:bodyDiv w:val="1"/>
      <w:marLeft w:val="0"/>
      <w:marRight w:val="0"/>
      <w:marTop w:val="0"/>
      <w:marBottom w:val="0"/>
      <w:divBdr>
        <w:top w:val="none" w:sz="0" w:space="0" w:color="auto"/>
        <w:left w:val="none" w:sz="0" w:space="0" w:color="auto"/>
        <w:bottom w:val="none" w:sz="0" w:space="0" w:color="auto"/>
        <w:right w:val="none" w:sz="0" w:space="0" w:color="auto"/>
      </w:divBdr>
    </w:div>
    <w:div w:id="221143642">
      <w:bodyDiv w:val="1"/>
      <w:marLeft w:val="0"/>
      <w:marRight w:val="0"/>
      <w:marTop w:val="0"/>
      <w:marBottom w:val="0"/>
      <w:divBdr>
        <w:top w:val="none" w:sz="0" w:space="0" w:color="auto"/>
        <w:left w:val="none" w:sz="0" w:space="0" w:color="auto"/>
        <w:bottom w:val="none" w:sz="0" w:space="0" w:color="auto"/>
        <w:right w:val="none" w:sz="0" w:space="0" w:color="auto"/>
      </w:divBdr>
    </w:div>
    <w:div w:id="221990117">
      <w:bodyDiv w:val="1"/>
      <w:marLeft w:val="0"/>
      <w:marRight w:val="0"/>
      <w:marTop w:val="0"/>
      <w:marBottom w:val="0"/>
      <w:divBdr>
        <w:top w:val="none" w:sz="0" w:space="0" w:color="auto"/>
        <w:left w:val="none" w:sz="0" w:space="0" w:color="auto"/>
        <w:bottom w:val="none" w:sz="0" w:space="0" w:color="auto"/>
        <w:right w:val="none" w:sz="0" w:space="0" w:color="auto"/>
      </w:divBdr>
      <w:divsChild>
        <w:div w:id="1085998884">
          <w:marLeft w:val="0"/>
          <w:marRight w:val="0"/>
          <w:marTop w:val="0"/>
          <w:marBottom w:val="0"/>
          <w:divBdr>
            <w:top w:val="none" w:sz="0" w:space="0" w:color="auto"/>
            <w:left w:val="none" w:sz="0" w:space="0" w:color="auto"/>
            <w:bottom w:val="none" w:sz="0" w:space="0" w:color="auto"/>
            <w:right w:val="none" w:sz="0" w:space="0" w:color="auto"/>
          </w:divBdr>
        </w:div>
      </w:divsChild>
    </w:div>
    <w:div w:id="224070051">
      <w:bodyDiv w:val="1"/>
      <w:marLeft w:val="0"/>
      <w:marRight w:val="0"/>
      <w:marTop w:val="0"/>
      <w:marBottom w:val="0"/>
      <w:divBdr>
        <w:top w:val="none" w:sz="0" w:space="0" w:color="auto"/>
        <w:left w:val="none" w:sz="0" w:space="0" w:color="auto"/>
        <w:bottom w:val="none" w:sz="0" w:space="0" w:color="auto"/>
        <w:right w:val="none" w:sz="0" w:space="0" w:color="auto"/>
      </w:divBdr>
    </w:div>
    <w:div w:id="296421186">
      <w:bodyDiv w:val="1"/>
      <w:marLeft w:val="0"/>
      <w:marRight w:val="0"/>
      <w:marTop w:val="0"/>
      <w:marBottom w:val="0"/>
      <w:divBdr>
        <w:top w:val="none" w:sz="0" w:space="0" w:color="auto"/>
        <w:left w:val="none" w:sz="0" w:space="0" w:color="auto"/>
        <w:bottom w:val="none" w:sz="0" w:space="0" w:color="auto"/>
        <w:right w:val="none" w:sz="0" w:space="0" w:color="auto"/>
      </w:divBdr>
    </w:div>
    <w:div w:id="298613803">
      <w:bodyDiv w:val="1"/>
      <w:marLeft w:val="0"/>
      <w:marRight w:val="0"/>
      <w:marTop w:val="0"/>
      <w:marBottom w:val="0"/>
      <w:divBdr>
        <w:top w:val="none" w:sz="0" w:space="0" w:color="auto"/>
        <w:left w:val="none" w:sz="0" w:space="0" w:color="auto"/>
        <w:bottom w:val="none" w:sz="0" w:space="0" w:color="auto"/>
        <w:right w:val="none" w:sz="0" w:space="0" w:color="auto"/>
      </w:divBdr>
    </w:div>
    <w:div w:id="312880721">
      <w:bodyDiv w:val="1"/>
      <w:marLeft w:val="0"/>
      <w:marRight w:val="0"/>
      <w:marTop w:val="0"/>
      <w:marBottom w:val="0"/>
      <w:divBdr>
        <w:top w:val="none" w:sz="0" w:space="0" w:color="auto"/>
        <w:left w:val="none" w:sz="0" w:space="0" w:color="auto"/>
        <w:bottom w:val="none" w:sz="0" w:space="0" w:color="auto"/>
        <w:right w:val="none" w:sz="0" w:space="0" w:color="auto"/>
      </w:divBdr>
    </w:div>
    <w:div w:id="315838894">
      <w:bodyDiv w:val="1"/>
      <w:marLeft w:val="0"/>
      <w:marRight w:val="0"/>
      <w:marTop w:val="0"/>
      <w:marBottom w:val="0"/>
      <w:divBdr>
        <w:top w:val="none" w:sz="0" w:space="0" w:color="auto"/>
        <w:left w:val="none" w:sz="0" w:space="0" w:color="auto"/>
        <w:bottom w:val="none" w:sz="0" w:space="0" w:color="auto"/>
        <w:right w:val="none" w:sz="0" w:space="0" w:color="auto"/>
      </w:divBdr>
    </w:div>
    <w:div w:id="365519559">
      <w:bodyDiv w:val="1"/>
      <w:marLeft w:val="0"/>
      <w:marRight w:val="0"/>
      <w:marTop w:val="0"/>
      <w:marBottom w:val="0"/>
      <w:divBdr>
        <w:top w:val="none" w:sz="0" w:space="0" w:color="auto"/>
        <w:left w:val="none" w:sz="0" w:space="0" w:color="auto"/>
        <w:bottom w:val="none" w:sz="0" w:space="0" w:color="auto"/>
        <w:right w:val="none" w:sz="0" w:space="0" w:color="auto"/>
      </w:divBdr>
    </w:div>
    <w:div w:id="369578179">
      <w:bodyDiv w:val="1"/>
      <w:marLeft w:val="0"/>
      <w:marRight w:val="0"/>
      <w:marTop w:val="0"/>
      <w:marBottom w:val="0"/>
      <w:divBdr>
        <w:top w:val="none" w:sz="0" w:space="0" w:color="auto"/>
        <w:left w:val="none" w:sz="0" w:space="0" w:color="auto"/>
        <w:bottom w:val="none" w:sz="0" w:space="0" w:color="auto"/>
        <w:right w:val="none" w:sz="0" w:space="0" w:color="auto"/>
      </w:divBdr>
    </w:div>
    <w:div w:id="383799599">
      <w:bodyDiv w:val="1"/>
      <w:marLeft w:val="0"/>
      <w:marRight w:val="0"/>
      <w:marTop w:val="0"/>
      <w:marBottom w:val="0"/>
      <w:divBdr>
        <w:top w:val="none" w:sz="0" w:space="0" w:color="auto"/>
        <w:left w:val="none" w:sz="0" w:space="0" w:color="auto"/>
        <w:bottom w:val="none" w:sz="0" w:space="0" w:color="auto"/>
        <w:right w:val="none" w:sz="0" w:space="0" w:color="auto"/>
      </w:divBdr>
    </w:div>
    <w:div w:id="397629608">
      <w:bodyDiv w:val="1"/>
      <w:marLeft w:val="0"/>
      <w:marRight w:val="0"/>
      <w:marTop w:val="0"/>
      <w:marBottom w:val="0"/>
      <w:divBdr>
        <w:top w:val="none" w:sz="0" w:space="0" w:color="auto"/>
        <w:left w:val="none" w:sz="0" w:space="0" w:color="auto"/>
        <w:bottom w:val="none" w:sz="0" w:space="0" w:color="auto"/>
        <w:right w:val="none" w:sz="0" w:space="0" w:color="auto"/>
      </w:divBdr>
    </w:div>
    <w:div w:id="448932263">
      <w:bodyDiv w:val="1"/>
      <w:marLeft w:val="0"/>
      <w:marRight w:val="0"/>
      <w:marTop w:val="0"/>
      <w:marBottom w:val="0"/>
      <w:divBdr>
        <w:top w:val="none" w:sz="0" w:space="0" w:color="auto"/>
        <w:left w:val="none" w:sz="0" w:space="0" w:color="auto"/>
        <w:bottom w:val="none" w:sz="0" w:space="0" w:color="auto"/>
        <w:right w:val="none" w:sz="0" w:space="0" w:color="auto"/>
      </w:divBdr>
    </w:div>
    <w:div w:id="454715321">
      <w:bodyDiv w:val="1"/>
      <w:marLeft w:val="0"/>
      <w:marRight w:val="0"/>
      <w:marTop w:val="0"/>
      <w:marBottom w:val="0"/>
      <w:divBdr>
        <w:top w:val="none" w:sz="0" w:space="0" w:color="auto"/>
        <w:left w:val="none" w:sz="0" w:space="0" w:color="auto"/>
        <w:bottom w:val="none" w:sz="0" w:space="0" w:color="auto"/>
        <w:right w:val="none" w:sz="0" w:space="0" w:color="auto"/>
      </w:divBdr>
    </w:div>
    <w:div w:id="459765187">
      <w:bodyDiv w:val="1"/>
      <w:marLeft w:val="0"/>
      <w:marRight w:val="0"/>
      <w:marTop w:val="0"/>
      <w:marBottom w:val="0"/>
      <w:divBdr>
        <w:top w:val="none" w:sz="0" w:space="0" w:color="auto"/>
        <w:left w:val="none" w:sz="0" w:space="0" w:color="auto"/>
        <w:bottom w:val="none" w:sz="0" w:space="0" w:color="auto"/>
        <w:right w:val="none" w:sz="0" w:space="0" w:color="auto"/>
      </w:divBdr>
    </w:div>
    <w:div w:id="466124441">
      <w:bodyDiv w:val="1"/>
      <w:marLeft w:val="0"/>
      <w:marRight w:val="0"/>
      <w:marTop w:val="0"/>
      <w:marBottom w:val="0"/>
      <w:divBdr>
        <w:top w:val="none" w:sz="0" w:space="0" w:color="auto"/>
        <w:left w:val="none" w:sz="0" w:space="0" w:color="auto"/>
        <w:bottom w:val="none" w:sz="0" w:space="0" w:color="auto"/>
        <w:right w:val="none" w:sz="0" w:space="0" w:color="auto"/>
      </w:divBdr>
    </w:div>
    <w:div w:id="491870045">
      <w:bodyDiv w:val="1"/>
      <w:marLeft w:val="0"/>
      <w:marRight w:val="0"/>
      <w:marTop w:val="0"/>
      <w:marBottom w:val="0"/>
      <w:divBdr>
        <w:top w:val="none" w:sz="0" w:space="0" w:color="auto"/>
        <w:left w:val="none" w:sz="0" w:space="0" w:color="auto"/>
        <w:bottom w:val="none" w:sz="0" w:space="0" w:color="auto"/>
        <w:right w:val="none" w:sz="0" w:space="0" w:color="auto"/>
      </w:divBdr>
      <w:divsChild>
        <w:div w:id="1920361129">
          <w:marLeft w:val="720"/>
          <w:marRight w:val="0"/>
          <w:marTop w:val="0"/>
          <w:marBottom w:val="0"/>
          <w:divBdr>
            <w:top w:val="none" w:sz="0" w:space="0" w:color="auto"/>
            <w:left w:val="none" w:sz="0" w:space="0" w:color="auto"/>
            <w:bottom w:val="none" w:sz="0" w:space="0" w:color="auto"/>
            <w:right w:val="none" w:sz="0" w:space="0" w:color="auto"/>
          </w:divBdr>
        </w:div>
      </w:divsChild>
    </w:div>
    <w:div w:id="527106696">
      <w:bodyDiv w:val="1"/>
      <w:marLeft w:val="0"/>
      <w:marRight w:val="0"/>
      <w:marTop w:val="0"/>
      <w:marBottom w:val="0"/>
      <w:divBdr>
        <w:top w:val="none" w:sz="0" w:space="0" w:color="auto"/>
        <w:left w:val="none" w:sz="0" w:space="0" w:color="auto"/>
        <w:bottom w:val="none" w:sz="0" w:space="0" w:color="auto"/>
        <w:right w:val="none" w:sz="0" w:space="0" w:color="auto"/>
      </w:divBdr>
    </w:div>
    <w:div w:id="533033044">
      <w:bodyDiv w:val="1"/>
      <w:marLeft w:val="0"/>
      <w:marRight w:val="0"/>
      <w:marTop w:val="0"/>
      <w:marBottom w:val="0"/>
      <w:divBdr>
        <w:top w:val="none" w:sz="0" w:space="0" w:color="auto"/>
        <w:left w:val="none" w:sz="0" w:space="0" w:color="auto"/>
        <w:bottom w:val="none" w:sz="0" w:space="0" w:color="auto"/>
        <w:right w:val="none" w:sz="0" w:space="0" w:color="auto"/>
      </w:divBdr>
    </w:div>
    <w:div w:id="576210817">
      <w:bodyDiv w:val="1"/>
      <w:marLeft w:val="0"/>
      <w:marRight w:val="0"/>
      <w:marTop w:val="0"/>
      <w:marBottom w:val="0"/>
      <w:divBdr>
        <w:top w:val="none" w:sz="0" w:space="0" w:color="auto"/>
        <w:left w:val="none" w:sz="0" w:space="0" w:color="auto"/>
        <w:bottom w:val="none" w:sz="0" w:space="0" w:color="auto"/>
        <w:right w:val="none" w:sz="0" w:space="0" w:color="auto"/>
      </w:divBdr>
    </w:div>
    <w:div w:id="608048545">
      <w:bodyDiv w:val="1"/>
      <w:marLeft w:val="0"/>
      <w:marRight w:val="0"/>
      <w:marTop w:val="0"/>
      <w:marBottom w:val="0"/>
      <w:divBdr>
        <w:top w:val="none" w:sz="0" w:space="0" w:color="auto"/>
        <w:left w:val="none" w:sz="0" w:space="0" w:color="auto"/>
        <w:bottom w:val="none" w:sz="0" w:space="0" w:color="auto"/>
        <w:right w:val="none" w:sz="0" w:space="0" w:color="auto"/>
      </w:divBdr>
    </w:div>
    <w:div w:id="625355857">
      <w:bodyDiv w:val="1"/>
      <w:marLeft w:val="0"/>
      <w:marRight w:val="0"/>
      <w:marTop w:val="0"/>
      <w:marBottom w:val="0"/>
      <w:divBdr>
        <w:top w:val="none" w:sz="0" w:space="0" w:color="auto"/>
        <w:left w:val="none" w:sz="0" w:space="0" w:color="auto"/>
        <w:bottom w:val="none" w:sz="0" w:space="0" w:color="auto"/>
        <w:right w:val="none" w:sz="0" w:space="0" w:color="auto"/>
      </w:divBdr>
    </w:div>
    <w:div w:id="633759710">
      <w:bodyDiv w:val="1"/>
      <w:marLeft w:val="0"/>
      <w:marRight w:val="0"/>
      <w:marTop w:val="0"/>
      <w:marBottom w:val="0"/>
      <w:divBdr>
        <w:top w:val="none" w:sz="0" w:space="0" w:color="auto"/>
        <w:left w:val="none" w:sz="0" w:space="0" w:color="auto"/>
        <w:bottom w:val="none" w:sz="0" w:space="0" w:color="auto"/>
        <w:right w:val="none" w:sz="0" w:space="0" w:color="auto"/>
      </w:divBdr>
    </w:div>
    <w:div w:id="652416372">
      <w:bodyDiv w:val="1"/>
      <w:marLeft w:val="0"/>
      <w:marRight w:val="0"/>
      <w:marTop w:val="0"/>
      <w:marBottom w:val="0"/>
      <w:divBdr>
        <w:top w:val="none" w:sz="0" w:space="0" w:color="auto"/>
        <w:left w:val="none" w:sz="0" w:space="0" w:color="auto"/>
        <w:bottom w:val="none" w:sz="0" w:space="0" w:color="auto"/>
        <w:right w:val="none" w:sz="0" w:space="0" w:color="auto"/>
      </w:divBdr>
    </w:div>
    <w:div w:id="654064544">
      <w:bodyDiv w:val="1"/>
      <w:marLeft w:val="0"/>
      <w:marRight w:val="0"/>
      <w:marTop w:val="0"/>
      <w:marBottom w:val="0"/>
      <w:divBdr>
        <w:top w:val="none" w:sz="0" w:space="0" w:color="auto"/>
        <w:left w:val="none" w:sz="0" w:space="0" w:color="auto"/>
        <w:bottom w:val="none" w:sz="0" w:space="0" w:color="auto"/>
        <w:right w:val="none" w:sz="0" w:space="0" w:color="auto"/>
      </w:divBdr>
    </w:div>
    <w:div w:id="698549561">
      <w:bodyDiv w:val="1"/>
      <w:marLeft w:val="0"/>
      <w:marRight w:val="0"/>
      <w:marTop w:val="0"/>
      <w:marBottom w:val="0"/>
      <w:divBdr>
        <w:top w:val="none" w:sz="0" w:space="0" w:color="auto"/>
        <w:left w:val="none" w:sz="0" w:space="0" w:color="auto"/>
        <w:bottom w:val="none" w:sz="0" w:space="0" w:color="auto"/>
        <w:right w:val="none" w:sz="0" w:space="0" w:color="auto"/>
      </w:divBdr>
    </w:div>
    <w:div w:id="737560079">
      <w:bodyDiv w:val="1"/>
      <w:marLeft w:val="0"/>
      <w:marRight w:val="0"/>
      <w:marTop w:val="0"/>
      <w:marBottom w:val="0"/>
      <w:divBdr>
        <w:top w:val="none" w:sz="0" w:space="0" w:color="auto"/>
        <w:left w:val="none" w:sz="0" w:space="0" w:color="auto"/>
        <w:bottom w:val="none" w:sz="0" w:space="0" w:color="auto"/>
        <w:right w:val="none" w:sz="0" w:space="0" w:color="auto"/>
      </w:divBdr>
    </w:div>
    <w:div w:id="802650069">
      <w:bodyDiv w:val="1"/>
      <w:marLeft w:val="0"/>
      <w:marRight w:val="0"/>
      <w:marTop w:val="0"/>
      <w:marBottom w:val="0"/>
      <w:divBdr>
        <w:top w:val="none" w:sz="0" w:space="0" w:color="auto"/>
        <w:left w:val="none" w:sz="0" w:space="0" w:color="auto"/>
        <w:bottom w:val="none" w:sz="0" w:space="0" w:color="auto"/>
        <w:right w:val="none" w:sz="0" w:space="0" w:color="auto"/>
      </w:divBdr>
    </w:div>
    <w:div w:id="803815404">
      <w:bodyDiv w:val="1"/>
      <w:marLeft w:val="0"/>
      <w:marRight w:val="0"/>
      <w:marTop w:val="0"/>
      <w:marBottom w:val="0"/>
      <w:divBdr>
        <w:top w:val="none" w:sz="0" w:space="0" w:color="auto"/>
        <w:left w:val="none" w:sz="0" w:space="0" w:color="auto"/>
        <w:bottom w:val="none" w:sz="0" w:space="0" w:color="auto"/>
        <w:right w:val="none" w:sz="0" w:space="0" w:color="auto"/>
      </w:divBdr>
    </w:div>
    <w:div w:id="806701109">
      <w:bodyDiv w:val="1"/>
      <w:marLeft w:val="0"/>
      <w:marRight w:val="0"/>
      <w:marTop w:val="0"/>
      <w:marBottom w:val="0"/>
      <w:divBdr>
        <w:top w:val="none" w:sz="0" w:space="0" w:color="auto"/>
        <w:left w:val="none" w:sz="0" w:space="0" w:color="auto"/>
        <w:bottom w:val="none" w:sz="0" w:space="0" w:color="auto"/>
        <w:right w:val="none" w:sz="0" w:space="0" w:color="auto"/>
      </w:divBdr>
    </w:div>
    <w:div w:id="831484934">
      <w:bodyDiv w:val="1"/>
      <w:marLeft w:val="0"/>
      <w:marRight w:val="0"/>
      <w:marTop w:val="0"/>
      <w:marBottom w:val="0"/>
      <w:divBdr>
        <w:top w:val="none" w:sz="0" w:space="0" w:color="auto"/>
        <w:left w:val="none" w:sz="0" w:space="0" w:color="auto"/>
        <w:bottom w:val="none" w:sz="0" w:space="0" w:color="auto"/>
        <w:right w:val="none" w:sz="0" w:space="0" w:color="auto"/>
      </w:divBdr>
    </w:div>
    <w:div w:id="850218918">
      <w:bodyDiv w:val="1"/>
      <w:marLeft w:val="0"/>
      <w:marRight w:val="0"/>
      <w:marTop w:val="0"/>
      <w:marBottom w:val="0"/>
      <w:divBdr>
        <w:top w:val="none" w:sz="0" w:space="0" w:color="auto"/>
        <w:left w:val="none" w:sz="0" w:space="0" w:color="auto"/>
        <w:bottom w:val="none" w:sz="0" w:space="0" w:color="auto"/>
        <w:right w:val="none" w:sz="0" w:space="0" w:color="auto"/>
      </w:divBdr>
    </w:div>
    <w:div w:id="900402738">
      <w:bodyDiv w:val="1"/>
      <w:marLeft w:val="0"/>
      <w:marRight w:val="0"/>
      <w:marTop w:val="0"/>
      <w:marBottom w:val="0"/>
      <w:divBdr>
        <w:top w:val="none" w:sz="0" w:space="0" w:color="auto"/>
        <w:left w:val="none" w:sz="0" w:space="0" w:color="auto"/>
        <w:bottom w:val="none" w:sz="0" w:space="0" w:color="auto"/>
        <w:right w:val="none" w:sz="0" w:space="0" w:color="auto"/>
      </w:divBdr>
    </w:div>
    <w:div w:id="922688795">
      <w:bodyDiv w:val="1"/>
      <w:marLeft w:val="0"/>
      <w:marRight w:val="0"/>
      <w:marTop w:val="0"/>
      <w:marBottom w:val="0"/>
      <w:divBdr>
        <w:top w:val="none" w:sz="0" w:space="0" w:color="auto"/>
        <w:left w:val="none" w:sz="0" w:space="0" w:color="auto"/>
        <w:bottom w:val="none" w:sz="0" w:space="0" w:color="auto"/>
        <w:right w:val="none" w:sz="0" w:space="0" w:color="auto"/>
      </w:divBdr>
    </w:div>
    <w:div w:id="954337045">
      <w:bodyDiv w:val="1"/>
      <w:marLeft w:val="0"/>
      <w:marRight w:val="0"/>
      <w:marTop w:val="0"/>
      <w:marBottom w:val="0"/>
      <w:divBdr>
        <w:top w:val="none" w:sz="0" w:space="0" w:color="auto"/>
        <w:left w:val="none" w:sz="0" w:space="0" w:color="auto"/>
        <w:bottom w:val="none" w:sz="0" w:space="0" w:color="auto"/>
        <w:right w:val="none" w:sz="0" w:space="0" w:color="auto"/>
      </w:divBdr>
    </w:div>
    <w:div w:id="954948395">
      <w:bodyDiv w:val="1"/>
      <w:marLeft w:val="0"/>
      <w:marRight w:val="0"/>
      <w:marTop w:val="0"/>
      <w:marBottom w:val="0"/>
      <w:divBdr>
        <w:top w:val="none" w:sz="0" w:space="0" w:color="auto"/>
        <w:left w:val="none" w:sz="0" w:space="0" w:color="auto"/>
        <w:bottom w:val="none" w:sz="0" w:space="0" w:color="auto"/>
        <w:right w:val="none" w:sz="0" w:space="0" w:color="auto"/>
      </w:divBdr>
    </w:div>
    <w:div w:id="994645022">
      <w:bodyDiv w:val="1"/>
      <w:marLeft w:val="0"/>
      <w:marRight w:val="0"/>
      <w:marTop w:val="0"/>
      <w:marBottom w:val="0"/>
      <w:divBdr>
        <w:top w:val="none" w:sz="0" w:space="0" w:color="auto"/>
        <w:left w:val="none" w:sz="0" w:space="0" w:color="auto"/>
        <w:bottom w:val="none" w:sz="0" w:space="0" w:color="auto"/>
        <w:right w:val="none" w:sz="0" w:space="0" w:color="auto"/>
      </w:divBdr>
    </w:div>
    <w:div w:id="1019549109">
      <w:bodyDiv w:val="1"/>
      <w:marLeft w:val="0"/>
      <w:marRight w:val="0"/>
      <w:marTop w:val="0"/>
      <w:marBottom w:val="0"/>
      <w:divBdr>
        <w:top w:val="none" w:sz="0" w:space="0" w:color="auto"/>
        <w:left w:val="none" w:sz="0" w:space="0" w:color="auto"/>
        <w:bottom w:val="none" w:sz="0" w:space="0" w:color="auto"/>
        <w:right w:val="none" w:sz="0" w:space="0" w:color="auto"/>
      </w:divBdr>
    </w:div>
    <w:div w:id="1042943144">
      <w:bodyDiv w:val="1"/>
      <w:marLeft w:val="0"/>
      <w:marRight w:val="0"/>
      <w:marTop w:val="0"/>
      <w:marBottom w:val="0"/>
      <w:divBdr>
        <w:top w:val="none" w:sz="0" w:space="0" w:color="auto"/>
        <w:left w:val="none" w:sz="0" w:space="0" w:color="auto"/>
        <w:bottom w:val="none" w:sz="0" w:space="0" w:color="auto"/>
        <w:right w:val="none" w:sz="0" w:space="0" w:color="auto"/>
      </w:divBdr>
    </w:div>
    <w:div w:id="1049306297">
      <w:bodyDiv w:val="1"/>
      <w:marLeft w:val="0"/>
      <w:marRight w:val="0"/>
      <w:marTop w:val="0"/>
      <w:marBottom w:val="0"/>
      <w:divBdr>
        <w:top w:val="none" w:sz="0" w:space="0" w:color="auto"/>
        <w:left w:val="none" w:sz="0" w:space="0" w:color="auto"/>
        <w:bottom w:val="none" w:sz="0" w:space="0" w:color="auto"/>
        <w:right w:val="none" w:sz="0" w:space="0" w:color="auto"/>
      </w:divBdr>
    </w:div>
    <w:div w:id="1064136006">
      <w:bodyDiv w:val="1"/>
      <w:marLeft w:val="0"/>
      <w:marRight w:val="0"/>
      <w:marTop w:val="0"/>
      <w:marBottom w:val="0"/>
      <w:divBdr>
        <w:top w:val="none" w:sz="0" w:space="0" w:color="auto"/>
        <w:left w:val="none" w:sz="0" w:space="0" w:color="auto"/>
        <w:bottom w:val="none" w:sz="0" w:space="0" w:color="auto"/>
        <w:right w:val="none" w:sz="0" w:space="0" w:color="auto"/>
      </w:divBdr>
    </w:div>
    <w:div w:id="1066683158">
      <w:bodyDiv w:val="1"/>
      <w:marLeft w:val="0"/>
      <w:marRight w:val="0"/>
      <w:marTop w:val="0"/>
      <w:marBottom w:val="0"/>
      <w:divBdr>
        <w:top w:val="none" w:sz="0" w:space="0" w:color="auto"/>
        <w:left w:val="none" w:sz="0" w:space="0" w:color="auto"/>
        <w:bottom w:val="none" w:sz="0" w:space="0" w:color="auto"/>
        <w:right w:val="none" w:sz="0" w:space="0" w:color="auto"/>
      </w:divBdr>
    </w:div>
    <w:div w:id="1089545935">
      <w:bodyDiv w:val="1"/>
      <w:marLeft w:val="0"/>
      <w:marRight w:val="0"/>
      <w:marTop w:val="0"/>
      <w:marBottom w:val="0"/>
      <w:divBdr>
        <w:top w:val="none" w:sz="0" w:space="0" w:color="auto"/>
        <w:left w:val="none" w:sz="0" w:space="0" w:color="auto"/>
        <w:bottom w:val="none" w:sz="0" w:space="0" w:color="auto"/>
        <w:right w:val="none" w:sz="0" w:space="0" w:color="auto"/>
      </w:divBdr>
    </w:div>
    <w:div w:id="1102266158">
      <w:bodyDiv w:val="1"/>
      <w:marLeft w:val="0"/>
      <w:marRight w:val="0"/>
      <w:marTop w:val="0"/>
      <w:marBottom w:val="0"/>
      <w:divBdr>
        <w:top w:val="none" w:sz="0" w:space="0" w:color="auto"/>
        <w:left w:val="none" w:sz="0" w:space="0" w:color="auto"/>
        <w:bottom w:val="none" w:sz="0" w:space="0" w:color="auto"/>
        <w:right w:val="none" w:sz="0" w:space="0" w:color="auto"/>
      </w:divBdr>
    </w:div>
    <w:div w:id="1123501776">
      <w:bodyDiv w:val="1"/>
      <w:marLeft w:val="0"/>
      <w:marRight w:val="0"/>
      <w:marTop w:val="0"/>
      <w:marBottom w:val="0"/>
      <w:divBdr>
        <w:top w:val="none" w:sz="0" w:space="0" w:color="auto"/>
        <w:left w:val="none" w:sz="0" w:space="0" w:color="auto"/>
        <w:bottom w:val="none" w:sz="0" w:space="0" w:color="auto"/>
        <w:right w:val="none" w:sz="0" w:space="0" w:color="auto"/>
      </w:divBdr>
    </w:div>
    <w:div w:id="1125273073">
      <w:bodyDiv w:val="1"/>
      <w:marLeft w:val="0"/>
      <w:marRight w:val="0"/>
      <w:marTop w:val="0"/>
      <w:marBottom w:val="0"/>
      <w:divBdr>
        <w:top w:val="none" w:sz="0" w:space="0" w:color="auto"/>
        <w:left w:val="none" w:sz="0" w:space="0" w:color="auto"/>
        <w:bottom w:val="none" w:sz="0" w:space="0" w:color="auto"/>
        <w:right w:val="none" w:sz="0" w:space="0" w:color="auto"/>
      </w:divBdr>
    </w:div>
    <w:div w:id="1131632623">
      <w:bodyDiv w:val="1"/>
      <w:marLeft w:val="0"/>
      <w:marRight w:val="0"/>
      <w:marTop w:val="0"/>
      <w:marBottom w:val="0"/>
      <w:divBdr>
        <w:top w:val="none" w:sz="0" w:space="0" w:color="auto"/>
        <w:left w:val="none" w:sz="0" w:space="0" w:color="auto"/>
        <w:bottom w:val="none" w:sz="0" w:space="0" w:color="auto"/>
        <w:right w:val="none" w:sz="0" w:space="0" w:color="auto"/>
      </w:divBdr>
    </w:div>
    <w:div w:id="1194197216">
      <w:bodyDiv w:val="1"/>
      <w:marLeft w:val="0"/>
      <w:marRight w:val="0"/>
      <w:marTop w:val="0"/>
      <w:marBottom w:val="0"/>
      <w:divBdr>
        <w:top w:val="none" w:sz="0" w:space="0" w:color="auto"/>
        <w:left w:val="none" w:sz="0" w:space="0" w:color="auto"/>
        <w:bottom w:val="none" w:sz="0" w:space="0" w:color="auto"/>
        <w:right w:val="none" w:sz="0" w:space="0" w:color="auto"/>
      </w:divBdr>
    </w:div>
    <w:div w:id="1231043712">
      <w:bodyDiv w:val="1"/>
      <w:marLeft w:val="0"/>
      <w:marRight w:val="0"/>
      <w:marTop w:val="0"/>
      <w:marBottom w:val="0"/>
      <w:divBdr>
        <w:top w:val="none" w:sz="0" w:space="0" w:color="auto"/>
        <w:left w:val="none" w:sz="0" w:space="0" w:color="auto"/>
        <w:bottom w:val="none" w:sz="0" w:space="0" w:color="auto"/>
        <w:right w:val="none" w:sz="0" w:space="0" w:color="auto"/>
      </w:divBdr>
    </w:div>
    <w:div w:id="1233810157">
      <w:bodyDiv w:val="1"/>
      <w:marLeft w:val="0"/>
      <w:marRight w:val="0"/>
      <w:marTop w:val="0"/>
      <w:marBottom w:val="0"/>
      <w:divBdr>
        <w:top w:val="none" w:sz="0" w:space="0" w:color="auto"/>
        <w:left w:val="none" w:sz="0" w:space="0" w:color="auto"/>
        <w:bottom w:val="none" w:sz="0" w:space="0" w:color="auto"/>
        <w:right w:val="none" w:sz="0" w:space="0" w:color="auto"/>
      </w:divBdr>
    </w:div>
    <w:div w:id="1247879743">
      <w:bodyDiv w:val="1"/>
      <w:marLeft w:val="0"/>
      <w:marRight w:val="0"/>
      <w:marTop w:val="0"/>
      <w:marBottom w:val="0"/>
      <w:divBdr>
        <w:top w:val="none" w:sz="0" w:space="0" w:color="auto"/>
        <w:left w:val="none" w:sz="0" w:space="0" w:color="auto"/>
        <w:bottom w:val="none" w:sz="0" w:space="0" w:color="auto"/>
        <w:right w:val="none" w:sz="0" w:space="0" w:color="auto"/>
      </w:divBdr>
    </w:div>
    <w:div w:id="1439519028">
      <w:bodyDiv w:val="1"/>
      <w:marLeft w:val="0"/>
      <w:marRight w:val="0"/>
      <w:marTop w:val="0"/>
      <w:marBottom w:val="0"/>
      <w:divBdr>
        <w:top w:val="none" w:sz="0" w:space="0" w:color="auto"/>
        <w:left w:val="none" w:sz="0" w:space="0" w:color="auto"/>
        <w:bottom w:val="none" w:sz="0" w:space="0" w:color="auto"/>
        <w:right w:val="none" w:sz="0" w:space="0" w:color="auto"/>
      </w:divBdr>
      <w:divsChild>
        <w:div w:id="403572689">
          <w:marLeft w:val="0"/>
          <w:marRight w:val="0"/>
          <w:marTop w:val="0"/>
          <w:marBottom w:val="0"/>
          <w:divBdr>
            <w:top w:val="none" w:sz="0" w:space="0" w:color="auto"/>
            <w:left w:val="none" w:sz="0" w:space="0" w:color="auto"/>
            <w:bottom w:val="none" w:sz="0" w:space="0" w:color="auto"/>
            <w:right w:val="none" w:sz="0" w:space="0" w:color="auto"/>
          </w:divBdr>
        </w:div>
      </w:divsChild>
    </w:div>
    <w:div w:id="1443960431">
      <w:bodyDiv w:val="1"/>
      <w:marLeft w:val="0"/>
      <w:marRight w:val="0"/>
      <w:marTop w:val="0"/>
      <w:marBottom w:val="0"/>
      <w:divBdr>
        <w:top w:val="none" w:sz="0" w:space="0" w:color="auto"/>
        <w:left w:val="none" w:sz="0" w:space="0" w:color="auto"/>
        <w:bottom w:val="none" w:sz="0" w:space="0" w:color="auto"/>
        <w:right w:val="none" w:sz="0" w:space="0" w:color="auto"/>
      </w:divBdr>
    </w:div>
    <w:div w:id="1461457779">
      <w:bodyDiv w:val="1"/>
      <w:marLeft w:val="0"/>
      <w:marRight w:val="0"/>
      <w:marTop w:val="0"/>
      <w:marBottom w:val="0"/>
      <w:divBdr>
        <w:top w:val="none" w:sz="0" w:space="0" w:color="auto"/>
        <w:left w:val="none" w:sz="0" w:space="0" w:color="auto"/>
        <w:bottom w:val="none" w:sz="0" w:space="0" w:color="auto"/>
        <w:right w:val="none" w:sz="0" w:space="0" w:color="auto"/>
      </w:divBdr>
    </w:div>
    <w:div w:id="1475442568">
      <w:bodyDiv w:val="1"/>
      <w:marLeft w:val="0"/>
      <w:marRight w:val="0"/>
      <w:marTop w:val="0"/>
      <w:marBottom w:val="0"/>
      <w:divBdr>
        <w:top w:val="none" w:sz="0" w:space="0" w:color="auto"/>
        <w:left w:val="none" w:sz="0" w:space="0" w:color="auto"/>
        <w:bottom w:val="none" w:sz="0" w:space="0" w:color="auto"/>
        <w:right w:val="none" w:sz="0" w:space="0" w:color="auto"/>
      </w:divBdr>
    </w:div>
    <w:div w:id="1501626496">
      <w:bodyDiv w:val="1"/>
      <w:marLeft w:val="0"/>
      <w:marRight w:val="0"/>
      <w:marTop w:val="0"/>
      <w:marBottom w:val="0"/>
      <w:divBdr>
        <w:top w:val="none" w:sz="0" w:space="0" w:color="auto"/>
        <w:left w:val="none" w:sz="0" w:space="0" w:color="auto"/>
        <w:bottom w:val="none" w:sz="0" w:space="0" w:color="auto"/>
        <w:right w:val="none" w:sz="0" w:space="0" w:color="auto"/>
      </w:divBdr>
    </w:div>
    <w:div w:id="1506017923">
      <w:bodyDiv w:val="1"/>
      <w:marLeft w:val="0"/>
      <w:marRight w:val="0"/>
      <w:marTop w:val="0"/>
      <w:marBottom w:val="0"/>
      <w:divBdr>
        <w:top w:val="none" w:sz="0" w:space="0" w:color="auto"/>
        <w:left w:val="none" w:sz="0" w:space="0" w:color="auto"/>
        <w:bottom w:val="none" w:sz="0" w:space="0" w:color="auto"/>
        <w:right w:val="none" w:sz="0" w:space="0" w:color="auto"/>
      </w:divBdr>
    </w:div>
    <w:div w:id="1515529677">
      <w:bodyDiv w:val="1"/>
      <w:marLeft w:val="0"/>
      <w:marRight w:val="0"/>
      <w:marTop w:val="0"/>
      <w:marBottom w:val="0"/>
      <w:divBdr>
        <w:top w:val="none" w:sz="0" w:space="0" w:color="auto"/>
        <w:left w:val="none" w:sz="0" w:space="0" w:color="auto"/>
        <w:bottom w:val="none" w:sz="0" w:space="0" w:color="auto"/>
        <w:right w:val="none" w:sz="0" w:space="0" w:color="auto"/>
      </w:divBdr>
    </w:div>
    <w:div w:id="1535926803">
      <w:bodyDiv w:val="1"/>
      <w:marLeft w:val="0"/>
      <w:marRight w:val="0"/>
      <w:marTop w:val="0"/>
      <w:marBottom w:val="0"/>
      <w:divBdr>
        <w:top w:val="none" w:sz="0" w:space="0" w:color="auto"/>
        <w:left w:val="none" w:sz="0" w:space="0" w:color="auto"/>
        <w:bottom w:val="none" w:sz="0" w:space="0" w:color="auto"/>
        <w:right w:val="none" w:sz="0" w:space="0" w:color="auto"/>
      </w:divBdr>
      <w:divsChild>
        <w:div w:id="751314288">
          <w:marLeft w:val="0"/>
          <w:marRight w:val="0"/>
          <w:marTop w:val="0"/>
          <w:marBottom w:val="0"/>
          <w:divBdr>
            <w:top w:val="none" w:sz="0" w:space="0" w:color="auto"/>
            <w:left w:val="none" w:sz="0" w:space="0" w:color="auto"/>
            <w:bottom w:val="none" w:sz="0" w:space="0" w:color="auto"/>
            <w:right w:val="none" w:sz="0" w:space="0" w:color="auto"/>
          </w:divBdr>
        </w:div>
        <w:div w:id="1287617202">
          <w:marLeft w:val="0"/>
          <w:marRight w:val="0"/>
          <w:marTop w:val="0"/>
          <w:marBottom w:val="0"/>
          <w:divBdr>
            <w:top w:val="none" w:sz="0" w:space="0" w:color="auto"/>
            <w:left w:val="none" w:sz="0" w:space="0" w:color="auto"/>
            <w:bottom w:val="none" w:sz="0" w:space="0" w:color="auto"/>
            <w:right w:val="none" w:sz="0" w:space="0" w:color="auto"/>
          </w:divBdr>
        </w:div>
      </w:divsChild>
    </w:div>
    <w:div w:id="1543666329">
      <w:bodyDiv w:val="1"/>
      <w:marLeft w:val="0"/>
      <w:marRight w:val="0"/>
      <w:marTop w:val="0"/>
      <w:marBottom w:val="0"/>
      <w:divBdr>
        <w:top w:val="none" w:sz="0" w:space="0" w:color="auto"/>
        <w:left w:val="none" w:sz="0" w:space="0" w:color="auto"/>
        <w:bottom w:val="none" w:sz="0" w:space="0" w:color="auto"/>
        <w:right w:val="none" w:sz="0" w:space="0" w:color="auto"/>
      </w:divBdr>
    </w:div>
    <w:div w:id="1564876098">
      <w:bodyDiv w:val="1"/>
      <w:marLeft w:val="0"/>
      <w:marRight w:val="0"/>
      <w:marTop w:val="0"/>
      <w:marBottom w:val="0"/>
      <w:divBdr>
        <w:top w:val="none" w:sz="0" w:space="0" w:color="auto"/>
        <w:left w:val="none" w:sz="0" w:space="0" w:color="auto"/>
        <w:bottom w:val="none" w:sz="0" w:space="0" w:color="auto"/>
        <w:right w:val="none" w:sz="0" w:space="0" w:color="auto"/>
      </w:divBdr>
    </w:div>
    <w:div w:id="1603996469">
      <w:bodyDiv w:val="1"/>
      <w:marLeft w:val="0"/>
      <w:marRight w:val="0"/>
      <w:marTop w:val="0"/>
      <w:marBottom w:val="0"/>
      <w:divBdr>
        <w:top w:val="none" w:sz="0" w:space="0" w:color="auto"/>
        <w:left w:val="none" w:sz="0" w:space="0" w:color="auto"/>
        <w:bottom w:val="none" w:sz="0" w:space="0" w:color="auto"/>
        <w:right w:val="none" w:sz="0" w:space="0" w:color="auto"/>
      </w:divBdr>
    </w:div>
    <w:div w:id="1624843263">
      <w:bodyDiv w:val="1"/>
      <w:marLeft w:val="0"/>
      <w:marRight w:val="0"/>
      <w:marTop w:val="0"/>
      <w:marBottom w:val="0"/>
      <w:divBdr>
        <w:top w:val="none" w:sz="0" w:space="0" w:color="auto"/>
        <w:left w:val="none" w:sz="0" w:space="0" w:color="auto"/>
        <w:bottom w:val="none" w:sz="0" w:space="0" w:color="auto"/>
        <w:right w:val="none" w:sz="0" w:space="0" w:color="auto"/>
      </w:divBdr>
    </w:div>
    <w:div w:id="1636371889">
      <w:bodyDiv w:val="1"/>
      <w:marLeft w:val="0"/>
      <w:marRight w:val="0"/>
      <w:marTop w:val="0"/>
      <w:marBottom w:val="0"/>
      <w:divBdr>
        <w:top w:val="none" w:sz="0" w:space="0" w:color="auto"/>
        <w:left w:val="none" w:sz="0" w:space="0" w:color="auto"/>
        <w:bottom w:val="none" w:sz="0" w:space="0" w:color="auto"/>
        <w:right w:val="none" w:sz="0" w:space="0" w:color="auto"/>
      </w:divBdr>
    </w:div>
    <w:div w:id="1693914194">
      <w:bodyDiv w:val="1"/>
      <w:marLeft w:val="0"/>
      <w:marRight w:val="0"/>
      <w:marTop w:val="0"/>
      <w:marBottom w:val="0"/>
      <w:divBdr>
        <w:top w:val="none" w:sz="0" w:space="0" w:color="auto"/>
        <w:left w:val="none" w:sz="0" w:space="0" w:color="auto"/>
        <w:bottom w:val="none" w:sz="0" w:space="0" w:color="auto"/>
        <w:right w:val="none" w:sz="0" w:space="0" w:color="auto"/>
      </w:divBdr>
    </w:div>
    <w:div w:id="1695040347">
      <w:bodyDiv w:val="1"/>
      <w:marLeft w:val="0"/>
      <w:marRight w:val="0"/>
      <w:marTop w:val="0"/>
      <w:marBottom w:val="0"/>
      <w:divBdr>
        <w:top w:val="none" w:sz="0" w:space="0" w:color="auto"/>
        <w:left w:val="none" w:sz="0" w:space="0" w:color="auto"/>
        <w:bottom w:val="none" w:sz="0" w:space="0" w:color="auto"/>
        <w:right w:val="none" w:sz="0" w:space="0" w:color="auto"/>
      </w:divBdr>
    </w:div>
    <w:div w:id="1704020404">
      <w:bodyDiv w:val="1"/>
      <w:marLeft w:val="0"/>
      <w:marRight w:val="0"/>
      <w:marTop w:val="0"/>
      <w:marBottom w:val="0"/>
      <w:divBdr>
        <w:top w:val="none" w:sz="0" w:space="0" w:color="auto"/>
        <w:left w:val="none" w:sz="0" w:space="0" w:color="auto"/>
        <w:bottom w:val="none" w:sz="0" w:space="0" w:color="auto"/>
        <w:right w:val="none" w:sz="0" w:space="0" w:color="auto"/>
      </w:divBdr>
    </w:div>
    <w:div w:id="1709915977">
      <w:bodyDiv w:val="1"/>
      <w:marLeft w:val="0"/>
      <w:marRight w:val="0"/>
      <w:marTop w:val="0"/>
      <w:marBottom w:val="0"/>
      <w:divBdr>
        <w:top w:val="none" w:sz="0" w:space="0" w:color="auto"/>
        <w:left w:val="none" w:sz="0" w:space="0" w:color="auto"/>
        <w:bottom w:val="none" w:sz="0" w:space="0" w:color="auto"/>
        <w:right w:val="none" w:sz="0" w:space="0" w:color="auto"/>
      </w:divBdr>
    </w:div>
    <w:div w:id="1857692785">
      <w:bodyDiv w:val="1"/>
      <w:marLeft w:val="0"/>
      <w:marRight w:val="0"/>
      <w:marTop w:val="0"/>
      <w:marBottom w:val="0"/>
      <w:divBdr>
        <w:top w:val="none" w:sz="0" w:space="0" w:color="auto"/>
        <w:left w:val="none" w:sz="0" w:space="0" w:color="auto"/>
        <w:bottom w:val="none" w:sz="0" w:space="0" w:color="auto"/>
        <w:right w:val="none" w:sz="0" w:space="0" w:color="auto"/>
      </w:divBdr>
    </w:div>
    <w:div w:id="1864436596">
      <w:bodyDiv w:val="1"/>
      <w:marLeft w:val="0"/>
      <w:marRight w:val="0"/>
      <w:marTop w:val="0"/>
      <w:marBottom w:val="0"/>
      <w:divBdr>
        <w:top w:val="none" w:sz="0" w:space="0" w:color="auto"/>
        <w:left w:val="none" w:sz="0" w:space="0" w:color="auto"/>
        <w:bottom w:val="none" w:sz="0" w:space="0" w:color="auto"/>
        <w:right w:val="none" w:sz="0" w:space="0" w:color="auto"/>
      </w:divBdr>
    </w:div>
    <w:div w:id="1872303580">
      <w:bodyDiv w:val="1"/>
      <w:marLeft w:val="0"/>
      <w:marRight w:val="0"/>
      <w:marTop w:val="0"/>
      <w:marBottom w:val="0"/>
      <w:divBdr>
        <w:top w:val="none" w:sz="0" w:space="0" w:color="auto"/>
        <w:left w:val="none" w:sz="0" w:space="0" w:color="auto"/>
        <w:bottom w:val="none" w:sz="0" w:space="0" w:color="auto"/>
        <w:right w:val="none" w:sz="0" w:space="0" w:color="auto"/>
      </w:divBdr>
    </w:div>
    <w:div w:id="1903514612">
      <w:bodyDiv w:val="1"/>
      <w:marLeft w:val="0"/>
      <w:marRight w:val="0"/>
      <w:marTop w:val="0"/>
      <w:marBottom w:val="0"/>
      <w:divBdr>
        <w:top w:val="none" w:sz="0" w:space="0" w:color="auto"/>
        <w:left w:val="none" w:sz="0" w:space="0" w:color="auto"/>
        <w:bottom w:val="none" w:sz="0" w:space="0" w:color="auto"/>
        <w:right w:val="none" w:sz="0" w:space="0" w:color="auto"/>
      </w:divBdr>
    </w:div>
    <w:div w:id="1974631361">
      <w:bodyDiv w:val="1"/>
      <w:marLeft w:val="0"/>
      <w:marRight w:val="0"/>
      <w:marTop w:val="0"/>
      <w:marBottom w:val="0"/>
      <w:divBdr>
        <w:top w:val="none" w:sz="0" w:space="0" w:color="auto"/>
        <w:left w:val="none" w:sz="0" w:space="0" w:color="auto"/>
        <w:bottom w:val="none" w:sz="0" w:space="0" w:color="auto"/>
        <w:right w:val="none" w:sz="0" w:space="0" w:color="auto"/>
      </w:divBdr>
      <w:divsChild>
        <w:div w:id="1156413061">
          <w:marLeft w:val="0"/>
          <w:marRight w:val="0"/>
          <w:marTop w:val="0"/>
          <w:marBottom w:val="0"/>
          <w:divBdr>
            <w:top w:val="none" w:sz="0" w:space="0" w:color="auto"/>
            <w:left w:val="none" w:sz="0" w:space="0" w:color="auto"/>
            <w:bottom w:val="none" w:sz="0" w:space="0" w:color="auto"/>
            <w:right w:val="none" w:sz="0" w:space="0" w:color="auto"/>
          </w:divBdr>
        </w:div>
      </w:divsChild>
    </w:div>
    <w:div w:id="1986543173">
      <w:bodyDiv w:val="1"/>
      <w:marLeft w:val="0"/>
      <w:marRight w:val="0"/>
      <w:marTop w:val="0"/>
      <w:marBottom w:val="0"/>
      <w:divBdr>
        <w:top w:val="none" w:sz="0" w:space="0" w:color="auto"/>
        <w:left w:val="none" w:sz="0" w:space="0" w:color="auto"/>
        <w:bottom w:val="none" w:sz="0" w:space="0" w:color="auto"/>
        <w:right w:val="none" w:sz="0" w:space="0" w:color="auto"/>
      </w:divBdr>
    </w:div>
    <w:div w:id="2074885463">
      <w:bodyDiv w:val="1"/>
      <w:marLeft w:val="0"/>
      <w:marRight w:val="0"/>
      <w:marTop w:val="0"/>
      <w:marBottom w:val="0"/>
      <w:divBdr>
        <w:top w:val="none" w:sz="0" w:space="0" w:color="auto"/>
        <w:left w:val="none" w:sz="0" w:space="0" w:color="auto"/>
        <w:bottom w:val="none" w:sz="0" w:space="0" w:color="auto"/>
        <w:right w:val="none" w:sz="0" w:space="0" w:color="auto"/>
      </w:divBdr>
    </w:div>
    <w:div w:id="2133622316">
      <w:bodyDiv w:val="1"/>
      <w:marLeft w:val="0"/>
      <w:marRight w:val="0"/>
      <w:marTop w:val="0"/>
      <w:marBottom w:val="0"/>
      <w:divBdr>
        <w:top w:val="none" w:sz="0" w:space="0" w:color="auto"/>
        <w:left w:val="none" w:sz="0" w:space="0" w:color="auto"/>
        <w:bottom w:val="none" w:sz="0" w:space="0" w:color="auto"/>
        <w:right w:val="none" w:sz="0" w:space="0" w:color="auto"/>
      </w:divBdr>
    </w:div>
    <w:div w:id="2139911830">
      <w:bodyDiv w:val="1"/>
      <w:marLeft w:val="0"/>
      <w:marRight w:val="0"/>
      <w:marTop w:val="0"/>
      <w:marBottom w:val="0"/>
      <w:divBdr>
        <w:top w:val="none" w:sz="0" w:space="0" w:color="auto"/>
        <w:left w:val="none" w:sz="0" w:space="0" w:color="auto"/>
        <w:bottom w:val="none" w:sz="0" w:space="0" w:color="auto"/>
        <w:right w:val="none" w:sz="0" w:space="0" w:color="auto"/>
      </w:divBdr>
    </w:div>
    <w:div w:id="2144810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1.xml"/><Relationship Id="rId26" Type="http://schemas.openxmlformats.org/officeDocument/2006/relationships/hyperlink" Target="mailto:help-desk@epa.org.me"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yperlink" Target="http://www.epa.org.me" TargetMode="Externa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eis.epa.gov.me" TargetMode="Externa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3.xml"/><Relationship Id="rId28" Type="http://schemas.openxmlformats.org/officeDocument/2006/relationships/footer" Target="footer5.xml"/><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header" Target="header3.xm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bh.gov.me/vijesti/169435/Promet-i-pravilna-upotreba-sredstava-za-zastitu-bilja-u-Crnoj-Gori.html" TargetMode="External"/><Relationship Id="rId7" Type="http://schemas.openxmlformats.org/officeDocument/2006/relationships/hyperlink" Target="http://www.ubh.gov.me/vijesti/169596/Ne-krivotvorenim-i-ilegalnim-pesticidima.html" TargetMode="External"/><Relationship Id="rId2" Type="http://schemas.openxmlformats.org/officeDocument/2006/relationships/hyperlink" Target="https://www.youtube.com/watch?v=UPxf5jN7Ta0" TargetMode="External"/><Relationship Id="rId1" Type="http://schemas.openxmlformats.org/officeDocument/2006/relationships/hyperlink" Target="http://www.mrt.gov.me" TargetMode="External"/><Relationship Id="rId6" Type="http://schemas.openxmlformats.org/officeDocument/2006/relationships/hyperlink" Target="http://www.ubh.gov.me/vijesti/169536/Pcele-i-pesticidi.html" TargetMode="External"/><Relationship Id="rId5" Type="http://schemas.openxmlformats.org/officeDocument/2006/relationships/hyperlink" Target="http://www.ubh.gov.me/vijesti/169504/Uputstvo-za-ciscenje-ambalaze-SZB-trostruko-ispiranje-ilovepdf-compressed.html" TargetMode="External"/><Relationship Id="rId4" Type="http://schemas.openxmlformats.org/officeDocument/2006/relationships/hyperlink" Target="http://www.ubh.gov.me/vijesti/169436/Licna-zastitna-oprema-obavezna-pri-rukovanju-sredstvima-za-zastitu-bil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7" textRotate="1"/>
    <customShpInfo spid="_x0000_s1049" textRotate="1"/>
    <customShpInfo spid="_x0000_s1051" textRotate="1"/>
    <customShpInfo spid="_x0000_s1053" textRotate="1"/>
    <customShpInfo spid="_x0000_s1055" textRotate="1"/>
    <customShpInfo spid="_x0000_s1057" textRotate="1"/>
    <customShpInfo spid="_x0000_s105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0EC25-03A7-41E3-87B5-2C5EC9A88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64072</Words>
  <Characters>365213</Characters>
  <Application>Microsoft Office Word</Application>
  <DocSecurity>0</DocSecurity>
  <Lines>3043</Lines>
  <Paragraphs>856</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428429</CharactersWithSpaces>
  <SharedDoc>false</SharedDoc>
  <HLinks>
    <vt:vector size="528" baseType="variant">
      <vt:variant>
        <vt:i4>7208998</vt:i4>
      </vt:variant>
      <vt:variant>
        <vt:i4>471</vt:i4>
      </vt:variant>
      <vt:variant>
        <vt:i4>0</vt:i4>
      </vt:variant>
      <vt:variant>
        <vt:i4>5</vt:i4>
      </vt:variant>
      <vt:variant>
        <vt:lpwstr>http://www.mrt.gov.me/rubrike/publikacije/174595/Brosura-o-izvoza-hemikalija-supstanci-smesa-i-proizvoda-na-trziste-EU.html</vt:lpwstr>
      </vt:variant>
      <vt:variant>
        <vt:lpwstr/>
      </vt:variant>
      <vt:variant>
        <vt:i4>2359306</vt:i4>
      </vt:variant>
      <vt:variant>
        <vt:i4>468</vt:i4>
      </vt:variant>
      <vt:variant>
        <vt:i4>0</vt:i4>
      </vt:variant>
      <vt:variant>
        <vt:i4>5</vt:i4>
      </vt:variant>
      <vt:variant>
        <vt:lpwstr>mailto:help-desk@epa.org.me</vt:lpwstr>
      </vt:variant>
      <vt:variant>
        <vt:lpwstr/>
      </vt:variant>
      <vt:variant>
        <vt:i4>6619191</vt:i4>
      </vt:variant>
      <vt:variant>
        <vt:i4>465</vt:i4>
      </vt:variant>
      <vt:variant>
        <vt:i4>0</vt:i4>
      </vt:variant>
      <vt:variant>
        <vt:i4>5</vt:i4>
      </vt:variant>
      <vt:variant>
        <vt:lpwstr>http://www.epa.org.me/</vt:lpwstr>
      </vt:variant>
      <vt:variant>
        <vt:lpwstr/>
      </vt:variant>
      <vt:variant>
        <vt:i4>2883630</vt:i4>
      </vt:variant>
      <vt:variant>
        <vt:i4>462</vt:i4>
      </vt:variant>
      <vt:variant>
        <vt:i4>0</vt:i4>
      </vt:variant>
      <vt:variant>
        <vt:i4>5</vt:i4>
      </vt:variant>
      <vt:variant>
        <vt:lpwstr>https://eis.epa.gov.me/</vt:lpwstr>
      </vt:variant>
      <vt:variant>
        <vt:lpwstr/>
      </vt:variant>
      <vt:variant>
        <vt:i4>2687026</vt:i4>
      </vt:variant>
      <vt:variant>
        <vt:i4>459</vt:i4>
      </vt:variant>
      <vt:variant>
        <vt:i4>0</vt:i4>
      </vt:variant>
      <vt:variant>
        <vt:i4>5</vt:i4>
      </vt:variant>
      <vt:variant>
        <vt:lpwstr>http://www.mep.gov.me/ResourceManager/FileDownload.aspx?rId=176539&amp;rType=2</vt:lpwstr>
      </vt:variant>
      <vt:variant>
        <vt:lpwstr/>
      </vt:variant>
      <vt:variant>
        <vt:i4>1900601</vt:i4>
      </vt:variant>
      <vt:variant>
        <vt:i4>452</vt:i4>
      </vt:variant>
      <vt:variant>
        <vt:i4>0</vt:i4>
      </vt:variant>
      <vt:variant>
        <vt:i4>5</vt:i4>
      </vt:variant>
      <vt:variant>
        <vt:lpwstr/>
      </vt:variant>
      <vt:variant>
        <vt:lpwstr>_Toc522988694</vt:lpwstr>
      </vt:variant>
      <vt:variant>
        <vt:i4>1900601</vt:i4>
      </vt:variant>
      <vt:variant>
        <vt:i4>446</vt:i4>
      </vt:variant>
      <vt:variant>
        <vt:i4>0</vt:i4>
      </vt:variant>
      <vt:variant>
        <vt:i4>5</vt:i4>
      </vt:variant>
      <vt:variant>
        <vt:lpwstr/>
      </vt:variant>
      <vt:variant>
        <vt:lpwstr>_Toc522988693</vt:lpwstr>
      </vt:variant>
      <vt:variant>
        <vt:i4>1900601</vt:i4>
      </vt:variant>
      <vt:variant>
        <vt:i4>440</vt:i4>
      </vt:variant>
      <vt:variant>
        <vt:i4>0</vt:i4>
      </vt:variant>
      <vt:variant>
        <vt:i4>5</vt:i4>
      </vt:variant>
      <vt:variant>
        <vt:lpwstr/>
      </vt:variant>
      <vt:variant>
        <vt:lpwstr>_Toc522988692</vt:lpwstr>
      </vt:variant>
      <vt:variant>
        <vt:i4>1900601</vt:i4>
      </vt:variant>
      <vt:variant>
        <vt:i4>434</vt:i4>
      </vt:variant>
      <vt:variant>
        <vt:i4>0</vt:i4>
      </vt:variant>
      <vt:variant>
        <vt:i4>5</vt:i4>
      </vt:variant>
      <vt:variant>
        <vt:lpwstr/>
      </vt:variant>
      <vt:variant>
        <vt:lpwstr>_Toc522988691</vt:lpwstr>
      </vt:variant>
      <vt:variant>
        <vt:i4>1900601</vt:i4>
      </vt:variant>
      <vt:variant>
        <vt:i4>428</vt:i4>
      </vt:variant>
      <vt:variant>
        <vt:i4>0</vt:i4>
      </vt:variant>
      <vt:variant>
        <vt:i4>5</vt:i4>
      </vt:variant>
      <vt:variant>
        <vt:lpwstr/>
      </vt:variant>
      <vt:variant>
        <vt:lpwstr>_Toc522988690</vt:lpwstr>
      </vt:variant>
      <vt:variant>
        <vt:i4>1835065</vt:i4>
      </vt:variant>
      <vt:variant>
        <vt:i4>422</vt:i4>
      </vt:variant>
      <vt:variant>
        <vt:i4>0</vt:i4>
      </vt:variant>
      <vt:variant>
        <vt:i4>5</vt:i4>
      </vt:variant>
      <vt:variant>
        <vt:lpwstr/>
      </vt:variant>
      <vt:variant>
        <vt:lpwstr>_Toc522988689</vt:lpwstr>
      </vt:variant>
      <vt:variant>
        <vt:i4>1835065</vt:i4>
      </vt:variant>
      <vt:variant>
        <vt:i4>416</vt:i4>
      </vt:variant>
      <vt:variant>
        <vt:i4>0</vt:i4>
      </vt:variant>
      <vt:variant>
        <vt:i4>5</vt:i4>
      </vt:variant>
      <vt:variant>
        <vt:lpwstr/>
      </vt:variant>
      <vt:variant>
        <vt:lpwstr>_Toc522988688</vt:lpwstr>
      </vt:variant>
      <vt:variant>
        <vt:i4>1835065</vt:i4>
      </vt:variant>
      <vt:variant>
        <vt:i4>410</vt:i4>
      </vt:variant>
      <vt:variant>
        <vt:i4>0</vt:i4>
      </vt:variant>
      <vt:variant>
        <vt:i4>5</vt:i4>
      </vt:variant>
      <vt:variant>
        <vt:lpwstr/>
      </vt:variant>
      <vt:variant>
        <vt:lpwstr>_Toc522988687</vt:lpwstr>
      </vt:variant>
      <vt:variant>
        <vt:i4>1835065</vt:i4>
      </vt:variant>
      <vt:variant>
        <vt:i4>404</vt:i4>
      </vt:variant>
      <vt:variant>
        <vt:i4>0</vt:i4>
      </vt:variant>
      <vt:variant>
        <vt:i4>5</vt:i4>
      </vt:variant>
      <vt:variant>
        <vt:lpwstr/>
      </vt:variant>
      <vt:variant>
        <vt:lpwstr>_Toc522988686</vt:lpwstr>
      </vt:variant>
      <vt:variant>
        <vt:i4>1835065</vt:i4>
      </vt:variant>
      <vt:variant>
        <vt:i4>398</vt:i4>
      </vt:variant>
      <vt:variant>
        <vt:i4>0</vt:i4>
      </vt:variant>
      <vt:variant>
        <vt:i4>5</vt:i4>
      </vt:variant>
      <vt:variant>
        <vt:lpwstr/>
      </vt:variant>
      <vt:variant>
        <vt:lpwstr>_Toc522988685</vt:lpwstr>
      </vt:variant>
      <vt:variant>
        <vt:i4>1835065</vt:i4>
      </vt:variant>
      <vt:variant>
        <vt:i4>392</vt:i4>
      </vt:variant>
      <vt:variant>
        <vt:i4>0</vt:i4>
      </vt:variant>
      <vt:variant>
        <vt:i4>5</vt:i4>
      </vt:variant>
      <vt:variant>
        <vt:lpwstr/>
      </vt:variant>
      <vt:variant>
        <vt:lpwstr>_Toc522988684</vt:lpwstr>
      </vt:variant>
      <vt:variant>
        <vt:i4>1835065</vt:i4>
      </vt:variant>
      <vt:variant>
        <vt:i4>386</vt:i4>
      </vt:variant>
      <vt:variant>
        <vt:i4>0</vt:i4>
      </vt:variant>
      <vt:variant>
        <vt:i4>5</vt:i4>
      </vt:variant>
      <vt:variant>
        <vt:lpwstr/>
      </vt:variant>
      <vt:variant>
        <vt:lpwstr>_Toc522988683</vt:lpwstr>
      </vt:variant>
      <vt:variant>
        <vt:i4>1835065</vt:i4>
      </vt:variant>
      <vt:variant>
        <vt:i4>380</vt:i4>
      </vt:variant>
      <vt:variant>
        <vt:i4>0</vt:i4>
      </vt:variant>
      <vt:variant>
        <vt:i4>5</vt:i4>
      </vt:variant>
      <vt:variant>
        <vt:lpwstr/>
      </vt:variant>
      <vt:variant>
        <vt:lpwstr>_Toc522988682</vt:lpwstr>
      </vt:variant>
      <vt:variant>
        <vt:i4>1835065</vt:i4>
      </vt:variant>
      <vt:variant>
        <vt:i4>374</vt:i4>
      </vt:variant>
      <vt:variant>
        <vt:i4>0</vt:i4>
      </vt:variant>
      <vt:variant>
        <vt:i4>5</vt:i4>
      </vt:variant>
      <vt:variant>
        <vt:lpwstr/>
      </vt:variant>
      <vt:variant>
        <vt:lpwstr>_Toc522988681</vt:lpwstr>
      </vt:variant>
      <vt:variant>
        <vt:i4>1835065</vt:i4>
      </vt:variant>
      <vt:variant>
        <vt:i4>368</vt:i4>
      </vt:variant>
      <vt:variant>
        <vt:i4>0</vt:i4>
      </vt:variant>
      <vt:variant>
        <vt:i4>5</vt:i4>
      </vt:variant>
      <vt:variant>
        <vt:lpwstr/>
      </vt:variant>
      <vt:variant>
        <vt:lpwstr>_Toc522988680</vt:lpwstr>
      </vt:variant>
      <vt:variant>
        <vt:i4>1245241</vt:i4>
      </vt:variant>
      <vt:variant>
        <vt:i4>362</vt:i4>
      </vt:variant>
      <vt:variant>
        <vt:i4>0</vt:i4>
      </vt:variant>
      <vt:variant>
        <vt:i4>5</vt:i4>
      </vt:variant>
      <vt:variant>
        <vt:lpwstr/>
      </vt:variant>
      <vt:variant>
        <vt:lpwstr>_Toc522988679</vt:lpwstr>
      </vt:variant>
      <vt:variant>
        <vt:i4>1245241</vt:i4>
      </vt:variant>
      <vt:variant>
        <vt:i4>356</vt:i4>
      </vt:variant>
      <vt:variant>
        <vt:i4>0</vt:i4>
      </vt:variant>
      <vt:variant>
        <vt:i4>5</vt:i4>
      </vt:variant>
      <vt:variant>
        <vt:lpwstr/>
      </vt:variant>
      <vt:variant>
        <vt:lpwstr>_Toc522988678</vt:lpwstr>
      </vt:variant>
      <vt:variant>
        <vt:i4>1245241</vt:i4>
      </vt:variant>
      <vt:variant>
        <vt:i4>350</vt:i4>
      </vt:variant>
      <vt:variant>
        <vt:i4>0</vt:i4>
      </vt:variant>
      <vt:variant>
        <vt:i4>5</vt:i4>
      </vt:variant>
      <vt:variant>
        <vt:lpwstr/>
      </vt:variant>
      <vt:variant>
        <vt:lpwstr>_Toc522988677</vt:lpwstr>
      </vt:variant>
      <vt:variant>
        <vt:i4>1245241</vt:i4>
      </vt:variant>
      <vt:variant>
        <vt:i4>344</vt:i4>
      </vt:variant>
      <vt:variant>
        <vt:i4>0</vt:i4>
      </vt:variant>
      <vt:variant>
        <vt:i4>5</vt:i4>
      </vt:variant>
      <vt:variant>
        <vt:lpwstr/>
      </vt:variant>
      <vt:variant>
        <vt:lpwstr>_Toc522988676</vt:lpwstr>
      </vt:variant>
      <vt:variant>
        <vt:i4>1245241</vt:i4>
      </vt:variant>
      <vt:variant>
        <vt:i4>338</vt:i4>
      </vt:variant>
      <vt:variant>
        <vt:i4>0</vt:i4>
      </vt:variant>
      <vt:variant>
        <vt:i4>5</vt:i4>
      </vt:variant>
      <vt:variant>
        <vt:lpwstr/>
      </vt:variant>
      <vt:variant>
        <vt:lpwstr>_Toc522988675</vt:lpwstr>
      </vt:variant>
      <vt:variant>
        <vt:i4>1245241</vt:i4>
      </vt:variant>
      <vt:variant>
        <vt:i4>332</vt:i4>
      </vt:variant>
      <vt:variant>
        <vt:i4>0</vt:i4>
      </vt:variant>
      <vt:variant>
        <vt:i4>5</vt:i4>
      </vt:variant>
      <vt:variant>
        <vt:lpwstr/>
      </vt:variant>
      <vt:variant>
        <vt:lpwstr>_Toc522988674</vt:lpwstr>
      </vt:variant>
      <vt:variant>
        <vt:i4>1245241</vt:i4>
      </vt:variant>
      <vt:variant>
        <vt:i4>326</vt:i4>
      </vt:variant>
      <vt:variant>
        <vt:i4>0</vt:i4>
      </vt:variant>
      <vt:variant>
        <vt:i4>5</vt:i4>
      </vt:variant>
      <vt:variant>
        <vt:lpwstr/>
      </vt:variant>
      <vt:variant>
        <vt:lpwstr>_Toc522988673</vt:lpwstr>
      </vt:variant>
      <vt:variant>
        <vt:i4>1245241</vt:i4>
      </vt:variant>
      <vt:variant>
        <vt:i4>320</vt:i4>
      </vt:variant>
      <vt:variant>
        <vt:i4>0</vt:i4>
      </vt:variant>
      <vt:variant>
        <vt:i4>5</vt:i4>
      </vt:variant>
      <vt:variant>
        <vt:lpwstr/>
      </vt:variant>
      <vt:variant>
        <vt:lpwstr>_Toc522988672</vt:lpwstr>
      </vt:variant>
      <vt:variant>
        <vt:i4>1245241</vt:i4>
      </vt:variant>
      <vt:variant>
        <vt:i4>314</vt:i4>
      </vt:variant>
      <vt:variant>
        <vt:i4>0</vt:i4>
      </vt:variant>
      <vt:variant>
        <vt:i4>5</vt:i4>
      </vt:variant>
      <vt:variant>
        <vt:lpwstr/>
      </vt:variant>
      <vt:variant>
        <vt:lpwstr>_Toc522988671</vt:lpwstr>
      </vt:variant>
      <vt:variant>
        <vt:i4>1245241</vt:i4>
      </vt:variant>
      <vt:variant>
        <vt:i4>308</vt:i4>
      </vt:variant>
      <vt:variant>
        <vt:i4>0</vt:i4>
      </vt:variant>
      <vt:variant>
        <vt:i4>5</vt:i4>
      </vt:variant>
      <vt:variant>
        <vt:lpwstr/>
      </vt:variant>
      <vt:variant>
        <vt:lpwstr>_Toc522988670</vt:lpwstr>
      </vt:variant>
      <vt:variant>
        <vt:i4>1179705</vt:i4>
      </vt:variant>
      <vt:variant>
        <vt:i4>302</vt:i4>
      </vt:variant>
      <vt:variant>
        <vt:i4>0</vt:i4>
      </vt:variant>
      <vt:variant>
        <vt:i4>5</vt:i4>
      </vt:variant>
      <vt:variant>
        <vt:lpwstr/>
      </vt:variant>
      <vt:variant>
        <vt:lpwstr>_Toc522988669</vt:lpwstr>
      </vt:variant>
      <vt:variant>
        <vt:i4>1179705</vt:i4>
      </vt:variant>
      <vt:variant>
        <vt:i4>296</vt:i4>
      </vt:variant>
      <vt:variant>
        <vt:i4>0</vt:i4>
      </vt:variant>
      <vt:variant>
        <vt:i4>5</vt:i4>
      </vt:variant>
      <vt:variant>
        <vt:lpwstr/>
      </vt:variant>
      <vt:variant>
        <vt:lpwstr>_Toc522988668</vt:lpwstr>
      </vt:variant>
      <vt:variant>
        <vt:i4>1179705</vt:i4>
      </vt:variant>
      <vt:variant>
        <vt:i4>290</vt:i4>
      </vt:variant>
      <vt:variant>
        <vt:i4>0</vt:i4>
      </vt:variant>
      <vt:variant>
        <vt:i4>5</vt:i4>
      </vt:variant>
      <vt:variant>
        <vt:lpwstr/>
      </vt:variant>
      <vt:variant>
        <vt:lpwstr>_Toc522988667</vt:lpwstr>
      </vt:variant>
      <vt:variant>
        <vt:i4>1179705</vt:i4>
      </vt:variant>
      <vt:variant>
        <vt:i4>284</vt:i4>
      </vt:variant>
      <vt:variant>
        <vt:i4>0</vt:i4>
      </vt:variant>
      <vt:variant>
        <vt:i4>5</vt:i4>
      </vt:variant>
      <vt:variant>
        <vt:lpwstr/>
      </vt:variant>
      <vt:variant>
        <vt:lpwstr>_Toc522988666</vt:lpwstr>
      </vt:variant>
      <vt:variant>
        <vt:i4>1179705</vt:i4>
      </vt:variant>
      <vt:variant>
        <vt:i4>278</vt:i4>
      </vt:variant>
      <vt:variant>
        <vt:i4>0</vt:i4>
      </vt:variant>
      <vt:variant>
        <vt:i4>5</vt:i4>
      </vt:variant>
      <vt:variant>
        <vt:lpwstr/>
      </vt:variant>
      <vt:variant>
        <vt:lpwstr>_Toc522988665</vt:lpwstr>
      </vt:variant>
      <vt:variant>
        <vt:i4>1179705</vt:i4>
      </vt:variant>
      <vt:variant>
        <vt:i4>272</vt:i4>
      </vt:variant>
      <vt:variant>
        <vt:i4>0</vt:i4>
      </vt:variant>
      <vt:variant>
        <vt:i4>5</vt:i4>
      </vt:variant>
      <vt:variant>
        <vt:lpwstr/>
      </vt:variant>
      <vt:variant>
        <vt:lpwstr>_Toc522988664</vt:lpwstr>
      </vt:variant>
      <vt:variant>
        <vt:i4>1179705</vt:i4>
      </vt:variant>
      <vt:variant>
        <vt:i4>266</vt:i4>
      </vt:variant>
      <vt:variant>
        <vt:i4>0</vt:i4>
      </vt:variant>
      <vt:variant>
        <vt:i4>5</vt:i4>
      </vt:variant>
      <vt:variant>
        <vt:lpwstr/>
      </vt:variant>
      <vt:variant>
        <vt:lpwstr>_Toc522988663</vt:lpwstr>
      </vt:variant>
      <vt:variant>
        <vt:i4>1179705</vt:i4>
      </vt:variant>
      <vt:variant>
        <vt:i4>260</vt:i4>
      </vt:variant>
      <vt:variant>
        <vt:i4>0</vt:i4>
      </vt:variant>
      <vt:variant>
        <vt:i4>5</vt:i4>
      </vt:variant>
      <vt:variant>
        <vt:lpwstr/>
      </vt:variant>
      <vt:variant>
        <vt:lpwstr>_Toc522988662</vt:lpwstr>
      </vt:variant>
      <vt:variant>
        <vt:i4>1179705</vt:i4>
      </vt:variant>
      <vt:variant>
        <vt:i4>254</vt:i4>
      </vt:variant>
      <vt:variant>
        <vt:i4>0</vt:i4>
      </vt:variant>
      <vt:variant>
        <vt:i4>5</vt:i4>
      </vt:variant>
      <vt:variant>
        <vt:lpwstr/>
      </vt:variant>
      <vt:variant>
        <vt:lpwstr>_Toc522988661</vt:lpwstr>
      </vt:variant>
      <vt:variant>
        <vt:i4>1179705</vt:i4>
      </vt:variant>
      <vt:variant>
        <vt:i4>248</vt:i4>
      </vt:variant>
      <vt:variant>
        <vt:i4>0</vt:i4>
      </vt:variant>
      <vt:variant>
        <vt:i4>5</vt:i4>
      </vt:variant>
      <vt:variant>
        <vt:lpwstr/>
      </vt:variant>
      <vt:variant>
        <vt:lpwstr>_Toc522988660</vt:lpwstr>
      </vt:variant>
      <vt:variant>
        <vt:i4>1114169</vt:i4>
      </vt:variant>
      <vt:variant>
        <vt:i4>242</vt:i4>
      </vt:variant>
      <vt:variant>
        <vt:i4>0</vt:i4>
      </vt:variant>
      <vt:variant>
        <vt:i4>5</vt:i4>
      </vt:variant>
      <vt:variant>
        <vt:lpwstr/>
      </vt:variant>
      <vt:variant>
        <vt:lpwstr>_Toc522988659</vt:lpwstr>
      </vt:variant>
      <vt:variant>
        <vt:i4>1114169</vt:i4>
      </vt:variant>
      <vt:variant>
        <vt:i4>236</vt:i4>
      </vt:variant>
      <vt:variant>
        <vt:i4>0</vt:i4>
      </vt:variant>
      <vt:variant>
        <vt:i4>5</vt:i4>
      </vt:variant>
      <vt:variant>
        <vt:lpwstr/>
      </vt:variant>
      <vt:variant>
        <vt:lpwstr>_Toc522988658</vt:lpwstr>
      </vt:variant>
      <vt:variant>
        <vt:i4>1114169</vt:i4>
      </vt:variant>
      <vt:variant>
        <vt:i4>230</vt:i4>
      </vt:variant>
      <vt:variant>
        <vt:i4>0</vt:i4>
      </vt:variant>
      <vt:variant>
        <vt:i4>5</vt:i4>
      </vt:variant>
      <vt:variant>
        <vt:lpwstr/>
      </vt:variant>
      <vt:variant>
        <vt:lpwstr>_Toc522988657</vt:lpwstr>
      </vt:variant>
      <vt:variant>
        <vt:i4>1114169</vt:i4>
      </vt:variant>
      <vt:variant>
        <vt:i4>224</vt:i4>
      </vt:variant>
      <vt:variant>
        <vt:i4>0</vt:i4>
      </vt:variant>
      <vt:variant>
        <vt:i4>5</vt:i4>
      </vt:variant>
      <vt:variant>
        <vt:lpwstr/>
      </vt:variant>
      <vt:variant>
        <vt:lpwstr>_Toc522988656</vt:lpwstr>
      </vt:variant>
      <vt:variant>
        <vt:i4>1114169</vt:i4>
      </vt:variant>
      <vt:variant>
        <vt:i4>218</vt:i4>
      </vt:variant>
      <vt:variant>
        <vt:i4>0</vt:i4>
      </vt:variant>
      <vt:variant>
        <vt:i4>5</vt:i4>
      </vt:variant>
      <vt:variant>
        <vt:lpwstr/>
      </vt:variant>
      <vt:variant>
        <vt:lpwstr>_Toc522988655</vt:lpwstr>
      </vt:variant>
      <vt:variant>
        <vt:i4>1114169</vt:i4>
      </vt:variant>
      <vt:variant>
        <vt:i4>212</vt:i4>
      </vt:variant>
      <vt:variant>
        <vt:i4>0</vt:i4>
      </vt:variant>
      <vt:variant>
        <vt:i4>5</vt:i4>
      </vt:variant>
      <vt:variant>
        <vt:lpwstr/>
      </vt:variant>
      <vt:variant>
        <vt:lpwstr>_Toc522988654</vt:lpwstr>
      </vt:variant>
      <vt:variant>
        <vt:i4>1114169</vt:i4>
      </vt:variant>
      <vt:variant>
        <vt:i4>206</vt:i4>
      </vt:variant>
      <vt:variant>
        <vt:i4>0</vt:i4>
      </vt:variant>
      <vt:variant>
        <vt:i4>5</vt:i4>
      </vt:variant>
      <vt:variant>
        <vt:lpwstr/>
      </vt:variant>
      <vt:variant>
        <vt:lpwstr>_Toc522988653</vt:lpwstr>
      </vt:variant>
      <vt:variant>
        <vt:i4>1114169</vt:i4>
      </vt:variant>
      <vt:variant>
        <vt:i4>200</vt:i4>
      </vt:variant>
      <vt:variant>
        <vt:i4>0</vt:i4>
      </vt:variant>
      <vt:variant>
        <vt:i4>5</vt:i4>
      </vt:variant>
      <vt:variant>
        <vt:lpwstr/>
      </vt:variant>
      <vt:variant>
        <vt:lpwstr>_Toc522988652</vt:lpwstr>
      </vt:variant>
      <vt:variant>
        <vt:i4>1114169</vt:i4>
      </vt:variant>
      <vt:variant>
        <vt:i4>194</vt:i4>
      </vt:variant>
      <vt:variant>
        <vt:i4>0</vt:i4>
      </vt:variant>
      <vt:variant>
        <vt:i4>5</vt:i4>
      </vt:variant>
      <vt:variant>
        <vt:lpwstr/>
      </vt:variant>
      <vt:variant>
        <vt:lpwstr>_Toc522988651</vt:lpwstr>
      </vt:variant>
      <vt:variant>
        <vt:i4>1114169</vt:i4>
      </vt:variant>
      <vt:variant>
        <vt:i4>188</vt:i4>
      </vt:variant>
      <vt:variant>
        <vt:i4>0</vt:i4>
      </vt:variant>
      <vt:variant>
        <vt:i4>5</vt:i4>
      </vt:variant>
      <vt:variant>
        <vt:lpwstr/>
      </vt:variant>
      <vt:variant>
        <vt:lpwstr>_Toc522988650</vt:lpwstr>
      </vt:variant>
      <vt:variant>
        <vt:i4>1048633</vt:i4>
      </vt:variant>
      <vt:variant>
        <vt:i4>182</vt:i4>
      </vt:variant>
      <vt:variant>
        <vt:i4>0</vt:i4>
      </vt:variant>
      <vt:variant>
        <vt:i4>5</vt:i4>
      </vt:variant>
      <vt:variant>
        <vt:lpwstr/>
      </vt:variant>
      <vt:variant>
        <vt:lpwstr>_Toc522988649</vt:lpwstr>
      </vt:variant>
      <vt:variant>
        <vt:i4>1048633</vt:i4>
      </vt:variant>
      <vt:variant>
        <vt:i4>176</vt:i4>
      </vt:variant>
      <vt:variant>
        <vt:i4>0</vt:i4>
      </vt:variant>
      <vt:variant>
        <vt:i4>5</vt:i4>
      </vt:variant>
      <vt:variant>
        <vt:lpwstr/>
      </vt:variant>
      <vt:variant>
        <vt:lpwstr>_Toc522988648</vt:lpwstr>
      </vt:variant>
      <vt:variant>
        <vt:i4>1048633</vt:i4>
      </vt:variant>
      <vt:variant>
        <vt:i4>170</vt:i4>
      </vt:variant>
      <vt:variant>
        <vt:i4>0</vt:i4>
      </vt:variant>
      <vt:variant>
        <vt:i4>5</vt:i4>
      </vt:variant>
      <vt:variant>
        <vt:lpwstr/>
      </vt:variant>
      <vt:variant>
        <vt:lpwstr>_Toc522988647</vt:lpwstr>
      </vt:variant>
      <vt:variant>
        <vt:i4>1048633</vt:i4>
      </vt:variant>
      <vt:variant>
        <vt:i4>164</vt:i4>
      </vt:variant>
      <vt:variant>
        <vt:i4>0</vt:i4>
      </vt:variant>
      <vt:variant>
        <vt:i4>5</vt:i4>
      </vt:variant>
      <vt:variant>
        <vt:lpwstr/>
      </vt:variant>
      <vt:variant>
        <vt:lpwstr>_Toc522988646</vt:lpwstr>
      </vt:variant>
      <vt:variant>
        <vt:i4>1048633</vt:i4>
      </vt:variant>
      <vt:variant>
        <vt:i4>158</vt:i4>
      </vt:variant>
      <vt:variant>
        <vt:i4>0</vt:i4>
      </vt:variant>
      <vt:variant>
        <vt:i4>5</vt:i4>
      </vt:variant>
      <vt:variant>
        <vt:lpwstr/>
      </vt:variant>
      <vt:variant>
        <vt:lpwstr>_Toc522988645</vt:lpwstr>
      </vt:variant>
      <vt:variant>
        <vt:i4>1048633</vt:i4>
      </vt:variant>
      <vt:variant>
        <vt:i4>152</vt:i4>
      </vt:variant>
      <vt:variant>
        <vt:i4>0</vt:i4>
      </vt:variant>
      <vt:variant>
        <vt:i4>5</vt:i4>
      </vt:variant>
      <vt:variant>
        <vt:lpwstr/>
      </vt:variant>
      <vt:variant>
        <vt:lpwstr>_Toc522988644</vt:lpwstr>
      </vt:variant>
      <vt:variant>
        <vt:i4>1048633</vt:i4>
      </vt:variant>
      <vt:variant>
        <vt:i4>146</vt:i4>
      </vt:variant>
      <vt:variant>
        <vt:i4>0</vt:i4>
      </vt:variant>
      <vt:variant>
        <vt:i4>5</vt:i4>
      </vt:variant>
      <vt:variant>
        <vt:lpwstr/>
      </vt:variant>
      <vt:variant>
        <vt:lpwstr>_Toc522988643</vt:lpwstr>
      </vt:variant>
      <vt:variant>
        <vt:i4>1048633</vt:i4>
      </vt:variant>
      <vt:variant>
        <vt:i4>140</vt:i4>
      </vt:variant>
      <vt:variant>
        <vt:i4>0</vt:i4>
      </vt:variant>
      <vt:variant>
        <vt:i4>5</vt:i4>
      </vt:variant>
      <vt:variant>
        <vt:lpwstr/>
      </vt:variant>
      <vt:variant>
        <vt:lpwstr>_Toc522988642</vt:lpwstr>
      </vt:variant>
      <vt:variant>
        <vt:i4>1048633</vt:i4>
      </vt:variant>
      <vt:variant>
        <vt:i4>134</vt:i4>
      </vt:variant>
      <vt:variant>
        <vt:i4>0</vt:i4>
      </vt:variant>
      <vt:variant>
        <vt:i4>5</vt:i4>
      </vt:variant>
      <vt:variant>
        <vt:lpwstr/>
      </vt:variant>
      <vt:variant>
        <vt:lpwstr>_Toc522988641</vt:lpwstr>
      </vt:variant>
      <vt:variant>
        <vt:i4>1048633</vt:i4>
      </vt:variant>
      <vt:variant>
        <vt:i4>128</vt:i4>
      </vt:variant>
      <vt:variant>
        <vt:i4>0</vt:i4>
      </vt:variant>
      <vt:variant>
        <vt:i4>5</vt:i4>
      </vt:variant>
      <vt:variant>
        <vt:lpwstr/>
      </vt:variant>
      <vt:variant>
        <vt:lpwstr>_Toc522988640</vt:lpwstr>
      </vt:variant>
      <vt:variant>
        <vt:i4>1507385</vt:i4>
      </vt:variant>
      <vt:variant>
        <vt:i4>122</vt:i4>
      </vt:variant>
      <vt:variant>
        <vt:i4>0</vt:i4>
      </vt:variant>
      <vt:variant>
        <vt:i4>5</vt:i4>
      </vt:variant>
      <vt:variant>
        <vt:lpwstr/>
      </vt:variant>
      <vt:variant>
        <vt:lpwstr>_Toc522988639</vt:lpwstr>
      </vt:variant>
      <vt:variant>
        <vt:i4>1507385</vt:i4>
      </vt:variant>
      <vt:variant>
        <vt:i4>116</vt:i4>
      </vt:variant>
      <vt:variant>
        <vt:i4>0</vt:i4>
      </vt:variant>
      <vt:variant>
        <vt:i4>5</vt:i4>
      </vt:variant>
      <vt:variant>
        <vt:lpwstr/>
      </vt:variant>
      <vt:variant>
        <vt:lpwstr>_Toc522988638</vt:lpwstr>
      </vt:variant>
      <vt:variant>
        <vt:i4>1507385</vt:i4>
      </vt:variant>
      <vt:variant>
        <vt:i4>110</vt:i4>
      </vt:variant>
      <vt:variant>
        <vt:i4>0</vt:i4>
      </vt:variant>
      <vt:variant>
        <vt:i4>5</vt:i4>
      </vt:variant>
      <vt:variant>
        <vt:lpwstr/>
      </vt:variant>
      <vt:variant>
        <vt:lpwstr>_Toc522988637</vt:lpwstr>
      </vt:variant>
      <vt:variant>
        <vt:i4>1507385</vt:i4>
      </vt:variant>
      <vt:variant>
        <vt:i4>104</vt:i4>
      </vt:variant>
      <vt:variant>
        <vt:i4>0</vt:i4>
      </vt:variant>
      <vt:variant>
        <vt:i4>5</vt:i4>
      </vt:variant>
      <vt:variant>
        <vt:lpwstr/>
      </vt:variant>
      <vt:variant>
        <vt:lpwstr>_Toc522988636</vt:lpwstr>
      </vt:variant>
      <vt:variant>
        <vt:i4>1507385</vt:i4>
      </vt:variant>
      <vt:variant>
        <vt:i4>98</vt:i4>
      </vt:variant>
      <vt:variant>
        <vt:i4>0</vt:i4>
      </vt:variant>
      <vt:variant>
        <vt:i4>5</vt:i4>
      </vt:variant>
      <vt:variant>
        <vt:lpwstr/>
      </vt:variant>
      <vt:variant>
        <vt:lpwstr>_Toc522988635</vt:lpwstr>
      </vt:variant>
      <vt:variant>
        <vt:i4>1507385</vt:i4>
      </vt:variant>
      <vt:variant>
        <vt:i4>92</vt:i4>
      </vt:variant>
      <vt:variant>
        <vt:i4>0</vt:i4>
      </vt:variant>
      <vt:variant>
        <vt:i4>5</vt:i4>
      </vt:variant>
      <vt:variant>
        <vt:lpwstr/>
      </vt:variant>
      <vt:variant>
        <vt:lpwstr>_Toc522988634</vt:lpwstr>
      </vt:variant>
      <vt:variant>
        <vt:i4>1507385</vt:i4>
      </vt:variant>
      <vt:variant>
        <vt:i4>86</vt:i4>
      </vt:variant>
      <vt:variant>
        <vt:i4>0</vt:i4>
      </vt:variant>
      <vt:variant>
        <vt:i4>5</vt:i4>
      </vt:variant>
      <vt:variant>
        <vt:lpwstr/>
      </vt:variant>
      <vt:variant>
        <vt:lpwstr>_Toc522988633</vt:lpwstr>
      </vt:variant>
      <vt:variant>
        <vt:i4>1507385</vt:i4>
      </vt:variant>
      <vt:variant>
        <vt:i4>80</vt:i4>
      </vt:variant>
      <vt:variant>
        <vt:i4>0</vt:i4>
      </vt:variant>
      <vt:variant>
        <vt:i4>5</vt:i4>
      </vt:variant>
      <vt:variant>
        <vt:lpwstr/>
      </vt:variant>
      <vt:variant>
        <vt:lpwstr>_Toc522988632</vt:lpwstr>
      </vt:variant>
      <vt:variant>
        <vt:i4>1507385</vt:i4>
      </vt:variant>
      <vt:variant>
        <vt:i4>74</vt:i4>
      </vt:variant>
      <vt:variant>
        <vt:i4>0</vt:i4>
      </vt:variant>
      <vt:variant>
        <vt:i4>5</vt:i4>
      </vt:variant>
      <vt:variant>
        <vt:lpwstr/>
      </vt:variant>
      <vt:variant>
        <vt:lpwstr>_Toc522988631</vt:lpwstr>
      </vt:variant>
      <vt:variant>
        <vt:i4>1507385</vt:i4>
      </vt:variant>
      <vt:variant>
        <vt:i4>68</vt:i4>
      </vt:variant>
      <vt:variant>
        <vt:i4>0</vt:i4>
      </vt:variant>
      <vt:variant>
        <vt:i4>5</vt:i4>
      </vt:variant>
      <vt:variant>
        <vt:lpwstr/>
      </vt:variant>
      <vt:variant>
        <vt:lpwstr>_Toc522988630</vt:lpwstr>
      </vt:variant>
      <vt:variant>
        <vt:i4>1441849</vt:i4>
      </vt:variant>
      <vt:variant>
        <vt:i4>62</vt:i4>
      </vt:variant>
      <vt:variant>
        <vt:i4>0</vt:i4>
      </vt:variant>
      <vt:variant>
        <vt:i4>5</vt:i4>
      </vt:variant>
      <vt:variant>
        <vt:lpwstr/>
      </vt:variant>
      <vt:variant>
        <vt:lpwstr>_Toc522988629</vt:lpwstr>
      </vt:variant>
      <vt:variant>
        <vt:i4>1441849</vt:i4>
      </vt:variant>
      <vt:variant>
        <vt:i4>56</vt:i4>
      </vt:variant>
      <vt:variant>
        <vt:i4>0</vt:i4>
      </vt:variant>
      <vt:variant>
        <vt:i4>5</vt:i4>
      </vt:variant>
      <vt:variant>
        <vt:lpwstr/>
      </vt:variant>
      <vt:variant>
        <vt:lpwstr>_Toc522988628</vt:lpwstr>
      </vt:variant>
      <vt:variant>
        <vt:i4>1441849</vt:i4>
      </vt:variant>
      <vt:variant>
        <vt:i4>50</vt:i4>
      </vt:variant>
      <vt:variant>
        <vt:i4>0</vt:i4>
      </vt:variant>
      <vt:variant>
        <vt:i4>5</vt:i4>
      </vt:variant>
      <vt:variant>
        <vt:lpwstr/>
      </vt:variant>
      <vt:variant>
        <vt:lpwstr>_Toc522988627</vt:lpwstr>
      </vt:variant>
      <vt:variant>
        <vt:i4>1441849</vt:i4>
      </vt:variant>
      <vt:variant>
        <vt:i4>44</vt:i4>
      </vt:variant>
      <vt:variant>
        <vt:i4>0</vt:i4>
      </vt:variant>
      <vt:variant>
        <vt:i4>5</vt:i4>
      </vt:variant>
      <vt:variant>
        <vt:lpwstr/>
      </vt:variant>
      <vt:variant>
        <vt:lpwstr>_Toc522988626</vt:lpwstr>
      </vt:variant>
      <vt:variant>
        <vt:i4>1441849</vt:i4>
      </vt:variant>
      <vt:variant>
        <vt:i4>38</vt:i4>
      </vt:variant>
      <vt:variant>
        <vt:i4>0</vt:i4>
      </vt:variant>
      <vt:variant>
        <vt:i4>5</vt:i4>
      </vt:variant>
      <vt:variant>
        <vt:lpwstr/>
      </vt:variant>
      <vt:variant>
        <vt:lpwstr>_Toc522988625</vt:lpwstr>
      </vt:variant>
      <vt:variant>
        <vt:i4>1441849</vt:i4>
      </vt:variant>
      <vt:variant>
        <vt:i4>32</vt:i4>
      </vt:variant>
      <vt:variant>
        <vt:i4>0</vt:i4>
      </vt:variant>
      <vt:variant>
        <vt:i4>5</vt:i4>
      </vt:variant>
      <vt:variant>
        <vt:lpwstr/>
      </vt:variant>
      <vt:variant>
        <vt:lpwstr>_Toc522988624</vt:lpwstr>
      </vt:variant>
      <vt:variant>
        <vt:i4>1441849</vt:i4>
      </vt:variant>
      <vt:variant>
        <vt:i4>26</vt:i4>
      </vt:variant>
      <vt:variant>
        <vt:i4>0</vt:i4>
      </vt:variant>
      <vt:variant>
        <vt:i4>5</vt:i4>
      </vt:variant>
      <vt:variant>
        <vt:lpwstr/>
      </vt:variant>
      <vt:variant>
        <vt:lpwstr>_Toc522988623</vt:lpwstr>
      </vt:variant>
      <vt:variant>
        <vt:i4>1441849</vt:i4>
      </vt:variant>
      <vt:variant>
        <vt:i4>20</vt:i4>
      </vt:variant>
      <vt:variant>
        <vt:i4>0</vt:i4>
      </vt:variant>
      <vt:variant>
        <vt:i4>5</vt:i4>
      </vt:variant>
      <vt:variant>
        <vt:lpwstr/>
      </vt:variant>
      <vt:variant>
        <vt:lpwstr>_Toc522988622</vt:lpwstr>
      </vt:variant>
      <vt:variant>
        <vt:i4>1441849</vt:i4>
      </vt:variant>
      <vt:variant>
        <vt:i4>14</vt:i4>
      </vt:variant>
      <vt:variant>
        <vt:i4>0</vt:i4>
      </vt:variant>
      <vt:variant>
        <vt:i4>5</vt:i4>
      </vt:variant>
      <vt:variant>
        <vt:lpwstr/>
      </vt:variant>
      <vt:variant>
        <vt:lpwstr>_Toc522988621</vt:lpwstr>
      </vt:variant>
      <vt:variant>
        <vt:i4>1441849</vt:i4>
      </vt:variant>
      <vt:variant>
        <vt:i4>8</vt:i4>
      </vt:variant>
      <vt:variant>
        <vt:i4>0</vt:i4>
      </vt:variant>
      <vt:variant>
        <vt:i4>5</vt:i4>
      </vt:variant>
      <vt:variant>
        <vt:lpwstr/>
      </vt:variant>
      <vt:variant>
        <vt:lpwstr>_Toc522988620</vt:lpwstr>
      </vt:variant>
      <vt:variant>
        <vt:i4>1376313</vt:i4>
      </vt:variant>
      <vt:variant>
        <vt:i4>2</vt:i4>
      </vt:variant>
      <vt:variant>
        <vt:i4>0</vt:i4>
      </vt:variant>
      <vt:variant>
        <vt:i4>5</vt:i4>
      </vt:variant>
      <vt:variant>
        <vt:lpwstr/>
      </vt:variant>
      <vt:variant>
        <vt:lpwstr>_Toc522988619</vt:lpwstr>
      </vt:variant>
      <vt:variant>
        <vt:i4>3735590</vt:i4>
      </vt:variant>
      <vt:variant>
        <vt:i4>18</vt:i4>
      </vt:variant>
      <vt:variant>
        <vt:i4>0</vt:i4>
      </vt:variant>
      <vt:variant>
        <vt:i4>5</vt:i4>
      </vt:variant>
      <vt:variant>
        <vt:lpwstr>http://www.ubh.gov.me/vijesti/169596/Ne-krivotvorenim-i-ilegalnim-pesticidima.html</vt:lpwstr>
      </vt:variant>
      <vt:variant>
        <vt:lpwstr/>
      </vt:variant>
      <vt:variant>
        <vt:i4>7405673</vt:i4>
      </vt:variant>
      <vt:variant>
        <vt:i4>15</vt:i4>
      </vt:variant>
      <vt:variant>
        <vt:i4>0</vt:i4>
      </vt:variant>
      <vt:variant>
        <vt:i4>5</vt:i4>
      </vt:variant>
      <vt:variant>
        <vt:lpwstr>http://www.ubh.gov.me/vijesti/169536/Pcele-i-pesticidi.html</vt:lpwstr>
      </vt:variant>
      <vt:variant>
        <vt:lpwstr/>
      </vt:variant>
      <vt:variant>
        <vt:i4>3145786</vt:i4>
      </vt:variant>
      <vt:variant>
        <vt:i4>12</vt:i4>
      </vt:variant>
      <vt:variant>
        <vt:i4>0</vt:i4>
      </vt:variant>
      <vt:variant>
        <vt:i4>5</vt:i4>
      </vt:variant>
      <vt:variant>
        <vt:lpwstr>http://www.ubh.gov.me/vijesti/169504/Uputstvo-za-ciscenje-ambalaze-SZB-trostruko-ispiranje-ilovepdf-compressed.html</vt:lpwstr>
      </vt:variant>
      <vt:variant>
        <vt:lpwstr/>
      </vt:variant>
      <vt:variant>
        <vt:i4>3145842</vt:i4>
      </vt:variant>
      <vt:variant>
        <vt:i4>9</vt:i4>
      </vt:variant>
      <vt:variant>
        <vt:i4>0</vt:i4>
      </vt:variant>
      <vt:variant>
        <vt:i4>5</vt:i4>
      </vt:variant>
      <vt:variant>
        <vt:lpwstr>http://www.ubh.gov.me/vijesti/169436/Licna-zastitna-oprema-obavezna-pri-rukovanju-sredstvima-za-zastitu-bilja.html</vt:lpwstr>
      </vt:variant>
      <vt:variant>
        <vt:lpwstr/>
      </vt:variant>
      <vt:variant>
        <vt:i4>4325469</vt:i4>
      </vt:variant>
      <vt:variant>
        <vt:i4>6</vt:i4>
      </vt:variant>
      <vt:variant>
        <vt:i4>0</vt:i4>
      </vt:variant>
      <vt:variant>
        <vt:i4>5</vt:i4>
      </vt:variant>
      <vt:variant>
        <vt:lpwstr>http://www.ubh.gov.me/vijesti/169435/Promet-i-pravilna-upotreba-sredstava-za-zastitu-bilja-u-Crnoj-Gori.html</vt:lpwstr>
      </vt:variant>
      <vt:variant>
        <vt:lpwstr/>
      </vt:variant>
      <vt:variant>
        <vt:i4>6684720</vt:i4>
      </vt:variant>
      <vt:variant>
        <vt:i4>3</vt:i4>
      </vt:variant>
      <vt:variant>
        <vt:i4>0</vt:i4>
      </vt:variant>
      <vt:variant>
        <vt:i4>5</vt:i4>
      </vt:variant>
      <vt:variant>
        <vt:lpwstr>https://www.youtube.com/watch?v=UPxf5jN7Ta0</vt:lpwstr>
      </vt:variant>
      <vt:variant>
        <vt:lpwstr>action=share</vt:lpwstr>
      </vt:variant>
      <vt:variant>
        <vt:i4>6357032</vt:i4>
      </vt:variant>
      <vt:variant>
        <vt:i4>0</vt:i4>
      </vt:variant>
      <vt:variant>
        <vt:i4>0</vt:i4>
      </vt:variant>
      <vt:variant>
        <vt:i4>5</vt:i4>
      </vt:variant>
      <vt:variant>
        <vt:lpwstr>http://www.mrt.gov.me/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Jelena Plamenac</dc:creator>
  <cp:keywords/>
  <dc:description/>
  <cp:lastModifiedBy>Jelena Kovacevic</cp:lastModifiedBy>
  <cp:revision>6</cp:revision>
  <cp:lastPrinted>2018-09-25T06:45:00Z</cp:lastPrinted>
  <dcterms:created xsi:type="dcterms:W3CDTF">2018-10-29T06:50:00Z</dcterms:created>
  <dcterms:modified xsi:type="dcterms:W3CDTF">2018-10-30T09:47:00Z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