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C4D6" w14:textId="77777777" w:rsidR="0035626D" w:rsidRPr="000979A2" w:rsidRDefault="0035626D" w:rsidP="0035626D">
      <w:pPr>
        <w:pStyle w:val="Title"/>
        <w:ind w:left="1134"/>
        <w:rPr>
          <w:rFonts w:ascii="Cambria" w:hAnsi="Cambria" w:cs="Arial"/>
          <w:b w:val="0"/>
          <w:bCs/>
          <w:sz w:val="22"/>
          <w:szCs w:val="22"/>
        </w:rPr>
      </w:pPr>
      <w:r w:rsidRPr="000979A2">
        <w:rPr>
          <w:rFonts w:ascii="Cambria" w:hAnsi="Cambria" w:cs="Arial"/>
          <w:b w:val="0"/>
          <w:bCs/>
          <w:noProof/>
          <w:sz w:val="22"/>
          <w:szCs w:val="22"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7AA09558" wp14:editId="7D8E3A77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9A2">
        <w:rPr>
          <w:rFonts w:ascii="Cambria" w:hAnsi="Cambria" w:cs="Arial"/>
          <w:b w:val="0"/>
          <w:bCs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465DDD7" wp14:editId="62FC6F9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F84CAD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0979A2">
        <w:rPr>
          <w:rFonts w:ascii="Cambria" w:hAnsi="Cambria" w:cs="Arial"/>
          <w:b w:val="0"/>
          <w:bCs/>
          <w:noProof/>
          <w:sz w:val="22"/>
          <w:szCs w:val="22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095323E5" wp14:editId="5594C8B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979A2">
        <w:rPr>
          <w:rFonts w:ascii="Cambria" w:hAnsi="Cambria" w:cs="Arial"/>
          <w:b w:val="0"/>
          <w:bCs/>
          <w:sz w:val="22"/>
          <w:szCs w:val="22"/>
        </w:rPr>
        <w:t>Crna</w:t>
      </w:r>
      <w:proofErr w:type="spellEnd"/>
      <w:r w:rsidRPr="000979A2">
        <w:rPr>
          <w:rFonts w:ascii="Cambria" w:hAnsi="Cambria" w:cs="Arial"/>
          <w:b w:val="0"/>
          <w:bCs/>
          <w:sz w:val="22"/>
          <w:szCs w:val="22"/>
        </w:rPr>
        <w:t xml:space="preserve"> Gora</w:t>
      </w:r>
    </w:p>
    <w:p w14:paraId="4EBB1850" w14:textId="77777777" w:rsidR="0035626D" w:rsidRPr="000979A2" w:rsidRDefault="0035626D" w:rsidP="0035626D">
      <w:pPr>
        <w:pStyle w:val="Title"/>
        <w:spacing w:after="0"/>
        <w:ind w:left="1134"/>
        <w:rPr>
          <w:rFonts w:ascii="Cambria" w:hAnsi="Cambria" w:cs="Arial"/>
          <w:b w:val="0"/>
          <w:bCs/>
          <w:sz w:val="22"/>
          <w:szCs w:val="22"/>
        </w:rPr>
      </w:pPr>
      <w:proofErr w:type="spellStart"/>
      <w:r w:rsidRPr="000979A2">
        <w:rPr>
          <w:rFonts w:ascii="Cambria" w:hAnsi="Cambria" w:cs="Arial"/>
          <w:b w:val="0"/>
          <w:bCs/>
          <w:sz w:val="22"/>
          <w:szCs w:val="22"/>
        </w:rPr>
        <w:t>Ministarstvo</w:t>
      </w:r>
      <w:proofErr w:type="spellEnd"/>
      <w:r w:rsidRPr="000979A2">
        <w:rPr>
          <w:rFonts w:ascii="Cambria" w:hAnsi="Cambria" w:cs="Arial"/>
          <w:b w:val="0"/>
          <w:bCs/>
          <w:sz w:val="22"/>
          <w:szCs w:val="22"/>
        </w:rPr>
        <w:t xml:space="preserve"> </w:t>
      </w:r>
      <w:proofErr w:type="spellStart"/>
      <w:r w:rsidRPr="000979A2">
        <w:rPr>
          <w:rFonts w:ascii="Cambria" w:hAnsi="Cambria" w:cs="Arial"/>
          <w:b w:val="0"/>
          <w:bCs/>
          <w:sz w:val="22"/>
          <w:szCs w:val="22"/>
        </w:rPr>
        <w:t>održivog</w:t>
      </w:r>
      <w:proofErr w:type="spellEnd"/>
      <w:r w:rsidRPr="000979A2">
        <w:rPr>
          <w:rFonts w:ascii="Cambria" w:hAnsi="Cambria" w:cs="Arial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0979A2">
        <w:rPr>
          <w:rFonts w:ascii="Cambria" w:hAnsi="Cambria" w:cs="Arial"/>
          <w:b w:val="0"/>
          <w:bCs/>
          <w:sz w:val="22"/>
          <w:szCs w:val="22"/>
        </w:rPr>
        <w:t>razvoja</w:t>
      </w:r>
      <w:proofErr w:type="spellEnd"/>
      <w:r w:rsidRPr="000979A2">
        <w:rPr>
          <w:rFonts w:ascii="Cambria" w:hAnsi="Cambria" w:cs="Arial"/>
          <w:b w:val="0"/>
          <w:bCs/>
          <w:sz w:val="22"/>
          <w:szCs w:val="22"/>
        </w:rPr>
        <w:t xml:space="preserve">  </w:t>
      </w:r>
      <w:proofErr w:type="spellStart"/>
      <w:r w:rsidRPr="000979A2">
        <w:rPr>
          <w:rFonts w:ascii="Cambria" w:hAnsi="Cambria" w:cs="Arial"/>
          <w:b w:val="0"/>
          <w:bCs/>
          <w:sz w:val="22"/>
          <w:szCs w:val="22"/>
        </w:rPr>
        <w:t>i</w:t>
      </w:r>
      <w:proofErr w:type="spellEnd"/>
      <w:proofErr w:type="gramEnd"/>
      <w:r w:rsidRPr="000979A2">
        <w:rPr>
          <w:rFonts w:ascii="Cambria" w:hAnsi="Cambria" w:cs="Arial"/>
          <w:b w:val="0"/>
          <w:bCs/>
          <w:sz w:val="22"/>
          <w:szCs w:val="22"/>
        </w:rPr>
        <w:t xml:space="preserve"> </w:t>
      </w:r>
      <w:proofErr w:type="spellStart"/>
      <w:r w:rsidRPr="000979A2">
        <w:rPr>
          <w:rFonts w:ascii="Cambria" w:hAnsi="Cambria" w:cs="Arial"/>
          <w:b w:val="0"/>
          <w:bCs/>
          <w:sz w:val="22"/>
          <w:szCs w:val="22"/>
        </w:rPr>
        <w:t>turizma</w:t>
      </w:r>
      <w:proofErr w:type="spellEnd"/>
    </w:p>
    <w:p w14:paraId="1925F21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FBA56CD" w14:textId="77777777" w:rsidR="0035626D" w:rsidRPr="000979A2" w:rsidRDefault="0035626D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u w:val="single"/>
          <w:lang w:val="sr-Latn-CS"/>
        </w:rPr>
      </w:pPr>
    </w:p>
    <w:p w14:paraId="78A6499B" w14:textId="1DBB86C8" w:rsidR="0035626D" w:rsidRPr="000979A2" w:rsidRDefault="0035626D" w:rsidP="0035626D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0979A2">
        <w:rPr>
          <w:rFonts w:ascii="Cambria" w:hAnsi="Cambria"/>
        </w:rPr>
        <w:t>Broj</w:t>
      </w:r>
      <w:proofErr w:type="spellEnd"/>
      <w:r w:rsidRPr="000979A2">
        <w:rPr>
          <w:rFonts w:ascii="Cambria" w:hAnsi="Cambria"/>
        </w:rPr>
        <w:t>: 01/05/2-515</w:t>
      </w:r>
      <w:r w:rsidRPr="000979A2">
        <w:rPr>
          <w:rFonts w:ascii="Cambria" w:hAnsi="Cambria"/>
        </w:rPr>
        <w:tab/>
      </w:r>
    </w:p>
    <w:p w14:paraId="1E62AB6F" w14:textId="59E806FE" w:rsidR="0035626D" w:rsidRPr="000979A2" w:rsidRDefault="0035626D" w:rsidP="0035626D">
      <w:pPr>
        <w:spacing w:after="0" w:line="240" w:lineRule="auto"/>
        <w:jc w:val="both"/>
        <w:rPr>
          <w:rFonts w:ascii="Cambria" w:hAnsi="Cambria"/>
        </w:rPr>
      </w:pPr>
      <w:r w:rsidRPr="000979A2">
        <w:rPr>
          <w:rFonts w:ascii="Cambria" w:hAnsi="Cambria"/>
        </w:rPr>
        <w:t xml:space="preserve">Podgorica, 18. 06. 2019. </w:t>
      </w:r>
      <w:proofErr w:type="spellStart"/>
      <w:proofErr w:type="gramStart"/>
      <w:r w:rsidRPr="000979A2">
        <w:rPr>
          <w:rFonts w:ascii="Cambria" w:hAnsi="Cambria"/>
        </w:rPr>
        <w:t>godine</w:t>
      </w:r>
      <w:proofErr w:type="spellEnd"/>
      <w:proofErr w:type="gramEnd"/>
    </w:p>
    <w:p w14:paraId="4A5778FF" w14:textId="77777777" w:rsidR="0035626D" w:rsidRPr="000979A2" w:rsidRDefault="0035626D" w:rsidP="0035626D">
      <w:pPr>
        <w:jc w:val="center"/>
        <w:rPr>
          <w:rFonts w:ascii="Cambria" w:hAnsi="Cambria"/>
        </w:rPr>
      </w:pPr>
    </w:p>
    <w:p w14:paraId="18C9A6E8" w14:textId="56544243" w:rsidR="0035626D" w:rsidRPr="000979A2" w:rsidRDefault="0035626D" w:rsidP="0035626D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  <w:r w:rsidRPr="000979A2">
        <w:rPr>
          <w:rFonts w:ascii="Cambria" w:hAnsi="Cambria" w:cs="ArialNarrow"/>
          <w:sz w:val="24"/>
          <w:szCs w:val="24"/>
        </w:rPr>
        <w:t xml:space="preserve">U </w:t>
      </w:r>
      <w:proofErr w:type="spellStart"/>
      <w:r w:rsidRPr="000979A2">
        <w:rPr>
          <w:rFonts w:ascii="Cambria" w:hAnsi="Cambria" w:cs="ArialNarrow"/>
          <w:sz w:val="24"/>
          <w:szCs w:val="24"/>
        </w:rPr>
        <w:t>skladu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 </w:t>
      </w:r>
      <w:proofErr w:type="spellStart"/>
      <w:proofErr w:type="gramStart"/>
      <w:r w:rsidRPr="000979A2">
        <w:rPr>
          <w:rFonts w:ascii="Cambria" w:hAnsi="Cambria" w:cs="ArialNarrow"/>
          <w:sz w:val="24"/>
          <w:szCs w:val="24"/>
        </w:rPr>
        <w:t>sa</w:t>
      </w:r>
      <w:proofErr w:type="spellEnd"/>
      <w:proofErr w:type="gramEnd"/>
      <w:r w:rsidRPr="000979A2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Narrow"/>
          <w:sz w:val="24"/>
          <w:szCs w:val="24"/>
        </w:rPr>
        <w:t>Zaključkom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Narrow"/>
          <w:sz w:val="24"/>
          <w:szCs w:val="24"/>
        </w:rPr>
        <w:t>Vlade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Narrow"/>
          <w:sz w:val="24"/>
          <w:szCs w:val="24"/>
        </w:rPr>
        <w:t>Crne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 Gore </w:t>
      </w:r>
      <w:proofErr w:type="spellStart"/>
      <w:r w:rsidRPr="000979A2">
        <w:rPr>
          <w:rFonts w:ascii="Cambria" w:hAnsi="Cambria" w:cs="ArialNarrow"/>
          <w:sz w:val="24"/>
          <w:szCs w:val="24"/>
        </w:rPr>
        <w:t>broj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: 07-2319 </w:t>
      </w:r>
      <w:proofErr w:type="spellStart"/>
      <w:r w:rsidRPr="000979A2">
        <w:rPr>
          <w:rFonts w:ascii="Cambria" w:hAnsi="Cambria" w:cs="ArialNarrow"/>
          <w:sz w:val="24"/>
          <w:szCs w:val="24"/>
        </w:rPr>
        <w:t>od</w:t>
      </w:r>
      <w:proofErr w:type="spellEnd"/>
      <w:r w:rsidRPr="000979A2">
        <w:rPr>
          <w:rFonts w:ascii="Cambria" w:hAnsi="Cambria" w:cs="ArialNarrow"/>
          <w:sz w:val="24"/>
          <w:szCs w:val="24"/>
        </w:rPr>
        <w:t xml:space="preserve"> 13. </w:t>
      </w:r>
      <w:proofErr w:type="spellStart"/>
      <w:proofErr w:type="gramStart"/>
      <w:r w:rsidRPr="000979A2">
        <w:rPr>
          <w:rFonts w:ascii="Cambria" w:hAnsi="Cambria" w:cs="ArialNarrow"/>
          <w:sz w:val="24"/>
          <w:szCs w:val="24"/>
        </w:rPr>
        <w:t>juna</w:t>
      </w:r>
      <w:proofErr w:type="spellEnd"/>
      <w:proofErr w:type="gramEnd"/>
      <w:r w:rsidRPr="000979A2">
        <w:rPr>
          <w:rFonts w:ascii="Cambria" w:hAnsi="Cambria" w:cs="ArialNarrow"/>
          <w:sz w:val="24"/>
          <w:szCs w:val="24"/>
        </w:rPr>
        <w:t xml:space="preserve"> 2019. </w:t>
      </w:r>
      <w:proofErr w:type="spellStart"/>
      <w:proofErr w:type="gramStart"/>
      <w:r w:rsidRPr="000979A2">
        <w:rPr>
          <w:rFonts w:ascii="Cambria" w:hAnsi="Cambria" w:cs="ArialNarrow"/>
          <w:sz w:val="24"/>
          <w:szCs w:val="24"/>
        </w:rPr>
        <w:t>godine</w:t>
      </w:r>
      <w:proofErr w:type="spellEnd"/>
      <w:proofErr w:type="gramEnd"/>
      <w:r w:rsidRPr="000979A2">
        <w:rPr>
          <w:rFonts w:ascii="Cambria" w:hAnsi="Cambria" w:cs="ArialNarrow"/>
          <w:sz w:val="24"/>
          <w:szCs w:val="24"/>
        </w:rPr>
        <w:t xml:space="preserve">, </w:t>
      </w:r>
      <w:proofErr w:type="spellStart"/>
      <w:r w:rsidRPr="000979A2">
        <w:rPr>
          <w:rFonts w:ascii="Cambria" w:hAnsi="Cambria" w:cs="Arial"/>
          <w:bCs/>
          <w:sz w:val="24"/>
          <w:szCs w:val="24"/>
        </w:rPr>
        <w:t>Nacionalna</w:t>
      </w:r>
      <w:proofErr w:type="spellEnd"/>
      <w:r w:rsidRPr="000979A2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"/>
          <w:bCs/>
          <w:sz w:val="24"/>
          <w:szCs w:val="24"/>
        </w:rPr>
        <w:t>turistička</w:t>
      </w:r>
      <w:proofErr w:type="spellEnd"/>
      <w:r w:rsidRPr="000979A2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"/>
          <w:bCs/>
          <w:sz w:val="24"/>
          <w:szCs w:val="24"/>
        </w:rPr>
        <w:t>organizacija</w:t>
      </w:r>
      <w:proofErr w:type="spellEnd"/>
      <w:r w:rsidRPr="000979A2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0979A2">
        <w:rPr>
          <w:rFonts w:ascii="Cambria" w:hAnsi="Cambria" w:cs="Arial"/>
          <w:bCs/>
          <w:sz w:val="24"/>
          <w:szCs w:val="24"/>
        </w:rPr>
        <w:t>Crne</w:t>
      </w:r>
      <w:proofErr w:type="spellEnd"/>
      <w:r w:rsidRPr="000979A2">
        <w:rPr>
          <w:rFonts w:ascii="Cambria" w:hAnsi="Cambria" w:cs="Arial"/>
          <w:bCs/>
          <w:sz w:val="24"/>
          <w:szCs w:val="24"/>
        </w:rPr>
        <w:t xml:space="preserve"> Gore </w:t>
      </w:r>
      <w:proofErr w:type="spellStart"/>
      <w:r w:rsidRPr="000979A2">
        <w:rPr>
          <w:rFonts w:ascii="Cambria" w:hAnsi="Cambria" w:cs="Arial"/>
          <w:bCs/>
          <w:sz w:val="24"/>
          <w:szCs w:val="24"/>
        </w:rPr>
        <w:t>objavljuje</w:t>
      </w:r>
      <w:proofErr w:type="spellEnd"/>
      <w:r w:rsidRPr="000979A2">
        <w:rPr>
          <w:rFonts w:ascii="Cambria" w:hAnsi="Cambria" w:cs="Arial"/>
          <w:bCs/>
          <w:sz w:val="24"/>
          <w:szCs w:val="24"/>
        </w:rPr>
        <w:t>:</w:t>
      </w:r>
    </w:p>
    <w:p w14:paraId="0B14C4B6" w14:textId="77777777" w:rsidR="0035626D" w:rsidRPr="000979A2" w:rsidRDefault="0035626D" w:rsidP="0035626D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</w:p>
    <w:p w14:paraId="36CB36F6" w14:textId="77777777" w:rsidR="0035626D" w:rsidRPr="000979A2" w:rsidRDefault="0035626D" w:rsidP="0035626D">
      <w:pPr>
        <w:autoSpaceDE w:val="0"/>
        <w:autoSpaceDN w:val="0"/>
        <w:adjustRightInd w:val="0"/>
        <w:spacing w:after="0"/>
        <w:ind w:right="347"/>
        <w:jc w:val="center"/>
        <w:rPr>
          <w:rFonts w:ascii="Cambria" w:hAnsi="Cambria" w:cs="Arial"/>
          <w:b/>
          <w:bCs/>
          <w:color w:val="000000"/>
          <w:sz w:val="44"/>
          <w:szCs w:val="44"/>
        </w:rPr>
      </w:pPr>
      <w:r w:rsidRPr="000979A2">
        <w:rPr>
          <w:rFonts w:ascii="Cambria" w:hAnsi="Cambria" w:cs="Arial"/>
          <w:b/>
          <w:bCs/>
          <w:color w:val="000000"/>
          <w:sz w:val="44"/>
          <w:szCs w:val="44"/>
        </w:rPr>
        <w:t>J A V N I    P O Z I V</w:t>
      </w:r>
    </w:p>
    <w:p w14:paraId="533F12CD" w14:textId="323D7A14" w:rsidR="0035626D" w:rsidRPr="000979A2" w:rsidRDefault="0035626D" w:rsidP="0035626D">
      <w:pPr>
        <w:pStyle w:val="NoSpacing"/>
        <w:tabs>
          <w:tab w:val="left" w:pos="3686"/>
        </w:tabs>
        <w:jc w:val="center"/>
        <w:rPr>
          <w:rFonts w:ascii="Cambria" w:eastAsia="Times New Roman" w:hAnsi="Cambria"/>
          <w:sz w:val="24"/>
          <w:szCs w:val="24"/>
        </w:rPr>
      </w:pPr>
      <w:proofErr w:type="spellStart"/>
      <w:proofErr w:type="gramStart"/>
      <w:r w:rsidRPr="000979A2">
        <w:rPr>
          <w:rFonts w:ascii="Cambria" w:eastAsia="Times New Roman" w:hAnsi="Cambria"/>
          <w:sz w:val="24"/>
          <w:szCs w:val="24"/>
        </w:rPr>
        <w:t>za</w:t>
      </w:r>
      <w:proofErr w:type="spellEnd"/>
      <w:proofErr w:type="gram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podnošenje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zahtjeva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za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dobijanje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podrške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za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sprovođenje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zajedničke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kampanje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sa</w:t>
      </w:r>
      <w:proofErr w:type="spellEnd"/>
      <w:r w:rsidRPr="000979A2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0979A2">
        <w:rPr>
          <w:rFonts w:ascii="Cambria" w:eastAsia="Times New Roman" w:hAnsi="Cambria"/>
          <w:sz w:val="24"/>
          <w:szCs w:val="24"/>
        </w:rPr>
        <w:t>turoperatorima</w:t>
      </w:r>
      <w:proofErr w:type="spellEnd"/>
    </w:p>
    <w:p w14:paraId="2FD05EE4" w14:textId="74C32AC5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7D52A7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1. </w:t>
      </w:r>
      <w:r w:rsidRPr="00852C81">
        <w:rPr>
          <w:rFonts w:ascii="Cambria" w:hAnsi="Cambria"/>
          <w:b/>
          <w:u w:val="single"/>
          <w:lang w:val="sr-Latn-CS"/>
        </w:rPr>
        <w:t>Predmet podrške:</w:t>
      </w:r>
      <w:r w:rsidRPr="000979A2">
        <w:rPr>
          <w:rFonts w:ascii="Cambria" w:hAnsi="Cambria"/>
          <w:b/>
          <w:lang w:val="sr-Latn-CS"/>
        </w:rPr>
        <w:t xml:space="preserve"> </w:t>
      </w:r>
    </w:p>
    <w:p w14:paraId="77CA142E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1E750E77" w14:textId="4C4B552F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Predmet podrške je sprovođenje ciljan</w:t>
      </w:r>
      <w:r w:rsidR="00783D87" w:rsidRPr="000979A2">
        <w:rPr>
          <w:rFonts w:ascii="Cambria" w:hAnsi="Cambria"/>
          <w:lang w:val="sr-Latn-CS"/>
        </w:rPr>
        <w:t>e</w:t>
      </w:r>
      <w:r w:rsidRPr="000979A2">
        <w:rPr>
          <w:rFonts w:ascii="Cambria" w:hAnsi="Cambria"/>
          <w:lang w:val="sr-Latn-CS"/>
        </w:rPr>
        <w:t xml:space="preserve"> zajedničke kampanje sa turoperatorima koji dovode goste sa ključnih emitivnih tržišta za Crnu Goru sa organizovanim avionskim dolascima.</w:t>
      </w:r>
    </w:p>
    <w:p w14:paraId="0BB8B87C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88A2AF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Zajedničke kampanje odnose se na promociju destinacije i ponudu paket aranžmana za Crnu Goru koji uključuju predsezonu i/ili postezonu (januar-maj i oktobar-decembar)</w:t>
      </w:r>
    </w:p>
    <w:p w14:paraId="779E145F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68082E4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2. </w:t>
      </w:r>
      <w:r w:rsidRPr="00852C81">
        <w:rPr>
          <w:rFonts w:ascii="Cambria" w:hAnsi="Cambria"/>
          <w:b/>
          <w:u w:val="single"/>
          <w:lang w:val="sr-Latn-CS"/>
        </w:rPr>
        <w:t>Ukupan iznos sredstava:</w:t>
      </w:r>
    </w:p>
    <w:p w14:paraId="0B2A1A6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943B662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Ukupna planirana sredstva za ovu mjeru programa iznose 150.000,00 € (sa PDV-om).</w:t>
      </w:r>
    </w:p>
    <w:p w14:paraId="65B8CD0D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7D9F6ACC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>3. Mogući partneri:</w:t>
      </w:r>
    </w:p>
    <w:p w14:paraId="67D116B5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5B610EAB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Turoperatori koji dovode goste u Crnu Goru organizovanim avionskim prevozom i koji u narednom periodu planiraju da povećaju broj rotacija u pred i post sezoni kao i u narednim godinama.</w:t>
      </w:r>
    </w:p>
    <w:p w14:paraId="357CAC0F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Prilikom odabira partnera u obzir će se uzimati usklađenost programa sa osnovnim strateškim ciljevima crnogorskog turizma i prisustvo turoperatora (postojanje predstavništva) na ključnim emitivnim tržištima. Cilj kampanja je podizanje nivoa poznavanja brenda Montenegro Wild Beauty.</w:t>
      </w:r>
    </w:p>
    <w:p w14:paraId="60E49A65" w14:textId="423207B6" w:rsidR="00852C81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bookmarkStart w:id="0" w:name="_GoBack"/>
      <w:bookmarkEnd w:id="0"/>
    </w:p>
    <w:p w14:paraId="0A995006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4. </w:t>
      </w:r>
      <w:r w:rsidRPr="00852C81">
        <w:rPr>
          <w:rFonts w:ascii="Cambria" w:hAnsi="Cambria"/>
          <w:b/>
          <w:u w:val="single"/>
          <w:lang w:val="sr-Latn-CS"/>
        </w:rPr>
        <w:t>Potrebna dokumentacija za prijavljivanje:</w:t>
      </w:r>
    </w:p>
    <w:p w14:paraId="369FB77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284D4BE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Potencijalni partneri moraju dostaviti:</w:t>
      </w:r>
    </w:p>
    <w:p w14:paraId="3865E5A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828713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• Popunjena prijava </w:t>
      </w:r>
      <w:r w:rsidR="008B5A64" w:rsidRPr="000979A2">
        <w:rPr>
          <w:rFonts w:ascii="Cambria" w:hAnsi="Cambria"/>
          <w:lang w:val="sr-Latn-CS"/>
        </w:rPr>
        <w:t>(formular 1: Prijava)</w:t>
      </w:r>
    </w:p>
    <w:p w14:paraId="028B34C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• Plan zajedničke kampanje koji uključuje kreativni koncept kampanje, ciljane strateške geo zone </w:t>
      </w:r>
      <w:r w:rsidRPr="000979A2">
        <w:rPr>
          <w:rFonts w:ascii="Cambria" w:hAnsi="Cambria"/>
          <w:lang w:val="sr-Latn-CS"/>
        </w:rPr>
        <w:lastRenderedPageBreak/>
        <w:t>(gdje će se sprovoditi kampanja) produkciju materijala i sl., medija plan za sprovođenje zajedničke medijske kampanje</w:t>
      </w:r>
      <w:r w:rsidR="008B5A64" w:rsidRPr="000979A2">
        <w:rPr>
          <w:rFonts w:ascii="Cambria" w:hAnsi="Cambria"/>
          <w:lang w:val="sr-Latn-CS"/>
        </w:rPr>
        <w:t xml:space="preserve"> (medija plan, formular 2</w:t>
      </w:r>
      <w:r w:rsidR="00324FB0" w:rsidRPr="000979A2">
        <w:rPr>
          <w:rFonts w:ascii="Cambria" w:hAnsi="Cambria"/>
          <w:lang w:val="sr-Latn-CS"/>
        </w:rPr>
        <w:t xml:space="preserve"> – media plan – zakupljeni kanali</w:t>
      </w:r>
      <w:r w:rsidR="008B5A64" w:rsidRPr="000979A2">
        <w:rPr>
          <w:rFonts w:ascii="Cambria" w:hAnsi="Cambria"/>
          <w:lang w:val="sr-Latn-CS"/>
        </w:rPr>
        <w:t xml:space="preserve"> i formular 3</w:t>
      </w:r>
      <w:r w:rsidR="00324FB0" w:rsidRPr="000979A2">
        <w:rPr>
          <w:rFonts w:ascii="Cambria" w:hAnsi="Cambria"/>
          <w:lang w:val="sr-Latn-CS"/>
        </w:rPr>
        <w:t xml:space="preserve"> – media plan – vlastiti promotivni kanali)</w:t>
      </w:r>
      <w:r w:rsidR="008B5A64" w:rsidRPr="000979A2">
        <w:rPr>
          <w:rFonts w:ascii="Cambria" w:hAnsi="Cambria"/>
          <w:lang w:val="sr-Latn-CS"/>
        </w:rPr>
        <w:t xml:space="preserve"> </w:t>
      </w:r>
      <w:r w:rsidRPr="000979A2">
        <w:rPr>
          <w:rFonts w:ascii="Cambria" w:hAnsi="Cambria"/>
          <w:lang w:val="sr-Latn-CS"/>
        </w:rPr>
        <w:t xml:space="preserve"> </w:t>
      </w:r>
    </w:p>
    <w:p w14:paraId="31737C52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Finansijski plan</w:t>
      </w:r>
    </w:p>
    <w:p w14:paraId="36753613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Reference turoperatora</w:t>
      </w:r>
    </w:p>
    <w:p w14:paraId="49A8510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Ovjerenu potvrdu o trajanju odvijanja programa</w:t>
      </w:r>
      <w:r w:rsidR="008B5A64" w:rsidRPr="000979A2">
        <w:rPr>
          <w:rFonts w:ascii="Cambria" w:hAnsi="Cambria"/>
          <w:lang w:val="sr-Latn-CS"/>
        </w:rPr>
        <w:t xml:space="preserve"> (formular 4)</w:t>
      </w:r>
    </w:p>
    <w:p w14:paraId="5939DA2D" w14:textId="010FCFF5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• </w:t>
      </w:r>
      <w:r w:rsidR="00AB17E2" w:rsidRPr="000979A2">
        <w:rPr>
          <w:rFonts w:ascii="Cambria" w:hAnsi="Cambria"/>
          <w:lang w:val="sr-Latn-CS"/>
        </w:rPr>
        <w:t>Lista partnera kompanije u Crnoj Gori</w:t>
      </w:r>
    </w:p>
    <w:p w14:paraId="1B73DF9E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Potvrdu o registraciji partnera u matičnoj zemlji</w:t>
      </w:r>
    </w:p>
    <w:p w14:paraId="4756801F" w14:textId="56A9A259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• </w:t>
      </w:r>
      <w:r w:rsidR="00AB17E2" w:rsidRPr="000979A2">
        <w:rPr>
          <w:rFonts w:ascii="Cambria" w:hAnsi="Cambria"/>
          <w:lang w:val="sr-Latn-CS"/>
        </w:rPr>
        <w:t>Lista</w:t>
      </w:r>
      <w:r w:rsidRPr="000979A2">
        <w:rPr>
          <w:rFonts w:ascii="Cambria" w:hAnsi="Cambria"/>
          <w:lang w:val="sr-Latn-CS"/>
        </w:rPr>
        <w:t xml:space="preserve"> predstavništa</w:t>
      </w:r>
      <w:r w:rsidR="00AB17E2" w:rsidRPr="000979A2">
        <w:rPr>
          <w:rFonts w:ascii="Cambria" w:hAnsi="Cambria"/>
          <w:lang w:val="sr-Latn-CS"/>
        </w:rPr>
        <w:t>va</w:t>
      </w:r>
      <w:r w:rsidRPr="000979A2">
        <w:rPr>
          <w:rFonts w:ascii="Cambria" w:hAnsi="Cambria"/>
          <w:lang w:val="sr-Latn-CS"/>
        </w:rPr>
        <w:t xml:space="preserve"> u zemljama van matične zemlje (ukoliko je primjenjivo)</w:t>
      </w:r>
    </w:p>
    <w:p w14:paraId="5C7E094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Vrste programa uključujući i proizvode posebnih interesa</w:t>
      </w:r>
    </w:p>
    <w:p w14:paraId="6A374887" w14:textId="77777777" w:rsidR="00E33A01" w:rsidRPr="000979A2" w:rsidRDefault="00812C4A" w:rsidP="00E33A01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• Broj rotacija i gostiju iz 2016. i 2017. </w:t>
      </w:r>
      <w:r w:rsidR="00E33A01" w:rsidRPr="000979A2">
        <w:rPr>
          <w:rFonts w:ascii="Cambria" w:hAnsi="Cambria"/>
          <w:lang w:val="sr-Latn-CS"/>
        </w:rPr>
        <w:t xml:space="preserve">i 2018. </w:t>
      </w:r>
      <w:r w:rsidRPr="000979A2">
        <w:rPr>
          <w:rFonts w:ascii="Cambria" w:hAnsi="Cambria"/>
          <w:lang w:val="sr-Latn-CS"/>
        </w:rPr>
        <w:t>godine koji su posredstvom turoperatora boravili u Crnoj Gori</w:t>
      </w:r>
      <w:r w:rsidR="00AB17E2" w:rsidRPr="000979A2">
        <w:rPr>
          <w:rFonts w:ascii="Cambria" w:hAnsi="Cambria"/>
          <w:lang w:val="sr-Latn-CS"/>
        </w:rPr>
        <w:t xml:space="preserve"> (sadržano u formularu 4)</w:t>
      </w:r>
    </w:p>
    <w:p w14:paraId="65E64B6B" w14:textId="77777777" w:rsidR="00AB17E2" w:rsidRPr="000979A2" w:rsidRDefault="00E33A01" w:rsidP="00AB17E2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Broj rotacija planiran za 2019. godinu.</w:t>
      </w:r>
      <w:r w:rsidR="00AB17E2" w:rsidRPr="000979A2">
        <w:rPr>
          <w:rFonts w:ascii="Cambria" w:hAnsi="Cambria"/>
          <w:lang w:val="sr-Latn-CS"/>
        </w:rPr>
        <w:t xml:space="preserve"> (sadržano u formularu 4)</w:t>
      </w:r>
    </w:p>
    <w:p w14:paraId="4EE822AF" w14:textId="77777777" w:rsidR="00E33A01" w:rsidRPr="000979A2" w:rsidRDefault="00E33A01" w:rsidP="00E33A01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A87731C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Potencijal za rast u narednim godinama (koliko je planirano povećanje broja gostiju)</w:t>
      </w:r>
    </w:p>
    <w:p w14:paraId="7957C35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• Planirano proširenje postojećih ili uvođenje novih programa za Crnu Goru.</w:t>
      </w:r>
    </w:p>
    <w:p w14:paraId="36EE26CB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952FE2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Ukoliko se dostavlja dokumentacija na stranom jeziku mora je pratiti ovjeren prevod od strane sudskog tumača na jeziku u službenoj upotrebi u Crnoj Gori.</w:t>
      </w:r>
    </w:p>
    <w:p w14:paraId="2FED182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5C45EEB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Ministarstvo održivog razvoja i turizma i NTOCG zadržava pravo da od podnosioca zahtjeva zatraži dodatna pojašnjenja.</w:t>
      </w:r>
    </w:p>
    <w:p w14:paraId="70180AA0" w14:textId="6F685CA1" w:rsidR="001F3F1F" w:rsidRPr="000979A2" w:rsidRDefault="001F3F1F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55C7FA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5. </w:t>
      </w:r>
      <w:r w:rsidRPr="00852C81">
        <w:rPr>
          <w:rFonts w:ascii="Cambria" w:hAnsi="Cambria"/>
          <w:b/>
          <w:u w:val="single"/>
          <w:lang w:val="sr-Latn-CS"/>
        </w:rPr>
        <w:t>Iznos podrške i način plaćanja</w:t>
      </w:r>
    </w:p>
    <w:p w14:paraId="289925B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1648E2B5" w14:textId="0EE6DD89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Najveći iznos sredstava koji se može odobriti je 150.000,00 €. NTOCG ima pravo da traži promjenu pojedinih aktivnosti definisanih zajedničkom  kampanjom i da predloži nove aktivnosti   radi usklađivanja sa </w:t>
      </w:r>
      <w:r w:rsidR="00CA24B7" w:rsidRPr="000979A2">
        <w:rPr>
          <w:rFonts w:ascii="Cambria" w:hAnsi="Cambria"/>
          <w:lang w:val="sr-Latn-CS"/>
        </w:rPr>
        <w:t>s</w:t>
      </w:r>
      <w:r w:rsidRPr="000979A2">
        <w:rPr>
          <w:rFonts w:ascii="Cambria" w:hAnsi="Cambria"/>
          <w:lang w:val="sr-Latn-CS"/>
        </w:rPr>
        <w:t>trateškim dokumentima turizma Crne Gore. Minimalni iznos učešća partnera za ciljane zajedničke kampanje iznosi 75.000 € sopstvenih stredstava.</w:t>
      </w:r>
    </w:p>
    <w:p w14:paraId="0BB09E98" w14:textId="6834ECC4" w:rsidR="00852C81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NTO CG će sredstva uplatiti nakon podnošenja izvještaja o realizaciji medijske kampanje i finansijskog izvještaja.</w:t>
      </w:r>
    </w:p>
    <w:p w14:paraId="746A2773" w14:textId="77777777" w:rsidR="00852C81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7B00459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6. </w:t>
      </w:r>
      <w:r w:rsidRPr="00852C81">
        <w:rPr>
          <w:rFonts w:ascii="Cambria" w:hAnsi="Cambria"/>
          <w:b/>
          <w:u w:val="single"/>
          <w:lang w:val="sr-Latn-CS"/>
        </w:rPr>
        <w:t>Namjena sredstava</w:t>
      </w:r>
    </w:p>
    <w:p w14:paraId="547B114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105336E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Podrška realizaciji zajedničke kampanje na emitivna tržišta Velike Britanije, Njemačke, Austrije, Francuske i Poljske kroz pokrivanje dijela troškova za  promotivne kampanje za Crnu Goru tokom 2019. godine.</w:t>
      </w:r>
    </w:p>
    <w:p w14:paraId="636DE86C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A7A7365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Kampanja uključuje osmišljavanje kreativnog koncepta, produkciju materijala,  ciljane strateške geo zone (gdje će se sprovoditi kampanja) i sl., promotivne aktivnosti kroz “online” i “offline” kanale </w:t>
      </w:r>
      <w:r w:rsidRPr="000979A2">
        <w:rPr>
          <w:rFonts w:ascii="Cambria" w:hAnsi="Cambria"/>
          <w:lang w:val="sr-Latn-CS"/>
        </w:rPr>
        <w:lastRenderedPageBreak/>
        <w:t>komunikacije organizaciju zajedničkih prezentacija i pres konferencija i organizaciju studijskih posjeta.</w:t>
      </w:r>
    </w:p>
    <w:p w14:paraId="16A99C5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3DFADB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7. </w:t>
      </w:r>
      <w:r w:rsidRPr="00852C81">
        <w:rPr>
          <w:rFonts w:ascii="Cambria" w:hAnsi="Cambria"/>
          <w:b/>
          <w:u w:val="single"/>
          <w:lang w:val="sr-Latn-CS"/>
        </w:rPr>
        <w:t>Sredstva koja ne ulaze u obr</w:t>
      </w:r>
      <w:r w:rsidR="007E2C7B" w:rsidRPr="00852C81">
        <w:rPr>
          <w:rFonts w:ascii="Cambria" w:hAnsi="Cambria"/>
          <w:b/>
          <w:u w:val="single"/>
          <w:lang w:val="sr-Latn-CS"/>
        </w:rPr>
        <w:t>ačun za podršku od strane NTOCG</w:t>
      </w:r>
    </w:p>
    <w:p w14:paraId="371825D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4707336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Korisnik podrške ne može kao svoje učešće u finansiranju projekta prikazati ranije investirana sredstva, kao ni sredstva koja planira investirati u nekom narednom periodu nakon realizacije aktivnosti podržanog projekta. </w:t>
      </w:r>
    </w:p>
    <w:p w14:paraId="5900AABE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9A329D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8. </w:t>
      </w:r>
      <w:r w:rsidRPr="00852C81">
        <w:rPr>
          <w:rFonts w:ascii="Cambria" w:hAnsi="Cambria"/>
          <w:b/>
          <w:u w:val="single"/>
          <w:lang w:val="sr-Latn-CS"/>
        </w:rPr>
        <w:t>Način podnošenja zahtjeva i dokumentacije</w:t>
      </w:r>
    </w:p>
    <w:p w14:paraId="53890FBF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C2DE8C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Zahtjev sa pratećom dokumentacijom se dostavlja na adresu: Nacionalna turistička organizacija Crne Gore, Marka Miljanova 17, Podgorica, direktno na arhivu sa oznakom: „Prijava na Javni poziv za podnošenje zahtjeva za dobijanje podrške </w:t>
      </w:r>
      <w:r w:rsidR="007E2C7B" w:rsidRPr="000979A2">
        <w:rPr>
          <w:rFonts w:ascii="Cambria" w:hAnsi="Cambria"/>
          <w:lang w:val="sr-Latn-CS"/>
        </w:rPr>
        <w:t>za sprovođenje zajedničke kampanje sa turoperatorima</w:t>
      </w:r>
      <w:r w:rsidR="008D691A" w:rsidRPr="000979A2">
        <w:rPr>
          <w:rFonts w:ascii="Cambria" w:hAnsi="Cambria"/>
          <w:lang w:val="sr-Latn-CS"/>
        </w:rPr>
        <w:t>“</w:t>
      </w:r>
      <w:r w:rsidRPr="000979A2">
        <w:rPr>
          <w:rFonts w:ascii="Cambria" w:hAnsi="Cambria"/>
          <w:lang w:val="sr-Latn-CS"/>
        </w:rPr>
        <w:t>.</w:t>
      </w:r>
    </w:p>
    <w:p w14:paraId="184804B2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7B7BF69" w14:textId="457396E2" w:rsidR="00812C4A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Potencijalni korisnik može dostaviti samo jedan zahtjev.</w:t>
      </w:r>
    </w:p>
    <w:p w14:paraId="7E70452F" w14:textId="77777777" w:rsidR="00852C81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2F36CD14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9. </w:t>
      </w:r>
      <w:r w:rsidRPr="00852C81">
        <w:rPr>
          <w:rFonts w:ascii="Cambria" w:hAnsi="Cambria"/>
          <w:b/>
          <w:u w:val="single"/>
          <w:lang w:val="sr-Latn-CS"/>
        </w:rPr>
        <w:t>Zahtjevi koji se neće razmatrati</w:t>
      </w:r>
    </w:p>
    <w:p w14:paraId="6466390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0A5B2CE" w14:textId="3C5CF500" w:rsidR="00812C4A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b/>
          <w:lang w:val="sr-Latn-CS"/>
        </w:rPr>
        <w:t>a)</w:t>
      </w:r>
      <w:r>
        <w:rPr>
          <w:rFonts w:ascii="Cambria" w:hAnsi="Cambria"/>
          <w:lang w:val="sr-Latn-CS"/>
        </w:rPr>
        <w:t xml:space="preserve"> </w:t>
      </w:r>
      <w:r w:rsidR="00812C4A" w:rsidRPr="000979A2">
        <w:rPr>
          <w:rFonts w:ascii="Cambria" w:hAnsi="Cambria"/>
          <w:lang w:val="sr-Latn-CS"/>
        </w:rPr>
        <w:t>Zahtjevi koji ne sadrže svu traženu  dokumentaciju u skladu sa uslovima iz Programa;</w:t>
      </w:r>
    </w:p>
    <w:p w14:paraId="2FC961B4" w14:textId="225E3DE2" w:rsidR="00812C4A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b/>
          <w:lang w:val="sr-Latn-CS"/>
        </w:rPr>
        <w:t>b)</w:t>
      </w:r>
      <w:r>
        <w:rPr>
          <w:rFonts w:ascii="Cambria" w:hAnsi="Cambria"/>
          <w:lang w:val="sr-Latn-CS"/>
        </w:rPr>
        <w:t xml:space="preserve"> </w:t>
      </w:r>
      <w:r w:rsidR="00812C4A" w:rsidRPr="000979A2">
        <w:rPr>
          <w:rFonts w:ascii="Cambria" w:hAnsi="Cambria"/>
          <w:lang w:val="sr-Latn-CS"/>
        </w:rPr>
        <w:t>Neblagovremeno dostavljeni zahtjevi odnosno dostavljeni nakon definisanog roka;</w:t>
      </w:r>
    </w:p>
    <w:p w14:paraId="5BB5FA33" w14:textId="479E7185" w:rsidR="00812C4A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b/>
          <w:lang w:val="sr-Latn-CS"/>
        </w:rPr>
        <w:t>c)</w:t>
      </w:r>
      <w:r>
        <w:rPr>
          <w:rFonts w:ascii="Cambria" w:hAnsi="Cambria"/>
          <w:lang w:val="sr-Latn-CS"/>
        </w:rPr>
        <w:t xml:space="preserve"> </w:t>
      </w:r>
      <w:r w:rsidR="00812C4A" w:rsidRPr="000979A2">
        <w:rPr>
          <w:rFonts w:ascii="Cambria" w:hAnsi="Cambria"/>
          <w:lang w:val="sr-Latn-CS"/>
        </w:rPr>
        <w:t>Zahtjevi koji se odnose na projekte koji nijesu predmet ovog Programa;</w:t>
      </w:r>
    </w:p>
    <w:p w14:paraId="6F4C5F20" w14:textId="1B753F42" w:rsidR="00812C4A" w:rsidRPr="000979A2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b/>
          <w:lang w:val="sr-Latn-CS"/>
        </w:rPr>
        <w:t>d)</w:t>
      </w:r>
      <w:r>
        <w:rPr>
          <w:rFonts w:ascii="Cambria" w:hAnsi="Cambria"/>
          <w:lang w:val="sr-Latn-CS"/>
        </w:rPr>
        <w:t xml:space="preserve"> </w:t>
      </w:r>
      <w:r w:rsidR="00812C4A" w:rsidRPr="000979A2">
        <w:rPr>
          <w:rFonts w:ascii="Cambria" w:hAnsi="Cambria"/>
          <w:lang w:val="sr-Latn-CS"/>
        </w:rPr>
        <w:t>Zahtjevi koje dostave subjekti koji ne pripadaju kategorijama definisanim u Programu za Mjeru u okviru koje se prijavljuju za podršku;</w:t>
      </w:r>
    </w:p>
    <w:p w14:paraId="5FEA3E5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8668937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10. </w:t>
      </w:r>
      <w:r w:rsidRPr="00852C81">
        <w:rPr>
          <w:rFonts w:ascii="Cambria" w:hAnsi="Cambria"/>
          <w:b/>
          <w:u w:val="single"/>
          <w:lang w:val="sr-Latn-CS"/>
        </w:rPr>
        <w:t>Rangiranje</w:t>
      </w:r>
    </w:p>
    <w:p w14:paraId="50AAD54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4C3E306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Pri odabiru programa posebno će se razmatrati predlog  plana kampanje i definisane zajedničke aktivnosti,  medija plan, mreža predstavništava turoperatora, iznos sredstava koja se planiraju uložiti, podaci o broju gostiju koje  turoperator planira dovesti u Crnu Goru u 2019 godini, kao </w:t>
      </w:r>
      <w:r w:rsidR="008D691A" w:rsidRPr="000979A2">
        <w:rPr>
          <w:rFonts w:ascii="Cambria" w:hAnsi="Cambria"/>
          <w:lang w:val="sr-Latn-CS"/>
        </w:rPr>
        <w:t>i realizovani programi za 2016,</w:t>
      </w:r>
      <w:r w:rsidRPr="000979A2">
        <w:rPr>
          <w:rFonts w:ascii="Cambria" w:hAnsi="Cambria"/>
          <w:lang w:val="sr-Latn-CS"/>
        </w:rPr>
        <w:t xml:space="preserve"> 2017. </w:t>
      </w:r>
      <w:r w:rsidR="008D691A" w:rsidRPr="000979A2">
        <w:rPr>
          <w:rFonts w:ascii="Cambria" w:hAnsi="Cambria"/>
          <w:lang w:val="sr-Latn-CS"/>
        </w:rPr>
        <w:t xml:space="preserve">i 2018. </w:t>
      </w:r>
      <w:r w:rsidRPr="000979A2">
        <w:rPr>
          <w:rFonts w:ascii="Cambria" w:hAnsi="Cambria"/>
          <w:lang w:val="sr-Latn-CS"/>
        </w:rPr>
        <w:t>godinu.</w:t>
      </w:r>
    </w:p>
    <w:p w14:paraId="29E930CD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7201F73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Rang lista će biti objavljena na internet stranicama Ministarstva održivog razvoja i turizma i NTOCG.</w:t>
      </w:r>
    </w:p>
    <w:p w14:paraId="50761BE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5E183604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Sredstva će se odobravati projektima prema bodovnoj listi od najvećeg broja na niže, do krajnje raspodjele ukupnog iznosa raspoloživih sredstava namijenjenih za Mjeru Programa. </w:t>
      </w:r>
    </w:p>
    <w:p w14:paraId="61DD28E5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7C76B32D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Ako posljednji projekat na bodovnoj listi prelazi ukupno opredijeljeni iznos za ovu mjeru Programa, projekat može dobiti samo dio zahtijevanih sredstava. U tom slučaju potencijalni korisnik će imati </w:t>
      </w:r>
      <w:r w:rsidRPr="000979A2">
        <w:rPr>
          <w:rFonts w:ascii="Cambria" w:hAnsi="Cambria"/>
          <w:lang w:val="sr-Latn-CS"/>
        </w:rPr>
        <w:lastRenderedPageBreak/>
        <w:t>mogućnost da povuče zahtjev.</w:t>
      </w:r>
    </w:p>
    <w:p w14:paraId="76395A35" w14:textId="7C2AD3BD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11468B1C" w14:textId="23578AF1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>1</w:t>
      </w:r>
      <w:r w:rsidR="00CA24B7" w:rsidRPr="000979A2">
        <w:rPr>
          <w:rFonts w:ascii="Cambria" w:hAnsi="Cambria"/>
          <w:b/>
          <w:lang w:val="sr-Latn-CS"/>
        </w:rPr>
        <w:t>1</w:t>
      </w:r>
      <w:r w:rsidRPr="000979A2">
        <w:rPr>
          <w:rFonts w:ascii="Cambria" w:hAnsi="Cambria"/>
          <w:b/>
          <w:lang w:val="sr-Latn-CS"/>
        </w:rPr>
        <w:t xml:space="preserve">. </w:t>
      </w:r>
      <w:r w:rsidRPr="00852C81">
        <w:rPr>
          <w:rFonts w:ascii="Cambria" w:hAnsi="Cambria"/>
          <w:b/>
          <w:u w:val="single"/>
          <w:lang w:val="sr-Latn-CS"/>
        </w:rPr>
        <w:t>Rok za podnošenje prijava</w:t>
      </w:r>
    </w:p>
    <w:p w14:paraId="782EA3D3" w14:textId="77777777" w:rsidR="00BE4269" w:rsidRDefault="00BE4269" w:rsidP="00CC0008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5A535B5B" w14:textId="16488BFA" w:rsidR="00812C4A" w:rsidRPr="000979A2" w:rsidRDefault="00CC0008" w:rsidP="00CC0008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Rok za podnošenje prijava je</w:t>
      </w:r>
      <w:r w:rsidR="008D691A" w:rsidRPr="000979A2">
        <w:rPr>
          <w:rFonts w:ascii="Cambria" w:hAnsi="Cambria"/>
          <w:lang w:val="sr-Latn-CS"/>
        </w:rPr>
        <w:t xml:space="preserve"> 21 dan od dana objave Javnog poziva.</w:t>
      </w:r>
    </w:p>
    <w:p w14:paraId="4AE49603" w14:textId="77777777" w:rsidR="00CC0008" w:rsidRPr="000979A2" w:rsidRDefault="00CC0008" w:rsidP="00CC0008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E5BD6C5" w14:textId="1563D791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>1</w:t>
      </w:r>
      <w:r w:rsidR="00CA24B7" w:rsidRPr="000979A2">
        <w:rPr>
          <w:rFonts w:ascii="Cambria" w:hAnsi="Cambria"/>
          <w:b/>
          <w:lang w:val="sr-Latn-CS"/>
        </w:rPr>
        <w:t>2</w:t>
      </w:r>
      <w:r w:rsidRPr="000979A2">
        <w:rPr>
          <w:rFonts w:ascii="Cambria" w:hAnsi="Cambria"/>
          <w:b/>
          <w:lang w:val="sr-Latn-CS"/>
        </w:rPr>
        <w:t xml:space="preserve">. </w:t>
      </w:r>
      <w:r w:rsidRPr="00852C81">
        <w:rPr>
          <w:rFonts w:ascii="Cambria" w:hAnsi="Cambria"/>
          <w:b/>
          <w:u w:val="single"/>
          <w:lang w:val="sr-Latn-CS"/>
        </w:rPr>
        <w:t>Postupak donošenja odluke</w:t>
      </w:r>
    </w:p>
    <w:p w14:paraId="644B09B3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2DBFF27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Inicijalno procesuiranje zahtjeva primljenih po ovom Javnom pozivu je u nadležnosti radne grupe koju formira direktor NTOCG. Radna grupa obrađuje i sistematizuje zahtjeve, pribavlja dodatne podatke i utvrđuje Predlog rang-liste projekata koji ispunjavaju zadate uslove. </w:t>
      </w:r>
    </w:p>
    <w:p w14:paraId="37C5A249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33EFA94E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Na osnovu utvrđenog Predloga rang-liste, Savjet (Komisija) za predlaganje odluke po Javnom pozivu koju imenuje direktor NTOCG, utvrđuje Predlog odluke o odabiru projekata koji su se kvalifikovali za dobijanje podrške i dodjelu sredstava. </w:t>
      </w:r>
    </w:p>
    <w:p w14:paraId="0C3EE69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41FD1E4" w14:textId="32518BDA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Odluku o odabiru projekata, odnosno Odluku o odbijanju projekata ukoliko sve prijave ne ispunjavju uslove predviđene Programom i Javnim pozivom donosi direktor NTOCG. Sa podnosiocima zahtjeva za odabrane projekte, NTOCG zaključuje ugovor o međusobnim pravima i obavezama u vezi njihove realizacije.</w:t>
      </w:r>
    </w:p>
    <w:p w14:paraId="33C3FEC8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112082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>14.</w:t>
      </w:r>
      <w:r w:rsidRPr="00852C81">
        <w:rPr>
          <w:rFonts w:ascii="Cambria" w:hAnsi="Cambria"/>
          <w:b/>
          <w:u w:val="single"/>
          <w:lang w:val="sr-Latn-CS"/>
        </w:rPr>
        <w:t xml:space="preserve"> Rok za donošenje odluke i odlučivanje o prigovorima</w:t>
      </w:r>
    </w:p>
    <w:p w14:paraId="2BCFEE0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2EA5F6C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Odluka o odabiru projekata i dodjeli sredstava odnosno Odluku o odbijanju projekata ukoliko sve prijave ne ispunjavju uslove predviđene Programom i Javnim pozivom,  donijeće se najkasnije u roku od 45 od dana zatvaranja </w:t>
      </w:r>
      <w:r w:rsidR="00645519" w:rsidRPr="000979A2">
        <w:rPr>
          <w:rFonts w:ascii="Cambria" w:hAnsi="Cambria"/>
          <w:lang w:val="sr-Latn-CS"/>
        </w:rPr>
        <w:t>J</w:t>
      </w:r>
      <w:r w:rsidRPr="000979A2">
        <w:rPr>
          <w:rFonts w:ascii="Cambria" w:hAnsi="Cambria"/>
          <w:lang w:val="sr-Latn-CS"/>
        </w:rPr>
        <w:t>avnog poziva.</w:t>
      </w:r>
    </w:p>
    <w:p w14:paraId="545BAD61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5C173D0D" w14:textId="710EBB69" w:rsidR="00812C4A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14:paraId="55D1535D" w14:textId="14C4B0CE" w:rsidR="00852C81" w:rsidRDefault="00852C81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1BECDD28" w14:textId="54EE521F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15. </w:t>
      </w:r>
      <w:r w:rsidRPr="00852C81">
        <w:rPr>
          <w:rFonts w:ascii="Cambria" w:hAnsi="Cambria"/>
          <w:b/>
          <w:u w:val="single"/>
          <w:lang w:val="sr-Latn-CS"/>
        </w:rPr>
        <w:t>Lista korisnika kojima su odobrena sredstva</w:t>
      </w:r>
    </w:p>
    <w:p w14:paraId="68ED1AA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B236DD3" w14:textId="69F9FB6F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Lista korisnika kojima su odobrena sredstva sa iznosom i namjenom dodijeljenih sredstava po korisniku biće objavljena na internet stranicama Ministarstva održivog razvoja i turizma i NTOCG u roku od 15 dana od dana donošenja Odluke o odabiru projekata i dodjeli sredstava.</w:t>
      </w:r>
    </w:p>
    <w:p w14:paraId="4939219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2FCAE4CB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16. </w:t>
      </w:r>
      <w:r w:rsidRPr="00852C81">
        <w:rPr>
          <w:rFonts w:ascii="Cambria" w:hAnsi="Cambria"/>
          <w:b/>
          <w:u w:val="single"/>
          <w:lang w:val="sr-Latn-CS"/>
        </w:rPr>
        <w:t>Rok za potpisivanje ugovora</w:t>
      </w:r>
      <w:r w:rsidRPr="000979A2">
        <w:rPr>
          <w:rFonts w:ascii="Cambria" w:hAnsi="Cambria"/>
          <w:b/>
          <w:lang w:val="sr-Latn-CS"/>
        </w:rPr>
        <w:t xml:space="preserve"> </w:t>
      </w:r>
    </w:p>
    <w:p w14:paraId="15B7FD0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E733270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Nacionalna turistička organizacija će s</w:t>
      </w:r>
      <w:r w:rsidR="00645519" w:rsidRPr="000979A2">
        <w:rPr>
          <w:rFonts w:ascii="Cambria" w:hAnsi="Cambria"/>
          <w:lang w:val="sr-Latn-CS"/>
        </w:rPr>
        <w:t>a</w:t>
      </w:r>
      <w:r w:rsidRPr="000979A2">
        <w:rPr>
          <w:rFonts w:ascii="Cambria" w:hAnsi="Cambria"/>
          <w:lang w:val="sr-Latn-CS"/>
        </w:rPr>
        <w:t xml:space="preserve"> odabranim korisnicima potpisati ugovor najkasnije u roku </w:t>
      </w:r>
      <w:r w:rsidRPr="000979A2">
        <w:rPr>
          <w:rFonts w:ascii="Cambria" w:hAnsi="Cambria"/>
          <w:lang w:val="sr-Latn-CS"/>
        </w:rPr>
        <w:lastRenderedPageBreak/>
        <w:t>15 dana od dana objave Odluke o odabiru projekata i dodjeli sredstava, odnosno odlučivanja po prigovorima.</w:t>
      </w:r>
    </w:p>
    <w:p w14:paraId="3462C94E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4CD18E46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17. </w:t>
      </w:r>
      <w:r w:rsidRPr="00852C81">
        <w:rPr>
          <w:rFonts w:ascii="Cambria" w:hAnsi="Cambria"/>
          <w:b/>
          <w:u w:val="single"/>
          <w:lang w:val="sr-Latn-CS"/>
        </w:rPr>
        <w:t xml:space="preserve">Nadzor </w:t>
      </w:r>
    </w:p>
    <w:p w14:paraId="1E4C0493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5583984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Po potrebi, obavlja se i dodatni nadzor uvidom u dokumentaciju kod korisnika sredstava. </w:t>
      </w:r>
    </w:p>
    <w:p w14:paraId="04A36D0D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0C9B3503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U slučaju utvrđivanja objektivnih okolnosti koje su uticale na nemogućnost ispunjenja obaveza koje proizlaze iz ovog Programa i koje su utvrđene Ugovorom, korisnik sredstava je dužan odmah o tome obavijestiti NTOCG pisanim putem. </w:t>
      </w:r>
    </w:p>
    <w:p w14:paraId="394D6ACA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6A0691C9" w14:textId="77777777" w:rsidR="00812C4A" w:rsidRPr="000979A2" w:rsidRDefault="007C2A73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>Korisnik sredstava</w:t>
      </w:r>
      <w:r w:rsidR="00812C4A" w:rsidRPr="000979A2">
        <w:rPr>
          <w:rFonts w:ascii="Cambria" w:hAnsi="Cambria"/>
          <w:lang w:val="sr-Latn-CS"/>
        </w:rPr>
        <w:t xml:space="preserve"> dužan je obavijestiti NTOCG ukoliko dođe do promjena u realizaciji programa u odnosu na predloženi program. U slučaju smanjenja realizacije planiranog programa, NTOCG može smanjiti ili obustaviti dalje zajedničk</w:t>
      </w:r>
      <w:r w:rsidR="004A4E79" w:rsidRPr="000979A2">
        <w:rPr>
          <w:rFonts w:ascii="Cambria" w:hAnsi="Cambria"/>
          <w:lang w:val="sr-Latn-CS"/>
        </w:rPr>
        <w:t>e aktivnosti</w:t>
      </w:r>
      <w:r w:rsidR="00812C4A" w:rsidRPr="000979A2">
        <w:rPr>
          <w:rFonts w:ascii="Cambria" w:hAnsi="Cambria"/>
          <w:lang w:val="sr-Latn-CS"/>
        </w:rPr>
        <w:t>, i u tom slučaju mogu biti priznati samo troškovi realizovani do trenutka smanjenja predloženog programa u skladu s propisanim uslovima. U slučaju utvrđivanja nepravilnosti u korišćenju odobrenih sredstava, direktor NTOCG donosi Odluku o povratu sredstava, a korisnik je dužan vratiti ista u roku od 15 dana od prijema odluke.</w:t>
      </w:r>
    </w:p>
    <w:p w14:paraId="1913B406" w14:textId="77777777" w:rsidR="00812C4A" w:rsidRPr="000979A2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lang w:val="sr-Latn-CS"/>
        </w:rPr>
      </w:pPr>
    </w:p>
    <w:p w14:paraId="7CD55FF1" w14:textId="60C685A0" w:rsidR="00812C4A" w:rsidRDefault="00812C4A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u w:val="single"/>
          <w:lang w:val="sr-Latn-CS"/>
        </w:rPr>
      </w:pPr>
      <w:r w:rsidRPr="000979A2">
        <w:rPr>
          <w:rFonts w:ascii="Cambria" w:hAnsi="Cambria"/>
          <w:b/>
          <w:lang w:val="sr-Latn-CS"/>
        </w:rPr>
        <w:t xml:space="preserve">18. </w:t>
      </w:r>
      <w:r w:rsidRPr="00852C81">
        <w:rPr>
          <w:rFonts w:ascii="Cambria" w:hAnsi="Cambria"/>
          <w:b/>
          <w:u w:val="single"/>
          <w:lang w:val="sr-Latn-CS"/>
        </w:rPr>
        <w:t>Obaveze korisnika su da:</w:t>
      </w:r>
    </w:p>
    <w:p w14:paraId="3B01239E" w14:textId="77777777" w:rsidR="00BE4269" w:rsidRPr="00852C81" w:rsidRDefault="00BE4269" w:rsidP="00812C4A">
      <w:pPr>
        <w:pStyle w:val="Normal1"/>
        <w:spacing w:line="276" w:lineRule="auto"/>
        <w:ind w:right="347"/>
        <w:jc w:val="both"/>
        <w:rPr>
          <w:rFonts w:ascii="Cambria" w:hAnsi="Cambria"/>
          <w:b/>
          <w:lang w:val="sr-Latn-CS"/>
        </w:rPr>
      </w:pPr>
    </w:p>
    <w:p w14:paraId="3AF48396" w14:textId="77777777" w:rsidR="00852C81" w:rsidRDefault="00812C4A" w:rsidP="00812C4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0979A2">
        <w:rPr>
          <w:rFonts w:ascii="Cambria" w:hAnsi="Cambria"/>
          <w:lang w:val="sr-Latn-CS"/>
        </w:rPr>
        <w:t xml:space="preserve">Potpiše ugovor </w:t>
      </w:r>
    </w:p>
    <w:p w14:paraId="527C7F80" w14:textId="77777777" w:rsidR="00852C81" w:rsidRDefault="00812C4A" w:rsidP="008D691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lang w:val="sr-Latn-CS"/>
        </w:rPr>
        <w:t xml:space="preserve">Sredstva iskoristi namjenski </w:t>
      </w:r>
    </w:p>
    <w:p w14:paraId="47FC9C6D" w14:textId="77777777" w:rsidR="00852C81" w:rsidRDefault="008D691A" w:rsidP="00812C4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lang w:val="sr-Latn-CS"/>
        </w:rPr>
        <w:t xml:space="preserve">NTO CG dostavi izvještaj o realizaciji marketing kampanje </w:t>
      </w:r>
    </w:p>
    <w:p w14:paraId="3CCAF4DE" w14:textId="77777777" w:rsidR="00852C81" w:rsidRDefault="00812C4A" w:rsidP="00812C4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lang w:val="sr-Latn-CS"/>
        </w:rPr>
        <w:t xml:space="preserve">NTO CG dostavi finansijski izvještaj o korišćenju sredstava (svih utrošenih sredstava uključujući sredstva uložena od strane korisnika i drugih partnera) sa pratećom dokumentacijom koja potvrđuje navode u izvještaju (kopije računa i ugovora za troškove, fotografije i drugu dokumentaciju shodno ugovoru) </w:t>
      </w:r>
    </w:p>
    <w:p w14:paraId="33F7086C" w14:textId="77777777" w:rsidR="00852C81" w:rsidRDefault="00812C4A" w:rsidP="00812C4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lang w:val="sr-Latn-CS"/>
        </w:rPr>
        <w:t xml:space="preserve">Na zahtjev NTO CG pruži na uvid i dodatnu naknadno traženu dokumentaciju </w:t>
      </w:r>
    </w:p>
    <w:p w14:paraId="180A32F2" w14:textId="3E951A58" w:rsidR="00812C4A" w:rsidRDefault="00812C4A" w:rsidP="00812C4A">
      <w:pPr>
        <w:pStyle w:val="Normal1"/>
        <w:numPr>
          <w:ilvl w:val="0"/>
          <w:numId w:val="19"/>
        </w:numPr>
        <w:spacing w:line="276" w:lineRule="auto"/>
        <w:ind w:right="347"/>
        <w:jc w:val="both"/>
        <w:rPr>
          <w:rFonts w:ascii="Cambria" w:hAnsi="Cambria"/>
          <w:lang w:val="sr-Latn-CS"/>
        </w:rPr>
      </w:pPr>
      <w:r w:rsidRPr="00852C81">
        <w:rPr>
          <w:rFonts w:ascii="Cambria" w:hAnsi="Cambria"/>
          <w:lang w:val="sr-Latn-CS"/>
        </w:rPr>
        <w:t>Realizuje i druge obaveze definisane ugovorom.</w:t>
      </w:r>
    </w:p>
    <w:p w14:paraId="79207B21" w14:textId="31A0BA76" w:rsidR="00852C81" w:rsidRDefault="00852C81" w:rsidP="00852C81">
      <w:pPr>
        <w:pStyle w:val="Normal1"/>
        <w:spacing w:line="276" w:lineRule="auto"/>
        <w:ind w:left="720" w:right="347"/>
        <w:jc w:val="both"/>
        <w:rPr>
          <w:rFonts w:ascii="Cambria" w:hAnsi="Cambria"/>
          <w:lang w:val="sr-Latn-CS"/>
        </w:rPr>
      </w:pPr>
    </w:p>
    <w:p w14:paraId="67FD3F1A" w14:textId="77777777" w:rsidR="00BE4269" w:rsidRDefault="00BE4269" w:rsidP="00852C81">
      <w:pPr>
        <w:pStyle w:val="Normal1"/>
        <w:spacing w:line="276" w:lineRule="auto"/>
        <w:ind w:left="720" w:right="347"/>
        <w:jc w:val="both"/>
        <w:rPr>
          <w:rFonts w:ascii="Cambria" w:hAnsi="Cambria"/>
          <w:lang w:val="sr-Latn-CS"/>
        </w:rPr>
      </w:pPr>
    </w:p>
    <w:p w14:paraId="5A5129DB" w14:textId="22340E14" w:rsidR="00812C4A" w:rsidRPr="00BE4269" w:rsidRDefault="00852C81" w:rsidP="00BE4269">
      <w:pPr>
        <w:pStyle w:val="Normal1"/>
        <w:spacing w:line="276" w:lineRule="auto"/>
        <w:ind w:left="720" w:right="347"/>
        <w:jc w:val="both"/>
        <w:rPr>
          <w:rFonts w:ascii="Cambria" w:hAnsi="Cambria"/>
        </w:rPr>
      </w:pPr>
      <w:r w:rsidRPr="00BE4269">
        <w:rPr>
          <w:rFonts w:ascii="Cambria" w:hAnsi="Cambria"/>
          <w:b/>
          <w:lang w:val="sr-Latn-CS"/>
        </w:rPr>
        <w:t>Kontakt:</w:t>
      </w:r>
      <w:r>
        <w:rPr>
          <w:rFonts w:ascii="Cambria" w:hAnsi="Cambria"/>
          <w:lang w:val="sr-Latn-CS"/>
        </w:rPr>
        <w:t xml:space="preserve"> Aleksandra Maksimovi</w:t>
      </w:r>
      <w:r>
        <w:rPr>
          <w:rFonts w:ascii="Cambria" w:hAnsi="Cambria"/>
          <w:lang w:val="sr-Latn-ME"/>
        </w:rPr>
        <w:t>ć</w:t>
      </w:r>
      <w:r w:rsidR="00BE4269">
        <w:rPr>
          <w:rFonts w:ascii="Cambria" w:hAnsi="Cambria"/>
          <w:lang w:val="sr-Latn-ME"/>
        </w:rPr>
        <w:t>, aleksandra.maksimovic</w:t>
      </w:r>
      <w:r w:rsidR="00BE4269">
        <w:rPr>
          <w:rFonts w:ascii="Cambria" w:hAnsi="Cambria"/>
        </w:rPr>
        <w:t>@montenegro.travel</w:t>
      </w:r>
    </w:p>
    <w:sectPr w:rsidR="00812C4A" w:rsidRPr="00BE4269" w:rsidSect="00220446">
      <w:footerReference w:type="default" r:id="rId9"/>
      <w:pgSz w:w="12240" w:h="15840"/>
      <w:pgMar w:top="1400" w:right="900" w:bottom="568" w:left="9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44DA" w14:textId="77777777" w:rsidR="00CA0766" w:rsidRDefault="00CA0766" w:rsidP="00747BD2">
      <w:pPr>
        <w:spacing w:after="0" w:line="240" w:lineRule="auto"/>
      </w:pPr>
      <w:r>
        <w:separator/>
      </w:r>
    </w:p>
  </w:endnote>
  <w:endnote w:type="continuationSeparator" w:id="0">
    <w:p w14:paraId="715F4CBE" w14:textId="77777777" w:rsidR="00CA0766" w:rsidRDefault="00CA0766" w:rsidP="0074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927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C488" w14:textId="6FB2735F" w:rsidR="00217196" w:rsidRDefault="0021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2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C58C65" w14:textId="77777777" w:rsidR="00217196" w:rsidRDefault="0021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E238" w14:textId="77777777" w:rsidR="00CA0766" w:rsidRDefault="00CA0766" w:rsidP="00747BD2">
      <w:pPr>
        <w:spacing w:after="0" w:line="240" w:lineRule="auto"/>
      </w:pPr>
      <w:r>
        <w:separator/>
      </w:r>
    </w:p>
  </w:footnote>
  <w:footnote w:type="continuationSeparator" w:id="0">
    <w:p w14:paraId="7C726E17" w14:textId="77777777" w:rsidR="00CA0766" w:rsidRDefault="00CA0766" w:rsidP="0074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7340"/>
    <w:multiLevelType w:val="multilevel"/>
    <w:tmpl w:val="91202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6AB8"/>
    <w:multiLevelType w:val="hybridMultilevel"/>
    <w:tmpl w:val="26F4C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B0B3729"/>
    <w:multiLevelType w:val="hybridMultilevel"/>
    <w:tmpl w:val="8206A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A7FFA"/>
    <w:multiLevelType w:val="hybridMultilevel"/>
    <w:tmpl w:val="BD747C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3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  <w:num w:numId="18">
    <w:abstractNumId w:val="1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38"/>
    <w:rsid w:val="00002AE1"/>
    <w:rsid w:val="00006385"/>
    <w:rsid w:val="00014109"/>
    <w:rsid w:val="00015B95"/>
    <w:rsid w:val="00062A7E"/>
    <w:rsid w:val="00074346"/>
    <w:rsid w:val="00086FB6"/>
    <w:rsid w:val="00095E60"/>
    <w:rsid w:val="000979A2"/>
    <w:rsid w:val="000A642F"/>
    <w:rsid w:val="000C5612"/>
    <w:rsid w:val="000F572F"/>
    <w:rsid w:val="00103B0B"/>
    <w:rsid w:val="001301B6"/>
    <w:rsid w:val="001345B8"/>
    <w:rsid w:val="00140612"/>
    <w:rsid w:val="00150E5E"/>
    <w:rsid w:val="001511A5"/>
    <w:rsid w:val="00151978"/>
    <w:rsid w:val="00152046"/>
    <w:rsid w:val="00161A85"/>
    <w:rsid w:val="00161B13"/>
    <w:rsid w:val="00164188"/>
    <w:rsid w:val="001C07A6"/>
    <w:rsid w:val="001C35C4"/>
    <w:rsid w:val="001E30F5"/>
    <w:rsid w:val="001E5C29"/>
    <w:rsid w:val="001F1AA8"/>
    <w:rsid w:val="001F3F1F"/>
    <w:rsid w:val="00217196"/>
    <w:rsid w:val="00220446"/>
    <w:rsid w:val="002209DC"/>
    <w:rsid w:val="00222645"/>
    <w:rsid w:val="00225996"/>
    <w:rsid w:val="00227039"/>
    <w:rsid w:val="00230252"/>
    <w:rsid w:val="0024752B"/>
    <w:rsid w:val="002646AD"/>
    <w:rsid w:val="00294234"/>
    <w:rsid w:val="0029515F"/>
    <w:rsid w:val="002A5F8A"/>
    <w:rsid w:val="002C6691"/>
    <w:rsid w:val="002C67E8"/>
    <w:rsid w:val="002D52AD"/>
    <w:rsid w:val="00302601"/>
    <w:rsid w:val="00315084"/>
    <w:rsid w:val="00324FB0"/>
    <w:rsid w:val="0032504E"/>
    <w:rsid w:val="00326FE9"/>
    <w:rsid w:val="0032721B"/>
    <w:rsid w:val="00330899"/>
    <w:rsid w:val="003449EF"/>
    <w:rsid w:val="0035012B"/>
    <w:rsid w:val="003544E5"/>
    <w:rsid w:val="0035626D"/>
    <w:rsid w:val="00357097"/>
    <w:rsid w:val="00361225"/>
    <w:rsid w:val="00364AA9"/>
    <w:rsid w:val="00375553"/>
    <w:rsid w:val="00375B5F"/>
    <w:rsid w:val="0038666A"/>
    <w:rsid w:val="00387537"/>
    <w:rsid w:val="00391B25"/>
    <w:rsid w:val="003944EE"/>
    <w:rsid w:val="00397BCB"/>
    <w:rsid w:val="003A4D90"/>
    <w:rsid w:val="003A6353"/>
    <w:rsid w:val="003B3034"/>
    <w:rsid w:val="003B6A1D"/>
    <w:rsid w:val="003C3ECD"/>
    <w:rsid w:val="003D4D18"/>
    <w:rsid w:val="003D6317"/>
    <w:rsid w:val="003F4726"/>
    <w:rsid w:val="00406676"/>
    <w:rsid w:val="004165C5"/>
    <w:rsid w:val="004233F7"/>
    <w:rsid w:val="004341B5"/>
    <w:rsid w:val="00436D6F"/>
    <w:rsid w:val="00453091"/>
    <w:rsid w:val="00466DA9"/>
    <w:rsid w:val="00471E8F"/>
    <w:rsid w:val="004A4E79"/>
    <w:rsid w:val="004A64E1"/>
    <w:rsid w:val="004A6DE1"/>
    <w:rsid w:val="004C4338"/>
    <w:rsid w:val="004C56A5"/>
    <w:rsid w:val="004E2B10"/>
    <w:rsid w:val="004F007D"/>
    <w:rsid w:val="004F1688"/>
    <w:rsid w:val="004F4011"/>
    <w:rsid w:val="0050433F"/>
    <w:rsid w:val="00504C68"/>
    <w:rsid w:val="00517244"/>
    <w:rsid w:val="005471E0"/>
    <w:rsid w:val="00567F91"/>
    <w:rsid w:val="005760AE"/>
    <w:rsid w:val="0058158F"/>
    <w:rsid w:val="005827A5"/>
    <w:rsid w:val="00590879"/>
    <w:rsid w:val="0059488A"/>
    <w:rsid w:val="00596933"/>
    <w:rsid w:val="005A3FCB"/>
    <w:rsid w:val="005B0110"/>
    <w:rsid w:val="005B29F0"/>
    <w:rsid w:val="005B3216"/>
    <w:rsid w:val="005D1014"/>
    <w:rsid w:val="005D589C"/>
    <w:rsid w:val="005E7C62"/>
    <w:rsid w:val="005F1398"/>
    <w:rsid w:val="005F1994"/>
    <w:rsid w:val="005F7B60"/>
    <w:rsid w:val="0062055A"/>
    <w:rsid w:val="0062484B"/>
    <w:rsid w:val="00630CAD"/>
    <w:rsid w:val="006310BC"/>
    <w:rsid w:val="00645519"/>
    <w:rsid w:val="00645CD2"/>
    <w:rsid w:val="00647BDF"/>
    <w:rsid w:val="006526FA"/>
    <w:rsid w:val="006536AD"/>
    <w:rsid w:val="00690521"/>
    <w:rsid w:val="006A33D7"/>
    <w:rsid w:val="006C7C78"/>
    <w:rsid w:val="006D2F25"/>
    <w:rsid w:val="006D60A4"/>
    <w:rsid w:val="006E34E3"/>
    <w:rsid w:val="006F47E3"/>
    <w:rsid w:val="006F54BE"/>
    <w:rsid w:val="006F6C09"/>
    <w:rsid w:val="0072628B"/>
    <w:rsid w:val="00741F45"/>
    <w:rsid w:val="00742F4B"/>
    <w:rsid w:val="00747BD2"/>
    <w:rsid w:val="007557A2"/>
    <w:rsid w:val="00761835"/>
    <w:rsid w:val="007705C8"/>
    <w:rsid w:val="00777DB5"/>
    <w:rsid w:val="00782F1F"/>
    <w:rsid w:val="00783D87"/>
    <w:rsid w:val="00784CC3"/>
    <w:rsid w:val="00791B37"/>
    <w:rsid w:val="00797D79"/>
    <w:rsid w:val="007B06B1"/>
    <w:rsid w:val="007C2A73"/>
    <w:rsid w:val="007D5AB7"/>
    <w:rsid w:val="007D6D5A"/>
    <w:rsid w:val="007E2C7B"/>
    <w:rsid w:val="007F20DB"/>
    <w:rsid w:val="007F798A"/>
    <w:rsid w:val="0080550B"/>
    <w:rsid w:val="0081033C"/>
    <w:rsid w:val="00812C4A"/>
    <w:rsid w:val="00822303"/>
    <w:rsid w:val="00823EC6"/>
    <w:rsid w:val="00833ABB"/>
    <w:rsid w:val="00840CFE"/>
    <w:rsid w:val="00852C81"/>
    <w:rsid w:val="008615E1"/>
    <w:rsid w:val="0086310A"/>
    <w:rsid w:val="0089610D"/>
    <w:rsid w:val="00897C99"/>
    <w:rsid w:val="008A3369"/>
    <w:rsid w:val="008B5A64"/>
    <w:rsid w:val="008B6709"/>
    <w:rsid w:val="008D56EE"/>
    <w:rsid w:val="008D6755"/>
    <w:rsid w:val="008D691A"/>
    <w:rsid w:val="008E2A85"/>
    <w:rsid w:val="008F3E65"/>
    <w:rsid w:val="00901212"/>
    <w:rsid w:val="0092647A"/>
    <w:rsid w:val="009302A2"/>
    <w:rsid w:val="00930377"/>
    <w:rsid w:val="00932EFB"/>
    <w:rsid w:val="00941236"/>
    <w:rsid w:val="00950609"/>
    <w:rsid w:val="00955913"/>
    <w:rsid w:val="009631EB"/>
    <w:rsid w:val="00971691"/>
    <w:rsid w:val="009916EA"/>
    <w:rsid w:val="009B07C3"/>
    <w:rsid w:val="009B1BDC"/>
    <w:rsid w:val="009B3414"/>
    <w:rsid w:val="009B426C"/>
    <w:rsid w:val="009B5FA8"/>
    <w:rsid w:val="009D454D"/>
    <w:rsid w:val="009D6656"/>
    <w:rsid w:val="009F301C"/>
    <w:rsid w:val="009F48FE"/>
    <w:rsid w:val="009F5414"/>
    <w:rsid w:val="00A05FC6"/>
    <w:rsid w:val="00A068F9"/>
    <w:rsid w:val="00A1587B"/>
    <w:rsid w:val="00A2206F"/>
    <w:rsid w:val="00A30B5B"/>
    <w:rsid w:val="00A45DCA"/>
    <w:rsid w:val="00A845E1"/>
    <w:rsid w:val="00A925B2"/>
    <w:rsid w:val="00A936A1"/>
    <w:rsid w:val="00A93B55"/>
    <w:rsid w:val="00AA4EBE"/>
    <w:rsid w:val="00AA7231"/>
    <w:rsid w:val="00AB17E2"/>
    <w:rsid w:val="00AB474F"/>
    <w:rsid w:val="00AB5E7D"/>
    <w:rsid w:val="00AD372C"/>
    <w:rsid w:val="00AE03D2"/>
    <w:rsid w:val="00AE2938"/>
    <w:rsid w:val="00AF0503"/>
    <w:rsid w:val="00AF4B60"/>
    <w:rsid w:val="00AF6280"/>
    <w:rsid w:val="00B0421C"/>
    <w:rsid w:val="00B13B91"/>
    <w:rsid w:val="00B14C24"/>
    <w:rsid w:val="00B1704A"/>
    <w:rsid w:val="00B42865"/>
    <w:rsid w:val="00B536F9"/>
    <w:rsid w:val="00B56889"/>
    <w:rsid w:val="00B65624"/>
    <w:rsid w:val="00B84A32"/>
    <w:rsid w:val="00B91A82"/>
    <w:rsid w:val="00B94585"/>
    <w:rsid w:val="00BA5DDD"/>
    <w:rsid w:val="00BA7CB2"/>
    <w:rsid w:val="00BB0D38"/>
    <w:rsid w:val="00BB3388"/>
    <w:rsid w:val="00BB49BE"/>
    <w:rsid w:val="00BC1F78"/>
    <w:rsid w:val="00BE2897"/>
    <w:rsid w:val="00BE4269"/>
    <w:rsid w:val="00BE4F99"/>
    <w:rsid w:val="00BE65B9"/>
    <w:rsid w:val="00BF0DB3"/>
    <w:rsid w:val="00BF1675"/>
    <w:rsid w:val="00BF418C"/>
    <w:rsid w:val="00BF6D76"/>
    <w:rsid w:val="00BF6FE0"/>
    <w:rsid w:val="00C01DFE"/>
    <w:rsid w:val="00C102B4"/>
    <w:rsid w:val="00C11720"/>
    <w:rsid w:val="00C205F5"/>
    <w:rsid w:val="00C32745"/>
    <w:rsid w:val="00C33C51"/>
    <w:rsid w:val="00C44883"/>
    <w:rsid w:val="00C505FB"/>
    <w:rsid w:val="00C6487C"/>
    <w:rsid w:val="00C71BB9"/>
    <w:rsid w:val="00C90282"/>
    <w:rsid w:val="00C94C64"/>
    <w:rsid w:val="00CA0766"/>
    <w:rsid w:val="00CA24B7"/>
    <w:rsid w:val="00CC0008"/>
    <w:rsid w:val="00CC3646"/>
    <w:rsid w:val="00CC61A2"/>
    <w:rsid w:val="00CE3522"/>
    <w:rsid w:val="00CF364F"/>
    <w:rsid w:val="00D10977"/>
    <w:rsid w:val="00D11CEA"/>
    <w:rsid w:val="00D165FB"/>
    <w:rsid w:val="00D24DA4"/>
    <w:rsid w:val="00D344A7"/>
    <w:rsid w:val="00D34541"/>
    <w:rsid w:val="00D34A45"/>
    <w:rsid w:val="00D44E8E"/>
    <w:rsid w:val="00D500DF"/>
    <w:rsid w:val="00D52EFA"/>
    <w:rsid w:val="00D56554"/>
    <w:rsid w:val="00D64291"/>
    <w:rsid w:val="00D65CF9"/>
    <w:rsid w:val="00D71739"/>
    <w:rsid w:val="00D725C4"/>
    <w:rsid w:val="00D72E58"/>
    <w:rsid w:val="00D7751C"/>
    <w:rsid w:val="00D849F7"/>
    <w:rsid w:val="00D94CFE"/>
    <w:rsid w:val="00DC2145"/>
    <w:rsid w:val="00DC6C70"/>
    <w:rsid w:val="00DD0992"/>
    <w:rsid w:val="00DD2AB5"/>
    <w:rsid w:val="00DD54B8"/>
    <w:rsid w:val="00DE080E"/>
    <w:rsid w:val="00DE29A1"/>
    <w:rsid w:val="00DF741E"/>
    <w:rsid w:val="00E15DD0"/>
    <w:rsid w:val="00E179A7"/>
    <w:rsid w:val="00E22D94"/>
    <w:rsid w:val="00E24C65"/>
    <w:rsid w:val="00E33A01"/>
    <w:rsid w:val="00E442D9"/>
    <w:rsid w:val="00E85D4C"/>
    <w:rsid w:val="00E917F0"/>
    <w:rsid w:val="00E91BCF"/>
    <w:rsid w:val="00E96173"/>
    <w:rsid w:val="00EC0EAF"/>
    <w:rsid w:val="00EF2AAE"/>
    <w:rsid w:val="00EF38F9"/>
    <w:rsid w:val="00F04AEF"/>
    <w:rsid w:val="00F32C2F"/>
    <w:rsid w:val="00F42CFB"/>
    <w:rsid w:val="00F50014"/>
    <w:rsid w:val="00F570B2"/>
    <w:rsid w:val="00F63693"/>
    <w:rsid w:val="00F71EB5"/>
    <w:rsid w:val="00F74023"/>
    <w:rsid w:val="00F905A5"/>
    <w:rsid w:val="00FA7FC2"/>
    <w:rsid w:val="00FC34D5"/>
    <w:rsid w:val="00FD3B02"/>
    <w:rsid w:val="00FE5B13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BCAB"/>
  <w15:docId w15:val="{A7CFF0C0-E808-4DF8-AF1D-4A1246B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7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1"/>
    <w:next w:val="Normal1"/>
    <w:link w:val="Heading1Char"/>
    <w:rsid w:val="00812C4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812C4A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812C4A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link w:val="Heading4Char"/>
    <w:rsid w:val="00812C4A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link w:val="Heading5Char"/>
    <w:rsid w:val="00812C4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12C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05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2C4A"/>
    <w:rPr>
      <w:rFonts w:ascii="Calibri" w:eastAsia="Calibri" w:hAnsi="Calibri" w:cs="Calibri"/>
      <w:b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12C4A"/>
    <w:rPr>
      <w:rFonts w:ascii="Arial" w:eastAsia="Arial" w:hAnsi="Arial" w:cs="Arial"/>
      <w:b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2C4A"/>
    <w:rPr>
      <w:rFonts w:ascii="Calibri" w:eastAsia="Calibri" w:hAnsi="Calibri" w:cs="Calibri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12C4A"/>
    <w:rPr>
      <w:rFonts w:ascii="Arial" w:eastAsia="Arial" w:hAnsi="Arial" w:cs="Arial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rsid w:val="00812C4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812C4A"/>
    <w:rPr>
      <w:rFonts w:ascii="Times New Roman" w:eastAsia="Times New Roman" w:hAnsi="Times New Roman" w:cs="Times New Roman"/>
      <w:b/>
      <w:color w:val="000000"/>
      <w:sz w:val="20"/>
      <w:szCs w:val="20"/>
      <w:lang w:val="en-US"/>
    </w:rPr>
  </w:style>
  <w:style w:type="paragraph" w:customStyle="1" w:styleId="Default">
    <w:name w:val="Default"/>
    <w:rsid w:val="00BB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48F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7D"/>
    <w:rPr>
      <w:rFonts w:ascii="Tahoma" w:eastAsia="Calibri" w:hAnsi="Tahoma" w:cs="Tahoma"/>
      <w:sz w:val="16"/>
      <w:szCs w:val="16"/>
      <w:lang w:val="en-US"/>
    </w:rPr>
  </w:style>
  <w:style w:type="table" w:customStyle="1" w:styleId="GridTable4-Accent21">
    <w:name w:val="Grid Table 4 - Accent 21"/>
    <w:basedOn w:val="TableNormal"/>
    <w:next w:val="TableNormal"/>
    <w:uiPriority w:val="49"/>
    <w:rsid w:val="004F007D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Header">
    <w:name w:val="header"/>
    <w:basedOn w:val="Normal"/>
    <w:link w:val="Head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BD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D2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BF0DB3"/>
    <w:rPr>
      <w:b/>
      <w:bCs/>
    </w:rPr>
  </w:style>
  <w:style w:type="paragraph" w:styleId="ListParagraph">
    <w:name w:val="List Paragraph"/>
    <w:basedOn w:val="Normal"/>
    <w:uiPriority w:val="34"/>
    <w:qFormat/>
    <w:rsid w:val="00BF0DB3"/>
    <w:pPr>
      <w:spacing w:after="0" w:line="240" w:lineRule="auto"/>
      <w:ind w:left="720"/>
      <w:contextualSpacing/>
    </w:pPr>
    <w:rPr>
      <w:rFonts w:ascii="Arial" w:eastAsiaTheme="minorHAnsi" w:hAnsi="Arial" w:cs="Arial"/>
      <w:sz w:val="28"/>
    </w:rPr>
  </w:style>
  <w:style w:type="table" w:styleId="TableGrid">
    <w:name w:val="Table Grid"/>
    <w:basedOn w:val="TableNormal"/>
    <w:uiPriority w:val="59"/>
    <w:rsid w:val="00BE4F99"/>
    <w:pPr>
      <w:spacing w:after="0" w:line="240" w:lineRule="auto"/>
    </w:pPr>
    <w:rPr>
      <w:rFonts w:ascii="Arial" w:hAnsi="Arial" w:cs="Arial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91B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2C67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character" w:styleId="SubtleReference">
    <w:name w:val="Subtle Reference"/>
    <w:basedOn w:val="DefaultParagraphFont"/>
    <w:uiPriority w:val="31"/>
    <w:qFormat/>
    <w:rsid w:val="005F1994"/>
    <w:rPr>
      <w:smallCaps/>
      <w:color w:val="5A5A5A" w:themeColor="text1" w:themeTint="A5"/>
    </w:rPr>
  </w:style>
  <w:style w:type="paragraph" w:styleId="Title">
    <w:name w:val="Title"/>
    <w:basedOn w:val="Normal1"/>
    <w:next w:val="Normal1"/>
    <w:link w:val="TitleChar"/>
    <w:rsid w:val="00812C4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12C4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1"/>
    <w:next w:val="Normal1"/>
    <w:link w:val="SubtitleChar"/>
    <w:rsid w:val="00812C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12C4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2C4A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2C4A"/>
    <w:rPr>
      <w:rFonts w:ascii="Calibri" w:eastAsia="Calibri" w:hAnsi="Calibri" w:cs="Times New Roman"/>
      <w:sz w:val="18"/>
      <w:szCs w:val="20"/>
      <w:lang w:eastAsia="x-none"/>
    </w:rPr>
  </w:style>
  <w:style w:type="character" w:styleId="FootnoteReference">
    <w:name w:val="footnote reference"/>
    <w:uiPriority w:val="99"/>
    <w:unhideWhenUsed/>
    <w:rsid w:val="00812C4A"/>
    <w:rPr>
      <w:vertAlign w:val="superscript"/>
    </w:rPr>
  </w:style>
  <w:style w:type="paragraph" w:customStyle="1" w:styleId="N05Y">
    <w:name w:val="N05Y"/>
    <w:basedOn w:val="Normal"/>
    <w:uiPriority w:val="99"/>
    <w:rsid w:val="00812C4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812C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4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4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Djukic</dc:creator>
  <cp:lastModifiedBy>Svetlana</cp:lastModifiedBy>
  <cp:revision>7</cp:revision>
  <cp:lastPrinted>2019-06-19T06:09:00Z</cp:lastPrinted>
  <dcterms:created xsi:type="dcterms:W3CDTF">2019-06-18T13:00:00Z</dcterms:created>
  <dcterms:modified xsi:type="dcterms:W3CDTF">2019-06-19T08:38:00Z</dcterms:modified>
</cp:coreProperties>
</file>