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8C" w:rsidRPr="007D0B06" w:rsidRDefault="0067538C" w:rsidP="0067538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LightGrid-Accent5"/>
        <w:tblW w:w="10456" w:type="dxa"/>
        <w:tblLayout w:type="fixed"/>
        <w:tblLook w:val="04A0" w:firstRow="1" w:lastRow="0" w:firstColumn="1" w:lastColumn="0" w:noHBand="0" w:noVBand="1"/>
      </w:tblPr>
      <w:tblGrid>
        <w:gridCol w:w="3978"/>
        <w:gridCol w:w="6478"/>
      </w:tblGrid>
      <w:tr w:rsidR="0067538C" w:rsidRPr="007D0B06" w:rsidTr="00166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Cs w:val="24"/>
              </w:rPr>
              <w:t>IZVJEŠTAJ O SPROVEDENOJ ANALIZI PROCJENE UTICAJA PROPISA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PREDLAGAČ PROPISA</w:t>
            </w:r>
          </w:p>
        </w:tc>
        <w:tc>
          <w:tcPr>
            <w:tcW w:w="6478" w:type="dxa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Ministarstvo </w:t>
            </w:r>
            <w:r w:rsidR="000239D5">
              <w:rPr>
                <w:rFonts w:ascii="Arial" w:hAnsi="Arial" w:cs="Arial"/>
                <w:color w:val="000000" w:themeColor="text1"/>
                <w:sz w:val="20"/>
                <w:szCs w:val="20"/>
              </w:rPr>
              <w:t>javne uprave</w:t>
            </w:r>
            <w:r w:rsidR="00FF1A74">
              <w:rPr>
                <w:rFonts w:ascii="Arial" w:hAnsi="Arial" w:cs="Arial"/>
                <w:color w:val="000000" w:themeColor="text1"/>
                <w:sz w:val="20"/>
                <w:szCs w:val="20"/>
              </w:rPr>
              <w:t>, digitalnog društva i medija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NAZIV PROPISA</w:t>
            </w:r>
          </w:p>
        </w:tc>
        <w:tc>
          <w:tcPr>
            <w:tcW w:w="6478" w:type="dxa"/>
          </w:tcPr>
          <w:p w:rsidR="0067538C" w:rsidRPr="00684EAD" w:rsidRDefault="000239D5" w:rsidP="00023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Nacrt z</w:t>
            </w:r>
            <w:r w:rsidR="00684EAD" w:rsidRPr="00684EAD">
              <w:rPr>
                <w:rFonts w:ascii="Arial" w:hAnsi="Arial" w:cs="Arial"/>
                <w:noProof/>
                <w:sz w:val="20"/>
                <w:szCs w:val="20"/>
              </w:rPr>
              <w:t xml:space="preserve">akona o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izmjenama i dopunama Zakona o slobodnom pristupu informacijama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1. Definisanje problema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probleme treba da riješi predloženi akt?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Koji su uzroci problema?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su posljedice problema?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Koji su subjekti oštećeni, na koji način i u kojoj mjeri?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Kako bi problem evoluirao bez promjene propisa (“status quo” opcija)?</w:t>
            </w:r>
          </w:p>
        </w:tc>
      </w:tr>
      <w:tr w:rsidR="0067538C" w:rsidRPr="007D0B06" w:rsidTr="00684E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F34C2" w:rsidRPr="00FF34C2" w:rsidRDefault="00FF34C2" w:rsidP="00684EAD">
            <w:pPr>
              <w:spacing w:after="160" w:line="259" w:lineRule="auto"/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</w:pPr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Donošenjem Zakona o izmjenama i dopunama Zakona o slobodnom pristupu informacijama, omogućiće se efikasnije ostvarivanje prava na slobodan pr</w:t>
            </w:r>
            <w:r w:rsidR="0018505B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istup informacijama uz smanjenje</w:t>
            </w:r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troškova za korisnike, na koji način će se stvoriti efikasan instrument za ostvarivanje prava građana na pristup informacijama u posjedu organa vlasti, uz odgovarajuće osiguravanje samog postupka, zaštite javnog interesa, kao i zaštite odgovarajućih posebnih legitimnih interesa.  </w:t>
            </w:r>
          </w:p>
          <w:p w:rsidR="0068307D" w:rsidRPr="005945D1" w:rsidRDefault="00684EAD" w:rsidP="0018505B">
            <w:pPr>
              <w:spacing w:after="160" w:line="259" w:lineRule="auto"/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</w:pPr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Bez </w:t>
            </w:r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izmjena i </w:t>
            </w:r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dopuna Zakona o </w:t>
            </w:r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slobodnom pristupu informacijama </w:t>
            </w:r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(“status quo” </w:t>
            </w:r>
            <w:r w:rsidR="00B638A1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opcija), </w:t>
            </w:r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ne bi se mog</w:t>
            </w:r>
            <w:r w:rsidR="00B638A1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lo obezbijediti efikasnije ostv</w:t>
            </w:r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arivanje prava na slobodan pristup informacijama, kao ni usaglašav</w:t>
            </w:r>
            <w:r w:rsidR="009B44D7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a</w:t>
            </w:r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nje ovog propisa sa priznatim međunarodnim i evropskim standardima, te usaglašavanje sa relevantnim procesnim i materijalnim zakonima u ovoj oblasti</w:t>
            </w:r>
            <w:r w:rsidR="0068307D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2. Ciljevi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Koji ciljevi se postižu predloženim propisom?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Navesti usklađenost ovih ciljeva sa postojećim strategijama ili programima Vlade, ako je primjenljivo.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18505B" w:rsidRDefault="0018505B" w:rsidP="0018505B">
            <w:pPr>
              <w:spacing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Predloženim propisom </w:t>
            </w:r>
            <w:r w:rsid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stvoriće se neophodni normativni okvir za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efikasnije ostvarivanje prava na slobodan pristu</w:t>
            </w:r>
            <w:r w:rsidR="000D16C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informacijama, uz smanjenje troškova za korisnike, efikasniji, a samim tim i transparentniji rad organa vlasti.</w:t>
            </w:r>
          </w:p>
          <w:p w:rsidR="00B638A1" w:rsidRPr="000149C8" w:rsidRDefault="00B638A1" w:rsidP="000149C8">
            <w:pPr>
              <w:spacing w:after="12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Takođe, </w:t>
            </w:r>
            <w:r w:rsidR="000149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Programom rada Vlade Crne Gore za 2021. godine, u IIIQ</w:t>
            </w:r>
            <w:r w:rsidR="000149C8" w:rsidRPr="000149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predviđeno je utvrđivanje Predloga zakona o izmjenama i dopunama Zakona o slobodnom pristupu informacijama</w:t>
            </w:r>
            <w:r w:rsidR="000149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3. Opcije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8F5079" w:rsidRPr="0068307D" w:rsidRDefault="0067538C" w:rsidP="006830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Obrazložiti preferiranu opciju?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5F1783" w:rsidRDefault="00C807D1" w:rsidP="000239D5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807D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Obaveza donošenja ovog </w:t>
            </w:r>
            <w:r w:rsidR="00C7057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 proizilazi iz Programa rada</w:t>
            </w:r>
            <w:r w:rsidR="00E97D7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Vlade za 2021. godinu, za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IIIQ.</w:t>
            </w:r>
          </w:p>
          <w:p w:rsidR="00617963" w:rsidRPr="005F1783" w:rsidRDefault="00617963" w:rsidP="000239D5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4. Analiza uticaja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Na koga će i kako će najvjerovatnije uticati rješenja u propisu - nabrojati pozitivne i negativne uticaje, direktne i indirektne.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troškove će primjena propisa izazvati građanima i privredi (naročito malim i srednjim preduzećima).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pozitivne posljedice donošenja propisa opravdavaju troškove koje će on stvoriti.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se propisom podržava stvaranje novih privrednih subjekata na tržištu i tržišna konkurencija.</w:t>
            </w:r>
          </w:p>
          <w:p w:rsidR="0067538C" w:rsidRPr="0068307D" w:rsidRDefault="0067538C" w:rsidP="006830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Uključiti procjenu administrativnih opterećenja i biznis barijera.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24074A" w:rsidRPr="00AE1201" w:rsidRDefault="00B638A1" w:rsidP="0094054A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Direktni efekti predloženi</w:t>
            </w:r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h izmjena i dopuna imaće pozitivne uticaje na građane, u smislu efikasnijeg ostvarivanja prava na slobodan pristup informacijama, što će omogućiti da građani</w:t>
            </w:r>
            <w:r w:rsidR="00967E3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budu</w:t>
            </w:r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dobro </w:t>
            </w:r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 pravovremeno informisani o pitanjima o kojima treba da se opredjeljuju ili donose odluke</w:t>
            </w:r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 Sa druge strane, direktni efekti predloženih izmjena i dopuna odraziće se i na efikasniji rad organa vlasti</w:t>
            </w:r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sužavajući prostor za zloupotrebe od strane organa vlasti, podsticajno djelujući na zakonitost i pravilnost u postupanju, te doprinijeti još većoj otvorenosti i transparentnosti organa vlasti.</w:t>
            </w:r>
          </w:p>
          <w:p w:rsidR="0094054A" w:rsidRDefault="00684EAD" w:rsidP="0094054A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lastRenderedPageBreak/>
              <w:t xml:space="preserve">Donošenjem zakona neće se stvoriti </w:t>
            </w:r>
            <w:r w:rsidR="00426673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dodatni </w:t>
            </w:r>
            <w:r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troškovi građanima i privredi</w:t>
            </w:r>
            <w:r w:rsidR="0024074A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, tj.</w:t>
            </w:r>
            <w:r w:rsidR="00426673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24074A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troškovi neće opterećivati ostvarivanje prava korisnika ili biti u koliziji sa javnim interesom.</w:t>
            </w:r>
          </w:p>
          <w:p w:rsidR="005F1783" w:rsidRPr="005F1783" w:rsidRDefault="00684EAD" w:rsidP="0094054A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Donošenjem ovog zakona neće se stvoriti administrativna opterećenja i biznis barijere.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5. Procjena fiskalnog uticaja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je potrebno obezbjeđenje finansijskih sredstava iz budžeta Crne Gore za implementaciju propisa i u kom iznosu?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je obezbjeđenje finansijskih sredstava jednokratno, ili tokom određenog vremenskog perioda?  Obrazložiti.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implementacijom propisa proizilaze međunarodne finansijske obaveze? Obrazložiti.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su neophodna finansijska sredstva obezbijeđena u budžetu za tekuću fiskalnu godinu, odnosno da li su planirana u budžetu za narednu fiskanu godinu?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je usvajanjem propisa predviđeno donošenje podzakonskih akata iz kojih će proisteći finansijske obaveze?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će se implementacijom propisa ostvariti prihod za budžet Crne Gore?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Dbrazložiti metodologiju koja je korišćenja prilikom obračuna finansijskih izdataka/prihoda.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su postojali problemi u preciznom obračunu finansijskih izdataka/prihoda? Obrazložiti.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su postojale sugestije Ministarstva finansija na nacrt/predlog propisa?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su dobijene primjedbe uključene u tekst propisa? Obrazložiti.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84EAD" w:rsidRPr="007D52CF" w:rsidRDefault="0024074A" w:rsidP="00EC645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Za implementaciju ovog zakona iz budžeta Crne Gore </w:t>
            </w:r>
            <w:r w:rsidR="0094054A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nije potrebno obezbjeđenje dodatnih finansijskih</w:t>
            </w:r>
            <w:r w:rsidR="00684EAD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sredst</w:t>
            </w:r>
            <w:r w:rsidR="0094054A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ava.</w:t>
            </w:r>
            <w:r w:rsidR="003434E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Posebnu</w:t>
            </w:r>
            <w:r w:rsidR="00BE31B5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pažnju treba usmjeriti na jačanje kapaciteta Agencije za zaštitu ličnih podataka i slobodan pristup informacijama, imajući u vidu proš</w:t>
            </w:r>
            <w:r w:rsidR="003434E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irivanja</w:t>
            </w:r>
            <w:r w:rsidR="00BE31B5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nadležnosti istoj, budući da predloženim izmjenama i dopunama zakona, cjelokupan postupak inspekcijskog nadzora nad primjenom zakona, sada prelazi</w:t>
            </w:r>
            <w:r w:rsidR="003434E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</w:t>
            </w:r>
            <w:r w:rsidR="00BE31B5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nadležnost Agencije, a koja nadležnost je do sada bila podijeljena između nje i Upravne inspekcije</w:t>
            </w:r>
            <w:r w:rsidR="007D52CF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Ministarstva ja</w:t>
            </w:r>
            <w:r w:rsidR="003434E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vne uprave, digitalnog društva i</w:t>
            </w:r>
            <w:r w:rsidR="007D52CF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medija</w:t>
            </w:r>
            <w:r w:rsidR="00BE31B5" w:rsidRPr="007D52C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  <w:p w:rsidR="00684EAD" w:rsidRPr="00684EAD" w:rsidRDefault="00684EAD" w:rsidP="00EC645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Implementacijom propisa ne proizilaze međunarodne finansijske obaveze.</w:t>
            </w:r>
          </w:p>
          <w:p w:rsidR="005F1783" w:rsidRPr="007D0B06" w:rsidRDefault="00684EAD" w:rsidP="00EC645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Usvajanjem propisa nije predviđeno donošenje podzakonskih akata iz kojih će proisteći finan</w:t>
            </w:r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sijske obaveze. Sprovođenjem predloženih izmjena i dopuna zakona</w:t>
            </w: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neće se ostvariti prihod za Budžet Crne Gore.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6. </w:t>
            </w:r>
            <w:r w:rsidRPr="007D0B0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</w:t>
            </w: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onsultacije zainteresovanih strana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Naznačiti da li je korišćena eksterna ekspertska podrška i ako da, kako.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Naznačiti koje su grupe zainteresovanih strana konsultovane, u kojoj fazi RIA procesa i kako (javne ili ciljane konsultacije).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0239D5" w:rsidRDefault="00684EAD" w:rsidP="000239D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U izradi propisa </w:t>
            </w:r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korišćena je eksterna ekspertska podrška</w:t>
            </w:r>
            <w:r w:rsidR="000239D5" w:rsidRP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 okviru projekta finansiranog</w:t>
            </w:r>
            <w:r w:rsidR="000239D5" w:rsidRP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od</w:t>
            </w:r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strane</w:t>
            </w:r>
            <w:r w:rsidR="000239D5" w:rsidRP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Evropske unije 'Support to further develop Montenegro's legislative framework on free access to information', CRIS number IPA/2019/406-203</w:t>
            </w:r>
            <w:r w:rsidR="00C807D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67538C" w:rsidRDefault="00FF1A74" w:rsidP="00BF6FD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F1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Nacrt zakona o izmjenama i dopunama Zakona o slobodnom pristupu informacijama bio je na javnoj raspravi 40 dana, u periodu od 17. septembra 2019. godine do 31. oktobra 2019. godine. Tokom trajanja javne rasprave održani su sastanci sa predstavnicima Delegacije EU u CG, SIGMA-e i EK, kao i sa predstavnicima MANS</w:t>
            </w:r>
            <w:r w:rsidR="00E61D4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- a</w:t>
            </w:r>
            <w:r w:rsidRPr="00FF1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, Instituta Alternativa i predstavnicima međunarodne organizacije u oblasti slobodnog pristupa informacijama - ACCESS Info Europe.</w:t>
            </w:r>
          </w:p>
          <w:p w:rsidR="00257056" w:rsidRPr="00257056" w:rsidRDefault="00257056" w:rsidP="00257056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2570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Inovirani Nacrt zakona o izmjenama i dopunama Zakona o slobodnom pristupu informacijama, pripremljen je nakon dostavljenog predloga za izmjene </w:t>
            </w:r>
            <w:r w:rsidR="00A03B2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i dopune </w:t>
            </w:r>
            <w:r w:rsidRPr="002570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ovog zakona od strane više NVO</w:t>
            </w:r>
            <w:r w:rsidR="00A03B2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sektora</w:t>
            </w:r>
            <w:r w:rsidRPr="002570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početkom decembra 2020. godine, a nakon međuresorskog usaglašavanja o pojedinim predloženim rješenjima sa predstavnicima Ministarstva odbrane, Ministarstva unutrašnjih poslova, Generalnog Sekretarijata Vlade i Agencije za nacionalnu bezbjednost.</w:t>
            </w:r>
          </w:p>
          <w:p w:rsidR="00E81BE7" w:rsidRPr="007D0B06" w:rsidRDefault="00A03B20" w:rsidP="00257056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03B2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Dodatno, </w:t>
            </w:r>
            <w:r w:rsidR="00BE31B5" w:rsidRPr="00A03B2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obavljene su i neposredne konsultacije sa više predstavnika NVO sektora, radi razmatranja predloženih izmjena i dopuna, a u cilju dodatnog unaprjeđenja pojednih rješenja.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7. Monitoring i evaluacija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Koje su potencijalne prepreke za implementaciju propisa? 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će mjere biti preduzete tokom primjene propisa da bi se ispunili ciljevi?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Koji su glavni indikatori prema kojima će se mjeriti ispunjenje ciljeva?</w:t>
            </w:r>
          </w:p>
          <w:p w:rsidR="0067538C" w:rsidRPr="0068307D" w:rsidRDefault="0067538C" w:rsidP="006830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 će biti zadužen za sprovođenje monitoringa i evaluacije primjene propisa?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A03B20" w:rsidRPr="00B96C43" w:rsidRDefault="0068307D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Kako bi se otklonile potencijalne prepreke za </w:t>
            </w:r>
            <w:r w:rsidR="00C627D3"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implementaciju z</w:t>
            </w:r>
            <w:r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akona, a u cilju pune i pravilne primjene od strane organa vlasti, </w:t>
            </w:r>
            <w:r w:rsidR="00E81BE7"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Ministarstvo javne uprave, digitalnog društva i medija</w:t>
            </w:r>
            <w:r w:rsidR="00A03B20"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će u saradnji sa Agencijom za zaštitu ličnih podataka i slobodan pristup informacijama, SIGMA – om i drugim zainteresovanim stranama, pripremiti Akcioni plan kako bi se obezbijedili svi neophodni uslovi za punu implementaciju Zakona o slobodnom pristupu informacijama i jačanje transparentnosti u postupanju organa vlasti. </w:t>
            </w:r>
          </w:p>
          <w:p w:rsidR="00B96C43" w:rsidRPr="00B96C43" w:rsidRDefault="00A03B20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Ministarstvo javne uprave, digitalnog društva i medija će tokom primjene propisa u cilju ispunjavanja postavljenih ciljeva u saradnji sa Agencijom za zaštitu ličnih podataka i slobodan pristup informacijama izraditi smjernice za </w:t>
            </w:r>
            <w:r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lastRenderedPageBreak/>
              <w:t xml:space="preserve">primjenu pojedinih instituta u cilju njihovog pravilnog sprovođenja (npr. poput testa štetnosti, proaktivnog objavljivanja informacija i dr.), dok će </w:t>
            </w:r>
            <w:r w:rsidR="00E61D4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se u kontinuitetu u </w:t>
            </w:r>
            <w:r w:rsidR="0068307D"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saradnji sa Upravom za kadrove, organizovati </w:t>
            </w:r>
            <w:r w:rsidR="00E61D4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 edukacije</w:t>
            </w:r>
            <w:bookmarkStart w:id="0" w:name="_GoBack"/>
            <w:bookmarkEnd w:id="0"/>
            <w:r w:rsidR="0068307D"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zaposlenih u organima vlasti koji rade na poslovima slobodnog pristupa informacijama</w:t>
            </w:r>
            <w:r w:rsidR="009134A0"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</w:p>
          <w:p w:rsidR="00BE31B5" w:rsidRPr="00B96C43" w:rsidRDefault="00BE31B5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Kao jedna od aktivnosti planira se i osnivanje savjetodavnog odbora za praćenje </w:t>
            </w:r>
            <w:r w:rsidR="00FC01AF"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primjene </w:t>
            </w:r>
            <w:r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Zakona o slobodnom pristupu informacijama i davanje preporuka za poboljšanje funkcionisanja i transparentnosti rada organa, koji će pored predstavnika Vlade činiti i predstavnici civilnog sektora, medija, akademske zajednice i poslovnog sektora, kako bismo doprinijeli podizanju svijesti o značaju efikasnog, blagovremenog i potpunog ostvarivanja ovoga prava. </w:t>
            </w:r>
          </w:p>
          <w:p w:rsidR="005F1783" w:rsidRPr="007D0B06" w:rsidRDefault="00BF6FD5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Agencija za zaštitu ličnih podataka i slobodan pristup informacijama je zadužena</w:t>
            </w:r>
            <w:r w:rsidR="00684EAD" w:rsidRPr="00B96C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sprovođenje monitoringa i evaluacije primjene ovog zakona.</w:t>
            </w:r>
          </w:p>
        </w:tc>
      </w:tr>
    </w:tbl>
    <w:p w:rsidR="0068307D" w:rsidRDefault="0068307D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373356" w:rsidRDefault="00373356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68307D" w:rsidRDefault="00FD2612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73356">
        <w:rPr>
          <w:rFonts w:ascii="Arial" w:hAnsi="Arial" w:cs="Arial"/>
          <w:color w:val="000000" w:themeColor="text1"/>
          <w:sz w:val="20"/>
          <w:szCs w:val="20"/>
        </w:rPr>
        <w:t>Podgorica,</w:t>
      </w:r>
      <w:r w:rsidR="00373356" w:rsidRPr="0037335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07C4">
        <w:rPr>
          <w:rFonts w:ascii="Arial" w:hAnsi="Arial" w:cs="Arial"/>
          <w:color w:val="000000" w:themeColor="text1"/>
          <w:sz w:val="20"/>
          <w:szCs w:val="20"/>
        </w:rPr>
        <w:t xml:space="preserve">  .06</w:t>
      </w:r>
      <w:r w:rsidR="00C97E4D" w:rsidRPr="00373356">
        <w:rPr>
          <w:rFonts w:ascii="Arial" w:hAnsi="Arial" w:cs="Arial"/>
          <w:color w:val="000000" w:themeColor="text1"/>
          <w:sz w:val="20"/>
          <w:szCs w:val="20"/>
        </w:rPr>
        <w:t>.</w:t>
      </w:r>
      <w:r w:rsidRPr="00373356">
        <w:rPr>
          <w:rFonts w:ascii="Arial" w:hAnsi="Arial" w:cs="Arial"/>
          <w:color w:val="000000" w:themeColor="text1"/>
          <w:sz w:val="20"/>
          <w:szCs w:val="20"/>
        </w:rPr>
        <w:t>2021</w:t>
      </w:r>
      <w:r w:rsidR="0063792F" w:rsidRPr="00373356">
        <w:rPr>
          <w:rFonts w:ascii="Arial" w:hAnsi="Arial" w:cs="Arial"/>
          <w:color w:val="000000" w:themeColor="text1"/>
          <w:sz w:val="20"/>
          <w:szCs w:val="20"/>
        </w:rPr>
        <w:t>. god</w:t>
      </w:r>
      <w:r w:rsidR="00373356" w:rsidRPr="00373356">
        <w:rPr>
          <w:rFonts w:ascii="Arial" w:hAnsi="Arial" w:cs="Arial"/>
          <w:color w:val="000000" w:themeColor="text1"/>
          <w:sz w:val="20"/>
          <w:szCs w:val="20"/>
        </w:rPr>
        <w:t>ine</w:t>
      </w:r>
    </w:p>
    <w:p w:rsidR="000149C8" w:rsidRDefault="000149C8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C97E4D" w:rsidRDefault="00C97E4D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0149C8" w:rsidRPr="0068307D" w:rsidRDefault="000149C8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7E5927" w:rsidRDefault="0028794E" w:rsidP="00C97E4D">
      <w:pPr>
        <w:tabs>
          <w:tab w:val="left" w:pos="600"/>
          <w:tab w:val="right" w:pos="9360"/>
        </w:tabs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</w:rPr>
        <w:tab/>
      </w:r>
      <w:r w:rsidR="0094054A"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                         </w:t>
      </w:r>
      <w:r w:rsidR="00FD2612">
        <w:rPr>
          <w:rFonts w:ascii="Arial" w:hAnsi="Arial" w:cs="Arial"/>
          <w:b/>
          <w:color w:val="000000" w:themeColor="text1"/>
        </w:rPr>
        <w:t xml:space="preserve">    </w:t>
      </w:r>
      <w:r w:rsidR="0067538C" w:rsidRPr="0068307D">
        <w:rPr>
          <w:rFonts w:ascii="Arial" w:hAnsi="Arial" w:cs="Arial"/>
          <w:b/>
          <w:color w:val="000000" w:themeColor="text1"/>
          <w:sz w:val="20"/>
          <w:szCs w:val="20"/>
        </w:rPr>
        <w:t>MINISTAR</w:t>
      </w:r>
      <w:r w:rsidR="00BF6FD5" w:rsidRPr="0068307D">
        <w:rPr>
          <w:rFonts w:ascii="Arial" w:hAnsi="Arial" w:cs="Arial"/>
          <w:b/>
          <w:color w:val="000000" w:themeColor="text1"/>
          <w:sz w:val="20"/>
          <w:szCs w:val="20"/>
        </w:rPr>
        <w:t>KA</w:t>
      </w:r>
      <w:r w:rsidR="0068307D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</w:t>
      </w:r>
    </w:p>
    <w:p w:rsidR="00FD2612" w:rsidRPr="0068307D" w:rsidRDefault="00FD2612" w:rsidP="0068307D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mr Tamara Srzentić</w:t>
      </w:r>
    </w:p>
    <w:sectPr w:rsidR="00FD2612" w:rsidRPr="0068307D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C3" w:rsidRDefault="001104C3" w:rsidP="00B638A1">
      <w:r>
        <w:separator/>
      </w:r>
    </w:p>
  </w:endnote>
  <w:endnote w:type="continuationSeparator" w:id="0">
    <w:p w:rsidR="001104C3" w:rsidRDefault="001104C3" w:rsidP="00B6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C3" w:rsidRDefault="001104C3" w:rsidP="00B638A1">
      <w:r>
        <w:separator/>
      </w:r>
    </w:p>
  </w:footnote>
  <w:footnote w:type="continuationSeparator" w:id="0">
    <w:p w:rsidR="001104C3" w:rsidRDefault="001104C3" w:rsidP="00B6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38C"/>
    <w:rsid w:val="000149C8"/>
    <w:rsid w:val="000239D5"/>
    <w:rsid w:val="000245D6"/>
    <w:rsid w:val="00033189"/>
    <w:rsid w:val="00074971"/>
    <w:rsid w:val="000D16C3"/>
    <w:rsid w:val="000D57B0"/>
    <w:rsid w:val="001104C3"/>
    <w:rsid w:val="001107C4"/>
    <w:rsid w:val="00127C4E"/>
    <w:rsid w:val="0016005B"/>
    <w:rsid w:val="001628C0"/>
    <w:rsid w:val="0018505B"/>
    <w:rsid w:val="001A370C"/>
    <w:rsid w:val="001C7FB6"/>
    <w:rsid w:val="001E6F12"/>
    <w:rsid w:val="00200905"/>
    <w:rsid w:val="0022703B"/>
    <w:rsid w:val="0024074A"/>
    <w:rsid w:val="0024269A"/>
    <w:rsid w:val="00257056"/>
    <w:rsid w:val="002616CC"/>
    <w:rsid w:val="0028794E"/>
    <w:rsid w:val="003434E7"/>
    <w:rsid w:val="00353005"/>
    <w:rsid w:val="0037116B"/>
    <w:rsid w:val="00373356"/>
    <w:rsid w:val="00380C04"/>
    <w:rsid w:val="003A4A42"/>
    <w:rsid w:val="003B7994"/>
    <w:rsid w:val="003F1ABB"/>
    <w:rsid w:val="00426673"/>
    <w:rsid w:val="00443467"/>
    <w:rsid w:val="00450F0E"/>
    <w:rsid w:val="00511434"/>
    <w:rsid w:val="00550ED0"/>
    <w:rsid w:val="005945D1"/>
    <w:rsid w:val="005C2D9B"/>
    <w:rsid w:val="005F1783"/>
    <w:rsid w:val="00613F50"/>
    <w:rsid w:val="00617963"/>
    <w:rsid w:val="0063792F"/>
    <w:rsid w:val="00655306"/>
    <w:rsid w:val="006571DD"/>
    <w:rsid w:val="0067538C"/>
    <w:rsid w:val="0068307D"/>
    <w:rsid w:val="00684EAD"/>
    <w:rsid w:val="00685DBD"/>
    <w:rsid w:val="006A68A4"/>
    <w:rsid w:val="006B28E6"/>
    <w:rsid w:val="00710915"/>
    <w:rsid w:val="0076249F"/>
    <w:rsid w:val="007871A0"/>
    <w:rsid w:val="007D0B06"/>
    <w:rsid w:val="007D52CF"/>
    <w:rsid w:val="007D69B9"/>
    <w:rsid w:val="007E5927"/>
    <w:rsid w:val="008140D3"/>
    <w:rsid w:val="0086785B"/>
    <w:rsid w:val="008F5079"/>
    <w:rsid w:val="009134A0"/>
    <w:rsid w:val="0094054A"/>
    <w:rsid w:val="00967E33"/>
    <w:rsid w:val="00970F96"/>
    <w:rsid w:val="00974E92"/>
    <w:rsid w:val="009B4193"/>
    <w:rsid w:val="009B44D7"/>
    <w:rsid w:val="009C5EC8"/>
    <w:rsid w:val="009F728E"/>
    <w:rsid w:val="00A03B20"/>
    <w:rsid w:val="00A168FB"/>
    <w:rsid w:val="00A27AC1"/>
    <w:rsid w:val="00AC68E5"/>
    <w:rsid w:val="00AE1201"/>
    <w:rsid w:val="00AE4C46"/>
    <w:rsid w:val="00AE79A5"/>
    <w:rsid w:val="00B518CA"/>
    <w:rsid w:val="00B638A1"/>
    <w:rsid w:val="00B6462F"/>
    <w:rsid w:val="00B658B9"/>
    <w:rsid w:val="00B82217"/>
    <w:rsid w:val="00B96C43"/>
    <w:rsid w:val="00BA0ABC"/>
    <w:rsid w:val="00BE31B5"/>
    <w:rsid w:val="00BF6FD5"/>
    <w:rsid w:val="00C31E2D"/>
    <w:rsid w:val="00C33556"/>
    <w:rsid w:val="00C53F46"/>
    <w:rsid w:val="00C627D3"/>
    <w:rsid w:val="00C70577"/>
    <w:rsid w:val="00C77A83"/>
    <w:rsid w:val="00C807D1"/>
    <w:rsid w:val="00C97E4D"/>
    <w:rsid w:val="00D847EE"/>
    <w:rsid w:val="00DA00F1"/>
    <w:rsid w:val="00E312CD"/>
    <w:rsid w:val="00E6087F"/>
    <w:rsid w:val="00E61D48"/>
    <w:rsid w:val="00E63F38"/>
    <w:rsid w:val="00E81BE7"/>
    <w:rsid w:val="00E97D72"/>
    <w:rsid w:val="00EC6458"/>
    <w:rsid w:val="00EF4AFE"/>
    <w:rsid w:val="00F431FE"/>
    <w:rsid w:val="00F53FFF"/>
    <w:rsid w:val="00F869D2"/>
    <w:rsid w:val="00F91E7F"/>
    <w:rsid w:val="00FC01AF"/>
    <w:rsid w:val="00FD2612"/>
    <w:rsid w:val="00FF1A74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8925"/>
  <w15:docId w15:val="{669B7D65-5635-4B35-8C44-C43D2DB7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38A1"/>
    <w:pPr>
      <w:jc w:val="left"/>
    </w:pPr>
    <w:rPr>
      <w:rFonts w:ascii="Calibri" w:hAnsi="Calibri"/>
      <w:bCs w:val="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8A1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638A1"/>
    <w:rPr>
      <w:vertAlign w:val="superscript"/>
    </w:rPr>
  </w:style>
  <w:style w:type="paragraph" w:customStyle="1" w:styleId="Default">
    <w:name w:val="Default"/>
    <w:rsid w:val="00014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Senid Strikovic</dc:creator>
  <cp:lastModifiedBy>Marija Tomovic</cp:lastModifiedBy>
  <cp:revision>33</cp:revision>
  <cp:lastPrinted>2021-06-03T12:16:00Z</cp:lastPrinted>
  <dcterms:created xsi:type="dcterms:W3CDTF">2019-07-12T07:54:00Z</dcterms:created>
  <dcterms:modified xsi:type="dcterms:W3CDTF">2021-06-03T12:44:00Z</dcterms:modified>
</cp:coreProperties>
</file>