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W w:w="13040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3685"/>
        <w:gridCol w:w="3685"/>
      </w:tblGrid>
      <w:tr w:rsidR="00D36046" w:rsidRPr="0058184A" w14:paraId="69D1C8DF" w14:textId="77777777" w:rsidTr="00536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FBF45C3" w14:textId="77777777" w:rsidR="00D36046" w:rsidRPr="0058184A" w:rsidRDefault="00D36046" w:rsidP="006751B7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</w:pPr>
            <w:r w:rsidRPr="0058184A"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  <w:t>Koordinator projekta</w:t>
            </w:r>
          </w:p>
        </w:tc>
        <w:tc>
          <w:tcPr>
            <w:tcW w:w="2835" w:type="dxa"/>
          </w:tcPr>
          <w:p w14:paraId="07E4100D" w14:textId="77777777" w:rsidR="00D36046" w:rsidRPr="0058184A" w:rsidRDefault="00D36046" w:rsidP="006751B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</w:pPr>
            <w:r w:rsidRPr="0058184A"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  <w:t>Partner</w:t>
            </w:r>
          </w:p>
        </w:tc>
        <w:tc>
          <w:tcPr>
            <w:tcW w:w="3685" w:type="dxa"/>
          </w:tcPr>
          <w:p w14:paraId="53487DC4" w14:textId="77777777" w:rsidR="00D36046" w:rsidRPr="0058184A" w:rsidRDefault="00D36046" w:rsidP="006751B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</w:pPr>
            <w:r w:rsidRPr="0058184A"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  <w:t>Naziv projekta ENG</w:t>
            </w:r>
          </w:p>
        </w:tc>
        <w:tc>
          <w:tcPr>
            <w:tcW w:w="3685" w:type="dxa"/>
          </w:tcPr>
          <w:p w14:paraId="1F0DA724" w14:textId="77777777" w:rsidR="00D36046" w:rsidRPr="0058184A" w:rsidRDefault="00D36046" w:rsidP="006751B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</w:pPr>
            <w:r w:rsidRPr="0058184A">
              <w:rPr>
                <w:rFonts w:ascii="Arial" w:hAnsi="Arial" w:cs="Arial"/>
                <w:b w:val="0"/>
                <w:bCs w:val="0"/>
                <w:sz w:val="20"/>
                <w:szCs w:val="20"/>
                <w:lang w:val="sr-Latn-ME"/>
              </w:rPr>
              <w:t>Naziv projekta CG</w:t>
            </w:r>
          </w:p>
        </w:tc>
      </w:tr>
      <w:tr w:rsidR="00D36046" w14:paraId="6D0AD5D2" w14:textId="77777777" w:rsidTr="005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0140714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Asocijacija za demokratski prosperitet - ZID</w:t>
            </w:r>
          </w:p>
        </w:tc>
        <w:tc>
          <w:tcPr>
            <w:tcW w:w="2835" w:type="dxa"/>
            <w:vAlign w:val="center"/>
          </w:tcPr>
          <w:p w14:paraId="0B604B9B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Upbeat Hub</w:t>
            </w:r>
          </w:p>
        </w:tc>
        <w:tc>
          <w:tcPr>
            <w:tcW w:w="3685" w:type="dxa"/>
            <w:vAlign w:val="center"/>
          </w:tcPr>
          <w:p w14:paraId="08413BC6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>Exploring green energy transition potential in Montenegrin transport system</w:t>
            </w:r>
          </w:p>
        </w:tc>
        <w:tc>
          <w:tcPr>
            <w:tcW w:w="3685" w:type="dxa"/>
            <w:vAlign w:val="center"/>
          </w:tcPr>
          <w:p w14:paraId="499ED2D3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Istraživanje potencijala prelaska na zelenu energiju u crnogorskom transportnom sistemu</w:t>
            </w:r>
          </w:p>
        </w:tc>
      </w:tr>
      <w:tr w:rsidR="00D36046" w14:paraId="5DD9F983" w14:textId="77777777" w:rsidTr="0053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3B9CC14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Fondacija „</w:t>
            </w: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Biznis start-up centar</w:t>
            </w: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“ Bar (BSC Bar)</w:t>
            </w:r>
          </w:p>
        </w:tc>
        <w:tc>
          <w:tcPr>
            <w:tcW w:w="2835" w:type="dxa"/>
            <w:vAlign w:val="center"/>
          </w:tcPr>
          <w:p w14:paraId="19D6FF99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Barska uljara</w:t>
            </w:r>
          </w:p>
        </w:tc>
        <w:tc>
          <w:tcPr>
            <w:tcW w:w="3685" w:type="dxa"/>
            <w:vAlign w:val="center"/>
          </w:tcPr>
          <w:p w14:paraId="68184C5F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>High technology for sustainable autochthonous olive cultivation and innovations in traditional food value chain</w:t>
            </w:r>
          </w:p>
        </w:tc>
        <w:tc>
          <w:tcPr>
            <w:tcW w:w="3685" w:type="dxa"/>
            <w:vAlign w:val="center"/>
          </w:tcPr>
          <w:p w14:paraId="0736D6C5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Visoka tehnologija za održivo autohtono uzgajanje maslina i inovacije u tradicionalnom lancu vrijednosti hrane</w:t>
            </w:r>
          </w:p>
        </w:tc>
      </w:tr>
      <w:tr w:rsidR="00D36046" w14:paraId="5B3A5E19" w14:textId="77777777" w:rsidTr="005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E460E67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B-One d.o.o.</w:t>
            </w:r>
          </w:p>
        </w:tc>
        <w:tc>
          <w:tcPr>
            <w:tcW w:w="2835" w:type="dxa"/>
            <w:vAlign w:val="center"/>
          </w:tcPr>
          <w:p w14:paraId="30A349E7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/</w:t>
            </w:r>
          </w:p>
        </w:tc>
        <w:tc>
          <w:tcPr>
            <w:tcW w:w="3685" w:type="dxa"/>
            <w:vAlign w:val="center"/>
          </w:tcPr>
          <w:p w14:paraId="0356FD83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Enabling seamless integration and secure sharing of electronic health records using blockchain technology - HEALCHAIN</w:t>
            </w:r>
          </w:p>
        </w:tc>
        <w:tc>
          <w:tcPr>
            <w:tcW w:w="3685" w:type="dxa"/>
            <w:vAlign w:val="center"/>
          </w:tcPr>
          <w:p w14:paraId="3B482EDB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 xml:space="preserve">Omogućavanje besprekorne integracije i bezbjednog dijeljenja elektronskih zdravstvenih kartona korišćenjem </w:t>
            </w:r>
            <w:r w:rsidRPr="00201E72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>blockchain</w:t>
            </w: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tehnologije - HEALCHAIN</w:t>
            </w:r>
          </w:p>
        </w:tc>
      </w:tr>
      <w:tr w:rsidR="00D36046" w14:paraId="59AF888D" w14:textId="77777777" w:rsidTr="0053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938DD6A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Novi Volvox d.o.o.</w:t>
            </w:r>
          </w:p>
        </w:tc>
        <w:tc>
          <w:tcPr>
            <w:tcW w:w="2835" w:type="dxa"/>
            <w:vAlign w:val="center"/>
          </w:tcPr>
          <w:p w14:paraId="459320C5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Optimus Consulting d.o.o.</w:t>
            </w:r>
          </w:p>
        </w:tc>
        <w:tc>
          <w:tcPr>
            <w:tcW w:w="3685" w:type="dxa"/>
            <w:vAlign w:val="center"/>
          </w:tcPr>
          <w:p w14:paraId="385D09AC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Artificial int</w:t>
            </w:r>
            <w:bookmarkStart w:id="0" w:name="_GoBack"/>
            <w:bookmarkEnd w:id="0"/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elligence in smart homes</w:t>
            </w:r>
          </w:p>
        </w:tc>
        <w:tc>
          <w:tcPr>
            <w:tcW w:w="3685" w:type="dxa"/>
            <w:vAlign w:val="center"/>
          </w:tcPr>
          <w:p w14:paraId="6448D8BC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Vještačka inteligencija u pametnim domovima</w:t>
            </w:r>
          </w:p>
        </w:tc>
      </w:tr>
      <w:tr w:rsidR="00D36046" w14:paraId="33C8A346" w14:textId="77777777" w:rsidTr="005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E166469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Regionalna razvojna agencija za Bjelasicu, Komove i</w:t>
            </w: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Prokletije</w:t>
            </w:r>
          </w:p>
        </w:tc>
        <w:tc>
          <w:tcPr>
            <w:tcW w:w="2835" w:type="dxa"/>
            <w:vAlign w:val="center"/>
          </w:tcPr>
          <w:p w14:paraId="7C16EC27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Univerzitet Donja Gorica, Centar izvrsnosti za digitalizaciju procjene rizika u oblasti bezbjednosti hrane i preciznu sertifikaciju autentičnosti prehrambenih proizvoda</w:t>
            </w:r>
          </w:p>
        </w:tc>
        <w:tc>
          <w:tcPr>
            <w:tcW w:w="3685" w:type="dxa"/>
            <w:vAlign w:val="center"/>
          </w:tcPr>
          <w:p w14:paraId="166E9679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Creation of new fruit and vegetable products</w:t>
            </w:r>
          </w:p>
        </w:tc>
        <w:tc>
          <w:tcPr>
            <w:tcW w:w="3685" w:type="dxa"/>
            <w:vAlign w:val="center"/>
          </w:tcPr>
          <w:p w14:paraId="2B8F4EA4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Stvaranje novih proizvoda od voća i povrća</w:t>
            </w:r>
          </w:p>
        </w:tc>
      </w:tr>
      <w:tr w:rsidR="00D36046" w14:paraId="68175433" w14:textId="77777777" w:rsidTr="0053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32C8906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Business Universal Media</w:t>
            </w: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d.o.o.</w:t>
            </w:r>
          </w:p>
        </w:tc>
        <w:tc>
          <w:tcPr>
            <w:tcW w:w="2835" w:type="dxa"/>
            <w:vAlign w:val="center"/>
          </w:tcPr>
          <w:p w14:paraId="4E9187CA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Asocijacija menadžera Crne Gore (AMM)</w:t>
            </w:r>
          </w:p>
        </w:tc>
        <w:tc>
          <w:tcPr>
            <w:tcW w:w="3685" w:type="dxa"/>
            <w:vAlign w:val="center"/>
          </w:tcPr>
          <w:p w14:paraId="40133DB4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Oxiom FinBot – an innovative concept that unites companies and science</w:t>
            </w:r>
          </w:p>
        </w:tc>
        <w:tc>
          <w:tcPr>
            <w:tcW w:w="3685" w:type="dxa"/>
            <w:vAlign w:val="center"/>
          </w:tcPr>
          <w:p w14:paraId="3D32FCC1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Oxiom FinBot - inovativni koncept koji ujedinjuje kompanije i nauku</w:t>
            </w:r>
          </w:p>
        </w:tc>
      </w:tr>
      <w:tr w:rsidR="00D36046" w14:paraId="38E5AD94" w14:textId="77777777" w:rsidTr="005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2060B6E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Fakultet za međunarodnu ekonomiju, finansije i biznis</w:t>
            </w: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, Univerzitet Donja Gorica</w:t>
            </w:r>
          </w:p>
        </w:tc>
        <w:tc>
          <w:tcPr>
            <w:tcW w:w="2835" w:type="dxa"/>
            <w:vAlign w:val="center"/>
          </w:tcPr>
          <w:p w14:paraId="1CF1722D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Institut Mihajlo Pupin Beograd;</w:t>
            </w:r>
          </w:p>
          <w:p w14:paraId="59E495CC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</w:p>
          <w:p w14:paraId="75B5DB72" w14:textId="3B196FD8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Katolički univerzitet Portugala</w:t>
            </w:r>
          </w:p>
        </w:tc>
        <w:tc>
          <w:tcPr>
            <w:tcW w:w="3685" w:type="dxa"/>
            <w:vAlign w:val="center"/>
          </w:tcPr>
          <w:p w14:paraId="5CB09FF8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Reinforce and connect absorption capacity in companies for new research and innovation solution, through the process of empowerment of the human resource management models and tools based on identified gap – EmpowerHR4Inno</w:t>
            </w:r>
          </w:p>
        </w:tc>
        <w:tc>
          <w:tcPr>
            <w:tcW w:w="3685" w:type="dxa"/>
            <w:vAlign w:val="center"/>
          </w:tcPr>
          <w:p w14:paraId="7EF5DB29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Jačanje i povezivanje apsorpcionih kapaciteta u kompanijama za nova istraživačka i inovativna rješenja, kroz proces osnaživanja modela i alata upravljanja ljudskim resursima na osnovu identifikovanog jaza – EmpoverHR4Inno</w:t>
            </w:r>
          </w:p>
        </w:tc>
      </w:tr>
      <w:tr w:rsidR="00D36046" w14:paraId="61862F28" w14:textId="77777777" w:rsidTr="005361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E40E001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Univerzitet Donja Gorica</w:t>
            </w:r>
          </w:p>
        </w:tc>
        <w:tc>
          <w:tcPr>
            <w:tcW w:w="2835" w:type="dxa"/>
            <w:vAlign w:val="center"/>
          </w:tcPr>
          <w:p w14:paraId="79DE6D03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/</w:t>
            </w:r>
          </w:p>
        </w:tc>
        <w:tc>
          <w:tcPr>
            <w:tcW w:w="3685" w:type="dxa"/>
            <w:vAlign w:val="center"/>
          </w:tcPr>
          <w:p w14:paraId="65090672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Building scientific and innovation potential to utilize HPC and AI for Smart Specialization in Montenegro (HPC4S3ME)</w:t>
            </w:r>
          </w:p>
        </w:tc>
        <w:tc>
          <w:tcPr>
            <w:tcW w:w="3685" w:type="dxa"/>
            <w:vAlign w:val="center"/>
          </w:tcPr>
          <w:p w14:paraId="26493515" w14:textId="77777777" w:rsidR="00D36046" w:rsidRPr="00201E72" w:rsidRDefault="00D36046" w:rsidP="00D360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Izgradnja naučnog i inovacionog potencijala za korišćenje računarstva visokih performansi i vještačku inteligenciju za pametnu specijalizaciju u Crnoj Gori (</w:t>
            </w: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HPC4S3ME)</w:t>
            </w:r>
          </w:p>
        </w:tc>
      </w:tr>
      <w:tr w:rsidR="00D36046" w14:paraId="0FD7185E" w14:textId="77777777" w:rsidTr="005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73CC0B23" w14:textId="77777777" w:rsidR="00D36046" w:rsidRPr="00201E72" w:rsidRDefault="00D36046" w:rsidP="00D36046">
            <w:pPr>
              <w:spacing w:before="60" w:after="6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Regionalna razvojna agencija za Bjelasicu, Komove i</w:t>
            </w:r>
            <w:r w:rsidRPr="00201E72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Prokletije</w:t>
            </w:r>
          </w:p>
        </w:tc>
        <w:tc>
          <w:tcPr>
            <w:tcW w:w="2835" w:type="dxa"/>
            <w:vAlign w:val="center"/>
          </w:tcPr>
          <w:p w14:paraId="75D43659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Naučni Institut „Panarchy 11 - Research for Resilience“</w:t>
            </w:r>
          </w:p>
        </w:tc>
        <w:tc>
          <w:tcPr>
            <w:tcW w:w="3685" w:type="dxa"/>
            <w:vAlign w:val="center"/>
          </w:tcPr>
          <w:p w14:paraId="6935DF41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</w:pPr>
            <w:r w:rsidRPr="00201E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Latn-ME"/>
              </w:rPr>
              <w:t>Innovation and research for off-grid settlements</w:t>
            </w:r>
          </w:p>
        </w:tc>
        <w:tc>
          <w:tcPr>
            <w:tcW w:w="3685" w:type="dxa"/>
            <w:vAlign w:val="center"/>
          </w:tcPr>
          <w:p w14:paraId="52C2A23E" w14:textId="77777777" w:rsidR="00D36046" w:rsidRPr="00201E72" w:rsidRDefault="00D36046" w:rsidP="00D3604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 xml:space="preserve">Inovacije i istraživanja za </w:t>
            </w:r>
            <w:r w:rsidRPr="00201E72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 xml:space="preserve">off-grid </w:t>
            </w:r>
            <w:r w:rsidRPr="00201E72">
              <w:rPr>
                <w:rFonts w:ascii="Arial" w:hAnsi="Arial" w:cs="Arial"/>
                <w:sz w:val="20"/>
                <w:szCs w:val="20"/>
                <w:lang w:val="sr-Latn-ME"/>
              </w:rPr>
              <w:t>naselja</w:t>
            </w:r>
          </w:p>
        </w:tc>
      </w:tr>
    </w:tbl>
    <w:p w14:paraId="49CE7A95" w14:textId="77777777" w:rsidR="004C5821" w:rsidRDefault="004C5821"/>
    <w:sectPr w:rsidR="004C5821" w:rsidSect="00D360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6"/>
    <w:rsid w:val="00201E72"/>
    <w:rsid w:val="004C5821"/>
    <w:rsid w:val="005361BE"/>
    <w:rsid w:val="00D05B8F"/>
    <w:rsid w:val="00D36046"/>
    <w:rsid w:val="00D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0AEB"/>
  <w15:chartTrackingRefBased/>
  <w15:docId w15:val="{30CF3B22-DB58-4822-9D8C-DADECDB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046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3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046"/>
    <w:rPr>
      <w:sz w:val="20"/>
      <w:szCs w:val="20"/>
    </w:rPr>
  </w:style>
  <w:style w:type="table" w:styleId="GridTable7Colorful-Accent1">
    <w:name w:val="Grid Table 7 Colorful Accent 1"/>
    <w:basedOn w:val="TableNormal"/>
    <w:uiPriority w:val="52"/>
    <w:rsid w:val="00D3604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360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D360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D3604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D360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D360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Vukčević</dc:creator>
  <cp:keywords/>
  <dc:description/>
  <cp:lastModifiedBy>IVANA-PC</cp:lastModifiedBy>
  <cp:revision>3</cp:revision>
  <dcterms:created xsi:type="dcterms:W3CDTF">2022-12-27T07:49:00Z</dcterms:created>
  <dcterms:modified xsi:type="dcterms:W3CDTF">2022-12-27T08:03:00Z</dcterms:modified>
</cp:coreProperties>
</file>