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B6" w:rsidRPr="0016406F" w:rsidRDefault="00C671B6" w:rsidP="00015F5D">
      <w:pPr>
        <w:spacing w:after="0" w:line="276" w:lineRule="auto"/>
        <w:rPr>
          <w:rFonts w:ascii="Arial" w:eastAsiaTheme="minorEastAsia" w:hAnsi="Arial" w:cs="Arial"/>
          <w:b/>
          <w:noProof/>
        </w:rPr>
      </w:pPr>
      <w:r w:rsidRPr="0016406F">
        <w:rPr>
          <w:rFonts w:ascii="Arial" w:eastAsiaTheme="minorEastAsia" w:hAnsi="Arial" w:cs="Arial"/>
          <w:b/>
          <w:noProof/>
        </w:rPr>
        <w:t>MINISTARSTVO FINANSIJA</w:t>
      </w:r>
    </w:p>
    <w:p w:rsidR="00C671B6" w:rsidRPr="0016406F" w:rsidRDefault="00C671B6" w:rsidP="00015F5D">
      <w:pPr>
        <w:spacing w:after="0" w:line="276" w:lineRule="auto"/>
        <w:rPr>
          <w:rFonts w:ascii="Arial" w:eastAsiaTheme="minorEastAsia" w:hAnsi="Arial" w:cs="Arial"/>
          <w:noProof/>
        </w:rPr>
      </w:pPr>
    </w:p>
    <w:p w:rsidR="00F3128F" w:rsidRPr="0016406F" w:rsidRDefault="00F3128F" w:rsidP="00015F5D">
      <w:pPr>
        <w:spacing w:after="0" w:line="276" w:lineRule="auto"/>
        <w:rPr>
          <w:rFonts w:ascii="Arial" w:eastAsiaTheme="minorEastAsia" w:hAnsi="Arial" w:cs="Arial"/>
          <w:noProof/>
        </w:rPr>
      </w:pPr>
    </w:p>
    <w:p w:rsidR="00C671B6" w:rsidRPr="0016406F" w:rsidRDefault="00C671B6" w:rsidP="00015F5D">
      <w:pPr>
        <w:spacing w:line="276" w:lineRule="auto"/>
        <w:jc w:val="center"/>
        <w:rPr>
          <w:rFonts w:ascii="Arial" w:eastAsiaTheme="minorEastAsia" w:hAnsi="Arial" w:cs="Arial"/>
          <w:b/>
          <w:noProof/>
        </w:rPr>
      </w:pPr>
      <w:r w:rsidRPr="0016406F">
        <w:rPr>
          <w:rFonts w:ascii="Arial" w:eastAsiaTheme="minorEastAsia" w:hAnsi="Arial" w:cs="Arial"/>
          <w:b/>
          <w:noProof/>
        </w:rPr>
        <w:t>IZVJEŠTAJ O SPROVEDENOJ JAVNOJ RASPRAVI</w:t>
      </w:r>
    </w:p>
    <w:p w:rsidR="00C671B6" w:rsidRPr="0016406F" w:rsidRDefault="00C671B6" w:rsidP="00015F5D">
      <w:pPr>
        <w:spacing w:after="0" w:line="276" w:lineRule="auto"/>
        <w:jc w:val="center"/>
        <w:rPr>
          <w:rFonts w:ascii="Arial" w:eastAsiaTheme="minorEastAsia" w:hAnsi="Arial" w:cs="Arial"/>
          <w:b/>
          <w:noProof/>
        </w:rPr>
      </w:pPr>
      <w:r w:rsidRPr="0016406F">
        <w:rPr>
          <w:rFonts w:ascii="Arial" w:eastAsiaTheme="minorEastAsia" w:hAnsi="Arial" w:cs="Arial"/>
          <w:b/>
          <w:noProof/>
        </w:rPr>
        <w:t xml:space="preserve">o Nacrtu zakona o </w:t>
      </w:r>
      <w:r w:rsidR="00294A82" w:rsidRPr="0016406F">
        <w:rPr>
          <w:rFonts w:ascii="Arial" w:eastAsiaTheme="minorEastAsia" w:hAnsi="Arial" w:cs="Arial"/>
          <w:b/>
          <w:noProof/>
        </w:rPr>
        <w:t>kreditnim institucijama</w:t>
      </w:r>
    </w:p>
    <w:p w:rsidR="00C671B6" w:rsidRPr="0016406F" w:rsidRDefault="00C671B6" w:rsidP="00015F5D">
      <w:pPr>
        <w:spacing w:after="0" w:line="276" w:lineRule="auto"/>
        <w:jc w:val="center"/>
        <w:rPr>
          <w:rFonts w:ascii="Arial" w:eastAsiaTheme="minorEastAsia" w:hAnsi="Arial" w:cs="Arial"/>
          <w:noProof/>
        </w:rPr>
      </w:pPr>
      <w:bookmarkStart w:id="0" w:name="_GoBack"/>
      <w:bookmarkEnd w:id="0"/>
    </w:p>
    <w:p w:rsidR="00C671B6" w:rsidRPr="0016406F" w:rsidRDefault="00C671B6" w:rsidP="00015F5D">
      <w:pPr>
        <w:spacing w:after="0" w:line="276" w:lineRule="auto"/>
        <w:jc w:val="center"/>
        <w:rPr>
          <w:rFonts w:ascii="Arial" w:eastAsiaTheme="minorEastAsia" w:hAnsi="Arial" w:cs="Arial"/>
          <w:noProof/>
        </w:rPr>
      </w:pPr>
    </w:p>
    <w:p w:rsidR="00C671B6" w:rsidRPr="0016406F" w:rsidRDefault="00C671B6" w:rsidP="00015F5D">
      <w:pPr>
        <w:spacing w:after="0" w:line="276" w:lineRule="auto"/>
        <w:rPr>
          <w:rFonts w:ascii="Arial" w:eastAsiaTheme="minorEastAsia" w:hAnsi="Arial" w:cs="Arial"/>
          <w:noProof/>
        </w:rPr>
      </w:pPr>
      <w:r w:rsidRPr="0016406F">
        <w:rPr>
          <w:rFonts w:ascii="Arial" w:eastAsiaTheme="minorEastAsia" w:hAnsi="Arial" w:cs="Arial"/>
          <w:noProof/>
        </w:rPr>
        <w:t>Vrije</w:t>
      </w:r>
      <w:r w:rsidR="00B203CD" w:rsidRPr="0016406F">
        <w:rPr>
          <w:rFonts w:ascii="Arial" w:eastAsiaTheme="minorEastAsia" w:hAnsi="Arial" w:cs="Arial"/>
          <w:noProof/>
        </w:rPr>
        <w:t xml:space="preserve">me trajanja javne rasprave:  od 25. januara do 04. marta 2019. godine </w:t>
      </w:r>
    </w:p>
    <w:p w:rsidR="00C671B6" w:rsidRPr="0016406F" w:rsidRDefault="00C671B6" w:rsidP="00015F5D">
      <w:pPr>
        <w:spacing w:after="0" w:line="276" w:lineRule="auto"/>
        <w:rPr>
          <w:rFonts w:ascii="Arial" w:eastAsiaTheme="minorEastAsia" w:hAnsi="Arial" w:cs="Arial"/>
          <w:noProof/>
        </w:rPr>
      </w:pPr>
    </w:p>
    <w:p w:rsidR="00C671B6" w:rsidRPr="0016406F" w:rsidRDefault="00C671B6" w:rsidP="00015F5D">
      <w:pPr>
        <w:spacing w:after="0" w:line="276" w:lineRule="auto"/>
        <w:rPr>
          <w:rFonts w:ascii="Arial" w:eastAsiaTheme="minorEastAsia" w:hAnsi="Arial" w:cs="Arial"/>
          <w:noProof/>
        </w:rPr>
      </w:pPr>
      <w:r w:rsidRPr="0016406F">
        <w:rPr>
          <w:rFonts w:ascii="Arial" w:eastAsiaTheme="minorEastAsia" w:hAnsi="Arial" w:cs="Arial"/>
          <w:noProof/>
        </w:rPr>
        <w:t>Način sprovođenja javne rasprave:</w:t>
      </w:r>
    </w:p>
    <w:p w:rsidR="00C671B6" w:rsidRPr="0016406F" w:rsidRDefault="00C671B6" w:rsidP="00015F5D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noProof/>
        </w:rPr>
      </w:pPr>
      <w:r w:rsidRPr="0016406F">
        <w:rPr>
          <w:rFonts w:ascii="Arial" w:hAnsi="Arial" w:cs="Arial"/>
          <w:noProof/>
        </w:rPr>
        <w:t>Dostavljanje primjedbi, predloga i sugestija u pisanom ili elektronskom obliku</w:t>
      </w:r>
    </w:p>
    <w:p w:rsidR="00C671B6" w:rsidRPr="0016406F" w:rsidRDefault="00C671B6" w:rsidP="00015F5D">
      <w:pPr>
        <w:spacing w:after="0" w:line="276" w:lineRule="auto"/>
        <w:ind w:left="720"/>
        <w:contextualSpacing/>
        <w:rPr>
          <w:rFonts w:ascii="Arial" w:hAnsi="Arial" w:cs="Arial"/>
          <w:noProof/>
        </w:rPr>
      </w:pPr>
    </w:p>
    <w:p w:rsidR="00C671B6" w:rsidRPr="0016406F" w:rsidRDefault="00C671B6" w:rsidP="00015F5D">
      <w:pPr>
        <w:spacing w:after="0" w:line="276" w:lineRule="auto"/>
        <w:rPr>
          <w:rFonts w:ascii="Arial" w:eastAsiaTheme="minorEastAsia" w:hAnsi="Arial" w:cs="Arial"/>
          <w:noProof/>
        </w:rPr>
      </w:pPr>
      <w:r w:rsidRPr="0016406F">
        <w:rPr>
          <w:rFonts w:ascii="Arial" w:eastAsiaTheme="minorEastAsia" w:hAnsi="Arial" w:cs="Arial"/>
          <w:noProof/>
        </w:rPr>
        <w:t>Ovlašćeni predstavnici ministarstva koji su učestvovali u javnoj raspravi:</w:t>
      </w:r>
      <w:r w:rsidR="0016406F" w:rsidRPr="0016406F">
        <w:rPr>
          <w:rFonts w:ascii="Arial" w:hAnsi="Arial" w:cs="Arial"/>
        </w:rPr>
        <w:t xml:space="preserve"> </w:t>
      </w:r>
      <w:r w:rsidR="0016406F" w:rsidRPr="0030701B">
        <w:rPr>
          <w:rFonts w:ascii="Arial" w:eastAsiaTheme="minorEastAsia" w:hAnsi="Arial" w:cs="Arial"/>
          <w:noProof/>
          <w:u w:val="single"/>
        </w:rPr>
        <w:t>Direktorat za finansijski sistem i unapređenje poslovnog ambijenta</w:t>
      </w:r>
    </w:p>
    <w:p w:rsidR="00C671B6" w:rsidRPr="0016406F" w:rsidRDefault="00C671B6" w:rsidP="00015F5D">
      <w:pPr>
        <w:spacing w:after="0" w:line="276" w:lineRule="auto"/>
        <w:rPr>
          <w:rFonts w:ascii="Arial" w:eastAsiaTheme="minorEastAsia" w:hAnsi="Arial" w:cs="Arial"/>
          <w:noProof/>
        </w:rPr>
      </w:pPr>
    </w:p>
    <w:p w:rsidR="00015F5D" w:rsidRPr="0016406F" w:rsidRDefault="00C671B6" w:rsidP="00626961">
      <w:pPr>
        <w:spacing w:after="0" w:line="276" w:lineRule="auto"/>
        <w:jc w:val="both"/>
        <w:rPr>
          <w:rFonts w:ascii="Arial" w:eastAsiaTheme="minorEastAsia" w:hAnsi="Arial" w:cs="Arial"/>
          <w:noProof/>
        </w:rPr>
      </w:pPr>
      <w:r w:rsidRPr="0016406F">
        <w:rPr>
          <w:rFonts w:ascii="Arial" w:eastAsiaTheme="minorEastAsia" w:hAnsi="Arial" w:cs="Arial"/>
          <w:noProof/>
        </w:rPr>
        <w:t xml:space="preserve">Podaci o broju i strukturi učesnika u javnoj raspravi: U toku trajanja javne rasprave </w:t>
      </w:r>
      <w:r w:rsidR="00626961" w:rsidRPr="0016406F">
        <w:rPr>
          <w:rFonts w:ascii="Arial" w:eastAsiaTheme="minorEastAsia" w:hAnsi="Arial" w:cs="Arial"/>
          <w:noProof/>
        </w:rPr>
        <w:t>dostavljen su</w:t>
      </w:r>
      <w:r w:rsidR="00015F5D" w:rsidRPr="0016406F">
        <w:rPr>
          <w:rFonts w:ascii="Arial" w:eastAsiaTheme="minorEastAsia" w:hAnsi="Arial" w:cs="Arial"/>
          <w:noProof/>
        </w:rPr>
        <w:t xml:space="preserve"> su primjedbe </w:t>
      </w:r>
      <w:r w:rsidR="00626961" w:rsidRPr="0016406F">
        <w:rPr>
          <w:rFonts w:ascii="Arial" w:eastAsiaTheme="minorEastAsia" w:hAnsi="Arial" w:cs="Arial"/>
          <w:noProof/>
        </w:rPr>
        <w:t xml:space="preserve"> dva učenika, i to: Ud</w:t>
      </w:r>
      <w:r w:rsidR="004E4579" w:rsidRPr="0016406F">
        <w:rPr>
          <w:rFonts w:ascii="Arial" w:eastAsiaTheme="minorEastAsia" w:hAnsi="Arial" w:cs="Arial"/>
          <w:noProof/>
        </w:rPr>
        <w:t>ružanja banaka Crne Gore i fizič</w:t>
      </w:r>
      <w:r w:rsidR="00626961" w:rsidRPr="0016406F">
        <w:rPr>
          <w:rFonts w:ascii="Arial" w:eastAsiaTheme="minorEastAsia" w:hAnsi="Arial" w:cs="Arial"/>
          <w:noProof/>
        </w:rPr>
        <w:t>kog lica Dušana Vujovića</w:t>
      </w:r>
      <w:r w:rsidR="00EE0FB4" w:rsidRPr="0016406F">
        <w:rPr>
          <w:rFonts w:ascii="Arial" w:eastAsiaTheme="minorEastAsia" w:hAnsi="Arial" w:cs="Arial"/>
          <w:noProof/>
        </w:rPr>
        <w:t xml:space="preserve">. </w:t>
      </w:r>
    </w:p>
    <w:p w:rsidR="00015F5D" w:rsidRPr="0016406F" w:rsidRDefault="00015F5D" w:rsidP="00015F5D">
      <w:pPr>
        <w:spacing w:after="0" w:line="276" w:lineRule="auto"/>
        <w:jc w:val="both"/>
        <w:rPr>
          <w:rFonts w:ascii="Arial" w:eastAsiaTheme="minorEastAsia" w:hAnsi="Arial" w:cs="Arial"/>
          <w:noProof/>
        </w:rPr>
      </w:pPr>
    </w:p>
    <w:p w:rsidR="00C671B6" w:rsidRPr="0016406F" w:rsidRDefault="00C671B6" w:rsidP="00015F5D">
      <w:pPr>
        <w:spacing w:after="0" w:line="276" w:lineRule="auto"/>
        <w:jc w:val="both"/>
        <w:rPr>
          <w:rFonts w:ascii="Arial" w:eastAsiaTheme="minorEastAsia" w:hAnsi="Arial" w:cs="Arial"/>
          <w:noProof/>
        </w:rPr>
      </w:pPr>
      <w:r w:rsidRPr="0016406F">
        <w:rPr>
          <w:rFonts w:ascii="Arial" w:eastAsiaTheme="minorEastAsia" w:hAnsi="Arial" w:cs="Arial"/>
          <w:noProof/>
        </w:rPr>
        <w:t xml:space="preserve">Rezime dostavljanih primjedbi, predloga i sugestija, </w:t>
      </w:r>
      <w:r w:rsidR="00294A82" w:rsidRPr="0016406F">
        <w:rPr>
          <w:rFonts w:ascii="Arial" w:eastAsiaTheme="minorEastAsia" w:hAnsi="Arial" w:cs="Arial"/>
          <w:noProof/>
        </w:rPr>
        <w:t>sa navedenim razlozima njihovog</w:t>
      </w:r>
      <w:r w:rsidR="00084E2A" w:rsidRPr="0016406F">
        <w:rPr>
          <w:rFonts w:ascii="Arial" w:eastAsiaTheme="minorEastAsia" w:hAnsi="Arial" w:cs="Arial"/>
          <w:noProof/>
        </w:rPr>
        <w:t xml:space="preserve"> </w:t>
      </w:r>
      <w:r w:rsidRPr="0016406F">
        <w:rPr>
          <w:rFonts w:ascii="Arial" w:eastAsiaTheme="minorEastAsia" w:hAnsi="Arial" w:cs="Arial"/>
          <w:noProof/>
        </w:rPr>
        <w:t>prihvatanja, odnosno neprihvatanja:</w:t>
      </w:r>
    </w:p>
    <w:p w:rsidR="00C671B6" w:rsidRPr="0016406F" w:rsidRDefault="00C671B6" w:rsidP="00015F5D">
      <w:pPr>
        <w:spacing w:after="0" w:line="276" w:lineRule="auto"/>
        <w:rPr>
          <w:rFonts w:ascii="Arial" w:eastAsiaTheme="minorEastAsia" w:hAnsi="Arial" w:cs="Arial"/>
          <w:noProof/>
        </w:rPr>
      </w:pPr>
    </w:p>
    <w:p w:rsidR="00C671B6" w:rsidRPr="0016406F" w:rsidRDefault="00C671B6" w:rsidP="00015F5D">
      <w:pPr>
        <w:spacing w:after="0" w:line="276" w:lineRule="auto"/>
        <w:rPr>
          <w:rFonts w:ascii="Arial" w:eastAsiaTheme="minorEastAsia" w:hAnsi="Arial" w:cs="Arial"/>
          <w:noProof/>
        </w:rPr>
      </w:pPr>
      <w:r w:rsidRPr="0016406F">
        <w:rPr>
          <w:rFonts w:ascii="Arial" w:eastAsiaTheme="minorEastAsia" w:hAnsi="Arial" w:cs="Arial"/>
          <w:b/>
          <w:noProof/>
        </w:rPr>
        <w:t xml:space="preserve"> Prihvaćene primjedbe, predlozi i sugestije</w:t>
      </w:r>
    </w:p>
    <w:p w:rsidR="00C671B6" w:rsidRPr="0016406F" w:rsidRDefault="00C671B6" w:rsidP="00015F5D">
      <w:pPr>
        <w:tabs>
          <w:tab w:val="left" w:pos="0"/>
          <w:tab w:val="left" w:pos="450"/>
        </w:tabs>
        <w:spacing w:after="0" w:line="276" w:lineRule="auto"/>
        <w:rPr>
          <w:rFonts w:ascii="Arial" w:eastAsiaTheme="minorEastAsia" w:hAnsi="Arial" w:cs="Arial"/>
          <w:noProof/>
        </w:rPr>
      </w:pPr>
    </w:p>
    <w:p w:rsidR="00C671B6" w:rsidRPr="0016406F" w:rsidRDefault="00294A82" w:rsidP="00015F5D">
      <w:pPr>
        <w:pStyle w:val="ListParagraph"/>
        <w:numPr>
          <w:ilvl w:val="0"/>
          <w:numId w:val="11"/>
        </w:numPr>
        <w:tabs>
          <w:tab w:val="left" w:pos="90"/>
          <w:tab w:val="left" w:pos="450"/>
        </w:tabs>
        <w:spacing w:after="0" w:line="276" w:lineRule="auto"/>
        <w:jc w:val="both"/>
        <w:rPr>
          <w:rFonts w:ascii="Arial" w:hAnsi="Arial" w:cs="Arial"/>
          <w:noProof/>
        </w:rPr>
      </w:pPr>
      <w:r w:rsidRPr="0016406F">
        <w:rPr>
          <w:rFonts w:ascii="Arial" w:eastAsia="Times New Roman" w:hAnsi="Arial" w:cs="Arial"/>
          <w:noProof/>
        </w:rPr>
        <w:t xml:space="preserve">Prihvaćen je predlog da se  </w:t>
      </w:r>
      <w:r w:rsidR="004D57E3" w:rsidRPr="0016406F">
        <w:rPr>
          <w:rFonts w:ascii="Arial" w:eastAsia="Times New Roman" w:hAnsi="Arial" w:cs="Arial"/>
          <w:noProof/>
        </w:rPr>
        <w:t xml:space="preserve">kroz zakonske norme </w:t>
      </w:r>
      <w:r w:rsidRPr="0016406F">
        <w:rPr>
          <w:rFonts w:ascii="Arial" w:eastAsia="Times New Roman" w:hAnsi="Arial" w:cs="Arial"/>
          <w:noProof/>
        </w:rPr>
        <w:t>pojasni da li član nadzornog odbora kreditne institucije nakon isteka četvo</w:t>
      </w:r>
      <w:r w:rsidR="00084E2A" w:rsidRPr="0016406F">
        <w:rPr>
          <w:rFonts w:ascii="Arial" w:eastAsia="Times New Roman" w:hAnsi="Arial" w:cs="Arial"/>
          <w:noProof/>
        </w:rPr>
        <w:t>rogodišnjeg man</w:t>
      </w:r>
      <w:r w:rsidRPr="0016406F">
        <w:rPr>
          <w:rFonts w:ascii="Arial" w:eastAsia="Times New Roman" w:hAnsi="Arial" w:cs="Arial"/>
          <w:noProof/>
        </w:rPr>
        <w:t xml:space="preserve">data može biti ponovo biran u nadzorni odbor, pa će član 43 Nacrta zakona biti dopunjen odredbom </w:t>
      </w:r>
      <w:r w:rsidRPr="0016406F">
        <w:rPr>
          <w:rFonts w:ascii="Arial" w:hAnsi="Arial" w:cs="Arial"/>
          <w:noProof/>
        </w:rPr>
        <w:t xml:space="preserve"> da član nadzornog odbora kreditne institucije kome istekne mandat može biti ponovo imenovan.</w:t>
      </w:r>
    </w:p>
    <w:p w:rsidR="00B3540D" w:rsidRPr="0016406F" w:rsidRDefault="00833735" w:rsidP="00015F5D">
      <w:pPr>
        <w:pStyle w:val="ListParagraph"/>
        <w:widowControl w:val="0"/>
        <w:numPr>
          <w:ilvl w:val="0"/>
          <w:numId w:val="11"/>
        </w:numPr>
        <w:tabs>
          <w:tab w:val="left" w:pos="450"/>
          <w:tab w:val="left" w:pos="8629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noProof/>
        </w:rPr>
      </w:pPr>
      <w:r w:rsidRPr="0016406F">
        <w:rPr>
          <w:rFonts w:ascii="Arial" w:eastAsiaTheme="minorEastAsia" w:hAnsi="Arial" w:cs="Arial"/>
          <w:noProof/>
        </w:rPr>
        <w:t xml:space="preserve">Prihvaćen je predlog da se preispita </w:t>
      </w:r>
      <w:r w:rsidRPr="0016406F">
        <w:rPr>
          <w:rFonts w:ascii="Arial" w:eastAsia="Times New Roman" w:hAnsi="Arial" w:cs="Arial"/>
          <w:noProof/>
        </w:rPr>
        <w:t xml:space="preserve"> član 46 stav 4 Nacrta zakona kojim se uređuje  odgovornost članova nadzornog odbora, pa će, imajući u vidu rješenja iz novog zakona o privrednim društvima koji je u pripremi i, koji detaljno obrađuje obim odgovornosti ovog organa privrednih društava,  biti brisan član 46 stav 4 Zakona. Iz istih razloga, prihvaćen je predlog vezan za  definisanje odgovornosti  člano</w:t>
      </w:r>
      <w:r w:rsidR="00982D75" w:rsidRPr="0016406F">
        <w:rPr>
          <w:rFonts w:ascii="Arial" w:eastAsia="Times New Roman" w:hAnsi="Arial" w:cs="Arial"/>
          <w:noProof/>
        </w:rPr>
        <w:t xml:space="preserve">va upravnog odbora pa će </w:t>
      </w:r>
      <w:r w:rsidRPr="0016406F">
        <w:rPr>
          <w:rFonts w:ascii="Arial" w:eastAsia="Times New Roman" w:hAnsi="Arial" w:cs="Arial"/>
          <w:noProof/>
        </w:rPr>
        <w:t xml:space="preserve">biti brisan </w:t>
      </w:r>
      <w:r w:rsidR="00982D75" w:rsidRPr="0016406F">
        <w:rPr>
          <w:rFonts w:ascii="Arial" w:eastAsia="Times New Roman" w:hAnsi="Arial" w:cs="Arial"/>
          <w:noProof/>
        </w:rPr>
        <w:t xml:space="preserve">i </w:t>
      </w:r>
      <w:r w:rsidRPr="0016406F">
        <w:rPr>
          <w:rFonts w:ascii="Arial" w:eastAsia="Times New Roman" w:hAnsi="Arial" w:cs="Arial"/>
          <w:noProof/>
        </w:rPr>
        <w:t xml:space="preserve">član 55 stav 7 </w:t>
      </w:r>
      <w:r w:rsidR="00FF6F8F" w:rsidRPr="0016406F">
        <w:rPr>
          <w:rFonts w:ascii="Arial" w:eastAsia="Times New Roman" w:hAnsi="Arial" w:cs="Arial"/>
          <w:noProof/>
        </w:rPr>
        <w:t>predloženog z</w:t>
      </w:r>
      <w:r w:rsidRPr="0016406F">
        <w:rPr>
          <w:rFonts w:ascii="Arial" w:eastAsia="Times New Roman" w:hAnsi="Arial" w:cs="Arial"/>
          <w:noProof/>
        </w:rPr>
        <w:t>akona.</w:t>
      </w:r>
    </w:p>
    <w:p w:rsidR="00084E2A" w:rsidRPr="0016406F" w:rsidRDefault="00FF6F8F" w:rsidP="00015F5D">
      <w:pPr>
        <w:pStyle w:val="ListParagraph"/>
        <w:numPr>
          <w:ilvl w:val="0"/>
          <w:numId w:val="11"/>
        </w:numPr>
        <w:tabs>
          <w:tab w:val="left" w:pos="90"/>
          <w:tab w:val="left" w:pos="45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Cs/>
          <w:noProof/>
        </w:rPr>
      </w:pPr>
      <w:r w:rsidRPr="0016406F">
        <w:rPr>
          <w:rFonts w:ascii="Arial" w:eastAsia="Times New Roman" w:hAnsi="Arial" w:cs="Arial"/>
          <w:noProof/>
        </w:rPr>
        <w:t>Prih</w:t>
      </w:r>
      <w:r w:rsidR="00D931EA" w:rsidRPr="0016406F">
        <w:rPr>
          <w:rFonts w:ascii="Arial" w:eastAsia="Times New Roman" w:hAnsi="Arial" w:cs="Arial"/>
          <w:noProof/>
        </w:rPr>
        <w:t>v</w:t>
      </w:r>
      <w:r w:rsidRPr="0016406F">
        <w:rPr>
          <w:rFonts w:ascii="Arial" w:eastAsia="Times New Roman" w:hAnsi="Arial" w:cs="Arial"/>
          <w:noProof/>
        </w:rPr>
        <w:t>aće</w:t>
      </w:r>
      <w:r w:rsidR="00B3540D" w:rsidRPr="0016406F">
        <w:rPr>
          <w:rFonts w:ascii="Arial" w:eastAsia="Times New Roman" w:hAnsi="Arial" w:cs="Arial"/>
          <w:noProof/>
        </w:rPr>
        <w:t>n je predlog da se p</w:t>
      </w:r>
      <w:r w:rsidR="00D663CE" w:rsidRPr="0016406F">
        <w:rPr>
          <w:rFonts w:ascii="Arial" w:eastAsia="Times New Roman" w:hAnsi="Arial" w:cs="Arial"/>
          <w:noProof/>
        </w:rPr>
        <w:t>reciznije definiše sastav  mješ</w:t>
      </w:r>
      <w:r w:rsidR="00B3540D" w:rsidRPr="0016406F">
        <w:rPr>
          <w:rFonts w:ascii="Arial" w:eastAsia="Times New Roman" w:hAnsi="Arial" w:cs="Arial"/>
          <w:noProof/>
        </w:rPr>
        <w:t xml:space="preserve">ovitog odbora za rizike i reviziju  </w:t>
      </w:r>
      <w:r w:rsidR="00D663CE" w:rsidRPr="0016406F">
        <w:rPr>
          <w:rFonts w:ascii="Arial" w:eastAsia="Times New Roman" w:hAnsi="Arial" w:cs="Arial"/>
          <w:noProof/>
        </w:rPr>
        <w:t xml:space="preserve">pa će biti dopunjen </w:t>
      </w:r>
      <w:r w:rsidR="00D663CE" w:rsidRPr="0016406F">
        <w:rPr>
          <w:rFonts w:ascii="Arial" w:hAnsi="Arial" w:cs="Arial"/>
          <w:noProof/>
        </w:rPr>
        <w:t xml:space="preserve">član 61 zakona zu smislu da jedan član  </w:t>
      </w:r>
      <w:r w:rsidR="00D663CE" w:rsidRPr="0016406F">
        <w:rPr>
          <w:rFonts w:ascii="Arial" w:eastAsia="Calibri" w:hAnsi="Arial" w:cs="Arial"/>
          <w:bCs/>
          <w:noProof/>
        </w:rPr>
        <w:t>kombinovanog odbora za rizike i reviziju</w:t>
      </w:r>
      <w:r w:rsidR="00D663CE" w:rsidRPr="0016406F">
        <w:rPr>
          <w:rFonts w:ascii="Arial" w:hAnsi="Arial" w:cs="Arial"/>
          <w:noProof/>
        </w:rPr>
        <w:t xml:space="preserve"> mora imati znanje iz oblasti računovodstva i revizije i ne smije biti zaposleni, akcionar ili član organa upravljanja kreditne institucije.</w:t>
      </w:r>
    </w:p>
    <w:p w:rsidR="00175D99" w:rsidRPr="0016406F" w:rsidRDefault="00084E2A" w:rsidP="00015F5D">
      <w:pPr>
        <w:pStyle w:val="ListParagraph"/>
        <w:widowControl w:val="0"/>
        <w:numPr>
          <w:ilvl w:val="0"/>
          <w:numId w:val="11"/>
        </w:numPr>
        <w:tabs>
          <w:tab w:val="left" w:pos="450"/>
          <w:tab w:val="left" w:pos="8629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noProof/>
          <w:color w:val="231F20"/>
        </w:rPr>
      </w:pPr>
      <w:r w:rsidRPr="0016406F">
        <w:rPr>
          <w:rFonts w:ascii="Arial" w:eastAsia="Times New Roman" w:hAnsi="Arial" w:cs="Arial"/>
          <w:noProof/>
          <w:color w:val="231F20"/>
        </w:rPr>
        <w:t>Prihvaćen je predlog  da se definiše krug lica koje čiji je izbor, razrješenje i određivanje zarada u nadležosti  upravn</w:t>
      </w:r>
      <w:r w:rsidR="00833735" w:rsidRPr="0016406F">
        <w:rPr>
          <w:rFonts w:ascii="Arial" w:eastAsia="Times New Roman" w:hAnsi="Arial" w:cs="Arial"/>
          <w:noProof/>
          <w:color w:val="231F20"/>
        </w:rPr>
        <w:t>o</w:t>
      </w:r>
      <w:r w:rsidRPr="0016406F">
        <w:rPr>
          <w:rFonts w:ascii="Arial" w:eastAsia="Times New Roman" w:hAnsi="Arial" w:cs="Arial"/>
          <w:noProof/>
          <w:color w:val="231F20"/>
        </w:rPr>
        <w:t>g odbora</w:t>
      </w:r>
      <w:r w:rsidR="00833735" w:rsidRPr="0016406F">
        <w:rPr>
          <w:rFonts w:ascii="Arial" w:eastAsia="Times New Roman" w:hAnsi="Arial" w:cs="Arial"/>
          <w:noProof/>
          <w:color w:val="231F20"/>
        </w:rPr>
        <w:t xml:space="preserve"> odbora kreditne institucije</w:t>
      </w:r>
      <w:r w:rsidRPr="0016406F">
        <w:rPr>
          <w:rFonts w:ascii="Arial" w:eastAsia="Times New Roman" w:hAnsi="Arial" w:cs="Arial"/>
          <w:noProof/>
          <w:color w:val="231F20"/>
        </w:rPr>
        <w:t xml:space="preserve">, pa će se član </w:t>
      </w:r>
      <w:r w:rsidR="00563B6B" w:rsidRPr="0016406F">
        <w:rPr>
          <w:rFonts w:ascii="Arial" w:eastAsia="Times New Roman" w:hAnsi="Arial" w:cs="Arial"/>
          <w:noProof/>
          <w:color w:val="231F20"/>
        </w:rPr>
        <w:t>55 stav 4 Nacrta zakona biti dopunjen</w:t>
      </w:r>
      <w:r w:rsidRPr="0016406F">
        <w:rPr>
          <w:rFonts w:ascii="Arial" w:eastAsia="Times New Roman" w:hAnsi="Arial" w:cs="Arial"/>
          <w:noProof/>
          <w:color w:val="231F20"/>
        </w:rPr>
        <w:t xml:space="preserve"> </w:t>
      </w:r>
      <w:r w:rsidR="00563B6B" w:rsidRPr="0016406F">
        <w:rPr>
          <w:rFonts w:ascii="Arial" w:eastAsia="Times New Roman" w:hAnsi="Arial" w:cs="Arial"/>
          <w:noProof/>
          <w:color w:val="231F20"/>
        </w:rPr>
        <w:t xml:space="preserve"> odredbom da upravni odbor bira i razrješava </w:t>
      </w:r>
      <w:r w:rsidR="00E908AB" w:rsidRPr="0016406F">
        <w:rPr>
          <w:rFonts w:ascii="Arial" w:eastAsia="Times New Roman" w:hAnsi="Arial" w:cs="Arial"/>
          <w:noProof/>
          <w:color w:val="231F20"/>
        </w:rPr>
        <w:t>više rukovodstvo kreditne insti</w:t>
      </w:r>
      <w:r w:rsidR="00563B6B" w:rsidRPr="0016406F">
        <w:rPr>
          <w:rFonts w:ascii="Arial" w:eastAsia="Times New Roman" w:hAnsi="Arial" w:cs="Arial"/>
          <w:noProof/>
          <w:color w:val="231F20"/>
        </w:rPr>
        <w:t>tucije i druga lica u skladu sa ovim zakonom i statutom  kreditne insttitucije i određuje im zaradu.</w:t>
      </w:r>
    </w:p>
    <w:p w:rsidR="00E908AB" w:rsidRPr="0016406F" w:rsidRDefault="00175D99" w:rsidP="00015F5D">
      <w:pPr>
        <w:pStyle w:val="ListParagraph"/>
        <w:widowControl w:val="0"/>
        <w:numPr>
          <w:ilvl w:val="0"/>
          <w:numId w:val="11"/>
        </w:numPr>
        <w:tabs>
          <w:tab w:val="left" w:pos="450"/>
          <w:tab w:val="left" w:pos="8629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noProof/>
          <w:color w:val="231F20"/>
        </w:rPr>
      </w:pPr>
      <w:r w:rsidRPr="0016406F">
        <w:rPr>
          <w:rFonts w:ascii="Arial" w:eastAsia="Times New Roman" w:hAnsi="Arial" w:cs="Arial"/>
          <w:noProof/>
          <w:color w:val="231F20"/>
        </w:rPr>
        <w:t xml:space="preserve">Prihvaćen je predlog da se iz člana 73 stav 2  </w:t>
      </w:r>
      <w:r w:rsidR="00AC2F94" w:rsidRPr="0016406F">
        <w:rPr>
          <w:rFonts w:ascii="Arial" w:eastAsia="Times New Roman" w:hAnsi="Arial" w:cs="Arial"/>
          <w:noProof/>
          <w:color w:val="231F20"/>
        </w:rPr>
        <w:t xml:space="preserve">Zakona </w:t>
      </w:r>
      <w:r w:rsidRPr="0016406F">
        <w:rPr>
          <w:rFonts w:ascii="Arial" w:eastAsia="Times New Roman" w:hAnsi="Arial" w:cs="Arial"/>
          <w:noProof/>
          <w:color w:val="231F20"/>
        </w:rPr>
        <w:t xml:space="preserve">kao jedan od razloga  za oduzimanje dozvole za rad isključe radnje povezane sa prekršajima, </w:t>
      </w:r>
      <w:r w:rsidR="00645FD4" w:rsidRPr="0016406F">
        <w:rPr>
          <w:rFonts w:ascii="Arial" w:eastAsia="Times New Roman" w:hAnsi="Arial" w:cs="Arial"/>
          <w:noProof/>
          <w:color w:val="231F20"/>
        </w:rPr>
        <w:t xml:space="preserve">pa će se izvršiti </w:t>
      </w:r>
      <w:r w:rsidR="00645FD4" w:rsidRPr="0016406F">
        <w:rPr>
          <w:rFonts w:ascii="Arial" w:eastAsia="Times New Roman" w:hAnsi="Arial" w:cs="Arial"/>
          <w:noProof/>
          <w:color w:val="231F20"/>
        </w:rPr>
        <w:lastRenderedPageBreak/>
        <w:t>odgovarajuće iz</w:t>
      </w:r>
      <w:r w:rsidR="00982D75" w:rsidRPr="0016406F">
        <w:rPr>
          <w:rFonts w:ascii="Arial" w:eastAsia="Times New Roman" w:hAnsi="Arial" w:cs="Arial"/>
          <w:noProof/>
          <w:color w:val="231F20"/>
        </w:rPr>
        <w:t>m</w:t>
      </w:r>
      <w:r w:rsidR="00645FD4" w:rsidRPr="0016406F">
        <w:rPr>
          <w:rFonts w:ascii="Arial" w:eastAsia="Times New Roman" w:hAnsi="Arial" w:cs="Arial"/>
          <w:noProof/>
          <w:color w:val="231F20"/>
        </w:rPr>
        <w:t>jene ove odredbe</w:t>
      </w:r>
      <w:r w:rsidR="00982D75" w:rsidRPr="0016406F">
        <w:rPr>
          <w:rFonts w:ascii="Arial" w:eastAsia="Times New Roman" w:hAnsi="Arial" w:cs="Arial"/>
          <w:noProof/>
          <w:color w:val="231F20"/>
        </w:rPr>
        <w:t>.</w:t>
      </w:r>
    </w:p>
    <w:p w:rsidR="00A878F3" w:rsidRPr="0016406F" w:rsidRDefault="00E908AB" w:rsidP="00015F5D">
      <w:pPr>
        <w:pStyle w:val="ListParagraph"/>
        <w:widowControl w:val="0"/>
        <w:numPr>
          <w:ilvl w:val="0"/>
          <w:numId w:val="11"/>
        </w:numPr>
        <w:tabs>
          <w:tab w:val="left" w:pos="450"/>
          <w:tab w:val="left" w:pos="8629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noProof/>
          <w:color w:val="231F20"/>
        </w:rPr>
      </w:pPr>
      <w:r w:rsidRPr="0016406F">
        <w:rPr>
          <w:rFonts w:ascii="Arial" w:eastAsia="Times New Roman" w:hAnsi="Arial" w:cs="Arial"/>
          <w:noProof/>
          <w:color w:val="231F20"/>
        </w:rPr>
        <w:t>Prihvaćen je predlog da se donošenje aka kojim će se bliže uredii  kontrolne funkcije u kreditnoj instituciji  utvrdi kao obaveza Centralne banke pa će se u  članu 120 Nacrta zakona riječ „može“ zamijeniti riječju „će“.</w:t>
      </w:r>
    </w:p>
    <w:p w:rsidR="002D49E4" w:rsidRPr="0016406F" w:rsidRDefault="00A878F3" w:rsidP="00015F5D">
      <w:pPr>
        <w:pStyle w:val="ListParagraph"/>
        <w:widowControl w:val="0"/>
        <w:numPr>
          <w:ilvl w:val="0"/>
          <w:numId w:val="11"/>
        </w:numPr>
        <w:tabs>
          <w:tab w:val="left" w:pos="450"/>
          <w:tab w:val="left" w:pos="8629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noProof/>
          <w:color w:val="231F20"/>
        </w:rPr>
      </w:pPr>
      <w:r w:rsidRPr="0016406F">
        <w:rPr>
          <w:rFonts w:ascii="Arial" w:eastAsia="Times New Roman" w:hAnsi="Arial" w:cs="Arial"/>
          <w:noProof/>
        </w:rPr>
        <w:t xml:space="preserve">Prihvaćena je sugestija za izmjenu člana 138  stav 3  Nacrta zakona na način da se  broj “158” zamijeni brojem „167”, čime će se otkloniti greška </w:t>
      </w:r>
      <w:r w:rsidR="002575D0" w:rsidRPr="0016406F">
        <w:rPr>
          <w:rFonts w:ascii="Arial" w:eastAsia="Times New Roman" w:hAnsi="Arial" w:cs="Arial"/>
          <w:noProof/>
        </w:rPr>
        <w:t xml:space="preserve">koja se ogleda u pogrešnom </w:t>
      </w:r>
      <w:r w:rsidRPr="0016406F">
        <w:rPr>
          <w:rFonts w:ascii="Arial" w:eastAsia="Times New Roman" w:hAnsi="Arial" w:cs="Arial"/>
          <w:noProof/>
        </w:rPr>
        <w:t xml:space="preserve"> pozivu na </w:t>
      </w:r>
      <w:r w:rsidR="002575D0" w:rsidRPr="0016406F">
        <w:rPr>
          <w:rFonts w:ascii="Arial" w:eastAsia="Times New Roman" w:hAnsi="Arial" w:cs="Arial"/>
          <w:noProof/>
        </w:rPr>
        <w:t xml:space="preserve"> druge oredbe</w:t>
      </w:r>
      <w:r w:rsidRPr="0016406F">
        <w:rPr>
          <w:rFonts w:ascii="Arial" w:eastAsia="Times New Roman" w:hAnsi="Arial" w:cs="Arial"/>
          <w:noProof/>
        </w:rPr>
        <w:t xml:space="preserve"> Zakona;</w:t>
      </w:r>
    </w:p>
    <w:p w:rsidR="008F2E62" w:rsidRPr="0016406F" w:rsidRDefault="002D49E4" w:rsidP="00015F5D">
      <w:pPr>
        <w:pStyle w:val="ListParagraph"/>
        <w:widowControl w:val="0"/>
        <w:numPr>
          <w:ilvl w:val="0"/>
          <w:numId w:val="11"/>
        </w:numPr>
        <w:tabs>
          <w:tab w:val="left" w:pos="450"/>
          <w:tab w:val="left" w:pos="8629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noProof/>
        </w:rPr>
      </w:pPr>
      <w:r w:rsidRPr="0016406F">
        <w:rPr>
          <w:rFonts w:ascii="Arial" w:eastAsia="Times New Roman" w:hAnsi="Arial" w:cs="Arial"/>
          <w:noProof/>
        </w:rPr>
        <w:t>Prihvaćen je predlog da se  precizira  odredba člana 207  stav 4  nacrta zakona</w:t>
      </w:r>
      <w:r w:rsidR="002575D0" w:rsidRPr="0016406F">
        <w:rPr>
          <w:rFonts w:ascii="Arial" w:eastAsia="Times New Roman" w:hAnsi="Arial" w:cs="Arial"/>
          <w:noProof/>
        </w:rPr>
        <w:t xml:space="preserve">, </w:t>
      </w:r>
      <w:r w:rsidRPr="0016406F">
        <w:rPr>
          <w:rFonts w:ascii="Arial" w:eastAsia="Times New Roman" w:hAnsi="Arial" w:cs="Arial"/>
          <w:noProof/>
        </w:rPr>
        <w:t xml:space="preserve">u smislu da se utvrdi da se obavještavanja klijenata vrši </w:t>
      </w:r>
      <w:r w:rsidR="004D57E3" w:rsidRPr="0016406F">
        <w:rPr>
          <w:rFonts w:ascii="Arial" w:eastAsia="Times New Roman" w:hAnsi="Arial" w:cs="Arial"/>
          <w:noProof/>
        </w:rPr>
        <w:t>„</w:t>
      </w:r>
      <w:r w:rsidRPr="0016406F">
        <w:rPr>
          <w:rFonts w:ascii="Arial" w:eastAsia="Times New Roman" w:hAnsi="Arial" w:cs="Arial"/>
          <w:noProof/>
        </w:rPr>
        <w:t>na ugovoreni način</w:t>
      </w:r>
      <w:r w:rsidR="004D57E3" w:rsidRPr="0016406F">
        <w:rPr>
          <w:rFonts w:ascii="Arial" w:eastAsia="Times New Roman" w:hAnsi="Arial" w:cs="Arial"/>
          <w:noProof/>
        </w:rPr>
        <w:t>“</w:t>
      </w:r>
      <w:r w:rsidRPr="0016406F">
        <w:rPr>
          <w:rFonts w:ascii="Arial" w:eastAsia="Times New Roman" w:hAnsi="Arial" w:cs="Arial"/>
          <w:noProof/>
        </w:rPr>
        <w:t>, pa će se  u stavu 4 ovog člana  iza riječi naknade, dodati riječi “na ugovoreni način</w:t>
      </w:r>
      <w:r w:rsidR="004D57E3" w:rsidRPr="0016406F">
        <w:rPr>
          <w:rFonts w:ascii="Arial" w:eastAsia="Times New Roman" w:hAnsi="Arial" w:cs="Arial"/>
          <w:noProof/>
        </w:rPr>
        <w:t>“</w:t>
      </w:r>
      <w:r w:rsidR="00FF6F8F" w:rsidRPr="0016406F">
        <w:rPr>
          <w:rFonts w:ascii="Arial" w:eastAsia="Times New Roman" w:hAnsi="Arial" w:cs="Arial"/>
          <w:noProof/>
        </w:rPr>
        <w:t>, a u stavu 6 brisati riječi „preporučenom pošiljkom“, uz napomenu da će kreditn</w:t>
      </w:r>
      <w:r w:rsidR="002575D0" w:rsidRPr="0016406F">
        <w:rPr>
          <w:rFonts w:ascii="Arial" w:eastAsia="Times New Roman" w:hAnsi="Arial" w:cs="Arial"/>
          <w:noProof/>
        </w:rPr>
        <w:t>a</w:t>
      </w:r>
      <w:r w:rsidR="00FF6F8F" w:rsidRPr="0016406F">
        <w:rPr>
          <w:rFonts w:ascii="Arial" w:eastAsia="Times New Roman" w:hAnsi="Arial" w:cs="Arial"/>
          <w:noProof/>
        </w:rPr>
        <w:t xml:space="preserve"> institucija, u slučaju da obavještavanje ne vrši takvom pošiljkom, morati obezbijediti ad</w:t>
      </w:r>
      <w:r w:rsidR="008F2E62" w:rsidRPr="0016406F">
        <w:rPr>
          <w:rFonts w:ascii="Arial" w:eastAsia="Times New Roman" w:hAnsi="Arial" w:cs="Arial"/>
          <w:noProof/>
        </w:rPr>
        <w:t>e</w:t>
      </w:r>
      <w:r w:rsidR="002575D0" w:rsidRPr="0016406F">
        <w:rPr>
          <w:rFonts w:ascii="Arial" w:eastAsia="Times New Roman" w:hAnsi="Arial" w:cs="Arial"/>
          <w:noProof/>
        </w:rPr>
        <w:t xml:space="preserve">kvatan dokaz da je </w:t>
      </w:r>
      <w:r w:rsidR="00FF6F8F" w:rsidRPr="0016406F">
        <w:rPr>
          <w:rFonts w:ascii="Arial" w:eastAsia="Times New Roman" w:hAnsi="Arial" w:cs="Arial"/>
          <w:noProof/>
        </w:rPr>
        <w:t>klijent obav</w:t>
      </w:r>
      <w:r w:rsidR="008F2E62" w:rsidRPr="0016406F">
        <w:rPr>
          <w:rFonts w:ascii="Arial" w:eastAsia="Times New Roman" w:hAnsi="Arial" w:cs="Arial"/>
          <w:noProof/>
        </w:rPr>
        <w:t>i</w:t>
      </w:r>
      <w:r w:rsidR="00FF6F8F" w:rsidRPr="0016406F">
        <w:rPr>
          <w:rFonts w:ascii="Arial" w:eastAsia="Times New Roman" w:hAnsi="Arial" w:cs="Arial"/>
          <w:noProof/>
        </w:rPr>
        <w:t>ješten, u slučaju spora sa klijentom po tom pitanju.</w:t>
      </w:r>
    </w:p>
    <w:p w:rsidR="00E908AB" w:rsidRPr="0016406F" w:rsidRDefault="008F2E62" w:rsidP="00015F5D">
      <w:pPr>
        <w:pStyle w:val="ListParagraph"/>
        <w:widowControl w:val="0"/>
        <w:numPr>
          <w:ilvl w:val="0"/>
          <w:numId w:val="11"/>
        </w:numPr>
        <w:tabs>
          <w:tab w:val="left" w:pos="450"/>
          <w:tab w:val="left" w:pos="8629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noProof/>
        </w:rPr>
      </w:pPr>
      <w:r w:rsidRPr="0016406F">
        <w:rPr>
          <w:rFonts w:ascii="Arial" w:eastAsia="Times New Roman" w:hAnsi="Arial" w:cs="Arial"/>
          <w:noProof/>
        </w:rPr>
        <w:t xml:space="preserve">Djelimično je prihvaćen predlog </w:t>
      </w:r>
      <w:r w:rsidR="002575D0" w:rsidRPr="0016406F">
        <w:rPr>
          <w:rFonts w:ascii="Arial" w:eastAsia="Times New Roman" w:hAnsi="Arial" w:cs="Arial"/>
          <w:noProof/>
        </w:rPr>
        <w:t>za izmjenu člana 208 st. 1 i 2 predloženog zakona</w:t>
      </w:r>
      <w:r w:rsidRPr="0016406F">
        <w:rPr>
          <w:rFonts w:ascii="Arial" w:eastAsia="Times New Roman" w:hAnsi="Arial" w:cs="Arial"/>
          <w:noProof/>
        </w:rPr>
        <w:t>, pa će se iz ovih stavova brisati riječi „ najmanje 15 dana“</w:t>
      </w:r>
    </w:p>
    <w:p w:rsidR="004121A3" w:rsidRPr="0016406F" w:rsidRDefault="004121A3" w:rsidP="00015F5D">
      <w:pPr>
        <w:pStyle w:val="ListParagraph"/>
        <w:widowControl w:val="0"/>
        <w:numPr>
          <w:ilvl w:val="0"/>
          <w:numId w:val="11"/>
        </w:numPr>
        <w:tabs>
          <w:tab w:val="left" w:pos="450"/>
          <w:tab w:val="left" w:pos="8629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noProof/>
          <w:color w:val="231F20"/>
        </w:rPr>
      </w:pPr>
      <w:r w:rsidRPr="0016406F">
        <w:rPr>
          <w:rFonts w:ascii="Arial" w:eastAsia="Times New Roman" w:hAnsi="Arial" w:cs="Arial"/>
          <w:noProof/>
          <w:color w:val="231F20"/>
        </w:rPr>
        <w:t>Prihvaćen  je i predlog da se, radi izbjegavanja mogućih različitih timačenja</w:t>
      </w:r>
      <w:r w:rsidR="002575D0" w:rsidRPr="0016406F">
        <w:rPr>
          <w:rFonts w:ascii="Arial" w:eastAsia="Times New Roman" w:hAnsi="Arial" w:cs="Arial"/>
          <w:noProof/>
          <w:color w:val="231F20"/>
        </w:rPr>
        <w:t xml:space="preserve">, </w:t>
      </w:r>
      <w:r w:rsidRPr="0016406F">
        <w:rPr>
          <w:rFonts w:ascii="Arial" w:eastAsia="Times New Roman" w:hAnsi="Arial" w:cs="Arial"/>
          <w:noProof/>
          <w:color w:val="231F20"/>
        </w:rPr>
        <w:t xml:space="preserve"> , pojam „dug“ </w:t>
      </w:r>
      <w:r w:rsidR="002575D0" w:rsidRPr="0016406F">
        <w:rPr>
          <w:rFonts w:ascii="Arial" w:eastAsia="Times New Roman" w:hAnsi="Arial" w:cs="Arial"/>
          <w:noProof/>
          <w:color w:val="231F20"/>
        </w:rPr>
        <w:t xml:space="preserve">u članu 214 </w:t>
      </w:r>
      <w:r w:rsidRPr="0016406F">
        <w:rPr>
          <w:rFonts w:ascii="Arial" w:eastAsia="Times New Roman" w:hAnsi="Arial" w:cs="Arial"/>
          <w:noProof/>
          <w:color w:val="231F20"/>
        </w:rPr>
        <w:t>zamijeni pojmom „potraživanje“ pa će se na adekvatan način izvršiti  usklađiva</w:t>
      </w:r>
      <w:r w:rsidR="002575D0" w:rsidRPr="0016406F">
        <w:rPr>
          <w:rFonts w:ascii="Arial" w:eastAsia="Times New Roman" w:hAnsi="Arial" w:cs="Arial"/>
          <w:noProof/>
          <w:color w:val="231F20"/>
        </w:rPr>
        <w:t>nje člana 214 sa tim predlogom.</w:t>
      </w:r>
    </w:p>
    <w:p w:rsidR="00E32065" w:rsidRPr="0016406F" w:rsidRDefault="00E32065" w:rsidP="00015F5D">
      <w:pPr>
        <w:pStyle w:val="ListParagraph"/>
        <w:widowControl w:val="0"/>
        <w:numPr>
          <w:ilvl w:val="0"/>
          <w:numId w:val="11"/>
        </w:numPr>
        <w:tabs>
          <w:tab w:val="left" w:pos="450"/>
          <w:tab w:val="left" w:pos="8629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noProof/>
        </w:rPr>
      </w:pPr>
      <w:r w:rsidRPr="0016406F">
        <w:rPr>
          <w:rFonts w:ascii="Arial" w:eastAsia="Times New Roman" w:hAnsi="Arial" w:cs="Arial"/>
          <w:noProof/>
        </w:rPr>
        <w:t xml:space="preserve">Prihvaćena je sugestija za izmjenu člana 217 Nacrta zakona na način da se  broj “215” zamijeni brojem 216”, čime će se otkloniti greška u pozivu na </w:t>
      </w:r>
      <w:r w:rsidR="002575D0" w:rsidRPr="0016406F">
        <w:rPr>
          <w:rFonts w:ascii="Arial" w:eastAsia="Times New Roman" w:hAnsi="Arial" w:cs="Arial"/>
          <w:noProof/>
        </w:rPr>
        <w:t xml:space="preserve"> druge odredbe </w:t>
      </w:r>
      <w:r w:rsidRPr="0016406F">
        <w:rPr>
          <w:rFonts w:ascii="Arial" w:eastAsia="Times New Roman" w:hAnsi="Arial" w:cs="Arial"/>
          <w:noProof/>
        </w:rPr>
        <w:t xml:space="preserve"> Zakona.</w:t>
      </w:r>
    </w:p>
    <w:p w:rsidR="00E91C1C" w:rsidRPr="0016406F" w:rsidRDefault="00E32065" w:rsidP="00015F5D">
      <w:pPr>
        <w:pStyle w:val="ListParagraph"/>
        <w:widowControl w:val="0"/>
        <w:numPr>
          <w:ilvl w:val="0"/>
          <w:numId w:val="11"/>
        </w:numPr>
        <w:tabs>
          <w:tab w:val="left" w:pos="450"/>
          <w:tab w:val="left" w:pos="8629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noProof/>
        </w:rPr>
      </w:pPr>
      <w:r w:rsidRPr="0016406F">
        <w:rPr>
          <w:rFonts w:ascii="Arial" w:eastAsia="Times New Roman" w:hAnsi="Arial" w:cs="Arial"/>
          <w:noProof/>
        </w:rPr>
        <w:t xml:space="preserve">Prihvaćen je predlog za izmenu  člana 218 stav 2 </w:t>
      </w:r>
      <w:r w:rsidR="00E91C1C" w:rsidRPr="0016406F">
        <w:rPr>
          <w:rFonts w:ascii="Arial" w:eastAsia="Times New Roman" w:hAnsi="Arial" w:cs="Arial"/>
          <w:noProof/>
        </w:rPr>
        <w:t xml:space="preserve">u smislu </w:t>
      </w:r>
      <w:r w:rsidRPr="0016406F">
        <w:rPr>
          <w:rFonts w:ascii="Arial" w:eastAsia="Times New Roman" w:hAnsi="Arial" w:cs="Arial"/>
          <w:noProof/>
        </w:rPr>
        <w:t xml:space="preserve"> da se kao trenutak od kada teku rokovi za </w:t>
      </w:r>
      <w:r w:rsidR="00E91C1C" w:rsidRPr="0016406F">
        <w:rPr>
          <w:rFonts w:ascii="Arial" w:eastAsia="Times New Roman" w:hAnsi="Arial" w:cs="Arial"/>
          <w:noProof/>
        </w:rPr>
        <w:t xml:space="preserve">odlučivanje o prigovoru klijenta utvrdi </w:t>
      </w:r>
      <w:r w:rsidRPr="0016406F">
        <w:rPr>
          <w:rFonts w:ascii="Arial" w:eastAsia="Times New Roman" w:hAnsi="Arial" w:cs="Arial"/>
          <w:noProof/>
        </w:rPr>
        <w:t xml:space="preserve">  trenutak prijema prigovora, </w:t>
      </w:r>
      <w:r w:rsidR="002575D0" w:rsidRPr="0016406F">
        <w:rPr>
          <w:rFonts w:ascii="Arial" w:eastAsia="Times New Roman" w:hAnsi="Arial" w:cs="Arial"/>
          <w:noProof/>
        </w:rPr>
        <w:t>u</w:t>
      </w:r>
      <w:r w:rsidR="00E91C1C" w:rsidRPr="0016406F">
        <w:rPr>
          <w:rFonts w:ascii="Arial" w:eastAsia="Times New Roman" w:hAnsi="Arial" w:cs="Arial"/>
          <w:noProof/>
        </w:rPr>
        <w:t xml:space="preserve">mjesto </w:t>
      </w:r>
      <w:r w:rsidR="002575D0" w:rsidRPr="0016406F">
        <w:rPr>
          <w:rFonts w:ascii="Arial" w:eastAsia="Times New Roman" w:hAnsi="Arial" w:cs="Arial"/>
          <w:noProof/>
        </w:rPr>
        <w:t xml:space="preserve">trenutka </w:t>
      </w:r>
      <w:r w:rsidR="00E91C1C" w:rsidRPr="0016406F">
        <w:rPr>
          <w:rFonts w:ascii="Arial" w:eastAsia="Times New Roman" w:hAnsi="Arial" w:cs="Arial"/>
          <w:noProof/>
        </w:rPr>
        <w:t xml:space="preserve">podnošenja prigovora, </w:t>
      </w:r>
      <w:r w:rsidRPr="0016406F">
        <w:rPr>
          <w:rFonts w:ascii="Arial" w:eastAsia="Times New Roman" w:hAnsi="Arial" w:cs="Arial"/>
          <w:noProof/>
        </w:rPr>
        <w:t xml:space="preserve">pa će se  </w:t>
      </w:r>
      <w:r w:rsidR="00E91C1C" w:rsidRPr="0016406F">
        <w:rPr>
          <w:rFonts w:ascii="Arial" w:eastAsia="Times New Roman" w:hAnsi="Arial" w:cs="Arial"/>
          <w:noProof/>
        </w:rPr>
        <w:t xml:space="preserve">u članu 218 </w:t>
      </w:r>
      <w:r w:rsidRPr="0016406F">
        <w:rPr>
          <w:rFonts w:ascii="Arial" w:eastAsia="Times New Roman" w:hAnsi="Arial" w:cs="Arial"/>
          <w:noProof/>
        </w:rPr>
        <w:t xml:space="preserve"> </w:t>
      </w:r>
      <w:r w:rsidR="00E91C1C" w:rsidRPr="0016406F">
        <w:rPr>
          <w:rFonts w:ascii="Arial" w:eastAsia="Times New Roman" w:hAnsi="Arial" w:cs="Arial"/>
          <w:noProof/>
        </w:rPr>
        <w:t xml:space="preserve"> riječ</w:t>
      </w:r>
      <w:r w:rsidRPr="0016406F">
        <w:rPr>
          <w:rFonts w:ascii="Arial" w:eastAsia="Times New Roman" w:hAnsi="Arial" w:cs="Arial"/>
          <w:noProof/>
        </w:rPr>
        <w:t xml:space="preserve"> “podnošenja” </w:t>
      </w:r>
      <w:r w:rsidR="00E91C1C" w:rsidRPr="0016406F">
        <w:rPr>
          <w:rFonts w:ascii="Arial" w:eastAsia="Times New Roman" w:hAnsi="Arial" w:cs="Arial"/>
          <w:noProof/>
        </w:rPr>
        <w:t>zamijeniti</w:t>
      </w:r>
      <w:r w:rsidRPr="0016406F">
        <w:rPr>
          <w:rFonts w:ascii="Arial" w:eastAsia="Times New Roman" w:hAnsi="Arial" w:cs="Arial"/>
          <w:noProof/>
        </w:rPr>
        <w:t xml:space="preserve"> riječ</w:t>
      </w:r>
      <w:r w:rsidR="00E91C1C" w:rsidRPr="0016406F">
        <w:rPr>
          <w:rFonts w:ascii="Arial" w:eastAsia="Times New Roman" w:hAnsi="Arial" w:cs="Arial"/>
          <w:noProof/>
        </w:rPr>
        <w:t>ju “prijema”.</w:t>
      </w:r>
    </w:p>
    <w:p w:rsidR="008A6355" w:rsidRPr="0016406F" w:rsidRDefault="008A6355" w:rsidP="00015F5D">
      <w:pPr>
        <w:pStyle w:val="ListParagraph"/>
        <w:widowControl w:val="0"/>
        <w:numPr>
          <w:ilvl w:val="0"/>
          <w:numId w:val="11"/>
        </w:numPr>
        <w:tabs>
          <w:tab w:val="left" w:pos="450"/>
          <w:tab w:val="left" w:pos="8742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noProof/>
          <w:color w:val="231F20"/>
        </w:rPr>
      </w:pPr>
      <w:r w:rsidRPr="0016406F">
        <w:rPr>
          <w:rFonts w:ascii="Arial" w:eastAsia="Times New Roman" w:hAnsi="Arial" w:cs="Arial"/>
          <w:noProof/>
          <w:color w:val="231F20"/>
        </w:rPr>
        <w:t xml:space="preserve">Prihvaćen je predlog da se 0,5% aktive banaka, kao  gornja  granica za obračun naknade za kontrolu kreditnih institucija smanji, pa će </w:t>
      </w:r>
      <w:r w:rsidRPr="0016406F">
        <w:rPr>
          <w:rFonts w:ascii="Arial" w:eastAsia="Times New Roman" w:hAnsi="Arial" w:cs="Arial"/>
          <w:noProof/>
        </w:rPr>
        <w:t xml:space="preserve"> </w:t>
      </w:r>
      <w:r w:rsidRPr="0016406F">
        <w:rPr>
          <w:rFonts w:ascii="Arial" w:eastAsia="Times New Roman" w:hAnsi="Arial" w:cs="Arial"/>
          <w:noProof/>
          <w:color w:val="231F20"/>
        </w:rPr>
        <w:t xml:space="preserve">u članu 270 stav 1 Zakona procenat „0,5%“ </w:t>
      </w:r>
      <w:r w:rsidR="00817714" w:rsidRPr="0016406F">
        <w:rPr>
          <w:rFonts w:ascii="Arial" w:eastAsia="Times New Roman" w:hAnsi="Arial" w:cs="Arial"/>
          <w:noProof/>
          <w:color w:val="231F20"/>
        </w:rPr>
        <w:t>biti zamijenjen</w:t>
      </w:r>
      <w:r w:rsidR="002575D0" w:rsidRPr="0016406F">
        <w:rPr>
          <w:rFonts w:ascii="Arial" w:eastAsia="Times New Roman" w:hAnsi="Arial" w:cs="Arial"/>
          <w:noProof/>
          <w:color w:val="231F20"/>
        </w:rPr>
        <w:t xml:space="preserve"> procentom 0,25</w:t>
      </w:r>
      <w:r w:rsidR="004D73BD" w:rsidRPr="0016406F">
        <w:rPr>
          <w:rFonts w:ascii="Arial" w:eastAsia="Times New Roman" w:hAnsi="Arial" w:cs="Arial"/>
          <w:noProof/>
          <w:color w:val="231F20"/>
        </w:rPr>
        <w:t>%.</w:t>
      </w:r>
    </w:p>
    <w:p w:rsidR="004D73BD" w:rsidRPr="0016406F" w:rsidRDefault="004D73BD" w:rsidP="004D73BD">
      <w:pPr>
        <w:pStyle w:val="ListParagraph"/>
        <w:widowControl w:val="0"/>
        <w:numPr>
          <w:ilvl w:val="0"/>
          <w:numId w:val="11"/>
        </w:numPr>
        <w:tabs>
          <w:tab w:val="left" w:pos="450"/>
          <w:tab w:val="left" w:pos="8742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noProof/>
          <w:color w:val="231F20"/>
        </w:rPr>
      </w:pPr>
      <w:r w:rsidRPr="0016406F">
        <w:rPr>
          <w:rFonts w:ascii="Arial" w:eastAsia="Times New Roman" w:hAnsi="Arial" w:cs="Arial"/>
          <w:noProof/>
          <w:color w:val="231F20"/>
        </w:rPr>
        <w:t>Prihvaćena je sugestija vezana za član 278 predloženog zakona da se utvrde rokovi za donošenje zaključka o otkanjanju nepravilnosti , pa će se dopuniti član 278 na način koji obezbjeđuje da od podnošenja izvještaja o otklanjanju utvrđenih nepravilnosti ne protekne značajno dug period preispitivanja da li su se stekli uslovi za donošenje takvog zaključka.</w:t>
      </w:r>
    </w:p>
    <w:p w:rsidR="00E32065" w:rsidRPr="0016406F" w:rsidRDefault="00E32065" w:rsidP="00015F5D">
      <w:pPr>
        <w:widowControl w:val="0"/>
        <w:tabs>
          <w:tab w:val="left" w:pos="8629"/>
        </w:tabs>
        <w:autoSpaceDE w:val="0"/>
        <w:autoSpaceDN w:val="0"/>
        <w:spacing w:after="0" w:line="276" w:lineRule="auto"/>
        <w:jc w:val="both"/>
        <w:rPr>
          <w:rFonts w:ascii="Arial" w:eastAsiaTheme="minorEastAsia" w:hAnsi="Arial" w:cs="Arial"/>
          <w:b/>
          <w:noProof/>
        </w:rPr>
      </w:pPr>
    </w:p>
    <w:p w:rsidR="00C671B6" w:rsidRPr="0016406F" w:rsidRDefault="00C671B6" w:rsidP="00015F5D">
      <w:pPr>
        <w:tabs>
          <w:tab w:val="left" w:pos="0"/>
        </w:tabs>
        <w:spacing w:after="0" w:line="276" w:lineRule="auto"/>
        <w:rPr>
          <w:rFonts w:ascii="Arial" w:eastAsiaTheme="minorEastAsia" w:hAnsi="Arial" w:cs="Arial"/>
          <w:b/>
          <w:noProof/>
        </w:rPr>
      </w:pPr>
      <w:r w:rsidRPr="0016406F">
        <w:rPr>
          <w:rFonts w:ascii="Arial" w:eastAsiaTheme="minorEastAsia" w:hAnsi="Arial" w:cs="Arial"/>
          <w:b/>
          <w:noProof/>
        </w:rPr>
        <w:t>Primjedbe, predlozi i sugestije čije se pojašnjenje tražilo ili</w:t>
      </w:r>
      <w:r w:rsidRPr="0016406F">
        <w:rPr>
          <w:rFonts w:ascii="Arial" w:eastAsiaTheme="minorEastAsia" w:hAnsi="Arial" w:cs="Arial"/>
          <w:noProof/>
        </w:rPr>
        <w:t xml:space="preserve"> </w:t>
      </w:r>
      <w:r w:rsidRPr="0016406F">
        <w:rPr>
          <w:rFonts w:ascii="Arial" w:eastAsiaTheme="minorEastAsia" w:hAnsi="Arial" w:cs="Arial"/>
          <w:b/>
          <w:noProof/>
        </w:rPr>
        <w:t>koji nijesu prihvaćeni</w:t>
      </w:r>
    </w:p>
    <w:p w:rsidR="002A37BA" w:rsidRPr="0016406F" w:rsidRDefault="002A37BA" w:rsidP="00015F5D">
      <w:pPr>
        <w:pStyle w:val="ListParagraph"/>
        <w:widowControl w:val="0"/>
        <w:tabs>
          <w:tab w:val="left" w:pos="8742"/>
        </w:tabs>
        <w:autoSpaceDE w:val="0"/>
        <w:autoSpaceDN w:val="0"/>
        <w:spacing w:after="0" w:line="276" w:lineRule="auto"/>
        <w:ind w:left="0"/>
        <w:jc w:val="both"/>
        <w:rPr>
          <w:rFonts w:ascii="Arial" w:eastAsia="Times New Roman" w:hAnsi="Arial" w:cs="Arial"/>
          <w:b/>
          <w:noProof/>
          <w:color w:val="231F20"/>
        </w:rPr>
      </w:pPr>
    </w:p>
    <w:p w:rsidR="00F3128F" w:rsidRPr="0016406F" w:rsidRDefault="0093079E" w:rsidP="00015F5D">
      <w:pPr>
        <w:numPr>
          <w:ilvl w:val="0"/>
          <w:numId w:val="7"/>
        </w:numPr>
        <w:spacing w:after="0" w:line="276" w:lineRule="auto"/>
        <w:ind w:left="450" w:hanging="270"/>
        <w:contextualSpacing/>
        <w:jc w:val="both"/>
        <w:rPr>
          <w:rFonts w:ascii="Arial" w:hAnsi="Arial" w:cs="Arial"/>
          <w:noProof/>
        </w:rPr>
      </w:pPr>
      <w:r w:rsidRPr="0016406F">
        <w:rPr>
          <w:rFonts w:ascii="Arial" w:eastAsia="Times New Roman" w:hAnsi="Arial" w:cs="Arial"/>
          <w:noProof/>
          <w:color w:val="231F20"/>
        </w:rPr>
        <w:t>Predlog da se Zakonom  odredi</w:t>
      </w:r>
      <w:r w:rsidR="002A37BA" w:rsidRPr="0016406F">
        <w:rPr>
          <w:rFonts w:ascii="Arial" w:eastAsia="Times New Roman" w:hAnsi="Arial" w:cs="Arial"/>
          <w:noProof/>
          <w:color w:val="231F20"/>
        </w:rPr>
        <w:t xml:space="preserve"> očekivana vrijednosti strukturnog sistemskog bafera i precizira prelazni period za implementaciju nije moguće prihvatiti, jer se visina ovog u skladu sa relevantnom direktivom bafera</w:t>
      </w:r>
      <w:r w:rsidR="002A37BA" w:rsidRPr="0016406F">
        <w:rPr>
          <w:rFonts w:ascii="Arial" w:eastAsia="Times New Roman" w:hAnsi="Arial" w:cs="Arial"/>
          <w:noProof/>
        </w:rPr>
        <w:t xml:space="preserve"> utvrđuje primjenom odgovarajuće metodologije pa se ne može unaprijed  procijeniti da li će taj bafer biti uveden, a ako bude uveden, njegov nivo će biti minimalno 1% iznosa izloženosti na koju se obračunava. Takođe, Direktiva 2013/36 ne dozvoljava prelazn</w:t>
      </w:r>
      <w:r w:rsidR="00175D99" w:rsidRPr="0016406F">
        <w:rPr>
          <w:rFonts w:ascii="Arial" w:eastAsia="Times New Roman" w:hAnsi="Arial" w:cs="Arial"/>
          <w:noProof/>
        </w:rPr>
        <w:t>i period za ovaj bafer</w:t>
      </w:r>
      <w:r w:rsidR="00A14B16" w:rsidRPr="0016406F">
        <w:rPr>
          <w:rFonts w:ascii="Arial" w:eastAsia="Times New Roman" w:hAnsi="Arial" w:cs="Arial"/>
          <w:noProof/>
        </w:rPr>
        <w:t xml:space="preserve">. </w:t>
      </w:r>
      <w:r w:rsidR="00DE629F" w:rsidRPr="0016406F">
        <w:rPr>
          <w:rFonts w:ascii="Arial" w:eastAsia="Times New Roman" w:hAnsi="Arial" w:cs="Arial"/>
          <w:noProof/>
        </w:rPr>
        <w:t>Iz istih razloga se zakonom ne može uvrditi precizan iznos ni kontracikličnog bafera, niti prelazni period za njegovu punu primjenu.</w:t>
      </w:r>
      <w:r w:rsidR="00A14B16" w:rsidRPr="0016406F">
        <w:rPr>
          <w:rFonts w:ascii="Arial" w:eastAsia="Times New Roman" w:hAnsi="Arial" w:cs="Arial"/>
          <w:noProof/>
        </w:rPr>
        <w:t xml:space="preserve"> </w:t>
      </w:r>
    </w:p>
    <w:p w:rsidR="002A37BA" w:rsidRPr="0016406F" w:rsidRDefault="002A37BA" w:rsidP="00015F5D">
      <w:pPr>
        <w:numPr>
          <w:ilvl w:val="0"/>
          <w:numId w:val="7"/>
        </w:numPr>
        <w:spacing w:after="0" w:line="276" w:lineRule="auto"/>
        <w:ind w:left="450" w:hanging="270"/>
        <w:contextualSpacing/>
        <w:jc w:val="both"/>
        <w:rPr>
          <w:rFonts w:ascii="Arial" w:hAnsi="Arial" w:cs="Arial"/>
          <w:noProof/>
        </w:rPr>
      </w:pPr>
      <w:r w:rsidRPr="0016406F">
        <w:rPr>
          <w:rFonts w:ascii="Arial" w:eastAsia="Times New Roman" w:hAnsi="Arial" w:cs="Arial"/>
          <w:noProof/>
          <w:color w:val="231F20"/>
        </w:rPr>
        <w:t xml:space="preserve">Predlog da se popis finansijskih usluga  dopuni uslogom „odobravanja komisionih kredita“ nije </w:t>
      </w:r>
      <w:r w:rsidR="00A2782D" w:rsidRPr="0016406F">
        <w:rPr>
          <w:rFonts w:ascii="Arial" w:eastAsia="Times New Roman" w:hAnsi="Arial" w:cs="Arial"/>
          <w:noProof/>
          <w:color w:val="231F20"/>
        </w:rPr>
        <w:t xml:space="preserve">ocijenjen </w:t>
      </w:r>
      <w:r w:rsidRPr="0016406F">
        <w:rPr>
          <w:rFonts w:ascii="Arial" w:eastAsia="Times New Roman" w:hAnsi="Arial" w:cs="Arial"/>
          <w:noProof/>
          <w:color w:val="231F20"/>
        </w:rPr>
        <w:t>prihvatljiv</w:t>
      </w:r>
      <w:r w:rsidR="00A2782D" w:rsidRPr="0016406F">
        <w:rPr>
          <w:rFonts w:ascii="Arial" w:eastAsia="Times New Roman" w:hAnsi="Arial" w:cs="Arial"/>
          <w:noProof/>
          <w:color w:val="231F20"/>
        </w:rPr>
        <w:t>im</w:t>
      </w:r>
      <w:r w:rsidRPr="0016406F">
        <w:rPr>
          <w:rFonts w:ascii="Arial" w:eastAsia="Times New Roman" w:hAnsi="Arial" w:cs="Arial"/>
          <w:noProof/>
          <w:color w:val="231F20"/>
        </w:rPr>
        <w:t xml:space="preserve">, jer relevantnim direktivama nijesu identifikovani kao poseban posao, s tim što ta činjenica ne  sprječava </w:t>
      </w:r>
      <w:r w:rsidR="00A2782D" w:rsidRPr="0016406F">
        <w:rPr>
          <w:rFonts w:ascii="Arial" w:eastAsia="Times New Roman" w:hAnsi="Arial" w:cs="Arial"/>
          <w:noProof/>
          <w:color w:val="231F20"/>
        </w:rPr>
        <w:t xml:space="preserve">niti </w:t>
      </w:r>
      <w:r w:rsidRPr="0016406F">
        <w:rPr>
          <w:rFonts w:ascii="Arial" w:eastAsia="Times New Roman" w:hAnsi="Arial" w:cs="Arial"/>
          <w:noProof/>
          <w:color w:val="231F20"/>
        </w:rPr>
        <w:t>ograničava kreditne insti</w:t>
      </w:r>
      <w:r w:rsidR="00E96F31" w:rsidRPr="0016406F">
        <w:rPr>
          <w:rFonts w:ascii="Arial" w:eastAsia="Times New Roman" w:hAnsi="Arial" w:cs="Arial"/>
          <w:noProof/>
          <w:color w:val="231F20"/>
        </w:rPr>
        <w:t>tucije  da obavljaju i taj posao</w:t>
      </w:r>
      <w:r w:rsidRPr="0016406F">
        <w:rPr>
          <w:rFonts w:ascii="Arial" w:eastAsia="Times New Roman" w:hAnsi="Arial" w:cs="Arial"/>
          <w:noProof/>
          <w:color w:val="231F20"/>
        </w:rPr>
        <w:t>;</w:t>
      </w:r>
    </w:p>
    <w:p w:rsidR="002575D0" w:rsidRPr="0016406F" w:rsidRDefault="008F2E62" w:rsidP="00015F5D">
      <w:pPr>
        <w:pStyle w:val="ListParagraph"/>
        <w:numPr>
          <w:ilvl w:val="0"/>
          <w:numId w:val="7"/>
        </w:numPr>
        <w:tabs>
          <w:tab w:val="left" w:pos="0"/>
        </w:tabs>
        <w:spacing w:after="0" w:line="276" w:lineRule="auto"/>
        <w:ind w:left="450" w:hanging="270"/>
        <w:jc w:val="both"/>
        <w:rPr>
          <w:rFonts w:ascii="Arial" w:eastAsiaTheme="minorEastAsia" w:hAnsi="Arial" w:cs="Arial"/>
          <w:bCs/>
          <w:noProof/>
        </w:rPr>
      </w:pPr>
      <w:r w:rsidRPr="0016406F">
        <w:rPr>
          <w:rFonts w:ascii="Arial" w:eastAsiaTheme="minorEastAsia" w:hAnsi="Arial" w:cs="Arial"/>
          <w:bCs/>
          <w:noProof/>
        </w:rPr>
        <w:t xml:space="preserve">U odnosu na komentar vezan za </w:t>
      </w:r>
      <w:r w:rsidR="00175D99" w:rsidRPr="0016406F">
        <w:rPr>
          <w:rFonts w:ascii="Arial" w:eastAsiaTheme="minorEastAsia" w:hAnsi="Arial" w:cs="Arial"/>
          <w:bCs/>
          <w:noProof/>
        </w:rPr>
        <w:t xml:space="preserve"> član 42 stav 4 Zakona, kojim se od kreditne institucije zahtijeva dostavljanje Centralnoj banci informacije o prestanku mandata člana organa upravljanja, ukazuje se da se ovom odredbom zahtijeva samo informacija o prestanku i razlozima prestanka mandata , bez obaveze dostavljanja</w:t>
      </w:r>
      <w:r w:rsidRPr="0016406F">
        <w:rPr>
          <w:rFonts w:ascii="Arial" w:eastAsiaTheme="minorEastAsia" w:hAnsi="Arial" w:cs="Arial"/>
          <w:bCs/>
          <w:noProof/>
        </w:rPr>
        <w:t xml:space="preserve"> bilo kakve druge dokumentacije</w:t>
      </w:r>
      <w:r w:rsidR="00175D99" w:rsidRPr="0016406F">
        <w:rPr>
          <w:rFonts w:ascii="Arial" w:eastAsiaTheme="minorEastAsia" w:hAnsi="Arial" w:cs="Arial"/>
          <w:bCs/>
          <w:noProof/>
        </w:rPr>
        <w:t xml:space="preserve">, pa nije potrebno produžavati  utvrđeni rok od tri dana za dostavljanje takve informacie </w:t>
      </w:r>
    </w:p>
    <w:p w:rsidR="00F3128F" w:rsidRPr="0016406F" w:rsidRDefault="00175D99" w:rsidP="00015F5D">
      <w:pPr>
        <w:numPr>
          <w:ilvl w:val="0"/>
          <w:numId w:val="7"/>
        </w:numPr>
        <w:spacing w:after="0" w:line="276" w:lineRule="auto"/>
        <w:ind w:left="450" w:hanging="270"/>
        <w:contextualSpacing/>
        <w:jc w:val="both"/>
        <w:rPr>
          <w:rFonts w:ascii="Arial" w:hAnsi="Arial" w:cs="Arial"/>
          <w:noProof/>
        </w:rPr>
      </w:pPr>
      <w:r w:rsidRPr="0016406F">
        <w:rPr>
          <w:rFonts w:ascii="Arial" w:eastAsia="Times New Roman" w:hAnsi="Arial" w:cs="Arial"/>
          <w:noProof/>
          <w:color w:val="231F20"/>
        </w:rPr>
        <w:t xml:space="preserve">Po pitanju </w:t>
      </w:r>
      <w:r w:rsidR="002A37BA" w:rsidRPr="0016406F">
        <w:rPr>
          <w:rFonts w:ascii="Arial" w:eastAsia="Times New Roman" w:hAnsi="Arial" w:cs="Arial"/>
          <w:noProof/>
          <w:color w:val="231F20"/>
        </w:rPr>
        <w:t xml:space="preserve"> predlog</w:t>
      </w:r>
      <w:r w:rsidRPr="0016406F">
        <w:rPr>
          <w:rFonts w:ascii="Arial" w:eastAsia="Times New Roman" w:hAnsi="Arial" w:cs="Arial"/>
          <w:noProof/>
          <w:color w:val="231F20"/>
        </w:rPr>
        <w:t>a</w:t>
      </w:r>
      <w:r w:rsidR="002A37BA" w:rsidRPr="0016406F">
        <w:rPr>
          <w:rFonts w:ascii="Arial" w:eastAsia="Times New Roman" w:hAnsi="Arial" w:cs="Arial"/>
          <w:noProof/>
          <w:color w:val="231F20"/>
        </w:rPr>
        <w:t xml:space="preserve"> da se imenovanje  spoljnjeg revizora povjeri nadzornom odboru, umjesto skupštini akcionara,  ocijenjeno je  da nije potrebno praviti takav izuzetak u odnosu na opšte propise (</w:t>
      </w:r>
      <w:r w:rsidRPr="0016406F">
        <w:rPr>
          <w:rFonts w:ascii="Arial" w:eastAsia="Times New Roman" w:hAnsi="Arial" w:cs="Arial"/>
          <w:noProof/>
          <w:color w:val="231F20"/>
        </w:rPr>
        <w:t>važeći i nacrt novog Z</w:t>
      </w:r>
      <w:r w:rsidR="002A37BA" w:rsidRPr="0016406F">
        <w:rPr>
          <w:rFonts w:ascii="Arial" w:eastAsia="Times New Roman" w:hAnsi="Arial" w:cs="Arial"/>
          <w:noProof/>
          <w:color w:val="231F20"/>
        </w:rPr>
        <w:t>akona o privrednim društvima</w:t>
      </w:r>
      <w:r w:rsidRPr="0016406F">
        <w:rPr>
          <w:rFonts w:ascii="Arial" w:eastAsia="Times New Roman" w:hAnsi="Arial" w:cs="Arial"/>
          <w:noProof/>
          <w:color w:val="231F20"/>
        </w:rPr>
        <w:t>)</w:t>
      </w:r>
      <w:r w:rsidR="002A37BA" w:rsidRPr="0016406F">
        <w:rPr>
          <w:rFonts w:ascii="Arial" w:eastAsia="Times New Roman" w:hAnsi="Arial" w:cs="Arial"/>
          <w:noProof/>
          <w:color w:val="231F20"/>
        </w:rPr>
        <w:t>,  iz razloga što  je kvalitetna spoljnja revizija prvenstveno u interesu akcionara i imenovanje revizora neposredno od strane akcionara  smanjuje mogućnost uticaja nadzornog odbora na rezultate revizije.</w:t>
      </w:r>
    </w:p>
    <w:p w:rsidR="002575D0" w:rsidRPr="0016406F" w:rsidRDefault="002A37BA" w:rsidP="00015F5D">
      <w:pPr>
        <w:numPr>
          <w:ilvl w:val="0"/>
          <w:numId w:val="7"/>
        </w:numPr>
        <w:spacing w:after="0" w:line="276" w:lineRule="auto"/>
        <w:ind w:left="450" w:hanging="270"/>
        <w:contextualSpacing/>
        <w:jc w:val="both"/>
        <w:rPr>
          <w:rFonts w:ascii="Arial" w:hAnsi="Arial" w:cs="Arial"/>
          <w:noProof/>
        </w:rPr>
      </w:pPr>
      <w:r w:rsidRPr="0016406F">
        <w:rPr>
          <w:rFonts w:ascii="Arial" w:eastAsia="Times New Roman" w:hAnsi="Arial" w:cs="Arial"/>
          <w:noProof/>
          <w:color w:val="231F20"/>
        </w:rPr>
        <w:t xml:space="preserve">Predlog da se Zakonom  definiše pojam </w:t>
      </w:r>
      <w:r w:rsidR="00833735" w:rsidRPr="0016406F">
        <w:rPr>
          <w:rFonts w:ascii="Arial" w:eastAsia="Times New Roman" w:hAnsi="Arial" w:cs="Arial"/>
          <w:noProof/>
          <w:color w:val="231F20"/>
        </w:rPr>
        <w:t>„</w:t>
      </w:r>
      <w:r w:rsidRPr="0016406F">
        <w:rPr>
          <w:rFonts w:ascii="Arial" w:eastAsia="Times New Roman" w:hAnsi="Arial" w:cs="Arial"/>
          <w:noProof/>
          <w:color w:val="231F20"/>
        </w:rPr>
        <w:t>banka</w:t>
      </w:r>
      <w:r w:rsidR="00833735" w:rsidRPr="0016406F">
        <w:rPr>
          <w:rFonts w:ascii="Arial" w:eastAsia="Times New Roman" w:hAnsi="Arial" w:cs="Arial"/>
          <w:noProof/>
          <w:color w:val="231F20"/>
        </w:rPr>
        <w:t>“</w:t>
      </w:r>
      <w:r w:rsidRPr="0016406F">
        <w:rPr>
          <w:rFonts w:ascii="Arial" w:eastAsia="Times New Roman" w:hAnsi="Arial" w:cs="Arial"/>
          <w:noProof/>
          <w:color w:val="231F20"/>
        </w:rPr>
        <w:t xml:space="preserve"> nije prihvaćen, jer je ocijenjeno da nije potrebno posebno de</w:t>
      </w:r>
      <w:r w:rsidR="00AC2F94" w:rsidRPr="0016406F">
        <w:rPr>
          <w:rFonts w:ascii="Arial" w:eastAsia="Times New Roman" w:hAnsi="Arial" w:cs="Arial"/>
          <w:noProof/>
          <w:color w:val="231F20"/>
        </w:rPr>
        <w:t>finisati ovaj pojam, pošto je  za značenje ovog</w:t>
      </w:r>
      <w:r w:rsidRPr="0016406F">
        <w:rPr>
          <w:rFonts w:ascii="Arial" w:eastAsia="Times New Roman" w:hAnsi="Arial" w:cs="Arial"/>
          <w:noProof/>
          <w:color w:val="231F20"/>
        </w:rPr>
        <w:t xml:space="preserve"> pojma  dovoljna odrednica iz zakona da se  u Crnoj Gori kreditna može  osnovati samo kao banka, a drugi oblici kreditnih institucija koji postoje u uporednim sisemima, kao što su štedionice, štedne banke i slično, sa posebnim uslovima osnivanja, nijesu predviđeni predmetim zakonom.</w:t>
      </w:r>
    </w:p>
    <w:p w:rsidR="002575D0" w:rsidRPr="0016406F" w:rsidRDefault="00AC2F94" w:rsidP="00AC2F94">
      <w:pPr>
        <w:numPr>
          <w:ilvl w:val="0"/>
          <w:numId w:val="7"/>
        </w:numPr>
        <w:spacing w:after="0" w:line="276" w:lineRule="auto"/>
        <w:ind w:left="450" w:hanging="270"/>
        <w:contextualSpacing/>
        <w:jc w:val="both"/>
        <w:rPr>
          <w:rFonts w:ascii="Arial" w:hAnsi="Arial" w:cs="Arial"/>
          <w:noProof/>
        </w:rPr>
      </w:pPr>
      <w:r w:rsidRPr="0016406F">
        <w:rPr>
          <w:rFonts w:ascii="Arial" w:hAnsi="Arial" w:cs="Arial"/>
          <w:noProof/>
        </w:rPr>
        <w:t>Za primjedbu</w:t>
      </w:r>
      <w:r w:rsidR="009D2077" w:rsidRPr="0016406F">
        <w:rPr>
          <w:rFonts w:ascii="Arial" w:hAnsi="Arial" w:cs="Arial"/>
          <w:noProof/>
        </w:rPr>
        <w:t xml:space="preserve"> koja se odnosi na organizacioni status funkcije usklađenosti član</w:t>
      </w:r>
      <w:r w:rsidRPr="0016406F">
        <w:rPr>
          <w:rFonts w:ascii="Arial" w:hAnsi="Arial" w:cs="Arial"/>
          <w:noProof/>
        </w:rPr>
        <w:t xml:space="preserve"> 121 stav 3 Zakona je ocijenjeno da se ne</w:t>
      </w:r>
      <w:r w:rsidR="009D2077" w:rsidRPr="0016406F">
        <w:rPr>
          <w:rFonts w:ascii="Arial" w:hAnsi="Arial" w:cs="Arial"/>
          <w:noProof/>
        </w:rPr>
        <w:t xml:space="preserve"> </w:t>
      </w:r>
      <w:r w:rsidRPr="0016406F">
        <w:rPr>
          <w:rFonts w:ascii="Arial" w:hAnsi="Arial" w:cs="Arial"/>
          <w:noProof/>
        </w:rPr>
        <w:t>prihvati</w:t>
      </w:r>
      <w:r w:rsidR="009D2077" w:rsidRPr="0016406F">
        <w:rPr>
          <w:rFonts w:ascii="Arial" w:hAnsi="Arial" w:cs="Arial"/>
          <w:noProof/>
        </w:rPr>
        <w:t xml:space="preserve"> jer je rješenje  sadržano u članu 121 zasnovano na relevantnim smjernicama</w:t>
      </w:r>
      <w:r w:rsidR="00E96F31" w:rsidRPr="0016406F">
        <w:rPr>
          <w:rFonts w:ascii="Arial" w:hAnsi="Arial" w:cs="Arial"/>
          <w:noProof/>
        </w:rPr>
        <w:t xml:space="preserve"> Evropskog bankarskog regulatora (EBA) o internom upravljanju </w:t>
      </w:r>
      <w:r w:rsidR="009D2077" w:rsidRPr="0016406F">
        <w:rPr>
          <w:rFonts w:ascii="Arial" w:hAnsi="Arial" w:cs="Arial"/>
          <w:noProof/>
        </w:rPr>
        <w:t>po kojima je</w:t>
      </w:r>
      <w:r w:rsidR="00AA4AB1" w:rsidRPr="0016406F">
        <w:rPr>
          <w:rFonts w:ascii="Arial" w:hAnsi="Arial" w:cs="Arial"/>
          <w:noProof/>
        </w:rPr>
        <w:t>, za razliku od drugih kontrolnih funkcija</w:t>
      </w:r>
      <w:r w:rsidR="00E96F31" w:rsidRPr="0016406F">
        <w:rPr>
          <w:rFonts w:ascii="Arial" w:hAnsi="Arial" w:cs="Arial"/>
          <w:noProof/>
        </w:rPr>
        <w:t>,</w:t>
      </w:r>
      <w:r w:rsidR="00AA4AB1" w:rsidRPr="0016406F">
        <w:rPr>
          <w:rFonts w:ascii="Arial" w:hAnsi="Arial" w:cs="Arial"/>
          <w:noProof/>
        </w:rPr>
        <w:t xml:space="preserve"> </w:t>
      </w:r>
      <w:r w:rsidR="009D2077" w:rsidRPr="0016406F">
        <w:rPr>
          <w:rFonts w:ascii="Arial" w:hAnsi="Arial" w:cs="Arial"/>
          <w:noProof/>
        </w:rPr>
        <w:t xml:space="preserve"> </w:t>
      </w:r>
      <w:r w:rsidR="00AA4AB1" w:rsidRPr="0016406F">
        <w:rPr>
          <w:rFonts w:ascii="Arial" w:hAnsi="Arial" w:cs="Arial"/>
          <w:noProof/>
        </w:rPr>
        <w:t xml:space="preserve">organizovanje </w:t>
      </w:r>
      <w:r w:rsidR="009D2077" w:rsidRPr="0016406F">
        <w:rPr>
          <w:rFonts w:ascii="Arial" w:hAnsi="Arial" w:cs="Arial"/>
          <w:noProof/>
        </w:rPr>
        <w:t xml:space="preserve"> oba</w:t>
      </w:r>
      <w:r w:rsidR="00AA4AB1" w:rsidRPr="0016406F">
        <w:rPr>
          <w:rFonts w:ascii="Arial" w:hAnsi="Arial" w:cs="Arial"/>
          <w:noProof/>
        </w:rPr>
        <w:t>vljanje</w:t>
      </w:r>
      <w:r w:rsidR="009D2077" w:rsidRPr="0016406F">
        <w:rPr>
          <w:rFonts w:ascii="Arial" w:hAnsi="Arial" w:cs="Arial"/>
          <w:noProof/>
        </w:rPr>
        <w:t xml:space="preserve"> poslova funkcije praćenja usklađenosti </w:t>
      </w:r>
      <w:r w:rsidR="00AA4AB1" w:rsidRPr="0016406F">
        <w:rPr>
          <w:rFonts w:ascii="Arial" w:hAnsi="Arial" w:cs="Arial"/>
          <w:noProof/>
        </w:rPr>
        <w:t xml:space="preserve">može izvršiti </w:t>
      </w:r>
      <w:r w:rsidR="009D2077" w:rsidRPr="0016406F">
        <w:rPr>
          <w:rFonts w:ascii="Arial" w:hAnsi="Arial" w:cs="Arial"/>
          <w:noProof/>
        </w:rPr>
        <w:t>u okviru funkcije kont</w:t>
      </w:r>
      <w:r w:rsidR="00510E18" w:rsidRPr="0016406F">
        <w:rPr>
          <w:rFonts w:ascii="Arial" w:hAnsi="Arial" w:cs="Arial"/>
          <w:noProof/>
        </w:rPr>
        <w:t>role rizika ili neke funkcije p</w:t>
      </w:r>
      <w:r w:rsidR="009D2077" w:rsidRPr="0016406F">
        <w:rPr>
          <w:rFonts w:ascii="Arial" w:hAnsi="Arial" w:cs="Arial"/>
          <w:noProof/>
        </w:rPr>
        <w:t>drške, ako to odgovara veličini i vrsti, obimu i složenosti poslova</w:t>
      </w:r>
      <w:r w:rsidR="00AA4AB1" w:rsidRPr="0016406F">
        <w:rPr>
          <w:rFonts w:ascii="Arial" w:hAnsi="Arial" w:cs="Arial"/>
          <w:noProof/>
        </w:rPr>
        <w:t xml:space="preserve"> kreditne insttitucije</w:t>
      </w:r>
      <w:r w:rsidRPr="0016406F">
        <w:rPr>
          <w:rFonts w:ascii="Arial" w:hAnsi="Arial" w:cs="Arial"/>
          <w:noProof/>
        </w:rPr>
        <w:t xml:space="preserve"> (</w:t>
      </w:r>
      <w:r w:rsidR="00E96F31" w:rsidRPr="0016406F">
        <w:rPr>
          <w:rFonts w:ascii="Arial" w:hAnsi="Arial" w:cs="Arial"/>
          <w:noProof/>
        </w:rPr>
        <w:t>princip proporcionanosti)</w:t>
      </w:r>
      <w:r w:rsidR="009D2077" w:rsidRPr="0016406F">
        <w:rPr>
          <w:rFonts w:ascii="Arial" w:hAnsi="Arial" w:cs="Arial"/>
          <w:noProof/>
        </w:rPr>
        <w:t xml:space="preserve">, s tim </w:t>
      </w:r>
      <w:r w:rsidR="00AA4AB1" w:rsidRPr="0016406F">
        <w:rPr>
          <w:rFonts w:ascii="Arial" w:hAnsi="Arial" w:cs="Arial"/>
          <w:noProof/>
        </w:rPr>
        <w:t>što</w:t>
      </w:r>
      <w:r w:rsidR="009D2077" w:rsidRPr="0016406F">
        <w:rPr>
          <w:rFonts w:ascii="Arial" w:hAnsi="Arial" w:cs="Arial"/>
          <w:noProof/>
        </w:rPr>
        <w:t xml:space="preserve"> se poslovi te funkcije ne mogu organizovati u okviru funkcije interne revizije.</w:t>
      </w:r>
      <w:r w:rsidR="00E96F31" w:rsidRPr="0016406F">
        <w:rPr>
          <w:rFonts w:ascii="Arial" w:hAnsi="Arial" w:cs="Arial"/>
          <w:noProof/>
        </w:rPr>
        <w:t xml:space="preserve"> Takođe, istim smjernicama je uvrđen sistem izvještavanja prema upravnom odboru, a izuzetno prema nadzornom odboru, kao i pitanje statusa</w:t>
      </w:r>
      <w:r w:rsidRPr="0016406F">
        <w:rPr>
          <w:rFonts w:ascii="Arial" w:hAnsi="Arial" w:cs="Arial"/>
          <w:noProof/>
        </w:rPr>
        <w:t xml:space="preserve"> te funkcije</w:t>
      </w:r>
      <w:r w:rsidR="00E96F31" w:rsidRPr="0016406F">
        <w:rPr>
          <w:rFonts w:ascii="Arial" w:hAnsi="Arial" w:cs="Arial"/>
          <w:noProof/>
        </w:rPr>
        <w:t>, u smislu da upravni odbor ne može smijeniti  nosioca funkcije usklađenosti bez saglasnosti nadzornog odbora, pa su u tom smislu definisane norme o nadležnostima upravnog i nadzornog odbora po pitanju izbora i razrješenj</w:t>
      </w:r>
      <w:r w:rsidRPr="0016406F">
        <w:rPr>
          <w:rFonts w:ascii="Arial" w:hAnsi="Arial" w:cs="Arial"/>
          <w:noProof/>
        </w:rPr>
        <w:t>a lica zaduženog za usklađenost (imenovanje i razrješenje od strane upravnog odnbora, ali samo uz saglasnost nadzornog odbora).</w:t>
      </w:r>
    </w:p>
    <w:p w:rsidR="00AC2F94" w:rsidRPr="0016406F" w:rsidRDefault="00AC2F94" w:rsidP="00AC2F94">
      <w:pPr>
        <w:spacing w:after="0" w:line="276" w:lineRule="auto"/>
        <w:ind w:left="450"/>
        <w:contextualSpacing/>
        <w:jc w:val="both"/>
        <w:rPr>
          <w:rFonts w:ascii="Arial" w:hAnsi="Arial" w:cs="Arial"/>
          <w:noProof/>
        </w:rPr>
      </w:pPr>
    </w:p>
    <w:p w:rsidR="00626961" w:rsidRPr="0016406F" w:rsidRDefault="00626961" w:rsidP="00AC2F94">
      <w:pPr>
        <w:numPr>
          <w:ilvl w:val="0"/>
          <w:numId w:val="7"/>
        </w:numPr>
        <w:spacing w:after="0" w:line="276" w:lineRule="auto"/>
        <w:ind w:left="450" w:hanging="270"/>
        <w:contextualSpacing/>
        <w:jc w:val="both"/>
        <w:rPr>
          <w:rFonts w:ascii="Arial" w:hAnsi="Arial" w:cs="Arial"/>
          <w:noProof/>
        </w:rPr>
      </w:pPr>
      <w:r w:rsidRPr="0016406F">
        <w:rPr>
          <w:rFonts w:ascii="Arial" w:hAnsi="Arial" w:cs="Arial"/>
          <w:noProof/>
        </w:rPr>
        <w:t xml:space="preserve">Predlog  za izmjenu člana 122 stav 4 u smislu da imenovanje i razrješavanje </w:t>
      </w:r>
      <w:r w:rsidR="00510E18" w:rsidRPr="0016406F">
        <w:rPr>
          <w:rFonts w:ascii="Arial" w:hAnsi="Arial" w:cs="Arial"/>
          <w:noProof/>
        </w:rPr>
        <w:t>lica koja s</w:t>
      </w:r>
      <w:r w:rsidRPr="0016406F">
        <w:rPr>
          <w:rFonts w:ascii="Arial" w:hAnsi="Arial" w:cs="Arial"/>
          <w:noProof/>
        </w:rPr>
        <w:t>e</w:t>
      </w:r>
      <w:r w:rsidR="00510E18" w:rsidRPr="0016406F">
        <w:rPr>
          <w:rFonts w:ascii="Arial" w:hAnsi="Arial" w:cs="Arial"/>
          <w:noProof/>
        </w:rPr>
        <w:t xml:space="preserve"> </w:t>
      </w:r>
      <w:r w:rsidRPr="0016406F">
        <w:rPr>
          <w:rFonts w:ascii="Arial" w:hAnsi="Arial" w:cs="Arial"/>
          <w:noProof/>
        </w:rPr>
        <w:t>bave poslovima intern</w:t>
      </w:r>
      <w:r w:rsidR="00AC2F94" w:rsidRPr="0016406F">
        <w:rPr>
          <w:rFonts w:ascii="Arial" w:hAnsi="Arial" w:cs="Arial"/>
          <w:noProof/>
        </w:rPr>
        <w:t>e revizije vrši nadzornog odborr</w:t>
      </w:r>
      <w:r w:rsidRPr="0016406F">
        <w:rPr>
          <w:rFonts w:ascii="Arial" w:hAnsi="Arial" w:cs="Arial"/>
          <w:noProof/>
        </w:rPr>
        <w:t xml:space="preserve">  ocijenjen je neprihzatljivim iz razloga što je smjernicama Evropskog bankarskog regulatora (EBA) o internom upravljanju </w:t>
      </w:r>
      <w:r w:rsidR="00A874D2" w:rsidRPr="0016406F">
        <w:rPr>
          <w:rFonts w:ascii="Arial" w:hAnsi="Arial" w:cs="Arial"/>
          <w:noProof/>
        </w:rPr>
        <w:t xml:space="preserve">u kreditnim institucijama </w:t>
      </w:r>
      <w:r w:rsidRPr="0016406F">
        <w:rPr>
          <w:rFonts w:ascii="Arial" w:hAnsi="Arial" w:cs="Arial"/>
          <w:noProof/>
        </w:rPr>
        <w:t>definisan koncept interne revizije, kao i ostalih kon</w:t>
      </w:r>
      <w:r w:rsidR="00A874D2" w:rsidRPr="0016406F">
        <w:rPr>
          <w:rFonts w:ascii="Arial" w:hAnsi="Arial" w:cs="Arial"/>
          <w:noProof/>
        </w:rPr>
        <w:t>trolnih funkcije  (</w:t>
      </w:r>
      <w:r w:rsidRPr="0016406F">
        <w:rPr>
          <w:rFonts w:ascii="Arial" w:hAnsi="Arial" w:cs="Arial"/>
          <w:noProof/>
        </w:rPr>
        <w:t xml:space="preserve">kontrola rizika, </w:t>
      </w:r>
      <w:r w:rsidR="00A874D2" w:rsidRPr="0016406F">
        <w:rPr>
          <w:rFonts w:ascii="Arial" w:hAnsi="Arial" w:cs="Arial"/>
          <w:noProof/>
        </w:rPr>
        <w:t>usklađenost) na način da, u dvodomnom sistemu upravljanja,  imenovanje vrši organ upravljanja, s tim što se imenovanje i razrješenje tih lica  ne može vršite bez saglasnosti organa nadzo</w:t>
      </w:r>
      <w:r w:rsidR="00510E18" w:rsidRPr="0016406F">
        <w:rPr>
          <w:rFonts w:ascii="Arial" w:hAnsi="Arial" w:cs="Arial"/>
          <w:noProof/>
        </w:rPr>
        <w:t>ra</w:t>
      </w:r>
      <w:r w:rsidR="00A874D2" w:rsidRPr="0016406F">
        <w:rPr>
          <w:rFonts w:ascii="Arial" w:hAnsi="Arial" w:cs="Arial"/>
          <w:noProof/>
        </w:rPr>
        <w:t>, čime se ostvaruje uticaj na</w:t>
      </w:r>
      <w:r w:rsidR="00510E18" w:rsidRPr="0016406F">
        <w:rPr>
          <w:rFonts w:ascii="Arial" w:hAnsi="Arial" w:cs="Arial"/>
          <w:noProof/>
        </w:rPr>
        <w:t xml:space="preserve"> </w:t>
      </w:r>
      <w:r w:rsidR="00A874D2" w:rsidRPr="0016406F">
        <w:rPr>
          <w:rFonts w:ascii="Arial" w:hAnsi="Arial" w:cs="Arial"/>
          <w:noProof/>
        </w:rPr>
        <w:t xml:space="preserve">izbor i obezbjeđuje </w:t>
      </w:r>
      <w:r w:rsidR="00AC2F94" w:rsidRPr="0016406F">
        <w:rPr>
          <w:rFonts w:ascii="Arial" w:hAnsi="Arial" w:cs="Arial"/>
          <w:noProof/>
        </w:rPr>
        <w:t>potrebni</w:t>
      </w:r>
      <w:r w:rsidR="00A874D2" w:rsidRPr="0016406F">
        <w:rPr>
          <w:rFonts w:ascii="Arial" w:hAnsi="Arial" w:cs="Arial"/>
          <w:noProof/>
        </w:rPr>
        <w:t xml:space="preserve"> nivo zaštite nosilaca ovih funkcija od potencijalnih neosnovanih postupaka upravnog odbora vezanih za rrazrješenje tih lica.  U tom ko</w:t>
      </w:r>
      <w:r w:rsidR="00510E18" w:rsidRPr="0016406F">
        <w:rPr>
          <w:rFonts w:ascii="Arial" w:hAnsi="Arial" w:cs="Arial"/>
          <w:noProof/>
        </w:rPr>
        <w:t>n</w:t>
      </w:r>
      <w:r w:rsidR="00A874D2" w:rsidRPr="0016406F">
        <w:rPr>
          <w:rFonts w:ascii="Arial" w:hAnsi="Arial" w:cs="Arial"/>
          <w:noProof/>
        </w:rPr>
        <w:t>tekstu treba posmatrati i davanje saglasnosti nadzornog odbora na akt o internoj reviziji, što je bi</w:t>
      </w:r>
      <w:r w:rsidR="00D931EA" w:rsidRPr="0016406F">
        <w:rPr>
          <w:rFonts w:ascii="Arial" w:hAnsi="Arial" w:cs="Arial"/>
          <w:noProof/>
        </w:rPr>
        <w:t>lo</w:t>
      </w:r>
      <w:r w:rsidR="00A874D2" w:rsidRPr="0016406F">
        <w:rPr>
          <w:rFonts w:ascii="Arial" w:hAnsi="Arial" w:cs="Arial"/>
          <w:noProof/>
        </w:rPr>
        <w:t xml:space="preserve"> predmet komentara vezanih za član 46 predloženog zakona</w:t>
      </w:r>
      <w:r w:rsidR="00D931EA" w:rsidRPr="0016406F">
        <w:rPr>
          <w:rFonts w:ascii="Arial" w:hAnsi="Arial" w:cs="Arial"/>
          <w:noProof/>
        </w:rPr>
        <w:t>;</w:t>
      </w:r>
      <w:r w:rsidR="00A874D2" w:rsidRPr="0016406F">
        <w:rPr>
          <w:rFonts w:ascii="Arial" w:hAnsi="Arial" w:cs="Arial"/>
          <w:noProof/>
        </w:rPr>
        <w:t xml:space="preserve"> </w:t>
      </w:r>
    </w:p>
    <w:p w:rsidR="006C23BA" w:rsidRPr="0016406F" w:rsidRDefault="00A2782D" w:rsidP="00015F5D">
      <w:pPr>
        <w:numPr>
          <w:ilvl w:val="0"/>
          <w:numId w:val="7"/>
        </w:numPr>
        <w:spacing w:after="0" w:line="276" w:lineRule="auto"/>
        <w:ind w:left="450" w:hanging="270"/>
        <w:contextualSpacing/>
        <w:jc w:val="both"/>
        <w:rPr>
          <w:rFonts w:ascii="Arial" w:hAnsi="Arial" w:cs="Arial"/>
          <w:noProof/>
        </w:rPr>
      </w:pPr>
      <w:r w:rsidRPr="0016406F">
        <w:rPr>
          <w:rFonts w:ascii="Arial" w:hAnsi="Arial" w:cs="Arial"/>
          <w:noProof/>
        </w:rPr>
        <w:t>Na osnovu ovlašćenja iz Zakona o kreditnim institucijama, biće donesen set podzakonskih akata kojim će se detaljno urediti veći broj pitanja, na koja</w:t>
      </w:r>
      <w:r w:rsidR="00AC2F94" w:rsidRPr="0016406F">
        <w:rPr>
          <w:rFonts w:ascii="Arial" w:hAnsi="Arial" w:cs="Arial"/>
          <w:noProof/>
        </w:rPr>
        <w:t xml:space="preserve"> je ukazano u okviru komentara</w:t>
      </w:r>
      <w:r w:rsidRPr="0016406F">
        <w:rPr>
          <w:rFonts w:ascii="Arial" w:hAnsi="Arial" w:cs="Arial"/>
          <w:noProof/>
        </w:rPr>
        <w:t xml:space="preserve"> </w:t>
      </w:r>
      <w:r w:rsidR="00AC2F94" w:rsidRPr="0016406F">
        <w:rPr>
          <w:rFonts w:ascii="Arial" w:hAnsi="Arial" w:cs="Arial"/>
          <w:noProof/>
        </w:rPr>
        <w:t>datih u</w:t>
      </w:r>
      <w:r w:rsidRPr="0016406F">
        <w:rPr>
          <w:rFonts w:ascii="Arial" w:hAnsi="Arial" w:cs="Arial"/>
          <w:noProof/>
        </w:rPr>
        <w:t xml:space="preserve">  javnoj raspravi. U tom smislu, podzakonskim aktima će biti uređena i  pojašnjena sljedeća pitanja </w:t>
      </w:r>
      <w:r w:rsidR="00B955F3" w:rsidRPr="0016406F">
        <w:rPr>
          <w:rFonts w:ascii="Arial" w:hAnsi="Arial" w:cs="Arial"/>
          <w:noProof/>
        </w:rPr>
        <w:t xml:space="preserve">iz </w:t>
      </w:r>
      <w:r w:rsidRPr="0016406F">
        <w:rPr>
          <w:rFonts w:ascii="Arial" w:hAnsi="Arial" w:cs="Arial"/>
          <w:noProof/>
        </w:rPr>
        <w:t xml:space="preserve"> javne rasprave:</w:t>
      </w:r>
    </w:p>
    <w:p w:rsidR="00FF6F8F" w:rsidRPr="0016406F" w:rsidRDefault="006C23BA" w:rsidP="004D73BD">
      <w:pPr>
        <w:numPr>
          <w:ilvl w:val="0"/>
          <w:numId w:val="6"/>
        </w:numPr>
        <w:spacing w:after="0" w:line="276" w:lineRule="auto"/>
        <w:ind w:left="990" w:hanging="270"/>
        <w:contextualSpacing/>
        <w:jc w:val="both"/>
        <w:rPr>
          <w:rFonts w:ascii="Arial" w:hAnsi="Arial" w:cs="Arial"/>
          <w:noProof/>
        </w:rPr>
      </w:pPr>
      <w:r w:rsidRPr="0016406F">
        <w:rPr>
          <w:rFonts w:ascii="Arial" w:hAnsi="Arial" w:cs="Arial"/>
          <w:noProof/>
        </w:rPr>
        <w:t>p</w:t>
      </w:r>
      <w:r w:rsidR="00A2782D" w:rsidRPr="0016406F">
        <w:rPr>
          <w:rFonts w:ascii="Arial" w:hAnsi="Arial" w:cs="Arial"/>
          <w:noProof/>
        </w:rPr>
        <w:t>itanje sadržine programa rada sa projekcijom finansijskih izvještaja iz člana 53 predloženog zakona</w:t>
      </w:r>
      <w:r w:rsidR="00833735" w:rsidRPr="0016406F">
        <w:rPr>
          <w:rFonts w:ascii="Arial" w:hAnsi="Arial" w:cs="Arial"/>
          <w:noProof/>
        </w:rPr>
        <w:t xml:space="preserve">  biće detaljno  uređeno p</w:t>
      </w:r>
      <w:r w:rsidR="00A2782D" w:rsidRPr="0016406F">
        <w:rPr>
          <w:rFonts w:ascii="Arial" w:hAnsi="Arial" w:cs="Arial"/>
          <w:noProof/>
        </w:rPr>
        <w:t>ropiso</w:t>
      </w:r>
      <w:r w:rsidR="00833735" w:rsidRPr="0016406F">
        <w:rPr>
          <w:rFonts w:ascii="Arial" w:hAnsi="Arial" w:cs="Arial"/>
          <w:noProof/>
        </w:rPr>
        <w:t>m C</w:t>
      </w:r>
      <w:r w:rsidR="00A2782D" w:rsidRPr="0016406F">
        <w:rPr>
          <w:rFonts w:ascii="Arial" w:hAnsi="Arial" w:cs="Arial"/>
          <w:noProof/>
        </w:rPr>
        <w:t>entralne banke u uslovim koje moraju ispunjavati članov</w:t>
      </w:r>
      <w:r w:rsidR="00B955F3" w:rsidRPr="0016406F">
        <w:rPr>
          <w:rFonts w:ascii="Arial" w:hAnsi="Arial" w:cs="Arial"/>
          <w:noProof/>
        </w:rPr>
        <w:t>i</w:t>
      </w:r>
      <w:r w:rsidR="00A2782D" w:rsidRPr="0016406F">
        <w:rPr>
          <w:rFonts w:ascii="Arial" w:hAnsi="Arial" w:cs="Arial"/>
          <w:noProof/>
        </w:rPr>
        <w:t xml:space="preserve"> organa upravljanja kreditn</w:t>
      </w:r>
      <w:r w:rsidR="00B955F3" w:rsidRPr="0016406F">
        <w:rPr>
          <w:rFonts w:ascii="Arial" w:hAnsi="Arial" w:cs="Arial"/>
          <w:noProof/>
        </w:rPr>
        <w:t>ih</w:t>
      </w:r>
      <w:r w:rsidR="00AC2F94" w:rsidRPr="0016406F">
        <w:rPr>
          <w:rFonts w:ascii="Arial" w:hAnsi="Arial" w:cs="Arial"/>
          <w:noProof/>
        </w:rPr>
        <w:t xml:space="preserve"> institucije</w:t>
      </w:r>
      <w:r w:rsidR="00A2782D" w:rsidRPr="0016406F">
        <w:rPr>
          <w:rFonts w:ascii="Arial" w:hAnsi="Arial" w:cs="Arial"/>
          <w:noProof/>
        </w:rPr>
        <w:t>;</w:t>
      </w:r>
      <w:r w:rsidR="00FF6F8F" w:rsidRPr="0016406F">
        <w:rPr>
          <w:rFonts w:ascii="Arial" w:eastAsia="Times New Roman" w:hAnsi="Arial" w:cs="Arial"/>
          <w:bCs/>
          <w:noProof/>
          <w:color w:val="231F20"/>
          <w:highlight w:val="green"/>
        </w:rPr>
        <w:t xml:space="preserve"> </w:t>
      </w:r>
    </w:p>
    <w:p w:rsidR="00626961" w:rsidRPr="0016406F" w:rsidRDefault="006C23BA" w:rsidP="004D73BD">
      <w:pPr>
        <w:numPr>
          <w:ilvl w:val="0"/>
          <w:numId w:val="6"/>
        </w:numPr>
        <w:spacing w:after="0" w:line="276" w:lineRule="auto"/>
        <w:ind w:left="990" w:hanging="270"/>
        <w:contextualSpacing/>
        <w:jc w:val="both"/>
        <w:rPr>
          <w:rFonts w:ascii="Arial" w:hAnsi="Arial" w:cs="Arial"/>
          <w:noProof/>
        </w:rPr>
      </w:pPr>
      <w:r w:rsidRPr="0016406F">
        <w:rPr>
          <w:rFonts w:ascii="Arial" w:eastAsia="Times New Roman" w:hAnsi="Arial" w:cs="Arial"/>
          <w:bCs/>
          <w:noProof/>
          <w:color w:val="231F20"/>
        </w:rPr>
        <w:t>p</w:t>
      </w:r>
      <w:r w:rsidR="00FF6F8F" w:rsidRPr="0016406F">
        <w:rPr>
          <w:rFonts w:ascii="Arial" w:eastAsia="Times New Roman" w:hAnsi="Arial" w:cs="Arial"/>
          <w:bCs/>
          <w:noProof/>
          <w:color w:val="231F20"/>
        </w:rPr>
        <w:t xml:space="preserve">itanje uređivanja kontrolnih funkcija, uključujući i funkciju usklađenost, biće detaljno </w:t>
      </w:r>
      <w:r w:rsidR="00F3128F" w:rsidRPr="0016406F">
        <w:rPr>
          <w:rFonts w:ascii="Arial" w:eastAsia="Times New Roman" w:hAnsi="Arial" w:cs="Arial"/>
          <w:bCs/>
          <w:noProof/>
          <w:color w:val="231F20"/>
        </w:rPr>
        <w:t>ure</w:t>
      </w:r>
      <w:r w:rsidR="00FF6F8F" w:rsidRPr="0016406F">
        <w:rPr>
          <w:rFonts w:ascii="Arial" w:eastAsia="Times New Roman" w:hAnsi="Arial" w:cs="Arial"/>
          <w:bCs/>
          <w:noProof/>
          <w:color w:val="231F20"/>
        </w:rPr>
        <w:t>đeni podzakonskim aktom iz član</w:t>
      </w:r>
      <w:r w:rsidR="00AC2F94" w:rsidRPr="0016406F">
        <w:rPr>
          <w:rFonts w:ascii="Arial" w:eastAsia="Times New Roman" w:hAnsi="Arial" w:cs="Arial"/>
          <w:bCs/>
          <w:noProof/>
          <w:color w:val="231F20"/>
        </w:rPr>
        <w:t>a 104 stav</w:t>
      </w:r>
      <w:r w:rsidR="00626961" w:rsidRPr="0016406F">
        <w:rPr>
          <w:rFonts w:ascii="Arial" w:eastAsia="Times New Roman" w:hAnsi="Arial" w:cs="Arial"/>
          <w:bCs/>
          <w:noProof/>
          <w:color w:val="231F20"/>
        </w:rPr>
        <w:t xml:space="preserve"> 6 predloženog zakona.</w:t>
      </w:r>
    </w:p>
    <w:p w:rsidR="00FF6F8F" w:rsidRPr="0016406F" w:rsidRDefault="00FF6F8F" w:rsidP="00015F5D">
      <w:pPr>
        <w:pStyle w:val="ListParagraph"/>
        <w:numPr>
          <w:ilvl w:val="0"/>
          <w:numId w:val="7"/>
        </w:numPr>
        <w:spacing w:after="0" w:line="276" w:lineRule="auto"/>
        <w:ind w:left="450" w:hanging="270"/>
        <w:jc w:val="both"/>
        <w:rPr>
          <w:rFonts w:ascii="Arial" w:hAnsi="Arial" w:cs="Arial"/>
          <w:noProof/>
        </w:rPr>
      </w:pPr>
      <w:r w:rsidRPr="0016406F">
        <w:rPr>
          <w:rFonts w:ascii="Arial" w:eastAsia="Times New Roman" w:hAnsi="Arial" w:cs="Arial"/>
          <w:bCs/>
          <w:noProof/>
          <w:color w:val="231F20"/>
        </w:rPr>
        <w:t>Dio komentara i sugestija se odnosio na  potrebu definisanja određenih pojmova koji se koriste u Nacrtu zakona. Pravilo je da se pri pripremi zakonskih tekstova i podzakonske regulative, koji treba da budu usklađeni sa  relevantnim propisima EU, izbjegava definisanje pojmova čija definicija nija data u propisima EU. U tom smislu,  Nacrtom zakona se ne definišu pojmovi “prudencijalna regulativa”, povratna sredstva od javnosti” i „model“</w:t>
      </w:r>
      <w:r w:rsidR="009631B3" w:rsidRPr="0016406F">
        <w:rPr>
          <w:rFonts w:ascii="Arial" w:eastAsia="Times New Roman" w:hAnsi="Arial" w:cs="Arial"/>
          <w:bCs/>
          <w:noProof/>
          <w:color w:val="231F20"/>
        </w:rPr>
        <w:t>.</w:t>
      </w:r>
      <w:r w:rsidRPr="0016406F">
        <w:rPr>
          <w:rFonts w:ascii="Arial" w:eastAsia="Times New Roman" w:hAnsi="Arial" w:cs="Arial"/>
          <w:bCs/>
          <w:noProof/>
          <w:color w:val="231F20"/>
        </w:rPr>
        <w:t xml:space="preserve"> Dio sugestija se odnosi</w:t>
      </w:r>
      <w:r w:rsidR="00AC2F94" w:rsidRPr="0016406F">
        <w:rPr>
          <w:rFonts w:ascii="Arial" w:eastAsia="Times New Roman" w:hAnsi="Arial" w:cs="Arial"/>
          <w:bCs/>
          <w:noProof/>
          <w:color w:val="231F20"/>
        </w:rPr>
        <w:t>o</w:t>
      </w:r>
      <w:r w:rsidRPr="0016406F">
        <w:rPr>
          <w:rFonts w:ascii="Arial" w:eastAsia="Times New Roman" w:hAnsi="Arial" w:cs="Arial"/>
          <w:bCs/>
          <w:noProof/>
          <w:color w:val="231F20"/>
        </w:rPr>
        <w:t xml:space="preserve"> na potrebu  definisanja pojmova koji su  već  de</w:t>
      </w:r>
      <w:r w:rsidR="009631B3" w:rsidRPr="0016406F">
        <w:rPr>
          <w:rFonts w:ascii="Arial" w:eastAsia="Times New Roman" w:hAnsi="Arial" w:cs="Arial"/>
          <w:bCs/>
          <w:noProof/>
          <w:color w:val="231F20"/>
        </w:rPr>
        <w:t>finisani predmetnim zakonom. P</w:t>
      </w:r>
      <w:r w:rsidRPr="0016406F">
        <w:rPr>
          <w:rFonts w:ascii="Arial" w:eastAsia="Times New Roman" w:hAnsi="Arial" w:cs="Arial"/>
          <w:bCs/>
          <w:noProof/>
          <w:color w:val="231F20"/>
        </w:rPr>
        <w:t>ojam “lice povezano sa kreditnom institucijom“ je definisan članom 173 stav 2, a pojmovi “klijent” i  “potrošač”  su definisani članom 203 stav 2, odnosno članom 207 stav 2 predmetnog zakona, a definicija  „povezanih lica“ je sadržana u definiciji „grupe p</w:t>
      </w:r>
      <w:r w:rsidR="00AC2F94" w:rsidRPr="0016406F">
        <w:rPr>
          <w:rFonts w:ascii="Arial" w:eastAsia="Times New Roman" w:hAnsi="Arial" w:cs="Arial"/>
          <w:bCs/>
          <w:noProof/>
          <w:color w:val="231F20"/>
        </w:rPr>
        <w:t>ovezanih lica iz člana 14 Zakona,</w:t>
      </w:r>
      <w:r w:rsidRPr="0016406F">
        <w:rPr>
          <w:rFonts w:ascii="Arial" w:eastAsia="Times New Roman" w:hAnsi="Arial" w:cs="Arial"/>
          <w:bCs/>
          <w:noProof/>
          <w:color w:val="231F20"/>
        </w:rPr>
        <w:t xml:space="preserve"> </w:t>
      </w:r>
    </w:p>
    <w:p w:rsidR="00015F5D" w:rsidRPr="0016406F" w:rsidRDefault="00D362E8" w:rsidP="00D931EA">
      <w:pPr>
        <w:numPr>
          <w:ilvl w:val="0"/>
          <w:numId w:val="7"/>
        </w:numPr>
        <w:spacing w:after="0" w:line="276" w:lineRule="auto"/>
        <w:ind w:left="450"/>
        <w:contextualSpacing/>
        <w:jc w:val="both"/>
        <w:rPr>
          <w:rFonts w:ascii="Arial" w:eastAsiaTheme="minorEastAsia" w:hAnsi="Arial" w:cs="Arial"/>
          <w:bCs/>
          <w:noProof/>
          <w:u w:val="single"/>
        </w:rPr>
      </w:pPr>
      <w:r w:rsidRPr="0016406F">
        <w:rPr>
          <w:rFonts w:ascii="Arial" w:eastAsia="Times New Roman" w:hAnsi="Arial" w:cs="Arial"/>
          <w:bCs/>
          <w:noProof/>
          <w:color w:val="231F20"/>
        </w:rPr>
        <w:t xml:space="preserve">Vezano za predlog da se izmijeni član 210, na način da se u stavu 1 dodaju riječi „ u pisanoj formi, na papiru ili drugom trajnom mediju“ ocijenjeno je da ne treba  prihvatiti u predloženom tekstu, već da se, radi obezbjeđivanja dokaza da je </w:t>
      </w:r>
      <w:r w:rsidR="009631B3" w:rsidRPr="0016406F">
        <w:rPr>
          <w:rFonts w:ascii="Arial" w:eastAsia="Times New Roman" w:hAnsi="Arial" w:cs="Arial"/>
          <w:bCs/>
          <w:noProof/>
          <w:color w:val="231F20"/>
        </w:rPr>
        <w:t xml:space="preserve">žirant odnosno sudužnik </w:t>
      </w:r>
      <w:r w:rsidRPr="0016406F">
        <w:rPr>
          <w:rFonts w:ascii="Arial" w:eastAsia="Times New Roman" w:hAnsi="Arial" w:cs="Arial"/>
          <w:bCs/>
          <w:noProof/>
          <w:color w:val="231F20"/>
        </w:rPr>
        <w:t xml:space="preserve"> </w:t>
      </w:r>
      <w:r w:rsidR="009631B3" w:rsidRPr="0016406F">
        <w:rPr>
          <w:rFonts w:ascii="Arial" w:eastAsia="Times New Roman" w:hAnsi="Arial" w:cs="Arial"/>
          <w:bCs/>
          <w:noProof/>
          <w:color w:val="231F20"/>
        </w:rPr>
        <w:t>informisan  o posljedicama žiri</w:t>
      </w:r>
      <w:r w:rsidRPr="0016406F">
        <w:rPr>
          <w:rFonts w:ascii="Arial" w:eastAsia="Times New Roman" w:hAnsi="Arial" w:cs="Arial"/>
          <w:bCs/>
          <w:noProof/>
          <w:color w:val="231F20"/>
        </w:rPr>
        <w:t>ranja,</w:t>
      </w:r>
      <w:r w:rsidR="009631B3" w:rsidRPr="0016406F">
        <w:rPr>
          <w:rFonts w:ascii="Arial" w:eastAsia="Times New Roman" w:hAnsi="Arial" w:cs="Arial"/>
          <w:bCs/>
          <w:noProof/>
          <w:color w:val="231F20"/>
        </w:rPr>
        <w:t xml:space="preserve"> dopuni ova odredba u smislu da je kreditna institucija dužna da obezbijedi dokaz da  su ta lica adekvatno informisana o mogućim posljedicama žiriraja odnosno sudužništva.</w:t>
      </w:r>
    </w:p>
    <w:p w:rsidR="00015F5D" w:rsidRPr="0016406F" w:rsidRDefault="00015F5D" w:rsidP="00015F5D">
      <w:pPr>
        <w:numPr>
          <w:ilvl w:val="0"/>
          <w:numId w:val="7"/>
        </w:numPr>
        <w:spacing w:after="0" w:line="276" w:lineRule="auto"/>
        <w:ind w:left="450"/>
        <w:contextualSpacing/>
        <w:jc w:val="both"/>
        <w:rPr>
          <w:rFonts w:ascii="Arial" w:eastAsiaTheme="minorEastAsia" w:hAnsi="Arial" w:cs="Arial"/>
          <w:bCs/>
          <w:noProof/>
          <w:u w:val="single"/>
        </w:rPr>
      </w:pPr>
      <w:r w:rsidRPr="0016406F">
        <w:rPr>
          <w:rFonts w:ascii="Arial" w:eastAsia="Times New Roman" w:hAnsi="Arial" w:cs="Arial"/>
          <w:bCs/>
          <w:noProof/>
          <w:color w:val="231F20"/>
        </w:rPr>
        <w:t>U odnosu na komentar koji se odnosi na pravnu zaštitu supervizora, ističe se da je član 241 u potpunosti usklađen sa međunarodnim standardima kojima se uređuje ta zaštita.</w:t>
      </w:r>
    </w:p>
    <w:p w:rsidR="009631B3" w:rsidRPr="0016406F" w:rsidRDefault="009631B3" w:rsidP="00015F5D">
      <w:pPr>
        <w:pStyle w:val="ListParagraph"/>
        <w:spacing w:after="0" w:line="276" w:lineRule="auto"/>
        <w:ind w:left="450" w:hanging="270"/>
        <w:jc w:val="both"/>
        <w:rPr>
          <w:rFonts w:ascii="Arial" w:eastAsiaTheme="minorEastAsia" w:hAnsi="Arial" w:cs="Arial"/>
          <w:bCs/>
          <w:noProof/>
          <w:u w:val="single"/>
        </w:rPr>
      </w:pPr>
    </w:p>
    <w:p w:rsidR="006C23BA" w:rsidRPr="0016406F" w:rsidRDefault="006C23BA" w:rsidP="00015F5D">
      <w:pPr>
        <w:tabs>
          <w:tab w:val="left" w:pos="0"/>
        </w:tabs>
        <w:spacing w:after="0" w:line="276" w:lineRule="auto"/>
        <w:ind w:left="180"/>
        <w:jc w:val="both"/>
        <w:rPr>
          <w:rFonts w:ascii="Arial" w:eastAsiaTheme="minorEastAsia" w:hAnsi="Arial" w:cs="Arial"/>
          <w:b/>
          <w:noProof/>
        </w:rPr>
      </w:pPr>
      <w:r w:rsidRPr="0016406F">
        <w:rPr>
          <w:rFonts w:ascii="Arial" w:eastAsiaTheme="minorEastAsia" w:hAnsi="Arial" w:cs="Arial"/>
          <w:b/>
          <w:noProof/>
        </w:rPr>
        <w:t>Primjedbe, predlozi i sugestije koje su se odnosile na potrebu pojašnjenje određenih odredbi  Zakona</w:t>
      </w:r>
    </w:p>
    <w:p w:rsidR="00982D75" w:rsidRPr="0016406F" w:rsidRDefault="00982D75" w:rsidP="00015F5D">
      <w:pPr>
        <w:pStyle w:val="ListParagraph"/>
        <w:tabs>
          <w:tab w:val="left" w:pos="0"/>
        </w:tabs>
        <w:spacing w:after="0" w:line="276" w:lineRule="auto"/>
        <w:jc w:val="both"/>
        <w:rPr>
          <w:rFonts w:ascii="Arial" w:eastAsiaTheme="minorEastAsia" w:hAnsi="Arial" w:cs="Arial"/>
          <w:bCs/>
          <w:noProof/>
        </w:rPr>
      </w:pPr>
    </w:p>
    <w:p w:rsidR="00041758" w:rsidRPr="0016406F" w:rsidRDefault="00982D75" w:rsidP="00015F5D">
      <w:pPr>
        <w:pStyle w:val="ListParagraph"/>
        <w:numPr>
          <w:ilvl w:val="0"/>
          <w:numId w:val="10"/>
        </w:numPr>
        <w:tabs>
          <w:tab w:val="left" w:pos="0"/>
          <w:tab w:val="left" w:pos="360"/>
        </w:tabs>
        <w:spacing w:after="0" w:line="276" w:lineRule="auto"/>
        <w:ind w:left="360" w:hanging="270"/>
        <w:jc w:val="both"/>
        <w:rPr>
          <w:rFonts w:ascii="Arial" w:eastAsiaTheme="minorEastAsia" w:hAnsi="Arial" w:cs="Arial"/>
          <w:bCs/>
          <w:noProof/>
        </w:rPr>
      </w:pPr>
      <w:r w:rsidRPr="0016406F">
        <w:rPr>
          <w:rFonts w:ascii="Arial" w:eastAsiaTheme="minorEastAsia" w:hAnsi="Arial" w:cs="Arial"/>
          <w:bCs/>
          <w:noProof/>
        </w:rPr>
        <w:t xml:space="preserve">Vezano za  </w:t>
      </w:r>
      <w:r w:rsidR="00041758" w:rsidRPr="0016406F">
        <w:rPr>
          <w:rFonts w:ascii="Arial" w:eastAsiaTheme="minorEastAsia" w:hAnsi="Arial" w:cs="Arial"/>
          <w:bCs/>
          <w:noProof/>
        </w:rPr>
        <w:t xml:space="preserve">potrebu pojašnjenja </w:t>
      </w:r>
      <w:r w:rsidR="00711FA3" w:rsidRPr="0016406F">
        <w:rPr>
          <w:rFonts w:ascii="Arial" w:eastAsiaTheme="minorEastAsia" w:hAnsi="Arial" w:cs="Arial"/>
          <w:bCs/>
          <w:noProof/>
        </w:rPr>
        <w:t xml:space="preserve">  </w:t>
      </w:r>
      <w:r w:rsidR="00041758" w:rsidRPr="0016406F">
        <w:rPr>
          <w:rFonts w:ascii="Arial" w:eastAsiaTheme="minorEastAsia" w:hAnsi="Arial" w:cs="Arial"/>
          <w:bCs/>
          <w:noProof/>
        </w:rPr>
        <w:t xml:space="preserve">da li se  u slučaju nepoštovanja </w:t>
      </w:r>
      <w:r w:rsidRPr="0016406F">
        <w:rPr>
          <w:rFonts w:ascii="Arial" w:eastAsiaTheme="minorEastAsia" w:hAnsi="Arial" w:cs="Arial"/>
          <w:bCs/>
          <w:noProof/>
        </w:rPr>
        <w:t xml:space="preserve"> odredb</w:t>
      </w:r>
      <w:r w:rsidR="00041758" w:rsidRPr="0016406F">
        <w:rPr>
          <w:rFonts w:ascii="Arial" w:eastAsiaTheme="minorEastAsia" w:hAnsi="Arial" w:cs="Arial"/>
          <w:bCs/>
          <w:noProof/>
        </w:rPr>
        <w:t>e člana 46 stav 3</w:t>
      </w:r>
      <w:r w:rsidRPr="0016406F">
        <w:rPr>
          <w:rFonts w:ascii="Arial" w:eastAsiaTheme="minorEastAsia" w:hAnsi="Arial" w:cs="Arial"/>
          <w:bCs/>
          <w:noProof/>
        </w:rPr>
        <w:t xml:space="preserve"> tačka </w:t>
      </w:r>
      <w:r w:rsidR="00041758" w:rsidRPr="0016406F">
        <w:rPr>
          <w:rFonts w:ascii="Arial" w:eastAsiaTheme="minorEastAsia" w:hAnsi="Arial" w:cs="Arial"/>
          <w:bCs/>
          <w:noProof/>
        </w:rPr>
        <w:t xml:space="preserve">2 Zakona </w:t>
      </w:r>
      <w:r w:rsidRPr="0016406F">
        <w:rPr>
          <w:rFonts w:ascii="Arial" w:eastAsiaTheme="minorEastAsia" w:hAnsi="Arial" w:cs="Arial"/>
          <w:bCs/>
          <w:noProof/>
        </w:rPr>
        <w:t xml:space="preserve"> </w:t>
      </w:r>
      <w:r w:rsidR="00041758" w:rsidRPr="0016406F">
        <w:rPr>
          <w:rFonts w:ascii="Arial" w:eastAsiaTheme="minorEastAsia" w:hAnsi="Arial" w:cs="Arial"/>
          <w:bCs/>
          <w:noProof/>
        </w:rPr>
        <w:t xml:space="preserve">odgovornost može snositi i kreditna institucija,  konstatuje se da je u pitanju individualna odgovornost člana organa upravljanja, jer kreditna institucija ne mora da zna da je član organa upravljanja stekao učešće u nekon pravnom licu; </w:t>
      </w:r>
    </w:p>
    <w:p w:rsidR="00FF6F8F" w:rsidRPr="0016406F" w:rsidRDefault="00041758" w:rsidP="00015F5D">
      <w:pPr>
        <w:pStyle w:val="ListParagraph"/>
        <w:numPr>
          <w:ilvl w:val="0"/>
          <w:numId w:val="10"/>
        </w:numPr>
        <w:tabs>
          <w:tab w:val="left" w:pos="0"/>
          <w:tab w:val="left" w:pos="360"/>
        </w:tabs>
        <w:spacing w:after="0" w:line="276" w:lineRule="auto"/>
        <w:ind w:left="360" w:hanging="270"/>
        <w:jc w:val="both"/>
        <w:rPr>
          <w:rFonts w:ascii="Arial" w:eastAsiaTheme="minorEastAsia" w:hAnsi="Arial" w:cs="Arial"/>
          <w:bCs/>
          <w:noProof/>
        </w:rPr>
      </w:pPr>
      <w:r w:rsidRPr="0016406F">
        <w:rPr>
          <w:rFonts w:ascii="Arial" w:eastAsiaTheme="minorEastAsia" w:hAnsi="Arial" w:cs="Arial"/>
          <w:bCs/>
          <w:noProof/>
        </w:rPr>
        <w:t>Pojam „periodično“ iz člana</w:t>
      </w:r>
      <w:r w:rsidR="001E50F7" w:rsidRPr="0016406F">
        <w:rPr>
          <w:rFonts w:ascii="Arial" w:eastAsiaTheme="minorEastAsia" w:hAnsi="Arial" w:cs="Arial"/>
          <w:bCs/>
          <w:noProof/>
        </w:rPr>
        <w:t xml:space="preserve"> 46 stav 1 tačka 7</w:t>
      </w:r>
      <w:r w:rsidRPr="0016406F">
        <w:rPr>
          <w:rFonts w:ascii="Arial" w:eastAsiaTheme="minorEastAsia" w:hAnsi="Arial" w:cs="Arial"/>
          <w:bCs/>
          <w:noProof/>
        </w:rPr>
        <w:t xml:space="preserve"> označava vremenski period  nakon čijeg isteka, po procjeni nadležnog organa kreditne institucije,  treba </w:t>
      </w:r>
      <w:r w:rsidRPr="0016406F">
        <w:rPr>
          <w:rFonts w:ascii="Arial" w:eastAsia="Times New Roman" w:hAnsi="Arial" w:cs="Arial"/>
          <w:noProof/>
        </w:rPr>
        <w:t>provjeriti opšta načela politike primanja u kreditnoj instituciji;</w:t>
      </w:r>
    </w:p>
    <w:p w:rsidR="00386228" w:rsidRPr="0016406F" w:rsidRDefault="00FF6F8F" w:rsidP="004E4579">
      <w:pPr>
        <w:pStyle w:val="ListParagraph"/>
        <w:numPr>
          <w:ilvl w:val="0"/>
          <w:numId w:val="10"/>
        </w:numPr>
        <w:tabs>
          <w:tab w:val="left" w:pos="0"/>
          <w:tab w:val="left" w:pos="360"/>
        </w:tabs>
        <w:spacing w:after="0" w:line="276" w:lineRule="auto"/>
        <w:ind w:left="360" w:hanging="270"/>
        <w:jc w:val="both"/>
        <w:rPr>
          <w:rFonts w:ascii="Arial" w:eastAsiaTheme="minorEastAsia" w:hAnsi="Arial" w:cs="Arial"/>
          <w:bCs/>
          <w:noProof/>
        </w:rPr>
      </w:pPr>
      <w:r w:rsidRPr="0016406F">
        <w:rPr>
          <w:rFonts w:ascii="Arial" w:eastAsiaTheme="minorEastAsia" w:hAnsi="Arial" w:cs="Arial"/>
          <w:bCs/>
          <w:noProof/>
        </w:rPr>
        <w:t>Po pitanju  sugestije da u Zakonu treba jasnije razgrani</w:t>
      </w:r>
      <w:r w:rsidR="00510E18" w:rsidRPr="0016406F">
        <w:rPr>
          <w:rFonts w:ascii="Arial" w:eastAsiaTheme="minorEastAsia" w:hAnsi="Arial" w:cs="Arial"/>
          <w:bCs/>
          <w:noProof/>
        </w:rPr>
        <w:t>čiti  funkciju nadzora i funkciju</w:t>
      </w:r>
      <w:r w:rsidRPr="0016406F">
        <w:rPr>
          <w:rFonts w:ascii="Arial" w:eastAsiaTheme="minorEastAsia" w:hAnsi="Arial" w:cs="Arial"/>
          <w:bCs/>
          <w:noProof/>
        </w:rPr>
        <w:t xml:space="preserve"> upravljanja kreditnom inst</w:t>
      </w:r>
      <w:r w:rsidR="00510E18" w:rsidRPr="0016406F">
        <w:rPr>
          <w:rFonts w:ascii="Arial" w:eastAsiaTheme="minorEastAsia" w:hAnsi="Arial" w:cs="Arial"/>
          <w:bCs/>
          <w:noProof/>
        </w:rPr>
        <w:t>it</w:t>
      </w:r>
      <w:r w:rsidRPr="0016406F">
        <w:rPr>
          <w:rFonts w:ascii="Arial" w:eastAsiaTheme="minorEastAsia" w:hAnsi="Arial" w:cs="Arial"/>
          <w:bCs/>
          <w:noProof/>
        </w:rPr>
        <w:t>ucijom,   ukazuje se da je koncept  korporativnog upravljanja u potpunosti zasnovan na rješenjma iz Direktive 2013/36, kao i rješenjima iz nacrta novog  Zakona o privred</w:t>
      </w:r>
      <w:r w:rsidR="00D931EA" w:rsidRPr="0016406F">
        <w:rPr>
          <w:rFonts w:ascii="Arial" w:eastAsiaTheme="minorEastAsia" w:hAnsi="Arial" w:cs="Arial"/>
          <w:bCs/>
          <w:noProof/>
        </w:rPr>
        <w:t>n</w:t>
      </w:r>
      <w:r w:rsidRPr="0016406F">
        <w:rPr>
          <w:rFonts w:ascii="Arial" w:eastAsiaTheme="minorEastAsia" w:hAnsi="Arial" w:cs="Arial"/>
          <w:bCs/>
          <w:noProof/>
        </w:rPr>
        <w:t xml:space="preserve">im društvima kojim se po prvi put uređuje tzv. dvodomni sistem upravljanja u privrednim društvima, po kojima se nadzorni i upravni odbor zajednički  nazivaju „organ upravljanja“, a funkcije nadzora i upravljanja se definišu kroz nadležnosti pojedinih ovih organa. Ovaj model se značajno razlikuje od razlikuje od važećih rješenja (jednodomni </w:t>
      </w:r>
      <w:r w:rsidR="004E4579" w:rsidRPr="0016406F">
        <w:rPr>
          <w:rFonts w:ascii="Arial" w:eastAsiaTheme="minorEastAsia" w:hAnsi="Arial" w:cs="Arial"/>
          <w:bCs/>
          <w:noProof/>
        </w:rPr>
        <w:t xml:space="preserve">model),  ali je detaljnim </w:t>
      </w:r>
      <w:r w:rsidRPr="0016406F">
        <w:rPr>
          <w:rFonts w:ascii="Arial" w:eastAsiaTheme="minorEastAsia" w:hAnsi="Arial" w:cs="Arial"/>
          <w:bCs/>
          <w:noProof/>
        </w:rPr>
        <w:t xml:space="preserve"> utvrđivanjem nadležnosti za oba  ova organa izvršeno adekvatno razgraničavanje funkcija,  tako da neće biti problema u primjeni ovih normi u praksi. </w:t>
      </w:r>
    </w:p>
    <w:p w:rsidR="00F3128F" w:rsidRPr="0016406F" w:rsidRDefault="00386228" w:rsidP="004E4579">
      <w:pPr>
        <w:pStyle w:val="ListParagraph"/>
        <w:numPr>
          <w:ilvl w:val="0"/>
          <w:numId w:val="10"/>
        </w:numPr>
        <w:tabs>
          <w:tab w:val="left" w:pos="0"/>
          <w:tab w:val="left" w:pos="360"/>
        </w:tabs>
        <w:spacing w:after="0" w:line="276" w:lineRule="auto"/>
        <w:ind w:left="360" w:hanging="270"/>
        <w:jc w:val="both"/>
        <w:rPr>
          <w:rFonts w:ascii="Arial" w:eastAsiaTheme="minorEastAsia" w:hAnsi="Arial" w:cs="Arial"/>
          <w:bCs/>
          <w:noProof/>
          <w:u w:val="single"/>
        </w:rPr>
      </w:pPr>
      <w:r w:rsidRPr="0016406F">
        <w:rPr>
          <w:rFonts w:ascii="Arial" w:eastAsiaTheme="minorEastAsia" w:hAnsi="Arial" w:cs="Arial"/>
          <w:bCs/>
          <w:noProof/>
        </w:rPr>
        <w:t xml:space="preserve">U odnosu na potrebu pojašnjavanja da li </w:t>
      </w:r>
      <w:r w:rsidR="00FE36CE" w:rsidRPr="0016406F">
        <w:rPr>
          <w:rFonts w:ascii="Arial" w:eastAsiaTheme="minorEastAsia" w:hAnsi="Arial" w:cs="Arial"/>
          <w:bCs/>
          <w:noProof/>
        </w:rPr>
        <w:t>„</w:t>
      </w:r>
      <w:r w:rsidRPr="0016406F">
        <w:rPr>
          <w:rFonts w:ascii="Arial" w:eastAsiaTheme="minorEastAsia" w:hAnsi="Arial" w:cs="Arial"/>
          <w:bCs/>
          <w:noProof/>
        </w:rPr>
        <w:t>organ nadležan za konsolidaciju</w:t>
      </w:r>
      <w:r w:rsidR="00FE36CE" w:rsidRPr="0016406F">
        <w:rPr>
          <w:rFonts w:ascii="Arial" w:eastAsiaTheme="minorEastAsia" w:hAnsi="Arial" w:cs="Arial"/>
          <w:bCs/>
          <w:noProof/>
        </w:rPr>
        <w:t>“</w:t>
      </w:r>
      <w:r w:rsidRPr="0016406F">
        <w:rPr>
          <w:rFonts w:ascii="Arial" w:eastAsiaTheme="minorEastAsia" w:hAnsi="Arial" w:cs="Arial"/>
          <w:bCs/>
          <w:noProof/>
        </w:rPr>
        <w:t xml:space="preserve"> može biti različit od nadležnog organa,  može se istaći da  je to uvijek neki od nadležnih organa (organ za superviziju), s tim što </w:t>
      </w:r>
      <w:r w:rsidR="00A14B16" w:rsidRPr="0016406F">
        <w:rPr>
          <w:rFonts w:ascii="Arial" w:eastAsiaTheme="minorEastAsia" w:hAnsi="Arial" w:cs="Arial"/>
          <w:bCs/>
          <w:noProof/>
        </w:rPr>
        <w:t>se</w:t>
      </w:r>
      <w:r w:rsidRPr="0016406F">
        <w:rPr>
          <w:rFonts w:ascii="Arial" w:eastAsiaTheme="minorEastAsia" w:hAnsi="Arial" w:cs="Arial"/>
          <w:bCs/>
          <w:noProof/>
        </w:rPr>
        <w:t xml:space="preserve">  „organ</w:t>
      </w:r>
      <w:r w:rsidR="00A14B16" w:rsidRPr="0016406F">
        <w:rPr>
          <w:rFonts w:ascii="Arial" w:eastAsiaTheme="minorEastAsia" w:hAnsi="Arial" w:cs="Arial"/>
          <w:bCs/>
          <w:noProof/>
        </w:rPr>
        <w:t>om nadležnim</w:t>
      </w:r>
      <w:r w:rsidRPr="0016406F">
        <w:rPr>
          <w:rFonts w:ascii="Arial" w:eastAsiaTheme="minorEastAsia" w:hAnsi="Arial" w:cs="Arial"/>
          <w:bCs/>
          <w:noProof/>
        </w:rPr>
        <w:t xml:space="preserve"> za konsolidaciju“  </w:t>
      </w:r>
      <w:r w:rsidR="00A14B16" w:rsidRPr="0016406F">
        <w:rPr>
          <w:rFonts w:ascii="Arial" w:eastAsiaTheme="minorEastAsia" w:hAnsi="Arial" w:cs="Arial"/>
          <w:bCs/>
          <w:noProof/>
        </w:rPr>
        <w:t>u skladu sa predloženim zakonom smatra</w:t>
      </w:r>
      <w:r w:rsidRPr="0016406F">
        <w:rPr>
          <w:rFonts w:ascii="Arial" w:eastAsiaTheme="minorEastAsia" w:hAnsi="Arial" w:cs="Arial"/>
          <w:bCs/>
          <w:noProof/>
        </w:rPr>
        <w:t xml:space="preserve"> </w:t>
      </w:r>
      <w:r w:rsidR="00A14B16" w:rsidRPr="0016406F">
        <w:rPr>
          <w:rFonts w:ascii="Arial" w:eastAsiaTheme="minorEastAsia" w:hAnsi="Arial" w:cs="Arial"/>
          <w:bCs/>
          <w:noProof/>
        </w:rPr>
        <w:t xml:space="preserve"> nadležni organ</w:t>
      </w:r>
      <w:r w:rsidRPr="0016406F">
        <w:rPr>
          <w:rFonts w:ascii="Arial" w:eastAsiaTheme="minorEastAsia" w:hAnsi="Arial" w:cs="Arial"/>
          <w:bCs/>
          <w:noProof/>
        </w:rPr>
        <w:t xml:space="preserve"> u  državi u kojoj </w:t>
      </w:r>
      <w:r w:rsidR="00A14B16" w:rsidRPr="0016406F">
        <w:rPr>
          <w:rFonts w:ascii="Arial" w:eastAsiaTheme="minorEastAsia" w:hAnsi="Arial" w:cs="Arial"/>
          <w:bCs/>
          <w:noProof/>
        </w:rPr>
        <w:t>se nalazi matično društvo  neke grupe kreditnih institucija i nadležnosti ovog organa  kada je u pitanju grupa iz Crne Gore su uređene predmetnim Zakonom, uključujući i  primjenu mjera prema grupi  iz Crne Gore, kada nijesu ispunjeni zahtjevi koji moraju biti zadovo</w:t>
      </w:r>
      <w:r w:rsidR="004E4579" w:rsidRPr="0016406F">
        <w:rPr>
          <w:rFonts w:ascii="Arial" w:eastAsiaTheme="minorEastAsia" w:hAnsi="Arial" w:cs="Arial"/>
          <w:bCs/>
          <w:noProof/>
        </w:rPr>
        <w:t xml:space="preserve">ljeni na konsolidovanoj osnovi </w:t>
      </w:r>
      <w:r w:rsidR="00A14B16" w:rsidRPr="0016406F">
        <w:rPr>
          <w:rFonts w:ascii="Arial" w:eastAsiaTheme="minorEastAsia" w:hAnsi="Arial" w:cs="Arial"/>
          <w:bCs/>
          <w:noProof/>
        </w:rPr>
        <w:t>zakonom  ( konsolidovani regultorni kapital, parametri pos</w:t>
      </w:r>
      <w:r w:rsidR="004E4579" w:rsidRPr="0016406F">
        <w:rPr>
          <w:rFonts w:ascii="Arial" w:eastAsiaTheme="minorEastAsia" w:hAnsi="Arial" w:cs="Arial"/>
          <w:bCs/>
          <w:noProof/>
        </w:rPr>
        <w:t>l</w:t>
      </w:r>
      <w:r w:rsidR="00A14B16" w:rsidRPr="0016406F">
        <w:rPr>
          <w:rFonts w:ascii="Arial" w:eastAsiaTheme="minorEastAsia" w:hAnsi="Arial" w:cs="Arial"/>
          <w:bCs/>
          <w:noProof/>
        </w:rPr>
        <w:t>ovanja</w:t>
      </w:r>
      <w:r w:rsidR="00F3128F" w:rsidRPr="0016406F">
        <w:rPr>
          <w:rFonts w:ascii="Arial" w:eastAsiaTheme="minorEastAsia" w:hAnsi="Arial" w:cs="Arial"/>
          <w:bCs/>
          <w:noProof/>
        </w:rPr>
        <w:t xml:space="preserve"> na konsolidovanoj osnovi i dr).</w:t>
      </w:r>
      <w:r w:rsidR="004E4579" w:rsidRPr="0016406F">
        <w:rPr>
          <w:rFonts w:ascii="Arial" w:hAnsi="Arial" w:cs="Arial"/>
          <w:noProof/>
        </w:rPr>
        <w:t xml:space="preserve"> Pitanje načina sprovođenja supervizije na konsolidovanoj osnovi je regulisano članom 311 stav 2 predmetnog zakona kojim je propiano da se na vršenje supervizije na konsolidovanoj osnovi shodno se primjenjuju odredbe tog zakona kojima se uređuje supervizija kreditnih institucija na pojedinačnoj osnovi.</w:t>
      </w:r>
    </w:p>
    <w:p w:rsidR="00F3128F" w:rsidRPr="0016406F" w:rsidRDefault="00057A05" w:rsidP="00015F5D">
      <w:pPr>
        <w:pStyle w:val="ListParagraph"/>
        <w:numPr>
          <w:ilvl w:val="0"/>
          <w:numId w:val="10"/>
        </w:numPr>
        <w:tabs>
          <w:tab w:val="left" w:pos="360"/>
        </w:tabs>
        <w:spacing w:line="276" w:lineRule="auto"/>
        <w:ind w:left="360" w:hanging="270"/>
        <w:jc w:val="both"/>
        <w:rPr>
          <w:rFonts w:ascii="Arial" w:eastAsiaTheme="minorEastAsia" w:hAnsi="Arial" w:cs="Arial"/>
          <w:bCs/>
          <w:noProof/>
        </w:rPr>
      </w:pPr>
      <w:r w:rsidRPr="0016406F">
        <w:rPr>
          <w:rFonts w:ascii="Arial" w:eastAsiaTheme="minorEastAsia" w:hAnsi="Arial" w:cs="Arial"/>
          <w:bCs/>
          <w:noProof/>
        </w:rPr>
        <w:t>U odnosu na  komentare</w:t>
      </w:r>
      <w:r w:rsidR="00DE629F" w:rsidRPr="0016406F">
        <w:rPr>
          <w:rFonts w:ascii="Arial" w:eastAsiaTheme="minorEastAsia" w:hAnsi="Arial" w:cs="Arial"/>
          <w:bCs/>
          <w:noProof/>
        </w:rPr>
        <w:t xml:space="preserve"> koji se odnose  </w:t>
      </w:r>
      <w:r w:rsidRPr="0016406F">
        <w:rPr>
          <w:rFonts w:ascii="Arial" w:eastAsiaTheme="minorEastAsia" w:hAnsi="Arial" w:cs="Arial"/>
          <w:bCs/>
          <w:noProof/>
        </w:rPr>
        <w:t xml:space="preserve">na </w:t>
      </w:r>
      <w:r w:rsidR="00FE36CE" w:rsidRPr="0016406F">
        <w:rPr>
          <w:rFonts w:ascii="Arial" w:eastAsiaTheme="minorEastAsia" w:hAnsi="Arial" w:cs="Arial"/>
          <w:bCs/>
          <w:noProof/>
        </w:rPr>
        <w:t>pojašnjenje</w:t>
      </w:r>
      <w:r w:rsidR="00DE629F" w:rsidRPr="0016406F">
        <w:rPr>
          <w:rFonts w:ascii="Arial" w:eastAsiaTheme="minorEastAsia" w:hAnsi="Arial" w:cs="Arial"/>
          <w:bCs/>
          <w:noProof/>
        </w:rPr>
        <w:t xml:space="preserve"> pitanja vezanih za primanja u kreditn</w:t>
      </w:r>
      <w:r w:rsidR="00FE36CE" w:rsidRPr="0016406F">
        <w:rPr>
          <w:rFonts w:ascii="Arial" w:eastAsiaTheme="minorEastAsia" w:hAnsi="Arial" w:cs="Arial"/>
          <w:bCs/>
          <w:noProof/>
        </w:rPr>
        <w:t>i</w:t>
      </w:r>
      <w:r w:rsidR="00DE629F" w:rsidRPr="0016406F">
        <w:rPr>
          <w:rFonts w:ascii="Arial" w:eastAsiaTheme="minorEastAsia" w:hAnsi="Arial" w:cs="Arial"/>
          <w:bCs/>
          <w:noProof/>
        </w:rPr>
        <w:t>m institucijama</w:t>
      </w:r>
      <w:r w:rsidR="00FE36CE" w:rsidRPr="0016406F">
        <w:rPr>
          <w:rFonts w:ascii="Arial" w:eastAsiaTheme="minorEastAsia" w:hAnsi="Arial" w:cs="Arial"/>
          <w:bCs/>
          <w:noProof/>
        </w:rPr>
        <w:t xml:space="preserve">  ( čl. 50 st. 1 i 2 </w:t>
      </w:r>
      <w:r w:rsidRPr="0016406F">
        <w:rPr>
          <w:rFonts w:ascii="Arial" w:eastAsiaTheme="minorEastAsia" w:hAnsi="Arial" w:cs="Arial"/>
          <w:bCs/>
          <w:noProof/>
        </w:rPr>
        <w:t>i</w:t>
      </w:r>
      <w:r w:rsidR="00FE36CE" w:rsidRPr="0016406F">
        <w:rPr>
          <w:rFonts w:ascii="Arial" w:eastAsiaTheme="minorEastAsia" w:hAnsi="Arial" w:cs="Arial"/>
          <w:bCs/>
          <w:noProof/>
        </w:rPr>
        <w:t xml:space="preserve"> član  124 Zakona)</w:t>
      </w:r>
      <w:r w:rsidRPr="0016406F">
        <w:rPr>
          <w:rFonts w:ascii="Arial" w:eastAsiaTheme="minorEastAsia" w:hAnsi="Arial" w:cs="Arial"/>
          <w:bCs/>
          <w:noProof/>
        </w:rPr>
        <w:t>, ističe se da će sva pitanja koja su predmet ovih sugestija biti detaljno uređena podzakonskim aktom Centralne banke, usklađenim sa zahtjevima iz relevantih akata E</w:t>
      </w:r>
      <w:r w:rsidR="00F3128F" w:rsidRPr="0016406F">
        <w:rPr>
          <w:rFonts w:ascii="Arial" w:eastAsiaTheme="minorEastAsia" w:hAnsi="Arial" w:cs="Arial"/>
          <w:bCs/>
          <w:noProof/>
        </w:rPr>
        <w:t>U.</w:t>
      </w:r>
    </w:p>
    <w:p w:rsidR="00F3128F" w:rsidRPr="0016406F" w:rsidRDefault="00057A05" w:rsidP="00015F5D">
      <w:pPr>
        <w:pStyle w:val="ListParagraph"/>
        <w:numPr>
          <w:ilvl w:val="0"/>
          <w:numId w:val="10"/>
        </w:numPr>
        <w:tabs>
          <w:tab w:val="left" w:pos="360"/>
        </w:tabs>
        <w:spacing w:line="276" w:lineRule="auto"/>
        <w:ind w:left="360" w:hanging="270"/>
        <w:jc w:val="both"/>
        <w:rPr>
          <w:rFonts w:ascii="Arial" w:eastAsiaTheme="minorEastAsia" w:hAnsi="Arial" w:cs="Arial"/>
          <w:bCs/>
          <w:noProof/>
        </w:rPr>
      </w:pPr>
      <w:r w:rsidRPr="0016406F">
        <w:rPr>
          <w:rFonts w:ascii="Arial" w:eastAsiaTheme="minorEastAsia" w:hAnsi="Arial" w:cs="Arial"/>
          <w:bCs/>
          <w:noProof/>
        </w:rPr>
        <w:t>Vez</w:t>
      </w:r>
      <w:r w:rsidR="004E4579" w:rsidRPr="0016406F">
        <w:rPr>
          <w:rFonts w:ascii="Arial" w:eastAsiaTheme="minorEastAsia" w:hAnsi="Arial" w:cs="Arial"/>
          <w:bCs/>
          <w:noProof/>
        </w:rPr>
        <w:t>a</w:t>
      </w:r>
      <w:r w:rsidRPr="0016406F">
        <w:rPr>
          <w:rFonts w:ascii="Arial" w:eastAsiaTheme="minorEastAsia" w:hAnsi="Arial" w:cs="Arial"/>
          <w:bCs/>
          <w:noProof/>
        </w:rPr>
        <w:t>no za pojašnjenje člana 118 Zakona sa aspekta tretmana obračunatih rezervacija nako</w:t>
      </w:r>
      <w:r w:rsidR="00CA7E86" w:rsidRPr="0016406F">
        <w:rPr>
          <w:rFonts w:ascii="Arial" w:eastAsiaTheme="minorEastAsia" w:hAnsi="Arial" w:cs="Arial"/>
          <w:bCs/>
          <w:noProof/>
        </w:rPr>
        <w:t>n</w:t>
      </w:r>
      <w:r w:rsidRPr="0016406F">
        <w:rPr>
          <w:rFonts w:ascii="Arial" w:eastAsiaTheme="minorEastAsia" w:hAnsi="Arial" w:cs="Arial"/>
          <w:bCs/>
          <w:noProof/>
        </w:rPr>
        <w:t xml:space="preserve"> potpunog uvođenja Bazela III, ukazuje se na  predložena formul</w:t>
      </w:r>
      <w:r w:rsidR="00CA7E86" w:rsidRPr="0016406F">
        <w:rPr>
          <w:rFonts w:ascii="Arial" w:eastAsiaTheme="minorEastAsia" w:hAnsi="Arial" w:cs="Arial"/>
          <w:bCs/>
          <w:noProof/>
        </w:rPr>
        <w:t>icija ovog člana omogućava da se podzakonskim aktom uredi tretman rezervacija, uključujući i ukidanje  prudencionog filtera, zavisno od  analize primjene MSFI-a 9 u praksi;</w:t>
      </w:r>
    </w:p>
    <w:p w:rsidR="00F3128F" w:rsidRPr="0016406F" w:rsidRDefault="00CA7E86" w:rsidP="00015F5D">
      <w:pPr>
        <w:pStyle w:val="ListParagraph"/>
        <w:numPr>
          <w:ilvl w:val="0"/>
          <w:numId w:val="10"/>
        </w:numPr>
        <w:tabs>
          <w:tab w:val="left" w:pos="360"/>
        </w:tabs>
        <w:spacing w:line="276" w:lineRule="auto"/>
        <w:ind w:left="360" w:hanging="270"/>
        <w:jc w:val="both"/>
        <w:rPr>
          <w:rFonts w:ascii="Arial" w:eastAsiaTheme="minorEastAsia" w:hAnsi="Arial" w:cs="Arial"/>
          <w:bCs/>
          <w:noProof/>
        </w:rPr>
      </w:pPr>
      <w:r w:rsidRPr="0016406F">
        <w:rPr>
          <w:rFonts w:ascii="Arial" w:eastAsiaTheme="minorEastAsia" w:hAnsi="Arial" w:cs="Arial"/>
          <w:bCs/>
          <w:noProof/>
        </w:rPr>
        <w:t>Po pitanju</w:t>
      </w:r>
      <w:r w:rsidR="004051F1" w:rsidRPr="0016406F">
        <w:rPr>
          <w:rFonts w:ascii="Arial" w:eastAsiaTheme="minorEastAsia" w:hAnsi="Arial" w:cs="Arial"/>
          <w:bCs/>
          <w:noProof/>
        </w:rPr>
        <w:t xml:space="preserve"> </w:t>
      </w:r>
      <w:r w:rsidRPr="0016406F">
        <w:rPr>
          <w:rFonts w:ascii="Arial" w:eastAsiaTheme="minorEastAsia" w:hAnsi="Arial" w:cs="Arial"/>
          <w:bCs/>
          <w:noProof/>
        </w:rPr>
        <w:t xml:space="preserve"> pojašnjenja </w:t>
      </w:r>
      <w:r w:rsidR="00D3206E" w:rsidRPr="0016406F">
        <w:rPr>
          <w:rFonts w:ascii="Arial" w:eastAsiaTheme="minorEastAsia" w:hAnsi="Arial" w:cs="Arial"/>
          <w:bCs/>
          <w:noProof/>
        </w:rPr>
        <w:t xml:space="preserve">nadležnosti </w:t>
      </w:r>
      <w:r w:rsidRPr="0016406F">
        <w:rPr>
          <w:rFonts w:ascii="Arial" w:eastAsiaTheme="minorEastAsia" w:hAnsi="Arial" w:cs="Arial"/>
          <w:bCs/>
          <w:noProof/>
        </w:rPr>
        <w:t>fun</w:t>
      </w:r>
      <w:r w:rsidR="00D3206E" w:rsidRPr="0016406F">
        <w:rPr>
          <w:rFonts w:ascii="Arial" w:eastAsiaTheme="minorEastAsia" w:hAnsi="Arial" w:cs="Arial"/>
          <w:bCs/>
          <w:noProof/>
        </w:rPr>
        <w:t>k</w:t>
      </w:r>
      <w:r w:rsidRPr="0016406F">
        <w:rPr>
          <w:rFonts w:ascii="Arial" w:eastAsiaTheme="minorEastAsia" w:hAnsi="Arial" w:cs="Arial"/>
          <w:bCs/>
          <w:noProof/>
        </w:rPr>
        <w:t>cije „kont</w:t>
      </w:r>
      <w:r w:rsidR="00D3206E" w:rsidRPr="0016406F">
        <w:rPr>
          <w:rFonts w:ascii="Arial" w:eastAsiaTheme="minorEastAsia" w:hAnsi="Arial" w:cs="Arial"/>
          <w:bCs/>
          <w:noProof/>
        </w:rPr>
        <w:t>r</w:t>
      </w:r>
      <w:r w:rsidR="004E4579" w:rsidRPr="0016406F">
        <w:rPr>
          <w:rFonts w:ascii="Arial" w:eastAsiaTheme="minorEastAsia" w:hAnsi="Arial" w:cs="Arial"/>
          <w:bCs/>
          <w:noProof/>
        </w:rPr>
        <w:t>ol</w:t>
      </w:r>
      <w:r w:rsidRPr="0016406F">
        <w:rPr>
          <w:rFonts w:ascii="Arial" w:eastAsiaTheme="minorEastAsia" w:hAnsi="Arial" w:cs="Arial"/>
          <w:bCs/>
          <w:noProof/>
        </w:rPr>
        <w:t>e rizika“ iz člana 12</w:t>
      </w:r>
      <w:r w:rsidR="00D3206E" w:rsidRPr="0016406F">
        <w:rPr>
          <w:rFonts w:ascii="Arial" w:eastAsiaTheme="minorEastAsia" w:hAnsi="Arial" w:cs="Arial"/>
          <w:bCs/>
          <w:noProof/>
        </w:rPr>
        <w:t>2</w:t>
      </w:r>
      <w:r w:rsidRPr="0016406F">
        <w:rPr>
          <w:rFonts w:ascii="Arial" w:eastAsiaTheme="minorEastAsia" w:hAnsi="Arial" w:cs="Arial"/>
          <w:bCs/>
          <w:noProof/>
        </w:rPr>
        <w:t xml:space="preserve"> Zakona, ističe se da je u pitanju nova </w:t>
      </w:r>
      <w:r w:rsidR="00D3206E" w:rsidRPr="0016406F">
        <w:rPr>
          <w:rFonts w:ascii="Arial" w:eastAsiaTheme="minorEastAsia" w:hAnsi="Arial" w:cs="Arial"/>
          <w:bCs/>
          <w:noProof/>
        </w:rPr>
        <w:t xml:space="preserve">kontrolna </w:t>
      </w:r>
      <w:r w:rsidRPr="0016406F">
        <w:rPr>
          <w:rFonts w:ascii="Arial" w:eastAsiaTheme="minorEastAsia" w:hAnsi="Arial" w:cs="Arial"/>
          <w:bCs/>
          <w:noProof/>
        </w:rPr>
        <w:t>funkcija, različita od funkcije  upravljanja rizicima iz važećeg zakona, a nadležnosti ove funkcije će biti detaljno uređene propisom Centraln</w:t>
      </w:r>
      <w:r w:rsidR="00D3206E" w:rsidRPr="0016406F">
        <w:rPr>
          <w:rFonts w:ascii="Arial" w:eastAsiaTheme="minorEastAsia" w:hAnsi="Arial" w:cs="Arial"/>
          <w:bCs/>
          <w:noProof/>
        </w:rPr>
        <w:t>e</w:t>
      </w:r>
      <w:r w:rsidR="00510E18" w:rsidRPr="0016406F">
        <w:rPr>
          <w:rFonts w:ascii="Arial" w:eastAsiaTheme="minorEastAsia" w:hAnsi="Arial" w:cs="Arial"/>
          <w:bCs/>
          <w:noProof/>
        </w:rPr>
        <w:t xml:space="preserve"> banke iz člana 104</w:t>
      </w:r>
      <w:r w:rsidRPr="0016406F">
        <w:rPr>
          <w:rFonts w:ascii="Arial" w:eastAsiaTheme="minorEastAsia" w:hAnsi="Arial" w:cs="Arial"/>
          <w:bCs/>
          <w:noProof/>
        </w:rPr>
        <w:t xml:space="preserve"> predloženog zakona;</w:t>
      </w:r>
    </w:p>
    <w:p w:rsidR="00F3128F" w:rsidRPr="0016406F" w:rsidRDefault="004051F1" w:rsidP="00015F5D">
      <w:pPr>
        <w:pStyle w:val="ListParagraph"/>
        <w:numPr>
          <w:ilvl w:val="0"/>
          <w:numId w:val="10"/>
        </w:numPr>
        <w:tabs>
          <w:tab w:val="left" w:pos="360"/>
        </w:tabs>
        <w:spacing w:line="276" w:lineRule="auto"/>
        <w:ind w:left="360" w:hanging="270"/>
        <w:jc w:val="both"/>
        <w:rPr>
          <w:rFonts w:ascii="Arial" w:eastAsiaTheme="minorEastAsia" w:hAnsi="Arial" w:cs="Arial"/>
          <w:bCs/>
          <w:noProof/>
        </w:rPr>
      </w:pPr>
      <w:r w:rsidRPr="0016406F">
        <w:rPr>
          <w:rFonts w:ascii="Arial" w:eastAsiaTheme="minorEastAsia" w:hAnsi="Arial" w:cs="Arial"/>
          <w:bCs/>
          <w:noProof/>
        </w:rPr>
        <w:t>Nedoumica po pitaju značenja  pojma „bliska povezanost“ iz člana 34 tačka 34</w:t>
      </w:r>
      <w:r w:rsidR="009631B3" w:rsidRPr="0016406F">
        <w:rPr>
          <w:rFonts w:ascii="Arial" w:eastAsiaTheme="minorEastAsia" w:hAnsi="Arial" w:cs="Arial"/>
          <w:bCs/>
          <w:noProof/>
        </w:rPr>
        <w:t xml:space="preserve"> Zakona</w:t>
      </w:r>
      <w:r w:rsidRPr="0016406F">
        <w:rPr>
          <w:rFonts w:ascii="Arial" w:eastAsiaTheme="minorEastAsia" w:hAnsi="Arial" w:cs="Arial"/>
          <w:bCs/>
          <w:noProof/>
        </w:rPr>
        <w:t>,</w:t>
      </w:r>
      <w:r w:rsidR="004E4579" w:rsidRPr="0016406F">
        <w:rPr>
          <w:rFonts w:ascii="Arial" w:eastAsiaTheme="minorEastAsia" w:hAnsi="Arial" w:cs="Arial"/>
          <w:bCs/>
          <w:noProof/>
        </w:rPr>
        <w:t xml:space="preserve"> a</w:t>
      </w:r>
      <w:r w:rsidRPr="0016406F">
        <w:rPr>
          <w:rFonts w:ascii="Arial" w:eastAsiaTheme="minorEastAsia" w:hAnsi="Arial" w:cs="Arial"/>
          <w:bCs/>
          <w:noProof/>
        </w:rPr>
        <w:t xml:space="preserve"> koji je preuzet iz Regulative 575/2913, otk</w:t>
      </w:r>
      <w:r w:rsidR="009631B3" w:rsidRPr="0016406F">
        <w:rPr>
          <w:rFonts w:ascii="Arial" w:eastAsiaTheme="minorEastAsia" w:hAnsi="Arial" w:cs="Arial"/>
          <w:bCs/>
          <w:noProof/>
        </w:rPr>
        <w:t>l</w:t>
      </w:r>
      <w:r w:rsidRPr="0016406F">
        <w:rPr>
          <w:rFonts w:ascii="Arial" w:eastAsiaTheme="minorEastAsia" w:hAnsi="Arial" w:cs="Arial"/>
          <w:bCs/>
          <w:noProof/>
        </w:rPr>
        <w:t>anja se ako se pojam „kontrola“ iz te definicije dovede u vezu sa pojmom „kontrola“  iz člana 13 stav 7 predmetnog zakona;</w:t>
      </w:r>
    </w:p>
    <w:p w:rsidR="00057A05" w:rsidRPr="0016406F" w:rsidRDefault="00093FDF" w:rsidP="00015F5D">
      <w:pPr>
        <w:pStyle w:val="ListParagraph"/>
        <w:numPr>
          <w:ilvl w:val="0"/>
          <w:numId w:val="10"/>
        </w:numPr>
        <w:tabs>
          <w:tab w:val="left" w:pos="360"/>
        </w:tabs>
        <w:spacing w:line="276" w:lineRule="auto"/>
        <w:ind w:left="360"/>
        <w:jc w:val="both"/>
        <w:rPr>
          <w:rFonts w:ascii="Arial" w:eastAsiaTheme="minorEastAsia" w:hAnsi="Arial" w:cs="Arial"/>
          <w:bCs/>
          <w:noProof/>
        </w:rPr>
      </w:pPr>
      <w:r w:rsidRPr="0016406F">
        <w:rPr>
          <w:rFonts w:ascii="Arial" w:hAnsi="Arial" w:cs="Arial"/>
          <w:noProof/>
        </w:rPr>
        <w:t xml:space="preserve">Vezano za  potrebu pojašnjenja formulacije „zakon kojim se uređuje poslovanje privrednih društava“ iz člana 52 i 54  Zakona , ističe se da  </w:t>
      </w:r>
      <w:r w:rsidR="009D2077" w:rsidRPr="0016406F">
        <w:rPr>
          <w:rFonts w:ascii="Arial" w:hAnsi="Arial" w:cs="Arial"/>
          <w:noProof/>
        </w:rPr>
        <w:t>su</w:t>
      </w:r>
      <w:r w:rsidRPr="0016406F">
        <w:rPr>
          <w:rFonts w:ascii="Arial" w:hAnsi="Arial" w:cs="Arial"/>
          <w:noProof/>
        </w:rPr>
        <w:t xml:space="preserve"> ovakve formulacije </w:t>
      </w:r>
      <w:r w:rsidR="009D2077" w:rsidRPr="0016406F">
        <w:rPr>
          <w:rFonts w:ascii="Arial" w:hAnsi="Arial" w:cs="Arial"/>
          <w:noProof/>
        </w:rPr>
        <w:t>usklađene sa pravno-tehničkim pravilima za izradu propisa, bez navođenja tačnog naziva zakona i poziva  na određeni član, kako bi se izbjegle situacije da se zbog izmjena i dopuna tog zakona  morao mijenjati i zakon u kojem se vrši pozivanje na taj zakon;</w:t>
      </w:r>
    </w:p>
    <w:p w:rsidR="00F3128F" w:rsidRPr="0016406F" w:rsidRDefault="00041F9F" w:rsidP="00015F5D">
      <w:pPr>
        <w:pStyle w:val="ListParagraph"/>
        <w:numPr>
          <w:ilvl w:val="0"/>
          <w:numId w:val="10"/>
        </w:numPr>
        <w:tabs>
          <w:tab w:val="left" w:pos="360"/>
        </w:tabs>
        <w:spacing w:line="276" w:lineRule="auto"/>
        <w:ind w:left="360"/>
        <w:jc w:val="both"/>
        <w:rPr>
          <w:rFonts w:ascii="Arial" w:eastAsiaTheme="minorEastAsia" w:hAnsi="Arial" w:cs="Arial"/>
          <w:bCs/>
          <w:noProof/>
        </w:rPr>
      </w:pPr>
      <w:r w:rsidRPr="0016406F">
        <w:rPr>
          <w:rFonts w:ascii="Arial" w:eastAsiaTheme="minorEastAsia" w:hAnsi="Arial" w:cs="Arial"/>
          <w:bCs/>
          <w:noProof/>
        </w:rPr>
        <w:t>Po pitanju pojašnjenja odredbi člana 135 stav 1</w:t>
      </w:r>
      <w:r w:rsidR="00D931EA" w:rsidRPr="0016406F">
        <w:rPr>
          <w:rFonts w:ascii="Arial" w:eastAsiaTheme="minorEastAsia" w:hAnsi="Arial" w:cs="Arial"/>
          <w:bCs/>
          <w:noProof/>
        </w:rPr>
        <w:t xml:space="preserve"> predloženog zakona</w:t>
      </w:r>
      <w:r w:rsidR="00470621" w:rsidRPr="0016406F">
        <w:rPr>
          <w:rFonts w:ascii="Arial" w:eastAsiaTheme="minorEastAsia" w:hAnsi="Arial" w:cs="Arial"/>
          <w:bCs/>
          <w:noProof/>
        </w:rPr>
        <w:t>, važno je istaći da će sve  stavke iz pomenutih članova biti predmet podzakonskog propisa kojim se uređuje adekvatnost kapitala kreditnih institucija, kojom će b</w:t>
      </w:r>
      <w:r w:rsidR="005E64E6" w:rsidRPr="0016406F">
        <w:rPr>
          <w:rFonts w:ascii="Arial" w:eastAsiaTheme="minorEastAsia" w:hAnsi="Arial" w:cs="Arial"/>
          <w:bCs/>
          <w:noProof/>
        </w:rPr>
        <w:t>iti otklonjene sve dileme po pi</w:t>
      </w:r>
      <w:r w:rsidR="00470621" w:rsidRPr="0016406F">
        <w:rPr>
          <w:rFonts w:ascii="Arial" w:eastAsiaTheme="minorEastAsia" w:hAnsi="Arial" w:cs="Arial"/>
          <w:bCs/>
          <w:noProof/>
        </w:rPr>
        <w:t xml:space="preserve">tanju njihovog značenja; </w:t>
      </w:r>
    </w:p>
    <w:p w:rsidR="00F3128F" w:rsidRPr="0016406F" w:rsidRDefault="00470621" w:rsidP="00015F5D">
      <w:pPr>
        <w:pStyle w:val="ListParagraph"/>
        <w:numPr>
          <w:ilvl w:val="0"/>
          <w:numId w:val="10"/>
        </w:numPr>
        <w:tabs>
          <w:tab w:val="left" w:pos="360"/>
        </w:tabs>
        <w:spacing w:line="276" w:lineRule="auto"/>
        <w:ind w:left="360"/>
        <w:jc w:val="both"/>
        <w:rPr>
          <w:rFonts w:ascii="Arial" w:eastAsiaTheme="minorEastAsia" w:hAnsi="Arial" w:cs="Arial"/>
          <w:bCs/>
          <w:noProof/>
        </w:rPr>
      </w:pPr>
      <w:r w:rsidRPr="0016406F">
        <w:rPr>
          <w:rFonts w:ascii="Arial" w:eastAsiaTheme="minorEastAsia" w:hAnsi="Arial" w:cs="Arial"/>
          <w:bCs/>
          <w:noProof/>
        </w:rPr>
        <w:t>Za kome</w:t>
      </w:r>
      <w:r w:rsidR="00F3128F" w:rsidRPr="0016406F">
        <w:rPr>
          <w:rFonts w:ascii="Arial" w:eastAsiaTheme="minorEastAsia" w:hAnsi="Arial" w:cs="Arial"/>
          <w:bCs/>
          <w:noProof/>
        </w:rPr>
        <w:t>n</w:t>
      </w:r>
      <w:r w:rsidRPr="0016406F">
        <w:rPr>
          <w:rFonts w:ascii="Arial" w:eastAsiaTheme="minorEastAsia" w:hAnsi="Arial" w:cs="Arial"/>
          <w:bCs/>
          <w:noProof/>
        </w:rPr>
        <w:t xml:space="preserve">tare i sugestije sa javne rasprave vezane za potencijalni uticaj  uvođenja bafera </w:t>
      </w:r>
      <w:r w:rsidR="005E64E6" w:rsidRPr="0016406F">
        <w:rPr>
          <w:rFonts w:ascii="Arial" w:eastAsiaTheme="minorEastAsia" w:hAnsi="Arial" w:cs="Arial"/>
          <w:bCs/>
          <w:noProof/>
        </w:rPr>
        <w:t>k</w:t>
      </w:r>
      <w:r w:rsidRPr="0016406F">
        <w:rPr>
          <w:rFonts w:ascii="Arial" w:eastAsiaTheme="minorEastAsia" w:hAnsi="Arial" w:cs="Arial"/>
          <w:bCs/>
          <w:noProof/>
        </w:rPr>
        <w:t>apital</w:t>
      </w:r>
      <w:r w:rsidR="009631B3" w:rsidRPr="0016406F">
        <w:rPr>
          <w:rFonts w:ascii="Arial" w:eastAsiaTheme="minorEastAsia" w:hAnsi="Arial" w:cs="Arial"/>
          <w:bCs/>
          <w:noProof/>
        </w:rPr>
        <w:t>a</w:t>
      </w:r>
      <w:r w:rsidRPr="0016406F">
        <w:rPr>
          <w:rFonts w:ascii="Arial" w:eastAsiaTheme="minorEastAsia" w:hAnsi="Arial" w:cs="Arial"/>
          <w:bCs/>
          <w:noProof/>
        </w:rPr>
        <w:t xml:space="preserve">  na dodatne potrebe za kapitalom kreitnih institucija, generalno se može dati ocjena da su po pitanju njjihovog nivoa i dinamike ispunjavanja, odredbe predloženog zakona u </w:t>
      </w:r>
      <w:r w:rsidR="005E64E6" w:rsidRPr="0016406F">
        <w:rPr>
          <w:rFonts w:ascii="Arial" w:eastAsiaTheme="minorEastAsia" w:hAnsi="Arial" w:cs="Arial"/>
          <w:bCs/>
          <w:noProof/>
        </w:rPr>
        <w:t xml:space="preserve">potpunosti </w:t>
      </w:r>
      <w:r w:rsidRPr="0016406F">
        <w:rPr>
          <w:rFonts w:ascii="Arial" w:eastAsiaTheme="minorEastAsia" w:hAnsi="Arial" w:cs="Arial"/>
          <w:bCs/>
          <w:noProof/>
        </w:rPr>
        <w:t>usklađene da zahtjevima iz D</w:t>
      </w:r>
      <w:r w:rsidR="004E4579" w:rsidRPr="0016406F">
        <w:rPr>
          <w:rFonts w:ascii="Arial" w:eastAsiaTheme="minorEastAsia" w:hAnsi="Arial" w:cs="Arial"/>
          <w:bCs/>
          <w:noProof/>
        </w:rPr>
        <w:t>i</w:t>
      </w:r>
      <w:r w:rsidRPr="0016406F">
        <w:rPr>
          <w:rFonts w:ascii="Arial" w:eastAsiaTheme="minorEastAsia" w:hAnsi="Arial" w:cs="Arial"/>
          <w:bCs/>
          <w:noProof/>
        </w:rPr>
        <w:t xml:space="preserve">rektive 2013/39, kao </w:t>
      </w:r>
      <w:r w:rsidR="005E64E6" w:rsidRPr="0016406F">
        <w:rPr>
          <w:rFonts w:ascii="Arial" w:eastAsiaTheme="minorEastAsia" w:hAnsi="Arial" w:cs="Arial"/>
          <w:bCs/>
          <w:noProof/>
        </w:rPr>
        <w:t>i</w:t>
      </w:r>
      <w:r w:rsidRPr="0016406F">
        <w:rPr>
          <w:rFonts w:ascii="Arial" w:eastAsiaTheme="minorEastAsia" w:hAnsi="Arial" w:cs="Arial"/>
          <w:bCs/>
          <w:noProof/>
        </w:rPr>
        <w:t xml:space="preserve"> da neće imati znač</w:t>
      </w:r>
      <w:r w:rsidR="005E64E6" w:rsidRPr="0016406F">
        <w:rPr>
          <w:rFonts w:ascii="Arial" w:eastAsiaTheme="minorEastAsia" w:hAnsi="Arial" w:cs="Arial"/>
          <w:bCs/>
          <w:noProof/>
        </w:rPr>
        <w:t>a</w:t>
      </w:r>
      <w:r w:rsidRPr="0016406F">
        <w:rPr>
          <w:rFonts w:ascii="Arial" w:eastAsiaTheme="minorEastAsia" w:hAnsi="Arial" w:cs="Arial"/>
          <w:bCs/>
          <w:noProof/>
        </w:rPr>
        <w:t xml:space="preserve">jniji uticaj na kreditne institucije, imajući u vidu aktuelni minimali koeficijent solventnosti od </w:t>
      </w:r>
      <w:r w:rsidR="005E64E6" w:rsidRPr="0016406F">
        <w:rPr>
          <w:rFonts w:ascii="Arial" w:eastAsiaTheme="minorEastAsia" w:hAnsi="Arial" w:cs="Arial"/>
          <w:bCs/>
          <w:noProof/>
        </w:rPr>
        <w:t>10</w:t>
      </w:r>
      <w:r w:rsidRPr="0016406F">
        <w:rPr>
          <w:rFonts w:ascii="Arial" w:eastAsiaTheme="minorEastAsia" w:hAnsi="Arial" w:cs="Arial"/>
          <w:bCs/>
          <w:noProof/>
        </w:rPr>
        <w:t xml:space="preserve">%; </w:t>
      </w:r>
    </w:p>
    <w:p w:rsidR="00F3128F" w:rsidRPr="0016406F" w:rsidRDefault="005E64E6" w:rsidP="00015F5D">
      <w:pPr>
        <w:pStyle w:val="ListParagraph"/>
        <w:numPr>
          <w:ilvl w:val="0"/>
          <w:numId w:val="10"/>
        </w:numPr>
        <w:tabs>
          <w:tab w:val="left" w:pos="360"/>
        </w:tabs>
        <w:spacing w:line="276" w:lineRule="auto"/>
        <w:ind w:left="360"/>
        <w:jc w:val="both"/>
        <w:rPr>
          <w:rFonts w:ascii="Arial" w:eastAsiaTheme="minorEastAsia" w:hAnsi="Arial" w:cs="Arial"/>
          <w:bCs/>
          <w:noProof/>
        </w:rPr>
      </w:pPr>
      <w:r w:rsidRPr="0016406F">
        <w:rPr>
          <w:rFonts w:ascii="Arial" w:eastAsiaTheme="minorEastAsia" w:hAnsi="Arial" w:cs="Arial"/>
          <w:bCs/>
          <w:noProof/>
        </w:rPr>
        <w:t>Po pitanju sugestija vezanih za pitanje  bankarske tajne</w:t>
      </w:r>
      <w:r w:rsidR="00893EDE" w:rsidRPr="0016406F">
        <w:rPr>
          <w:rFonts w:ascii="Arial" w:eastAsiaTheme="minorEastAsia" w:hAnsi="Arial" w:cs="Arial"/>
          <w:bCs/>
          <w:noProof/>
        </w:rPr>
        <w:t xml:space="preserve"> (član 204)</w:t>
      </w:r>
      <w:r w:rsidRPr="0016406F">
        <w:rPr>
          <w:rFonts w:ascii="Arial" w:eastAsiaTheme="minorEastAsia" w:hAnsi="Arial" w:cs="Arial"/>
          <w:bCs/>
          <w:noProof/>
        </w:rPr>
        <w:t xml:space="preserve">,  problem koji se ističe u odnosu </w:t>
      </w:r>
      <w:r w:rsidR="00145758" w:rsidRPr="0016406F">
        <w:rPr>
          <w:rFonts w:ascii="Arial" w:eastAsiaTheme="minorEastAsia" w:hAnsi="Arial" w:cs="Arial"/>
          <w:bCs/>
          <w:noProof/>
        </w:rPr>
        <w:t>rješenj</w:t>
      </w:r>
      <w:r w:rsidRPr="0016406F">
        <w:rPr>
          <w:rFonts w:ascii="Arial" w:eastAsiaTheme="minorEastAsia" w:hAnsi="Arial" w:cs="Arial"/>
          <w:bCs/>
          <w:noProof/>
        </w:rPr>
        <w:t>a iz Zakona o platnom prometu se prevazilazi</w:t>
      </w:r>
      <w:r w:rsidR="004E4579" w:rsidRPr="0016406F">
        <w:rPr>
          <w:rFonts w:ascii="Arial" w:eastAsiaTheme="minorEastAsia" w:hAnsi="Arial" w:cs="Arial"/>
          <w:bCs/>
          <w:noProof/>
        </w:rPr>
        <w:t xml:space="preserve"> formulacijom “</w:t>
      </w:r>
      <w:r w:rsidRPr="0016406F">
        <w:rPr>
          <w:rFonts w:ascii="Arial" w:eastAsiaTheme="minorEastAsia" w:hAnsi="Arial" w:cs="Arial"/>
          <w:bCs/>
          <w:noProof/>
        </w:rPr>
        <w:t xml:space="preserve">u skladu sa zakonom” tako da se </w:t>
      </w:r>
      <w:r w:rsidR="00145758" w:rsidRPr="0016406F">
        <w:rPr>
          <w:rFonts w:ascii="Arial" w:eastAsiaTheme="minorEastAsia" w:hAnsi="Arial" w:cs="Arial"/>
          <w:bCs/>
          <w:noProof/>
        </w:rPr>
        <w:t xml:space="preserve"> u skladu sa tim  zakonom </w:t>
      </w:r>
      <w:r w:rsidRPr="0016406F">
        <w:rPr>
          <w:rFonts w:ascii="Arial" w:eastAsiaTheme="minorEastAsia" w:hAnsi="Arial" w:cs="Arial"/>
          <w:bCs/>
          <w:noProof/>
        </w:rPr>
        <w:t xml:space="preserve">mogu  učiniti dostupni podaci </w:t>
      </w:r>
      <w:r w:rsidR="00145758" w:rsidRPr="0016406F">
        <w:rPr>
          <w:rFonts w:ascii="Arial" w:eastAsiaTheme="minorEastAsia" w:hAnsi="Arial" w:cs="Arial"/>
          <w:bCs/>
          <w:noProof/>
        </w:rPr>
        <w:t>određenim licima  koja nijesu obuhvaćena Zakonom o kred</w:t>
      </w:r>
      <w:r w:rsidR="004E4579" w:rsidRPr="0016406F">
        <w:rPr>
          <w:rFonts w:ascii="Arial" w:eastAsiaTheme="minorEastAsia" w:hAnsi="Arial" w:cs="Arial"/>
          <w:bCs/>
          <w:noProof/>
        </w:rPr>
        <w:t>i</w:t>
      </w:r>
      <w:r w:rsidR="00145758" w:rsidRPr="0016406F">
        <w:rPr>
          <w:rFonts w:ascii="Arial" w:eastAsiaTheme="minorEastAsia" w:hAnsi="Arial" w:cs="Arial"/>
          <w:bCs/>
          <w:noProof/>
        </w:rPr>
        <w:t>tnim institucijama.</w:t>
      </w:r>
      <w:r w:rsidR="00893EDE" w:rsidRPr="0016406F">
        <w:rPr>
          <w:rFonts w:ascii="Arial" w:eastAsiaTheme="minorEastAsia" w:hAnsi="Arial" w:cs="Arial"/>
          <w:bCs/>
          <w:noProof/>
        </w:rPr>
        <w:t xml:space="preserve"> Takođe, ocjenjuje </w:t>
      </w:r>
      <w:r w:rsidR="004E4579" w:rsidRPr="0016406F">
        <w:rPr>
          <w:rFonts w:ascii="Arial" w:eastAsiaTheme="minorEastAsia" w:hAnsi="Arial" w:cs="Arial"/>
          <w:bCs/>
          <w:noProof/>
        </w:rPr>
        <w:t xml:space="preserve">se </w:t>
      </w:r>
      <w:r w:rsidR="00893EDE" w:rsidRPr="0016406F">
        <w:rPr>
          <w:rFonts w:ascii="Arial" w:eastAsiaTheme="minorEastAsia" w:hAnsi="Arial" w:cs="Arial"/>
          <w:bCs/>
          <w:noProof/>
        </w:rPr>
        <w:t>da formulacija „u skladu sa zakonom“ neće dovoditi do problema, jer će se tražilac podataka pozivati na odredbe zakona koje mu dozvoljavaju  da dobije tražene podatke. Kada je u pitanju forma saglasnosti (204 stav 5), za tu  saglasnost nije potrebna sudska ili bilo koja ovjera, jer će prilikom potpisivanja saglasnosti  klij</w:t>
      </w:r>
      <w:r w:rsidR="00FF6F8F" w:rsidRPr="0016406F">
        <w:rPr>
          <w:rFonts w:ascii="Arial" w:eastAsiaTheme="minorEastAsia" w:hAnsi="Arial" w:cs="Arial"/>
          <w:bCs/>
          <w:noProof/>
        </w:rPr>
        <w:t>e</w:t>
      </w:r>
      <w:r w:rsidR="00893EDE" w:rsidRPr="0016406F">
        <w:rPr>
          <w:rFonts w:ascii="Arial" w:eastAsiaTheme="minorEastAsia" w:hAnsi="Arial" w:cs="Arial"/>
          <w:bCs/>
          <w:noProof/>
        </w:rPr>
        <w:t>nt biti neposredno identifikovan od strane zaposlenog u kreditnoj instituciji.</w:t>
      </w:r>
    </w:p>
    <w:p w:rsidR="00D900AB" w:rsidRPr="0016406F" w:rsidRDefault="004E4579" w:rsidP="004E4579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360"/>
        <w:jc w:val="both"/>
        <w:rPr>
          <w:rFonts w:ascii="Arial" w:eastAsiaTheme="minorEastAsia" w:hAnsi="Arial" w:cs="Arial"/>
          <w:bCs/>
          <w:noProof/>
        </w:rPr>
      </w:pPr>
      <w:r w:rsidRPr="0016406F">
        <w:rPr>
          <w:rFonts w:ascii="Arial" w:eastAsiaTheme="minorEastAsia" w:hAnsi="Arial" w:cs="Arial"/>
          <w:bCs/>
          <w:noProof/>
        </w:rPr>
        <w:t>Vezano za  komentare koji se odnose na o</w:t>
      </w:r>
      <w:r w:rsidR="000D71AF" w:rsidRPr="0016406F">
        <w:rPr>
          <w:rFonts w:ascii="Arial" w:eastAsiaTheme="minorEastAsia" w:hAnsi="Arial" w:cs="Arial"/>
          <w:bCs/>
          <w:noProof/>
        </w:rPr>
        <w:t>dredbe o zaštiti</w:t>
      </w:r>
      <w:r w:rsidR="00893EDE" w:rsidRPr="0016406F">
        <w:rPr>
          <w:rFonts w:ascii="Arial" w:eastAsiaTheme="minorEastAsia" w:hAnsi="Arial" w:cs="Arial"/>
          <w:bCs/>
          <w:noProof/>
        </w:rPr>
        <w:t xml:space="preserve"> potrošača, ocjenjuje se da ovo poglavlje kompatibilno sa drugim propisima ko</w:t>
      </w:r>
      <w:r w:rsidR="00D900AB" w:rsidRPr="0016406F">
        <w:rPr>
          <w:rFonts w:ascii="Arial" w:eastAsiaTheme="minorEastAsia" w:hAnsi="Arial" w:cs="Arial"/>
          <w:bCs/>
          <w:noProof/>
        </w:rPr>
        <w:t>j</w:t>
      </w:r>
      <w:r w:rsidR="00893EDE" w:rsidRPr="0016406F">
        <w:rPr>
          <w:rFonts w:ascii="Arial" w:eastAsiaTheme="minorEastAsia" w:hAnsi="Arial" w:cs="Arial"/>
          <w:bCs/>
          <w:noProof/>
        </w:rPr>
        <w:t>im</w:t>
      </w:r>
      <w:r w:rsidR="00D900AB" w:rsidRPr="0016406F">
        <w:rPr>
          <w:rFonts w:ascii="Arial" w:eastAsiaTheme="minorEastAsia" w:hAnsi="Arial" w:cs="Arial"/>
          <w:bCs/>
          <w:noProof/>
        </w:rPr>
        <w:t>a</w:t>
      </w:r>
      <w:r w:rsidR="00893EDE" w:rsidRPr="0016406F">
        <w:rPr>
          <w:rFonts w:ascii="Arial" w:eastAsiaTheme="minorEastAsia" w:hAnsi="Arial" w:cs="Arial"/>
          <w:bCs/>
          <w:noProof/>
        </w:rPr>
        <w:t xml:space="preserve"> se uređuje ova oblast (isključujući Zakon o zaštiti potrošača – korisnika finansijskih usluga koji je u praksi neprimjenljiv  zbog neusklađenosti i kolizije sa drugim propisima)</w:t>
      </w:r>
      <w:r w:rsidR="003E5BC0" w:rsidRPr="0016406F">
        <w:rPr>
          <w:rFonts w:ascii="Arial" w:eastAsiaTheme="minorEastAsia" w:hAnsi="Arial" w:cs="Arial"/>
          <w:bCs/>
          <w:noProof/>
        </w:rPr>
        <w:t xml:space="preserve">. Vezano za odredbe koje se odnose na </w:t>
      </w:r>
      <w:r w:rsidR="000D71AF" w:rsidRPr="0016406F">
        <w:rPr>
          <w:rFonts w:ascii="Arial" w:eastAsiaTheme="minorEastAsia" w:hAnsi="Arial" w:cs="Arial"/>
          <w:bCs/>
          <w:noProof/>
        </w:rPr>
        <w:t>termine potrošač</w:t>
      </w:r>
      <w:r w:rsidR="003E5BC0" w:rsidRPr="0016406F">
        <w:rPr>
          <w:rFonts w:ascii="Arial" w:eastAsiaTheme="minorEastAsia" w:hAnsi="Arial" w:cs="Arial"/>
          <w:bCs/>
          <w:noProof/>
        </w:rPr>
        <w:t xml:space="preserve"> </w:t>
      </w:r>
      <w:r w:rsidR="000D71AF" w:rsidRPr="0016406F">
        <w:rPr>
          <w:rFonts w:ascii="Arial" w:eastAsiaTheme="minorEastAsia" w:hAnsi="Arial" w:cs="Arial"/>
          <w:bCs/>
          <w:noProof/>
        </w:rPr>
        <w:t>i klijent</w:t>
      </w:r>
      <w:r w:rsidR="003E5BC0" w:rsidRPr="0016406F">
        <w:rPr>
          <w:rFonts w:ascii="Arial" w:eastAsiaTheme="minorEastAsia" w:hAnsi="Arial" w:cs="Arial"/>
          <w:bCs/>
          <w:noProof/>
        </w:rPr>
        <w:t>, zakonom su date definicije p</w:t>
      </w:r>
      <w:r w:rsidR="000D71AF" w:rsidRPr="0016406F">
        <w:rPr>
          <w:rFonts w:ascii="Arial" w:eastAsiaTheme="minorEastAsia" w:hAnsi="Arial" w:cs="Arial"/>
          <w:bCs/>
          <w:noProof/>
        </w:rPr>
        <w:t>otrošača (</w:t>
      </w:r>
      <w:r w:rsidR="003E5BC0" w:rsidRPr="0016406F">
        <w:rPr>
          <w:rFonts w:ascii="Arial" w:eastAsiaTheme="minorEastAsia" w:hAnsi="Arial" w:cs="Arial"/>
          <w:bCs/>
          <w:noProof/>
        </w:rPr>
        <w:t>čl.207 stav 2</w:t>
      </w:r>
      <w:r w:rsidR="000D71AF" w:rsidRPr="0016406F">
        <w:rPr>
          <w:rFonts w:ascii="Arial" w:eastAsiaTheme="minorEastAsia" w:hAnsi="Arial" w:cs="Arial"/>
          <w:bCs/>
          <w:noProof/>
        </w:rPr>
        <w:t>)</w:t>
      </w:r>
      <w:r w:rsidR="003E5BC0" w:rsidRPr="0016406F">
        <w:rPr>
          <w:rFonts w:ascii="Arial" w:eastAsiaTheme="minorEastAsia" w:hAnsi="Arial" w:cs="Arial"/>
          <w:bCs/>
          <w:noProof/>
        </w:rPr>
        <w:t xml:space="preserve"> i klijenta</w:t>
      </w:r>
      <w:r w:rsidR="000D71AF" w:rsidRPr="0016406F">
        <w:rPr>
          <w:rFonts w:ascii="Arial" w:eastAsiaTheme="minorEastAsia" w:hAnsi="Arial" w:cs="Arial"/>
          <w:bCs/>
          <w:noProof/>
        </w:rPr>
        <w:t xml:space="preserve"> (čl.2</w:t>
      </w:r>
      <w:r w:rsidRPr="0016406F">
        <w:rPr>
          <w:rFonts w:ascii="Arial" w:eastAsiaTheme="minorEastAsia" w:hAnsi="Arial" w:cs="Arial"/>
          <w:bCs/>
          <w:noProof/>
        </w:rPr>
        <w:t xml:space="preserve">03 stav 2), pa polazeći od značena tih </w:t>
      </w:r>
      <w:r w:rsidR="000D71AF" w:rsidRPr="0016406F">
        <w:rPr>
          <w:rFonts w:ascii="Arial" w:eastAsiaTheme="minorEastAsia" w:hAnsi="Arial" w:cs="Arial"/>
          <w:bCs/>
          <w:noProof/>
        </w:rPr>
        <w:t>definicija treba  tumačiti</w:t>
      </w:r>
      <w:r w:rsidRPr="0016406F">
        <w:rPr>
          <w:rFonts w:ascii="Arial" w:eastAsiaTheme="minorEastAsia" w:hAnsi="Arial" w:cs="Arial"/>
          <w:bCs/>
          <w:noProof/>
        </w:rPr>
        <w:t xml:space="preserve"> i </w:t>
      </w:r>
      <w:r w:rsidR="000D71AF" w:rsidRPr="0016406F">
        <w:rPr>
          <w:rFonts w:ascii="Arial" w:eastAsiaTheme="minorEastAsia" w:hAnsi="Arial" w:cs="Arial"/>
          <w:bCs/>
          <w:noProof/>
        </w:rPr>
        <w:t xml:space="preserve"> odredbe kojima se uređuje zaštita potrošača i drugih klijenata. </w:t>
      </w:r>
    </w:p>
    <w:p w:rsidR="000D71AF" w:rsidRPr="0016406F" w:rsidRDefault="00015F5D" w:rsidP="00015F5D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360"/>
        <w:jc w:val="both"/>
        <w:rPr>
          <w:rFonts w:ascii="Arial" w:eastAsiaTheme="minorEastAsia" w:hAnsi="Arial" w:cs="Arial"/>
          <w:bCs/>
          <w:noProof/>
        </w:rPr>
      </w:pPr>
      <w:r w:rsidRPr="0016406F">
        <w:rPr>
          <w:rFonts w:ascii="Arial" w:eastAsiaTheme="minorEastAsia" w:hAnsi="Arial" w:cs="Arial"/>
          <w:bCs/>
          <w:noProof/>
        </w:rPr>
        <w:t>Po pitanju  komentara da su prekršajne kazne previsoke,  ističe se  da je visina prekršajnih kazni utvrđena predl</w:t>
      </w:r>
      <w:r w:rsidR="004E4579" w:rsidRPr="0016406F">
        <w:rPr>
          <w:rFonts w:ascii="Arial" w:eastAsiaTheme="minorEastAsia" w:hAnsi="Arial" w:cs="Arial"/>
          <w:bCs/>
          <w:noProof/>
        </w:rPr>
        <w:t>oženim zakonom, zasnovana i usk</w:t>
      </w:r>
      <w:r w:rsidRPr="0016406F">
        <w:rPr>
          <w:rFonts w:ascii="Arial" w:eastAsiaTheme="minorEastAsia" w:hAnsi="Arial" w:cs="Arial"/>
          <w:bCs/>
          <w:noProof/>
        </w:rPr>
        <w:t>l</w:t>
      </w:r>
      <w:r w:rsidR="004E4579" w:rsidRPr="0016406F">
        <w:rPr>
          <w:rFonts w:ascii="Arial" w:eastAsiaTheme="minorEastAsia" w:hAnsi="Arial" w:cs="Arial"/>
          <w:bCs/>
          <w:noProof/>
        </w:rPr>
        <w:t>a</w:t>
      </w:r>
      <w:r w:rsidRPr="0016406F">
        <w:rPr>
          <w:rFonts w:ascii="Arial" w:eastAsiaTheme="minorEastAsia" w:hAnsi="Arial" w:cs="Arial"/>
          <w:bCs/>
          <w:noProof/>
        </w:rPr>
        <w:t>đena sa zahtjevima iz Direktive 2013/36 EU.</w:t>
      </w:r>
    </w:p>
    <w:p w:rsidR="00015F5D" w:rsidRPr="0016406F" w:rsidRDefault="00015F5D" w:rsidP="00015F5D">
      <w:pPr>
        <w:pStyle w:val="ListParagraph"/>
        <w:tabs>
          <w:tab w:val="left" w:pos="360"/>
        </w:tabs>
        <w:spacing w:after="0" w:line="276" w:lineRule="auto"/>
        <w:ind w:left="360"/>
        <w:jc w:val="both"/>
        <w:rPr>
          <w:rFonts w:ascii="Arial" w:eastAsiaTheme="minorEastAsia" w:hAnsi="Arial" w:cs="Arial"/>
          <w:bCs/>
          <w:noProof/>
        </w:rPr>
      </w:pPr>
    </w:p>
    <w:p w:rsidR="00C671B6" w:rsidRPr="0016406F" w:rsidRDefault="00C671B6" w:rsidP="00015F5D">
      <w:pPr>
        <w:spacing w:line="276" w:lineRule="auto"/>
        <w:rPr>
          <w:rFonts w:ascii="Arial" w:eastAsiaTheme="minorEastAsia" w:hAnsi="Arial" w:cs="Arial"/>
          <w:noProof/>
        </w:rPr>
      </w:pPr>
      <w:r w:rsidRPr="0016406F">
        <w:rPr>
          <w:rFonts w:ascii="Arial" w:eastAsiaTheme="minorEastAsia" w:hAnsi="Arial" w:cs="Arial"/>
          <w:noProof/>
        </w:rPr>
        <w:t xml:space="preserve">Mjesto i datum sačinjavanja izvještaja:  Podgorica, </w:t>
      </w:r>
      <w:r w:rsidR="005A1096" w:rsidRPr="0016406F">
        <w:rPr>
          <w:rFonts w:ascii="Arial" w:eastAsiaTheme="minorEastAsia" w:hAnsi="Arial" w:cs="Arial"/>
          <w:noProof/>
        </w:rPr>
        <w:t>25.03.</w:t>
      </w:r>
      <w:r w:rsidR="00015F5D" w:rsidRPr="0016406F">
        <w:rPr>
          <w:rFonts w:ascii="Arial" w:eastAsiaTheme="minorEastAsia" w:hAnsi="Arial" w:cs="Arial"/>
          <w:noProof/>
        </w:rPr>
        <w:t>2019</w:t>
      </w:r>
      <w:r w:rsidRPr="0016406F">
        <w:rPr>
          <w:rFonts w:ascii="Arial" w:eastAsiaTheme="minorEastAsia" w:hAnsi="Arial" w:cs="Arial"/>
          <w:noProof/>
        </w:rPr>
        <w:t>. godine</w:t>
      </w:r>
    </w:p>
    <w:p w:rsidR="00C671B6" w:rsidRPr="0016406F" w:rsidRDefault="00C671B6" w:rsidP="00015F5D">
      <w:pPr>
        <w:spacing w:after="0" w:line="276" w:lineRule="auto"/>
        <w:rPr>
          <w:rFonts w:ascii="Arial" w:eastAsiaTheme="minorEastAsia" w:hAnsi="Arial" w:cs="Arial"/>
          <w:noProof/>
        </w:rPr>
      </w:pPr>
    </w:p>
    <w:p w:rsidR="00C671B6" w:rsidRPr="0016406F" w:rsidRDefault="00C671B6" w:rsidP="00015F5D">
      <w:pPr>
        <w:spacing w:after="0" w:line="276" w:lineRule="auto"/>
        <w:rPr>
          <w:rFonts w:ascii="Arial" w:eastAsiaTheme="minorEastAsia" w:hAnsi="Arial" w:cs="Arial"/>
          <w:noProof/>
        </w:rPr>
      </w:pPr>
      <w:r w:rsidRPr="0016406F">
        <w:rPr>
          <w:rFonts w:ascii="Arial" w:eastAsiaTheme="minorEastAsia" w:hAnsi="Arial" w:cs="Arial"/>
          <w:noProof/>
        </w:rPr>
        <w:t>Naziv organizacione jedinice ministarstva koja je odgovorna za pripremu nacrta zakona, odnosno</w:t>
      </w:r>
      <w:r w:rsidR="0000624B" w:rsidRPr="0016406F">
        <w:rPr>
          <w:rFonts w:ascii="Arial" w:eastAsiaTheme="minorEastAsia" w:hAnsi="Arial" w:cs="Arial"/>
          <w:noProof/>
        </w:rPr>
        <w:t xml:space="preserve"> </w:t>
      </w:r>
      <w:r w:rsidRPr="0016406F">
        <w:rPr>
          <w:rFonts w:ascii="Arial" w:eastAsiaTheme="minorEastAsia" w:hAnsi="Arial" w:cs="Arial"/>
          <w:noProof/>
        </w:rPr>
        <w:t>strategije:</w:t>
      </w:r>
      <w:r w:rsidR="0016406F" w:rsidRPr="0016406F">
        <w:t xml:space="preserve"> </w:t>
      </w:r>
      <w:r w:rsidR="0016406F" w:rsidRPr="0016406F">
        <w:rPr>
          <w:rFonts w:ascii="Arial" w:eastAsiaTheme="minorEastAsia" w:hAnsi="Arial" w:cs="Arial"/>
          <w:noProof/>
          <w:u w:val="single"/>
        </w:rPr>
        <w:t>Direktorat za finansijski sistem i unapređenje poslovnog ambijenta</w:t>
      </w:r>
      <w:r w:rsidR="00015F5D" w:rsidRPr="0016406F">
        <w:rPr>
          <w:rFonts w:ascii="Arial" w:eastAsiaTheme="minorEastAsia" w:hAnsi="Arial" w:cs="Arial"/>
          <w:noProof/>
        </w:rPr>
        <w:t xml:space="preserve"> </w:t>
      </w:r>
    </w:p>
    <w:p w:rsidR="00C671B6" w:rsidRPr="0016406F" w:rsidRDefault="00C671B6" w:rsidP="00015F5D">
      <w:pPr>
        <w:spacing w:line="276" w:lineRule="auto"/>
        <w:rPr>
          <w:rFonts w:ascii="Arial" w:eastAsiaTheme="minorEastAsia" w:hAnsi="Arial" w:cs="Arial"/>
          <w:noProof/>
        </w:rPr>
      </w:pPr>
    </w:p>
    <w:p w:rsidR="00C671B6" w:rsidRPr="0016406F" w:rsidRDefault="00C671B6" w:rsidP="00015F5D">
      <w:pPr>
        <w:spacing w:line="276" w:lineRule="auto"/>
        <w:rPr>
          <w:rFonts w:ascii="Arial" w:eastAsiaTheme="minorEastAsia" w:hAnsi="Arial" w:cs="Arial"/>
          <w:noProof/>
        </w:rPr>
      </w:pPr>
    </w:p>
    <w:p w:rsidR="00C671B6" w:rsidRPr="0016406F" w:rsidRDefault="00C671B6" w:rsidP="00015F5D">
      <w:pPr>
        <w:spacing w:after="0" w:line="276" w:lineRule="auto"/>
        <w:jc w:val="right"/>
        <w:rPr>
          <w:rFonts w:ascii="Arial" w:eastAsiaTheme="minorEastAsia" w:hAnsi="Arial" w:cs="Arial"/>
          <w:noProof/>
        </w:rPr>
      </w:pPr>
      <w:r w:rsidRPr="0016406F">
        <w:rPr>
          <w:rFonts w:ascii="Arial" w:eastAsiaTheme="minorEastAsia" w:hAnsi="Arial" w:cs="Arial"/>
          <w:noProof/>
        </w:rPr>
        <w:t>_________________________________________________</w:t>
      </w:r>
    </w:p>
    <w:p w:rsidR="00C671B6" w:rsidRPr="0016406F" w:rsidRDefault="00C671B6" w:rsidP="00015F5D">
      <w:pPr>
        <w:spacing w:after="0" w:line="276" w:lineRule="auto"/>
        <w:jc w:val="right"/>
        <w:rPr>
          <w:rFonts w:ascii="Arial" w:eastAsiaTheme="minorEastAsia" w:hAnsi="Arial" w:cs="Arial"/>
          <w:noProof/>
        </w:rPr>
      </w:pPr>
      <w:r w:rsidRPr="0016406F">
        <w:rPr>
          <w:rFonts w:ascii="Arial" w:eastAsiaTheme="minorEastAsia" w:hAnsi="Arial" w:cs="Arial"/>
          <w:noProof/>
        </w:rPr>
        <w:t xml:space="preserve">                                               Potpis ministra,</w:t>
      </w:r>
    </w:p>
    <w:p w:rsidR="00C671B6" w:rsidRPr="0016406F" w:rsidRDefault="00C671B6" w:rsidP="00015F5D">
      <w:pPr>
        <w:spacing w:after="0" w:line="276" w:lineRule="auto"/>
        <w:jc w:val="right"/>
        <w:rPr>
          <w:rFonts w:ascii="Arial" w:eastAsiaTheme="minorEastAsia" w:hAnsi="Arial" w:cs="Arial"/>
          <w:noProof/>
        </w:rPr>
      </w:pPr>
      <w:r w:rsidRPr="0016406F">
        <w:rPr>
          <w:rFonts w:ascii="Arial" w:eastAsiaTheme="minorEastAsia" w:hAnsi="Arial" w:cs="Arial"/>
          <w:noProof/>
        </w:rPr>
        <w:t xml:space="preserve">       odnosno rukovodioca organizacione jedinice ministarstva</w:t>
      </w:r>
    </w:p>
    <w:p w:rsidR="00C671B6" w:rsidRPr="0016406F" w:rsidRDefault="00C671B6" w:rsidP="00015F5D">
      <w:pPr>
        <w:spacing w:after="0" w:line="276" w:lineRule="auto"/>
        <w:jc w:val="right"/>
        <w:rPr>
          <w:rFonts w:ascii="Arial" w:eastAsiaTheme="minorEastAsia" w:hAnsi="Arial" w:cs="Arial"/>
          <w:noProof/>
        </w:rPr>
      </w:pPr>
      <w:r w:rsidRPr="0016406F">
        <w:rPr>
          <w:rFonts w:ascii="Arial" w:eastAsiaTheme="minorEastAsia" w:hAnsi="Arial" w:cs="Arial"/>
          <w:noProof/>
        </w:rPr>
        <w:t>koja je odgovorna za pripremu nacrta zakona, odnosno strategije</w:t>
      </w:r>
    </w:p>
    <w:p w:rsidR="00C671B6" w:rsidRPr="0016406F" w:rsidRDefault="00C671B6" w:rsidP="00015F5D">
      <w:pPr>
        <w:spacing w:line="276" w:lineRule="auto"/>
        <w:rPr>
          <w:rFonts w:ascii="Arial" w:eastAsiaTheme="minorEastAsia" w:hAnsi="Arial" w:cs="Arial"/>
          <w:noProof/>
        </w:rPr>
      </w:pPr>
    </w:p>
    <w:p w:rsidR="00C671B6" w:rsidRPr="0016406F" w:rsidRDefault="00C671B6" w:rsidP="00015F5D">
      <w:pPr>
        <w:spacing w:line="276" w:lineRule="auto"/>
        <w:rPr>
          <w:rFonts w:ascii="Arial" w:eastAsiaTheme="minorEastAsia" w:hAnsi="Arial" w:cs="Arial"/>
          <w:noProof/>
        </w:rPr>
      </w:pPr>
    </w:p>
    <w:p w:rsidR="00C671B6" w:rsidRPr="0016406F" w:rsidRDefault="00C671B6" w:rsidP="00015F5D">
      <w:pPr>
        <w:spacing w:line="276" w:lineRule="auto"/>
        <w:rPr>
          <w:rFonts w:ascii="Arial" w:eastAsiaTheme="minorEastAsia" w:hAnsi="Arial" w:cs="Arial"/>
          <w:noProof/>
        </w:rPr>
      </w:pPr>
    </w:p>
    <w:p w:rsidR="00A114A9" w:rsidRPr="0016406F" w:rsidRDefault="00A114A9" w:rsidP="00015F5D">
      <w:pPr>
        <w:spacing w:line="276" w:lineRule="auto"/>
        <w:rPr>
          <w:rFonts w:ascii="Arial" w:hAnsi="Arial" w:cs="Arial"/>
          <w:noProof/>
        </w:rPr>
      </w:pPr>
    </w:p>
    <w:sectPr w:rsidR="00A114A9" w:rsidRPr="0016406F" w:rsidSect="00F3128F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D62" w:rsidRDefault="00BA3D62">
      <w:pPr>
        <w:spacing w:after="0" w:line="240" w:lineRule="auto"/>
      </w:pPr>
      <w:r>
        <w:separator/>
      </w:r>
    </w:p>
  </w:endnote>
  <w:endnote w:type="continuationSeparator" w:id="0">
    <w:p w:rsidR="00BA3D62" w:rsidRDefault="00BA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3556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2898" w:rsidRDefault="006263C7">
        <w:pPr>
          <w:pStyle w:val="Footer"/>
          <w:jc w:val="right"/>
        </w:pPr>
        <w:r>
          <w:fldChar w:fldCharType="begin"/>
        </w:r>
        <w:r w:rsidR="002B4CDF">
          <w:instrText xml:space="preserve"> PAGE   \* MERGEFORMAT </w:instrText>
        </w:r>
        <w:r>
          <w:fldChar w:fldCharType="separate"/>
        </w:r>
        <w:r w:rsidR="003070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2898" w:rsidRDefault="00BA3D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D62" w:rsidRDefault="00BA3D62">
      <w:pPr>
        <w:spacing w:after="0" w:line="240" w:lineRule="auto"/>
      </w:pPr>
      <w:r>
        <w:separator/>
      </w:r>
    </w:p>
  </w:footnote>
  <w:footnote w:type="continuationSeparator" w:id="0">
    <w:p w:rsidR="00BA3D62" w:rsidRDefault="00BA3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020"/>
    <w:multiLevelType w:val="hybridMultilevel"/>
    <w:tmpl w:val="5CA22C68"/>
    <w:lvl w:ilvl="0" w:tplc="56D6C878">
      <w:start w:val="1"/>
      <w:numFmt w:val="decimal"/>
      <w:lvlText w:val="%1."/>
      <w:lvlJc w:val="left"/>
      <w:pPr>
        <w:ind w:left="420" w:hanging="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73757"/>
    <w:multiLevelType w:val="hybridMultilevel"/>
    <w:tmpl w:val="672EB4D4"/>
    <w:lvl w:ilvl="0" w:tplc="45067B2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67BBF"/>
    <w:multiLevelType w:val="hybridMultilevel"/>
    <w:tmpl w:val="FEB6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2570A"/>
    <w:multiLevelType w:val="hybridMultilevel"/>
    <w:tmpl w:val="D2082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E717A"/>
    <w:multiLevelType w:val="hybridMultilevel"/>
    <w:tmpl w:val="8B2A70A0"/>
    <w:lvl w:ilvl="0" w:tplc="B776BEDC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BB96901"/>
    <w:multiLevelType w:val="hybridMultilevel"/>
    <w:tmpl w:val="54F23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A1327"/>
    <w:multiLevelType w:val="hybridMultilevel"/>
    <w:tmpl w:val="DA663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83F3C"/>
    <w:multiLevelType w:val="hybridMultilevel"/>
    <w:tmpl w:val="3EA6E75E"/>
    <w:lvl w:ilvl="0" w:tplc="B71C3F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E21B8"/>
    <w:multiLevelType w:val="hybridMultilevel"/>
    <w:tmpl w:val="AE50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103BB4"/>
    <w:multiLevelType w:val="hybridMultilevel"/>
    <w:tmpl w:val="22264DE0"/>
    <w:lvl w:ilvl="0" w:tplc="33F2509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E764A"/>
    <w:multiLevelType w:val="hybridMultilevel"/>
    <w:tmpl w:val="FC98F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37DDB"/>
    <w:multiLevelType w:val="hybridMultilevel"/>
    <w:tmpl w:val="28DE5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671B6"/>
    <w:rsid w:val="0000624B"/>
    <w:rsid w:val="00015F5D"/>
    <w:rsid w:val="00041758"/>
    <w:rsid w:val="00041F9F"/>
    <w:rsid w:val="00057A05"/>
    <w:rsid w:val="000740A8"/>
    <w:rsid w:val="00084E2A"/>
    <w:rsid w:val="00093FDF"/>
    <w:rsid w:val="000D1F90"/>
    <w:rsid w:val="000D71AF"/>
    <w:rsid w:val="00145758"/>
    <w:rsid w:val="0016406F"/>
    <w:rsid w:val="00173690"/>
    <w:rsid w:val="00175D99"/>
    <w:rsid w:val="001E50F7"/>
    <w:rsid w:val="0021199F"/>
    <w:rsid w:val="00234521"/>
    <w:rsid w:val="002575D0"/>
    <w:rsid w:val="00294A82"/>
    <w:rsid w:val="002A37BA"/>
    <w:rsid w:val="002B4CDF"/>
    <w:rsid w:val="002D49E4"/>
    <w:rsid w:val="0030701B"/>
    <w:rsid w:val="00386228"/>
    <w:rsid w:val="003B10E9"/>
    <w:rsid w:val="003E5BC0"/>
    <w:rsid w:val="004051F1"/>
    <w:rsid w:val="004121A3"/>
    <w:rsid w:val="00470621"/>
    <w:rsid w:val="004D356E"/>
    <w:rsid w:val="004D57E3"/>
    <w:rsid w:val="004D73BD"/>
    <w:rsid w:val="004E4579"/>
    <w:rsid w:val="00510E18"/>
    <w:rsid w:val="00563B6B"/>
    <w:rsid w:val="005A1096"/>
    <w:rsid w:val="005E64E6"/>
    <w:rsid w:val="005F1B7A"/>
    <w:rsid w:val="006054F4"/>
    <w:rsid w:val="006263C7"/>
    <w:rsid w:val="00626961"/>
    <w:rsid w:val="00645FD4"/>
    <w:rsid w:val="00682C53"/>
    <w:rsid w:val="006C23BA"/>
    <w:rsid w:val="006F1FE7"/>
    <w:rsid w:val="00705953"/>
    <w:rsid w:val="00711FA3"/>
    <w:rsid w:val="00817714"/>
    <w:rsid w:val="00833735"/>
    <w:rsid w:val="00893EDE"/>
    <w:rsid w:val="008A6355"/>
    <w:rsid w:val="008B0386"/>
    <w:rsid w:val="008F2E62"/>
    <w:rsid w:val="00926895"/>
    <w:rsid w:val="0093079E"/>
    <w:rsid w:val="009631B3"/>
    <w:rsid w:val="00982D75"/>
    <w:rsid w:val="009D2077"/>
    <w:rsid w:val="00A114A9"/>
    <w:rsid w:val="00A14B16"/>
    <w:rsid w:val="00A2782D"/>
    <w:rsid w:val="00A874D2"/>
    <w:rsid w:val="00A878F3"/>
    <w:rsid w:val="00AA4AB1"/>
    <w:rsid w:val="00AC2F94"/>
    <w:rsid w:val="00B203CD"/>
    <w:rsid w:val="00B3540D"/>
    <w:rsid w:val="00B44F86"/>
    <w:rsid w:val="00B50CA6"/>
    <w:rsid w:val="00B955F3"/>
    <w:rsid w:val="00BA3D62"/>
    <w:rsid w:val="00C671B6"/>
    <w:rsid w:val="00C8452E"/>
    <w:rsid w:val="00CA7E86"/>
    <w:rsid w:val="00D3206E"/>
    <w:rsid w:val="00D362E8"/>
    <w:rsid w:val="00D663CE"/>
    <w:rsid w:val="00D900AB"/>
    <w:rsid w:val="00D931EA"/>
    <w:rsid w:val="00DE629F"/>
    <w:rsid w:val="00E209E3"/>
    <w:rsid w:val="00E32065"/>
    <w:rsid w:val="00E908AB"/>
    <w:rsid w:val="00E91C1C"/>
    <w:rsid w:val="00E96F31"/>
    <w:rsid w:val="00EE0FB4"/>
    <w:rsid w:val="00F3128F"/>
    <w:rsid w:val="00FA78CB"/>
    <w:rsid w:val="00FB0E3E"/>
    <w:rsid w:val="00FE36CE"/>
    <w:rsid w:val="00FF6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71B6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671B6"/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A278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6</Pages>
  <Words>2734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Mijomir Cirovic</dc:creator>
  <cp:keywords/>
  <dc:description/>
  <cp:lastModifiedBy>Aleksandra Popovic</cp:lastModifiedBy>
  <cp:revision>16</cp:revision>
  <dcterms:created xsi:type="dcterms:W3CDTF">2019-03-11T08:15:00Z</dcterms:created>
  <dcterms:modified xsi:type="dcterms:W3CDTF">2019-04-01T06:28:00Z</dcterms:modified>
</cp:coreProperties>
</file>