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3741E5" w14:textId="502C1823" w:rsidR="00641AB6" w:rsidRDefault="00330FA1" w:rsidP="00641AB6">
      <w:pPr>
        <w:jc w:val="center"/>
        <w:rPr>
          <w:rFonts w:ascii="Arial" w:eastAsia="Times New Roman" w:hAnsi="Arial" w:cs="Arial"/>
          <w:b/>
          <w:noProof w:val="0"/>
          <w:sz w:val="20"/>
          <w:szCs w:val="20"/>
        </w:rPr>
      </w:pPr>
      <w:bookmarkStart w:id="0" w:name="_Hlk210067576"/>
      <w:r>
        <w:rPr>
          <w:rFonts w:ascii="Arial" w:eastAsia="Times New Roman" w:hAnsi="Arial" w:cs="Arial"/>
          <w:b/>
          <w:noProof w:val="0"/>
          <w:sz w:val="20"/>
          <w:szCs w:val="20"/>
        </w:rPr>
        <w:t xml:space="preserve">JEDINSTVENI </w:t>
      </w:r>
      <w:r w:rsidR="00DF5DC9" w:rsidRPr="007359AD">
        <w:rPr>
          <w:rFonts w:ascii="Arial" w:eastAsia="Times New Roman" w:hAnsi="Arial" w:cs="Arial"/>
          <w:b/>
          <w:noProof w:val="0"/>
          <w:sz w:val="20"/>
          <w:szCs w:val="20"/>
        </w:rPr>
        <w:t>DO</w:t>
      </w:r>
      <w:r>
        <w:rPr>
          <w:rFonts w:ascii="Arial" w:eastAsia="Times New Roman" w:hAnsi="Arial" w:cs="Arial"/>
          <w:b/>
          <w:noProof w:val="0"/>
          <w:sz w:val="20"/>
          <w:szCs w:val="20"/>
        </w:rPr>
        <w:t>K</w:t>
      </w:r>
      <w:r w:rsidR="00DF5DC9" w:rsidRPr="007359AD">
        <w:rPr>
          <w:rFonts w:ascii="Arial" w:eastAsia="Times New Roman" w:hAnsi="Arial" w:cs="Arial"/>
          <w:b/>
          <w:noProof w:val="0"/>
          <w:sz w:val="20"/>
          <w:szCs w:val="20"/>
        </w:rPr>
        <w:t>UMENT</w:t>
      </w:r>
      <w:bookmarkEnd w:id="0"/>
    </w:p>
    <w:p w14:paraId="39E7B97F" w14:textId="249176DF" w:rsidR="00641AB6" w:rsidRPr="00377759" w:rsidRDefault="00330FA1" w:rsidP="00F8149E">
      <w:pPr>
        <w:jc w:val="center"/>
        <w:rPr>
          <w:rFonts w:ascii="Arial" w:eastAsia="Times New Roman" w:hAnsi="Arial" w:cs="Arial"/>
          <w:noProof w:val="0"/>
        </w:rPr>
      </w:pPr>
      <w:r>
        <w:rPr>
          <w:rFonts w:ascii="Arial" w:hAnsi="Arial" w:cs="Arial"/>
          <w:noProof w:val="0"/>
          <w:sz w:val="18"/>
          <w:szCs w:val="18"/>
        </w:rPr>
        <w:t>Zaštićena oznaka porijekla</w:t>
      </w:r>
      <w:r w:rsidR="00675B92">
        <w:rPr>
          <w:rFonts w:ascii="Arial" w:hAnsi="Arial" w:cs="Arial"/>
          <w:noProof w:val="0"/>
          <w:sz w:val="18"/>
          <w:szCs w:val="18"/>
        </w:rPr>
        <w:t xml:space="preserve"> </w:t>
      </w:r>
      <w:r w:rsidR="00F8149E" w:rsidRPr="00B40738">
        <w:rPr>
          <w:rFonts w:ascii="Arial" w:hAnsi="Arial" w:cs="Arial"/>
          <w:sz w:val="18"/>
          <w:szCs w:val="18"/>
        </w:rPr>
        <w:t xml:space="preserve">Budvansko - </w:t>
      </w:r>
      <w:r w:rsidR="00021CD5">
        <w:rPr>
          <w:rFonts w:ascii="Arial" w:hAnsi="Arial" w:cs="Arial"/>
          <w:sz w:val="18"/>
          <w:szCs w:val="18"/>
        </w:rPr>
        <w:t>b</w:t>
      </w:r>
      <w:r w:rsidR="00F8149E" w:rsidRPr="00B40738">
        <w:rPr>
          <w:rFonts w:ascii="Arial" w:hAnsi="Arial" w:cs="Arial"/>
          <w:sz w:val="18"/>
          <w:szCs w:val="18"/>
        </w:rPr>
        <w:t>arski subregion</w:t>
      </w:r>
    </w:p>
    <w:tbl>
      <w:tblPr>
        <w:tblStyle w:val="TableGrid"/>
        <w:tblW w:w="10440" w:type="dxa"/>
        <w:tblInd w:w="-432" w:type="dxa"/>
        <w:tblLook w:val="04A0" w:firstRow="1" w:lastRow="0" w:firstColumn="1" w:lastColumn="0" w:noHBand="0" w:noVBand="1"/>
      </w:tblPr>
      <w:tblGrid>
        <w:gridCol w:w="2808"/>
        <w:gridCol w:w="1129"/>
        <w:gridCol w:w="540"/>
        <w:gridCol w:w="5963"/>
      </w:tblGrid>
      <w:tr w:rsidR="00330FA1" w:rsidRPr="000F2614" w14:paraId="4ABD9C6B" w14:textId="77777777" w:rsidTr="007436E6">
        <w:tc>
          <w:tcPr>
            <w:tcW w:w="3937" w:type="dxa"/>
            <w:gridSpan w:val="2"/>
            <w:tcBorders>
              <w:top w:val="single" w:sz="4" w:space="0" w:color="auto"/>
              <w:left w:val="single" w:sz="4" w:space="0" w:color="auto"/>
              <w:bottom w:val="single" w:sz="4" w:space="0" w:color="auto"/>
              <w:right w:val="single" w:sz="4" w:space="0" w:color="auto"/>
            </w:tcBorders>
            <w:vAlign w:val="center"/>
            <w:hideMark/>
          </w:tcPr>
          <w:p w14:paraId="09C405AC" w14:textId="529781E4"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Datum prijema (DD/MM/GGGG) </w:t>
            </w:r>
            <w:r w:rsidRPr="000F2614">
              <w:rPr>
                <w:rFonts w:ascii="Arial" w:hAnsi="Arial" w:cs="Arial"/>
                <w:i/>
                <w:noProof w:val="0"/>
                <w:sz w:val="16"/>
                <w:szCs w:val="18"/>
              </w:rPr>
              <w:t>(popunjava nadležna institucija)</w:t>
            </w:r>
          </w:p>
        </w:tc>
        <w:tc>
          <w:tcPr>
            <w:tcW w:w="6503" w:type="dxa"/>
            <w:gridSpan w:val="2"/>
            <w:tcBorders>
              <w:top w:val="single" w:sz="4" w:space="0" w:color="auto"/>
              <w:left w:val="single" w:sz="4" w:space="0" w:color="auto"/>
              <w:bottom w:val="single" w:sz="4" w:space="0" w:color="auto"/>
              <w:right w:val="single" w:sz="4" w:space="0" w:color="auto"/>
            </w:tcBorders>
            <w:vAlign w:val="center"/>
          </w:tcPr>
          <w:p w14:paraId="401A445E" w14:textId="77777777" w:rsidR="00330FA1" w:rsidRPr="000F2614" w:rsidRDefault="00330FA1" w:rsidP="00330FA1">
            <w:pPr>
              <w:spacing w:before="100" w:beforeAutospacing="1" w:after="100" w:afterAutospacing="1" w:line="276" w:lineRule="auto"/>
              <w:rPr>
                <w:rFonts w:ascii="Arial" w:hAnsi="Arial" w:cs="Arial"/>
                <w:noProof w:val="0"/>
                <w:sz w:val="18"/>
                <w:szCs w:val="18"/>
              </w:rPr>
            </w:pPr>
          </w:p>
        </w:tc>
      </w:tr>
      <w:tr w:rsidR="00330FA1" w:rsidRPr="000F2614" w14:paraId="2C6A7310" w14:textId="77777777" w:rsidTr="007436E6">
        <w:trPr>
          <w:trHeight w:val="346"/>
        </w:trPr>
        <w:tc>
          <w:tcPr>
            <w:tcW w:w="3937" w:type="dxa"/>
            <w:gridSpan w:val="2"/>
            <w:tcBorders>
              <w:top w:val="single" w:sz="4" w:space="0" w:color="auto"/>
              <w:left w:val="single" w:sz="4" w:space="0" w:color="auto"/>
              <w:bottom w:val="single" w:sz="4" w:space="0" w:color="auto"/>
              <w:right w:val="single" w:sz="4" w:space="0" w:color="auto"/>
            </w:tcBorders>
            <w:vAlign w:val="center"/>
            <w:hideMark/>
          </w:tcPr>
          <w:p w14:paraId="67269FA4" w14:textId="69EFB8AD" w:rsidR="00330FA1" w:rsidRPr="00B8700A" w:rsidRDefault="00330FA1" w:rsidP="00330FA1">
            <w:pPr>
              <w:spacing w:before="100" w:beforeAutospacing="1" w:after="100" w:afterAutospacing="1" w:line="276" w:lineRule="auto"/>
              <w:rPr>
                <w:rFonts w:ascii="Arial" w:hAnsi="Arial" w:cs="Arial"/>
                <w:noProof w:val="0"/>
                <w:sz w:val="18"/>
                <w:szCs w:val="18"/>
              </w:rPr>
            </w:pPr>
            <w:r w:rsidRPr="00B8700A">
              <w:rPr>
                <w:rFonts w:ascii="Arial" w:hAnsi="Arial" w:cs="Arial"/>
                <w:noProof w:val="0"/>
                <w:sz w:val="18"/>
                <w:szCs w:val="18"/>
              </w:rPr>
              <w:t xml:space="preserve">Broj stranica </w:t>
            </w:r>
            <w:r w:rsidRPr="00B8700A">
              <w:rPr>
                <w:rFonts w:ascii="Arial" w:hAnsi="Arial" w:cs="Arial"/>
                <w:i/>
                <w:noProof w:val="0"/>
                <w:sz w:val="16"/>
                <w:szCs w:val="18"/>
              </w:rPr>
              <w:t>(max. 5 uključujući ovu stranicu)</w:t>
            </w:r>
          </w:p>
        </w:tc>
        <w:tc>
          <w:tcPr>
            <w:tcW w:w="6503" w:type="dxa"/>
            <w:gridSpan w:val="2"/>
            <w:tcBorders>
              <w:top w:val="single" w:sz="4" w:space="0" w:color="auto"/>
              <w:left w:val="single" w:sz="4" w:space="0" w:color="auto"/>
              <w:bottom w:val="single" w:sz="4" w:space="0" w:color="auto"/>
              <w:right w:val="single" w:sz="4" w:space="0" w:color="auto"/>
            </w:tcBorders>
            <w:vAlign w:val="center"/>
          </w:tcPr>
          <w:p w14:paraId="4FC75090" w14:textId="04BCA752" w:rsidR="00330FA1" w:rsidRPr="00B8700A" w:rsidRDefault="00F8149E" w:rsidP="00330FA1">
            <w:pPr>
              <w:spacing w:before="100" w:beforeAutospacing="1" w:after="100" w:afterAutospacing="1" w:line="276" w:lineRule="auto"/>
              <w:rPr>
                <w:rFonts w:ascii="Arial" w:hAnsi="Arial" w:cs="Arial"/>
                <w:noProof w:val="0"/>
                <w:sz w:val="18"/>
                <w:szCs w:val="18"/>
              </w:rPr>
            </w:pPr>
            <w:r w:rsidRPr="00794D33">
              <w:rPr>
                <w:rFonts w:ascii="Arial" w:hAnsi="Arial" w:cs="Arial"/>
                <w:noProof w:val="0"/>
                <w:sz w:val="18"/>
                <w:szCs w:val="18"/>
              </w:rPr>
              <w:t>5</w:t>
            </w:r>
            <w:r w:rsidR="00330FA1" w:rsidRPr="00794D33">
              <w:rPr>
                <w:rFonts w:ascii="Arial" w:hAnsi="Arial" w:cs="Arial"/>
                <w:noProof w:val="0"/>
                <w:sz w:val="18"/>
                <w:szCs w:val="18"/>
              </w:rPr>
              <w:t xml:space="preserve"> (</w:t>
            </w:r>
            <w:r w:rsidRPr="00794D33">
              <w:rPr>
                <w:rFonts w:ascii="Arial" w:hAnsi="Arial" w:cs="Arial"/>
                <w:noProof w:val="0"/>
                <w:sz w:val="18"/>
                <w:szCs w:val="18"/>
              </w:rPr>
              <w:t>pet</w:t>
            </w:r>
            <w:r w:rsidR="00330FA1" w:rsidRPr="00794D33">
              <w:rPr>
                <w:rFonts w:ascii="Arial" w:hAnsi="Arial" w:cs="Arial"/>
                <w:noProof w:val="0"/>
                <w:sz w:val="18"/>
                <w:szCs w:val="18"/>
              </w:rPr>
              <w:t>)</w:t>
            </w:r>
          </w:p>
        </w:tc>
      </w:tr>
      <w:tr w:rsidR="00330FA1" w:rsidRPr="000F2614" w14:paraId="4CD6CC5A" w14:textId="77777777" w:rsidTr="007436E6">
        <w:trPr>
          <w:trHeight w:val="310"/>
        </w:trPr>
        <w:tc>
          <w:tcPr>
            <w:tcW w:w="3937" w:type="dxa"/>
            <w:gridSpan w:val="2"/>
            <w:tcBorders>
              <w:top w:val="single" w:sz="4" w:space="0" w:color="auto"/>
              <w:left w:val="single" w:sz="4" w:space="0" w:color="auto"/>
              <w:bottom w:val="single" w:sz="4" w:space="0" w:color="auto"/>
              <w:right w:val="single" w:sz="4" w:space="0" w:color="auto"/>
            </w:tcBorders>
            <w:vAlign w:val="center"/>
            <w:hideMark/>
          </w:tcPr>
          <w:p w14:paraId="0ACD02FC" w14:textId="2D3FCE9D"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Jezik na kojem se podnosi zahtjev* </w:t>
            </w:r>
          </w:p>
        </w:tc>
        <w:tc>
          <w:tcPr>
            <w:tcW w:w="6503" w:type="dxa"/>
            <w:gridSpan w:val="2"/>
            <w:tcBorders>
              <w:top w:val="single" w:sz="4" w:space="0" w:color="auto"/>
              <w:left w:val="single" w:sz="4" w:space="0" w:color="auto"/>
              <w:bottom w:val="single" w:sz="4" w:space="0" w:color="auto"/>
              <w:right w:val="single" w:sz="4" w:space="0" w:color="auto"/>
            </w:tcBorders>
            <w:vAlign w:val="center"/>
          </w:tcPr>
          <w:p w14:paraId="75F82CAC" w14:textId="62C41DFF"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crnogorski</w:t>
            </w:r>
          </w:p>
        </w:tc>
      </w:tr>
      <w:tr w:rsidR="00330FA1" w:rsidRPr="000F2614" w14:paraId="7EFCF331" w14:textId="77777777" w:rsidTr="007436E6">
        <w:tc>
          <w:tcPr>
            <w:tcW w:w="3937" w:type="dxa"/>
            <w:gridSpan w:val="2"/>
            <w:tcBorders>
              <w:top w:val="single" w:sz="4" w:space="0" w:color="auto"/>
              <w:left w:val="single" w:sz="4" w:space="0" w:color="auto"/>
              <w:bottom w:val="single" w:sz="4" w:space="0" w:color="auto"/>
              <w:right w:val="single" w:sz="4" w:space="0" w:color="auto"/>
            </w:tcBorders>
            <w:vAlign w:val="center"/>
            <w:hideMark/>
          </w:tcPr>
          <w:p w14:paraId="676A7AED" w14:textId="31752551"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Djelovodni broj </w:t>
            </w:r>
            <w:r w:rsidRPr="000F2614">
              <w:rPr>
                <w:rFonts w:ascii="Arial" w:hAnsi="Arial" w:cs="Arial"/>
                <w:i/>
                <w:noProof w:val="0"/>
                <w:sz w:val="16"/>
                <w:szCs w:val="18"/>
              </w:rPr>
              <w:t>(popunjava nadležna institucija)</w:t>
            </w:r>
          </w:p>
        </w:tc>
        <w:tc>
          <w:tcPr>
            <w:tcW w:w="6503" w:type="dxa"/>
            <w:gridSpan w:val="2"/>
            <w:tcBorders>
              <w:top w:val="single" w:sz="4" w:space="0" w:color="auto"/>
              <w:left w:val="single" w:sz="4" w:space="0" w:color="auto"/>
              <w:bottom w:val="single" w:sz="4" w:space="0" w:color="auto"/>
              <w:right w:val="single" w:sz="4" w:space="0" w:color="auto"/>
            </w:tcBorders>
            <w:vAlign w:val="center"/>
          </w:tcPr>
          <w:p w14:paraId="7AFAB4F4" w14:textId="77777777" w:rsidR="00330FA1" w:rsidRPr="000F2614" w:rsidRDefault="00330FA1" w:rsidP="00330FA1">
            <w:pPr>
              <w:spacing w:before="100" w:beforeAutospacing="1" w:after="100" w:afterAutospacing="1" w:line="276" w:lineRule="auto"/>
              <w:rPr>
                <w:rFonts w:ascii="Arial" w:hAnsi="Arial" w:cs="Arial"/>
                <w:noProof w:val="0"/>
                <w:color w:val="FF0000"/>
                <w:sz w:val="18"/>
                <w:szCs w:val="18"/>
              </w:rPr>
            </w:pPr>
          </w:p>
        </w:tc>
      </w:tr>
      <w:tr w:rsidR="00DF5DC9" w:rsidRPr="000F2614" w14:paraId="04292920" w14:textId="77777777" w:rsidTr="007436E6">
        <w:tc>
          <w:tcPr>
            <w:tcW w:w="3937" w:type="dxa"/>
            <w:gridSpan w:val="2"/>
            <w:tcBorders>
              <w:top w:val="single" w:sz="4" w:space="0" w:color="auto"/>
              <w:left w:val="single" w:sz="4" w:space="0" w:color="auto"/>
              <w:bottom w:val="single" w:sz="4" w:space="0" w:color="auto"/>
              <w:right w:val="single" w:sz="4" w:space="0" w:color="auto"/>
            </w:tcBorders>
            <w:vAlign w:val="center"/>
          </w:tcPr>
          <w:p w14:paraId="490A970F" w14:textId="77777777" w:rsidR="00DF5DC9" w:rsidRPr="000F2614" w:rsidRDefault="00DF5DC9" w:rsidP="00DF5DC9">
            <w:pPr>
              <w:spacing w:before="100" w:beforeAutospacing="1" w:after="100" w:afterAutospacing="1" w:line="276" w:lineRule="auto"/>
              <w:rPr>
                <w:rFonts w:ascii="Arial" w:hAnsi="Arial" w:cs="Arial"/>
                <w:noProof w:val="0"/>
                <w:sz w:val="18"/>
                <w:szCs w:val="18"/>
              </w:rPr>
            </w:pPr>
          </w:p>
        </w:tc>
        <w:tc>
          <w:tcPr>
            <w:tcW w:w="6503" w:type="dxa"/>
            <w:gridSpan w:val="2"/>
            <w:tcBorders>
              <w:top w:val="single" w:sz="4" w:space="0" w:color="auto"/>
              <w:left w:val="single" w:sz="4" w:space="0" w:color="auto"/>
              <w:bottom w:val="single" w:sz="4" w:space="0" w:color="auto"/>
              <w:right w:val="single" w:sz="4" w:space="0" w:color="auto"/>
            </w:tcBorders>
            <w:vAlign w:val="center"/>
          </w:tcPr>
          <w:p w14:paraId="365208D2" w14:textId="77777777" w:rsidR="00DF5DC9" w:rsidRPr="000F2614" w:rsidRDefault="00DF5DC9" w:rsidP="00DF5DC9">
            <w:pPr>
              <w:spacing w:before="100" w:beforeAutospacing="1" w:after="100" w:afterAutospacing="1" w:line="276" w:lineRule="auto"/>
              <w:rPr>
                <w:rFonts w:ascii="Arial" w:hAnsi="Arial" w:cs="Arial"/>
                <w:noProof w:val="0"/>
                <w:color w:val="FF0000"/>
                <w:sz w:val="18"/>
                <w:szCs w:val="18"/>
              </w:rPr>
            </w:pPr>
          </w:p>
        </w:tc>
      </w:tr>
      <w:tr w:rsidR="00330FA1" w:rsidRPr="000F2614" w14:paraId="28ED0838" w14:textId="77777777" w:rsidTr="007436E6">
        <w:tc>
          <w:tcPr>
            <w:tcW w:w="3937" w:type="dxa"/>
            <w:gridSpan w:val="2"/>
            <w:tcBorders>
              <w:top w:val="single" w:sz="4" w:space="0" w:color="auto"/>
              <w:left w:val="single" w:sz="4" w:space="0" w:color="auto"/>
              <w:bottom w:val="single" w:sz="4" w:space="0" w:color="auto"/>
              <w:right w:val="single" w:sz="4" w:space="0" w:color="auto"/>
            </w:tcBorders>
            <w:vAlign w:val="center"/>
            <w:hideMark/>
          </w:tcPr>
          <w:p w14:paraId="3A1B5305" w14:textId="0A3B91E2"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b/>
                <w:noProof w:val="0"/>
                <w:sz w:val="18"/>
                <w:szCs w:val="18"/>
              </w:rPr>
              <w:t>Podnosilac Zahtjeva</w:t>
            </w:r>
          </w:p>
        </w:tc>
        <w:tc>
          <w:tcPr>
            <w:tcW w:w="6503" w:type="dxa"/>
            <w:gridSpan w:val="2"/>
            <w:tcBorders>
              <w:top w:val="single" w:sz="4" w:space="0" w:color="auto"/>
              <w:left w:val="single" w:sz="4" w:space="0" w:color="auto"/>
              <w:bottom w:val="single" w:sz="4" w:space="0" w:color="auto"/>
              <w:right w:val="single" w:sz="4" w:space="0" w:color="auto"/>
            </w:tcBorders>
            <w:vAlign w:val="center"/>
          </w:tcPr>
          <w:p w14:paraId="454CA89A" w14:textId="77777777" w:rsidR="00330FA1" w:rsidRPr="000F2614" w:rsidRDefault="00330FA1" w:rsidP="00330FA1">
            <w:pPr>
              <w:spacing w:before="100" w:beforeAutospacing="1" w:after="100" w:afterAutospacing="1" w:line="276" w:lineRule="auto"/>
              <w:rPr>
                <w:rFonts w:ascii="Arial" w:hAnsi="Arial" w:cs="Arial"/>
                <w:noProof w:val="0"/>
                <w:color w:val="FF0000"/>
                <w:sz w:val="18"/>
                <w:szCs w:val="18"/>
              </w:rPr>
            </w:pPr>
          </w:p>
        </w:tc>
      </w:tr>
      <w:tr w:rsidR="00F8149E" w:rsidRPr="000F2614" w14:paraId="6ED32267" w14:textId="77777777" w:rsidTr="007436E6">
        <w:trPr>
          <w:trHeight w:val="346"/>
        </w:trPr>
        <w:tc>
          <w:tcPr>
            <w:tcW w:w="3937" w:type="dxa"/>
            <w:gridSpan w:val="2"/>
            <w:tcBorders>
              <w:top w:val="single" w:sz="4" w:space="0" w:color="auto"/>
              <w:left w:val="single" w:sz="4" w:space="0" w:color="auto"/>
              <w:bottom w:val="single" w:sz="4" w:space="0" w:color="auto"/>
              <w:right w:val="single" w:sz="4" w:space="0" w:color="auto"/>
            </w:tcBorders>
            <w:vAlign w:val="center"/>
            <w:hideMark/>
          </w:tcPr>
          <w:p w14:paraId="286111E1" w14:textId="14156015" w:rsidR="00F8149E" w:rsidRPr="000F2614" w:rsidRDefault="00F8149E" w:rsidP="00F8149E">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Ime fizičkog lica ili naziv pravnog lica </w:t>
            </w:r>
          </w:p>
        </w:tc>
        <w:tc>
          <w:tcPr>
            <w:tcW w:w="6503" w:type="dxa"/>
            <w:gridSpan w:val="2"/>
            <w:tcBorders>
              <w:top w:val="single" w:sz="4" w:space="0" w:color="auto"/>
              <w:left w:val="single" w:sz="4" w:space="0" w:color="auto"/>
              <w:bottom w:val="single" w:sz="4" w:space="0" w:color="auto"/>
              <w:right w:val="single" w:sz="4" w:space="0" w:color="auto"/>
            </w:tcBorders>
            <w:vAlign w:val="center"/>
          </w:tcPr>
          <w:p w14:paraId="2EF7ADCB" w14:textId="0D512470" w:rsidR="00F8149E" w:rsidRPr="00780441" w:rsidRDefault="00F8149E" w:rsidP="00F8149E">
            <w:pPr>
              <w:spacing w:before="100" w:beforeAutospacing="1" w:after="100" w:afterAutospacing="1" w:line="276" w:lineRule="auto"/>
              <w:rPr>
                <w:rFonts w:ascii="Arial" w:hAnsi="Arial" w:cs="Arial"/>
                <w:noProof w:val="0"/>
                <w:color w:val="FF0000"/>
                <w:sz w:val="18"/>
                <w:szCs w:val="18"/>
              </w:rPr>
            </w:pPr>
            <w:r w:rsidRPr="00377759">
              <w:rPr>
                <w:rFonts w:ascii="Arial" w:hAnsi="Arial" w:cs="Arial"/>
                <w:noProof w:val="0"/>
                <w:sz w:val="18"/>
                <w:szCs w:val="18"/>
              </w:rPr>
              <w:t>„T</w:t>
            </w:r>
            <w:r>
              <w:rPr>
                <w:rFonts w:ascii="Arial" w:hAnsi="Arial" w:cs="Arial"/>
                <w:noProof w:val="0"/>
                <w:sz w:val="18"/>
                <w:szCs w:val="18"/>
              </w:rPr>
              <w:t>AP</w:t>
            </w:r>
            <w:r w:rsidRPr="00377759">
              <w:rPr>
                <w:rFonts w:ascii="Arial" w:hAnsi="Arial" w:cs="Arial"/>
                <w:noProof w:val="0"/>
                <w:sz w:val="18"/>
                <w:szCs w:val="18"/>
              </w:rPr>
              <w:t xml:space="preserve"> Jović br. 1“</w:t>
            </w:r>
          </w:p>
        </w:tc>
      </w:tr>
      <w:tr w:rsidR="00F8149E" w:rsidRPr="000F2614" w14:paraId="560ADEBE" w14:textId="77777777" w:rsidTr="007436E6">
        <w:tc>
          <w:tcPr>
            <w:tcW w:w="3937" w:type="dxa"/>
            <w:gridSpan w:val="2"/>
            <w:tcBorders>
              <w:top w:val="single" w:sz="4" w:space="0" w:color="auto"/>
              <w:left w:val="single" w:sz="4" w:space="0" w:color="auto"/>
              <w:bottom w:val="single" w:sz="4" w:space="0" w:color="auto"/>
              <w:right w:val="single" w:sz="4" w:space="0" w:color="auto"/>
            </w:tcBorders>
            <w:vAlign w:val="center"/>
            <w:hideMark/>
          </w:tcPr>
          <w:p w14:paraId="34DBCB92" w14:textId="775D8AB8" w:rsidR="00F8149E" w:rsidRPr="000F2614" w:rsidRDefault="00F8149E" w:rsidP="00F8149E">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Puna adresa (naziv ulice i broj, mjesto/grad i poštanski broj, država)</w:t>
            </w:r>
          </w:p>
        </w:tc>
        <w:tc>
          <w:tcPr>
            <w:tcW w:w="6503" w:type="dxa"/>
            <w:gridSpan w:val="2"/>
            <w:tcBorders>
              <w:top w:val="single" w:sz="4" w:space="0" w:color="auto"/>
              <w:left w:val="single" w:sz="4" w:space="0" w:color="auto"/>
              <w:bottom w:val="single" w:sz="4" w:space="0" w:color="auto"/>
              <w:right w:val="single" w:sz="4" w:space="0" w:color="auto"/>
            </w:tcBorders>
            <w:vAlign w:val="center"/>
          </w:tcPr>
          <w:p w14:paraId="6F1D6725" w14:textId="4DEF8E8D" w:rsidR="00F8149E" w:rsidRPr="00780441" w:rsidRDefault="00F8149E" w:rsidP="00F8149E">
            <w:pPr>
              <w:spacing w:before="100" w:beforeAutospacing="1" w:after="100" w:afterAutospacing="1" w:line="276" w:lineRule="auto"/>
              <w:rPr>
                <w:rFonts w:ascii="Arial" w:hAnsi="Arial" w:cs="Arial"/>
                <w:noProof w:val="0"/>
                <w:color w:val="FF0000"/>
                <w:sz w:val="18"/>
                <w:szCs w:val="18"/>
              </w:rPr>
            </w:pPr>
            <w:r w:rsidRPr="00377759">
              <w:rPr>
                <w:rFonts w:ascii="Arial" w:hAnsi="Arial" w:cs="Arial"/>
                <w:noProof w:val="0"/>
                <w:sz w:val="18"/>
                <w:szCs w:val="18"/>
              </w:rPr>
              <w:t>Bar</w:t>
            </w:r>
            <w:r>
              <w:rPr>
                <w:rFonts w:ascii="Arial" w:hAnsi="Arial" w:cs="Arial"/>
                <w:noProof w:val="0"/>
                <w:sz w:val="18"/>
                <w:szCs w:val="18"/>
              </w:rPr>
              <w:t xml:space="preserve">, </w:t>
            </w:r>
            <w:r w:rsidRPr="00377759">
              <w:rPr>
                <w:rFonts w:ascii="Arial" w:hAnsi="Arial" w:cs="Arial"/>
                <w:noProof w:val="0"/>
                <w:sz w:val="18"/>
                <w:szCs w:val="18"/>
              </w:rPr>
              <w:t>Sutomore, ul. „Partizanski put“ br. 100</w:t>
            </w:r>
          </w:p>
        </w:tc>
      </w:tr>
      <w:tr w:rsidR="00F8149E" w:rsidRPr="000F2614" w14:paraId="7EFC0449" w14:textId="77777777" w:rsidTr="007436E6">
        <w:trPr>
          <w:trHeight w:val="328"/>
        </w:trPr>
        <w:tc>
          <w:tcPr>
            <w:tcW w:w="3937" w:type="dxa"/>
            <w:gridSpan w:val="2"/>
            <w:tcBorders>
              <w:top w:val="single" w:sz="4" w:space="0" w:color="auto"/>
              <w:left w:val="single" w:sz="4" w:space="0" w:color="auto"/>
              <w:bottom w:val="single" w:sz="4" w:space="0" w:color="auto"/>
              <w:right w:val="single" w:sz="4" w:space="0" w:color="auto"/>
            </w:tcBorders>
            <w:vAlign w:val="center"/>
            <w:hideMark/>
          </w:tcPr>
          <w:p w14:paraId="7A0FF2DD" w14:textId="3950BD5E" w:rsidR="00F8149E" w:rsidRPr="000F2614" w:rsidRDefault="00F8149E" w:rsidP="00F8149E">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 xml:space="preserve">Pravni status, veličina i sastav </w:t>
            </w:r>
            <w:r w:rsidRPr="000F2614">
              <w:rPr>
                <w:rFonts w:ascii="Arial" w:hAnsi="Arial" w:cs="Arial"/>
                <w:i/>
                <w:noProof w:val="0"/>
                <w:sz w:val="16"/>
                <w:szCs w:val="18"/>
              </w:rPr>
              <w:t>(u slučaju pravnog lica)</w:t>
            </w:r>
          </w:p>
        </w:tc>
        <w:tc>
          <w:tcPr>
            <w:tcW w:w="6503" w:type="dxa"/>
            <w:gridSpan w:val="2"/>
            <w:tcBorders>
              <w:top w:val="single" w:sz="4" w:space="0" w:color="auto"/>
              <w:left w:val="single" w:sz="4" w:space="0" w:color="auto"/>
              <w:bottom w:val="single" w:sz="4" w:space="0" w:color="auto"/>
              <w:right w:val="single" w:sz="4" w:space="0" w:color="auto"/>
            </w:tcBorders>
            <w:vAlign w:val="center"/>
          </w:tcPr>
          <w:p w14:paraId="50E5124D" w14:textId="5E2140FF" w:rsidR="00F8149E" w:rsidRPr="00780441" w:rsidRDefault="00F8149E" w:rsidP="00F8149E">
            <w:pPr>
              <w:spacing w:before="100" w:beforeAutospacing="1" w:after="100" w:afterAutospacing="1" w:line="276" w:lineRule="auto"/>
              <w:rPr>
                <w:rFonts w:ascii="Arial" w:hAnsi="Arial" w:cs="Arial"/>
                <w:noProof w:val="0"/>
                <w:color w:val="FF0000"/>
                <w:sz w:val="18"/>
                <w:szCs w:val="18"/>
              </w:rPr>
            </w:pPr>
            <w:r>
              <w:rPr>
                <w:rFonts w:ascii="Arial" w:hAnsi="Arial" w:cs="Arial"/>
                <w:noProof w:val="0"/>
                <w:sz w:val="18"/>
                <w:szCs w:val="18"/>
              </w:rPr>
              <w:t>DOO</w:t>
            </w:r>
          </w:p>
        </w:tc>
      </w:tr>
      <w:tr w:rsidR="00F8149E" w:rsidRPr="000F2614" w14:paraId="42C71D3C" w14:textId="77777777" w:rsidTr="007436E6">
        <w:tc>
          <w:tcPr>
            <w:tcW w:w="3937" w:type="dxa"/>
            <w:gridSpan w:val="2"/>
            <w:tcBorders>
              <w:top w:val="single" w:sz="4" w:space="0" w:color="auto"/>
              <w:left w:val="single" w:sz="4" w:space="0" w:color="auto"/>
              <w:bottom w:val="single" w:sz="4" w:space="0" w:color="auto"/>
              <w:right w:val="single" w:sz="4" w:space="0" w:color="auto"/>
            </w:tcBorders>
            <w:vAlign w:val="center"/>
            <w:hideMark/>
          </w:tcPr>
          <w:p w14:paraId="253D6F70" w14:textId="14263F48" w:rsidR="00F8149E" w:rsidRPr="000F2614" w:rsidRDefault="00F8149E" w:rsidP="00F8149E">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Državljanstvo*</w:t>
            </w:r>
          </w:p>
        </w:tc>
        <w:tc>
          <w:tcPr>
            <w:tcW w:w="6503" w:type="dxa"/>
            <w:gridSpan w:val="2"/>
            <w:tcBorders>
              <w:top w:val="single" w:sz="4" w:space="0" w:color="auto"/>
              <w:left w:val="single" w:sz="4" w:space="0" w:color="auto"/>
              <w:bottom w:val="single" w:sz="4" w:space="0" w:color="auto"/>
              <w:right w:val="single" w:sz="4" w:space="0" w:color="auto"/>
            </w:tcBorders>
            <w:vAlign w:val="center"/>
          </w:tcPr>
          <w:p w14:paraId="40E8EC89" w14:textId="77777777" w:rsidR="00F8149E" w:rsidRPr="00780441" w:rsidRDefault="00F8149E" w:rsidP="00F8149E">
            <w:pPr>
              <w:spacing w:before="100" w:beforeAutospacing="1" w:after="100" w:afterAutospacing="1" w:line="276" w:lineRule="auto"/>
              <w:rPr>
                <w:rFonts w:ascii="Arial" w:hAnsi="Arial" w:cs="Arial"/>
                <w:noProof w:val="0"/>
                <w:color w:val="FF0000"/>
                <w:sz w:val="18"/>
                <w:szCs w:val="18"/>
              </w:rPr>
            </w:pPr>
          </w:p>
        </w:tc>
      </w:tr>
      <w:tr w:rsidR="00F8149E" w:rsidRPr="000F2614" w14:paraId="5A491EA2" w14:textId="77777777" w:rsidTr="007436E6">
        <w:trPr>
          <w:trHeight w:val="346"/>
        </w:trPr>
        <w:tc>
          <w:tcPr>
            <w:tcW w:w="3937" w:type="dxa"/>
            <w:gridSpan w:val="2"/>
            <w:tcBorders>
              <w:top w:val="single" w:sz="4" w:space="0" w:color="auto"/>
              <w:left w:val="single" w:sz="4" w:space="0" w:color="auto"/>
              <w:bottom w:val="single" w:sz="4" w:space="0" w:color="auto"/>
              <w:right w:val="single" w:sz="4" w:space="0" w:color="auto"/>
            </w:tcBorders>
            <w:vAlign w:val="center"/>
            <w:hideMark/>
          </w:tcPr>
          <w:p w14:paraId="6BB95BFD" w14:textId="7F7B105F" w:rsidR="00F8149E" w:rsidRPr="000F2614" w:rsidRDefault="00F8149E" w:rsidP="00F8149E">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Telefon, faks, e-mail </w:t>
            </w:r>
          </w:p>
        </w:tc>
        <w:tc>
          <w:tcPr>
            <w:tcW w:w="6503" w:type="dxa"/>
            <w:gridSpan w:val="2"/>
            <w:tcBorders>
              <w:top w:val="single" w:sz="4" w:space="0" w:color="auto"/>
              <w:left w:val="single" w:sz="4" w:space="0" w:color="auto"/>
              <w:bottom w:val="single" w:sz="4" w:space="0" w:color="auto"/>
              <w:right w:val="single" w:sz="4" w:space="0" w:color="auto"/>
            </w:tcBorders>
            <w:vAlign w:val="center"/>
          </w:tcPr>
          <w:p w14:paraId="410AE6E8" w14:textId="18A7CD83" w:rsidR="00F8149E" w:rsidRPr="00780441" w:rsidRDefault="00F8149E" w:rsidP="00F8149E">
            <w:pPr>
              <w:spacing w:before="100" w:beforeAutospacing="1" w:after="100" w:afterAutospacing="1" w:line="276" w:lineRule="auto"/>
              <w:rPr>
                <w:rFonts w:ascii="Arial" w:hAnsi="Arial" w:cs="Arial"/>
                <w:noProof w:val="0"/>
                <w:color w:val="FF0000"/>
                <w:sz w:val="18"/>
                <w:szCs w:val="18"/>
              </w:rPr>
            </w:pPr>
            <w:r w:rsidRPr="00377759">
              <w:rPr>
                <w:rFonts w:ascii="Arial" w:hAnsi="Arial" w:cs="Arial"/>
                <w:noProof w:val="0"/>
                <w:sz w:val="18"/>
                <w:szCs w:val="18"/>
              </w:rPr>
              <w:t>Tel.: +382 68 032 070  E-mail:  jovicranko@t-com.me</w:t>
            </w:r>
          </w:p>
        </w:tc>
      </w:tr>
      <w:tr w:rsidR="00F8149E" w:rsidRPr="000F2614" w14:paraId="43F7EBB5" w14:textId="77777777" w:rsidTr="007436E6">
        <w:trPr>
          <w:trHeight w:val="70"/>
        </w:trPr>
        <w:tc>
          <w:tcPr>
            <w:tcW w:w="3937" w:type="dxa"/>
            <w:gridSpan w:val="2"/>
            <w:tcBorders>
              <w:top w:val="single" w:sz="4" w:space="0" w:color="auto"/>
              <w:left w:val="single" w:sz="4" w:space="0" w:color="auto"/>
              <w:bottom w:val="single" w:sz="4" w:space="0" w:color="auto"/>
              <w:right w:val="single" w:sz="4" w:space="0" w:color="auto"/>
            </w:tcBorders>
            <w:vAlign w:val="center"/>
          </w:tcPr>
          <w:p w14:paraId="42290A36" w14:textId="77777777" w:rsidR="00F8149E" w:rsidRPr="000F2614" w:rsidRDefault="00F8149E" w:rsidP="00F8149E">
            <w:pPr>
              <w:spacing w:before="100" w:beforeAutospacing="1" w:after="100" w:afterAutospacing="1" w:line="276" w:lineRule="auto"/>
              <w:rPr>
                <w:rFonts w:ascii="Arial" w:hAnsi="Arial" w:cs="Arial"/>
                <w:noProof w:val="0"/>
                <w:sz w:val="18"/>
                <w:szCs w:val="18"/>
              </w:rPr>
            </w:pPr>
          </w:p>
        </w:tc>
        <w:tc>
          <w:tcPr>
            <w:tcW w:w="6503" w:type="dxa"/>
            <w:gridSpan w:val="2"/>
            <w:tcBorders>
              <w:top w:val="single" w:sz="4" w:space="0" w:color="auto"/>
              <w:left w:val="single" w:sz="4" w:space="0" w:color="auto"/>
              <w:bottom w:val="single" w:sz="4" w:space="0" w:color="auto"/>
              <w:right w:val="single" w:sz="4" w:space="0" w:color="auto"/>
            </w:tcBorders>
            <w:vAlign w:val="center"/>
          </w:tcPr>
          <w:p w14:paraId="3B799FE5" w14:textId="77777777" w:rsidR="00F8149E" w:rsidRPr="00780441" w:rsidRDefault="00F8149E" w:rsidP="00F8149E">
            <w:pPr>
              <w:spacing w:before="100" w:beforeAutospacing="1" w:after="100" w:afterAutospacing="1" w:line="276" w:lineRule="auto"/>
              <w:rPr>
                <w:rFonts w:ascii="Arial" w:hAnsi="Arial" w:cs="Arial"/>
                <w:noProof w:val="0"/>
                <w:color w:val="FF0000"/>
                <w:sz w:val="18"/>
                <w:szCs w:val="18"/>
              </w:rPr>
            </w:pPr>
          </w:p>
        </w:tc>
      </w:tr>
      <w:tr w:rsidR="00F8149E" w:rsidRPr="000F2614" w14:paraId="06556B79" w14:textId="77777777" w:rsidTr="007436E6">
        <w:tc>
          <w:tcPr>
            <w:tcW w:w="3937" w:type="dxa"/>
            <w:gridSpan w:val="2"/>
            <w:tcBorders>
              <w:top w:val="single" w:sz="4" w:space="0" w:color="auto"/>
              <w:left w:val="single" w:sz="4" w:space="0" w:color="auto"/>
              <w:bottom w:val="single" w:sz="4" w:space="0" w:color="auto"/>
              <w:right w:val="single" w:sz="4" w:space="0" w:color="auto"/>
            </w:tcBorders>
            <w:vAlign w:val="center"/>
            <w:hideMark/>
          </w:tcPr>
          <w:p w14:paraId="191A5E97" w14:textId="2F543D2B" w:rsidR="00F8149E" w:rsidRPr="000F2614" w:rsidRDefault="00F8149E" w:rsidP="00F8149E">
            <w:pPr>
              <w:spacing w:before="100" w:beforeAutospacing="1" w:after="100" w:afterAutospacing="1" w:line="276" w:lineRule="auto"/>
              <w:rPr>
                <w:rFonts w:ascii="Arial" w:hAnsi="Arial" w:cs="Arial"/>
                <w:noProof w:val="0"/>
                <w:sz w:val="18"/>
                <w:szCs w:val="18"/>
              </w:rPr>
            </w:pPr>
            <w:r w:rsidRPr="000F2614">
              <w:rPr>
                <w:rFonts w:ascii="Arial" w:hAnsi="Arial" w:cs="Arial"/>
                <w:b/>
                <w:noProof w:val="0"/>
                <w:sz w:val="18"/>
                <w:szCs w:val="18"/>
              </w:rPr>
              <w:t>Posrednik*</w:t>
            </w:r>
          </w:p>
        </w:tc>
        <w:tc>
          <w:tcPr>
            <w:tcW w:w="6503" w:type="dxa"/>
            <w:gridSpan w:val="2"/>
            <w:tcBorders>
              <w:top w:val="single" w:sz="4" w:space="0" w:color="auto"/>
              <w:left w:val="single" w:sz="4" w:space="0" w:color="auto"/>
              <w:bottom w:val="single" w:sz="4" w:space="0" w:color="auto"/>
              <w:right w:val="single" w:sz="4" w:space="0" w:color="auto"/>
            </w:tcBorders>
            <w:vAlign w:val="center"/>
          </w:tcPr>
          <w:p w14:paraId="23AB868C" w14:textId="77777777" w:rsidR="00F8149E" w:rsidRPr="000F2614" w:rsidRDefault="00F8149E" w:rsidP="00F8149E">
            <w:pPr>
              <w:spacing w:before="100" w:beforeAutospacing="1" w:after="100" w:afterAutospacing="1" w:line="276" w:lineRule="auto"/>
              <w:rPr>
                <w:rFonts w:ascii="Arial" w:hAnsi="Arial" w:cs="Arial"/>
                <w:noProof w:val="0"/>
                <w:color w:val="FF0000"/>
                <w:sz w:val="18"/>
                <w:szCs w:val="18"/>
              </w:rPr>
            </w:pPr>
          </w:p>
        </w:tc>
      </w:tr>
      <w:tr w:rsidR="00F8149E" w:rsidRPr="000F2614" w14:paraId="6314823D" w14:textId="77777777" w:rsidTr="007436E6">
        <w:trPr>
          <w:trHeight w:val="328"/>
        </w:trPr>
        <w:tc>
          <w:tcPr>
            <w:tcW w:w="3937" w:type="dxa"/>
            <w:gridSpan w:val="2"/>
            <w:tcBorders>
              <w:top w:val="single" w:sz="4" w:space="0" w:color="auto"/>
              <w:left w:val="single" w:sz="4" w:space="0" w:color="auto"/>
              <w:bottom w:val="single" w:sz="4" w:space="0" w:color="auto"/>
              <w:right w:val="single" w:sz="4" w:space="0" w:color="auto"/>
            </w:tcBorders>
            <w:vAlign w:val="center"/>
            <w:hideMark/>
          </w:tcPr>
          <w:p w14:paraId="1608C6CB" w14:textId="2787518C" w:rsidR="00F8149E" w:rsidRPr="000F2614" w:rsidRDefault="00F8149E" w:rsidP="00F8149E">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Država*</w:t>
            </w:r>
          </w:p>
        </w:tc>
        <w:tc>
          <w:tcPr>
            <w:tcW w:w="6503" w:type="dxa"/>
            <w:gridSpan w:val="2"/>
            <w:tcBorders>
              <w:top w:val="single" w:sz="4" w:space="0" w:color="auto"/>
              <w:left w:val="single" w:sz="4" w:space="0" w:color="auto"/>
              <w:bottom w:val="single" w:sz="4" w:space="0" w:color="auto"/>
              <w:right w:val="single" w:sz="4" w:space="0" w:color="auto"/>
            </w:tcBorders>
            <w:vAlign w:val="center"/>
          </w:tcPr>
          <w:p w14:paraId="69BF184F" w14:textId="69FC6E89" w:rsidR="00F8149E" w:rsidRPr="000F2614" w:rsidRDefault="00F8149E" w:rsidP="00F8149E">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Crna Gora</w:t>
            </w:r>
          </w:p>
        </w:tc>
      </w:tr>
      <w:tr w:rsidR="00F8149E" w:rsidRPr="000F2614" w14:paraId="61CDBCED" w14:textId="77777777" w:rsidTr="007436E6">
        <w:trPr>
          <w:trHeight w:val="553"/>
        </w:trPr>
        <w:tc>
          <w:tcPr>
            <w:tcW w:w="3937" w:type="dxa"/>
            <w:gridSpan w:val="2"/>
            <w:tcBorders>
              <w:top w:val="single" w:sz="4" w:space="0" w:color="auto"/>
              <w:left w:val="single" w:sz="4" w:space="0" w:color="auto"/>
              <w:bottom w:val="single" w:sz="4" w:space="0" w:color="auto"/>
              <w:right w:val="single" w:sz="4" w:space="0" w:color="auto"/>
            </w:tcBorders>
            <w:vAlign w:val="center"/>
            <w:hideMark/>
          </w:tcPr>
          <w:p w14:paraId="24D53B73" w14:textId="5757AB57" w:rsidR="00F8149E" w:rsidRPr="000F2614" w:rsidRDefault="00F8149E" w:rsidP="00F8149E">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 xml:space="preserve">Nadležno kontrolno tijelo* </w:t>
            </w:r>
          </w:p>
        </w:tc>
        <w:tc>
          <w:tcPr>
            <w:tcW w:w="6503" w:type="dxa"/>
            <w:gridSpan w:val="2"/>
            <w:tcBorders>
              <w:top w:val="single" w:sz="4" w:space="0" w:color="auto"/>
              <w:left w:val="single" w:sz="4" w:space="0" w:color="auto"/>
              <w:bottom w:val="single" w:sz="4" w:space="0" w:color="auto"/>
              <w:right w:val="single" w:sz="4" w:space="0" w:color="auto"/>
            </w:tcBorders>
            <w:vAlign w:val="center"/>
          </w:tcPr>
          <w:p w14:paraId="443C8BD8" w14:textId="093C3A68" w:rsidR="00F8149E" w:rsidRPr="000F2614" w:rsidRDefault="00F8149E" w:rsidP="00F8149E">
            <w:pPr>
              <w:spacing w:line="276" w:lineRule="auto"/>
              <w:rPr>
                <w:rFonts w:ascii="Arial" w:hAnsi="Arial" w:cs="Arial"/>
                <w:noProof w:val="0"/>
                <w:sz w:val="18"/>
                <w:szCs w:val="18"/>
              </w:rPr>
            </w:pPr>
            <w:r w:rsidRPr="000F2614">
              <w:rPr>
                <w:rFonts w:ascii="Arial" w:hAnsi="Arial" w:cs="Arial"/>
                <w:noProof w:val="0"/>
                <w:sz w:val="18"/>
                <w:szCs w:val="18"/>
              </w:rPr>
              <w:t>Ministarstvo poljoprivrede, šumarstva i vodoprivrede Crne Gore</w:t>
            </w:r>
            <w:r w:rsidRPr="000F2614">
              <w:rPr>
                <w:rFonts w:ascii="Arial" w:hAnsi="Arial" w:cs="Arial"/>
                <w:noProof w:val="0"/>
                <w:sz w:val="18"/>
                <w:szCs w:val="18"/>
              </w:rPr>
              <w:br/>
              <w:t>Direktorat za poljoprivredu</w:t>
            </w:r>
          </w:p>
        </w:tc>
      </w:tr>
      <w:tr w:rsidR="00F8149E" w:rsidRPr="000F2614" w14:paraId="58144720" w14:textId="77777777" w:rsidTr="007436E6">
        <w:trPr>
          <w:trHeight w:val="760"/>
        </w:trPr>
        <w:tc>
          <w:tcPr>
            <w:tcW w:w="3937" w:type="dxa"/>
            <w:gridSpan w:val="2"/>
            <w:tcBorders>
              <w:top w:val="single" w:sz="4" w:space="0" w:color="auto"/>
              <w:left w:val="single" w:sz="4" w:space="0" w:color="auto"/>
              <w:bottom w:val="single" w:sz="4" w:space="0" w:color="auto"/>
              <w:right w:val="single" w:sz="4" w:space="0" w:color="auto"/>
            </w:tcBorders>
            <w:vAlign w:val="center"/>
            <w:hideMark/>
          </w:tcPr>
          <w:p w14:paraId="2CD5B9AC" w14:textId="309E7ACF" w:rsidR="00F8149E" w:rsidRPr="000F2614" w:rsidRDefault="00F8149E" w:rsidP="00F8149E">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Puna adresa (naziv ulice i broj, mjesto/grad i poštanski broj, država)*</w:t>
            </w:r>
          </w:p>
        </w:tc>
        <w:tc>
          <w:tcPr>
            <w:tcW w:w="6503" w:type="dxa"/>
            <w:gridSpan w:val="2"/>
            <w:tcBorders>
              <w:top w:val="single" w:sz="4" w:space="0" w:color="auto"/>
              <w:left w:val="single" w:sz="4" w:space="0" w:color="auto"/>
              <w:bottom w:val="single" w:sz="4" w:space="0" w:color="auto"/>
              <w:right w:val="single" w:sz="4" w:space="0" w:color="auto"/>
            </w:tcBorders>
            <w:vAlign w:val="center"/>
          </w:tcPr>
          <w:p w14:paraId="41BB544D" w14:textId="77777777" w:rsidR="00F8149E" w:rsidRPr="000F2614" w:rsidRDefault="00F8149E" w:rsidP="00F8149E">
            <w:pPr>
              <w:rPr>
                <w:rFonts w:ascii="Arial" w:hAnsi="Arial" w:cs="Arial"/>
                <w:noProof w:val="0"/>
                <w:sz w:val="18"/>
                <w:szCs w:val="18"/>
              </w:rPr>
            </w:pPr>
            <w:r w:rsidRPr="000F2614">
              <w:rPr>
                <w:rFonts w:ascii="Arial" w:hAnsi="Arial" w:cs="Arial"/>
                <w:noProof w:val="0"/>
                <w:sz w:val="18"/>
                <w:szCs w:val="18"/>
              </w:rPr>
              <w:t>Rimski trg br. 46</w:t>
            </w:r>
          </w:p>
          <w:p w14:paraId="4A9DEA5C" w14:textId="77777777" w:rsidR="00F8149E" w:rsidRPr="000F2614" w:rsidRDefault="00F8149E" w:rsidP="00F8149E">
            <w:pPr>
              <w:rPr>
                <w:rFonts w:ascii="Arial" w:hAnsi="Arial" w:cs="Arial"/>
                <w:noProof w:val="0"/>
                <w:sz w:val="18"/>
                <w:szCs w:val="18"/>
              </w:rPr>
            </w:pPr>
            <w:r w:rsidRPr="000F2614">
              <w:rPr>
                <w:rFonts w:ascii="Arial" w:hAnsi="Arial" w:cs="Arial"/>
                <w:noProof w:val="0"/>
                <w:sz w:val="18"/>
                <w:szCs w:val="18"/>
              </w:rPr>
              <w:t>81000 Podgorica</w:t>
            </w:r>
          </w:p>
          <w:p w14:paraId="2886D7DF" w14:textId="6CEFB3FA" w:rsidR="00F8149E" w:rsidRPr="000F2614" w:rsidRDefault="00F8149E" w:rsidP="00F8149E">
            <w:pPr>
              <w:spacing w:line="276" w:lineRule="auto"/>
              <w:rPr>
                <w:rFonts w:ascii="Arial" w:hAnsi="Arial" w:cs="Arial"/>
                <w:noProof w:val="0"/>
                <w:sz w:val="18"/>
                <w:szCs w:val="18"/>
              </w:rPr>
            </w:pPr>
            <w:r w:rsidRPr="000F2614">
              <w:rPr>
                <w:rFonts w:ascii="Arial" w:hAnsi="Arial" w:cs="Arial"/>
                <w:noProof w:val="0"/>
                <w:sz w:val="18"/>
                <w:szCs w:val="18"/>
              </w:rPr>
              <w:t>Crna Gora</w:t>
            </w:r>
          </w:p>
        </w:tc>
      </w:tr>
      <w:tr w:rsidR="00F8149E" w:rsidRPr="000F2614" w14:paraId="71C407F1" w14:textId="77777777" w:rsidTr="007436E6">
        <w:tc>
          <w:tcPr>
            <w:tcW w:w="3937" w:type="dxa"/>
            <w:gridSpan w:val="2"/>
            <w:tcBorders>
              <w:top w:val="single" w:sz="4" w:space="0" w:color="auto"/>
              <w:left w:val="single" w:sz="4" w:space="0" w:color="auto"/>
              <w:bottom w:val="single" w:sz="4" w:space="0" w:color="auto"/>
              <w:right w:val="single" w:sz="4" w:space="0" w:color="auto"/>
            </w:tcBorders>
            <w:vAlign w:val="center"/>
            <w:hideMark/>
          </w:tcPr>
          <w:p w14:paraId="1CF96A8C" w14:textId="2AF213D9" w:rsidR="00F8149E" w:rsidRPr="000F2614" w:rsidRDefault="00F8149E" w:rsidP="00F8149E">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Telefon, faks, e-mail* </w:t>
            </w:r>
          </w:p>
        </w:tc>
        <w:tc>
          <w:tcPr>
            <w:tcW w:w="6503" w:type="dxa"/>
            <w:gridSpan w:val="2"/>
            <w:tcBorders>
              <w:top w:val="single" w:sz="4" w:space="0" w:color="auto"/>
              <w:left w:val="single" w:sz="4" w:space="0" w:color="auto"/>
              <w:bottom w:val="single" w:sz="4" w:space="0" w:color="auto"/>
              <w:right w:val="single" w:sz="4" w:space="0" w:color="auto"/>
            </w:tcBorders>
            <w:vAlign w:val="center"/>
          </w:tcPr>
          <w:p w14:paraId="2779411F" w14:textId="77777777" w:rsidR="00F8149E" w:rsidRPr="000F2614" w:rsidRDefault="00F8149E" w:rsidP="00F8149E">
            <w:pPr>
              <w:spacing w:before="120" w:after="120" w:line="276" w:lineRule="auto"/>
              <w:rPr>
                <w:rFonts w:ascii="Arial" w:hAnsi="Arial" w:cs="Arial"/>
                <w:noProof w:val="0"/>
                <w:sz w:val="18"/>
                <w:szCs w:val="18"/>
              </w:rPr>
            </w:pPr>
            <w:r w:rsidRPr="000F2614">
              <w:rPr>
                <w:rFonts w:ascii="Arial" w:hAnsi="Arial" w:cs="Arial"/>
                <w:noProof w:val="0"/>
                <w:sz w:val="18"/>
                <w:szCs w:val="18"/>
              </w:rPr>
              <w:t>Tel. +382 20 234 105</w:t>
            </w:r>
          </w:p>
        </w:tc>
      </w:tr>
      <w:tr w:rsidR="00F8149E" w:rsidRPr="000F2614" w14:paraId="2F36B170" w14:textId="77777777" w:rsidTr="007436E6">
        <w:trPr>
          <w:trHeight w:val="346"/>
        </w:trPr>
        <w:tc>
          <w:tcPr>
            <w:tcW w:w="3937" w:type="dxa"/>
            <w:gridSpan w:val="2"/>
            <w:tcBorders>
              <w:top w:val="single" w:sz="4" w:space="0" w:color="auto"/>
              <w:left w:val="single" w:sz="4" w:space="0" w:color="auto"/>
              <w:bottom w:val="single" w:sz="4" w:space="0" w:color="auto"/>
              <w:right w:val="single" w:sz="4" w:space="0" w:color="auto"/>
            </w:tcBorders>
            <w:vAlign w:val="center"/>
            <w:hideMark/>
          </w:tcPr>
          <w:p w14:paraId="0871A5E9" w14:textId="50944CD9" w:rsidR="00F8149E" w:rsidRPr="000F2614" w:rsidRDefault="00F8149E" w:rsidP="00F8149E">
            <w:pPr>
              <w:spacing w:before="100" w:beforeAutospacing="1" w:after="100" w:afterAutospacing="1" w:line="276" w:lineRule="auto"/>
              <w:rPr>
                <w:rFonts w:ascii="Arial" w:hAnsi="Arial" w:cs="Arial"/>
                <w:noProof w:val="0"/>
                <w:sz w:val="18"/>
                <w:szCs w:val="18"/>
              </w:rPr>
            </w:pPr>
            <w:r w:rsidRPr="000F2614">
              <w:rPr>
                <w:rFonts w:ascii="Arial" w:hAnsi="Arial" w:cs="Arial"/>
                <w:b/>
                <w:noProof w:val="0"/>
                <w:sz w:val="18"/>
                <w:szCs w:val="18"/>
              </w:rPr>
              <w:t>Naziv oznake za registraciju </w:t>
            </w:r>
          </w:p>
        </w:tc>
        <w:tc>
          <w:tcPr>
            <w:tcW w:w="6503" w:type="dxa"/>
            <w:gridSpan w:val="2"/>
            <w:tcBorders>
              <w:top w:val="single" w:sz="4" w:space="0" w:color="auto"/>
              <w:left w:val="single" w:sz="4" w:space="0" w:color="auto"/>
              <w:bottom w:val="single" w:sz="4" w:space="0" w:color="auto"/>
              <w:right w:val="single" w:sz="4" w:space="0" w:color="auto"/>
            </w:tcBorders>
            <w:vAlign w:val="center"/>
          </w:tcPr>
          <w:p w14:paraId="0AF68AC7" w14:textId="7AC45541" w:rsidR="00F8149E" w:rsidRPr="00F8149E" w:rsidRDefault="00F8149E" w:rsidP="00F8149E">
            <w:pPr>
              <w:spacing w:before="100" w:beforeAutospacing="1" w:after="100" w:afterAutospacing="1" w:line="276" w:lineRule="auto"/>
              <w:rPr>
                <w:rFonts w:ascii="Arial" w:hAnsi="Arial" w:cs="Arial"/>
                <w:b/>
                <w:bCs/>
                <w:noProof w:val="0"/>
                <w:color w:val="FF0000"/>
                <w:sz w:val="18"/>
                <w:szCs w:val="18"/>
              </w:rPr>
            </w:pPr>
            <w:r w:rsidRPr="00F8149E">
              <w:rPr>
                <w:rFonts w:ascii="Arial" w:hAnsi="Arial" w:cs="Arial"/>
                <w:b/>
                <w:sz w:val="18"/>
                <w:szCs w:val="18"/>
              </w:rPr>
              <w:t xml:space="preserve">Budvansko - </w:t>
            </w:r>
            <w:r w:rsidR="00021CD5">
              <w:rPr>
                <w:rFonts w:ascii="Arial" w:hAnsi="Arial" w:cs="Arial"/>
                <w:b/>
                <w:sz w:val="18"/>
                <w:szCs w:val="18"/>
              </w:rPr>
              <w:t>b</w:t>
            </w:r>
            <w:r w:rsidRPr="00F8149E">
              <w:rPr>
                <w:rFonts w:ascii="Arial" w:hAnsi="Arial" w:cs="Arial"/>
                <w:b/>
                <w:sz w:val="18"/>
                <w:szCs w:val="18"/>
              </w:rPr>
              <w:t>arski subregion</w:t>
            </w:r>
          </w:p>
        </w:tc>
      </w:tr>
      <w:tr w:rsidR="00F8149E" w:rsidRPr="000F2614" w14:paraId="53A01021" w14:textId="77777777" w:rsidTr="007436E6">
        <w:trPr>
          <w:trHeight w:val="346"/>
        </w:trPr>
        <w:tc>
          <w:tcPr>
            <w:tcW w:w="2808" w:type="dxa"/>
            <w:vMerge w:val="restart"/>
            <w:tcBorders>
              <w:top w:val="single" w:sz="4" w:space="0" w:color="auto"/>
              <w:left w:val="single" w:sz="4" w:space="0" w:color="auto"/>
              <w:bottom w:val="single" w:sz="4" w:space="0" w:color="auto"/>
              <w:right w:val="single" w:sz="4" w:space="0" w:color="auto"/>
            </w:tcBorders>
            <w:vAlign w:val="center"/>
            <w:hideMark/>
          </w:tcPr>
          <w:p w14:paraId="6041D18E" w14:textId="2ECA7FFF" w:rsidR="00F8149E" w:rsidRPr="000F2614" w:rsidRDefault="00F8149E" w:rsidP="00F8149E">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 xml:space="preserve">Vrsta oznake </w:t>
            </w:r>
          </w:p>
        </w:tc>
        <w:tc>
          <w:tcPr>
            <w:tcW w:w="1129" w:type="dxa"/>
            <w:tcBorders>
              <w:top w:val="single" w:sz="4" w:space="0" w:color="auto"/>
              <w:left w:val="single" w:sz="4" w:space="0" w:color="auto"/>
              <w:bottom w:val="single" w:sz="4" w:space="0" w:color="auto"/>
              <w:right w:val="single" w:sz="4" w:space="0" w:color="auto"/>
            </w:tcBorders>
            <w:vAlign w:val="center"/>
            <w:hideMark/>
          </w:tcPr>
          <w:p w14:paraId="58111372" w14:textId="0E9EA311" w:rsidR="00F8149E" w:rsidRPr="000F2614" w:rsidRDefault="00F8149E" w:rsidP="00F8149E">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 xml:space="preserve">oznaka porijekla* </w:t>
            </w:r>
          </w:p>
        </w:tc>
        <w:tc>
          <w:tcPr>
            <w:tcW w:w="6503" w:type="dxa"/>
            <w:gridSpan w:val="2"/>
            <w:tcBorders>
              <w:top w:val="single" w:sz="4" w:space="0" w:color="auto"/>
              <w:left w:val="single" w:sz="4" w:space="0" w:color="auto"/>
              <w:bottom w:val="single" w:sz="4" w:space="0" w:color="auto"/>
              <w:right w:val="single" w:sz="4" w:space="0" w:color="auto"/>
            </w:tcBorders>
            <w:vAlign w:val="center"/>
          </w:tcPr>
          <w:p w14:paraId="2223D49B" w14:textId="0D26FD94" w:rsidR="00F8149E" w:rsidRPr="00F8149E" w:rsidRDefault="00F8149E" w:rsidP="00F8149E">
            <w:pPr>
              <w:spacing w:before="100" w:beforeAutospacing="1" w:after="100" w:afterAutospacing="1" w:line="276" w:lineRule="auto"/>
              <w:rPr>
                <w:rFonts w:ascii="Arial" w:hAnsi="Arial" w:cs="Arial"/>
                <w:noProof w:val="0"/>
                <w:sz w:val="18"/>
                <w:szCs w:val="18"/>
              </w:rPr>
            </w:pPr>
            <w:r w:rsidRPr="00F8149E">
              <w:rPr>
                <w:rFonts w:ascii="Arial" w:hAnsi="Arial" w:cs="Arial"/>
                <w:noProof w:val="0"/>
                <w:sz w:val="18"/>
                <w:szCs w:val="18"/>
              </w:rPr>
              <w:t>Zaštićena oznaka porijekla</w:t>
            </w:r>
          </w:p>
        </w:tc>
      </w:tr>
      <w:tr w:rsidR="00F8149E" w:rsidRPr="000F2614" w14:paraId="32454B3D" w14:textId="77777777" w:rsidTr="007436E6">
        <w:trPr>
          <w:trHeight w:val="265"/>
        </w:trPr>
        <w:tc>
          <w:tcPr>
            <w:tcW w:w="2808" w:type="dxa"/>
            <w:vMerge/>
            <w:tcBorders>
              <w:top w:val="single" w:sz="4" w:space="0" w:color="auto"/>
              <w:left w:val="single" w:sz="4" w:space="0" w:color="auto"/>
              <w:bottom w:val="single" w:sz="4" w:space="0" w:color="auto"/>
              <w:right w:val="single" w:sz="4" w:space="0" w:color="auto"/>
            </w:tcBorders>
            <w:vAlign w:val="center"/>
            <w:hideMark/>
          </w:tcPr>
          <w:p w14:paraId="3E97A951" w14:textId="77777777" w:rsidR="00F8149E" w:rsidRPr="000F2614" w:rsidRDefault="00F8149E" w:rsidP="00F8149E">
            <w:pPr>
              <w:spacing w:before="100" w:beforeAutospacing="1" w:after="100" w:afterAutospacing="1" w:line="276" w:lineRule="auto"/>
              <w:rPr>
                <w:rFonts w:ascii="Arial" w:hAnsi="Arial" w:cs="Arial"/>
                <w:noProof w:val="0"/>
                <w:sz w:val="18"/>
                <w:szCs w:val="18"/>
              </w:rPr>
            </w:pPr>
          </w:p>
        </w:tc>
        <w:tc>
          <w:tcPr>
            <w:tcW w:w="1129" w:type="dxa"/>
            <w:tcBorders>
              <w:top w:val="single" w:sz="4" w:space="0" w:color="auto"/>
              <w:left w:val="single" w:sz="4" w:space="0" w:color="auto"/>
              <w:bottom w:val="single" w:sz="4" w:space="0" w:color="auto"/>
              <w:right w:val="single" w:sz="4" w:space="0" w:color="auto"/>
            </w:tcBorders>
            <w:vAlign w:val="center"/>
            <w:hideMark/>
          </w:tcPr>
          <w:p w14:paraId="5B474E68" w14:textId="673F89BD" w:rsidR="00F8149E" w:rsidRPr="000F2614" w:rsidRDefault="00F8149E" w:rsidP="00F8149E">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geografska oznaka*</w:t>
            </w:r>
          </w:p>
        </w:tc>
        <w:tc>
          <w:tcPr>
            <w:tcW w:w="6503" w:type="dxa"/>
            <w:gridSpan w:val="2"/>
            <w:tcBorders>
              <w:top w:val="single" w:sz="4" w:space="0" w:color="auto"/>
              <w:left w:val="single" w:sz="4" w:space="0" w:color="auto"/>
              <w:bottom w:val="single" w:sz="4" w:space="0" w:color="auto"/>
              <w:right w:val="single" w:sz="4" w:space="0" w:color="auto"/>
            </w:tcBorders>
            <w:vAlign w:val="center"/>
          </w:tcPr>
          <w:p w14:paraId="5997DEA5" w14:textId="77777777" w:rsidR="00F8149E" w:rsidRPr="00F8149E" w:rsidRDefault="00F8149E" w:rsidP="00F8149E">
            <w:pPr>
              <w:spacing w:before="100" w:beforeAutospacing="1" w:after="100" w:afterAutospacing="1" w:line="276" w:lineRule="auto"/>
              <w:rPr>
                <w:rFonts w:ascii="Arial" w:hAnsi="Arial" w:cs="Arial"/>
                <w:noProof w:val="0"/>
                <w:sz w:val="18"/>
                <w:szCs w:val="18"/>
              </w:rPr>
            </w:pPr>
          </w:p>
        </w:tc>
      </w:tr>
      <w:tr w:rsidR="00F8149E" w:rsidRPr="000F2614" w14:paraId="66F89BC0" w14:textId="77777777" w:rsidTr="007436E6">
        <w:tc>
          <w:tcPr>
            <w:tcW w:w="3937" w:type="dxa"/>
            <w:gridSpan w:val="2"/>
            <w:tcBorders>
              <w:top w:val="single" w:sz="4" w:space="0" w:color="auto"/>
              <w:left w:val="single" w:sz="4" w:space="0" w:color="auto"/>
              <w:bottom w:val="single" w:sz="4" w:space="0" w:color="auto"/>
              <w:right w:val="single" w:sz="4" w:space="0" w:color="auto"/>
            </w:tcBorders>
            <w:vAlign w:val="center"/>
            <w:hideMark/>
          </w:tcPr>
          <w:p w14:paraId="27644132" w14:textId="463A0672" w:rsidR="00F8149E" w:rsidRPr="000F2614" w:rsidRDefault="00F8149E" w:rsidP="00F8149E">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Tradicionalni izraz koji se navodi uz naziv oznake porijekla ili geografske oznake</w:t>
            </w:r>
          </w:p>
        </w:tc>
        <w:tc>
          <w:tcPr>
            <w:tcW w:w="6503" w:type="dxa"/>
            <w:gridSpan w:val="2"/>
            <w:tcBorders>
              <w:top w:val="single" w:sz="4" w:space="0" w:color="auto"/>
              <w:left w:val="single" w:sz="4" w:space="0" w:color="auto"/>
              <w:bottom w:val="single" w:sz="4" w:space="0" w:color="auto"/>
              <w:right w:val="single" w:sz="4" w:space="0" w:color="auto"/>
            </w:tcBorders>
            <w:vAlign w:val="center"/>
          </w:tcPr>
          <w:p w14:paraId="4C25F36E" w14:textId="6DE498F9" w:rsidR="00F8149E" w:rsidRPr="00F8149E" w:rsidRDefault="00F8149E" w:rsidP="00F8149E">
            <w:pPr>
              <w:spacing w:before="100" w:beforeAutospacing="1" w:after="100" w:afterAutospacing="1" w:line="276" w:lineRule="auto"/>
              <w:rPr>
                <w:rFonts w:ascii="Arial" w:hAnsi="Arial" w:cs="Arial"/>
                <w:noProof w:val="0"/>
                <w:sz w:val="18"/>
                <w:szCs w:val="18"/>
              </w:rPr>
            </w:pPr>
          </w:p>
        </w:tc>
      </w:tr>
      <w:tr w:rsidR="00F8149E" w:rsidRPr="000F2614" w14:paraId="3E5310C4" w14:textId="77777777" w:rsidTr="007436E6">
        <w:tc>
          <w:tcPr>
            <w:tcW w:w="3937" w:type="dxa"/>
            <w:gridSpan w:val="2"/>
            <w:tcBorders>
              <w:top w:val="single" w:sz="4" w:space="0" w:color="auto"/>
              <w:left w:val="single" w:sz="4" w:space="0" w:color="auto"/>
              <w:bottom w:val="single" w:sz="4" w:space="0" w:color="auto"/>
              <w:right w:val="single" w:sz="4" w:space="0" w:color="auto"/>
            </w:tcBorders>
            <w:vAlign w:val="center"/>
          </w:tcPr>
          <w:p w14:paraId="6A7BF7F4" w14:textId="77777777" w:rsidR="00F8149E" w:rsidRPr="000F2614" w:rsidRDefault="00F8149E" w:rsidP="00F8149E">
            <w:pPr>
              <w:spacing w:before="100" w:beforeAutospacing="1" w:after="100" w:afterAutospacing="1" w:line="276" w:lineRule="auto"/>
              <w:rPr>
                <w:rFonts w:ascii="Arial" w:hAnsi="Arial" w:cs="Arial"/>
                <w:noProof w:val="0"/>
                <w:sz w:val="18"/>
                <w:szCs w:val="18"/>
              </w:rPr>
            </w:pPr>
          </w:p>
        </w:tc>
        <w:tc>
          <w:tcPr>
            <w:tcW w:w="6503" w:type="dxa"/>
            <w:gridSpan w:val="2"/>
            <w:tcBorders>
              <w:top w:val="single" w:sz="4" w:space="0" w:color="auto"/>
              <w:left w:val="single" w:sz="4" w:space="0" w:color="auto"/>
              <w:bottom w:val="single" w:sz="4" w:space="0" w:color="auto"/>
              <w:right w:val="single" w:sz="4" w:space="0" w:color="auto"/>
            </w:tcBorders>
            <w:vAlign w:val="center"/>
          </w:tcPr>
          <w:p w14:paraId="30E4385D" w14:textId="77777777" w:rsidR="00F8149E" w:rsidRPr="00F8149E" w:rsidRDefault="00F8149E" w:rsidP="00F8149E">
            <w:pPr>
              <w:spacing w:before="100" w:beforeAutospacing="1" w:after="100" w:afterAutospacing="1" w:line="276" w:lineRule="auto"/>
              <w:rPr>
                <w:rFonts w:ascii="Arial" w:hAnsi="Arial" w:cs="Arial"/>
                <w:noProof w:val="0"/>
                <w:sz w:val="18"/>
                <w:szCs w:val="18"/>
              </w:rPr>
            </w:pPr>
          </w:p>
        </w:tc>
      </w:tr>
      <w:tr w:rsidR="00F8149E" w:rsidRPr="000F2614" w14:paraId="50DF661A" w14:textId="77777777" w:rsidTr="007436E6">
        <w:trPr>
          <w:trHeight w:val="310"/>
        </w:trPr>
        <w:tc>
          <w:tcPr>
            <w:tcW w:w="3937" w:type="dxa"/>
            <w:gridSpan w:val="2"/>
            <w:tcBorders>
              <w:top w:val="single" w:sz="4" w:space="0" w:color="auto"/>
              <w:left w:val="single" w:sz="4" w:space="0" w:color="auto"/>
              <w:bottom w:val="single" w:sz="4" w:space="0" w:color="auto"/>
              <w:right w:val="single" w:sz="4" w:space="0" w:color="auto"/>
            </w:tcBorders>
            <w:vAlign w:val="center"/>
            <w:hideMark/>
          </w:tcPr>
          <w:p w14:paraId="13B705E6" w14:textId="5CBD3DA4" w:rsidR="00F8149E" w:rsidRPr="000F2614" w:rsidRDefault="00F8149E" w:rsidP="00F8149E">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Vrsta proizvoda od grožđa</w:t>
            </w:r>
          </w:p>
        </w:tc>
        <w:tc>
          <w:tcPr>
            <w:tcW w:w="6503" w:type="dxa"/>
            <w:gridSpan w:val="2"/>
            <w:tcBorders>
              <w:top w:val="single" w:sz="4" w:space="0" w:color="auto"/>
              <w:left w:val="single" w:sz="4" w:space="0" w:color="auto"/>
              <w:bottom w:val="single" w:sz="4" w:space="0" w:color="auto"/>
              <w:right w:val="single" w:sz="4" w:space="0" w:color="auto"/>
            </w:tcBorders>
            <w:vAlign w:val="center"/>
          </w:tcPr>
          <w:p w14:paraId="6F6A0219" w14:textId="4F789791" w:rsidR="00F8149E" w:rsidRPr="00F8149E" w:rsidRDefault="00F8149E" w:rsidP="00F8149E">
            <w:pPr>
              <w:spacing w:before="100" w:beforeAutospacing="1" w:after="100" w:afterAutospacing="1" w:line="276" w:lineRule="auto"/>
              <w:rPr>
                <w:rFonts w:ascii="Arial" w:hAnsi="Arial" w:cs="Arial"/>
                <w:noProof w:val="0"/>
                <w:sz w:val="18"/>
                <w:szCs w:val="18"/>
              </w:rPr>
            </w:pPr>
            <w:r w:rsidRPr="00F8149E">
              <w:rPr>
                <w:rFonts w:ascii="Arial" w:hAnsi="Arial" w:cs="Arial"/>
                <w:noProof w:val="0"/>
                <w:sz w:val="18"/>
                <w:szCs w:val="18"/>
              </w:rPr>
              <w:t>vino</w:t>
            </w:r>
          </w:p>
        </w:tc>
      </w:tr>
      <w:tr w:rsidR="00F8149E" w:rsidRPr="000F2614" w14:paraId="066CD803" w14:textId="77777777" w:rsidTr="007436E6">
        <w:tc>
          <w:tcPr>
            <w:tcW w:w="3937" w:type="dxa"/>
            <w:gridSpan w:val="2"/>
            <w:tcBorders>
              <w:top w:val="single" w:sz="4" w:space="0" w:color="auto"/>
              <w:left w:val="single" w:sz="4" w:space="0" w:color="auto"/>
              <w:bottom w:val="single" w:sz="4" w:space="0" w:color="auto"/>
              <w:right w:val="single" w:sz="4" w:space="0" w:color="auto"/>
            </w:tcBorders>
            <w:vAlign w:val="center"/>
          </w:tcPr>
          <w:p w14:paraId="255CD860" w14:textId="77777777" w:rsidR="00F8149E" w:rsidRPr="000F2614" w:rsidRDefault="00F8149E" w:rsidP="00F8149E">
            <w:pPr>
              <w:spacing w:before="100" w:beforeAutospacing="1" w:after="100" w:afterAutospacing="1" w:line="276" w:lineRule="auto"/>
              <w:rPr>
                <w:rFonts w:ascii="Arial" w:hAnsi="Arial" w:cs="Arial"/>
                <w:noProof w:val="0"/>
                <w:sz w:val="18"/>
                <w:szCs w:val="18"/>
              </w:rPr>
            </w:pPr>
          </w:p>
        </w:tc>
        <w:tc>
          <w:tcPr>
            <w:tcW w:w="6503" w:type="dxa"/>
            <w:gridSpan w:val="2"/>
            <w:tcBorders>
              <w:top w:val="single" w:sz="4" w:space="0" w:color="auto"/>
              <w:left w:val="single" w:sz="4" w:space="0" w:color="auto"/>
              <w:bottom w:val="single" w:sz="4" w:space="0" w:color="auto"/>
              <w:right w:val="single" w:sz="4" w:space="0" w:color="auto"/>
            </w:tcBorders>
            <w:vAlign w:val="center"/>
          </w:tcPr>
          <w:p w14:paraId="75E5A80C" w14:textId="77777777" w:rsidR="00F8149E" w:rsidRPr="000F2614" w:rsidRDefault="00F8149E" w:rsidP="00F8149E">
            <w:pPr>
              <w:spacing w:before="100" w:beforeAutospacing="1" w:after="100" w:afterAutospacing="1" w:line="276" w:lineRule="auto"/>
              <w:rPr>
                <w:rFonts w:ascii="Arial" w:hAnsi="Arial" w:cs="Arial"/>
                <w:noProof w:val="0"/>
                <w:color w:val="FF0000"/>
                <w:sz w:val="18"/>
                <w:szCs w:val="18"/>
              </w:rPr>
            </w:pPr>
          </w:p>
        </w:tc>
      </w:tr>
      <w:tr w:rsidR="00F8149E" w:rsidRPr="000F2614" w14:paraId="156F192E" w14:textId="77777777" w:rsidTr="007E6251">
        <w:tc>
          <w:tcPr>
            <w:tcW w:w="10440" w:type="dxa"/>
            <w:gridSpan w:val="4"/>
            <w:tcBorders>
              <w:top w:val="single" w:sz="4" w:space="0" w:color="auto"/>
              <w:left w:val="single" w:sz="4" w:space="0" w:color="auto"/>
              <w:bottom w:val="single" w:sz="4" w:space="0" w:color="auto"/>
              <w:right w:val="single" w:sz="4" w:space="0" w:color="auto"/>
            </w:tcBorders>
            <w:vAlign w:val="center"/>
            <w:hideMark/>
          </w:tcPr>
          <w:p w14:paraId="79BB2F9A" w14:textId="19CC5D05" w:rsidR="00F8149E" w:rsidRPr="00333365" w:rsidRDefault="00F8149E" w:rsidP="00803899">
            <w:pPr>
              <w:spacing w:after="120" w:line="276" w:lineRule="auto"/>
              <w:ind w:left="135" w:hanging="45"/>
              <w:rPr>
                <w:rFonts w:ascii="Arial" w:hAnsi="Arial" w:cs="Arial"/>
                <w:b/>
                <w:sz w:val="18"/>
                <w:szCs w:val="18"/>
              </w:rPr>
            </w:pPr>
            <w:r w:rsidRPr="00333365">
              <w:rPr>
                <w:rFonts w:ascii="Arial" w:hAnsi="Arial" w:cs="Arial"/>
                <w:b/>
                <w:sz w:val="18"/>
                <w:szCs w:val="18"/>
              </w:rPr>
              <w:t xml:space="preserve">Opis proizvoda </w:t>
            </w:r>
            <w:r w:rsidRPr="00333365">
              <w:rPr>
                <w:rFonts w:ascii="Arial" w:hAnsi="Arial" w:cs="Arial"/>
                <w:b/>
                <w:i/>
                <w:sz w:val="20"/>
                <w:szCs w:val="20"/>
              </w:rPr>
              <w:t xml:space="preserve">(analitička i organoleptička svojstva i </w:t>
            </w:r>
            <w:r w:rsidRPr="00333365">
              <w:rPr>
                <w:rFonts w:ascii="Arial" w:eastAsia="Arial" w:hAnsi="Arial" w:cs="Arial"/>
                <w:b/>
                <w:i/>
                <w:sz w:val="20"/>
                <w:szCs w:val="20"/>
                <w:lang w:eastAsia="en-US"/>
              </w:rPr>
              <w:t>sortni sastav</w:t>
            </w:r>
            <w:r w:rsidRPr="00333365">
              <w:rPr>
                <w:rFonts w:ascii="Arial" w:hAnsi="Arial" w:cs="Arial"/>
                <w:b/>
                <w:i/>
                <w:sz w:val="20"/>
                <w:szCs w:val="20"/>
              </w:rPr>
              <w:t>)</w:t>
            </w:r>
            <w:r w:rsidRPr="00333365">
              <w:rPr>
                <w:rFonts w:ascii="Arial" w:hAnsi="Arial" w:cs="Arial"/>
                <w:b/>
                <w:sz w:val="18"/>
                <w:szCs w:val="18"/>
              </w:rPr>
              <w:t xml:space="preserve"> </w:t>
            </w:r>
          </w:p>
          <w:p w14:paraId="732F9F9B" w14:textId="77777777" w:rsidR="00333365" w:rsidRPr="00333365" w:rsidRDefault="00333365" w:rsidP="00803899">
            <w:pPr>
              <w:spacing w:after="120" w:line="276" w:lineRule="auto"/>
              <w:ind w:left="45" w:right="91"/>
              <w:outlineLvl w:val="1"/>
              <w:rPr>
                <w:rFonts w:ascii="Arial" w:eastAsia="Times New Roman" w:hAnsi="Arial" w:cs="Arial"/>
                <w:b/>
                <w:bCs/>
                <w:sz w:val="18"/>
                <w:szCs w:val="18"/>
                <w:lang w:eastAsia="en-US"/>
              </w:rPr>
            </w:pPr>
            <w:r w:rsidRPr="00333365">
              <w:rPr>
                <w:rFonts w:ascii="Arial" w:eastAsia="Times New Roman" w:hAnsi="Arial" w:cs="Arial"/>
                <w:b/>
                <w:bCs/>
                <w:sz w:val="18"/>
                <w:szCs w:val="18"/>
                <w:lang w:eastAsia="en-US"/>
              </w:rPr>
              <w:t>Bijela mirna vina</w:t>
            </w:r>
          </w:p>
          <w:p w14:paraId="050AF353" w14:textId="77777777" w:rsidR="00333365" w:rsidRPr="00333365" w:rsidRDefault="00333365" w:rsidP="00803899">
            <w:pPr>
              <w:spacing w:after="120" w:line="276" w:lineRule="auto"/>
              <w:ind w:left="45" w:right="91"/>
              <w:jc w:val="both"/>
              <w:rPr>
                <w:rFonts w:ascii="Arial" w:eastAsia="Times New Roman" w:hAnsi="Arial" w:cs="Arial"/>
                <w:sz w:val="18"/>
                <w:szCs w:val="18"/>
                <w:lang w:eastAsia="en-US"/>
              </w:rPr>
            </w:pPr>
            <w:r w:rsidRPr="00333365">
              <w:rPr>
                <w:rFonts w:ascii="Arial" w:eastAsia="Times New Roman" w:hAnsi="Arial" w:cs="Arial"/>
                <w:sz w:val="18"/>
                <w:szCs w:val="18"/>
                <w:lang w:eastAsia="en-US"/>
              </w:rPr>
              <w:t>Bijela vina iz Budvansko-barskog subregiona su svježa, aromatična i strukturirana, boje koja varira od blijedoslamnate do svijetložute. Odlikuju se umjerenim sadržajem alkohola (12–13,5 % vol.), izraženom prirodnom kiselošću i uravnoteženim, živahnim karakterom. Arome su pretežno cvjetne i voćne, sa notama citrusa, zelene jabuke, koštičavog voća, tropskog voća i jasmina, uz suptilne orašaste nijanse. Na nepcu su uglavnom osvježavajuća, dobrog tijela i umjerene gustine, sa čistim do srednje dugim završetkom.</w:t>
            </w:r>
          </w:p>
          <w:p w14:paraId="10256DEE" w14:textId="77777777" w:rsidR="00333365" w:rsidRPr="00333365" w:rsidRDefault="00333365" w:rsidP="00803899">
            <w:pPr>
              <w:spacing w:after="120" w:line="276" w:lineRule="auto"/>
              <w:ind w:left="45" w:right="91"/>
              <w:outlineLvl w:val="1"/>
              <w:rPr>
                <w:rFonts w:ascii="Arial" w:eastAsia="Times New Roman" w:hAnsi="Arial" w:cs="Arial"/>
                <w:b/>
                <w:bCs/>
                <w:sz w:val="18"/>
                <w:szCs w:val="18"/>
                <w:lang w:eastAsia="en-US"/>
              </w:rPr>
            </w:pPr>
            <w:r w:rsidRPr="00333365">
              <w:rPr>
                <w:rFonts w:ascii="Arial" w:eastAsia="Times New Roman" w:hAnsi="Arial" w:cs="Arial"/>
                <w:b/>
                <w:bCs/>
                <w:sz w:val="18"/>
                <w:szCs w:val="18"/>
                <w:lang w:eastAsia="en-US"/>
              </w:rPr>
              <w:t>Roze mirna vina</w:t>
            </w:r>
          </w:p>
          <w:p w14:paraId="06F6EE79" w14:textId="77777777" w:rsidR="00333365" w:rsidRPr="00333365" w:rsidRDefault="00333365" w:rsidP="00803899">
            <w:pPr>
              <w:spacing w:after="120" w:line="276" w:lineRule="auto"/>
              <w:ind w:left="45" w:right="91"/>
              <w:jc w:val="both"/>
              <w:rPr>
                <w:rFonts w:ascii="Arial" w:eastAsia="Times New Roman" w:hAnsi="Arial" w:cs="Arial"/>
                <w:sz w:val="18"/>
                <w:szCs w:val="18"/>
                <w:lang w:eastAsia="en-US"/>
              </w:rPr>
            </w:pPr>
            <w:r w:rsidRPr="00333365">
              <w:rPr>
                <w:rFonts w:ascii="Arial" w:eastAsia="Times New Roman" w:hAnsi="Arial" w:cs="Arial"/>
                <w:sz w:val="18"/>
                <w:szCs w:val="18"/>
                <w:lang w:eastAsia="en-US"/>
              </w:rPr>
              <w:t>Roze vina iz ovog subregiona odlikuju se nježnom ružičastom bojom i svježim, živahnim stilom. Uglavnom imaju niži sadržaj alkohola (oko 10–11 % vol.) i izraženu kiselost, što doprinosi njihovom svježem i osvježavajućem karakteru. Aromatski su izražajna i slojevita, sa notama grejpfruta, limuna, nara, breskve i kajsije, uz suptilne cvjetne i biljne tonove. Na nepcu su uravnotežena i živahna, sa mineralnim karakterom, osvježavajućim i dugim, elegantnim završetkom.</w:t>
            </w:r>
          </w:p>
          <w:p w14:paraId="4A275579" w14:textId="77777777" w:rsidR="00333365" w:rsidRPr="00333365" w:rsidRDefault="00333365" w:rsidP="00803899">
            <w:pPr>
              <w:spacing w:after="120" w:line="276" w:lineRule="auto"/>
              <w:ind w:left="45" w:right="91"/>
              <w:outlineLvl w:val="1"/>
              <w:rPr>
                <w:rFonts w:ascii="Arial" w:eastAsia="Times New Roman" w:hAnsi="Arial" w:cs="Arial"/>
                <w:b/>
                <w:bCs/>
                <w:sz w:val="18"/>
                <w:szCs w:val="18"/>
                <w:lang w:eastAsia="en-US"/>
              </w:rPr>
            </w:pPr>
            <w:r w:rsidRPr="00333365">
              <w:rPr>
                <w:rFonts w:ascii="Arial" w:eastAsia="Times New Roman" w:hAnsi="Arial" w:cs="Arial"/>
                <w:b/>
                <w:bCs/>
                <w:sz w:val="18"/>
                <w:szCs w:val="18"/>
                <w:lang w:eastAsia="en-US"/>
              </w:rPr>
              <w:t>Crvena mirna vina</w:t>
            </w:r>
          </w:p>
          <w:p w14:paraId="48DB0582" w14:textId="3D0C2760" w:rsidR="00F8149E" w:rsidRPr="00333365" w:rsidRDefault="00333365" w:rsidP="00803899">
            <w:pPr>
              <w:spacing w:after="120" w:line="276" w:lineRule="auto"/>
              <w:ind w:left="45" w:right="91"/>
              <w:jc w:val="both"/>
              <w:rPr>
                <w:rFonts w:ascii="Arial" w:hAnsi="Arial" w:cs="Arial"/>
                <w:bCs/>
                <w:sz w:val="18"/>
                <w:szCs w:val="18"/>
              </w:rPr>
            </w:pPr>
            <w:r w:rsidRPr="00333365">
              <w:rPr>
                <w:rFonts w:ascii="Arial" w:eastAsia="Times New Roman" w:hAnsi="Arial" w:cs="Arial"/>
                <w:sz w:val="18"/>
                <w:szCs w:val="18"/>
                <w:lang w:eastAsia="en-US"/>
              </w:rPr>
              <w:t xml:space="preserve">Crvena vina iz Budvansko-barskog subregiona variraju od rubin-crvene i granatne do tamnoljubičasto-crvene boje. Odlikuju se uglavnom punim tijelom, umjerenim do visokim sadržajem alkohola (12,8–15 % i više vol.), čvrstom strukturom i različitim nivoom </w:t>
            </w:r>
            <w:r w:rsidRPr="00333365">
              <w:rPr>
                <w:rFonts w:ascii="Arial" w:eastAsia="Times New Roman" w:hAnsi="Arial" w:cs="Arial"/>
                <w:sz w:val="18"/>
                <w:szCs w:val="18"/>
                <w:lang w:eastAsia="en-US"/>
              </w:rPr>
              <w:lastRenderedPageBreak/>
              <w:t>tanina, u zavisnosti od sorte i kupaže. Arome su bogate i kompleksne, sa dominantnim tamnim voćem poput šljive, trešnje, kupine i ribizle, često upotpunjene cvjetnim, biljnim, začinskim, dimnim i zemljanim notama. Na nepcu su strukturirana i izražajna, dobre koncentracije, dubine i dugog, postojanog završetka. Mnogi stilovi imaju izražen potencijal za odležavanje, pri čemu vremenom razvijaju veću kompleksnost.</w:t>
            </w:r>
          </w:p>
        </w:tc>
      </w:tr>
      <w:tr w:rsidR="00803899" w:rsidRPr="000F2614" w14:paraId="5B444D24" w14:textId="77777777" w:rsidTr="007E6251">
        <w:tc>
          <w:tcPr>
            <w:tcW w:w="10440" w:type="dxa"/>
            <w:gridSpan w:val="4"/>
            <w:tcBorders>
              <w:top w:val="single" w:sz="4" w:space="0" w:color="auto"/>
              <w:left w:val="single" w:sz="4" w:space="0" w:color="auto"/>
              <w:bottom w:val="single" w:sz="4" w:space="0" w:color="auto"/>
              <w:right w:val="single" w:sz="4" w:space="0" w:color="auto"/>
            </w:tcBorders>
            <w:vAlign w:val="center"/>
          </w:tcPr>
          <w:p w14:paraId="03728426" w14:textId="7D50A740" w:rsidR="00803899" w:rsidRPr="00333365" w:rsidRDefault="00803899" w:rsidP="00803899">
            <w:pPr>
              <w:spacing w:after="120" w:line="276" w:lineRule="auto"/>
              <w:ind w:left="135" w:hanging="45"/>
              <w:rPr>
                <w:rFonts w:ascii="Arial" w:hAnsi="Arial" w:cs="Arial"/>
                <w:b/>
                <w:sz w:val="18"/>
                <w:szCs w:val="18"/>
              </w:rPr>
            </w:pPr>
            <w:r w:rsidRPr="00B8700A">
              <w:rPr>
                <w:rFonts w:ascii="Arial" w:hAnsi="Arial" w:cs="Arial"/>
                <w:b/>
                <w:sz w:val="18"/>
                <w:szCs w:val="18"/>
              </w:rPr>
              <w:lastRenderedPageBreak/>
              <w:t>Posebni enološki postupci</w:t>
            </w:r>
            <w:r w:rsidRPr="009D4D4C">
              <w:rPr>
                <w:rFonts w:ascii="Arial" w:hAnsi="Arial" w:cs="Arial"/>
                <w:noProof w:val="0"/>
                <w:sz w:val="20"/>
                <w:szCs w:val="20"/>
              </w:rPr>
              <w:t xml:space="preserve"> </w:t>
            </w:r>
            <w:r w:rsidRPr="009D4D4C">
              <w:rPr>
                <w:rFonts w:ascii="Arial" w:hAnsi="Arial" w:cs="Arial"/>
                <w:i/>
                <w:noProof w:val="0"/>
                <w:sz w:val="20"/>
                <w:szCs w:val="20"/>
              </w:rPr>
              <w:t>(</w:t>
            </w:r>
            <w:r w:rsidRPr="00B8700A">
              <w:rPr>
                <w:rFonts w:ascii="Arial" w:hAnsi="Arial" w:cs="Arial"/>
                <w:i/>
                <w:noProof w:val="0"/>
                <w:sz w:val="18"/>
                <w:szCs w:val="18"/>
              </w:rPr>
              <w:t>neobavezno</w:t>
            </w:r>
            <w:r w:rsidRPr="000F2614">
              <w:rPr>
                <w:rFonts w:ascii="Arial" w:hAnsi="Arial" w:cs="Arial"/>
                <w:i/>
                <w:noProof w:val="0"/>
                <w:sz w:val="18"/>
                <w:szCs w:val="18"/>
              </w:rPr>
              <w:t>)</w:t>
            </w:r>
          </w:p>
        </w:tc>
      </w:tr>
      <w:tr w:rsidR="00F8149E" w:rsidRPr="000F2614" w14:paraId="12F43DC2" w14:textId="77777777" w:rsidTr="007E6251">
        <w:tc>
          <w:tcPr>
            <w:tcW w:w="10440" w:type="dxa"/>
            <w:gridSpan w:val="4"/>
            <w:tcBorders>
              <w:top w:val="single" w:sz="4" w:space="0" w:color="auto"/>
              <w:left w:val="single" w:sz="4" w:space="0" w:color="auto"/>
              <w:bottom w:val="single" w:sz="4" w:space="0" w:color="auto"/>
              <w:right w:val="single" w:sz="4" w:space="0" w:color="auto"/>
            </w:tcBorders>
            <w:vAlign w:val="center"/>
            <w:hideMark/>
          </w:tcPr>
          <w:p w14:paraId="0EA7B416" w14:textId="01D82219" w:rsidR="00F8149E" w:rsidRPr="00333365" w:rsidRDefault="00F8149E" w:rsidP="00886E95">
            <w:pPr>
              <w:spacing w:after="120" w:line="276" w:lineRule="auto"/>
              <w:ind w:right="91"/>
              <w:rPr>
                <w:rFonts w:ascii="Arial" w:hAnsi="Arial" w:cs="Arial"/>
                <w:b/>
                <w:sz w:val="18"/>
                <w:szCs w:val="18"/>
              </w:rPr>
            </w:pPr>
            <w:r w:rsidRPr="00333365">
              <w:rPr>
                <w:rFonts w:ascii="Arial" w:hAnsi="Arial" w:cs="Arial"/>
                <w:b/>
                <w:color w:val="FF0000"/>
                <w:sz w:val="18"/>
                <w:szCs w:val="18"/>
              </w:rPr>
              <w:t xml:space="preserve">  </w:t>
            </w:r>
            <w:r w:rsidRPr="00333365">
              <w:rPr>
                <w:rFonts w:ascii="Arial" w:hAnsi="Arial" w:cs="Arial"/>
                <w:b/>
                <w:sz w:val="18"/>
                <w:szCs w:val="18"/>
              </w:rPr>
              <w:t xml:space="preserve">Razgraničenje geografskog </w:t>
            </w:r>
            <w:r w:rsidRPr="00333365">
              <w:rPr>
                <w:rFonts w:ascii="Arial" w:hAnsi="Arial" w:cs="Arial"/>
                <w:b/>
                <w:sz w:val="20"/>
                <w:szCs w:val="20"/>
              </w:rPr>
              <w:t>proizvodnog područja</w:t>
            </w:r>
            <w:r w:rsidRPr="00333365">
              <w:rPr>
                <w:rFonts w:ascii="Arial" w:hAnsi="Arial" w:cs="Arial"/>
                <w:b/>
                <w:sz w:val="18"/>
                <w:szCs w:val="18"/>
              </w:rPr>
              <w:t xml:space="preserve"> </w:t>
            </w:r>
          </w:p>
          <w:p w14:paraId="72E22496" w14:textId="4000340D" w:rsidR="00333365" w:rsidRPr="00333365" w:rsidRDefault="00333365" w:rsidP="00886E95">
            <w:pPr>
              <w:spacing w:after="120"/>
              <w:ind w:right="91"/>
              <w:rPr>
                <w:rFonts w:ascii="Arial" w:eastAsia="Times New Roman" w:hAnsi="Arial" w:cs="Arial"/>
                <w:sz w:val="18"/>
                <w:szCs w:val="18"/>
                <w:lang w:eastAsia="en-US"/>
              </w:rPr>
            </w:pPr>
            <w:r w:rsidRPr="00333365">
              <w:rPr>
                <w:rFonts w:ascii="Arial" w:eastAsia="Times New Roman" w:hAnsi="Arial" w:cs="Arial"/>
                <w:sz w:val="18"/>
                <w:szCs w:val="18"/>
                <w:lang w:eastAsia="en-US"/>
              </w:rPr>
              <w:t xml:space="preserve">  Budvansko-barski subregion obuhvata sva ostrva u Jadranskom moru koja pripadaju opštinama Budva i Bar.</w:t>
            </w:r>
          </w:p>
          <w:p w14:paraId="04CBA136" w14:textId="187C6D17" w:rsidR="00333365" w:rsidRPr="00333365" w:rsidRDefault="00333365" w:rsidP="00886E95">
            <w:pPr>
              <w:spacing w:after="27" w:line="276" w:lineRule="auto"/>
              <w:ind w:left="91" w:right="91"/>
              <w:jc w:val="both"/>
              <w:rPr>
                <w:rFonts w:ascii="Arial" w:hAnsi="Arial" w:cs="Arial"/>
                <w:sz w:val="18"/>
                <w:szCs w:val="18"/>
              </w:rPr>
            </w:pPr>
            <w:r w:rsidRPr="00333365">
              <w:rPr>
                <w:rFonts w:ascii="Arial" w:hAnsi="Arial" w:cs="Arial"/>
                <w:sz w:val="18"/>
                <w:szCs w:val="18"/>
              </w:rPr>
              <w:t>Subregion obuhvata katastarske opštine u okviru administrativne opštine Budva: Bečići, Brajići, Budva, Buljarica I, Buljarica II, Kruševica, Kuljače, Maini, Petrovac, Pobori, Prijevor I, Prijevor II, Reževići I, Reževići II, Sveti Stefan, Tudorovići i Višnjevo; kao i katastarske opštine u okviru administrativne opštine Bar: Bartula, Dabezići, Dobra Voda, Kunje, Mala Gorana, Mišići, Novi Bar, Pečurice, Pelinkovići, Polje, Stari Bar, Šušanj, Sutomore, Tomba, Tuđemili, Turčini, Velja Gorana, Velje Selo, Zaljevo, Zankovići i Zupci.</w:t>
            </w:r>
          </w:p>
        </w:tc>
      </w:tr>
      <w:tr w:rsidR="00F8149E" w:rsidRPr="000F2614" w14:paraId="3B89FD46" w14:textId="77777777" w:rsidTr="007E6251">
        <w:tc>
          <w:tcPr>
            <w:tcW w:w="10440" w:type="dxa"/>
            <w:gridSpan w:val="4"/>
            <w:tcBorders>
              <w:top w:val="single" w:sz="4" w:space="0" w:color="auto"/>
              <w:left w:val="single" w:sz="4" w:space="0" w:color="auto"/>
              <w:bottom w:val="single" w:sz="4" w:space="0" w:color="auto"/>
              <w:right w:val="single" w:sz="4" w:space="0" w:color="auto"/>
            </w:tcBorders>
            <w:vAlign w:val="center"/>
            <w:hideMark/>
          </w:tcPr>
          <w:p w14:paraId="6B607102" w14:textId="12788575" w:rsidR="00F8149E" w:rsidRPr="00333365" w:rsidRDefault="00F8149E" w:rsidP="00886E95">
            <w:pPr>
              <w:spacing w:after="120" w:line="276" w:lineRule="auto"/>
              <w:ind w:right="91"/>
              <w:rPr>
                <w:rFonts w:ascii="Arial" w:hAnsi="Arial" w:cs="Arial"/>
                <w:b/>
                <w:sz w:val="18"/>
                <w:szCs w:val="18"/>
              </w:rPr>
            </w:pPr>
            <w:r w:rsidRPr="00333365">
              <w:rPr>
                <w:rFonts w:ascii="Arial" w:hAnsi="Arial" w:cs="Arial"/>
                <w:b/>
                <w:color w:val="FF0000"/>
                <w:sz w:val="18"/>
                <w:szCs w:val="18"/>
              </w:rPr>
              <w:t xml:space="preserve">  </w:t>
            </w:r>
            <w:r w:rsidRPr="00333365">
              <w:rPr>
                <w:rFonts w:ascii="Arial" w:hAnsi="Arial" w:cs="Arial"/>
                <w:b/>
                <w:sz w:val="18"/>
                <w:szCs w:val="18"/>
              </w:rPr>
              <w:t>Maksimalni prinos po hektaru</w:t>
            </w:r>
          </w:p>
          <w:p w14:paraId="14F5D19E" w14:textId="77777777" w:rsidR="00333365" w:rsidRPr="00333365" w:rsidRDefault="00333365" w:rsidP="00886E95">
            <w:pPr>
              <w:pStyle w:val="pdq2pgselectionanchorcontainer"/>
              <w:spacing w:before="0" w:beforeAutospacing="0" w:after="120" w:afterAutospacing="0"/>
              <w:ind w:left="135" w:right="91"/>
              <w:jc w:val="both"/>
              <w:rPr>
                <w:rFonts w:ascii="Arial" w:hAnsi="Arial" w:cs="Arial"/>
                <w:noProof/>
                <w:sz w:val="18"/>
                <w:szCs w:val="18"/>
                <w:lang w:val="sr-Latn-ME"/>
              </w:rPr>
            </w:pPr>
            <w:r w:rsidRPr="00333365">
              <w:rPr>
                <w:rFonts w:ascii="Arial" w:hAnsi="Arial" w:cs="Arial"/>
                <w:noProof/>
                <w:sz w:val="18"/>
                <w:szCs w:val="18"/>
                <w:lang w:val="sr-Latn-ME"/>
              </w:rPr>
              <w:t>U komercijalnim vinogradima namijenjenim za proizvodnju vina sa zaštićenom oznakom porijekla u Budvansko-barskom subregionu, maksimalni prinos uglavnom ne prelazi 2 kg po čokotu.</w:t>
            </w:r>
          </w:p>
          <w:p w14:paraId="35776182" w14:textId="77777777" w:rsidR="00333365" w:rsidRPr="00333365" w:rsidRDefault="00333365" w:rsidP="00886E95">
            <w:pPr>
              <w:pStyle w:val="NormalWeb"/>
              <w:spacing w:before="0" w:beforeAutospacing="0" w:after="120" w:afterAutospacing="0"/>
              <w:ind w:left="135" w:right="91"/>
              <w:jc w:val="both"/>
              <w:rPr>
                <w:rFonts w:ascii="Arial" w:hAnsi="Arial" w:cs="Arial"/>
                <w:noProof/>
                <w:sz w:val="18"/>
                <w:szCs w:val="18"/>
                <w:lang w:val="sr-Latn-ME"/>
              </w:rPr>
            </w:pPr>
            <w:r w:rsidRPr="00333365">
              <w:rPr>
                <w:rFonts w:ascii="Arial" w:hAnsi="Arial" w:cs="Arial"/>
                <w:noProof/>
                <w:sz w:val="18"/>
                <w:szCs w:val="18"/>
                <w:lang w:val="sr-Latn-ME"/>
              </w:rPr>
              <w:t>Maksimalno dozvoljeni prinos zavisi od broja čokota po hektaru. U Budvansko-barskom subregionu, maksimalni dozvoljeni prinos u komercijalnom vinogradu sa 3.000–4.000 čokota po hektaru, namijenjenom za proizvodnju vina sa zaštićenom oznakom porijekla, iznosi 14.000 kg/ha (3,5 kg po čokotu), dok u vinogradu sa više od 4.000 čokota po hektaru iznosi 15.000 kg/ha (3,0 kg po čokotu).</w:t>
            </w:r>
          </w:p>
          <w:p w14:paraId="39AC4E9F" w14:textId="3B2F711A" w:rsidR="00F8149E" w:rsidRPr="00333365" w:rsidRDefault="00333365" w:rsidP="00886E95">
            <w:pPr>
              <w:pStyle w:val="NormalWeb"/>
              <w:spacing w:before="0" w:beforeAutospacing="0" w:after="120" w:afterAutospacing="0"/>
              <w:ind w:left="135" w:right="91"/>
              <w:jc w:val="both"/>
              <w:rPr>
                <w:rFonts w:ascii="Arial" w:hAnsi="Arial" w:cs="Arial"/>
                <w:noProof/>
                <w:color w:val="FF0000"/>
                <w:sz w:val="18"/>
                <w:szCs w:val="18"/>
                <w:lang w:val="sr-Latn-ME"/>
              </w:rPr>
            </w:pPr>
            <w:r w:rsidRPr="00333365">
              <w:rPr>
                <w:rFonts w:ascii="Arial" w:hAnsi="Arial" w:cs="Arial"/>
                <w:noProof/>
                <w:sz w:val="18"/>
                <w:szCs w:val="18"/>
                <w:lang w:val="sr-Latn-ME"/>
              </w:rPr>
              <w:t>U izuzetno povoljnim godinama prinos se može povećati za dodatnih 0,5 kg po čokotu, pod uslovom da kvalitet grožđa i karakteristike vina sa ovog područja ostanu u skladu sa prosječnim vrijednostima.</w:t>
            </w:r>
            <w:r w:rsidR="00F8149E" w:rsidRPr="00333365">
              <w:rPr>
                <w:rFonts w:ascii="Arial" w:hAnsi="Arial" w:cs="Arial"/>
                <w:noProof/>
                <w:color w:val="FF0000"/>
                <w:sz w:val="18"/>
                <w:szCs w:val="18"/>
                <w:lang w:val="sr-Latn-ME"/>
              </w:rPr>
              <w:t>.</w:t>
            </w:r>
          </w:p>
          <w:p w14:paraId="5FA44222" w14:textId="77777777" w:rsidR="00F8149E" w:rsidRPr="00333365" w:rsidRDefault="00F8149E" w:rsidP="00886E95">
            <w:pPr>
              <w:widowControl w:val="0"/>
              <w:autoSpaceDE w:val="0"/>
              <w:autoSpaceDN w:val="0"/>
              <w:spacing w:after="120" w:line="276" w:lineRule="auto"/>
              <w:ind w:left="116" w:right="91"/>
              <w:jc w:val="both"/>
              <w:rPr>
                <w:rFonts w:ascii="Arial" w:eastAsia="Arial" w:hAnsi="Arial" w:cs="Arial"/>
                <w:color w:val="FF0000"/>
                <w:sz w:val="18"/>
                <w:szCs w:val="18"/>
                <w:lang w:eastAsia="en-US"/>
              </w:rPr>
            </w:pPr>
          </w:p>
        </w:tc>
      </w:tr>
      <w:tr w:rsidR="00F8149E" w:rsidRPr="000F2614" w14:paraId="57D5A9D5" w14:textId="77777777" w:rsidTr="007E6251">
        <w:tc>
          <w:tcPr>
            <w:tcW w:w="10440" w:type="dxa"/>
            <w:gridSpan w:val="4"/>
            <w:tcBorders>
              <w:top w:val="single" w:sz="4" w:space="0" w:color="auto"/>
              <w:left w:val="single" w:sz="4" w:space="0" w:color="auto"/>
              <w:bottom w:val="single" w:sz="4" w:space="0" w:color="auto"/>
              <w:right w:val="single" w:sz="4" w:space="0" w:color="auto"/>
            </w:tcBorders>
            <w:vAlign w:val="center"/>
            <w:hideMark/>
          </w:tcPr>
          <w:p w14:paraId="37C647FD" w14:textId="0BA33ADC" w:rsidR="00F8149E" w:rsidRPr="00333365" w:rsidRDefault="00F8149E" w:rsidP="00886E95">
            <w:pPr>
              <w:spacing w:after="120" w:line="276" w:lineRule="auto"/>
              <w:ind w:right="91"/>
              <w:rPr>
                <w:rFonts w:ascii="Arial" w:hAnsi="Arial" w:cs="Arial"/>
                <w:b/>
                <w:color w:val="FF0000"/>
                <w:sz w:val="18"/>
                <w:szCs w:val="18"/>
              </w:rPr>
            </w:pPr>
            <w:r w:rsidRPr="00333365">
              <w:rPr>
                <w:rFonts w:ascii="Arial" w:hAnsi="Arial" w:cs="Arial"/>
                <w:b/>
                <w:color w:val="FF0000"/>
                <w:sz w:val="18"/>
                <w:szCs w:val="18"/>
              </w:rPr>
              <w:t xml:space="preserve">   </w:t>
            </w:r>
            <w:r w:rsidRPr="00333365">
              <w:rPr>
                <w:rFonts w:ascii="Arial" w:hAnsi="Arial" w:cs="Arial"/>
                <w:b/>
                <w:sz w:val="20"/>
                <w:szCs w:val="20"/>
              </w:rPr>
              <w:t>Glavne sorte vinove loze upotrijebljene u proizvodnji</w:t>
            </w:r>
          </w:p>
          <w:p w14:paraId="73574A8E" w14:textId="73FC10D2" w:rsidR="00333365" w:rsidRPr="00333365" w:rsidRDefault="00333365" w:rsidP="00886E95">
            <w:pPr>
              <w:pStyle w:val="BodyText"/>
              <w:spacing w:after="0"/>
              <w:ind w:left="144" w:right="86"/>
              <w:jc w:val="both"/>
              <w:rPr>
                <w:rFonts w:ascii="Arial" w:eastAsia="Arial" w:hAnsi="Arial" w:cs="Arial"/>
                <w:sz w:val="18"/>
                <w:szCs w:val="18"/>
                <w:lang w:eastAsia="en-US"/>
              </w:rPr>
            </w:pPr>
            <w:r w:rsidRPr="00333365">
              <w:rPr>
                <w:rFonts w:ascii="Arial" w:eastAsia="Arial" w:hAnsi="Arial" w:cs="Arial"/>
                <w:sz w:val="18"/>
                <w:szCs w:val="18"/>
                <w:lang w:eastAsia="en-US"/>
              </w:rPr>
              <w:t>Vranac, Kratošija, Lisica, Lisičina, Cabernet Sauvignon, Merlot,  Smederevka, Alicante Bouschet, Cabernet Franc, Grenache, Frankovka, Liberger, Muscat Hamburg, Pinot Noir, Plavka, Prokupac, and Syrah.</w:t>
            </w:r>
          </w:p>
          <w:p w14:paraId="28BF8ECA" w14:textId="40A5268C" w:rsidR="00F8149E" w:rsidRPr="00333365" w:rsidRDefault="00333365" w:rsidP="00886E95">
            <w:pPr>
              <w:ind w:left="144" w:right="86"/>
              <w:jc w:val="both"/>
              <w:rPr>
                <w:rFonts w:ascii="Arial" w:hAnsi="Arial" w:cs="Arial"/>
                <w:sz w:val="18"/>
                <w:szCs w:val="18"/>
              </w:rPr>
            </w:pPr>
            <w:r w:rsidRPr="00333365">
              <w:rPr>
                <w:rFonts w:ascii="Arial" w:eastAsia="Arial" w:hAnsi="Arial" w:cs="Arial"/>
                <w:sz w:val="18"/>
                <w:szCs w:val="18"/>
                <w:lang w:eastAsia="en-US"/>
              </w:rPr>
              <w:t>Krstač, Muškaćela, Muscat varieties, Pinot Blanc, Pinot Gris, Riesling Italico, Sauvignon, Viognier, Žižak,  Župljanka, Chardonnay, Riesling.</w:t>
            </w:r>
          </w:p>
        </w:tc>
      </w:tr>
      <w:tr w:rsidR="00F8149E" w:rsidRPr="000F2614" w14:paraId="19AEF52F" w14:textId="77777777" w:rsidTr="00280611">
        <w:trPr>
          <w:trHeight w:val="346"/>
        </w:trPr>
        <w:tc>
          <w:tcPr>
            <w:tcW w:w="10440" w:type="dxa"/>
            <w:gridSpan w:val="4"/>
            <w:tcBorders>
              <w:top w:val="single" w:sz="4" w:space="0" w:color="auto"/>
              <w:left w:val="single" w:sz="4" w:space="0" w:color="auto"/>
              <w:bottom w:val="single" w:sz="4" w:space="0" w:color="auto"/>
              <w:right w:val="single" w:sz="4" w:space="0" w:color="auto"/>
            </w:tcBorders>
            <w:vAlign w:val="center"/>
            <w:hideMark/>
          </w:tcPr>
          <w:p w14:paraId="7781D711" w14:textId="77777777" w:rsidR="00F8149E" w:rsidRPr="00333365" w:rsidRDefault="00F8149E" w:rsidP="007F1B2E">
            <w:pPr>
              <w:tabs>
                <w:tab w:val="left" w:pos="8931"/>
              </w:tabs>
              <w:spacing w:after="120" w:line="276" w:lineRule="auto"/>
              <w:ind w:right="141"/>
              <w:rPr>
                <w:rFonts w:ascii="Arial" w:hAnsi="Arial" w:cs="Arial"/>
                <w:i/>
                <w:sz w:val="14"/>
                <w:szCs w:val="20"/>
              </w:rPr>
            </w:pPr>
            <w:r w:rsidRPr="00333365">
              <w:rPr>
                <w:rFonts w:ascii="Arial" w:hAnsi="Arial" w:cs="Arial"/>
                <w:b/>
                <w:sz w:val="18"/>
                <w:szCs w:val="18"/>
              </w:rPr>
              <w:t xml:space="preserve">   </w:t>
            </w:r>
            <w:r w:rsidRPr="00333365">
              <w:rPr>
                <w:rFonts w:ascii="Arial" w:hAnsi="Arial" w:cs="Arial"/>
                <w:b/>
                <w:sz w:val="20"/>
                <w:szCs w:val="20"/>
              </w:rPr>
              <w:t>Povezanost s geografskim područjem</w:t>
            </w:r>
            <w:r w:rsidRPr="00333365">
              <w:rPr>
                <w:rFonts w:ascii="Arial" w:hAnsi="Arial" w:cs="Arial"/>
                <w:sz w:val="20"/>
                <w:szCs w:val="20"/>
              </w:rPr>
              <w:t xml:space="preserve"> </w:t>
            </w:r>
            <w:r w:rsidRPr="00333365">
              <w:rPr>
                <w:rFonts w:ascii="Arial" w:hAnsi="Arial" w:cs="Arial"/>
                <w:i/>
                <w:sz w:val="14"/>
                <w:szCs w:val="20"/>
              </w:rPr>
              <w:t>(opisati poseban kvalitet  proizvoda, ugled i dr. karakt. koje se mogu  pripisati tom geog. porijeklu)</w:t>
            </w:r>
          </w:p>
          <w:p w14:paraId="20A726F8" w14:textId="77777777" w:rsidR="00F8149E" w:rsidRPr="00333365" w:rsidRDefault="00F8149E" w:rsidP="007F1B2E">
            <w:pPr>
              <w:widowControl w:val="0"/>
              <w:tabs>
                <w:tab w:val="left" w:pos="239"/>
              </w:tabs>
              <w:autoSpaceDE w:val="0"/>
              <w:autoSpaceDN w:val="0"/>
              <w:spacing w:before="120" w:line="276" w:lineRule="auto"/>
              <w:ind w:left="115"/>
              <w:rPr>
                <w:rFonts w:ascii="Arial" w:eastAsia="Arial" w:hAnsi="Arial" w:cs="Arial"/>
                <w:b/>
                <w:sz w:val="18"/>
                <w:szCs w:val="18"/>
                <w:lang w:eastAsia="en-US"/>
              </w:rPr>
            </w:pPr>
            <w:r w:rsidRPr="00333365">
              <w:rPr>
                <w:rFonts w:ascii="Arial" w:eastAsia="Arial" w:hAnsi="Arial" w:cs="Arial"/>
                <w:b/>
                <w:sz w:val="18"/>
                <w:szCs w:val="18"/>
                <w:lang w:eastAsia="en-US"/>
              </w:rPr>
              <w:t>Uzročno-posljedična povezanost: Istorija</w:t>
            </w:r>
          </w:p>
          <w:p w14:paraId="69B7B4DB" w14:textId="77777777" w:rsidR="00254307" w:rsidRPr="0013233E" w:rsidRDefault="00254307" w:rsidP="007F1B2E">
            <w:pPr>
              <w:shd w:val="clear" w:color="auto" w:fill="FFFFFF"/>
              <w:spacing w:after="120" w:line="276" w:lineRule="auto"/>
              <w:ind w:left="144" w:right="144"/>
              <w:jc w:val="both"/>
              <w:rPr>
                <w:rFonts w:ascii="Arial" w:eastAsiaTheme="minorHAnsi" w:hAnsi="Arial" w:cs="Arial"/>
                <w:noProof w:val="0"/>
                <w:sz w:val="18"/>
                <w:szCs w:val="18"/>
                <w:lang w:eastAsia="en-US"/>
              </w:rPr>
            </w:pPr>
            <w:r w:rsidRPr="006A7B0E">
              <w:rPr>
                <w:rFonts w:ascii="Arial" w:eastAsiaTheme="minorHAnsi" w:hAnsi="Arial" w:cs="Arial"/>
                <w:noProof w:val="0"/>
                <w:sz w:val="18"/>
                <w:szCs w:val="18"/>
                <w:lang w:eastAsia="en-US"/>
              </w:rPr>
              <w:t>D</w:t>
            </w:r>
            <w:r w:rsidRPr="0013233E">
              <w:rPr>
                <w:rFonts w:ascii="Arial" w:eastAsiaTheme="minorHAnsi" w:hAnsi="Arial" w:cs="Arial"/>
                <w:noProof w:val="0"/>
                <w:sz w:val="18"/>
                <w:szCs w:val="18"/>
                <w:lang w:eastAsia="en-US"/>
              </w:rPr>
              <w:t xml:space="preserve">uga </w:t>
            </w:r>
            <w:r w:rsidRPr="006A7B0E">
              <w:rPr>
                <w:rFonts w:ascii="Arial" w:eastAsiaTheme="minorHAnsi" w:hAnsi="Arial" w:cs="Arial"/>
                <w:noProof w:val="0"/>
                <w:sz w:val="18"/>
                <w:szCs w:val="18"/>
                <w:lang w:eastAsia="en-US"/>
              </w:rPr>
              <w:t xml:space="preserve">je </w:t>
            </w:r>
            <w:r w:rsidRPr="0013233E">
              <w:rPr>
                <w:rFonts w:ascii="Arial" w:eastAsiaTheme="minorHAnsi" w:hAnsi="Arial" w:cs="Arial"/>
                <w:noProof w:val="0"/>
                <w:sz w:val="18"/>
                <w:szCs w:val="18"/>
                <w:lang w:eastAsia="en-US"/>
              </w:rPr>
              <w:t xml:space="preserve">i bogata istorija vinogradarstva i vinarstva na </w:t>
            </w:r>
            <w:r w:rsidRPr="006A7B0E">
              <w:rPr>
                <w:rFonts w:ascii="Arial" w:eastAsiaTheme="minorHAnsi" w:hAnsi="Arial" w:cs="Arial"/>
                <w:noProof w:val="0"/>
                <w:sz w:val="18"/>
                <w:szCs w:val="18"/>
                <w:lang w:eastAsia="en-US"/>
              </w:rPr>
              <w:t>ovom prostoru</w:t>
            </w:r>
            <w:r w:rsidRPr="0013233E">
              <w:rPr>
                <w:rFonts w:ascii="Arial" w:eastAsiaTheme="minorHAnsi" w:hAnsi="Arial" w:cs="Arial"/>
                <w:noProof w:val="0"/>
                <w:sz w:val="18"/>
                <w:szCs w:val="18"/>
                <w:lang w:eastAsia="en-US"/>
              </w:rPr>
              <w:t xml:space="preserve">. Ona počinje u Starom vijeku i preko Srednjeg vijeka, u kontinuitetu, traje do današnjih dana. </w:t>
            </w:r>
            <w:r w:rsidRPr="006A7B0E">
              <w:rPr>
                <w:rFonts w:ascii="Arial" w:eastAsiaTheme="minorHAnsi" w:hAnsi="Arial" w:cs="Arial"/>
                <w:noProof w:val="0"/>
                <w:sz w:val="18"/>
                <w:szCs w:val="18"/>
                <w:lang w:eastAsia="en-US"/>
              </w:rPr>
              <w:t>L</w:t>
            </w:r>
            <w:r w:rsidRPr="0013233E">
              <w:rPr>
                <w:rFonts w:ascii="Arial" w:eastAsiaTheme="minorHAnsi" w:hAnsi="Arial" w:cs="Arial"/>
                <w:noProof w:val="0"/>
                <w:sz w:val="18"/>
                <w:szCs w:val="18"/>
                <w:lang w:eastAsia="en-US"/>
              </w:rPr>
              <w:t>oz</w:t>
            </w:r>
            <w:r w:rsidRPr="006A7B0E">
              <w:rPr>
                <w:rFonts w:ascii="Arial" w:eastAsiaTheme="minorHAnsi" w:hAnsi="Arial" w:cs="Arial"/>
                <w:noProof w:val="0"/>
                <w:sz w:val="18"/>
                <w:szCs w:val="18"/>
                <w:lang w:eastAsia="en-US"/>
              </w:rPr>
              <w:t>u su v</w:t>
            </w:r>
            <w:r w:rsidRPr="0013233E">
              <w:rPr>
                <w:rFonts w:ascii="Arial" w:eastAsiaTheme="minorHAnsi" w:hAnsi="Arial" w:cs="Arial"/>
                <w:noProof w:val="0"/>
                <w:sz w:val="18"/>
                <w:szCs w:val="18"/>
                <w:lang w:eastAsia="en-US"/>
              </w:rPr>
              <w:t>jerovatno donijeli Feničani ili Heleni, koji su prilično rano plovili Jadranskim morem. O viševjekovnoj kulturi vinove loze na području Budve svjedoče brojni artefakti, pravno-istorijski spomenici, dokumenti, zapisi i legende.</w:t>
            </w:r>
          </w:p>
          <w:p w14:paraId="47A218FD" w14:textId="77777777" w:rsidR="00254307" w:rsidRPr="0013233E" w:rsidRDefault="00254307" w:rsidP="007F1B2E">
            <w:pPr>
              <w:shd w:val="clear" w:color="auto" w:fill="FFFFFF"/>
              <w:spacing w:after="120" w:line="276" w:lineRule="auto"/>
              <w:ind w:left="144" w:right="144"/>
              <w:jc w:val="both"/>
              <w:rPr>
                <w:rFonts w:ascii="Arial" w:eastAsiaTheme="minorHAnsi" w:hAnsi="Arial" w:cs="Arial"/>
                <w:noProof w:val="0"/>
                <w:sz w:val="18"/>
                <w:szCs w:val="18"/>
                <w:lang w:eastAsia="en-US"/>
              </w:rPr>
            </w:pPr>
            <w:r w:rsidRPr="0013233E">
              <w:rPr>
                <w:rFonts w:ascii="Arial" w:eastAsiaTheme="minorHAnsi" w:hAnsi="Arial" w:cs="Arial"/>
                <w:noProof w:val="0"/>
                <w:sz w:val="18"/>
                <w:szCs w:val="18"/>
                <w:lang w:eastAsia="en-US"/>
              </w:rPr>
              <w:t xml:space="preserve">Prirodni uslovi Budve i okoline (geomorfološke pogodnosti, pedološki sastav zemljišta, povoljna klima, visoka osunčanost i dr.) od davnina su opredijelili ovaj kraj za razvoj vinogradarstva. Pouzdano se zna da proizvodnja vina na području Budve datira još iz antičkog doba (od prije oko 2400 godina). Na to, prije svega, ukazuju pronađeni arheološki nalazi iz budvanske nekropole, koja pruža dragocjene podatke o životu drevne Budve u periodu od gotovo jednog milenijuma. U ovom arheološkkom lokalitetu pronađena su svjedočanstva dviju epoha: donji stariji sloj pripada ilirsko-grčkom periodu (od početka IV do kraja I vijeka stare ere) i gornji mlađi sloj pripada rimskoj epohi (od I do kraja V v.n.e.). Sačuvana je bogata arheološka građa, na osnovu koje se može pratiti smjena velikih mediteranskih kultura i civilizacija kroz minule epohe drevne prošlosti Budve iz predslovenskog doba. Sa ovog helenističkog i rimskog arheološkog nalazišta iskopane su brojne keramičke posude (oinohoe, laginosi, krateri, amfore, skifosi i dr.) iz kojih se pilo, u kojima se nalivalo, čuvalo i transportovalo vino. Svi primjerci budvanskih oinohoa pripadaju poznatoj keramici tipa Gnathia i datiraju iz perioda od IV do II v.p. n.e.. Bogatstvo i raznovrsnost keramičkih oblika iz antičke nekropole svjedoče da je proizvodnja i trgovina vinom, u helenističkom razdoblju bila veoma razvijena u ovom dijelu našeg primorja. Iskopane posude od stakla (čaše, boce i dr.) kao i razne keramičke forme u funkciji vina iz rimskog perioda, potvrđuju da su vinogradarstvo i vinarstvo bili, takođe, važna zanimanja na ovom prostoru. Poznato je da su Rimljani najviše doprinijeli osnivanju i jačanju vinske kulture na evropskom kontinentu, a time i na ovom prostoru. Brojna pisana dokumenta koja su oni ostavili,  zapisi o načinu uzgoja, sortimentu i njezi loze svjedoče o njima kao dobrim vinogradarima i vinarima. Pojedini termini koji se i danas koriste u Crnoj Gori latinskog su porijekla: mošt ili šira (lat. </w:t>
            </w:r>
            <w:r w:rsidRPr="0013233E">
              <w:rPr>
                <w:rFonts w:ascii="Arial" w:eastAsiaTheme="minorHAnsi" w:hAnsi="Arial" w:cs="Arial"/>
                <w:i/>
                <w:noProof w:val="0"/>
                <w:sz w:val="18"/>
                <w:szCs w:val="18"/>
                <w:lang w:eastAsia="en-US"/>
              </w:rPr>
              <w:t>mostum</w:t>
            </w:r>
            <w:r w:rsidRPr="0013233E">
              <w:rPr>
                <w:rFonts w:ascii="Arial" w:eastAsiaTheme="minorHAnsi" w:hAnsi="Arial" w:cs="Arial"/>
                <w:noProof w:val="0"/>
                <w:sz w:val="18"/>
                <w:szCs w:val="18"/>
                <w:lang w:eastAsia="en-US"/>
              </w:rPr>
              <w:t xml:space="preserve">), kada (lat. </w:t>
            </w:r>
            <w:r w:rsidRPr="0013233E">
              <w:rPr>
                <w:rFonts w:ascii="Arial" w:eastAsiaTheme="minorHAnsi" w:hAnsi="Arial" w:cs="Arial"/>
                <w:i/>
                <w:noProof w:val="0"/>
                <w:sz w:val="18"/>
                <w:szCs w:val="18"/>
                <w:lang w:eastAsia="en-US"/>
              </w:rPr>
              <w:t>cadus</w:t>
            </w:r>
            <w:r w:rsidRPr="0013233E">
              <w:rPr>
                <w:rFonts w:ascii="Arial" w:eastAsiaTheme="minorHAnsi" w:hAnsi="Arial" w:cs="Arial"/>
                <w:noProof w:val="0"/>
                <w:sz w:val="18"/>
                <w:szCs w:val="18"/>
                <w:lang w:eastAsia="en-US"/>
              </w:rPr>
              <w:t xml:space="preserve">), bačva (lat. </w:t>
            </w:r>
            <w:r w:rsidRPr="0013233E">
              <w:rPr>
                <w:rFonts w:ascii="Arial" w:eastAsiaTheme="minorHAnsi" w:hAnsi="Arial" w:cs="Arial"/>
                <w:i/>
                <w:noProof w:val="0"/>
                <w:sz w:val="18"/>
                <w:szCs w:val="18"/>
                <w:lang w:eastAsia="en-US"/>
              </w:rPr>
              <w:t>bicus</w:t>
            </w:r>
            <w:r w:rsidRPr="0013233E">
              <w:rPr>
                <w:rFonts w:ascii="Arial" w:eastAsiaTheme="minorHAnsi" w:hAnsi="Arial" w:cs="Arial"/>
                <w:noProof w:val="0"/>
                <w:sz w:val="18"/>
                <w:szCs w:val="18"/>
                <w:lang w:eastAsia="en-US"/>
              </w:rPr>
              <w:t xml:space="preserve">), kosijer (lat. </w:t>
            </w:r>
            <w:r w:rsidRPr="0013233E">
              <w:rPr>
                <w:rFonts w:ascii="Arial" w:eastAsiaTheme="minorHAnsi" w:hAnsi="Arial" w:cs="Arial"/>
                <w:i/>
                <w:noProof w:val="0"/>
                <w:sz w:val="18"/>
                <w:szCs w:val="18"/>
                <w:lang w:eastAsia="en-US"/>
              </w:rPr>
              <w:t>cossero</w:t>
            </w:r>
            <w:r w:rsidRPr="0013233E">
              <w:rPr>
                <w:rFonts w:ascii="Arial" w:eastAsiaTheme="minorHAnsi" w:hAnsi="Arial" w:cs="Arial"/>
                <w:noProof w:val="0"/>
                <w:sz w:val="18"/>
                <w:szCs w:val="18"/>
                <w:lang w:eastAsia="en-US"/>
              </w:rPr>
              <w:t xml:space="preserve">), bokal (lat. </w:t>
            </w:r>
            <w:r w:rsidRPr="0013233E">
              <w:rPr>
                <w:rFonts w:ascii="Arial" w:eastAsiaTheme="minorHAnsi" w:hAnsi="Arial" w:cs="Arial"/>
                <w:i/>
                <w:noProof w:val="0"/>
                <w:sz w:val="18"/>
                <w:szCs w:val="18"/>
                <w:lang w:eastAsia="en-US"/>
              </w:rPr>
              <w:t>poculum</w:t>
            </w:r>
            <w:r w:rsidRPr="0013233E">
              <w:rPr>
                <w:rFonts w:ascii="Arial" w:eastAsiaTheme="minorHAnsi" w:hAnsi="Arial" w:cs="Arial"/>
                <w:noProof w:val="0"/>
                <w:sz w:val="18"/>
                <w:szCs w:val="18"/>
                <w:lang w:eastAsia="en-US"/>
              </w:rPr>
              <w:t xml:space="preserve">), konoba (lat. </w:t>
            </w:r>
            <w:r w:rsidRPr="0013233E">
              <w:rPr>
                <w:rFonts w:ascii="Arial" w:eastAsiaTheme="minorHAnsi" w:hAnsi="Arial" w:cs="Arial"/>
                <w:i/>
                <w:noProof w:val="0"/>
                <w:sz w:val="18"/>
                <w:szCs w:val="18"/>
                <w:lang w:eastAsia="en-US"/>
              </w:rPr>
              <w:t>conoba</w:t>
            </w:r>
            <w:r w:rsidRPr="0013233E">
              <w:rPr>
                <w:rFonts w:ascii="Arial" w:eastAsiaTheme="minorHAnsi" w:hAnsi="Arial" w:cs="Arial"/>
                <w:noProof w:val="0"/>
                <w:sz w:val="18"/>
                <w:szCs w:val="18"/>
                <w:lang w:eastAsia="en-US"/>
              </w:rPr>
              <w:t xml:space="preserve">). </w:t>
            </w:r>
          </w:p>
          <w:p w14:paraId="30A57D2D" w14:textId="77777777" w:rsidR="00254307" w:rsidRDefault="00254307" w:rsidP="007F1B2E">
            <w:pPr>
              <w:shd w:val="clear" w:color="auto" w:fill="FFFFFF"/>
              <w:spacing w:after="120" w:line="276" w:lineRule="auto"/>
              <w:ind w:left="144" w:right="144"/>
              <w:jc w:val="both"/>
              <w:rPr>
                <w:rFonts w:ascii="Arial" w:eastAsia="Times New Roman" w:hAnsi="Arial" w:cs="Arial"/>
                <w:noProof w:val="0"/>
                <w:sz w:val="18"/>
                <w:szCs w:val="18"/>
              </w:rPr>
            </w:pPr>
            <w:r w:rsidRPr="0013233E">
              <w:rPr>
                <w:rFonts w:ascii="Arial" w:eastAsiaTheme="minorHAnsi" w:hAnsi="Arial" w:cs="Arial"/>
                <w:noProof w:val="0"/>
                <w:sz w:val="18"/>
                <w:szCs w:val="18"/>
                <w:lang w:eastAsia="en-US"/>
              </w:rPr>
              <w:t>U srednjevjekovnoj i novovjekovnoj budvanskoj istoriji n</w:t>
            </w:r>
            <w:r w:rsidRPr="0013233E">
              <w:rPr>
                <w:rFonts w:ascii="Arial" w:eastAsia="Times New Roman" w:hAnsi="Arial" w:cs="Arial"/>
                <w:noProof w:val="0"/>
                <w:sz w:val="18"/>
                <w:szCs w:val="18"/>
              </w:rPr>
              <w:t>ailazimo na čitav spektar artefakata, pisanih spomenika i istorijskih dokumenata, koji svjedoče o kontinuitetu uzgoja vinove loze i proizvodnje vina u ovom dijelu C</w:t>
            </w:r>
            <w:r w:rsidRPr="0013233E">
              <w:rPr>
                <w:rFonts w:ascii="Arial" w:eastAsiaTheme="minorHAnsi" w:hAnsi="Arial" w:cs="Arial"/>
                <w:noProof w:val="0"/>
                <w:sz w:val="18"/>
                <w:szCs w:val="18"/>
                <w:lang w:eastAsia="en-US"/>
              </w:rPr>
              <w:t>rnogorsko</w:t>
            </w:r>
            <w:r w:rsidRPr="0013233E">
              <w:rPr>
                <w:rFonts w:ascii="Arial" w:eastAsia="Times New Roman" w:hAnsi="Arial" w:cs="Arial"/>
                <w:noProof w:val="0"/>
                <w:sz w:val="18"/>
                <w:szCs w:val="18"/>
              </w:rPr>
              <w:t xml:space="preserve">g primorja. Na pronađenom kapitelu iz monumentalne trobrodne ranohrišćanske bazilike </w:t>
            </w:r>
            <w:r w:rsidRPr="0013233E">
              <w:rPr>
                <w:rFonts w:ascii="Arial" w:eastAsia="Times New Roman" w:hAnsi="Arial" w:cs="Arial"/>
                <w:noProof w:val="0"/>
                <w:sz w:val="16"/>
                <w:szCs w:val="18"/>
              </w:rPr>
              <w:t>(V-VI v.n.e)</w:t>
            </w:r>
            <w:r w:rsidRPr="0013233E">
              <w:rPr>
                <w:rFonts w:ascii="Arial" w:eastAsia="Times New Roman" w:hAnsi="Arial" w:cs="Arial"/>
                <w:noProof w:val="0"/>
                <w:sz w:val="18"/>
                <w:szCs w:val="18"/>
              </w:rPr>
              <w:t xml:space="preserve"> u staroj Budvi srećemo stilizovani prikaz grozdova vinove loze. </w:t>
            </w:r>
            <w:r w:rsidRPr="00EC166D">
              <w:rPr>
                <w:rFonts w:ascii="Arial" w:eastAsia="Times New Roman" w:hAnsi="Arial" w:cs="Arial"/>
                <w:noProof w:val="0"/>
                <w:sz w:val="18"/>
                <w:szCs w:val="18"/>
              </w:rPr>
              <w:t xml:space="preserve">Nakon propasti Rimskog carstva, tokom prve polovine VI vijeka, Budva potpada pod vlast Vizantije. </w:t>
            </w:r>
            <w:r w:rsidRPr="00EC166D">
              <w:rPr>
                <w:rFonts w:ascii="Arial" w:eastAsia="Times New Roman" w:hAnsi="Arial" w:cs="Arial"/>
                <w:noProof w:val="0"/>
                <w:sz w:val="18"/>
                <w:szCs w:val="18"/>
              </w:rPr>
              <w:lastRenderedPageBreak/>
              <w:t xml:space="preserve">Početkom VII vijeka slovenska plemena otpočinju svoje trajno naseljavanje na Balkanskom poluostrvu, potiskujući starosjedioce. Kao zemljoradnici, oni od romanskog življa i Ilira preuzimaju uzgajanje vinove loze i nastavljaju proizvodnju vina i u srednjem vijeku, posebno u okruženju manastira. U paštrovskom istorijskom kolektivnom  sjećanju ostale su upamćene brojne legende o vinu. Statut grada Budve iz XV vijeka, pored Kotorskog, predstavlja jedan od najznačajnijih srednjovjekovnih pravno-istorijskih dokumenata sa područja današnje Crne Gore. Originalni tekst Budvanskog statuta, najvjerovatnije napisan na latinskom jeziku, nije sačuvan, ali postoji šest prepisa njegovog talijanskog prevoda, od kojih se dva čuvaju u Biblioteci crkve Sv. Marka u Veneciji, a po jedan primjerak se nalazi u hrvatskim gradovima: Zagrebu, Zadru, Splitu i Cavtatu. U Statutu se, između ostalog, na normativno pragmatičan način, uređuje gajenje vinove loze, prerada grožđa i trgovina vinom. Sadrži 295 poglavlja, od kojih njih 20 tretira ondašnju aktuelnu pravnu problematiku u vezi budvanskih vinograda, grožđa i vina. Poglavlje 261 posvećeno je isključivo kratošijskim vinogradima. Ovo je, u pisanim izvorima, najstariji pomen sorte Kratošija, za koju je DNK analizom utvrđeno da je, uz Crljenak kaštelanski (Hrvatska) i Primitivo (Italija), identična s američkom sortom Zinfandel. U istorijskim izvorima iz druge polovine XV vijeka ostalo je zapisano da su kratošijski vinogradi tada bili najrasprostranjeniji u budvanskom vinogorju. </w:t>
            </w:r>
          </w:p>
          <w:p w14:paraId="57BFE3F7" w14:textId="77777777" w:rsidR="00254307" w:rsidRPr="0013233E" w:rsidRDefault="00254307" w:rsidP="007F1B2E">
            <w:pPr>
              <w:shd w:val="clear" w:color="auto" w:fill="FFFFFF"/>
              <w:spacing w:after="120" w:line="276" w:lineRule="auto"/>
              <w:ind w:left="144" w:right="144"/>
              <w:jc w:val="both"/>
              <w:rPr>
                <w:rFonts w:ascii="Arial" w:eastAsia="Times New Roman" w:hAnsi="Arial" w:cs="Arial"/>
                <w:noProof w:val="0"/>
                <w:color w:val="00B050"/>
                <w:sz w:val="18"/>
                <w:szCs w:val="18"/>
              </w:rPr>
            </w:pPr>
            <w:r w:rsidRPr="00EC166D">
              <w:rPr>
                <w:rFonts w:ascii="Arial" w:eastAsia="Times New Roman" w:hAnsi="Arial" w:cs="Arial"/>
                <w:noProof w:val="0"/>
                <w:sz w:val="18"/>
                <w:szCs w:val="18"/>
              </w:rPr>
              <w:t xml:space="preserve">Iz Budvanskih anala pisca i kanonika Antuna Kojovića, saznajemo da je vinogradarstvo u Budvanskom polju i okolini, početkom XIX vijeka bilo veoma razvijeno, da je krajem 1807. godine „vino koštalo četiri cekina* po barelu“ (Cekin je jedan od naziva za mletački zlatni novac, koji je težio 3,56 grama). Vinova loza je ovdje, u XVIII, XIX i u prvoj polovini XX vijeka, predstavljala ubjedljivo najzastupljeniju voćnu kulturu, čak su krčeni maslinjaci da bi se umjesto njih sadili vinogradi. </w:t>
            </w:r>
          </w:p>
          <w:p w14:paraId="7799528B" w14:textId="77777777" w:rsidR="00254307" w:rsidRPr="0013233E" w:rsidRDefault="00254307" w:rsidP="007F1B2E">
            <w:pPr>
              <w:shd w:val="clear" w:color="auto" w:fill="FFFFFF"/>
              <w:spacing w:after="120" w:line="276" w:lineRule="auto"/>
              <w:ind w:left="144" w:right="142"/>
              <w:jc w:val="both"/>
              <w:rPr>
                <w:rFonts w:ascii="Arial" w:eastAsia="Times New Roman" w:hAnsi="Arial" w:cs="Arial"/>
                <w:noProof w:val="0"/>
                <w:color w:val="00B050"/>
                <w:sz w:val="18"/>
                <w:szCs w:val="18"/>
              </w:rPr>
            </w:pPr>
            <w:r w:rsidRPr="0013233E">
              <w:rPr>
                <w:rFonts w:ascii="Arial" w:eastAsia="Times New Roman" w:hAnsi="Arial" w:cs="Arial"/>
                <w:noProof w:val="0"/>
                <w:sz w:val="18"/>
                <w:szCs w:val="18"/>
              </w:rPr>
              <w:t>Zbog konfiguracije terena</w:t>
            </w:r>
            <w:r w:rsidRPr="00F26FBD">
              <w:rPr>
                <w:rFonts w:ascii="Arial" w:eastAsia="Times New Roman" w:hAnsi="Arial" w:cs="Arial"/>
                <w:noProof w:val="0"/>
                <w:sz w:val="18"/>
                <w:szCs w:val="18"/>
              </w:rPr>
              <w:t>, p</w:t>
            </w:r>
            <w:r w:rsidRPr="0013233E">
              <w:rPr>
                <w:rFonts w:ascii="Arial" w:eastAsia="Times New Roman" w:hAnsi="Arial" w:cs="Arial"/>
                <w:noProof w:val="0"/>
                <w:sz w:val="18"/>
                <w:szCs w:val="18"/>
              </w:rPr>
              <w:t>ovoljnih klimatskih uslova, visoke osunčanosti predjela  i odgovarajućeg sastava zemljišta, grožđe je ovdje uvijek kvalitetno sazrijavalo, što je omogućavalo dobijanje vina vrhunskog kvaliteta</w:t>
            </w:r>
            <w:r w:rsidRPr="00F26FBD">
              <w:rPr>
                <w:rFonts w:ascii="Arial" w:eastAsia="Times New Roman" w:hAnsi="Arial" w:cs="Arial"/>
                <w:noProof w:val="0"/>
                <w:sz w:val="18"/>
                <w:szCs w:val="18"/>
              </w:rPr>
              <w:t xml:space="preserve">, </w:t>
            </w:r>
            <w:r w:rsidRPr="0013233E">
              <w:rPr>
                <w:rFonts w:ascii="Arial" w:eastAsia="Times New Roman" w:hAnsi="Arial" w:cs="Arial"/>
                <w:noProof w:val="0"/>
                <w:sz w:val="18"/>
                <w:szCs w:val="18"/>
              </w:rPr>
              <w:t xml:space="preserve">koje se kupovalo i koristilo kao lijek. Međutim, zaključno sa šezdesetim godinama XX vijeka filoksera je gotovo uništila </w:t>
            </w:r>
            <w:r w:rsidRPr="00F26FBD">
              <w:rPr>
                <w:rFonts w:ascii="Arial" w:eastAsia="Times New Roman" w:hAnsi="Arial" w:cs="Arial"/>
                <w:noProof w:val="0"/>
                <w:sz w:val="18"/>
                <w:szCs w:val="18"/>
              </w:rPr>
              <w:t>vinograde.</w:t>
            </w:r>
            <w:r w:rsidRPr="0013233E">
              <w:rPr>
                <w:rFonts w:ascii="Arial" w:eastAsia="Times New Roman" w:hAnsi="Arial" w:cs="Arial"/>
                <w:noProof w:val="0"/>
                <w:sz w:val="18"/>
                <w:szCs w:val="18"/>
              </w:rPr>
              <w:t xml:space="preserve"> Istovremeno, turizam se snažno razvijao i vinogradari su postajali turistički radnici. Tako da, u drugoj polovini prošlog vijeka, zbog filoksere i turizma, vinogradarstvo je u ovoj regiji veoma nazadovalo. Prema podacima akademika Marka Ulićevića, budvanski vinogradi zauzimali su 41ha 1958. godine, a šest godina kasnije svega 28ha sa oko 166000 čokota. </w:t>
            </w:r>
            <w:r w:rsidRPr="0013233E">
              <w:rPr>
                <w:rFonts w:ascii="Arial" w:eastAsia="Times New Roman" w:hAnsi="Arial" w:cs="Arial"/>
                <w:noProof w:val="0"/>
                <w:color w:val="00B050"/>
                <w:sz w:val="18"/>
                <w:szCs w:val="18"/>
              </w:rPr>
              <w:t xml:space="preserve"> </w:t>
            </w:r>
          </w:p>
          <w:p w14:paraId="50009A34" w14:textId="42289289" w:rsidR="00254307" w:rsidRDefault="00254307" w:rsidP="007F1B2E">
            <w:pPr>
              <w:shd w:val="clear" w:color="auto" w:fill="FFFFFF"/>
              <w:spacing w:after="120" w:line="276" w:lineRule="auto"/>
              <w:ind w:left="144" w:right="142"/>
              <w:jc w:val="both"/>
              <w:rPr>
                <w:rFonts w:ascii="Arial" w:eastAsia="Times New Roman" w:hAnsi="Arial" w:cs="Arial"/>
                <w:noProof w:val="0"/>
                <w:sz w:val="18"/>
                <w:szCs w:val="18"/>
              </w:rPr>
            </w:pPr>
            <w:r w:rsidRPr="00EB1F2B">
              <w:rPr>
                <w:rFonts w:ascii="Arial" w:eastAsia="Times New Roman" w:hAnsi="Arial" w:cs="Arial"/>
                <w:noProof w:val="0"/>
                <w:sz w:val="18"/>
                <w:szCs w:val="18"/>
              </w:rPr>
              <w:t>Sve u svemu, vinogradarstvo je u proteklim vjekovima bilo jedno od glavnih poljoprivrednih djelatnosti naših predaka. Da bi ostalo što više zemlje za ostale kulture, vinova loza se sadila po krajevima parcela, iza međa koje su se kaskadno podizale radi stvaranja obradivih terasastih baština. Ove terase predstavljale su ujedno i zaštitu od erozivnih procesa. Na svakoj terasi, iza suvomeđe, nalazio se red loza. Od crnih sorti vinove loze u budvanskom kraju najrasprostranjenija je bila Kratošija, zatim Vranac, a prilično je bila raširena i Lisica, stara sorta roza boje. Od bijelih sorti posebno je bila zastupljena Mekuša, potom Japudžak i Razaklija bijela. Grožđe se na tradicionalni način gnječilo nogama u drvenim badnjevima. Nakon završenog vrenja, vino se prelivalo u drvene bačve, a potom iz bačve u staklene demižane. Kako je, prilikom svojih putovanja kroz Crnu Goru, zapisao S. Kaper, vino se transportovalo u mješinama od ovčje kože, sa četiri noge koje su služile kao hvataljke.</w:t>
            </w:r>
          </w:p>
          <w:p w14:paraId="298A5CD9" w14:textId="6C3979A1" w:rsidR="00254307" w:rsidRPr="00EB1F2B" w:rsidRDefault="00254307" w:rsidP="007F1B2E">
            <w:pPr>
              <w:shd w:val="clear" w:color="auto" w:fill="FFFFFF"/>
              <w:spacing w:after="120" w:line="276" w:lineRule="auto"/>
              <w:ind w:left="144" w:right="141"/>
              <w:jc w:val="both"/>
              <w:rPr>
                <w:rFonts w:ascii="Arial" w:eastAsia="Times New Roman" w:hAnsi="Arial" w:cs="Arial"/>
                <w:noProof w:val="0"/>
                <w:sz w:val="18"/>
                <w:szCs w:val="18"/>
              </w:rPr>
            </w:pPr>
            <w:r w:rsidRPr="00EB1F2B">
              <w:rPr>
                <w:rFonts w:ascii="Arial" w:eastAsia="Times New Roman" w:hAnsi="Arial" w:cs="Arial"/>
                <w:noProof w:val="0"/>
                <w:sz w:val="18"/>
                <w:szCs w:val="18"/>
              </w:rPr>
              <w:t>Danas, vinogradari njeguju tradiciju dominantnim uzgojem autohtonih crnogorskih vinskih sorti i proizvode vina visokog kvaliteta, koristeći pedo-klimatske i orografske blagodeti terroara uz primjenu savremenih ampelotehničkih mjera i enoloških postupaka. Kvalitet njihovih vina nagrađen je na brojnim međunarodnim sajmovima i takmičenjima.</w:t>
            </w:r>
          </w:p>
          <w:p w14:paraId="104F3413" w14:textId="77777777" w:rsidR="00F8149E" w:rsidRPr="00333365" w:rsidRDefault="00F8149E" w:rsidP="007F1B2E">
            <w:pPr>
              <w:widowControl w:val="0"/>
              <w:tabs>
                <w:tab w:val="left" w:pos="239"/>
              </w:tabs>
              <w:autoSpaceDE w:val="0"/>
              <w:autoSpaceDN w:val="0"/>
              <w:spacing w:before="120" w:line="276" w:lineRule="auto"/>
              <w:ind w:left="115"/>
              <w:rPr>
                <w:rFonts w:ascii="Arial" w:eastAsia="Arial" w:hAnsi="Arial" w:cs="Arial"/>
                <w:b/>
                <w:sz w:val="18"/>
                <w:szCs w:val="18"/>
                <w:lang w:eastAsia="en-US"/>
              </w:rPr>
            </w:pPr>
            <w:r w:rsidRPr="00333365">
              <w:rPr>
                <w:rFonts w:ascii="Arial" w:eastAsia="Arial" w:hAnsi="Arial" w:cs="Arial"/>
                <w:b/>
                <w:sz w:val="18"/>
                <w:szCs w:val="18"/>
                <w:lang w:eastAsia="en-US"/>
              </w:rPr>
              <w:t>Uzročno-posljedična povezanost: Klima</w:t>
            </w:r>
          </w:p>
          <w:p w14:paraId="39FECB2E" w14:textId="2EB193BC" w:rsidR="00254307" w:rsidRPr="008730B4" w:rsidRDefault="00254307" w:rsidP="007F1B2E">
            <w:pPr>
              <w:widowControl w:val="0"/>
              <w:autoSpaceDE w:val="0"/>
              <w:autoSpaceDN w:val="0"/>
              <w:spacing w:after="120" w:line="276" w:lineRule="auto"/>
              <w:ind w:left="113" w:right="119"/>
              <w:jc w:val="both"/>
              <w:rPr>
                <w:rFonts w:ascii="Arial" w:hAnsi="Arial" w:cs="Arial"/>
                <w:noProof w:val="0"/>
                <w:sz w:val="18"/>
                <w:szCs w:val="18"/>
              </w:rPr>
            </w:pPr>
            <w:r w:rsidRPr="008730B4">
              <w:rPr>
                <w:rFonts w:ascii="Arial" w:eastAsia="Arial" w:hAnsi="Arial" w:cs="Arial"/>
                <w:noProof w:val="0"/>
                <w:sz w:val="18"/>
                <w:szCs w:val="18"/>
                <w:lang w:eastAsia="en-US"/>
              </w:rPr>
              <w:t>Na klimu ovog subregiona, neprikosnoven je uticaj Jadranskog mora.</w:t>
            </w:r>
            <w:r w:rsidRPr="008730B4">
              <w:rPr>
                <w:noProof w:val="0"/>
              </w:rPr>
              <w:t xml:space="preserve"> </w:t>
            </w:r>
            <w:r w:rsidRPr="008730B4">
              <w:rPr>
                <w:rFonts w:ascii="Arial" w:eastAsia="Arial" w:hAnsi="Arial" w:cs="Arial"/>
                <w:noProof w:val="0"/>
                <w:sz w:val="18"/>
                <w:szCs w:val="18"/>
                <w:lang w:eastAsia="en-US"/>
              </w:rPr>
              <w:t xml:space="preserve">S obzirom da se Budvansko – </w:t>
            </w:r>
            <w:r w:rsidR="008E61E7" w:rsidRPr="008730B4">
              <w:rPr>
                <w:rFonts w:ascii="Arial" w:eastAsia="Arial" w:hAnsi="Arial" w:cs="Arial"/>
                <w:noProof w:val="0"/>
                <w:sz w:val="18"/>
                <w:szCs w:val="18"/>
                <w:lang w:eastAsia="en-US"/>
              </w:rPr>
              <w:t>b</w:t>
            </w:r>
            <w:r w:rsidRPr="008730B4">
              <w:rPr>
                <w:rFonts w:ascii="Arial" w:eastAsia="Arial" w:hAnsi="Arial" w:cs="Arial"/>
                <w:noProof w:val="0"/>
                <w:sz w:val="18"/>
                <w:szCs w:val="18"/>
                <w:lang w:eastAsia="en-US"/>
              </w:rPr>
              <w:t>arski subregion nalazi u priobalnom dijelu, Jadransko more ima određeni uticaj na ublažavanje visoke temperature tokom toplih ljetnjih mjeseci, povećenje difuzne svjetlosti na strmim terenima uz obalu, kao i povećanje relativne vlažnosti vazduha. O</w:t>
            </w:r>
            <w:r w:rsidRPr="008730B4">
              <w:rPr>
                <w:rFonts w:ascii="Arial" w:hAnsi="Arial" w:cs="Arial"/>
                <w:noProof w:val="0"/>
                <w:sz w:val="18"/>
                <w:szCs w:val="18"/>
              </w:rPr>
              <w:t xml:space="preserve">vo područje </w:t>
            </w:r>
            <w:r w:rsidRPr="008730B4">
              <w:rPr>
                <w:rFonts w:ascii="Arial" w:eastAsia="Arial" w:hAnsi="Arial" w:cs="Arial"/>
                <w:noProof w:val="0"/>
                <w:sz w:val="18"/>
                <w:szCs w:val="18"/>
                <w:lang w:eastAsia="en-US"/>
              </w:rPr>
              <w:t>ima blage zime i tipičnu mediteransku floru. Jadransko more utiče i na smanjenje mraznih dana tokom zimskih mjeseci i na povećanje prosječne srednje dnevne temperature tokom jesenjih mjeseci. Na taj način vodena površina Jadrana utiče na produženje vegetacionog perioda vinove loze u ovom vinogradarskom području. Uticaj Jadranskog mora se ogleda i kroz prisustvo vjetrova, kao što je Jugo (Široko) koji tokom ljetnjih mjeseci umanjuje posledice suše povećavajući vlažnost vazduha, ali tokom jeseni iz pravca mora donosi veliku količinu padavina.</w:t>
            </w:r>
            <w:r w:rsidRPr="008730B4">
              <w:rPr>
                <w:rFonts w:ascii="Arial" w:hAnsi="Arial" w:cs="Arial"/>
                <w:noProof w:val="0"/>
                <w:sz w:val="18"/>
                <w:szCs w:val="18"/>
              </w:rPr>
              <w:t xml:space="preserve"> Upravo zbog toga, grožđe ovdje dozrijeva punom snagom, što se osjeća u robustnom, rubin crvenom i lepršavom vinu u kojem se refklektuje miris mediteranske vegetacije – citrusa, lovora i čempresa.</w:t>
            </w:r>
          </w:p>
          <w:p w14:paraId="7EC5844A" w14:textId="45717C81" w:rsidR="00254307" w:rsidRPr="008730B4" w:rsidRDefault="00254307" w:rsidP="007F1B2E">
            <w:pPr>
              <w:widowControl w:val="0"/>
              <w:autoSpaceDE w:val="0"/>
              <w:autoSpaceDN w:val="0"/>
              <w:spacing w:after="120" w:line="276" w:lineRule="auto"/>
              <w:ind w:left="113" w:right="119"/>
              <w:jc w:val="both"/>
              <w:rPr>
                <w:rFonts w:ascii="Arial" w:hAnsi="Arial" w:cs="Arial"/>
                <w:noProof w:val="0"/>
                <w:sz w:val="18"/>
                <w:szCs w:val="18"/>
              </w:rPr>
            </w:pPr>
            <w:r w:rsidRPr="008730B4">
              <w:rPr>
                <w:rFonts w:ascii="Arial" w:hAnsi="Arial" w:cs="Arial"/>
                <w:noProof w:val="0"/>
                <w:sz w:val="18"/>
                <w:szCs w:val="18"/>
              </w:rPr>
              <w:t>Po osnovu klasifikacije Geovinogradarskog MCC sistema, prostorno posmatrajući ukupnu površinu ovog subregiona, on pripada pretežno klimatskoj klasi: HI+1; CI-1; DI-1 (umjereno topla klasa klime sa umjerenim noćima / worm nights i poluvlažnom klimom). Ovoj vinogradarskoj klasi klime pripada vinogradarsko područje Urugvaja Las Bruxas. Pojedini lokaliteti u ovom subregionu imaju viši Heliotermički indeks (HI+2 / topla klima) sa toplijim noćima i nešto manje humidnom klimom tokom  vegetacionog perioda, pa su sličniji vinogradarskim područjima južnog Brazila: Campanha Meridional (Bagé) i Campanha Setentrional (Quaraí) iako je Huglinov indeks nešto viši u tim mjestima južnog Brazila. Visočiji djelovi ovog vinogradarskog područja imaju sličnu srednju vegetacionu temperaturu kao primorski dio Kalifornije (SAD), Južna Afrika, Sjeverna Kalifornija (SAD), Porto i Vihno Verde (Portugal), Côtes du Rhône (Francuska),  Barolo i Chianti (Italija) i dr, a priobalni i niži djelovi imaju sličnu srednju vegetacionu temperature kao Barossa Valley (Australija), J</w:t>
            </w:r>
            <w:r w:rsidR="007436E6">
              <w:rPr>
                <w:rFonts w:ascii="Arial" w:hAnsi="Arial" w:cs="Arial"/>
                <w:noProof w:val="0"/>
                <w:sz w:val="18"/>
                <w:szCs w:val="18"/>
              </w:rPr>
              <w:t>.</w:t>
            </w:r>
            <w:r w:rsidRPr="008730B4">
              <w:rPr>
                <w:rFonts w:ascii="Arial" w:hAnsi="Arial" w:cs="Arial"/>
                <w:noProof w:val="0"/>
                <w:sz w:val="18"/>
                <w:szCs w:val="18"/>
              </w:rPr>
              <w:t>Portugal, J</w:t>
            </w:r>
            <w:r w:rsidR="007436E6">
              <w:rPr>
                <w:rFonts w:ascii="Arial" w:hAnsi="Arial" w:cs="Arial"/>
                <w:noProof w:val="0"/>
                <w:sz w:val="18"/>
                <w:szCs w:val="18"/>
              </w:rPr>
              <w:t>.</w:t>
            </w:r>
            <w:r w:rsidRPr="008730B4">
              <w:rPr>
                <w:rFonts w:ascii="Arial" w:hAnsi="Arial" w:cs="Arial"/>
                <w:noProof w:val="0"/>
                <w:sz w:val="18"/>
                <w:szCs w:val="18"/>
              </w:rPr>
              <w:t>Kalifornija (SAD) i dr.</w:t>
            </w:r>
          </w:p>
          <w:p w14:paraId="7A711040" w14:textId="01B6AD37" w:rsidR="00254307" w:rsidRPr="008730B4" w:rsidRDefault="00254307" w:rsidP="007F1B2E">
            <w:pPr>
              <w:widowControl w:val="0"/>
              <w:autoSpaceDE w:val="0"/>
              <w:autoSpaceDN w:val="0"/>
              <w:spacing w:after="120" w:line="276" w:lineRule="auto"/>
              <w:ind w:left="113" w:right="119"/>
              <w:jc w:val="both"/>
              <w:rPr>
                <w:rFonts w:ascii="Arial" w:eastAsia="Arial" w:hAnsi="Arial" w:cs="Arial"/>
                <w:noProof w:val="0"/>
                <w:sz w:val="18"/>
                <w:szCs w:val="18"/>
                <w:lang w:eastAsia="en-US"/>
              </w:rPr>
            </w:pPr>
            <w:r w:rsidRPr="008730B4">
              <w:rPr>
                <w:rFonts w:ascii="Arial" w:hAnsi="Arial" w:cs="Arial"/>
                <w:noProof w:val="0"/>
                <w:sz w:val="18"/>
                <w:szCs w:val="18"/>
              </w:rPr>
              <w:t xml:space="preserve">U priobalnom dijelu ovog subregiona srednja godišnja temperatura vazduha je u intervalu od 16ºC do 18ºC, a u pojedinim brdskim djelovima u Mainima, Paštrovićima i Grdovićima je u intervalu od 12ºC do 14ºC. </w:t>
            </w:r>
            <w:r w:rsidRPr="008730B4">
              <w:rPr>
                <w:rFonts w:ascii="Arial" w:eastAsia="Arial" w:hAnsi="Arial" w:cs="Arial"/>
                <w:noProof w:val="0"/>
                <w:sz w:val="18"/>
                <w:szCs w:val="18"/>
                <w:lang w:eastAsia="en-US"/>
              </w:rPr>
              <w:t xml:space="preserve">Srеdnjа tеmpеrаturа vаzduhа </w:t>
            </w:r>
            <w:r w:rsidRPr="008730B4">
              <w:rPr>
                <w:rFonts w:ascii="Arial" w:eastAsia="Arial" w:hAnsi="Arial" w:cs="Arial"/>
                <w:noProof w:val="0"/>
                <w:sz w:val="18"/>
                <w:szCs w:val="18"/>
                <w:lang w:eastAsia="en-US"/>
              </w:rPr>
              <w:lastRenderedPageBreak/>
              <w:t xml:space="preserve">Budvansko – </w:t>
            </w:r>
            <w:r w:rsidR="008E61E7" w:rsidRPr="008730B4">
              <w:rPr>
                <w:rFonts w:ascii="Arial" w:eastAsia="Arial" w:hAnsi="Arial" w:cs="Arial"/>
                <w:noProof w:val="0"/>
                <w:sz w:val="18"/>
                <w:szCs w:val="18"/>
                <w:lang w:eastAsia="en-US"/>
              </w:rPr>
              <w:t>b</w:t>
            </w:r>
            <w:r w:rsidRPr="008730B4">
              <w:rPr>
                <w:rFonts w:ascii="Arial" w:eastAsia="Arial" w:hAnsi="Arial" w:cs="Arial"/>
                <w:noProof w:val="0"/>
                <w:sz w:val="18"/>
                <w:szCs w:val="18"/>
                <w:lang w:eastAsia="en-US"/>
              </w:rPr>
              <w:t>arskog subregiona je najniža u јаnuаru (9,2</w:t>
            </w:r>
            <w:r w:rsidRPr="008730B4">
              <w:rPr>
                <w:rFonts w:ascii="Arial" w:eastAsia="Arial" w:hAnsi="Arial" w:cs="Arial"/>
                <w:b/>
                <w:noProof w:val="0"/>
                <w:sz w:val="18"/>
                <w:szCs w:val="18"/>
                <w:lang w:eastAsia="en-US"/>
              </w:rPr>
              <w:t>º</w:t>
            </w:r>
            <w:r w:rsidRPr="008730B4">
              <w:rPr>
                <w:rFonts w:ascii="Arial" w:eastAsia="Arial" w:hAnsi="Arial" w:cs="Arial"/>
                <w:noProof w:val="0"/>
                <w:sz w:val="18"/>
                <w:szCs w:val="18"/>
                <w:lang w:eastAsia="en-US"/>
              </w:rPr>
              <w:t>C u Baru i 9,4</w:t>
            </w:r>
            <w:r w:rsidRPr="008730B4">
              <w:rPr>
                <w:rFonts w:ascii="Arial" w:eastAsia="Arial" w:hAnsi="Arial" w:cs="Arial"/>
                <w:b/>
                <w:noProof w:val="0"/>
                <w:sz w:val="18"/>
                <w:szCs w:val="18"/>
                <w:lang w:eastAsia="en-US"/>
              </w:rPr>
              <w:t>º</w:t>
            </w:r>
            <w:r w:rsidRPr="008730B4">
              <w:rPr>
                <w:rFonts w:ascii="Arial" w:eastAsia="Arial" w:hAnsi="Arial" w:cs="Arial"/>
                <w:noProof w:val="0"/>
                <w:sz w:val="18"/>
                <w:szCs w:val="18"/>
                <w:lang w:eastAsia="en-US"/>
              </w:rPr>
              <w:t>C u Budvi), а nајvišа tоkоm avgusta (24,9</w:t>
            </w:r>
            <w:r w:rsidRPr="008730B4">
              <w:rPr>
                <w:rFonts w:ascii="Arial" w:eastAsia="Arial" w:hAnsi="Arial" w:cs="Arial"/>
                <w:b/>
                <w:noProof w:val="0"/>
                <w:sz w:val="18"/>
                <w:szCs w:val="18"/>
                <w:lang w:eastAsia="en-US"/>
              </w:rPr>
              <w:t>º</w:t>
            </w:r>
            <w:r w:rsidRPr="008730B4">
              <w:rPr>
                <w:rFonts w:ascii="Arial" w:eastAsia="Arial" w:hAnsi="Arial" w:cs="Arial"/>
                <w:noProof w:val="0"/>
                <w:sz w:val="18"/>
                <w:szCs w:val="18"/>
                <w:lang w:eastAsia="en-US"/>
              </w:rPr>
              <w:t>C u Baru i 25,6</w:t>
            </w:r>
            <w:r w:rsidRPr="008730B4">
              <w:rPr>
                <w:rFonts w:ascii="Arial" w:eastAsia="Arial" w:hAnsi="Arial" w:cs="Arial"/>
                <w:b/>
                <w:noProof w:val="0"/>
                <w:sz w:val="18"/>
                <w:szCs w:val="18"/>
                <w:lang w:eastAsia="en-US"/>
              </w:rPr>
              <w:t>º</w:t>
            </w:r>
            <w:r w:rsidRPr="008730B4">
              <w:rPr>
                <w:rFonts w:ascii="Arial" w:eastAsia="Arial" w:hAnsi="Arial" w:cs="Arial"/>
                <w:noProof w:val="0"/>
                <w:sz w:val="18"/>
                <w:szCs w:val="18"/>
                <w:lang w:eastAsia="en-US"/>
              </w:rPr>
              <w:t>C u Budvi). Srеdnjа mjеsеčnа tеmpеrаturа u tоku sеptеmbrа, kаdа vеćinа sоrti ulаzi u fеnоlоšku fаzu šаrkа ili grоžđе zri, je 21,7</w:t>
            </w:r>
            <w:r w:rsidRPr="008730B4">
              <w:rPr>
                <w:rFonts w:ascii="Arial" w:eastAsia="Arial" w:hAnsi="Arial" w:cs="Arial"/>
                <w:b/>
                <w:noProof w:val="0"/>
                <w:sz w:val="18"/>
                <w:szCs w:val="18"/>
                <w:lang w:eastAsia="en-US"/>
              </w:rPr>
              <w:t>º</w:t>
            </w:r>
            <w:r w:rsidRPr="008730B4">
              <w:rPr>
                <w:rFonts w:ascii="Arial" w:eastAsia="Arial" w:hAnsi="Arial" w:cs="Arial"/>
                <w:noProof w:val="0"/>
                <w:sz w:val="18"/>
                <w:szCs w:val="18"/>
                <w:lang w:eastAsia="en-US"/>
              </w:rPr>
              <w:t>C (Bar) i 21,9</w:t>
            </w:r>
            <w:r w:rsidRPr="008730B4">
              <w:rPr>
                <w:rFonts w:ascii="Arial" w:eastAsia="Arial" w:hAnsi="Arial" w:cs="Arial"/>
                <w:b/>
                <w:noProof w:val="0"/>
                <w:sz w:val="18"/>
                <w:szCs w:val="18"/>
                <w:lang w:eastAsia="en-US"/>
              </w:rPr>
              <w:t>º</w:t>
            </w:r>
            <w:r w:rsidRPr="008730B4">
              <w:rPr>
                <w:rFonts w:ascii="Arial" w:eastAsia="Arial" w:hAnsi="Arial" w:cs="Arial"/>
                <w:noProof w:val="0"/>
                <w:sz w:val="18"/>
                <w:szCs w:val="18"/>
                <w:lang w:eastAsia="en-US"/>
              </w:rPr>
              <w:t>C (Budva)i, što je povoljno za sazrijevanje grožđa.</w:t>
            </w:r>
          </w:p>
          <w:p w14:paraId="5E8973BD" w14:textId="2CF753EF" w:rsidR="00254307" w:rsidRPr="008730B4" w:rsidRDefault="008E61E7" w:rsidP="007F1B2E">
            <w:pPr>
              <w:widowControl w:val="0"/>
              <w:autoSpaceDE w:val="0"/>
              <w:autoSpaceDN w:val="0"/>
              <w:spacing w:after="120" w:line="276" w:lineRule="auto"/>
              <w:ind w:left="116" w:right="119"/>
              <w:jc w:val="both"/>
              <w:rPr>
                <w:rFonts w:ascii="Arial" w:eastAsia="Arial" w:hAnsi="Arial" w:cs="Arial"/>
                <w:noProof w:val="0"/>
                <w:sz w:val="18"/>
                <w:szCs w:val="18"/>
                <w:lang w:eastAsia="en-US"/>
              </w:rPr>
            </w:pPr>
            <w:r w:rsidRPr="008730B4">
              <w:rPr>
                <w:rFonts w:ascii="Arial" w:eastAsia="Arial" w:hAnsi="Arial" w:cs="Arial"/>
                <w:noProof w:val="0"/>
                <w:sz w:val="18"/>
                <w:szCs w:val="18"/>
                <w:lang w:eastAsia="en-US"/>
              </w:rPr>
              <w:t xml:space="preserve">U </w:t>
            </w:r>
            <w:r w:rsidR="00254307" w:rsidRPr="008730B4">
              <w:rPr>
                <w:rFonts w:ascii="Arial" w:eastAsia="Arial" w:hAnsi="Arial" w:cs="Arial"/>
                <w:noProof w:val="0"/>
                <w:sz w:val="18"/>
                <w:szCs w:val="18"/>
                <w:lang w:eastAsia="en-US"/>
              </w:rPr>
              <w:t xml:space="preserve">Budvansko – </w:t>
            </w:r>
            <w:r w:rsidRPr="008730B4">
              <w:rPr>
                <w:rFonts w:ascii="Arial" w:eastAsia="Arial" w:hAnsi="Arial" w:cs="Arial"/>
                <w:noProof w:val="0"/>
                <w:sz w:val="18"/>
                <w:szCs w:val="18"/>
                <w:lang w:eastAsia="en-US"/>
              </w:rPr>
              <w:t>b</w:t>
            </w:r>
            <w:r w:rsidR="00254307" w:rsidRPr="008730B4">
              <w:rPr>
                <w:rFonts w:ascii="Arial" w:eastAsia="Arial" w:hAnsi="Arial" w:cs="Arial"/>
                <w:noProof w:val="0"/>
                <w:sz w:val="18"/>
                <w:szCs w:val="18"/>
                <w:lang w:eastAsia="en-US"/>
              </w:rPr>
              <w:t>arsk</w:t>
            </w:r>
            <w:r w:rsidRPr="008730B4">
              <w:rPr>
                <w:rFonts w:ascii="Arial" w:eastAsia="Arial" w:hAnsi="Arial" w:cs="Arial"/>
                <w:noProof w:val="0"/>
                <w:sz w:val="18"/>
                <w:szCs w:val="18"/>
                <w:lang w:eastAsia="en-US"/>
              </w:rPr>
              <w:t>om</w:t>
            </w:r>
            <w:r w:rsidR="00254307" w:rsidRPr="008730B4">
              <w:rPr>
                <w:rFonts w:ascii="Arial" w:eastAsia="Arial" w:hAnsi="Arial" w:cs="Arial"/>
                <w:noProof w:val="0"/>
                <w:sz w:val="18"/>
                <w:szCs w:val="18"/>
                <w:lang w:eastAsia="en-US"/>
              </w:rPr>
              <w:t xml:space="preserve"> subregion</w:t>
            </w:r>
            <w:r w:rsidRPr="008730B4">
              <w:rPr>
                <w:rFonts w:ascii="Arial" w:eastAsia="Arial" w:hAnsi="Arial" w:cs="Arial"/>
                <w:noProof w:val="0"/>
                <w:sz w:val="18"/>
                <w:szCs w:val="18"/>
                <w:lang w:eastAsia="en-US"/>
              </w:rPr>
              <w:t>u</w:t>
            </w:r>
            <w:r w:rsidR="00254307" w:rsidRPr="008730B4">
              <w:rPr>
                <w:rFonts w:ascii="Arial" w:eastAsia="Arial" w:hAnsi="Arial" w:cs="Arial"/>
                <w:noProof w:val="0"/>
                <w:sz w:val="18"/>
                <w:szCs w:val="18"/>
                <w:lang w:eastAsia="en-US"/>
              </w:rPr>
              <w:t xml:space="preserve"> pre</w:t>
            </w:r>
            <w:r w:rsidRPr="008730B4">
              <w:rPr>
                <w:rFonts w:ascii="Arial" w:eastAsia="Arial" w:hAnsi="Arial" w:cs="Arial"/>
                <w:noProof w:val="0"/>
                <w:sz w:val="18"/>
                <w:szCs w:val="18"/>
                <w:lang w:eastAsia="en-US"/>
              </w:rPr>
              <w:t xml:space="preserve">ovlađuje </w:t>
            </w:r>
            <w:r w:rsidR="00254307" w:rsidRPr="008730B4">
              <w:rPr>
                <w:rFonts w:ascii="Arial" w:eastAsia="Arial" w:hAnsi="Arial" w:cs="Arial"/>
                <w:noProof w:val="0"/>
                <w:sz w:val="18"/>
                <w:szCs w:val="18"/>
                <w:lang w:eastAsia="en-US"/>
              </w:rPr>
              <w:t>mediteranski režim padavina, s ne</w:t>
            </w:r>
            <w:r w:rsidRPr="008730B4">
              <w:rPr>
                <w:rFonts w:ascii="Arial" w:eastAsia="Arial" w:hAnsi="Arial" w:cs="Arial"/>
                <w:noProof w:val="0"/>
                <w:sz w:val="18"/>
                <w:szCs w:val="18"/>
                <w:lang w:eastAsia="en-US"/>
              </w:rPr>
              <w:t>ravnomjernnim</w:t>
            </w:r>
            <w:r w:rsidR="00254307" w:rsidRPr="008730B4">
              <w:rPr>
                <w:rFonts w:ascii="Arial" w:eastAsia="Arial" w:hAnsi="Arial" w:cs="Arial"/>
                <w:noProof w:val="0"/>
                <w:sz w:val="18"/>
                <w:szCs w:val="18"/>
                <w:lang w:eastAsia="en-US"/>
              </w:rPr>
              <w:t xml:space="preserve"> rasporedom padavina tokom godine, gdje su veće količine padavina tokom hladnijih mjeseci. Srеdnjа mjеsеčnа sumа pаdаvinа subregiona је nајmаnjа tоkоm jula (30 mm u Baru i 36,6mm u Budvi), a naјvеćа u Budvi krajem jeseni u novembru (197,2mm) i u Baru početkom zime u decembru (174,8 mm). Najveći dio ovoga subregiona ima srednju vegetacionu sumu padavina u intervalu od 600 mm do 800 mm. Srednja relativna vlažnost vazduha u okviru Budvansko - </w:t>
            </w:r>
            <w:r w:rsidRPr="008730B4">
              <w:rPr>
                <w:rFonts w:ascii="Arial" w:eastAsia="Arial" w:hAnsi="Arial" w:cs="Arial"/>
                <w:noProof w:val="0"/>
                <w:sz w:val="18"/>
                <w:szCs w:val="18"/>
                <w:lang w:eastAsia="en-US"/>
              </w:rPr>
              <w:t>b</w:t>
            </w:r>
            <w:r w:rsidR="00254307" w:rsidRPr="008730B4">
              <w:rPr>
                <w:rFonts w:ascii="Arial" w:eastAsia="Arial" w:hAnsi="Arial" w:cs="Arial"/>
                <w:noProof w:val="0"/>
                <w:sz w:val="18"/>
                <w:szCs w:val="18"/>
                <w:lang w:eastAsia="en-US"/>
              </w:rPr>
              <w:t>arskog subregiona je u granicama optimuma, u intervalu od 60%-80%. Iako je nešto viša tokom fenološke faze cvjetanja, vlažnost vazduha je povoljna tokom perioda porasta i sazrijevanja grozdova. Srednja relativna vlažnost vazduha u toku vegetacionog perioda je 68% i u Baru i Budvi.</w:t>
            </w:r>
          </w:p>
          <w:p w14:paraId="5A2A09AD" w14:textId="02A35CCE" w:rsidR="00254307" w:rsidRPr="008730B4" w:rsidRDefault="00254307" w:rsidP="007F1B2E">
            <w:pPr>
              <w:shd w:val="clear" w:color="auto" w:fill="FFFFFF"/>
              <w:spacing w:after="120" w:line="276" w:lineRule="auto"/>
              <w:ind w:left="144" w:right="144"/>
              <w:jc w:val="both"/>
              <w:rPr>
                <w:rFonts w:ascii="Arial" w:eastAsia="Times New Roman" w:hAnsi="Arial" w:cs="Arial"/>
                <w:noProof w:val="0"/>
                <w:sz w:val="18"/>
                <w:szCs w:val="18"/>
              </w:rPr>
            </w:pPr>
            <w:r w:rsidRPr="008730B4">
              <w:rPr>
                <w:rFonts w:ascii="Arial" w:eastAsia="Arial" w:hAnsi="Arial" w:cs="Arial"/>
                <w:noProof w:val="0"/>
                <w:sz w:val="18"/>
                <w:szCs w:val="18"/>
                <w:lang w:eastAsia="en-US"/>
              </w:rPr>
              <w:t xml:space="preserve">Ovo vinogradarsko područje ima dovoljno sunčeve svjetlosti koja je neophodna lišću vinove loze za obavljanje fotosinteze. </w:t>
            </w:r>
            <w:r w:rsidRPr="008730B4">
              <w:rPr>
                <w:rFonts w:ascii="Arial" w:eastAsia="Times New Roman" w:hAnsi="Arial" w:cs="Arial"/>
                <w:noProof w:val="0"/>
                <w:sz w:val="18"/>
                <w:szCs w:val="18"/>
              </w:rPr>
              <w:t>Postoje svjetlosni uslovi za normalan rast vinove loze, cvjetanje, oplodnju i sazrijevanje grožđa odgovarajućeg kvaliteta, kao i za postizanje odlične rodnosti okaca.</w:t>
            </w:r>
          </w:p>
          <w:p w14:paraId="62C95261" w14:textId="3745D360" w:rsidR="008E61E7" w:rsidRPr="008730B4" w:rsidRDefault="008730B4" w:rsidP="007F1B2E">
            <w:pPr>
              <w:shd w:val="clear" w:color="auto" w:fill="FFFFFF"/>
              <w:spacing w:after="120" w:line="276" w:lineRule="auto"/>
              <w:ind w:left="144" w:right="144"/>
              <w:jc w:val="both"/>
              <w:rPr>
                <w:rFonts w:ascii="Arial" w:eastAsia="Times New Roman" w:hAnsi="Arial" w:cs="Arial"/>
                <w:sz w:val="18"/>
                <w:szCs w:val="18"/>
              </w:rPr>
            </w:pPr>
            <w:r w:rsidRPr="008730B4">
              <w:rPr>
                <w:rFonts w:ascii="Arial" w:eastAsia="Times New Roman" w:hAnsi="Arial" w:cs="Arial"/>
                <w:sz w:val="18"/>
                <w:szCs w:val="18"/>
              </w:rPr>
              <w:t>Krečnjačka podloga koja zadržava vlagu obezbjeđuje stabilnu rezervu vlage tokom vrelih ljetnjih mjeseci.</w:t>
            </w:r>
            <w:r w:rsidR="008E61E7" w:rsidRPr="008730B4">
              <w:rPr>
                <w:rFonts w:ascii="Arial" w:eastAsia="Times New Roman" w:hAnsi="Arial" w:cs="Arial"/>
                <w:sz w:val="18"/>
                <w:szCs w:val="18"/>
              </w:rPr>
              <w:t xml:space="preserve"> Grožđe dostiže optimalnu fiziološku zrelost bez zastoja u sazrijevanju. Dobijena vina su robusna, ali odlikuju se uravnoteženim fenolnim profilom, uz karakteristične note mediteranske makije i tamne šljive.</w:t>
            </w:r>
            <w:r w:rsidRPr="008730B4">
              <w:rPr>
                <w:rFonts w:ascii="Arial" w:eastAsia="Times New Roman" w:hAnsi="Arial" w:cs="Arial"/>
                <w:sz w:val="18"/>
                <w:szCs w:val="18"/>
              </w:rPr>
              <w:t xml:space="preserve"> </w:t>
            </w:r>
          </w:p>
          <w:p w14:paraId="7D25DAE1" w14:textId="77777777" w:rsidR="00F8149E" w:rsidRPr="00333365" w:rsidRDefault="00F8149E" w:rsidP="007F1B2E">
            <w:pPr>
              <w:tabs>
                <w:tab w:val="left" w:pos="8931"/>
              </w:tabs>
              <w:spacing w:before="120" w:line="276" w:lineRule="auto"/>
              <w:ind w:left="144" w:right="144"/>
              <w:rPr>
                <w:rFonts w:ascii="Arial" w:hAnsi="Arial" w:cs="Arial"/>
                <w:b/>
                <w:sz w:val="18"/>
                <w:szCs w:val="18"/>
              </w:rPr>
            </w:pPr>
            <w:r w:rsidRPr="00333365">
              <w:rPr>
                <w:rFonts w:ascii="Arial" w:hAnsi="Arial" w:cs="Arial"/>
                <w:b/>
                <w:sz w:val="18"/>
                <w:szCs w:val="18"/>
              </w:rPr>
              <w:t>Uzročno-posljedična povezanost: Geologija i zemljište</w:t>
            </w:r>
          </w:p>
          <w:p w14:paraId="63426654" w14:textId="16AB5853" w:rsidR="003F7080" w:rsidRPr="00886E95" w:rsidRDefault="003F7080" w:rsidP="007F1B2E">
            <w:pPr>
              <w:widowControl w:val="0"/>
              <w:autoSpaceDE w:val="0"/>
              <w:autoSpaceDN w:val="0"/>
              <w:spacing w:after="120" w:line="276" w:lineRule="auto"/>
              <w:ind w:left="113" w:right="119"/>
              <w:jc w:val="both"/>
              <w:rPr>
                <w:rFonts w:ascii="Arial" w:eastAsia="Arial" w:hAnsi="Arial" w:cs="Arial"/>
                <w:sz w:val="18"/>
                <w:szCs w:val="18"/>
                <w:lang w:eastAsia="en-US"/>
              </w:rPr>
            </w:pPr>
            <w:r w:rsidRPr="00886E95">
              <w:rPr>
                <w:rFonts w:ascii="Arial" w:eastAsia="Arial" w:hAnsi="Arial" w:cs="Arial"/>
                <w:sz w:val="18"/>
                <w:szCs w:val="18"/>
                <w:lang w:eastAsia="en-US"/>
              </w:rPr>
              <w:t>U Budvansko-barskom subregionu gotovo 85 % površine čine smeđa zemljišta — kambisoli i terra rossa (crvenice) u južnom priobalnom dijelu. Na veoma malim površinama na većim nadmorskim visinama zastupljene su rendzine, dok se u pojedinim priobalnim područjima nalaze manje naslage morskog pijeska (aerosoli).</w:t>
            </w:r>
            <w:r w:rsidR="007436E6">
              <w:rPr>
                <w:rFonts w:ascii="Arial" w:eastAsia="Arial" w:hAnsi="Arial" w:cs="Arial"/>
                <w:sz w:val="18"/>
                <w:szCs w:val="18"/>
                <w:lang w:eastAsia="en-US"/>
              </w:rPr>
              <w:t xml:space="preserve"> </w:t>
            </w:r>
            <w:r w:rsidRPr="00886E95">
              <w:rPr>
                <w:rFonts w:ascii="Arial" w:eastAsia="Arial" w:hAnsi="Arial" w:cs="Arial"/>
                <w:sz w:val="18"/>
                <w:szCs w:val="18"/>
                <w:lang w:eastAsia="en-US"/>
              </w:rPr>
              <w:t>Pedološka analiza pokazuje da se na dubini od 80–130 cm nalazi tekstura teške gline, sa masivnom strukturom, bez karbonata, koja sadrži konkrecije obogaćene seskvioksidima i manganom, što doprinosi izraženom mineralnom karakteru vina iz ovog subregiona.</w:t>
            </w:r>
          </w:p>
          <w:p w14:paraId="055C97E9" w14:textId="77777777" w:rsidR="003F7080" w:rsidRPr="00886E95" w:rsidRDefault="003F7080" w:rsidP="007F1B2E">
            <w:pPr>
              <w:widowControl w:val="0"/>
              <w:autoSpaceDE w:val="0"/>
              <w:autoSpaceDN w:val="0"/>
              <w:spacing w:after="120" w:line="276" w:lineRule="auto"/>
              <w:ind w:left="115" w:right="115"/>
              <w:jc w:val="both"/>
              <w:rPr>
                <w:rFonts w:ascii="Arial" w:eastAsia="Arial" w:hAnsi="Arial" w:cs="Arial"/>
                <w:sz w:val="18"/>
                <w:szCs w:val="18"/>
                <w:lang w:eastAsia="en-US"/>
              </w:rPr>
            </w:pPr>
            <w:r w:rsidRPr="00886E95">
              <w:rPr>
                <w:rFonts w:ascii="Arial" w:eastAsia="Arial" w:hAnsi="Arial" w:cs="Arial"/>
                <w:sz w:val="18"/>
                <w:szCs w:val="18"/>
                <w:lang w:eastAsia="en-US"/>
              </w:rPr>
              <w:t>Flišna zemljišta pružaju bolju ravnotežu između zadržavanja vode i mineralne drenaže u odnosu na čisti krš. Poslijepodnevna zasjena sprečava razgradnju kiselina. Vina su izrazito elegantna, meke teksture, sa izraženijim primarnim voćnim aromama i nižim sadržajem alkohola u odnosu na vina iz kontinentalnih područja.</w:t>
            </w:r>
          </w:p>
          <w:p w14:paraId="48225944" w14:textId="77777777" w:rsidR="00F8149E" w:rsidRPr="00333365" w:rsidRDefault="00F8149E" w:rsidP="007F1B2E">
            <w:pPr>
              <w:tabs>
                <w:tab w:val="left" w:pos="8931"/>
              </w:tabs>
              <w:spacing w:before="120" w:line="276" w:lineRule="auto"/>
              <w:ind w:left="144" w:right="144"/>
              <w:rPr>
                <w:rFonts w:ascii="Arial" w:hAnsi="Arial" w:cs="Arial"/>
                <w:b/>
                <w:sz w:val="18"/>
                <w:szCs w:val="18"/>
              </w:rPr>
            </w:pPr>
            <w:r w:rsidRPr="00333365">
              <w:rPr>
                <w:rFonts w:ascii="Arial" w:hAnsi="Arial" w:cs="Arial"/>
                <w:b/>
                <w:sz w:val="18"/>
                <w:szCs w:val="18"/>
              </w:rPr>
              <w:t>Uzročno-posljedična povezanost: Antropogeni faktor</w:t>
            </w:r>
          </w:p>
          <w:p w14:paraId="76A9988C" w14:textId="15BD7A28" w:rsidR="00886E95" w:rsidRPr="00C63D44" w:rsidRDefault="00886E95" w:rsidP="007F1B2E">
            <w:pPr>
              <w:widowControl w:val="0"/>
              <w:autoSpaceDE w:val="0"/>
              <w:autoSpaceDN w:val="0"/>
              <w:spacing w:after="120" w:line="276" w:lineRule="auto"/>
              <w:ind w:left="113" w:right="119"/>
              <w:jc w:val="both"/>
              <w:rPr>
                <w:rFonts w:ascii="Arial" w:eastAsia="Arial" w:hAnsi="Arial" w:cs="Arial"/>
                <w:noProof w:val="0"/>
                <w:sz w:val="18"/>
                <w:szCs w:val="18"/>
                <w:lang w:eastAsia="en-US"/>
              </w:rPr>
            </w:pPr>
            <w:r w:rsidRPr="00C63D44">
              <w:rPr>
                <w:rFonts w:ascii="Arial" w:eastAsia="Arial" w:hAnsi="Arial" w:cs="Arial"/>
                <w:noProof w:val="0"/>
                <w:sz w:val="18"/>
                <w:szCs w:val="18"/>
                <w:lang w:eastAsia="en-US"/>
              </w:rPr>
              <w:t xml:space="preserve">Prirodne karakteristike Budvansko - </w:t>
            </w:r>
            <w:r w:rsidR="00021CD5">
              <w:rPr>
                <w:rFonts w:ascii="Arial" w:eastAsia="Arial" w:hAnsi="Arial" w:cs="Arial"/>
                <w:noProof w:val="0"/>
                <w:sz w:val="18"/>
                <w:szCs w:val="18"/>
                <w:lang w:eastAsia="en-US"/>
              </w:rPr>
              <w:t>b</w:t>
            </w:r>
            <w:r w:rsidRPr="00C63D44">
              <w:rPr>
                <w:rFonts w:ascii="Arial" w:eastAsia="Arial" w:hAnsi="Arial" w:cs="Arial"/>
                <w:noProof w:val="0"/>
                <w:sz w:val="18"/>
                <w:szCs w:val="18"/>
                <w:lang w:eastAsia="en-US"/>
              </w:rPr>
              <w:t>arskog subregiona (klimatske, pedološko-geološke i orografske), pojačane ljudskim djelovanjem, poštovanjem tradicije u spravljanju i čuvanju vina, jedinstven</w:t>
            </w:r>
            <w:r w:rsidRPr="007521E6">
              <w:rPr>
                <w:rFonts w:ascii="Arial" w:eastAsia="Arial" w:hAnsi="Arial" w:cs="Arial"/>
                <w:noProof w:val="0"/>
                <w:sz w:val="18"/>
                <w:szCs w:val="18"/>
                <w:lang w:eastAsia="en-US"/>
              </w:rPr>
              <w:t>i</w:t>
            </w:r>
            <w:r w:rsidRPr="00C63D44">
              <w:rPr>
                <w:rFonts w:ascii="Arial" w:eastAsia="Arial" w:hAnsi="Arial" w:cs="Arial"/>
                <w:noProof w:val="0"/>
                <w:sz w:val="18"/>
                <w:szCs w:val="18"/>
                <w:lang w:eastAsia="en-US"/>
              </w:rPr>
              <w:t xml:space="preserve"> su u Evropi i time ključn</w:t>
            </w:r>
            <w:r w:rsidRPr="007521E6">
              <w:rPr>
                <w:rFonts w:ascii="Arial" w:eastAsia="Arial" w:hAnsi="Arial" w:cs="Arial"/>
                <w:noProof w:val="0"/>
                <w:sz w:val="18"/>
                <w:szCs w:val="18"/>
                <w:lang w:eastAsia="en-US"/>
              </w:rPr>
              <w:t>i</w:t>
            </w:r>
            <w:r w:rsidRPr="00C63D44">
              <w:rPr>
                <w:rFonts w:ascii="Arial" w:eastAsia="Arial" w:hAnsi="Arial" w:cs="Arial"/>
                <w:noProof w:val="0"/>
                <w:sz w:val="18"/>
                <w:szCs w:val="18"/>
                <w:lang w:eastAsia="en-US"/>
              </w:rPr>
              <w:t xml:space="preserve"> za preciznu definiciju područja, tj. za zaštitu porijekla specifičnog, autentičnog kvaliteta proizvoda iz </w:t>
            </w:r>
            <w:r w:rsidRPr="007521E6">
              <w:rPr>
                <w:rFonts w:ascii="Arial" w:eastAsia="Arial" w:hAnsi="Arial" w:cs="Arial"/>
                <w:noProof w:val="0"/>
                <w:sz w:val="18"/>
                <w:szCs w:val="18"/>
                <w:lang w:eastAsia="en-US"/>
              </w:rPr>
              <w:t>ovog</w:t>
            </w:r>
            <w:r w:rsidRPr="00C63D44">
              <w:rPr>
                <w:rFonts w:ascii="Arial" w:eastAsia="Arial" w:hAnsi="Arial" w:cs="Arial"/>
                <w:noProof w:val="0"/>
                <w:sz w:val="18"/>
                <w:szCs w:val="18"/>
                <w:lang w:eastAsia="en-US"/>
              </w:rPr>
              <w:t xml:space="preserve"> područja. </w:t>
            </w:r>
          </w:p>
          <w:p w14:paraId="634E1CA8" w14:textId="33B59FE8" w:rsidR="00886E95" w:rsidRPr="007521E6" w:rsidRDefault="00886E95" w:rsidP="007F1B2E">
            <w:pPr>
              <w:widowControl w:val="0"/>
              <w:autoSpaceDE w:val="0"/>
              <w:autoSpaceDN w:val="0"/>
              <w:spacing w:after="120" w:line="276" w:lineRule="auto"/>
              <w:ind w:left="113" w:right="119"/>
              <w:jc w:val="both"/>
              <w:rPr>
                <w:rFonts w:ascii="Arial" w:eastAsia="Arial" w:hAnsi="Arial" w:cs="Arial"/>
                <w:noProof w:val="0"/>
                <w:sz w:val="18"/>
                <w:szCs w:val="18"/>
                <w:lang w:eastAsia="en-US"/>
              </w:rPr>
            </w:pPr>
            <w:r w:rsidRPr="007521E6">
              <w:rPr>
                <w:rFonts w:ascii="Arial" w:eastAsia="Arial" w:hAnsi="Arial" w:cs="Arial"/>
                <w:noProof w:val="0"/>
                <w:sz w:val="18"/>
                <w:szCs w:val="18"/>
                <w:lang w:eastAsia="en-US"/>
              </w:rPr>
              <w:t xml:space="preserve">Budvansko - </w:t>
            </w:r>
            <w:r w:rsidR="00021CD5">
              <w:rPr>
                <w:rFonts w:ascii="Arial" w:eastAsia="Arial" w:hAnsi="Arial" w:cs="Arial"/>
                <w:noProof w:val="0"/>
                <w:sz w:val="18"/>
                <w:szCs w:val="18"/>
                <w:lang w:eastAsia="en-US"/>
              </w:rPr>
              <w:t>b</w:t>
            </w:r>
            <w:r w:rsidRPr="007521E6">
              <w:rPr>
                <w:rFonts w:ascii="Arial" w:eastAsia="Arial" w:hAnsi="Arial" w:cs="Arial"/>
                <w:noProof w:val="0"/>
                <w:sz w:val="18"/>
                <w:szCs w:val="18"/>
                <w:lang w:eastAsia="en-US"/>
              </w:rPr>
              <w:t xml:space="preserve">arski subregion nalazi se u priobalnom dijelu Jadranskog mora, koje ima presudni uticaj kako na pedo-klimatske karakteristike, tako i na prirodnu floru, način života, navike i ekonomske aktivnosti </w:t>
            </w:r>
            <w:r>
              <w:rPr>
                <w:rFonts w:ascii="Arial" w:eastAsia="Arial" w:hAnsi="Arial" w:cs="Arial"/>
                <w:noProof w:val="0"/>
                <w:sz w:val="18"/>
                <w:szCs w:val="18"/>
                <w:lang w:eastAsia="en-US"/>
              </w:rPr>
              <w:t>stanovnika ovog područja</w:t>
            </w:r>
            <w:r w:rsidRPr="007521E6">
              <w:rPr>
                <w:rFonts w:ascii="Arial" w:eastAsia="Arial" w:hAnsi="Arial" w:cs="Arial"/>
                <w:noProof w:val="0"/>
                <w:sz w:val="18"/>
                <w:szCs w:val="18"/>
                <w:lang w:eastAsia="en-US"/>
              </w:rPr>
              <w:t xml:space="preserve">. Turizam i poljoprivreda osnovne su djelatnosti, a najfinija karika između njih je proizvodnja vina. Brižno njeguju ambijetalne mediteranske specifičnosti i poštuju </w:t>
            </w:r>
            <w:r>
              <w:rPr>
                <w:rFonts w:ascii="Arial" w:eastAsia="Arial" w:hAnsi="Arial" w:cs="Arial"/>
                <w:noProof w:val="0"/>
                <w:sz w:val="18"/>
                <w:szCs w:val="18"/>
                <w:lang w:eastAsia="en-US"/>
              </w:rPr>
              <w:t>viševjekovnu</w:t>
            </w:r>
            <w:r w:rsidRPr="007521E6">
              <w:rPr>
                <w:rFonts w:ascii="Arial" w:eastAsia="Arial" w:hAnsi="Arial" w:cs="Arial"/>
                <w:noProof w:val="0"/>
                <w:sz w:val="18"/>
                <w:szCs w:val="18"/>
                <w:lang w:eastAsia="en-US"/>
              </w:rPr>
              <w:t xml:space="preserve"> tradiciju proizvodnje vina. Prirodna populacija čempresa, primorskog bora, lovora, ruzmarina, žukve, zove, pelima, kao i uzgajani citrusi, masline i nar utiču na aromatski kompleks i buke njihovih vina. Vinogradi, koji svoj vijek provode između dva plavetnila, u izobilju sunca i svježine s mora, uz produženje difuzne svjetlosti zbog refleksije s površine mora i koji se hrane na zemljištu čija geološka </w:t>
            </w:r>
            <w:r>
              <w:rPr>
                <w:rFonts w:ascii="Arial" w:eastAsia="Arial" w:hAnsi="Arial" w:cs="Arial"/>
                <w:noProof w:val="0"/>
                <w:sz w:val="18"/>
                <w:szCs w:val="18"/>
                <w:lang w:eastAsia="en-US"/>
              </w:rPr>
              <w:t>podloga</w:t>
            </w:r>
            <w:r w:rsidRPr="007521E6">
              <w:rPr>
                <w:rFonts w:ascii="Arial" w:eastAsia="Arial" w:hAnsi="Arial" w:cs="Arial"/>
                <w:noProof w:val="0"/>
                <w:sz w:val="18"/>
                <w:szCs w:val="18"/>
                <w:lang w:eastAsia="en-US"/>
              </w:rPr>
              <w:t xml:space="preserve"> snažno utiče na mineralnost vina, sigurno da su predmet posebne </w:t>
            </w:r>
            <w:r>
              <w:rPr>
                <w:rFonts w:ascii="Arial" w:eastAsia="Arial" w:hAnsi="Arial" w:cs="Arial"/>
                <w:noProof w:val="0"/>
                <w:sz w:val="18"/>
                <w:szCs w:val="18"/>
                <w:lang w:eastAsia="en-US"/>
              </w:rPr>
              <w:t>pažnje stanovnika</w:t>
            </w:r>
            <w:r w:rsidRPr="007521E6">
              <w:rPr>
                <w:rFonts w:ascii="Arial" w:eastAsia="Arial" w:hAnsi="Arial" w:cs="Arial"/>
                <w:noProof w:val="0"/>
                <w:sz w:val="18"/>
                <w:szCs w:val="18"/>
                <w:lang w:eastAsia="en-US"/>
              </w:rPr>
              <w:t xml:space="preserve"> ovog subregiona, koji s ponosom njeguju bogato vinsko nasljeđe i tradiciju i više nego dovoljan razlog da se normativno zaštiti oznaka porijekla vina </w:t>
            </w:r>
            <w:r>
              <w:rPr>
                <w:rFonts w:ascii="Arial" w:eastAsia="Arial" w:hAnsi="Arial" w:cs="Arial"/>
                <w:noProof w:val="0"/>
                <w:sz w:val="18"/>
                <w:szCs w:val="18"/>
                <w:lang w:eastAsia="en-US"/>
              </w:rPr>
              <w:t xml:space="preserve">- </w:t>
            </w:r>
            <w:r w:rsidRPr="007521E6">
              <w:rPr>
                <w:rFonts w:ascii="Arial" w:eastAsia="Arial" w:hAnsi="Arial" w:cs="Arial"/>
                <w:noProof w:val="0"/>
                <w:sz w:val="18"/>
                <w:szCs w:val="18"/>
                <w:lang w:eastAsia="en-US"/>
              </w:rPr>
              <w:t xml:space="preserve">Budvansko – </w:t>
            </w:r>
            <w:r>
              <w:rPr>
                <w:rFonts w:ascii="Arial" w:eastAsia="Arial" w:hAnsi="Arial" w:cs="Arial"/>
                <w:noProof w:val="0"/>
                <w:sz w:val="18"/>
                <w:szCs w:val="18"/>
                <w:lang w:eastAsia="en-US"/>
              </w:rPr>
              <w:t>b</w:t>
            </w:r>
            <w:r w:rsidRPr="007521E6">
              <w:rPr>
                <w:rFonts w:ascii="Arial" w:eastAsia="Arial" w:hAnsi="Arial" w:cs="Arial"/>
                <w:noProof w:val="0"/>
                <w:sz w:val="18"/>
                <w:szCs w:val="18"/>
                <w:lang w:eastAsia="en-US"/>
              </w:rPr>
              <w:t>arsk</w:t>
            </w:r>
            <w:r>
              <w:rPr>
                <w:rFonts w:ascii="Arial" w:eastAsia="Arial" w:hAnsi="Arial" w:cs="Arial"/>
                <w:noProof w:val="0"/>
                <w:sz w:val="18"/>
                <w:szCs w:val="18"/>
                <w:lang w:eastAsia="en-US"/>
              </w:rPr>
              <w:t xml:space="preserve">i </w:t>
            </w:r>
            <w:r w:rsidRPr="007521E6">
              <w:rPr>
                <w:rFonts w:ascii="Arial" w:eastAsia="Arial" w:hAnsi="Arial" w:cs="Arial"/>
                <w:noProof w:val="0"/>
                <w:sz w:val="18"/>
                <w:szCs w:val="18"/>
                <w:lang w:eastAsia="en-US"/>
              </w:rPr>
              <w:t>subregion. U proizvodnji vina nastoji se da se postojeće specifičnosti i autentičnost podneblja što vjernije pretoče i očuvaju u vinu.</w:t>
            </w:r>
          </w:p>
          <w:p w14:paraId="46AE4527" w14:textId="77777777" w:rsidR="00886E95" w:rsidRPr="00C63D44" w:rsidRDefault="00886E95" w:rsidP="007F1B2E">
            <w:pPr>
              <w:widowControl w:val="0"/>
              <w:autoSpaceDE w:val="0"/>
              <w:autoSpaceDN w:val="0"/>
              <w:spacing w:after="120" w:line="276" w:lineRule="auto"/>
              <w:ind w:left="116" w:right="116"/>
              <w:jc w:val="both"/>
              <w:rPr>
                <w:rFonts w:ascii="Arial" w:eastAsia="Arial" w:hAnsi="Arial" w:cs="Arial"/>
                <w:noProof w:val="0"/>
                <w:sz w:val="18"/>
                <w:szCs w:val="18"/>
                <w:lang w:eastAsia="en-US"/>
              </w:rPr>
            </w:pPr>
            <w:r w:rsidRPr="00C63D44">
              <w:rPr>
                <w:rFonts w:ascii="Arial" w:eastAsia="Arial" w:hAnsi="Arial" w:cs="Arial"/>
                <w:noProof w:val="0"/>
                <w:sz w:val="18"/>
                <w:szCs w:val="18"/>
                <w:lang w:eastAsia="en-US"/>
              </w:rPr>
              <w:t xml:space="preserve">Fitotehničke mjere (osnovna rezidba u periodu zimskog mirovanja vinove loze i dopunska rezidba u vegetacionom periodu, vezivanje stabla i lastara, folijarno prihranjivanje i zaštita od bolesti i štetočina) u Budvansko – </w:t>
            </w:r>
            <w:r>
              <w:rPr>
                <w:rFonts w:ascii="Arial" w:eastAsia="Arial" w:hAnsi="Arial" w:cs="Arial"/>
                <w:noProof w:val="0"/>
                <w:sz w:val="18"/>
                <w:szCs w:val="18"/>
                <w:lang w:eastAsia="en-US"/>
              </w:rPr>
              <w:t>b</w:t>
            </w:r>
            <w:r w:rsidRPr="00C63D44">
              <w:rPr>
                <w:rFonts w:ascii="Arial" w:eastAsia="Arial" w:hAnsi="Arial" w:cs="Arial"/>
                <w:noProof w:val="0"/>
                <w:sz w:val="18"/>
                <w:szCs w:val="18"/>
                <w:lang w:eastAsia="en-US"/>
              </w:rPr>
              <w:t xml:space="preserve">arskom subregionu obavljaju se u skladu s godišnjim dobima i uslovima sredine, načinom gajenja i </w:t>
            </w:r>
            <w:r>
              <w:rPr>
                <w:rFonts w:ascii="Arial" w:eastAsia="Arial" w:hAnsi="Arial" w:cs="Arial"/>
                <w:noProof w:val="0"/>
                <w:sz w:val="18"/>
                <w:szCs w:val="18"/>
                <w:lang w:eastAsia="en-US"/>
              </w:rPr>
              <w:t xml:space="preserve">zahtjevima uzgajanih </w:t>
            </w:r>
            <w:r w:rsidRPr="00C63D44">
              <w:rPr>
                <w:rFonts w:ascii="Arial" w:eastAsia="Arial" w:hAnsi="Arial" w:cs="Arial"/>
                <w:noProof w:val="0"/>
                <w:sz w:val="18"/>
                <w:szCs w:val="18"/>
                <w:lang w:eastAsia="en-US"/>
              </w:rPr>
              <w:t>sort</w:t>
            </w:r>
            <w:r>
              <w:rPr>
                <w:rFonts w:ascii="Arial" w:eastAsia="Arial" w:hAnsi="Arial" w:cs="Arial"/>
                <w:noProof w:val="0"/>
                <w:sz w:val="18"/>
                <w:szCs w:val="18"/>
                <w:lang w:eastAsia="en-US"/>
              </w:rPr>
              <w:t>i</w:t>
            </w:r>
            <w:r w:rsidRPr="00C63D44">
              <w:rPr>
                <w:rFonts w:ascii="Arial" w:eastAsia="Arial" w:hAnsi="Arial" w:cs="Arial"/>
                <w:noProof w:val="0"/>
                <w:sz w:val="18"/>
                <w:szCs w:val="18"/>
                <w:lang w:eastAsia="en-US"/>
              </w:rPr>
              <w:t>. Budući da su vinogradarske parcele male površine, prosječn</w:t>
            </w:r>
            <w:r>
              <w:rPr>
                <w:rFonts w:ascii="Arial" w:eastAsia="Arial" w:hAnsi="Arial" w:cs="Arial"/>
                <w:noProof w:val="0"/>
                <w:sz w:val="18"/>
                <w:szCs w:val="18"/>
                <w:lang w:eastAsia="en-US"/>
              </w:rPr>
              <w:t>e površine oko</w:t>
            </w:r>
            <w:r w:rsidRPr="00C63D44">
              <w:rPr>
                <w:rFonts w:ascii="Arial" w:eastAsia="Arial" w:hAnsi="Arial" w:cs="Arial"/>
                <w:noProof w:val="0"/>
                <w:sz w:val="18"/>
                <w:szCs w:val="18"/>
                <w:lang w:eastAsia="en-US"/>
              </w:rPr>
              <w:t xml:space="preserve"> 0.25ha, a u cilju očuvanja kvaliteta grožđa namijenjenog proizvodnji vina sa oznakom porijekla, sve agrotehničke i ampelotehničke mjere obavljaju se </w:t>
            </w:r>
            <w:r w:rsidRPr="007521E6">
              <w:rPr>
                <w:rFonts w:ascii="Arial" w:eastAsia="Arial" w:hAnsi="Arial" w:cs="Arial"/>
                <w:noProof w:val="0"/>
                <w:sz w:val="18"/>
                <w:szCs w:val="18"/>
                <w:lang w:eastAsia="en-US"/>
              </w:rPr>
              <w:t xml:space="preserve">blagovremeno, </w:t>
            </w:r>
            <w:r w:rsidRPr="00C63D44">
              <w:rPr>
                <w:rFonts w:ascii="Arial" w:eastAsia="Arial" w:hAnsi="Arial" w:cs="Arial"/>
                <w:noProof w:val="0"/>
                <w:sz w:val="18"/>
                <w:szCs w:val="18"/>
                <w:lang w:eastAsia="en-US"/>
              </w:rPr>
              <w:t xml:space="preserve">ručno </w:t>
            </w:r>
            <w:r w:rsidRPr="007521E6">
              <w:rPr>
                <w:rFonts w:ascii="Arial" w:eastAsia="Arial" w:hAnsi="Arial" w:cs="Arial"/>
                <w:noProof w:val="0"/>
                <w:sz w:val="18"/>
                <w:szCs w:val="18"/>
                <w:lang w:eastAsia="en-US"/>
              </w:rPr>
              <w:t xml:space="preserve">i </w:t>
            </w:r>
            <w:r w:rsidRPr="00C63D44">
              <w:rPr>
                <w:rFonts w:ascii="Arial" w:eastAsia="Arial" w:hAnsi="Arial" w:cs="Arial"/>
                <w:noProof w:val="0"/>
                <w:sz w:val="18"/>
                <w:szCs w:val="18"/>
                <w:lang w:eastAsia="en-US"/>
              </w:rPr>
              <w:t>uz maksimalno poštovanje principa očuvanja životne sredine.</w:t>
            </w:r>
          </w:p>
          <w:p w14:paraId="7CF63CE3" w14:textId="77777777" w:rsidR="00794D33" w:rsidRDefault="00886E95" w:rsidP="007F1B2E">
            <w:pPr>
              <w:tabs>
                <w:tab w:val="left" w:pos="8931"/>
              </w:tabs>
              <w:spacing w:after="120" w:line="276" w:lineRule="auto"/>
              <w:ind w:left="142" w:right="142"/>
              <w:jc w:val="both"/>
              <w:rPr>
                <w:rFonts w:ascii="Arial" w:eastAsia="Arial" w:hAnsi="Arial" w:cs="Arial"/>
                <w:noProof w:val="0"/>
                <w:sz w:val="18"/>
                <w:szCs w:val="18"/>
                <w:lang w:eastAsia="en-US"/>
              </w:rPr>
            </w:pPr>
            <w:r w:rsidRPr="00C63D44">
              <w:rPr>
                <w:rFonts w:ascii="Arial" w:eastAsia="Arial" w:hAnsi="Arial" w:cs="Arial"/>
                <w:noProof w:val="0"/>
                <w:sz w:val="18"/>
                <w:szCs w:val="18"/>
                <w:lang w:eastAsia="en-US"/>
              </w:rPr>
              <w:t xml:space="preserve">Najveći randman grožđa namijenjenog proizvodnji bijelih/roze vina je 60%, a grožđa namijenjenog proizvodnji crvenih vina je 70%. Svе fаzе prоizvоdnjе vinа, uključujući i punjеnjе u оriginаlnоm pаkоvаnju, оbаvlјајu se u grаnicаmа subregiona ili eventualno u njegovoj neposrednoj blizini, na malim udaljenostima između vinograda i vinarija, što omogućava očuvanje kvaliteta i karakteristika vina i оbеzbeđivanje slеdlјivоsti i еfikаsnоsti kоntrоlе proizvodnje vina sa oznakom porijekla. </w:t>
            </w:r>
          </w:p>
          <w:p w14:paraId="5AA70E49" w14:textId="63638BC7" w:rsidR="00886E95" w:rsidRDefault="00886E95" w:rsidP="007F1B2E">
            <w:pPr>
              <w:tabs>
                <w:tab w:val="left" w:pos="8931"/>
              </w:tabs>
              <w:spacing w:after="120" w:line="276" w:lineRule="auto"/>
              <w:ind w:left="142" w:right="142"/>
              <w:jc w:val="both"/>
              <w:rPr>
                <w:rFonts w:ascii="Arial" w:eastAsia="Times New Roman" w:hAnsi="Arial" w:cs="Arial"/>
                <w:noProof w:val="0"/>
                <w:color w:val="00B050"/>
                <w:w w:val="90"/>
                <w:sz w:val="18"/>
                <w:szCs w:val="18"/>
                <w:lang w:val="sr-Latn-CS" w:eastAsia="ar-SA"/>
              </w:rPr>
            </w:pPr>
            <w:r w:rsidRPr="007521E6">
              <w:rPr>
                <w:rFonts w:ascii="Arial" w:eastAsia="Arial" w:hAnsi="Arial" w:cs="Arial"/>
                <w:noProof w:val="0"/>
                <w:sz w:val="18"/>
                <w:szCs w:val="18"/>
                <w:lang w:eastAsia="en-US"/>
              </w:rPr>
              <w:t xml:space="preserve">Faze proizvodnje vina sa oznakom porijekla u okviru Budvansko - </w:t>
            </w:r>
            <w:r>
              <w:rPr>
                <w:rFonts w:ascii="Arial" w:eastAsia="Arial" w:hAnsi="Arial" w:cs="Arial"/>
                <w:noProof w:val="0"/>
                <w:sz w:val="18"/>
                <w:szCs w:val="18"/>
                <w:lang w:eastAsia="en-US"/>
              </w:rPr>
              <w:t>b</w:t>
            </w:r>
            <w:r w:rsidRPr="007521E6">
              <w:rPr>
                <w:rFonts w:ascii="Arial" w:eastAsia="Arial" w:hAnsi="Arial" w:cs="Arial"/>
                <w:noProof w:val="0"/>
                <w:sz w:val="18"/>
                <w:szCs w:val="18"/>
                <w:lang w:eastAsia="en-US"/>
              </w:rPr>
              <w:t xml:space="preserve">arskog subregiona (berba i transport grožđa, muljanje grožđa, sulfitacija, presovanje odnosno cijeđenje, dodavanje kvasaca i enoloških sredstava, bistrenje šire, alkoholna fermentacija uz kontrolisanje i regulaciju temperature, maceracija kod obojenih vina, pretakanje, odležavanje vina, bistrenje i stabilizacija vina, filtriranje, punjenje vina </w:t>
            </w:r>
            <w:r w:rsidRPr="002E2F1F">
              <w:rPr>
                <w:rFonts w:ascii="Arial" w:eastAsia="Arial" w:hAnsi="Arial" w:cs="Arial"/>
                <w:noProof w:val="0"/>
                <w:sz w:val="18"/>
                <w:szCs w:val="18"/>
                <w:lang w:eastAsia="en-US"/>
              </w:rPr>
              <w:t xml:space="preserve">u staklenu ambalažu i dr, odnosno primjena svih enoloških postupaka, enoloških </w:t>
            </w:r>
            <w:r w:rsidRPr="002E2F1F">
              <w:rPr>
                <w:rFonts w:ascii="Arial" w:eastAsia="Arial" w:hAnsi="Arial" w:cs="Arial"/>
                <w:noProof w:val="0"/>
                <w:sz w:val="18"/>
                <w:szCs w:val="18"/>
                <w:lang w:eastAsia="en-US"/>
              </w:rPr>
              <w:lastRenderedPageBreak/>
              <w:t xml:space="preserve">sredstava, kao i upotreba opreme i sudova u proizvodnji) obezbjeđuju </w:t>
            </w:r>
            <w:r>
              <w:rPr>
                <w:rFonts w:ascii="Arial" w:eastAsia="Arial" w:hAnsi="Arial" w:cs="Arial"/>
                <w:noProof w:val="0"/>
                <w:sz w:val="18"/>
                <w:szCs w:val="18"/>
                <w:lang w:eastAsia="en-US"/>
              </w:rPr>
              <w:t>očubanje</w:t>
            </w:r>
            <w:r w:rsidRPr="002E2F1F">
              <w:rPr>
                <w:rFonts w:ascii="Arial" w:eastAsia="Arial" w:hAnsi="Arial" w:cs="Arial"/>
                <w:noProof w:val="0"/>
                <w:sz w:val="18"/>
                <w:szCs w:val="18"/>
                <w:lang w:eastAsia="en-US"/>
              </w:rPr>
              <w:t xml:space="preserve"> kvaliteta, postojanost okusa vina i postizanje karakterističnih parametara kvaliteta vina iz Budvansko – </w:t>
            </w:r>
            <w:r>
              <w:rPr>
                <w:rFonts w:ascii="Arial" w:eastAsia="Arial" w:hAnsi="Arial" w:cs="Arial"/>
                <w:noProof w:val="0"/>
                <w:sz w:val="18"/>
                <w:szCs w:val="18"/>
                <w:lang w:eastAsia="en-US"/>
              </w:rPr>
              <w:t>b</w:t>
            </w:r>
            <w:r w:rsidRPr="002E2F1F">
              <w:rPr>
                <w:rFonts w:ascii="Arial" w:eastAsia="Arial" w:hAnsi="Arial" w:cs="Arial"/>
                <w:noProof w:val="0"/>
                <w:sz w:val="18"/>
                <w:szCs w:val="18"/>
                <w:lang w:eastAsia="en-US"/>
              </w:rPr>
              <w:t>arskog subregiona.</w:t>
            </w:r>
            <w:r w:rsidRPr="00C63D44">
              <w:rPr>
                <w:rFonts w:ascii="Arial" w:eastAsia="Times New Roman" w:hAnsi="Arial" w:cs="Arial"/>
                <w:noProof w:val="0"/>
                <w:color w:val="00B050"/>
                <w:w w:val="90"/>
                <w:sz w:val="18"/>
                <w:szCs w:val="18"/>
                <w:lang w:val="sr-Latn-CS" w:eastAsia="ar-SA"/>
              </w:rPr>
              <w:t xml:space="preserve"> </w:t>
            </w:r>
          </w:p>
          <w:p w14:paraId="68C76FCD" w14:textId="42B8A890" w:rsidR="00F8149E" w:rsidRPr="00333365" w:rsidRDefault="00886E95" w:rsidP="007F1B2E">
            <w:pPr>
              <w:tabs>
                <w:tab w:val="left" w:pos="8931"/>
              </w:tabs>
              <w:spacing w:after="120" w:line="276" w:lineRule="auto"/>
              <w:ind w:left="142" w:right="142"/>
              <w:jc w:val="both"/>
              <w:rPr>
                <w:rFonts w:ascii="Arial" w:hAnsi="Arial" w:cs="Arial"/>
                <w:color w:val="FF0000"/>
                <w:sz w:val="18"/>
                <w:szCs w:val="18"/>
              </w:rPr>
            </w:pPr>
            <w:r w:rsidRPr="00F64195">
              <w:rPr>
                <w:rFonts w:ascii="Arial" w:eastAsia="Arial" w:hAnsi="Arial" w:cs="Arial"/>
                <w:noProof w:val="0"/>
                <w:sz w:val="18"/>
                <w:szCs w:val="18"/>
                <w:lang w:eastAsia="en-US"/>
              </w:rPr>
              <w:t>Proizvodnja je usmjerena na vrhunske, butik-serije vina, uz primjenu savremene tehnologije vinifikacije bijelih vina sa kontrolisanom temperaturom, čime se čuvaju njihova osjetljiva i karakteristična aromatska svojstva.</w:t>
            </w:r>
            <w:r w:rsidR="00F8149E" w:rsidRPr="00333365">
              <w:rPr>
                <w:rFonts w:ascii="Arial" w:hAnsi="Arial" w:cs="Arial"/>
                <w:color w:val="FF0000"/>
                <w:sz w:val="18"/>
                <w:szCs w:val="18"/>
              </w:rPr>
              <w:t xml:space="preserve"> </w:t>
            </w:r>
          </w:p>
          <w:p w14:paraId="26B570A3" w14:textId="5806A1C0" w:rsidR="00F8149E" w:rsidRPr="00333365" w:rsidRDefault="00F8149E" w:rsidP="007F1B2E">
            <w:pPr>
              <w:widowControl w:val="0"/>
              <w:autoSpaceDE w:val="0"/>
              <w:autoSpaceDN w:val="0"/>
              <w:spacing w:line="276" w:lineRule="auto"/>
              <w:ind w:left="113" w:right="119"/>
              <w:jc w:val="both"/>
              <w:rPr>
                <w:rFonts w:ascii="Arial" w:hAnsi="Arial" w:cs="Arial"/>
                <w:sz w:val="18"/>
                <w:szCs w:val="18"/>
              </w:rPr>
            </w:pPr>
          </w:p>
        </w:tc>
      </w:tr>
      <w:tr w:rsidR="00F8149E" w:rsidRPr="000F2614" w14:paraId="7DB129CD" w14:textId="77777777" w:rsidTr="007F1B2E">
        <w:trPr>
          <w:trHeight w:val="238"/>
        </w:trPr>
        <w:tc>
          <w:tcPr>
            <w:tcW w:w="4477" w:type="dxa"/>
            <w:gridSpan w:val="3"/>
            <w:tcBorders>
              <w:top w:val="single" w:sz="4" w:space="0" w:color="auto"/>
              <w:left w:val="single" w:sz="4" w:space="0" w:color="auto"/>
              <w:bottom w:val="single" w:sz="4" w:space="0" w:color="auto"/>
              <w:right w:val="single" w:sz="4" w:space="0" w:color="auto"/>
            </w:tcBorders>
            <w:vAlign w:val="center"/>
            <w:hideMark/>
          </w:tcPr>
          <w:p w14:paraId="6800C8FD" w14:textId="4F18D19E" w:rsidR="00F8149E" w:rsidRPr="00B8700A" w:rsidRDefault="00F8149E" w:rsidP="00F8149E">
            <w:pPr>
              <w:spacing w:line="276" w:lineRule="auto"/>
              <w:rPr>
                <w:rFonts w:ascii="Arial" w:hAnsi="Arial" w:cs="Arial"/>
                <w:b/>
                <w:noProof w:val="0"/>
                <w:sz w:val="18"/>
                <w:szCs w:val="18"/>
              </w:rPr>
            </w:pPr>
            <w:r w:rsidRPr="00B8700A">
              <w:rPr>
                <w:b/>
                <w:noProof w:val="0"/>
                <w:sz w:val="18"/>
                <w:szCs w:val="20"/>
              </w:rPr>
              <w:lastRenderedPageBreak/>
              <w:t>Veća ili manja geografska cjelina </w:t>
            </w:r>
            <w:r w:rsidRPr="00B8700A">
              <w:rPr>
                <w:b/>
                <w:i/>
                <w:noProof w:val="0"/>
                <w:sz w:val="18"/>
                <w:szCs w:val="20"/>
              </w:rPr>
              <w:t>(neobavezno)</w:t>
            </w:r>
          </w:p>
        </w:tc>
        <w:tc>
          <w:tcPr>
            <w:tcW w:w="5963" w:type="dxa"/>
            <w:tcBorders>
              <w:top w:val="single" w:sz="4" w:space="0" w:color="auto"/>
              <w:left w:val="single" w:sz="4" w:space="0" w:color="auto"/>
              <w:bottom w:val="single" w:sz="4" w:space="0" w:color="auto"/>
              <w:right w:val="single" w:sz="4" w:space="0" w:color="auto"/>
            </w:tcBorders>
            <w:vAlign w:val="center"/>
          </w:tcPr>
          <w:p w14:paraId="012B859B" w14:textId="6567B52F" w:rsidR="00F8149E" w:rsidRPr="00B8700A" w:rsidRDefault="00333365" w:rsidP="00794D33">
            <w:pPr>
              <w:spacing w:before="120" w:after="120" w:line="276" w:lineRule="auto"/>
              <w:ind w:right="91"/>
              <w:jc w:val="both"/>
              <w:rPr>
                <w:rFonts w:ascii="Arial" w:hAnsi="Arial" w:cs="Arial"/>
                <w:noProof w:val="0"/>
                <w:sz w:val="18"/>
                <w:szCs w:val="18"/>
              </w:rPr>
            </w:pPr>
            <w:r w:rsidRPr="00333365">
              <w:rPr>
                <w:rFonts w:ascii="Arial" w:hAnsi="Arial" w:cs="Arial"/>
                <w:noProof w:val="0"/>
                <w:sz w:val="18"/>
                <w:szCs w:val="18"/>
              </w:rPr>
              <w:t>Nazivi sljedećih užih geografskih područja mogu se navoditi na etiketi:</w:t>
            </w:r>
            <w:r w:rsidR="007436E6">
              <w:rPr>
                <w:rFonts w:ascii="Arial" w:hAnsi="Arial" w:cs="Arial"/>
                <w:noProof w:val="0"/>
                <w:sz w:val="18"/>
                <w:szCs w:val="18"/>
              </w:rPr>
              <w:t xml:space="preserve"> </w:t>
            </w:r>
            <w:r w:rsidRPr="00333365">
              <w:rPr>
                <w:rFonts w:ascii="Arial" w:hAnsi="Arial" w:cs="Arial"/>
                <w:noProof w:val="0"/>
                <w:sz w:val="18"/>
                <w:szCs w:val="18"/>
              </w:rPr>
              <w:t>katastarske opštine iz administrativne opštine Budva: Bečići, Brajići, Buljarica, Kruševica, Kuljače, Maini, Petrovac, Pobori, Prijevor, Reževići, Sveti Stefan, Tudorovići i Višnjevo;</w:t>
            </w:r>
            <w:r w:rsidR="007436E6">
              <w:rPr>
                <w:rFonts w:ascii="Arial" w:hAnsi="Arial" w:cs="Arial"/>
                <w:noProof w:val="0"/>
                <w:sz w:val="18"/>
                <w:szCs w:val="18"/>
              </w:rPr>
              <w:t xml:space="preserve"> kso i </w:t>
            </w:r>
            <w:r w:rsidRPr="00333365">
              <w:rPr>
                <w:rFonts w:ascii="Arial" w:hAnsi="Arial" w:cs="Arial"/>
                <w:noProof w:val="0"/>
                <w:sz w:val="18"/>
                <w:szCs w:val="18"/>
              </w:rPr>
              <w:t>katastarske opštine iz administrativne opštine Bar: Bartula, Dabezići, Dobra Voda, Kunje, Mala Gorana, Mišići, Novi Bar, Pečurice, Pelinkovići, Polje, Stari Bar, Šušanj, Sutomore, Tomba, Tuđemili, Turčini, Velja Gorana, Velje Selo, Zaljevo, Zankovići i Zupci.</w:t>
            </w:r>
          </w:p>
        </w:tc>
      </w:tr>
      <w:tr w:rsidR="00F8149E" w:rsidRPr="000F2614" w14:paraId="559E70D6" w14:textId="77777777" w:rsidTr="007F1B2E">
        <w:trPr>
          <w:trHeight w:val="796"/>
        </w:trPr>
        <w:tc>
          <w:tcPr>
            <w:tcW w:w="4477" w:type="dxa"/>
            <w:gridSpan w:val="3"/>
            <w:tcBorders>
              <w:top w:val="single" w:sz="4" w:space="0" w:color="auto"/>
              <w:left w:val="single" w:sz="4" w:space="0" w:color="auto"/>
              <w:bottom w:val="single" w:sz="4" w:space="0" w:color="auto"/>
              <w:right w:val="single" w:sz="4" w:space="0" w:color="auto"/>
            </w:tcBorders>
            <w:vAlign w:val="center"/>
            <w:hideMark/>
          </w:tcPr>
          <w:p w14:paraId="109D9AE8" w14:textId="4078AAF6" w:rsidR="00F8149E" w:rsidRPr="00B8700A" w:rsidRDefault="00F8149E" w:rsidP="00F8149E">
            <w:pPr>
              <w:rPr>
                <w:rFonts w:ascii="Arial" w:hAnsi="Arial" w:cs="Arial"/>
                <w:b/>
                <w:noProof w:val="0"/>
                <w:sz w:val="18"/>
                <w:szCs w:val="18"/>
              </w:rPr>
            </w:pPr>
            <w:r w:rsidRPr="00B8700A">
              <w:rPr>
                <w:b/>
                <w:noProof w:val="0"/>
                <w:sz w:val="18"/>
                <w:szCs w:val="20"/>
              </w:rPr>
              <w:t>Dodatni objektivni zahtjevi i uslovi Udruženja, koje će koristiti zaštićenu oznaku </w:t>
            </w:r>
            <w:r w:rsidRPr="00B8700A">
              <w:rPr>
                <w:b/>
                <w:i/>
                <w:noProof w:val="0"/>
                <w:sz w:val="18"/>
                <w:szCs w:val="20"/>
              </w:rPr>
              <w:t>(neobavezno)</w:t>
            </w:r>
          </w:p>
        </w:tc>
        <w:tc>
          <w:tcPr>
            <w:tcW w:w="5963" w:type="dxa"/>
            <w:tcBorders>
              <w:top w:val="single" w:sz="4" w:space="0" w:color="auto"/>
              <w:left w:val="single" w:sz="4" w:space="0" w:color="auto"/>
              <w:bottom w:val="single" w:sz="4" w:space="0" w:color="auto"/>
              <w:right w:val="single" w:sz="4" w:space="0" w:color="auto"/>
            </w:tcBorders>
            <w:vAlign w:val="center"/>
          </w:tcPr>
          <w:p w14:paraId="542FE2E7" w14:textId="77777777" w:rsidR="00F8149E" w:rsidRPr="000356B6" w:rsidRDefault="00F8149E" w:rsidP="00794D33">
            <w:pPr>
              <w:spacing w:before="120" w:after="120" w:line="276" w:lineRule="auto"/>
              <w:ind w:right="91"/>
              <w:jc w:val="both"/>
              <w:rPr>
                <w:rFonts w:ascii="Arial" w:hAnsi="Arial" w:cs="Arial"/>
                <w:sz w:val="18"/>
                <w:szCs w:val="18"/>
              </w:rPr>
            </w:pPr>
            <w:r w:rsidRPr="004C3F70">
              <w:rPr>
                <w:rFonts w:ascii="Arial" w:hAnsi="Arial" w:cs="Arial"/>
                <w:sz w:val="18"/>
                <w:szCs w:val="18"/>
              </w:rPr>
              <w:t xml:space="preserve">Dozvoljena je upotreba tradicionalnih izraza </w:t>
            </w:r>
            <w:r w:rsidRPr="00B8700A">
              <w:rPr>
                <w:rFonts w:ascii="Arial" w:hAnsi="Arial" w:cs="Arial"/>
                <w:sz w:val="18"/>
                <w:szCs w:val="18"/>
              </w:rPr>
              <w:t>„arhivsko vino“</w:t>
            </w:r>
            <w:r w:rsidRPr="004C3F70">
              <w:rPr>
                <w:rFonts w:ascii="Arial" w:hAnsi="Arial" w:cs="Arial"/>
                <w:sz w:val="18"/>
                <w:szCs w:val="18"/>
              </w:rPr>
              <w:t xml:space="preserve">, </w:t>
            </w:r>
            <w:r w:rsidRPr="00B8700A">
              <w:rPr>
                <w:rFonts w:ascii="Arial" w:hAnsi="Arial" w:cs="Arial"/>
                <w:sz w:val="18"/>
                <w:szCs w:val="18"/>
              </w:rPr>
              <w:t>„rezerva“</w:t>
            </w:r>
            <w:r w:rsidRPr="004C3F70">
              <w:rPr>
                <w:rFonts w:ascii="Arial" w:hAnsi="Arial" w:cs="Arial"/>
                <w:sz w:val="18"/>
                <w:szCs w:val="18"/>
              </w:rPr>
              <w:t xml:space="preserve"> </w:t>
            </w:r>
            <w:r w:rsidRPr="000356B6">
              <w:rPr>
                <w:rFonts w:ascii="Arial" w:hAnsi="Arial" w:cs="Arial"/>
                <w:sz w:val="18"/>
                <w:szCs w:val="18"/>
              </w:rPr>
              <w:t>i „probirna berba“.</w:t>
            </w:r>
          </w:p>
          <w:p w14:paraId="4C20A011" w14:textId="77777777" w:rsidR="00F8149E" w:rsidRPr="000356B6" w:rsidRDefault="00F8149E" w:rsidP="00794D33">
            <w:pPr>
              <w:spacing w:after="120" w:line="276" w:lineRule="auto"/>
              <w:ind w:right="91"/>
              <w:jc w:val="both"/>
              <w:rPr>
                <w:rFonts w:ascii="Arial" w:hAnsi="Arial" w:cs="Arial"/>
                <w:sz w:val="18"/>
                <w:szCs w:val="18"/>
              </w:rPr>
            </w:pPr>
            <w:r w:rsidRPr="000356B6">
              <w:rPr>
                <w:rFonts w:ascii="Arial" w:hAnsi="Arial" w:cs="Arial"/>
                <w:sz w:val="18"/>
                <w:szCs w:val="18"/>
              </w:rPr>
              <w:t>U skladu sa odredbama Zakona o vinu, dozvoljeno je da vina imaju stvarni sadržaj alkohola veći od 15 % vol.</w:t>
            </w:r>
          </w:p>
          <w:p w14:paraId="1AA99873" w14:textId="77777777" w:rsidR="00F8149E" w:rsidRPr="004C3F70" w:rsidRDefault="00F8149E" w:rsidP="00794D33">
            <w:pPr>
              <w:spacing w:after="120" w:line="276" w:lineRule="auto"/>
              <w:ind w:right="91"/>
              <w:jc w:val="both"/>
              <w:rPr>
                <w:rFonts w:ascii="Arial" w:hAnsi="Arial" w:cs="Arial"/>
                <w:sz w:val="18"/>
                <w:szCs w:val="18"/>
              </w:rPr>
            </w:pPr>
            <w:r w:rsidRPr="004C3F70">
              <w:rPr>
                <w:rFonts w:ascii="Arial" w:hAnsi="Arial" w:cs="Arial"/>
                <w:sz w:val="18"/>
                <w:szCs w:val="18"/>
              </w:rPr>
              <w:t>Ograničenja u pogledu stavljanja vina u promet</w:t>
            </w:r>
          </w:p>
          <w:p w14:paraId="094C77D9" w14:textId="5C6DCA16" w:rsidR="00F8149E" w:rsidRPr="00B8700A" w:rsidRDefault="00F8149E" w:rsidP="00794D33">
            <w:pPr>
              <w:spacing w:after="120" w:line="276" w:lineRule="auto"/>
              <w:ind w:right="91"/>
              <w:jc w:val="both"/>
              <w:rPr>
                <w:rFonts w:ascii="Arial" w:hAnsi="Arial" w:cs="Arial"/>
                <w:noProof w:val="0"/>
                <w:sz w:val="18"/>
                <w:szCs w:val="18"/>
              </w:rPr>
            </w:pPr>
            <w:r w:rsidRPr="004C3F70">
              <w:rPr>
                <w:rFonts w:ascii="Arial" w:hAnsi="Arial" w:cs="Arial"/>
                <w:sz w:val="18"/>
                <w:szCs w:val="18"/>
              </w:rPr>
              <w:t xml:space="preserve">Vino sa </w:t>
            </w:r>
            <w:r w:rsidRPr="00B8700A">
              <w:rPr>
                <w:rFonts w:ascii="Arial" w:hAnsi="Arial" w:cs="Arial"/>
                <w:sz w:val="18"/>
                <w:szCs w:val="18"/>
              </w:rPr>
              <w:t>zaštićenom oznakom porijekla</w:t>
            </w:r>
            <w:r w:rsidRPr="004C3F70">
              <w:rPr>
                <w:rFonts w:ascii="Arial" w:hAnsi="Arial" w:cs="Arial"/>
                <w:sz w:val="18"/>
                <w:szCs w:val="18"/>
              </w:rPr>
              <w:t xml:space="preserve">, proizvedeno primjenom postupka </w:t>
            </w:r>
            <w:r w:rsidRPr="00B8700A">
              <w:rPr>
                <w:rFonts w:ascii="Arial" w:hAnsi="Arial" w:cs="Arial"/>
                <w:sz w:val="18"/>
                <w:szCs w:val="18"/>
              </w:rPr>
              <w:t>„odležano u drvenom buretu“</w:t>
            </w:r>
            <w:r w:rsidRPr="004C3F70">
              <w:rPr>
                <w:rFonts w:ascii="Arial" w:hAnsi="Arial" w:cs="Arial"/>
                <w:sz w:val="18"/>
                <w:szCs w:val="18"/>
              </w:rPr>
              <w:t xml:space="preserve">, </w:t>
            </w:r>
            <w:r w:rsidRPr="00B8700A">
              <w:rPr>
                <w:rFonts w:ascii="Arial" w:hAnsi="Arial" w:cs="Arial"/>
                <w:sz w:val="18"/>
                <w:szCs w:val="18"/>
              </w:rPr>
              <w:t>„barik“</w:t>
            </w:r>
            <w:r w:rsidRPr="004C3F70">
              <w:rPr>
                <w:rFonts w:ascii="Arial" w:hAnsi="Arial" w:cs="Arial"/>
                <w:sz w:val="18"/>
                <w:szCs w:val="18"/>
              </w:rPr>
              <w:t xml:space="preserve"> ili </w:t>
            </w:r>
            <w:r w:rsidRPr="00B8700A">
              <w:rPr>
                <w:rFonts w:ascii="Arial" w:hAnsi="Arial" w:cs="Arial"/>
                <w:sz w:val="18"/>
                <w:szCs w:val="18"/>
              </w:rPr>
              <w:t>„barrique“</w:t>
            </w:r>
            <w:r w:rsidRPr="004C3F70">
              <w:rPr>
                <w:rFonts w:ascii="Arial" w:hAnsi="Arial" w:cs="Arial"/>
                <w:sz w:val="18"/>
                <w:szCs w:val="18"/>
              </w:rPr>
              <w:t xml:space="preserve">, može se staviti u promet najranije </w:t>
            </w:r>
            <w:r w:rsidR="00283667">
              <w:rPr>
                <w:rFonts w:ascii="Arial" w:hAnsi="Arial" w:cs="Arial"/>
                <w:sz w:val="18"/>
                <w:szCs w:val="18"/>
              </w:rPr>
              <w:t>0</w:t>
            </w:r>
            <w:bookmarkStart w:id="1" w:name="_GoBack"/>
            <w:bookmarkEnd w:id="1"/>
            <w:r w:rsidRPr="00B8700A">
              <w:rPr>
                <w:rFonts w:ascii="Arial" w:hAnsi="Arial" w:cs="Arial"/>
                <w:sz w:val="18"/>
                <w:szCs w:val="18"/>
              </w:rPr>
              <w:t>1. aprila druge godine nakon godine berbe</w:t>
            </w:r>
            <w:r w:rsidRPr="004C3F70">
              <w:rPr>
                <w:rFonts w:ascii="Arial" w:hAnsi="Arial" w:cs="Arial"/>
                <w:sz w:val="18"/>
                <w:szCs w:val="18"/>
              </w:rPr>
              <w:t>.</w:t>
            </w:r>
          </w:p>
        </w:tc>
      </w:tr>
      <w:tr w:rsidR="00F8149E" w:rsidRPr="000F2614" w14:paraId="1DA1DD74" w14:textId="77777777" w:rsidTr="007F1B2E">
        <w:trPr>
          <w:trHeight w:val="374"/>
        </w:trPr>
        <w:tc>
          <w:tcPr>
            <w:tcW w:w="4477" w:type="dxa"/>
            <w:gridSpan w:val="3"/>
            <w:tcBorders>
              <w:top w:val="single" w:sz="4" w:space="0" w:color="auto"/>
              <w:left w:val="single" w:sz="4" w:space="0" w:color="auto"/>
              <w:bottom w:val="single" w:sz="4" w:space="0" w:color="auto"/>
              <w:right w:val="single" w:sz="4" w:space="0" w:color="auto"/>
            </w:tcBorders>
            <w:vAlign w:val="center"/>
            <w:hideMark/>
          </w:tcPr>
          <w:p w14:paraId="3A5B93A4" w14:textId="6574301C" w:rsidR="00F8149E" w:rsidRPr="00B8700A" w:rsidRDefault="00F8149E" w:rsidP="00F8149E">
            <w:pPr>
              <w:spacing w:after="120" w:line="276" w:lineRule="auto"/>
              <w:rPr>
                <w:rFonts w:ascii="Arial" w:hAnsi="Arial" w:cs="Arial"/>
                <w:b/>
                <w:noProof w:val="0"/>
                <w:sz w:val="18"/>
                <w:szCs w:val="18"/>
              </w:rPr>
            </w:pPr>
            <w:r w:rsidRPr="00B8700A">
              <w:rPr>
                <w:b/>
                <w:noProof w:val="0"/>
                <w:sz w:val="18"/>
                <w:szCs w:val="20"/>
              </w:rPr>
              <w:t>Upućivanje na objavu Specifikacije proizvoda</w:t>
            </w:r>
          </w:p>
        </w:tc>
        <w:tc>
          <w:tcPr>
            <w:tcW w:w="5963" w:type="dxa"/>
            <w:tcBorders>
              <w:top w:val="single" w:sz="4" w:space="0" w:color="auto"/>
              <w:left w:val="single" w:sz="4" w:space="0" w:color="auto"/>
              <w:bottom w:val="single" w:sz="4" w:space="0" w:color="auto"/>
              <w:right w:val="single" w:sz="4" w:space="0" w:color="auto"/>
            </w:tcBorders>
            <w:vAlign w:val="center"/>
          </w:tcPr>
          <w:p w14:paraId="663BC282" w14:textId="77777777" w:rsidR="00F8149E" w:rsidRPr="000F2614" w:rsidRDefault="00563FEA" w:rsidP="007F1B2E">
            <w:pPr>
              <w:spacing w:before="120" w:after="120" w:line="276" w:lineRule="auto"/>
              <w:rPr>
                <w:rFonts w:ascii="Arial" w:hAnsi="Arial" w:cs="Arial"/>
                <w:noProof w:val="0"/>
                <w:sz w:val="18"/>
                <w:szCs w:val="18"/>
              </w:rPr>
            </w:pPr>
            <w:hyperlink r:id="rId7" w:history="1">
              <w:r w:rsidR="00F8149E" w:rsidRPr="000F2614">
                <w:rPr>
                  <w:rFonts w:ascii="Arial" w:eastAsia="Times New Roman" w:hAnsi="Arial" w:cs="Arial"/>
                  <w:sz w:val="18"/>
                  <w:szCs w:val="18"/>
                  <w:u w:val="single"/>
                </w:rPr>
                <w:t>www.minpolj.gov.me</w:t>
              </w:r>
            </w:hyperlink>
          </w:p>
        </w:tc>
      </w:tr>
    </w:tbl>
    <w:p w14:paraId="65B97804" w14:textId="77777777" w:rsidR="00641AB6" w:rsidRPr="00E20D8C" w:rsidRDefault="00641AB6" w:rsidP="00641AB6">
      <w:pPr>
        <w:jc w:val="right"/>
        <w:rPr>
          <w:rFonts w:asciiTheme="minorHAnsi" w:eastAsia="Times New Roman" w:hAnsiTheme="minorHAnsi" w:cs="Helvetica"/>
          <w:b/>
          <w:bCs/>
          <w:noProof w:val="0"/>
          <w:color w:val="FF0000"/>
          <w:sz w:val="20"/>
          <w:szCs w:val="20"/>
        </w:rPr>
      </w:pPr>
    </w:p>
    <w:p w14:paraId="173E193B" w14:textId="77777777" w:rsidR="00337024" w:rsidRPr="00E20D8C" w:rsidRDefault="00337024" w:rsidP="003F010B">
      <w:pPr>
        <w:spacing w:after="200" w:line="276" w:lineRule="auto"/>
        <w:rPr>
          <w:color w:val="FF0000"/>
        </w:rPr>
      </w:pPr>
    </w:p>
    <w:sectPr w:rsidR="00337024" w:rsidRPr="00E20D8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674BA4" w14:textId="77777777" w:rsidR="00563FEA" w:rsidRDefault="00563FEA" w:rsidP="00B06A99">
      <w:r>
        <w:separator/>
      </w:r>
    </w:p>
  </w:endnote>
  <w:endnote w:type="continuationSeparator" w:id="0">
    <w:p w14:paraId="3B8F91B0" w14:textId="77777777" w:rsidR="00563FEA" w:rsidRDefault="00563FEA" w:rsidP="00B06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261551"/>
      <w:docPartObj>
        <w:docPartGallery w:val="Page Numbers (Bottom of Page)"/>
        <w:docPartUnique/>
      </w:docPartObj>
    </w:sdtPr>
    <w:sdtEndPr/>
    <w:sdtContent>
      <w:sdt>
        <w:sdtPr>
          <w:id w:val="-1769616900"/>
          <w:docPartObj>
            <w:docPartGallery w:val="Page Numbers (Top of Page)"/>
            <w:docPartUnique/>
          </w:docPartObj>
        </w:sdtPr>
        <w:sdtEndPr/>
        <w:sdtContent>
          <w:p w14:paraId="65ABE304" w14:textId="77777777" w:rsidR="00B06A99" w:rsidRDefault="00B06A9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6</w:t>
            </w:r>
            <w:r>
              <w:rPr>
                <w:b/>
                <w:bCs/>
                <w:sz w:val="24"/>
                <w:szCs w:val="24"/>
              </w:rPr>
              <w:fldChar w:fldCharType="end"/>
            </w:r>
          </w:p>
        </w:sdtContent>
      </w:sdt>
    </w:sdtContent>
  </w:sdt>
  <w:p w14:paraId="0E30EE44" w14:textId="77777777" w:rsidR="00B06A99" w:rsidRDefault="00B06A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1A0851" w14:textId="77777777" w:rsidR="00563FEA" w:rsidRDefault="00563FEA" w:rsidP="00B06A99">
      <w:r>
        <w:separator/>
      </w:r>
    </w:p>
  </w:footnote>
  <w:footnote w:type="continuationSeparator" w:id="0">
    <w:p w14:paraId="75120CEC" w14:textId="77777777" w:rsidR="00563FEA" w:rsidRDefault="00563FEA" w:rsidP="00B06A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96E11"/>
    <w:multiLevelType w:val="hybridMultilevel"/>
    <w:tmpl w:val="7752EC28"/>
    <w:lvl w:ilvl="0" w:tplc="21A2948E">
      <w:start w:val="2"/>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1" w15:restartNumberingAfterBreak="0">
    <w:nsid w:val="09E84BDC"/>
    <w:multiLevelType w:val="hybridMultilevel"/>
    <w:tmpl w:val="7CA68280"/>
    <w:lvl w:ilvl="0" w:tplc="12D4AEAC">
      <w:start w:val="1"/>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2" w15:restartNumberingAfterBreak="0">
    <w:nsid w:val="0A994B1A"/>
    <w:multiLevelType w:val="multilevel"/>
    <w:tmpl w:val="1018C45A"/>
    <w:lvl w:ilvl="0">
      <w:start w:val="6"/>
      <w:numFmt w:val="decimal"/>
      <w:lvlText w:val="%1"/>
      <w:lvlJc w:val="left"/>
      <w:pPr>
        <w:ind w:left="503" w:hanging="387"/>
      </w:pPr>
      <w:rPr>
        <w:rFonts w:hint="default"/>
      </w:rPr>
    </w:lvl>
    <w:lvl w:ilvl="1">
      <w:start w:val="2"/>
      <w:numFmt w:val="decimal"/>
      <w:lvlText w:val="%1.%2."/>
      <w:lvlJc w:val="left"/>
      <w:pPr>
        <w:ind w:left="503" w:hanging="387"/>
      </w:pPr>
      <w:rPr>
        <w:rFonts w:ascii="Arial" w:eastAsia="Arial" w:hAnsi="Arial" w:cs="Arial" w:hint="default"/>
        <w:b/>
        <w:bCs/>
        <w:spacing w:val="-1"/>
        <w:w w:val="99"/>
        <w:sz w:val="20"/>
        <w:szCs w:val="20"/>
      </w:rPr>
    </w:lvl>
    <w:lvl w:ilvl="2">
      <w:start w:val="1"/>
      <w:numFmt w:val="decimal"/>
      <w:lvlText w:val="%1.%2.%3."/>
      <w:lvlJc w:val="left"/>
      <w:pPr>
        <w:ind w:left="116" w:hanging="555"/>
      </w:pPr>
      <w:rPr>
        <w:rFonts w:ascii="Arial" w:eastAsia="Arial" w:hAnsi="Arial" w:cs="Arial" w:hint="default"/>
        <w:b/>
        <w:bCs/>
        <w:spacing w:val="-1"/>
        <w:w w:val="99"/>
        <w:sz w:val="20"/>
        <w:szCs w:val="20"/>
      </w:rPr>
    </w:lvl>
    <w:lvl w:ilvl="3">
      <w:start w:val="1"/>
      <w:numFmt w:val="decimal"/>
      <w:lvlText w:val="%1.%2.%3.%4."/>
      <w:lvlJc w:val="left"/>
      <w:pPr>
        <w:ind w:left="116" w:hanging="720"/>
      </w:pPr>
      <w:rPr>
        <w:rFonts w:ascii="Arial" w:eastAsia="Arial" w:hAnsi="Arial" w:cs="Arial" w:hint="default"/>
        <w:b/>
        <w:bCs/>
        <w:spacing w:val="-1"/>
        <w:w w:val="99"/>
        <w:sz w:val="20"/>
        <w:szCs w:val="20"/>
      </w:rPr>
    </w:lvl>
    <w:lvl w:ilvl="4">
      <w:numFmt w:val="bullet"/>
      <w:lvlText w:val="•"/>
      <w:lvlJc w:val="left"/>
      <w:pPr>
        <w:ind w:left="3435" w:hanging="720"/>
      </w:pPr>
      <w:rPr>
        <w:rFonts w:hint="default"/>
      </w:rPr>
    </w:lvl>
    <w:lvl w:ilvl="5">
      <w:numFmt w:val="bullet"/>
      <w:lvlText w:val="•"/>
      <w:lvlJc w:val="left"/>
      <w:pPr>
        <w:ind w:left="4413" w:hanging="720"/>
      </w:pPr>
      <w:rPr>
        <w:rFonts w:hint="default"/>
      </w:rPr>
    </w:lvl>
    <w:lvl w:ilvl="6">
      <w:numFmt w:val="bullet"/>
      <w:lvlText w:val="•"/>
      <w:lvlJc w:val="left"/>
      <w:pPr>
        <w:ind w:left="5392" w:hanging="720"/>
      </w:pPr>
      <w:rPr>
        <w:rFonts w:hint="default"/>
      </w:rPr>
    </w:lvl>
    <w:lvl w:ilvl="7">
      <w:numFmt w:val="bullet"/>
      <w:lvlText w:val="•"/>
      <w:lvlJc w:val="left"/>
      <w:pPr>
        <w:ind w:left="6370" w:hanging="720"/>
      </w:pPr>
      <w:rPr>
        <w:rFonts w:hint="default"/>
      </w:rPr>
    </w:lvl>
    <w:lvl w:ilvl="8">
      <w:numFmt w:val="bullet"/>
      <w:lvlText w:val="•"/>
      <w:lvlJc w:val="left"/>
      <w:pPr>
        <w:ind w:left="7349" w:hanging="720"/>
      </w:pPr>
      <w:rPr>
        <w:rFonts w:hint="default"/>
      </w:rPr>
    </w:lvl>
  </w:abstractNum>
  <w:abstractNum w:abstractNumId="3" w15:restartNumberingAfterBreak="0">
    <w:nsid w:val="18C4579B"/>
    <w:multiLevelType w:val="hybridMultilevel"/>
    <w:tmpl w:val="4BCA0634"/>
    <w:lvl w:ilvl="0" w:tplc="56C8AF96">
      <w:numFmt w:val="bullet"/>
      <w:lvlText w:val="-"/>
      <w:lvlJc w:val="left"/>
      <w:pPr>
        <w:ind w:left="116" w:hanging="147"/>
      </w:pPr>
      <w:rPr>
        <w:rFonts w:ascii="Arial" w:eastAsia="Arial" w:hAnsi="Arial" w:cs="Arial" w:hint="default"/>
        <w:w w:val="99"/>
        <w:sz w:val="20"/>
        <w:szCs w:val="20"/>
      </w:rPr>
    </w:lvl>
    <w:lvl w:ilvl="1" w:tplc="7C6465A2">
      <w:numFmt w:val="bullet"/>
      <w:lvlText w:val="-"/>
      <w:lvlJc w:val="left"/>
      <w:pPr>
        <w:ind w:left="338" w:hanging="123"/>
      </w:pPr>
      <w:rPr>
        <w:rFonts w:ascii="Arial" w:eastAsia="Arial" w:hAnsi="Arial" w:cs="Arial" w:hint="default"/>
        <w:w w:val="99"/>
        <w:sz w:val="20"/>
        <w:szCs w:val="20"/>
      </w:rPr>
    </w:lvl>
    <w:lvl w:ilvl="2" w:tplc="8D7447C4">
      <w:numFmt w:val="bullet"/>
      <w:lvlText w:val="•"/>
      <w:lvlJc w:val="left"/>
      <w:pPr>
        <w:ind w:left="340" w:hanging="123"/>
      </w:pPr>
      <w:rPr>
        <w:rFonts w:hint="default"/>
      </w:rPr>
    </w:lvl>
    <w:lvl w:ilvl="3" w:tplc="909E993A">
      <w:numFmt w:val="bullet"/>
      <w:lvlText w:val="•"/>
      <w:lvlJc w:val="left"/>
      <w:pPr>
        <w:ind w:left="360" w:hanging="123"/>
      </w:pPr>
      <w:rPr>
        <w:rFonts w:hint="default"/>
      </w:rPr>
    </w:lvl>
    <w:lvl w:ilvl="4" w:tplc="B73266E2">
      <w:numFmt w:val="bullet"/>
      <w:lvlText w:val="•"/>
      <w:lvlJc w:val="left"/>
      <w:pPr>
        <w:ind w:left="1638" w:hanging="123"/>
      </w:pPr>
      <w:rPr>
        <w:rFonts w:hint="default"/>
      </w:rPr>
    </w:lvl>
    <w:lvl w:ilvl="5" w:tplc="7F92628E">
      <w:numFmt w:val="bullet"/>
      <w:lvlText w:val="•"/>
      <w:lvlJc w:val="left"/>
      <w:pPr>
        <w:ind w:left="2916" w:hanging="123"/>
      </w:pPr>
      <w:rPr>
        <w:rFonts w:hint="default"/>
      </w:rPr>
    </w:lvl>
    <w:lvl w:ilvl="6" w:tplc="57A49C54">
      <w:numFmt w:val="bullet"/>
      <w:lvlText w:val="•"/>
      <w:lvlJc w:val="left"/>
      <w:pPr>
        <w:ind w:left="4194" w:hanging="123"/>
      </w:pPr>
      <w:rPr>
        <w:rFonts w:hint="default"/>
      </w:rPr>
    </w:lvl>
    <w:lvl w:ilvl="7" w:tplc="A7AAB436">
      <w:numFmt w:val="bullet"/>
      <w:lvlText w:val="•"/>
      <w:lvlJc w:val="left"/>
      <w:pPr>
        <w:ind w:left="5472" w:hanging="123"/>
      </w:pPr>
      <w:rPr>
        <w:rFonts w:hint="default"/>
      </w:rPr>
    </w:lvl>
    <w:lvl w:ilvl="8" w:tplc="30FCC322">
      <w:numFmt w:val="bullet"/>
      <w:lvlText w:val="•"/>
      <w:lvlJc w:val="left"/>
      <w:pPr>
        <w:ind w:left="6750" w:hanging="123"/>
      </w:pPr>
      <w:rPr>
        <w:rFonts w:hint="default"/>
      </w:rPr>
    </w:lvl>
  </w:abstractNum>
  <w:abstractNum w:abstractNumId="4" w15:restartNumberingAfterBreak="0">
    <w:nsid w:val="22C05303"/>
    <w:multiLevelType w:val="multilevel"/>
    <w:tmpl w:val="53BE067C"/>
    <w:lvl w:ilvl="0">
      <w:start w:val="6"/>
      <w:numFmt w:val="decimal"/>
      <w:lvlText w:val="%1"/>
      <w:lvlJc w:val="left"/>
      <w:pPr>
        <w:ind w:left="116" w:hanging="389"/>
      </w:pPr>
      <w:rPr>
        <w:rFonts w:hint="default"/>
      </w:rPr>
    </w:lvl>
    <w:lvl w:ilvl="1">
      <w:start w:val="6"/>
      <w:numFmt w:val="decimal"/>
      <w:lvlText w:val="%1.%2."/>
      <w:lvlJc w:val="left"/>
      <w:pPr>
        <w:ind w:left="116" w:hanging="389"/>
        <w:jc w:val="right"/>
      </w:pPr>
      <w:rPr>
        <w:rFonts w:ascii="Arial" w:eastAsia="Arial" w:hAnsi="Arial" w:cs="Arial" w:hint="default"/>
        <w:b/>
        <w:bCs/>
        <w:spacing w:val="-1"/>
        <w:w w:val="99"/>
        <w:sz w:val="20"/>
        <w:szCs w:val="20"/>
      </w:rPr>
    </w:lvl>
    <w:lvl w:ilvl="2">
      <w:start w:val="1"/>
      <w:numFmt w:val="decimal"/>
      <w:lvlText w:val="%1.%2.%3."/>
      <w:lvlJc w:val="left"/>
      <w:pPr>
        <w:ind w:left="116" w:hanging="555"/>
        <w:jc w:val="right"/>
      </w:pPr>
      <w:rPr>
        <w:rFonts w:ascii="Arial" w:eastAsia="Arial" w:hAnsi="Arial" w:cs="Arial" w:hint="default"/>
        <w:b/>
        <w:bCs/>
        <w:spacing w:val="-1"/>
        <w:w w:val="99"/>
        <w:sz w:val="20"/>
        <w:szCs w:val="20"/>
      </w:rPr>
    </w:lvl>
    <w:lvl w:ilvl="3">
      <w:start w:val="1"/>
      <w:numFmt w:val="decimal"/>
      <w:lvlText w:val="%1.%2.%3.%4."/>
      <w:lvlJc w:val="left"/>
      <w:pPr>
        <w:ind w:left="949" w:hanging="833"/>
        <w:jc w:val="right"/>
      </w:pPr>
      <w:rPr>
        <w:rFonts w:ascii="Arial" w:eastAsia="Arial" w:hAnsi="Arial" w:cs="Arial" w:hint="default"/>
        <w:b/>
        <w:bCs/>
        <w:spacing w:val="-1"/>
        <w:w w:val="99"/>
        <w:sz w:val="20"/>
        <w:szCs w:val="20"/>
      </w:rPr>
    </w:lvl>
    <w:lvl w:ilvl="4">
      <w:numFmt w:val="bullet"/>
      <w:lvlText w:val="•"/>
      <w:lvlJc w:val="left"/>
      <w:pPr>
        <w:ind w:left="3728" w:hanging="833"/>
      </w:pPr>
      <w:rPr>
        <w:rFonts w:hint="default"/>
      </w:rPr>
    </w:lvl>
    <w:lvl w:ilvl="5">
      <w:numFmt w:val="bullet"/>
      <w:lvlText w:val="•"/>
      <w:lvlJc w:val="left"/>
      <w:pPr>
        <w:ind w:left="4658" w:hanging="833"/>
      </w:pPr>
      <w:rPr>
        <w:rFonts w:hint="default"/>
      </w:rPr>
    </w:lvl>
    <w:lvl w:ilvl="6">
      <w:numFmt w:val="bullet"/>
      <w:lvlText w:val="•"/>
      <w:lvlJc w:val="left"/>
      <w:pPr>
        <w:ind w:left="5588" w:hanging="833"/>
      </w:pPr>
      <w:rPr>
        <w:rFonts w:hint="default"/>
      </w:rPr>
    </w:lvl>
    <w:lvl w:ilvl="7">
      <w:numFmt w:val="bullet"/>
      <w:lvlText w:val="•"/>
      <w:lvlJc w:val="left"/>
      <w:pPr>
        <w:ind w:left="6517" w:hanging="833"/>
      </w:pPr>
      <w:rPr>
        <w:rFonts w:hint="default"/>
      </w:rPr>
    </w:lvl>
    <w:lvl w:ilvl="8">
      <w:numFmt w:val="bullet"/>
      <w:lvlText w:val="•"/>
      <w:lvlJc w:val="left"/>
      <w:pPr>
        <w:ind w:left="7447" w:hanging="833"/>
      </w:pPr>
      <w:rPr>
        <w:rFonts w:hint="default"/>
      </w:rPr>
    </w:lvl>
  </w:abstractNum>
  <w:abstractNum w:abstractNumId="5" w15:restartNumberingAfterBreak="0">
    <w:nsid w:val="301E3908"/>
    <w:multiLevelType w:val="hybridMultilevel"/>
    <w:tmpl w:val="19C4C944"/>
    <w:lvl w:ilvl="0" w:tplc="8066718A">
      <w:start w:val="69"/>
      <w:numFmt w:val="bullet"/>
      <w:lvlText w:val="-"/>
      <w:lvlJc w:val="left"/>
      <w:pPr>
        <w:ind w:left="468" w:hanging="360"/>
      </w:pPr>
      <w:rPr>
        <w:rFonts w:ascii="Arial" w:eastAsia="Arial" w:hAnsi="Arial" w:cs="Arial" w:hint="default"/>
      </w:rPr>
    </w:lvl>
    <w:lvl w:ilvl="1" w:tplc="2C1A0003" w:tentative="1">
      <w:start w:val="1"/>
      <w:numFmt w:val="bullet"/>
      <w:lvlText w:val="o"/>
      <w:lvlJc w:val="left"/>
      <w:pPr>
        <w:ind w:left="1188" w:hanging="360"/>
      </w:pPr>
      <w:rPr>
        <w:rFonts w:ascii="Courier New" w:hAnsi="Courier New" w:cs="Courier New" w:hint="default"/>
      </w:rPr>
    </w:lvl>
    <w:lvl w:ilvl="2" w:tplc="2C1A0005" w:tentative="1">
      <w:start w:val="1"/>
      <w:numFmt w:val="bullet"/>
      <w:lvlText w:val=""/>
      <w:lvlJc w:val="left"/>
      <w:pPr>
        <w:ind w:left="1908" w:hanging="360"/>
      </w:pPr>
      <w:rPr>
        <w:rFonts w:ascii="Wingdings" w:hAnsi="Wingdings" w:hint="default"/>
      </w:rPr>
    </w:lvl>
    <w:lvl w:ilvl="3" w:tplc="2C1A0001" w:tentative="1">
      <w:start w:val="1"/>
      <w:numFmt w:val="bullet"/>
      <w:lvlText w:val=""/>
      <w:lvlJc w:val="left"/>
      <w:pPr>
        <w:ind w:left="2628" w:hanging="360"/>
      </w:pPr>
      <w:rPr>
        <w:rFonts w:ascii="Symbol" w:hAnsi="Symbol" w:hint="default"/>
      </w:rPr>
    </w:lvl>
    <w:lvl w:ilvl="4" w:tplc="2C1A0003" w:tentative="1">
      <w:start w:val="1"/>
      <w:numFmt w:val="bullet"/>
      <w:lvlText w:val="o"/>
      <w:lvlJc w:val="left"/>
      <w:pPr>
        <w:ind w:left="3348" w:hanging="360"/>
      </w:pPr>
      <w:rPr>
        <w:rFonts w:ascii="Courier New" w:hAnsi="Courier New" w:cs="Courier New" w:hint="default"/>
      </w:rPr>
    </w:lvl>
    <w:lvl w:ilvl="5" w:tplc="2C1A0005" w:tentative="1">
      <w:start w:val="1"/>
      <w:numFmt w:val="bullet"/>
      <w:lvlText w:val=""/>
      <w:lvlJc w:val="left"/>
      <w:pPr>
        <w:ind w:left="4068" w:hanging="360"/>
      </w:pPr>
      <w:rPr>
        <w:rFonts w:ascii="Wingdings" w:hAnsi="Wingdings" w:hint="default"/>
      </w:rPr>
    </w:lvl>
    <w:lvl w:ilvl="6" w:tplc="2C1A0001" w:tentative="1">
      <w:start w:val="1"/>
      <w:numFmt w:val="bullet"/>
      <w:lvlText w:val=""/>
      <w:lvlJc w:val="left"/>
      <w:pPr>
        <w:ind w:left="4788" w:hanging="360"/>
      </w:pPr>
      <w:rPr>
        <w:rFonts w:ascii="Symbol" w:hAnsi="Symbol" w:hint="default"/>
      </w:rPr>
    </w:lvl>
    <w:lvl w:ilvl="7" w:tplc="2C1A0003" w:tentative="1">
      <w:start w:val="1"/>
      <w:numFmt w:val="bullet"/>
      <w:lvlText w:val="o"/>
      <w:lvlJc w:val="left"/>
      <w:pPr>
        <w:ind w:left="5508" w:hanging="360"/>
      </w:pPr>
      <w:rPr>
        <w:rFonts w:ascii="Courier New" w:hAnsi="Courier New" w:cs="Courier New" w:hint="default"/>
      </w:rPr>
    </w:lvl>
    <w:lvl w:ilvl="8" w:tplc="2C1A0005" w:tentative="1">
      <w:start w:val="1"/>
      <w:numFmt w:val="bullet"/>
      <w:lvlText w:val=""/>
      <w:lvlJc w:val="left"/>
      <w:pPr>
        <w:ind w:left="6228" w:hanging="360"/>
      </w:pPr>
      <w:rPr>
        <w:rFonts w:ascii="Wingdings" w:hAnsi="Wingdings" w:hint="default"/>
      </w:rPr>
    </w:lvl>
  </w:abstractNum>
  <w:abstractNum w:abstractNumId="6" w15:restartNumberingAfterBreak="0">
    <w:nsid w:val="31814FA9"/>
    <w:multiLevelType w:val="multilevel"/>
    <w:tmpl w:val="9AE0EE84"/>
    <w:lvl w:ilvl="0">
      <w:start w:val="1"/>
      <w:numFmt w:val="decimal"/>
      <w:lvlText w:val="%1."/>
      <w:lvlJc w:val="left"/>
      <w:pPr>
        <w:ind w:left="337" w:hanging="221"/>
      </w:pPr>
      <w:rPr>
        <w:rFonts w:ascii="Arial" w:eastAsia="Arial" w:hAnsi="Arial" w:cs="Arial" w:hint="default"/>
        <w:w w:val="99"/>
        <w:sz w:val="20"/>
        <w:szCs w:val="20"/>
      </w:rPr>
    </w:lvl>
    <w:lvl w:ilvl="1">
      <w:start w:val="1"/>
      <w:numFmt w:val="decimal"/>
      <w:lvlText w:val="%1.%2."/>
      <w:lvlJc w:val="left"/>
      <w:pPr>
        <w:ind w:left="505" w:hanging="389"/>
      </w:pPr>
      <w:rPr>
        <w:rFonts w:ascii="Arial" w:eastAsia="Arial" w:hAnsi="Arial" w:cs="Arial" w:hint="default"/>
        <w:spacing w:val="-1"/>
        <w:w w:val="99"/>
        <w:sz w:val="20"/>
        <w:szCs w:val="20"/>
      </w:rPr>
    </w:lvl>
    <w:lvl w:ilvl="2">
      <w:numFmt w:val="bullet"/>
      <w:lvlText w:val="•"/>
      <w:lvlJc w:val="left"/>
      <w:pPr>
        <w:ind w:left="1478" w:hanging="389"/>
      </w:pPr>
      <w:rPr>
        <w:rFonts w:hint="default"/>
      </w:rPr>
    </w:lvl>
    <w:lvl w:ilvl="3">
      <w:numFmt w:val="bullet"/>
      <w:lvlText w:val="•"/>
      <w:lvlJc w:val="left"/>
      <w:pPr>
        <w:ind w:left="2456" w:hanging="389"/>
      </w:pPr>
      <w:rPr>
        <w:rFonts w:hint="default"/>
      </w:rPr>
    </w:lvl>
    <w:lvl w:ilvl="4">
      <w:numFmt w:val="bullet"/>
      <w:lvlText w:val="•"/>
      <w:lvlJc w:val="left"/>
      <w:pPr>
        <w:ind w:left="3435" w:hanging="389"/>
      </w:pPr>
      <w:rPr>
        <w:rFonts w:hint="default"/>
      </w:rPr>
    </w:lvl>
    <w:lvl w:ilvl="5">
      <w:numFmt w:val="bullet"/>
      <w:lvlText w:val="•"/>
      <w:lvlJc w:val="left"/>
      <w:pPr>
        <w:ind w:left="4413" w:hanging="389"/>
      </w:pPr>
      <w:rPr>
        <w:rFonts w:hint="default"/>
      </w:rPr>
    </w:lvl>
    <w:lvl w:ilvl="6">
      <w:numFmt w:val="bullet"/>
      <w:lvlText w:val="•"/>
      <w:lvlJc w:val="left"/>
      <w:pPr>
        <w:ind w:left="5392" w:hanging="389"/>
      </w:pPr>
      <w:rPr>
        <w:rFonts w:hint="default"/>
      </w:rPr>
    </w:lvl>
    <w:lvl w:ilvl="7">
      <w:numFmt w:val="bullet"/>
      <w:lvlText w:val="•"/>
      <w:lvlJc w:val="left"/>
      <w:pPr>
        <w:ind w:left="6370" w:hanging="389"/>
      </w:pPr>
      <w:rPr>
        <w:rFonts w:hint="default"/>
      </w:rPr>
    </w:lvl>
    <w:lvl w:ilvl="8">
      <w:numFmt w:val="bullet"/>
      <w:lvlText w:val="•"/>
      <w:lvlJc w:val="left"/>
      <w:pPr>
        <w:ind w:left="7349" w:hanging="389"/>
      </w:pPr>
      <w:rPr>
        <w:rFonts w:hint="default"/>
      </w:rPr>
    </w:lvl>
  </w:abstractNum>
  <w:abstractNum w:abstractNumId="7" w15:restartNumberingAfterBreak="0">
    <w:nsid w:val="31B81A4D"/>
    <w:multiLevelType w:val="multilevel"/>
    <w:tmpl w:val="F3E4045C"/>
    <w:lvl w:ilvl="0">
      <w:start w:val="6"/>
      <w:numFmt w:val="decimal"/>
      <w:lvlText w:val="%1"/>
      <w:lvlJc w:val="left"/>
      <w:pPr>
        <w:ind w:left="116" w:hanging="555"/>
      </w:pPr>
      <w:rPr>
        <w:rFonts w:hint="default"/>
      </w:rPr>
    </w:lvl>
    <w:lvl w:ilvl="1">
      <w:start w:val="2"/>
      <w:numFmt w:val="decimal"/>
      <w:lvlText w:val="%1.%2"/>
      <w:lvlJc w:val="left"/>
      <w:pPr>
        <w:ind w:left="116" w:hanging="555"/>
      </w:pPr>
      <w:rPr>
        <w:rFonts w:hint="default"/>
      </w:rPr>
    </w:lvl>
    <w:lvl w:ilvl="2">
      <w:start w:val="7"/>
      <w:numFmt w:val="decimal"/>
      <w:lvlText w:val="%1.%2.%3."/>
      <w:lvlJc w:val="left"/>
      <w:pPr>
        <w:ind w:left="116" w:hanging="555"/>
      </w:pPr>
      <w:rPr>
        <w:rFonts w:ascii="Arial" w:eastAsia="Arial" w:hAnsi="Arial" w:cs="Arial" w:hint="default"/>
        <w:b/>
        <w:bCs/>
        <w:spacing w:val="-1"/>
        <w:w w:val="99"/>
        <w:sz w:val="20"/>
        <w:szCs w:val="20"/>
      </w:rPr>
    </w:lvl>
    <w:lvl w:ilvl="3">
      <w:numFmt w:val="bullet"/>
      <w:lvlText w:val="•"/>
      <w:lvlJc w:val="left"/>
      <w:pPr>
        <w:ind w:left="2875" w:hanging="555"/>
      </w:pPr>
      <w:rPr>
        <w:rFonts w:hint="default"/>
      </w:rPr>
    </w:lvl>
    <w:lvl w:ilvl="4">
      <w:numFmt w:val="bullet"/>
      <w:lvlText w:val="•"/>
      <w:lvlJc w:val="left"/>
      <w:pPr>
        <w:ind w:left="3794" w:hanging="555"/>
      </w:pPr>
      <w:rPr>
        <w:rFonts w:hint="default"/>
      </w:rPr>
    </w:lvl>
    <w:lvl w:ilvl="5">
      <w:numFmt w:val="bullet"/>
      <w:lvlText w:val="•"/>
      <w:lvlJc w:val="left"/>
      <w:pPr>
        <w:ind w:left="4713" w:hanging="555"/>
      </w:pPr>
      <w:rPr>
        <w:rFonts w:hint="default"/>
      </w:rPr>
    </w:lvl>
    <w:lvl w:ilvl="6">
      <w:numFmt w:val="bullet"/>
      <w:lvlText w:val="•"/>
      <w:lvlJc w:val="left"/>
      <w:pPr>
        <w:ind w:left="5631" w:hanging="555"/>
      </w:pPr>
      <w:rPr>
        <w:rFonts w:hint="default"/>
      </w:rPr>
    </w:lvl>
    <w:lvl w:ilvl="7">
      <w:numFmt w:val="bullet"/>
      <w:lvlText w:val="•"/>
      <w:lvlJc w:val="left"/>
      <w:pPr>
        <w:ind w:left="6550" w:hanging="555"/>
      </w:pPr>
      <w:rPr>
        <w:rFonts w:hint="default"/>
      </w:rPr>
    </w:lvl>
    <w:lvl w:ilvl="8">
      <w:numFmt w:val="bullet"/>
      <w:lvlText w:val="•"/>
      <w:lvlJc w:val="left"/>
      <w:pPr>
        <w:ind w:left="7469" w:hanging="555"/>
      </w:pPr>
      <w:rPr>
        <w:rFonts w:hint="default"/>
      </w:rPr>
    </w:lvl>
  </w:abstractNum>
  <w:abstractNum w:abstractNumId="8" w15:restartNumberingAfterBreak="0">
    <w:nsid w:val="48DB4EF3"/>
    <w:multiLevelType w:val="hybridMultilevel"/>
    <w:tmpl w:val="BF047070"/>
    <w:lvl w:ilvl="0" w:tplc="15FCA8A6">
      <w:start w:val="1"/>
      <w:numFmt w:val="decimal"/>
      <w:lvlText w:val="%1."/>
      <w:lvlJc w:val="left"/>
      <w:pPr>
        <w:ind w:left="29"/>
      </w:pPr>
      <w:rPr>
        <w:rFonts w:ascii="Arial" w:eastAsiaTheme="minorEastAsia" w:hAnsi="Arial" w:cs="Arial"/>
        <w:b/>
        <w:bCs/>
        <w:i w:val="0"/>
        <w:strike w:val="0"/>
        <w:dstrike w:val="0"/>
        <w:color w:val="000000"/>
        <w:sz w:val="22"/>
        <w:szCs w:val="22"/>
        <w:u w:val="none" w:color="000000"/>
        <w:bdr w:val="none" w:sz="0" w:space="0" w:color="auto"/>
        <w:shd w:val="clear" w:color="auto" w:fill="auto"/>
        <w:vertAlign w:val="baseline"/>
      </w:rPr>
    </w:lvl>
    <w:lvl w:ilvl="1" w:tplc="41D4D508">
      <w:start w:val="1"/>
      <w:numFmt w:val="lowerLetter"/>
      <w:lvlText w:val="%2"/>
      <w:lvlJc w:val="left"/>
      <w:pPr>
        <w:ind w:left="130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25D272C6">
      <w:start w:val="1"/>
      <w:numFmt w:val="lowerRoman"/>
      <w:lvlText w:val="%3"/>
      <w:lvlJc w:val="left"/>
      <w:pPr>
        <w:ind w:left="20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9FA87758">
      <w:start w:val="1"/>
      <w:numFmt w:val="decimal"/>
      <w:lvlText w:val="%4"/>
      <w:lvlJc w:val="left"/>
      <w:pPr>
        <w:ind w:left="274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D93A1C50">
      <w:start w:val="1"/>
      <w:numFmt w:val="lowerLetter"/>
      <w:lvlText w:val="%5"/>
      <w:lvlJc w:val="left"/>
      <w:pPr>
        <w:ind w:left="346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9860FF30">
      <w:start w:val="1"/>
      <w:numFmt w:val="lowerRoman"/>
      <w:lvlText w:val="%6"/>
      <w:lvlJc w:val="left"/>
      <w:pPr>
        <w:ind w:left="418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8604B316">
      <w:start w:val="1"/>
      <w:numFmt w:val="decimal"/>
      <w:lvlText w:val="%7"/>
      <w:lvlJc w:val="left"/>
      <w:pPr>
        <w:ind w:left="490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ED0A4910">
      <w:start w:val="1"/>
      <w:numFmt w:val="lowerLetter"/>
      <w:lvlText w:val="%8"/>
      <w:lvlJc w:val="left"/>
      <w:pPr>
        <w:ind w:left="56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4D40EB40">
      <w:start w:val="1"/>
      <w:numFmt w:val="lowerRoman"/>
      <w:lvlText w:val="%9"/>
      <w:lvlJc w:val="left"/>
      <w:pPr>
        <w:ind w:left="634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D5B5179"/>
    <w:multiLevelType w:val="multilevel"/>
    <w:tmpl w:val="610EEC12"/>
    <w:lvl w:ilvl="0">
      <w:start w:val="6"/>
      <w:numFmt w:val="decimal"/>
      <w:lvlText w:val="%1"/>
      <w:lvlJc w:val="left"/>
      <w:pPr>
        <w:ind w:left="503" w:hanging="387"/>
      </w:pPr>
      <w:rPr>
        <w:rFonts w:hint="default"/>
      </w:rPr>
    </w:lvl>
    <w:lvl w:ilvl="1">
      <w:start w:val="3"/>
      <w:numFmt w:val="decimal"/>
      <w:lvlText w:val="%1.%2."/>
      <w:lvlJc w:val="left"/>
      <w:pPr>
        <w:ind w:left="503" w:hanging="387"/>
      </w:pPr>
      <w:rPr>
        <w:rFonts w:ascii="Arial" w:eastAsia="Arial" w:hAnsi="Arial" w:cs="Arial" w:hint="default"/>
        <w:b/>
        <w:bCs/>
        <w:spacing w:val="-1"/>
        <w:w w:val="99"/>
        <w:sz w:val="20"/>
        <w:szCs w:val="20"/>
      </w:rPr>
    </w:lvl>
    <w:lvl w:ilvl="2">
      <w:start w:val="1"/>
      <w:numFmt w:val="decimal"/>
      <w:lvlText w:val="%1.%2.%3."/>
      <w:lvlJc w:val="left"/>
      <w:pPr>
        <w:ind w:left="116" w:hanging="555"/>
      </w:pPr>
      <w:rPr>
        <w:rFonts w:ascii="Arial" w:eastAsia="Arial" w:hAnsi="Arial" w:cs="Arial" w:hint="default"/>
        <w:b/>
        <w:bCs/>
        <w:spacing w:val="-1"/>
        <w:w w:val="99"/>
        <w:sz w:val="20"/>
        <w:szCs w:val="20"/>
      </w:rPr>
    </w:lvl>
    <w:lvl w:ilvl="3">
      <w:numFmt w:val="bullet"/>
      <w:lvlText w:val="•"/>
      <w:lvlJc w:val="left"/>
      <w:pPr>
        <w:ind w:left="2456" w:hanging="555"/>
      </w:pPr>
      <w:rPr>
        <w:rFonts w:hint="default"/>
      </w:rPr>
    </w:lvl>
    <w:lvl w:ilvl="4">
      <w:numFmt w:val="bullet"/>
      <w:lvlText w:val="•"/>
      <w:lvlJc w:val="left"/>
      <w:pPr>
        <w:ind w:left="3435" w:hanging="555"/>
      </w:pPr>
      <w:rPr>
        <w:rFonts w:hint="default"/>
      </w:rPr>
    </w:lvl>
    <w:lvl w:ilvl="5">
      <w:numFmt w:val="bullet"/>
      <w:lvlText w:val="•"/>
      <w:lvlJc w:val="left"/>
      <w:pPr>
        <w:ind w:left="4413" w:hanging="555"/>
      </w:pPr>
      <w:rPr>
        <w:rFonts w:hint="default"/>
      </w:rPr>
    </w:lvl>
    <w:lvl w:ilvl="6">
      <w:numFmt w:val="bullet"/>
      <w:lvlText w:val="•"/>
      <w:lvlJc w:val="left"/>
      <w:pPr>
        <w:ind w:left="5392" w:hanging="555"/>
      </w:pPr>
      <w:rPr>
        <w:rFonts w:hint="default"/>
      </w:rPr>
    </w:lvl>
    <w:lvl w:ilvl="7">
      <w:numFmt w:val="bullet"/>
      <w:lvlText w:val="•"/>
      <w:lvlJc w:val="left"/>
      <w:pPr>
        <w:ind w:left="6370" w:hanging="555"/>
      </w:pPr>
      <w:rPr>
        <w:rFonts w:hint="default"/>
      </w:rPr>
    </w:lvl>
    <w:lvl w:ilvl="8">
      <w:numFmt w:val="bullet"/>
      <w:lvlText w:val="•"/>
      <w:lvlJc w:val="left"/>
      <w:pPr>
        <w:ind w:left="7349" w:hanging="555"/>
      </w:pPr>
      <w:rPr>
        <w:rFonts w:hint="default"/>
      </w:rPr>
    </w:lvl>
  </w:abstractNum>
  <w:abstractNum w:abstractNumId="10" w15:restartNumberingAfterBreak="0">
    <w:nsid w:val="54E21E74"/>
    <w:multiLevelType w:val="hybridMultilevel"/>
    <w:tmpl w:val="EF484316"/>
    <w:lvl w:ilvl="0" w:tplc="005AD5F4">
      <w:numFmt w:val="bullet"/>
      <w:lvlText w:val="-"/>
      <w:lvlJc w:val="left"/>
      <w:pPr>
        <w:ind w:left="116" w:hanging="123"/>
      </w:pPr>
      <w:rPr>
        <w:rFonts w:ascii="Arial" w:eastAsia="Arial" w:hAnsi="Arial" w:cs="Arial" w:hint="default"/>
        <w:w w:val="99"/>
        <w:sz w:val="20"/>
        <w:szCs w:val="20"/>
      </w:rPr>
    </w:lvl>
    <w:lvl w:ilvl="1" w:tplc="8374649E">
      <w:numFmt w:val="bullet"/>
      <w:lvlText w:val="•"/>
      <w:lvlJc w:val="left"/>
      <w:pPr>
        <w:ind w:left="1038" w:hanging="123"/>
      </w:pPr>
      <w:rPr>
        <w:rFonts w:hint="default"/>
      </w:rPr>
    </w:lvl>
    <w:lvl w:ilvl="2" w:tplc="982094F4">
      <w:numFmt w:val="bullet"/>
      <w:lvlText w:val="•"/>
      <w:lvlJc w:val="left"/>
      <w:pPr>
        <w:ind w:left="1957" w:hanging="123"/>
      </w:pPr>
      <w:rPr>
        <w:rFonts w:hint="default"/>
      </w:rPr>
    </w:lvl>
    <w:lvl w:ilvl="3" w:tplc="CA12A9D6">
      <w:numFmt w:val="bullet"/>
      <w:lvlText w:val="•"/>
      <w:lvlJc w:val="left"/>
      <w:pPr>
        <w:ind w:left="2875" w:hanging="123"/>
      </w:pPr>
      <w:rPr>
        <w:rFonts w:hint="default"/>
      </w:rPr>
    </w:lvl>
    <w:lvl w:ilvl="4" w:tplc="E0E095E6">
      <w:numFmt w:val="bullet"/>
      <w:lvlText w:val="•"/>
      <w:lvlJc w:val="left"/>
      <w:pPr>
        <w:ind w:left="3794" w:hanging="123"/>
      </w:pPr>
      <w:rPr>
        <w:rFonts w:hint="default"/>
      </w:rPr>
    </w:lvl>
    <w:lvl w:ilvl="5" w:tplc="11C89FAC">
      <w:numFmt w:val="bullet"/>
      <w:lvlText w:val="•"/>
      <w:lvlJc w:val="left"/>
      <w:pPr>
        <w:ind w:left="4713" w:hanging="123"/>
      </w:pPr>
      <w:rPr>
        <w:rFonts w:hint="default"/>
      </w:rPr>
    </w:lvl>
    <w:lvl w:ilvl="6" w:tplc="FF82B21C">
      <w:numFmt w:val="bullet"/>
      <w:lvlText w:val="•"/>
      <w:lvlJc w:val="left"/>
      <w:pPr>
        <w:ind w:left="5631" w:hanging="123"/>
      </w:pPr>
      <w:rPr>
        <w:rFonts w:hint="default"/>
      </w:rPr>
    </w:lvl>
    <w:lvl w:ilvl="7" w:tplc="91944C6A">
      <w:numFmt w:val="bullet"/>
      <w:lvlText w:val="•"/>
      <w:lvlJc w:val="left"/>
      <w:pPr>
        <w:ind w:left="6550" w:hanging="123"/>
      </w:pPr>
      <w:rPr>
        <w:rFonts w:hint="default"/>
      </w:rPr>
    </w:lvl>
    <w:lvl w:ilvl="8" w:tplc="0F1AC1A0">
      <w:numFmt w:val="bullet"/>
      <w:lvlText w:val="•"/>
      <w:lvlJc w:val="left"/>
      <w:pPr>
        <w:ind w:left="7469" w:hanging="123"/>
      </w:pPr>
      <w:rPr>
        <w:rFonts w:hint="default"/>
      </w:rPr>
    </w:lvl>
  </w:abstractNum>
  <w:abstractNum w:abstractNumId="11" w15:restartNumberingAfterBreak="0">
    <w:nsid w:val="6D6A456A"/>
    <w:multiLevelType w:val="hybridMultilevel"/>
    <w:tmpl w:val="276CD1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4"/>
  </w:num>
  <w:num w:numId="2">
    <w:abstractNumId w:val="5"/>
  </w:num>
  <w:num w:numId="3">
    <w:abstractNumId w:val="11"/>
  </w:num>
  <w:num w:numId="4">
    <w:abstractNumId w:val="6"/>
  </w:num>
  <w:num w:numId="5">
    <w:abstractNumId w:val="3"/>
  </w:num>
  <w:num w:numId="6">
    <w:abstractNumId w:val="2"/>
  </w:num>
  <w:num w:numId="7">
    <w:abstractNumId w:val="7"/>
  </w:num>
  <w:num w:numId="8">
    <w:abstractNumId w:val="9"/>
  </w:num>
  <w:num w:numId="9">
    <w:abstractNumId w:val="10"/>
  </w:num>
  <w:num w:numId="10">
    <w:abstractNumId w:val="0"/>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912"/>
    <w:rsid w:val="0000016E"/>
    <w:rsid w:val="00004D69"/>
    <w:rsid w:val="00021CD5"/>
    <w:rsid w:val="000301C3"/>
    <w:rsid w:val="000356B6"/>
    <w:rsid w:val="000378D7"/>
    <w:rsid w:val="00037970"/>
    <w:rsid w:val="00041F4D"/>
    <w:rsid w:val="00045B54"/>
    <w:rsid w:val="00072E7A"/>
    <w:rsid w:val="00074C75"/>
    <w:rsid w:val="00081882"/>
    <w:rsid w:val="00081ABC"/>
    <w:rsid w:val="0008200B"/>
    <w:rsid w:val="00084FED"/>
    <w:rsid w:val="0009337C"/>
    <w:rsid w:val="000B1C4E"/>
    <w:rsid w:val="000B280C"/>
    <w:rsid w:val="000D1520"/>
    <w:rsid w:val="000F2614"/>
    <w:rsid w:val="001067B6"/>
    <w:rsid w:val="0011380F"/>
    <w:rsid w:val="00120EF2"/>
    <w:rsid w:val="0013233E"/>
    <w:rsid w:val="00141A66"/>
    <w:rsid w:val="001428C5"/>
    <w:rsid w:val="00145B99"/>
    <w:rsid w:val="00164D06"/>
    <w:rsid w:val="001849F8"/>
    <w:rsid w:val="00186242"/>
    <w:rsid w:val="001A0D42"/>
    <w:rsid w:val="001A6A60"/>
    <w:rsid w:val="001B4182"/>
    <w:rsid w:val="001B44C7"/>
    <w:rsid w:val="001D13D5"/>
    <w:rsid w:val="00202706"/>
    <w:rsid w:val="00214AC9"/>
    <w:rsid w:val="00223CAF"/>
    <w:rsid w:val="0022513E"/>
    <w:rsid w:val="00226518"/>
    <w:rsid w:val="00230A93"/>
    <w:rsid w:val="00230DA3"/>
    <w:rsid w:val="00232DFC"/>
    <w:rsid w:val="002363DF"/>
    <w:rsid w:val="00254307"/>
    <w:rsid w:val="00257CFF"/>
    <w:rsid w:val="00261412"/>
    <w:rsid w:val="002750F0"/>
    <w:rsid w:val="00280611"/>
    <w:rsid w:val="00281F37"/>
    <w:rsid w:val="00283667"/>
    <w:rsid w:val="002953A3"/>
    <w:rsid w:val="002C5E0C"/>
    <w:rsid w:val="002E1212"/>
    <w:rsid w:val="002E2F1F"/>
    <w:rsid w:val="002E74D4"/>
    <w:rsid w:val="00307DB0"/>
    <w:rsid w:val="00312A56"/>
    <w:rsid w:val="00330FA1"/>
    <w:rsid w:val="00333365"/>
    <w:rsid w:val="00337024"/>
    <w:rsid w:val="003561C5"/>
    <w:rsid w:val="00367A6B"/>
    <w:rsid w:val="00377759"/>
    <w:rsid w:val="003812EB"/>
    <w:rsid w:val="00382008"/>
    <w:rsid w:val="003870A5"/>
    <w:rsid w:val="00392970"/>
    <w:rsid w:val="00393884"/>
    <w:rsid w:val="003A5F21"/>
    <w:rsid w:val="003B6C8B"/>
    <w:rsid w:val="003D7428"/>
    <w:rsid w:val="003E46DE"/>
    <w:rsid w:val="003E626F"/>
    <w:rsid w:val="003F010B"/>
    <w:rsid w:val="003F60F0"/>
    <w:rsid w:val="003F6B91"/>
    <w:rsid w:val="003F7080"/>
    <w:rsid w:val="00400799"/>
    <w:rsid w:val="00400E5B"/>
    <w:rsid w:val="00404D34"/>
    <w:rsid w:val="004228A1"/>
    <w:rsid w:val="00427F3F"/>
    <w:rsid w:val="004516EB"/>
    <w:rsid w:val="00462334"/>
    <w:rsid w:val="00471B96"/>
    <w:rsid w:val="00476092"/>
    <w:rsid w:val="00483446"/>
    <w:rsid w:val="00483A73"/>
    <w:rsid w:val="00490B0D"/>
    <w:rsid w:val="004960DC"/>
    <w:rsid w:val="00497ECD"/>
    <w:rsid w:val="004A10E8"/>
    <w:rsid w:val="004A4E39"/>
    <w:rsid w:val="004A6E17"/>
    <w:rsid w:val="004B0861"/>
    <w:rsid w:val="004B2E77"/>
    <w:rsid w:val="004C3F70"/>
    <w:rsid w:val="004D4DB7"/>
    <w:rsid w:val="004F40F3"/>
    <w:rsid w:val="004F6CD7"/>
    <w:rsid w:val="004F6DBB"/>
    <w:rsid w:val="00501553"/>
    <w:rsid w:val="005069A2"/>
    <w:rsid w:val="00513FF2"/>
    <w:rsid w:val="005213E5"/>
    <w:rsid w:val="00563FEA"/>
    <w:rsid w:val="00567EAA"/>
    <w:rsid w:val="005779A7"/>
    <w:rsid w:val="005832BE"/>
    <w:rsid w:val="00597162"/>
    <w:rsid w:val="005A26AD"/>
    <w:rsid w:val="005A4EDA"/>
    <w:rsid w:val="005C48F0"/>
    <w:rsid w:val="005D1E0E"/>
    <w:rsid w:val="005D206E"/>
    <w:rsid w:val="00600B52"/>
    <w:rsid w:val="00606318"/>
    <w:rsid w:val="00622A00"/>
    <w:rsid w:val="00641AB6"/>
    <w:rsid w:val="006624A4"/>
    <w:rsid w:val="00667F81"/>
    <w:rsid w:val="00675B92"/>
    <w:rsid w:val="006946F6"/>
    <w:rsid w:val="006A09D6"/>
    <w:rsid w:val="006A0A44"/>
    <w:rsid w:val="006A5B5D"/>
    <w:rsid w:val="006A7B0E"/>
    <w:rsid w:val="006B321E"/>
    <w:rsid w:val="006E4269"/>
    <w:rsid w:val="006E5166"/>
    <w:rsid w:val="006E6585"/>
    <w:rsid w:val="00700CFF"/>
    <w:rsid w:val="00702406"/>
    <w:rsid w:val="00705DC0"/>
    <w:rsid w:val="007114B3"/>
    <w:rsid w:val="00720080"/>
    <w:rsid w:val="0073275B"/>
    <w:rsid w:val="0074068C"/>
    <w:rsid w:val="00742755"/>
    <w:rsid w:val="007436E6"/>
    <w:rsid w:val="007521E6"/>
    <w:rsid w:val="0075761D"/>
    <w:rsid w:val="0075775A"/>
    <w:rsid w:val="0076165C"/>
    <w:rsid w:val="00776D85"/>
    <w:rsid w:val="00780441"/>
    <w:rsid w:val="0078235E"/>
    <w:rsid w:val="00785F89"/>
    <w:rsid w:val="00794D33"/>
    <w:rsid w:val="007C3EC9"/>
    <w:rsid w:val="007E6251"/>
    <w:rsid w:val="007E739D"/>
    <w:rsid w:val="007F1B2E"/>
    <w:rsid w:val="007F5189"/>
    <w:rsid w:val="00803899"/>
    <w:rsid w:val="0080534F"/>
    <w:rsid w:val="0081246F"/>
    <w:rsid w:val="00827248"/>
    <w:rsid w:val="00830C81"/>
    <w:rsid w:val="0086292F"/>
    <w:rsid w:val="00863D0B"/>
    <w:rsid w:val="008660DA"/>
    <w:rsid w:val="008730B4"/>
    <w:rsid w:val="00886E95"/>
    <w:rsid w:val="008B656A"/>
    <w:rsid w:val="008C6912"/>
    <w:rsid w:val="008D10B4"/>
    <w:rsid w:val="008D6A9A"/>
    <w:rsid w:val="008D7E4B"/>
    <w:rsid w:val="008E400B"/>
    <w:rsid w:val="008E61E7"/>
    <w:rsid w:val="008E75AA"/>
    <w:rsid w:val="008F28A5"/>
    <w:rsid w:val="008F2D36"/>
    <w:rsid w:val="008F4B88"/>
    <w:rsid w:val="008F69A6"/>
    <w:rsid w:val="00900EC0"/>
    <w:rsid w:val="00903BA5"/>
    <w:rsid w:val="00907AAF"/>
    <w:rsid w:val="00910EBA"/>
    <w:rsid w:val="00911233"/>
    <w:rsid w:val="00911336"/>
    <w:rsid w:val="00922CE0"/>
    <w:rsid w:val="009275AE"/>
    <w:rsid w:val="00936BDC"/>
    <w:rsid w:val="0095498C"/>
    <w:rsid w:val="00954BFD"/>
    <w:rsid w:val="0096016A"/>
    <w:rsid w:val="009768F2"/>
    <w:rsid w:val="00990FD8"/>
    <w:rsid w:val="00994D48"/>
    <w:rsid w:val="009B199E"/>
    <w:rsid w:val="009D794A"/>
    <w:rsid w:val="009F1D73"/>
    <w:rsid w:val="00A00406"/>
    <w:rsid w:val="00A014F5"/>
    <w:rsid w:val="00A02835"/>
    <w:rsid w:val="00A0404F"/>
    <w:rsid w:val="00A30024"/>
    <w:rsid w:val="00A5242A"/>
    <w:rsid w:val="00A527E8"/>
    <w:rsid w:val="00A5515D"/>
    <w:rsid w:val="00A60B4F"/>
    <w:rsid w:val="00A649F6"/>
    <w:rsid w:val="00A8539A"/>
    <w:rsid w:val="00AA42B8"/>
    <w:rsid w:val="00AA59F8"/>
    <w:rsid w:val="00AB649D"/>
    <w:rsid w:val="00AC3163"/>
    <w:rsid w:val="00AC5BC7"/>
    <w:rsid w:val="00AC5FD4"/>
    <w:rsid w:val="00AC63BE"/>
    <w:rsid w:val="00AF5BA2"/>
    <w:rsid w:val="00B06A99"/>
    <w:rsid w:val="00B1262E"/>
    <w:rsid w:val="00B1265F"/>
    <w:rsid w:val="00B16B81"/>
    <w:rsid w:val="00B20269"/>
    <w:rsid w:val="00B26BA6"/>
    <w:rsid w:val="00B26DE1"/>
    <w:rsid w:val="00B301F6"/>
    <w:rsid w:val="00B34C60"/>
    <w:rsid w:val="00B40337"/>
    <w:rsid w:val="00B42B2B"/>
    <w:rsid w:val="00B52AA2"/>
    <w:rsid w:val="00B6512B"/>
    <w:rsid w:val="00B83361"/>
    <w:rsid w:val="00B8700A"/>
    <w:rsid w:val="00B97DC5"/>
    <w:rsid w:val="00BA5D51"/>
    <w:rsid w:val="00BC37B2"/>
    <w:rsid w:val="00BC4384"/>
    <w:rsid w:val="00BC4AFF"/>
    <w:rsid w:val="00C000F1"/>
    <w:rsid w:val="00C1791A"/>
    <w:rsid w:val="00C22D12"/>
    <w:rsid w:val="00C25E42"/>
    <w:rsid w:val="00C47BC4"/>
    <w:rsid w:val="00C571B0"/>
    <w:rsid w:val="00C63D44"/>
    <w:rsid w:val="00C64EEA"/>
    <w:rsid w:val="00C81815"/>
    <w:rsid w:val="00C93596"/>
    <w:rsid w:val="00C96D2E"/>
    <w:rsid w:val="00CA168E"/>
    <w:rsid w:val="00CB1192"/>
    <w:rsid w:val="00CB2744"/>
    <w:rsid w:val="00CB59CC"/>
    <w:rsid w:val="00CC5A72"/>
    <w:rsid w:val="00CC6531"/>
    <w:rsid w:val="00D07CA1"/>
    <w:rsid w:val="00D07EA1"/>
    <w:rsid w:val="00D252B1"/>
    <w:rsid w:val="00D27F17"/>
    <w:rsid w:val="00D32E21"/>
    <w:rsid w:val="00D354A1"/>
    <w:rsid w:val="00D367A2"/>
    <w:rsid w:val="00D452E0"/>
    <w:rsid w:val="00D53B8E"/>
    <w:rsid w:val="00D60366"/>
    <w:rsid w:val="00D75A45"/>
    <w:rsid w:val="00D81F7F"/>
    <w:rsid w:val="00D84D9F"/>
    <w:rsid w:val="00D94E80"/>
    <w:rsid w:val="00DA59A0"/>
    <w:rsid w:val="00DB11CE"/>
    <w:rsid w:val="00DC2FBC"/>
    <w:rsid w:val="00DF5DC9"/>
    <w:rsid w:val="00E20D8C"/>
    <w:rsid w:val="00E31924"/>
    <w:rsid w:val="00E4250A"/>
    <w:rsid w:val="00E461AD"/>
    <w:rsid w:val="00E6046F"/>
    <w:rsid w:val="00E615E9"/>
    <w:rsid w:val="00E64C20"/>
    <w:rsid w:val="00E66BB2"/>
    <w:rsid w:val="00E90A25"/>
    <w:rsid w:val="00EB1F2B"/>
    <w:rsid w:val="00EB2A27"/>
    <w:rsid w:val="00EB51DA"/>
    <w:rsid w:val="00EC166D"/>
    <w:rsid w:val="00ED1952"/>
    <w:rsid w:val="00EE78F7"/>
    <w:rsid w:val="00EF0D57"/>
    <w:rsid w:val="00F1300C"/>
    <w:rsid w:val="00F23A11"/>
    <w:rsid w:val="00F23FC1"/>
    <w:rsid w:val="00F26FBD"/>
    <w:rsid w:val="00F356D1"/>
    <w:rsid w:val="00F45227"/>
    <w:rsid w:val="00F467F8"/>
    <w:rsid w:val="00F62BC2"/>
    <w:rsid w:val="00F7622F"/>
    <w:rsid w:val="00F8149E"/>
    <w:rsid w:val="00F91A2F"/>
    <w:rsid w:val="00F941C3"/>
    <w:rsid w:val="00F95F40"/>
    <w:rsid w:val="00FA53DF"/>
    <w:rsid w:val="00FB26CE"/>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4597C"/>
  <w15:docId w15:val="{67306B09-EBFB-4BBC-98AC-1127DEA87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1AB6"/>
    <w:pPr>
      <w:spacing w:after="0" w:line="240" w:lineRule="auto"/>
    </w:pPr>
    <w:rPr>
      <w:rFonts w:ascii="Times New Roman" w:eastAsiaTheme="minorEastAsia" w:hAnsi="Times New Roman" w:cs="Times New Roman"/>
      <w:noProof/>
      <w:lang w:eastAsia="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1AB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F1D73"/>
    <w:pPr>
      <w:widowControl w:val="0"/>
      <w:autoSpaceDE w:val="0"/>
      <w:autoSpaceDN w:val="0"/>
    </w:pPr>
    <w:rPr>
      <w:rFonts w:ascii="Arial" w:eastAsia="Arial" w:hAnsi="Arial" w:cs="Arial"/>
      <w:noProof w:val="0"/>
      <w:lang w:eastAsia="en-US"/>
    </w:rPr>
  </w:style>
  <w:style w:type="paragraph" w:styleId="BalloonText">
    <w:name w:val="Balloon Text"/>
    <w:basedOn w:val="Normal"/>
    <w:link w:val="BalloonTextChar"/>
    <w:uiPriority w:val="99"/>
    <w:semiHidden/>
    <w:unhideWhenUsed/>
    <w:rsid w:val="000D1520"/>
    <w:rPr>
      <w:rFonts w:ascii="Tahoma" w:hAnsi="Tahoma" w:cs="Tahoma"/>
      <w:sz w:val="16"/>
      <w:szCs w:val="16"/>
    </w:rPr>
  </w:style>
  <w:style w:type="character" w:customStyle="1" w:styleId="BalloonTextChar">
    <w:name w:val="Balloon Text Char"/>
    <w:basedOn w:val="DefaultParagraphFont"/>
    <w:link w:val="BalloonText"/>
    <w:uiPriority w:val="99"/>
    <w:semiHidden/>
    <w:rsid w:val="000D1520"/>
    <w:rPr>
      <w:rFonts w:ascii="Tahoma" w:eastAsiaTheme="minorEastAsia" w:hAnsi="Tahoma" w:cs="Tahoma"/>
      <w:noProof/>
      <w:sz w:val="16"/>
      <w:szCs w:val="16"/>
      <w:lang w:val="sr-Latn-CS" w:eastAsia="sr-Latn-ME"/>
    </w:rPr>
  </w:style>
  <w:style w:type="paragraph" w:styleId="ListParagraph">
    <w:name w:val="List Paragraph"/>
    <w:basedOn w:val="Normal"/>
    <w:uiPriority w:val="34"/>
    <w:qFormat/>
    <w:rsid w:val="00D354A1"/>
    <w:pPr>
      <w:ind w:left="720"/>
      <w:contextualSpacing/>
    </w:pPr>
  </w:style>
  <w:style w:type="paragraph" w:styleId="BodyText">
    <w:name w:val="Body Text"/>
    <w:basedOn w:val="Normal"/>
    <w:link w:val="BodyTextChar"/>
    <w:uiPriority w:val="99"/>
    <w:semiHidden/>
    <w:unhideWhenUsed/>
    <w:rsid w:val="004B2E77"/>
    <w:pPr>
      <w:spacing w:after="120"/>
    </w:pPr>
  </w:style>
  <w:style w:type="character" w:customStyle="1" w:styleId="BodyTextChar">
    <w:name w:val="Body Text Char"/>
    <w:basedOn w:val="DefaultParagraphFont"/>
    <w:link w:val="BodyText"/>
    <w:uiPriority w:val="99"/>
    <w:semiHidden/>
    <w:rsid w:val="004B2E77"/>
    <w:rPr>
      <w:rFonts w:ascii="Times New Roman" w:eastAsiaTheme="minorEastAsia" w:hAnsi="Times New Roman" w:cs="Times New Roman"/>
      <w:noProof/>
      <w:lang w:val="sr-Latn-CS" w:eastAsia="sr-Latn-ME"/>
    </w:rPr>
  </w:style>
  <w:style w:type="paragraph" w:styleId="Header">
    <w:name w:val="header"/>
    <w:basedOn w:val="Normal"/>
    <w:link w:val="HeaderChar"/>
    <w:uiPriority w:val="99"/>
    <w:unhideWhenUsed/>
    <w:rsid w:val="00B06A99"/>
    <w:pPr>
      <w:tabs>
        <w:tab w:val="center" w:pos="4680"/>
        <w:tab w:val="right" w:pos="9360"/>
      </w:tabs>
    </w:pPr>
  </w:style>
  <w:style w:type="character" w:customStyle="1" w:styleId="HeaderChar">
    <w:name w:val="Header Char"/>
    <w:basedOn w:val="DefaultParagraphFont"/>
    <w:link w:val="Header"/>
    <w:uiPriority w:val="99"/>
    <w:rsid w:val="00B06A99"/>
    <w:rPr>
      <w:rFonts w:ascii="Times New Roman" w:eastAsiaTheme="minorEastAsia" w:hAnsi="Times New Roman" w:cs="Times New Roman"/>
      <w:noProof/>
      <w:lang w:eastAsia="sr-Latn-ME"/>
    </w:rPr>
  </w:style>
  <w:style w:type="paragraph" w:styleId="Footer">
    <w:name w:val="footer"/>
    <w:basedOn w:val="Normal"/>
    <w:link w:val="FooterChar"/>
    <w:uiPriority w:val="99"/>
    <w:unhideWhenUsed/>
    <w:rsid w:val="00B06A99"/>
    <w:pPr>
      <w:tabs>
        <w:tab w:val="center" w:pos="4680"/>
        <w:tab w:val="right" w:pos="9360"/>
      </w:tabs>
    </w:pPr>
  </w:style>
  <w:style w:type="character" w:customStyle="1" w:styleId="FooterChar">
    <w:name w:val="Footer Char"/>
    <w:basedOn w:val="DefaultParagraphFont"/>
    <w:link w:val="Footer"/>
    <w:uiPriority w:val="99"/>
    <w:rsid w:val="00B06A99"/>
    <w:rPr>
      <w:rFonts w:ascii="Times New Roman" w:eastAsiaTheme="minorEastAsia" w:hAnsi="Times New Roman" w:cs="Times New Roman"/>
      <w:noProof/>
      <w:lang w:eastAsia="sr-Latn-ME"/>
    </w:rPr>
  </w:style>
  <w:style w:type="paragraph" w:styleId="Revision">
    <w:name w:val="Revision"/>
    <w:hidden/>
    <w:uiPriority w:val="99"/>
    <w:semiHidden/>
    <w:rsid w:val="00393884"/>
    <w:pPr>
      <w:spacing w:after="0" w:line="240" w:lineRule="auto"/>
    </w:pPr>
    <w:rPr>
      <w:rFonts w:ascii="Times New Roman" w:eastAsiaTheme="minorEastAsia" w:hAnsi="Times New Roman" w:cs="Times New Roman"/>
      <w:noProof/>
      <w:lang w:eastAsia="sr-Latn-ME"/>
    </w:rPr>
  </w:style>
  <w:style w:type="paragraph" w:customStyle="1" w:styleId="isselectedend">
    <w:name w:val="isselectedend"/>
    <w:basedOn w:val="Normal"/>
    <w:rsid w:val="00A0404F"/>
    <w:pPr>
      <w:spacing w:before="100" w:beforeAutospacing="1" w:after="100" w:afterAutospacing="1"/>
    </w:pPr>
    <w:rPr>
      <w:rFonts w:eastAsia="Times New Roman"/>
      <w:noProof w:val="0"/>
      <w:sz w:val="24"/>
      <w:szCs w:val="24"/>
      <w:lang w:val="en-US" w:eastAsia="en-US"/>
    </w:rPr>
  </w:style>
  <w:style w:type="character" w:styleId="Strong">
    <w:name w:val="Strong"/>
    <w:basedOn w:val="DefaultParagraphFont"/>
    <w:uiPriority w:val="22"/>
    <w:qFormat/>
    <w:rsid w:val="00A0404F"/>
    <w:rPr>
      <w:b/>
      <w:bCs/>
    </w:rPr>
  </w:style>
  <w:style w:type="paragraph" w:styleId="NormalWeb">
    <w:name w:val="Normal (Web)"/>
    <w:basedOn w:val="Normal"/>
    <w:uiPriority w:val="99"/>
    <w:unhideWhenUsed/>
    <w:rsid w:val="00A0404F"/>
    <w:pPr>
      <w:spacing w:before="100" w:beforeAutospacing="1" w:after="100" w:afterAutospacing="1"/>
    </w:pPr>
    <w:rPr>
      <w:rFonts w:eastAsia="Times New Roman"/>
      <w:noProof w:val="0"/>
      <w:sz w:val="24"/>
      <w:szCs w:val="24"/>
      <w:lang w:val="en-US" w:eastAsia="en-US"/>
    </w:rPr>
  </w:style>
  <w:style w:type="paragraph" w:customStyle="1" w:styleId="pdq2pgselectionanchorcontainer">
    <w:name w:val="pdq2pg_selectionanchorcontainer"/>
    <w:basedOn w:val="Normal"/>
    <w:rsid w:val="00333365"/>
    <w:pPr>
      <w:spacing w:before="100" w:beforeAutospacing="1" w:after="100" w:afterAutospacing="1"/>
    </w:pPr>
    <w:rPr>
      <w:rFonts w:eastAsia="Times New Roman"/>
      <w:noProof w:val="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013890">
      <w:bodyDiv w:val="1"/>
      <w:marLeft w:val="0"/>
      <w:marRight w:val="0"/>
      <w:marTop w:val="0"/>
      <w:marBottom w:val="0"/>
      <w:divBdr>
        <w:top w:val="none" w:sz="0" w:space="0" w:color="auto"/>
        <w:left w:val="none" w:sz="0" w:space="0" w:color="auto"/>
        <w:bottom w:val="none" w:sz="0" w:space="0" w:color="auto"/>
        <w:right w:val="none" w:sz="0" w:space="0" w:color="auto"/>
      </w:divBdr>
    </w:div>
    <w:div w:id="387807858">
      <w:bodyDiv w:val="1"/>
      <w:marLeft w:val="0"/>
      <w:marRight w:val="0"/>
      <w:marTop w:val="0"/>
      <w:marBottom w:val="0"/>
      <w:divBdr>
        <w:top w:val="none" w:sz="0" w:space="0" w:color="auto"/>
        <w:left w:val="none" w:sz="0" w:space="0" w:color="auto"/>
        <w:bottom w:val="none" w:sz="0" w:space="0" w:color="auto"/>
        <w:right w:val="none" w:sz="0" w:space="0" w:color="auto"/>
      </w:divBdr>
    </w:div>
    <w:div w:id="591162166">
      <w:bodyDiv w:val="1"/>
      <w:marLeft w:val="0"/>
      <w:marRight w:val="0"/>
      <w:marTop w:val="0"/>
      <w:marBottom w:val="0"/>
      <w:divBdr>
        <w:top w:val="none" w:sz="0" w:space="0" w:color="auto"/>
        <w:left w:val="none" w:sz="0" w:space="0" w:color="auto"/>
        <w:bottom w:val="none" w:sz="0" w:space="0" w:color="auto"/>
        <w:right w:val="none" w:sz="0" w:space="0" w:color="auto"/>
      </w:divBdr>
    </w:div>
    <w:div w:id="739911111">
      <w:bodyDiv w:val="1"/>
      <w:marLeft w:val="0"/>
      <w:marRight w:val="0"/>
      <w:marTop w:val="0"/>
      <w:marBottom w:val="0"/>
      <w:divBdr>
        <w:top w:val="none" w:sz="0" w:space="0" w:color="auto"/>
        <w:left w:val="none" w:sz="0" w:space="0" w:color="auto"/>
        <w:bottom w:val="none" w:sz="0" w:space="0" w:color="auto"/>
        <w:right w:val="none" w:sz="0" w:space="0" w:color="auto"/>
      </w:divBdr>
    </w:div>
    <w:div w:id="816609896">
      <w:bodyDiv w:val="1"/>
      <w:marLeft w:val="0"/>
      <w:marRight w:val="0"/>
      <w:marTop w:val="0"/>
      <w:marBottom w:val="0"/>
      <w:divBdr>
        <w:top w:val="none" w:sz="0" w:space="0" w:color="auto"/>
        <w:left w:val="none" w:sz="0" w:space="0" w:color="auto"/>
        <w:bottom w:val="none" w:sz="0" w:space="0" w:color="auto"/>
        <w:right w:val="none" w:sz="0" w:space="0" w:color="auto"/>
      </w:divBdr>
    </w:div>
    <w:div w:id="1186745862">
      <w:bodyDiv w:val="1"/>
      <w:marLeft w:val="0"/>
      <w:marRight w:val="0"/>
      <w:marTop w:val="0"/>
      <w:marBottom w:val="0"/>
      <w:divBdr>
        <w:top w:val="none" w:sz="0" w:space="0" w:color="auto"/>
        <w:left w:val="none" w:sz="0" w:space="0" w:color="auto"/>
        <w:bottom w:val="none" w:sz="0" w:space="0" w:color="auto"/>
        <w:right w:val="none" w:sz="0" w:space="0" w:color="auto"/>
      </w:divBdr>
    </w:div>
    <w:div w:id="1526822271">
      <w:bodyDiv w:val="1"/>
      <w:marLeft w:val="0"/>
      <w:marRight w:val="0"/>
      <w:marTop w:val="0"/>
      <w:marBottom w:val="0"/>
      <w:divBdr>
        <w:top w:val="none" w:sz="0" w:space="0" w:color="auto"/>
        <w:left w:val="none" w:sz="0" w:space="0" w:color="auto"/>
        <w:bottom w:val="none" w:sz="0" w:space="0" w:color="auto"/>
        <w:right w:val="none" w:sz="0" w:space="0" w:color="auto"/>
      </w:divBdr>
    </w:div>
    <w:div w:id="1681394359">
      <w:bodyDiv w:val="1"/>
      <w:marLeft w:val="0"/>
      <w:marRight w:val="0"/>
      <w:marTop w:val="0"/>
      <w:marBottom w:val="0"/>
      <w:divBdr>
        <w:top w:val="none" w:sz="0" w:space="0" w:color="auto"/>
        <w:left w:val="none" w:sz="0" w:space="0" w:color="auto"/>
        <w:bottom w:val="none" w:sz="0" w:space="0" w:color="auto"/>
        <w:right w:val="none" w:sz="0" w:space="0" w:color="auto"/>
      </w:divBdr>
    </w:div>
    <w:div w:id="1703750200">
      <w:bodyDiv w:val="1"/>
      <w:marLeft w:val="0"/>
      <w:marRight w:val="0"/>
      <w:marTop w:val="0"/>
      <w:marBottom w:val="0"/>
      <w:divBdr>
        <w:top w:val="none" w:sz="0" w:space="0" w:color="auto"/>
        <w:left w:val="none" w:sz="0" w:space="0" w:color="auto"/>
        <w:bottom w:val="none" w:sz="0" w:space="0" w:color="auto"/>
        <w:right w:val="none" w:sz="0" w:space="0" w:color="auto"/>
      </w:divBdr>
    </w:div>
    <w:div w:id="1728718388">
      <w:bodyDiv w:val="1"/>
      <w:marLeft w:val="0"/>
      <w:marRight w:val="0"/>
      <w:marTop w:val="0"/>
      <w:marBottom w:val="0"/>
      <w:divBdr>
        <w:top w:val="none" w:sz="0" w:space="0" w:color="auto"/>
        <w:left w:val="none" w:sz="0" w:space="0" w:color="auto"/>
        <w:bottom w:val="none" w:sz="0" w:space="0" w:color="auto"/>
        <w:right w:val="none" w:sz="0" w:space="0" w:color="auto"/>
      </w:divBdr>
    </w:div>
    <w:div w:id="1839806669">
      <w:bodyDiv w:val="1"/>
      <w:marLeft w:val="0"/>
      <w:marRight w:val="0"/>
      <w:marTop w:val="0"/>
      <w:marBottom w:val="0"/>
      <w:divBdr>
        <w:top w:val="none" w:sz="0" w:space="0" w:color="auto"/>
        <w:left w:val="none" w:sz="0" w:space="0" w:color="auto"/>
        <w:bottom w:val="none" w:sz="0" w:space="0" w:color="auto"/>
        <w:right w:val="none" w:sz="0" w:space="0" w:color="auto"/>
      </w:divBdr>
    </w:div>
    <w:div w:id="1943880409">
      <w:bodyDiv w:val="1"/>
      <w:marLeft w:val="0"/>
      <w:marRight w:val="0"/>
      <w:marTop w:val="0"/>
      <w:marBottom w:val="0"/>
      <w:divBdr>
        <w:top w:val="none" w:sz="0" w:space="0" w:color="auto"/>
        <w:left w:val="none" w:sz="0" w:space="0" w:color="auto"/>
        <w:bottom w:val="none" w:sz="0" w:space="0" w:color="auto"/>
        <w:right w:val="none" w:sz="0" w:space="0" w:color="auto"/>
      </w:divBdr>
    </w:div>
    <w:div w:id="2000881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inpolj.gov.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5</Pages>
  <Words>3313</Words>
  <Characters>18888</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Krstic</dc:creator>
  <cp:keywords/>
  <dc:description/>
  <cp:lastModifiedBy>Marija Krstic</cp:lastModifiedBy>
  <cp:revision>24</cp:revision>
  <cp:lastPrinted>2026-07-28T17:29:00Z</cp:lastPrinted>
  <dcterms:created xsi:type="dcterms:W3CDTF">2026-06-11T11:04:00Z</dcterms:created>
  <dcterms:modified xsi:type="dcterms:W3CDTF">2026-09-16T12:56:00Z</dcterms:modified>
</cp:coreProperties>
</file>