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eastAsiaTheme="minorHAnsi"/>
          <w:sz w:val="2"/>
          <w:lang w:val="bs-Latn-BA"/>
        </w:rPr>
        <w:id w:val="-1515145304"/>
        <w:docPartObj>
          <w:docPartGallery w:val="Cover Pages"/>
          <w:docPartUnique/>
        </w:docPartObj>
      </w:sdtPr>
      <w:sdtEndPr>
        <w:rPr>
          <w:rFonts w:asciiTheme="majorHAnsi" w:eastAsiaTheme="majorEastAsia" w:hAnsiTheme="majorHAnsi" w:cstheme="majorBidi"/>
          <w:color w:val="2F5496" w:themeColor="accent1" w:themeShade="BF"/>
          <w:sz w:val="32"/>
          <w:szCs w:val="32"/>
        </w:rPr>
      </w:sdtEndPr>
      <w:sdtContent>
        <w:p w14:paraId="1117425D" w14:textId="45C5DDBE" w:rsidR="00D25E12" w:rsidRPr="000152CB" w:rsidRDefault="00D25E12">
          <w:pPr>
            <w:pStyle w:val="Bezrazmaka"/>
            <w:rPr>
              <w:sz w:val="2"/>
              <w:lang w:val="bs-Latn-BA"/>
            </w:rPr>
          </w:pPr>
        </w:p>
        <w:p w14:paraId="44599D56" w14:textId="62577165" w:rsidR="00D25E12" w:rsidRPr="000152CB" w:rsidRDefault="00D25E12">
          <w:r w:rsidRPr="000152CB">
            <w:rPr>
              <w:noProof/>
            </w:rPr>
            <mc:AlternateContent>
              <mc:Choice Requires="wps">
                <w:drawing>
                  <wp:anchor distT="0" distB="0" distL="114300" distR="114300" simplePos="0" relativeHeight="251660288" behindDoc="0" locked="0" layoutInCell="1" allowOverlap="1" wp14:anchorId="3CF5C4E2" wp14:editId="3B8EE75F">
                    <wp:simplePos x="0" y="0"/>
                    <wp:positionH relativeFrom="page">
                      <wp:align>center</wp:align>
                    </wp:positionH>
                    <wp:positionV relativeFrom="margin">
                      <wp:align>top</wp:align>
                    </wp:positionV>
                    <wp:extent cx="5943600" cy="914400"/>
                    <wp:effectExtent l="0" t="0" r="0" b="3810"/>
                    <wp:wrapNone/>
                    <wp:docPr id="62" name="Text Box 62"/>
                    <wp:cNvGraphicFramePr/>
                    <a:graphic xmlns:a="http://schemas.openxmlformats.org/drawingml/2006/main">
                      <a:graphicData uri="http://schemas.microsoft.com/office/word/2010/wordprocessingShape">
                        <wps:wsp>
                          <wps:cNvSpPr txBox="1"/>
                          <wps:spPr>
                            <a:xfrm>
                              <a:off x="0" y="0"/>
                              <a:ext cx="59436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8496B0" w:themeColor="text2" w:themeTint="99"/>
                                    <w:sz w:val="64"/>
                                    <w:szCs w:val="64"/>
                                  </w:rPr>
                                  <w:alias w:val="Title"/>
                                  <w:tag w:val=""/>
                                  <w:id w:val="797192764"/>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14:paraId="667E04A5" w14:textId="3FAD4ECD" w:rsidR="00E66C25" w:rsidRDefault="00E66C25">
                                    <w:pPr>
                                      <w:pStyle w:val="Bezrazmaka"/>
                                      <w:rPr>
                                        <w:rFonts w:asciiTheme="majorHAnsi" w:eastAsiaTheme="majorEastAsia" w:hAnsiTheme="majorHAnsi" w:cstheme="majorBidi"/>
                                        <w:caps/>
                                        <w:color w:val="8496B0" w:themeColor="text2" w:themeTint="99"/>
                                        <w:sz w:val="68"/>
                                        <w:szCs w:val="68"/>
                                      </w:rPr>
                                    </w:pPr>
                                    <w:r>
                                      <w:rPr>
                                        <w:rFonts w:asciiTheme="majorHAnsi" w:eastAsiaTheme="majorEastAsia" w:hAnsiTheme="majorHAnsi" w:cstheme="majorBidi"/>
                                        <w:caps/>
                                        <w:color w:val="8496B0" w:themeColor="text2" w:themeTint="99"/>
                                        <w:sz w:val="64"/>
                                        <w:szCs w:val="64"/>
                                      </w:rPr>
                                      <w:t>godišnji izvještaj o sprovođenju strategije razvoja zdravstva 2023-2027</w:t>
                                    </w:r>
                                  </w:p>
                                </w:sdtContent>
                              </w:sdt>
                              <w:p w14:paraId="0B852D79" w14:textId="1CE7E1F4" w:rsidR="00E66C25" w:rsidRDefault="000D3A5F">
                                <w:pPr>
                                  <w:pStyle w:val="Bezrazmaka"/>
                                  <w:spacing w:before="120"/>
                                  <w:rPr>
                                    <w:color w:val="4472C4" w:themeColor="accent1"/>
                                    <w:sz w:val="36"/>
                                    <w:szCs w:val="36"/>
                                  </w:rPr>
                                </w:pPr>
                                <w:sdt>
                                  <w:sdtPr>
                                    <w:rPr>
                                      <w:color w:val="4472C4" w:themeColor="accent1"/>
                                      <w:sz w:val="36"/>
                                      <w:szCs w:val="36"/>
                                    </w:rPr>
                                    <w:alias w:val="Subtitle"/>
                                    <w:tag w:val=""/>
                                    <w:id w:val="2021743002"/>
                                    <w:showingPlcHdr/>
                                    <w:dataBinding w:prefixMappings="xmlns:ns0='http://purl.org/dc/elements/1.1/' xmlns:ns1='http://schemas.openxmlformats.org/package/2006/metadata/core-properties' " w:xpath="/ns1:coreProperties[1]/ns0:subject[1]" w:storeItemID="{6C3C8BC8-F283-45AE-878A-BAB7291924A1}"/>
                                    <w:text/>
                                  </w:sdtPr>
                                  <w:sdtEndPr/>
                                  <w:sdtContent>
                                    <w:r w:rsidR="00E66C25">
                                      <w:rPr>
                                        <w:color w:val="4472C4" w:themeColor="accent1"/>
                                        <w:sz w:val="36"/>
                                        <w:szCs w:val="36"/>
                                      </w:rPr>
                                      <w:t xml:space="preserve">     </w:t>
                                    </w:r>
                                  </w:sdtContent>
                                </w:sdt>
                                <w:r w:rsidR="00E66C25">
                                  <w:rPr>
                                    <w:noProof/>
                                  </w:rPr>
                                  <w:t xml:space="preserve"> </w:t>
                                </w:r>
                              </w:p>
                              <w:p w14:paraId="0F2E3448" w14:textId="77777777" w:rsidR="00E66C25" w:rsidRDefault="00E66C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76500</wp14:pctWidth>
                    </wp14:sizeRelH>
                  </wp:anchor>
                </w:drawing>
              </mc:Choice>
              <mc:Fallback>
                <w:pict>
                  <v:shapetype w14:anchorId="3CF5C4E2" id="_x0000_t202" coordsize="21600,21600" o:spt="202" path="m,l,21600r21600,l21600,xe">
                    <v:stroke joinstyle="miter"/>
                    <v:path gradientshapeok="t" o:connecttype="rect"/>
                  </v:shapetype>
                  <v:shape id="Text Box 62" o:spid="_x0000_s1026" type="#_x0000_t202" style="position:absolute;margin-left:0;margin-top:0;width:468pt;height:1in;z-index:251660288;visibility:visible;mso-wrap-style:square;mso-width-percent:765;mso-wrap-distance-left:9pt;mso-wrap-distance-top:0;mso-wrap-distance-right:9pt;mso-wrap-distance-bottom:0;mso-position-horizontal:center;mso-position-horizontal-relative:page;mso-position-vertical:top;mso-position-vertical-relative:margin;mso-width-percent:765;mso-width-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" filled="f" stroked="f" strokeweight=".5pt">
                    <v:textbox style="mso-fit-shape-to-text:t">
                      <w:txbxContent>
                        <w:sdt>
                          <w:sdtPr>
                            <w:rPr>
                              <w:rFonts w:asciiTheme="majorHAnsi" w:eastAsiaTheme="majorEastAsia" w:hAnsiTheme="majorHAnsi" w:cstheme="majorBidi"/>
                              <w:caps/>
                              <w:color w:val="8496B0" w:themeColor="text2" w:themeTint="99"/>
                              <w:sz w:val="64"/>
                              <w:szCs w:val="64"/>
                            </w:rPr>
                            <w:alias w:val="Title"/>
                            <w:tag w:val=""/>
                            <w:id w:val="797192764"/>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14:paraId="667E04A5" w14:textId="3FAD4ECD" w:rsidR="00E66C25" w:rsidRDefault="00E66C25">
                              <w:pPr>
                                <w:pStyle w:val="Bezrazmaka"/>
                                <w:rPr>
                                  <w:rFonts w:asciiTheme="majorHAnsi" w:eastAsiaTheme="majorEastAsia" w:hAnsiTheme="majorHAnsi" w:cstheme="majorBidi"/>
                                  <w:caps/>
                                  <w:color w:val="8496B0" w:themeColor="text2" w:themeTint="99"/>
                                  <w:sz w:val="68"/>
                                  <w:szCs w:val="68"/>
                                </w:rPr>
                              </w:pPr>
                              <w:r>
                                <w:rPr>
                                  <w:rFonts w:asciiTheme="majorHAnsi" w:eastAsiaTheme="majorEastAsia" w:hAnsiTheme="majorHAnsi" w:cstheme="majorBidi"/>
                                  <w:caps/>
                                  <w:color w:val="8496B0" w:themeColor="text2" w:themeTint="99"/>
                                  <w:sz w:val="64"/>
                                  <w:szCs w:val="64"/>
                                </w:rPr>
                                <w:t>godišnji izvještaj o sprovođenju strategije razvoja zdravstva 2023-2027</w:t>
                              </w:r>
                            </w:p>
                          </w:sdtContent>
                        </w:sdt>
                        <w:p w14:paraId="0B852D79" w14:textId="1CE7E1F4" w:rsidR="00E66C25" w:rsidRDefault="000D3A5F">
                          <w:pPr>
                            <w:pStyle w:val="Bezrazmaka"/>
                            <w:spacing w:before="120"/>
                            <w:rPr>
                              <w:color w:val="4472C4" w:themeColor="accent1"/>
                              <w:sz w:val="36"/>
                              <w:szCs w:val="36"/>
                            </w:rPr>
                          </w:pPr>
                          <w:sdt>
                            <w:sdtPr>
                              <w:rPr>
                                <w:color w:val="4472C4" w:themeColor="accent1"/>
                                <w:sz w:val="36"/>
                                <w:szCs w:val="36"/>
                              </w:rPr>
                              <w:alias w:val="Subtitle"/>
                              <w:tag w:val=""/>
                              <w:id w:val="2021743002"/>
                              <w:showingPlcHdr/>
                              <w:dataBinding w:prefixMappings="xmlns:ns0='http://purl.org/dc/elements/1.1/' xmlns:ns1='http://schemas.openxmlformats.org/package/2006/metadata/core-properties' " w:xpath="/ns1:coreProperties[1]/ns0:subject[1]" w:storeItemID="{6C3C8BC8-F283-45AE-878A-BAB7291924A1}"/>
                              <w:text/>
                            </w:sdtPr>
                            <w:sdtEndPr/>
                            <w:sdtContent>
                              <w:r w:rsidR="00E66C25">
                                <w:rPr>
                                  <w:color w:val="4472C4" w:themeColor="accent1"/>
                                  <w:sz w:val="36"/>
                                  <w:szCs w:val="36"/>
                                </w:rPr>
                                <w:t xml:space="preserve">     </w:t>
                              </w:r>
                            </w:sdtContent>
                          </w:sdt>
                          <w:r w:rsidR="00E66C25">
                            <w:rPr>
                              <w:noProof/>
                            </w:rPr>
                            <w:t xml:space="preserve"> </w:t>
                          </w:r>
                        </w:p>
                        <w:p w14:paraId="0F2E3448" w14:textId="77777777" w:rsidR="00E66C25" w:rsidRDefault="00E66C25"/>
                      </w:txbxContent>
                    </v:textbox>
                    <w10:wrap anchorx="page" anchory="margin"/>
                  </v:shape>
                </w:pict>
              </mc:Fallback>
            </mc:AlternateContent>
          </w:r>
          <w:r w:rsidRPr="000152CB">
            <w:rPr>
              <w:noProof/>
              <w:color w:val="4472C4" w:themeColor="accent1"/>
              <w:sz w:val="36"/>
              <w:szCs w:val="36"/>
            </w:rPr>
            <mc:AlternateContent>
              <mc:Choice Requires="wpg">
                <w:drawing>
                  <wp:anchor distT="0" distB="0" distL="114300" distR="114300" simplePos="0" relativeHeight="251658240" behindDoc="1" locked="0" layoutInCell="1" allowOverlap="1" wp14:anchorId="744EF61C" wp14:editId="14447EC5">
                    <wp:simplePos x="0" y="0"/>
                    <mc:AlternateContent>
                      <mc:Choice Requires="wp14">
                        <wp:positionH relativeFrom="page">
                          <wp14:pctPosHOffset>22000</wp14:pctPosHOffset>
                        </wp:positionH>
                      </mc:Choice>
                      <mc:Fallback>
                        <wp:positionH relativeFrom="page">
                          <wp:posOffset>2212340</wp:posOffset>
                        </wp:positionH>
                      </mc:Fallback>
                    </mc:AlternateContent>
                    <mc:AlternateContent>
                      <mc:Choice Requires="wp14">
                        <wp:positionV relativeFrom="page">
                          <wp14:pctPosVOffset>30000</wp14:pctPosVOffset>
                        </wp:positionV>
                      </mc:Choice>
                      <mc:Fallback>
                        <wp:positionV relativeFrom="page">
                          <wp:posOffset>2331720</wp:posOffset>
                        </wp:positionV>
                      </mc:Fallback>
                    </mc:AlternateContent>
                    <wp:extent cx="5494369" cy="5696712"/>
                    <wp:effectExtent l="0" t="0" r="0" b="3175"/>
                    <wp:wrapNone/>
                    <wp:docPr id="63"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94369" cy="5696712"/>
                              <a:chOff x="0" y="0"/>
                              <a:chExt cx="4329113" cy="4491038"/>
                            </a:xfrm>
                            <a:solidFill>
                              <a:schemeClr val="tx2">
                                <a:lumMod val="60000"/>
                                <a:lumOff val="40000"/>
                              </a:schemeClr>
                            </a:solidFill>
                          </wpg:grpSpPr>
                          <wps:wsp>
                            <wps:cNvPr id="64" name="Freeform 64"/>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5" name="Freeform 65"/>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6" name="Freeform 66"/>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7" name="Freeform 67"/>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8" name="Freeform 68"/>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70600</wp14:pctWidth>
                    </wp14:sizeRelH>
                    <wp14:sizeRelV relativeFrom="page">
                      <wp14:pctHeight>56600</wp14:pctHeight>
                    </wp14:sizeRelV>
                  </wp:anchor>
                </w:drawing>
              </mc:Choice>
              <mc:Fallback>
                <w:pict>
                  <v:group w14:anchorId="5A20F0F7" id="Group 2" o:spid="_x0000_s1026" style="position:absolute;margin-left:0;margin-top:0;width:432.65pt;height:448.55pt;z-index:-251658240;mso-width-percent:706;mso-height-percent:566;mso-left-percent:220;mso-top-percent:300;mso-position-horizontal-relative:page;mso-position-vertical-relative:page;mso-width-percent:706;mso-height-percent:566;mso-left-percent:220;mso-top-percent:300"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">
                    <o:lock v:ext="edit" aspectratio="t"/>
                    <v:shape id="Freeform 64" o:spid="_x0000_s1027"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" path="m4,1786l,1782,1776,r5,5l4,1786xe" filled="f" stroked="f">
                      <v:path arrowok="t" o:connecttype="custom" o:connectlocs="6350,2835275;0,2828925;2819400,0;2827338,7938;6350,2835275" o:connectangles="0,0,0,0,0"/>
                    </v:shape>
                    <v:shape id="Freeform 65" o:spid="_x0000_s1028"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" path="m5,2234l,2229,2229,r5,5l5,2234xe" filled="f" stroked="f">
                      <v:path arrowok="t" o:connecttype="custom" o:connectlocs="7938,3546475;0,3538538;3538538,0;3546475,7938;7938,3546475" o:connectangles="0,0,0,0,0"/>
                    </v:shape>
                    <v:shape id="Freeform 66" o:spid="_x0000_s1029"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" path="m9,2197l,2193,2188,r9,10l9,2197xe" filled="f" stroked="f">
                      <v:path arrowok="t" o:connecttype="custom" o:connectlocs="14288,3487738;0,3481388;3473450,0;3487738,15875;14288,3487738" o:connectangles="0,0,0,0,0"/>
                    </v:shape>
                    <v:shape id="Freeform 67" o:spid="_x0000_s1030"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" path="m9,1966l,1957,1952,r9,9l9,1966xe" filled="f" stroked="f">
                      <v:path arrowok="t" o:connecttype="custom" o:connectlocs="14288,3121025;0,3106738;3098800,0;3113088,14288;14288,3121025" o:connectangles="0,0,0,0,0"/>
                    </v:shape>
                    <v:shape id="Freeform 68" o:spid="_x0000_s1031"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" path="m,2732r,-4l2722,r5,5l,2732xe" filled="f" stroked="f">
                      <v:path arrowok="t" o:connecttype="custom" o:connectlocs="0,4337050;0,4330700;4321175,0;4329113,7938;0,4337050" o:connectangles="0,0,0,0,0"/>
                    </v:shape>
                    <w10:wrap anchorx="page" anchory="page"/>
                  </v:group>
                </w:pict>
              </mc:Fallback>
            </mc:AlternateContent>
          </w:r>
        </w:p>
        <w:p w14:paraId="73AC9590" w14:textId="1D2FB1DC" w:rsidR="00D25E12" w:rsidRPr="000152CB" w:rsidRDefault="00D25E12">
          <w:pPr>
            <w:rPr>
              <w:rFonts w:asciiTheme="majorHAnsi" w:eastAsiaTheme="majorEastAsia" w:hAnsiTheme="majorHAnsi" w:cstheme="majorBidi"/>
              <w:color w:val="2F5496" w:themeColor="accent1" w:themeShade="BF"/>
              <w:sz w:val="32"/>
              <w:szCs w:val="32"/>
            </w:rPr>
          </w:pPr>
          <w:r w:rsidRPr="000152CB">
            <w:rPr>
              <w:rFonts w:asciiTheme="majorHAnsi" w:eastAsiaTheme="majorEastAsia" w:hAnsiTheme="majorHAnsi" w:cstheme="majorBidi"/>
              <w:color w:val="2F5496" w:themeColor="accent1" w:themeShade="BF"/>
              <w:sz w:val="32"/>
              <w:szCs w:val="32"/>
            </w:rPr>
            <w:br w:type="page"/>
          </w:r>
        </w:p>
      </w:sdtContent>
    </w:sdt>
    <w:sdt>
      <w:sdtPr>
        <w:rPr>
          <w:rFonts w:asciiTheme="minorHAnsi" w:eastAsiaTheme="minorHAnsi" w:hAnsiTheme="minorHAnsi" w:cstheme="minorBidi"/>
          <w:color w:val="auto"/>
          <w:sz w:val="22"/>
          <w:szCs w:val="22"/>
          <w:lang w:val="bs-Latn-BA"/>
        </w:rPr>
        <w:id w:val="-696840436"/>
        <w:docPartObj>
          <w:docPartGallery w:val="Table of Contents"/>
          <w:docPartUnique/>
        </w:docPartObj>
      </w:sdtPr>
      <w:sdtEndPr>
        <w:rPr>
          <w:b/>
          <w:bCs/>
          <w:noProof/>
        </w:rPr>
      </w:sdtEndPr>
      <w:sdtContent>
        <w:p w14:paraId="7C775535" w14:textId="73AB3603" w:rsidR="00D25E12" w:rsidRPr="000152CB" w:rsidRDefault="002505AB">
          <w:pPr>
            <w:pStyle w:val="Naslovsadraja"/>
            <w:rPr>
              <w:lang w:val="bs-Latn-BA"/>
            </w:rPr>
          </w:pPr>
          <w:r w:rsidRPr="000152CB">
            <w:rPr>
              <w:lang w:val="bs-Latn-BA"/>
            </w:rPr>
            <w:t>SAD</w:t>
          </w:r>
          <w:r w:rsidR="00115952" w:rsidRPr="000152CB">
            <w:rPr>
              <w:lang w:val="bs-Latn-BA"/>
            </w:rPr>
            <w:t>RŽAJ:</w:t>
          </w:r>
        </w:p>
        <w:p w14:paraId="6B194F89" w14:textId="02A01662" w:rsidR="002505AB" w:rsidRPr="000152CB" w:rsidRDefault="00D25E12">
          <w:pPr>
            <w:pStyle w:val="SADRAJ1"/>
            <w:tabs>
              <w:tab w:val="right" w:leader="dot" w:pos="12950"/>
            </w:tabs>
            <w:rPr>
              <w:rFonts w:eastAsiaTheme="minorEastAsia"/>
              <w:noProof/>
              <w:lang w:val="bs-Latn-BA"/>
            </w:rPr>
          </w:pPr>
          <w:r w:rsidRPr="000152CB">
            <w:rPr>
              <w:lang w:val="bs-Latn-BA"/>
            </w:rPr>
            <w:fldChar w:fldCharType="begin"/>
          </w:r>
          <w:r w:rsidRPr="000152CB">
            <w:rPr>
              <w:lang w:val="bs-Latn-BA"/>
            </w:rPr>
            <w:instrText xml:space="preserve"> TOC \o "1-3" \h \z \u </w:instrText>
          </w:r>
          <w:r w:rsidRPr="000152CB">
            <w:rPr>
              <w:lang w:val="bs-Latn-BA"/>
            </w:rPr>
            <w:fldChar w:fldCharType="separate"/>
          </w:r>
          <w:hyperlink w:anchor="_Toc202039240" w:history="1">
            <w:r w:rsidR="002505AB" w:rsidRPr="000152CB">
              <w:rPr>
                <w:rStyle w:val="Hiperveza"/>
                <w:noProof/>
                <w:lang w:val="bs-Latn-BA"/>
              </w:rPr>
              <w:t>I UVODNI REZIME</w:t>
            </w:r>
            <w:r w:rsidR="002505AB" w:rsidRPr="000152CB">
              <w:rPr>
                <w:noProof/>
                <w:webHidden/>
                <w:lang w:val="bs-Latn-BA"/>
              </w:rPr>
              <w:tab/>
            </w:r>
            <w:r w:rsidR="002505AB" w:rsidRPr="000152CB">
              <w:rPr>
                <w:noProof/>
                <w:webHidden/>
                <w:lang w:val="bs-Latn-BA"/>
              </w:rPr>
              <w:fldChar w:fldCharType="begin"/>
            </w:r>
            <w:r w:rsidR="002505AB" w:rsidRPr="000152CB">
              <w:rPr>
                <w:noProof/>
                <w:webHidden/>
                <w:lang w:val="bs-Latn-BA"/>
              </w:rPr>
              <w:instrText xml:space="preserve"> PAGEREF _Toc202039240 \h </w:instrText>
            </w:r>
            <w:r w:rsidR="002505AB" w:rsidRPr="000152CB">
              <w:rPr>
                <w:noProof/>
                <w:webHidden/>
                <w:lang w:val="bs-Latn-BA"/>
              </w:rPr>
            </w:r>
            <w:r w:rsidR="002505AB" w:rsidRPr="000152CB">
              <w:rPr>
                <w:noProof/>
                <w:webHidden/>
                <w:lang w:val="bs-Latn-BA"/>
              </w:rPr>
              <w:fldChar w:fldCharType="separate"/>
            </w:r>
            <w:r w:rsidR="002505AB" w:rsidRPr="000152CB">
              <w:rPr>
                <w:noProof/>
                <w:webHidden/>
                <w:lang w:val="bs-Latn-BA"/>
              </w:rPr>
              <w:t>3</w:t>
            </w:r>
            <w:r w:rsidR="002505AB" w:rsidRPr="000152CB">
              <w:rPr>
                <w:noProof/>
                <w:webHidden/>
                <w:lang w:val="bs-Latn-BA"/>
              </w:rPr>
              <w:fldChar w:fldCharType="end"/>
            </w:r>
          </w:hyperlink>
        </w:p>
        <w:p w14:paraId="450D338E" w14:textId="20F33603" w:rsidR="002505AB" w:rsidRPr="000152CB" w:rsidRDefault="000D3A5F">
          <w:pPr>
            <w:pStyle w:val="SADRAJ1"/>
            <w:tabs>
              <w:tab w:val="right" w:leader="dot" w:pos="12950"/>
            </w:tabs>
            <w:rPr>
              <w:rFonts w:eastAsiaTheme="minorEastAsia"/>
              <w:noProof/>
              <w:lang w:val="bs-Latn-BA"/>
            </w:rPr>
          </w:pPr>
          <w:hyperlink w:anchor="_Toc202039241" w:history="1">
            <w:r w:rsidR="002505AB" w:rsidRPr="000152CB">
              <w:rPr>
                <w:rStyle w:val="Hiperveza"/>
                <w:noProof/>
                <w:lang w:val="bs-Latn-BA"/>
              </w:rPr>
              <w:t>II KLUČNA DOSTIGNUĆA</w:t>
            </w:r>
            <w:r w:rsidR="002505AB" w:rsidRPr="000152CB">
              <w:rPr>
                <w:noProof/>
                <w:webHidden/>
                <w:lang w:val="bs-Latn-BA"/>
              </w:rPr>
              <w:tab/>
            </w:r>
            <w:r w:rsidR="002505AB" w:rsidRPr="000152CB">
              <w:rPr>
                <w:noProof/>
                <w:webHidden/>
                <w:lang w:val="bs-Latn-BA"/>
              </w:rPr>
              <w:fldChar w:fldCharType="begin"/>
            </w:r>
            <w:r w:rsidR="002505AB" w:rsidRPr="000152CB">
              <w:rPr>
                <w:noProof/>
                <w:webHidden/>
                <w:lang w:val="bs-Latn-BA"/>
              </w:rPr>
              <w:instrText xml:space="preserve"> PAGEREF _Toc202039241 \h </w:instrText>
            </w:r>
            <w:r w:rsidR="002505AB" w:rsidRPr="000152CB">
              <w:rPr>
                <w:noProof/>
                <w:webHidden/>
                <w:lang w:val="bs-Latn-BA"/>
              </w:rPr>
            </w:r>
            <w:r w:rsidR="002505AB" w:rsidRPr="000152CB">
              <w:rPr>
                <w:noProof/>
                <w:webHidden/>
                <w:lang w:val="bs-Latn-BA"/>
              </w:rPr>
              <w:fldChar w:fldCharType="separate"/>
            </w:r>
            <w:r w:rsidR="002505AB" w:rsidRPr="000152CB">
              <w:rPr>
                <w:noProof/>
                <w:webHidden/>
                <w:lang w:val="bs-Latn-BA"/>
              </w:rPr>
              <w:t>8</w:t>
            </w:r>
            <w:r w:rsidR="002505AB" w:rsidRPr="000152CB">
              <w:rPr>
                <w:noProof/>
                <w:webHidden/>
                <w:lang w:val="bs-Latn-BA"/>
              </w:rPr>
              <w:fldChar w:fldCharType="end"/>
            </w:r>
          </w:hyperlink>
        </w:p>
        <w:p w14:paraId="267FA0EF" w14:textId="1C08AE3D" w:rsidR="002505AB" w:rsidRPr="000152CB" w:rsidRDefault="000D3A5F">
          <w:pPr>
            <w:pStyle w:val="SADRAJ2"/>
            <w:tabs>
              <w:tab w:val="right" w:leader="dot" w:pos="12950"/>
            </w:tabs>
            <w:rPr>
              <w:rFonts w:eastAsiaTheme="minorEastAsia"/>
              <w:noProof/>
            </w:rPr>
          </w:pPr>
          <w:hyperlink w:anchor="_Toc202039242" w:history="1">
            <w:r w:rsidR="002505AB" w:rsidRPr="000152CB">
              <w:rPr>
                <w:rStyle w:val="Hiperveza"/>
                <w:noProof/>
              </w:rPr>
              <w:t>OBLAST I</w:t>
            </w:r>
            <w:r w:rsidR="002505AB" w:rsidRPr="000152CB">
              <w:rPr>
                <w:noProof/>
                <w:webHidden/>
              </w:rPr>
              <w:tab/>
            </w:r>
            <w:r w:rsidR="002505AB" w:rsidRPr="000152CB">
              <w:rPr>
                <w:noProof/>
                <w:webHidden/>
              </w:rPr>
              <w:fldChar w:fldCharType="begin"/>
            </w:r>
            <w:r w:rsidR="002505AB" w:rsidRPr="000152CB">
              <w:rPr>
                <w:noProof/>
                <w:webHidden/>
              </w:rPr>
              <w:instrText xml:space="preserve"> PAGEREF _Toc202039242 \h </w:instrText>
            </w:r>
            <w:r w:rsidR="002505AB" w:rsidRPr="000152CB">
              <w:rPr>
                <w:noProof/>
                <w:webHidden/>
              </w:rPr>
            </w:r>
            <w:r w:rsidR="002505AB" w:rsidRPr="000152CB">
              <w:rPr>
                <w:noProof/>
                <w:webHidden/>
              </w:rPr>
              <w:fldChar w:fldCharType="separate"/>
            </w:r>
            <w:r w:rsidR="002505AB" w:rsidRPr="000152CB">
              <w:rPr>
                <w:noProof/>
                <w:webHidden/>
              </w:rPr>
              <w:t>8</w:t>
            </w:r>
            <w:r w:rsidR="002505AB" w:rsidRPr="000152CB">
              <w:rPr>
                <w:noProof/>
                <w:webHidden/>
              </w:rPr>
              <w:fldChar w:fldCharType="end"/>
            </w:r>
          </w:hyperlink>
        </w:p>
        <w:p w14:paraId="094DBC35" w14:textId="61CD757C" w:rsidR="002505AB" w:rsidRPr="000152CB" w:rsidRDefault="000D3A5F">
          <w:pPr>
            <w:pStyle w:val="SADRAJ2"/>
            <w:tabs>
              <w:tab w:val="right" w:leader="dot" w:pos="12950"/>
            </w:tabs>
            <w:rPr>
              <w:rFonts w:eastAsiaTheme="minorEastAsia"/>
              <w:noProof/>
            </w:rPr>
          </w:pPr>
          <w:hyperlink w:anchor="_Toc202039243" w:history="1">
            <w:r w:rsidR="002505AB" w:rsidRPr="000152CB">
              <w:rPr>
                <w:rStyle w:val="Hiperveza"/>
                <w:noProof/>
              </w:rPr>
              <w:t>OBLAST II</w:t>
            </w:r>
            <w:r w:rsidR="002505AB" w:rsidRPr="000152CB">
              <w:rPr>
                <w:noProof/>
                <w:webHidden/>
              </w:rPr>
              <w:tab/>
            </w:r>
            <w:r w:rsidR="002505AB" w:rsidRPr="000152CB">
              <w:rPr>
                <w:noProof/>
                <w:webHidden/>
              </w:rPr>
              <w:fldChar w:fldCharType="begin"/>
            </w:r>
            <w:r w:rsidR="002505AB" w:rsidRPr="000152CB">
              <w:rPr>
                <w:noProof/>
                <w:webHidden/>
              </w:rPr>
              <w:instrText xml:space="preserve"> PAGEREF _Toc202039243 \h </w:instrText>
            </w:r>
            <w:r w:rsidR="002505AB" w:rsidRPr="000152CB">
              <w:rPr>
                <w:noProof/>
                <w:webHidden/>
              </w:rPr>
            </w:r>
            <w:r w:rsidR="002505AB" w:rsidRPr="000152CB">
              <w:rPr>
                <w:noProof/>
                <w:webHidden/>
              </w:rPr>
              <w:fldChar w:fldCharType="separate"/>
            </w:r>
            <w:r w:rsidR="002505AB" w:rsidRPr="000152CB">
              <w:rPr>
                <w:noProof/>
                <w:webHidden/>
              </w:rPr>
              <w:t>11</w:t>
            </w:r>
            <w:r w:rsidR="002505AB" w:rsidRPr="000152CB">
              <w:rPr>
                <w:noProof/>
                <w:webHidden/>
              </w:rPr>
              <w:fldChar w:fldCharType="end"/>
            </w:r>
          </w:hyperlink>
        </w:p>
        <w:p w14:paraId="0639E665" w14:textId="13217848" w:rsidR="002505AB" w:rsidRPr="000152CB" w:rsidRDefault="000D3A5F">
          <w:pPr>
            <w:pStyle w:val="SADRAJ2"/>
            <w:tabs>
              <w:tab w:val="right" w:leader="dot" w:pos="12950"/>
            </w:tabs>
            <w:rPr>
              <w:rFonts w:eastAsiaTheme="minorEastAsia"/>
              <w:noProof/>
            </w:rPr>
          </w:pPr>
          <w:hyperlink w:anchor="_Toc202039244" w:history="1">
            <w:r w:rsidR="002505AB" w:rsidRPr="000152CB">
              <w:rPr>
                <w:rStyle w:val="Hiperveza"/>
                <w:noProof/>
              </w:rPr>
              <w:t>OBLAST III</w:t>
            </w:r>
            <w:r w:rsidR="002505AB" w:rsidRPr="000152CB">
              <w:rPr>
                <w:noProof/>
                <w:webHidden/>
              </w:rPr>
              <w:tab/>
            </w:r>
            <w:r w:rsidR="002505AB" w:rsidRPr="000152CB">
              <w:rPr>
                <w:noProof/>
                <w:webHidden/>
              </w:rPr>
              <w:fldChar w:fldCharType="begin"/>
            </w:r>
            <w:r w:rsidR="002505AB" w:rsidRPr="000152CB">
              <w:rPr>
                <w:noProof/>
                <w:webHidden/>
              </w:rPr>
              <w:instrText xml:space="preserve"> PAGEREF _Toc202039244 \h </w:instrText>
            </w:r>
            <w:r w:rsidR="002505AB" w:rsidRPr="000152CB">
              <w:rPr>
                <w:noProof/>
                <w:webHidden/>
              </w:rPr>
            </w:r>
            <w:r w:rsidR="002505AB" w:rsidRPr="000152CB">
              <w:rPr>
                <w:noProof/>
                <w:webHidden/>
              </w:rPr>
              <w:fldChar w:fldCharType="separate"/>
            </w:r>
            <w:r w:rsidR="002505AB" w:rsidRPr="000152CB">
              <w:rPr>
                <w:noProof/>
                <w:webHidden/>
              </w:rPr>
              <w:t>12</w:t>
            </w:r>
            <w:r w:rsidR="002505AB" w:rsidRPr="000152CB">
              <w:rPr>
                <w:noProof/>
                <w:webHidden/>
              </w:rPr>
              <w:fldChar w:fldCharType="end"/>
            </w:r>
          </w:hyperlink>
        </w:p>
        <w:p w14:paraId="76485973" w14:textId="270ABD80" w:rsidR="002505AB" w:rsidRPr="000152CB" w:rsidRDefault="000D3A5F">
          <w:pPr>
            <w:pStyle w:val="SADRAJ2"/>
            <w:tabs>
              <w:tab w:val="right" w:leader="dot" w:pos="12950"/>
            </w:tabs>
            <w:rPr>
              <w:rFonts w:eastAsiaTheme="minorEastAsia"/>
              <w:noProof/>
            </w:rPr>
          </w:pPr>
          <w:hyperlink w:anchor="_Toc202039245" w:history="1">
            <w:r w:rsidR="002505AB" w:rsidRPr="000152CB">
              <w:rPr>
                <w:rStyle w:val="Hiperveza"/>
                <w:noProof/>
              </w:rPr>
              <w:t>OBLAST IV</w:t>
            </w:r>
            <w:r w:rsidR="002505AB" w:rsidRPr="000152CB">
              <w:rPr>
                <w:noProof/>
                <w:webHidden/>
              </w:rPr>
              <w:tab/>
            </w:r>
            <w:r w:rsidR="002505AB" w:rsidRPr="000152CB">
              <w:rPr>
                <w:noProof/>
                <w:webHidden/>
              </w:rPr>
              <w:fldChar w:fldCharType="begin"/>
            </w:r>
            <w:r w:rsidR="002505AB" w:rsidRPr="000152CB">
              <w:rPr>
                <w:noProof/>
                <w:webHidden/>
              </w:rPr>
              <w:instrText xml:space="preserve"> PAGEREF _Toc202039245 \h </w:instrText>
            </w:r>
            <w:r w:rsidR="002505AB" w:rsidRPr="000152CB">
              <w:rPr>
                <w:noProof/>
                <w:webHidden/>
              </w:rPr>
            </w:r>
            <w:r w:rsidR="002505AB" w:rsidRPr="000152CB">
              <w:rPr>
                <w:noProof/>
                <w:webHidden/>
              </w:rPr>
              <w:fldChar w:fldCharType="separate"/>
            </w:r>
            <w:r w:rsidR="002505AB" w:rsidRPr="000152CB">
              <w:rPr>
                <w:noProof/>
                <w:webHidden/>
              </w:rPr>
              <w:t>13</w:t>
            </w:r>
            <w:r w:rsidR="002505AB" w:rsidRPr="000152CB">
              <w:rPr>
                <w:noProof/>
                <w:webHidden/>
              </w:rPr>
              <w:fldChar w:fldCharType="end"/>
            </w:r>
          </w:hyperlink>
        </w:p>
        <w:p w14:paraId="509C89C9" w14:textId="2325B1C8" w:rsidR="002505AB" w:rsidRPr="000152CB" w:rsidRDefault="000D3A5F">
          <w:pPr>
            <w:pStyle w:val="SADRAJ2"/>
            <w:tabs>
              <w:tab w:val="right" w:leader="dot" w:pos="12950"/>
            </w:tabs>
            <w:rPr>
              <w:rFonts w:eastAsiaTheme="minorEastAsia"/>
              <w:noProof/>
            </w:rPr>
          </w:pPr>
          <w:hyperlink w:anchor="_Toc202039246" w:history="1">
            <w:r w:rsidR="002505AB" w:rsidRPr="000152CB">
              <w:rPr>
                <w:rStyle w:val="Hiperveza"/>
                <w:noProof/>
              </w:rPr>
              <w:t>OBLAST V</w:t>
            </w:r>
            <w:r w:rsidR="002505AB" w:rsidRPr="000152CB">
              <w:rPr>
                <w:noProof/>
                <w:webHidden/>
              </w:rPr>
              <w:tab/>
            </w:r>
            <w:r w:rsidR="002505AB" w:rsidRPr="000152CB">
              <w:rPr>
                <w:noProof/>
                <w:webHidden/>
              </w:rPr>
              <w:fldChar w:fldCharType="begin"/>
            </w:r>
            <w:r w:rsidR="002505AB" w:rsidRPr="000152CB">
              <w:rPr>
                <w:noProof/>
                <w:webHidden/>
              </w:rPr>
              <w:instrText xml:space="preserve"> PAGEREF _Toc202039246 \h </w:instrText>
            </w:r>
            <w:r w:rsidR="002505AB" w:rsidRPr="000152CB">
              <w:rPr>
                <w:noProof/>
                <w:webHidden/>
              </w:rPr>
            </w:r>
            <w:r w:rsidR="002505AB" w:rsidRPr="000152CB">
              <w:rPr>
                <w:noProof/>
                <w:webHidden/>
              </w:rPr>
              <w:fldChar w:fldCharType="separate"/>
            </w:r>
            <w:r w:rsidR="002505AB" w:rsidRPr="000152CB">
              <w:rPr>
                <w:noProof/>
                <w:webHidden/>
              </w:rPr>
              <w:t>15</w:t>
            </w:r>
            <w:r w:rsidR="002505AB" w:rsidRPr="000152CB">
              <w:rPr>
                <w:noProof/>
                <w:webHidden/>
              </w:rPr>
              <w:fldChar w:fldCharType="end"/>
            </w:r>
          </w:hyperlink>
        </w:p>
        <w:p w14:paraId="205ECB59" w14:textId="7AE67E9C" w:rsidR="002505AB" w:rsidRPr="000152CB" w:rsidRDefault="000D3A5F">
          <w:pPr>
            <w:pStyle w:val="SADRAJ2"/>
            <w:tabs>
              <w:tab w:val="right" w:leader="dot" w:pos="12950"/>
            </w:tabs>
            <w:rPr>
              <w:rFonts w:eastAsiaTheme="minorEastAsia"/>
              <w:noProof/>
            </w:rPr>
          </w:pPr>
          <w:hyperlink w:anchor="_Toc202039247" w:history="1">
            <w:r w:rsidR="002505AB" w:rsidRPr="000152CB">
              <w:rPr>
                <w:rStyle w:val="Hiperveza"/>
                <w:noProof/>
              </w:rPr>
              <w:t>OBLAST VI</w:t>
            </w:r>
            <w:r w:rsidR="002505AB" w:rsidRPr="000152CB">
              <w:rPr>
                <w:noProof/>
                <w:webHidden/>
              </w:rPr>
              <w:tab/>
            </w:r>
            <w:r w:rsidR="002505AB" w:rsidRPr="000152CB">
              <w:rPr>
                <w:noProof/>
                <w:webHidden/>
              </w:rPr>
              <w:fldChar w:fldCharType="begin"/>
            </w:r>
            <w:r w:rsidR="002505AB" w:rsidRPr="000152CB">
              <w:rPr>
                <w:noProof/>
                <w:webHidden/>
              </w:rPr>
              <w:instrText xml:space="preserve"> PAGEREF _Toc202039247 \h </w:instrText>
            </w:r>
            <w:r w:rsidR="002505AB" w:rsidRPr="000152CB">
              <w:rPr>
                <w:noProof/>
                <w:webHidden/>
              </w:rPr>
            </w:r>
            <w:r w:rsidR="002505AB" w:rsidRPr="000152CB">
              <w:rPr>
                <w:noProof/>
                <w:webHidden/>
              </w:rPr>
              <w:fldChar w:fldCharType="separate"/>
            </w:r>
            <w:r w:rsidR="002505AB" w:rsidRPr="000152CB">
              <w:rPr>
                <w:noProof/>
                <w:webHidden/>
              </w:rPr>
              <w:t>17</w:t>
            </w:r>
            <w:r w:rsidR="002505AB" w:rsidRPr="000152CB">
              <w:rPr>
                <w:noProof/>
                <w:webHidden/>
              </w:rPr>
              <w:fldChar w:fldCharType="end"/>
            </w:r>
          </w:hyperlink>
        </w:p>
        <w:p w14:paraId="6FABDB50" w14:textId="0B0931EC" w:rsidR="002505AB" w:rsidRPr="000152CB" w:rsidRDefault="000D3A5F">
          <w:pPr>
            <w:pStyle w:val="SADRAJ2"/>
            <w:tabs>
              <w:tab w:val="right" w:leader="dot" w:pos="12950"/>
            </w:tabs>
            <w:rPr>
              <w:rFonts w:eastAsiaTheme="minorEastAsia"/>
              <w:noProof/>
            </w:rPr>
          </w:pPr>
          <w:hyperlink w:anchor="_Toc202039248" w:history="1">
            <w:r w:rsidR="002505AB" w:rsidRPr="000152CB">
              <w:rPr>
                <w:rStyle w:val="Hiperveza"/>
                <w:noProof/>
              </w:rPr>
              <w:t>OBLAST VII</w:t>
            </w:r>
            <w:r w:rsidR="002505AB" w:rsidRPr="000152CB">
              <w:rPr>
                <w:noProof/>
                <w:webHidden/>
              </w:rPr>
              <w:tab/>
            </w:r>
            <w:r w:rsidR="002505AB" w:rsidRPr="000152CB">
              <w:rPr>
                <w:noProof/>
                <w:webHidden/>
              </w:rPr>
              <w:fldChar w:fldCharType="begin"/>
            </w:r>
            <w:r w:rsidR="002505AB" w:rsidRPr="000152CB">
              <w:rPr>
                <w:noProof/>
                <w:webHidden/>
              </w:rPr>
              <w:instrText xml:space="preserve"> PAGEREF _Toc202039248 \h </w:instrText>
            </w:r>
            <w:r w:rsidR="002505AB" w:rsidRPr="000152CB">
              <w:rPr>
                <w:noProof/>
                <w:webHidden/>
              </w:rPr>
            </w:r>
            <w:r w:rsidR="002505AB" w:rsidRPr="000152CB">
              <w:rPr>
                <w:noProof/>
                <w:webHidden/>
              </w:rPr>
              <w:fldChar w:fldCharType="separate"/>
            </w:r>
            <w:r w:rsidR="002505AB" w:rsidRPr="000152CB">
              <w:rPr>
                <w:noProof/>
                <w:webHidden/>
              </w:rPr>
              <w:t>18</w:t>
            </w:r>
            <w:r w:rsidR="002505AB" w:rsidRPr="000152CB">
              <w:rPr>
                <w:noProof/>
                <w:webHidden/>
              </w:rPr>
              <w:fldChar w:fldCharType="end"/>
            </w:r>
          </w:hyperlink>
        </w:p>
        <w:p w14:paraId="2F097EEE" w14:textId="59BA83AE" w:rsidR="002505AB" w:rsidRPr="000152CB" w:rsidRDefault="000D3A5F">
          <w:pPr>
            <w:pStyle w:val="SADRAJ2"/>
            <w:tabs>
              <w:tab w:val="right" w:leader="dot" w:pos="12950"/>
            </w:tabs>
            <w:rPr>
              <w:rFonts w:eastAsiaTheme="minorEastAsia"/>
              <w:noProof/>
            </w:rPr>
          </w:pPr>
          <w:hyperlink w:anchor="_Toc202039249" w:history="1">
            <w:r w:rsidR="002505AB" w:rsidRPr="000152CB">
              <w:rPr>
                <w:rStyle w:val="Hiperveza"/>
                <w:noProof/>
              </w:rPr>
              <w:t>OBLAST VIII</w:t>
            </w:r>
            <w:r w:rsidR="002505AB" w:rsidRPr="000152CB">
              <w:rPr>
                <w:noProof/>
                <w:webHidden/>
              </w:rPr>
              <w:tab/>
            </w:r>
            <w:r w:rsidR="002505AB" w:rsidRPr="000152CB">
              <w:rPr>
                <w:noProof/>
                <w:webHidden/>
              </w:rPr>
              <w:fldChar w:fldCharType="begin"/>
            </w:r>
            <w:r w:rsidR="002505AB" w:rsidRPr="000152CB">
              <w:rPr>
                <w:noProof/>
                <w:webHidden/>
              </w:rPr>
              <w:instrText xml:space="preserve"> PAGEREF _Toc202039249 \h </w:instrText>
            </w:r>
            <w:r w:rsidR="002505AB" w:rsidRPr="000152CB">
              <w:rPr>
                <w:noProof/>
                <w:webHidden/>
              </w:rPr>
            </w:r>
            <w:r w:rsidR="002505AB" w:rsidRPr="000152CB">
              <w:rPr>
                <w:noProof/>
                <w:webHidden/>
              </w:rPr>
              <w:fldChar w:fldCharType="separate"/>
            </w:r>
            <w:r w:rsidR="002505AB" w:rsidRPr="000152CB">
              <w:rPr>
                <w:noProof/>
                <w:webHidden/>
              </w:rPr>
              <w:t>20</w:t>
            </w:r>
            <w:r w:rsidR="002505AB" w:rsidRPr="000152CB">
              <w:rPr>
                <w:noProof/>
                <w:webHidden/>
              </w:rPr>
              <w:fldChar w:fldCharType="end"/>
            </w:r>
          </w:hyperlink>
        </w:p>
        <w:p w14:paraId="1A573579" w14:textId="3B67D6EF" w:rsidR="002505AB" w:rsidRPr="000152CB" w:rsidRDefault="000D3A5F">
          <w:pPr>
            <w:pStyle w:val="SADRAJ2"/>
            <w:tabs>
              <w:tab w:val="right" w:leader="dot" w:pos="12950"/>
            </w:tabs>
            <w:rPr>
              <w:rFonts w:eastAsiaTheme="minorEastAsia"/>
              <w:noProof/>
            </w:rPr>
          </w:pPr>
          <w:hyperlink w:anchor="_Toc202039250" w:history="1">
            <w:r w:rsidR="002505AB" w:rsidRPr="000152CB">
              <w:rPr>
                <w:rStyle w:val="Hiperveza"/>
                <w:noProof/>
              </w:rPr>
              <w:t>OBLAST IX:</w:t>
            </w:r>
            <w:r w:rsidR="002505AB" w:rsidRPr="000152CB">
              <w:rPr>
                <w:noProof/>
                <w:webHidden/>
              </w:rPr>
              <w:tab/>
            </w:r>
            <w:r w:rsidR="002505AB" w:rsidRPr="000152CB">
              <w:rPr>
                <w:noProof/>
                <w:webHidden/>
              </w:rPr>
              <w:fldChar w:fldCharType="begin"/>
            </w:r>
            <w:r w:rsidR="002505AB" w:rsidRPr="000152CB">
              <w:rPr>
                <w:noProof/>
                <w:webHidden/>
              </w:rPr>
              <w:instrText xml:space="preserve"> PAGEREF _Toc202039250 \h </w:instrText>
            </w:r>
            <w:r w:rsidR="002505AB" w:rsidRPr="000152CB">
              <w:rPr>
                <w:noProof/>
                <w:webHidden/>
              </w:rPr>
            </w:r>
            <w:r w:rsidR="002505AB" w:rsidRPr="000152CB">
              <w:rPr>
                <w:noProof/>
                <w:webHidden/>
              </w:rPr>
              <w:fldChar w:fldCharType="separate"/>
            </w:r>
            <w:r w:rsidR="002505AB" w:rsidRPr="000152CB">
              <w:rPr>
                <w:noProof/>
                <w:webHidden/>
              </w:rPr>
              <w:t>21</w:t>
            </w:r>
            <w:r w:rsidR="002505AB" w:rsidRPr="000152CB">
              <w:rPr>
                <w:noProof/>
                <w:webHidden/>
              </w:rPr>
              <w:fldChar w:fldCharType="end"/>
            </w:r>
          </w:hyperlink>
        </w:p>
        <w:p w14:paraId="1EAB2199" w14:textId="6F69EA6B" w:rsidR="002505AB" w:rsidRPr="000152CB" w:rsidRDefault="000D3A5F">
          <w:pPr>
            <w:pStyle w:val="SADRAJ2"/>
            <w:tabs>
              <w:tab w:val="right" w:leader="dot" w:pos="12950"/>
            </w:tabs>
            <w:rPr>
              <w:rFonts w:eastAsiaTheme="minorEastAsia"/>
              <w:noProof/>
            </w:rPr>
          </w:pPr>
          <w:hyperlink w:anchor="_Toc202039251" w:history="1">
            <w:r w:rsidR="002505AB" w:rsidRPr="000152CB">
              <w:rPr>
                <w:rStyle w:val="Hiperveza"/>
                <w:noProof/>
              </w:rPr>
              <w:t>OBLAST X</w:t>
            </w:r>
            <w:r w:rsidR="002505AB" w:rsidRPr="000152CB">
              <w:rPr>
                <w:noProof/>
                <w:webHidden/>
              </w:rPr>
              <w:tab/>
            </w:r>
            <w:r w:rsidR="002505AB" w:rsidRPr="000152CB">
              <w:rPr>
                <w:noProof/>
                <w:webHidden/>
              </w:rPr>
              <w:fldChar w:fldCharType="begin"/>
            </w:r>
            <w:r w:rsidR="002505AB" w:rsidRPr="000152CB">
              <w:rPr>
                <w:noProof/>
                <w:webHidden/>
              </w:rPr>
              <w:instrText xml:space="preserve"> PAGEREF _Toc202039251 \h </w:instrText>
            </w:r>
            <w:r w:rsidR="002505AB" w:rsidRPr="000152CB">
              <w:rPr>
                <w:noProof/>
                <w:webHidden/>
              </w:rPr>
            </w:r>
            <w:r w:rsidR="002505AB" w:rsidRPr="000152CB">
              <w:rPr>
                <w:noProof/>
                <w:webHidden/>
              </w:rPr>
              <w:fldChar w:fldCharType="separate"/>
            </w:r>
            <w:r w:rsidR="002505AB" w:rsidRPr="000152CB">
              <w:rPr>
                <w:noProof/>
                <w:webHidden/>
              </w:rPr>
              <w:t>22</w:t>
            </w:r>
            <w:r w:rsidR="002505AB" w:rsidRPr="000152CB">
              <w:rPr>
                <w:noProof/>
                <w:webHidden/>
              </w:rPr>
              <w:fldChar w:fldCharType="end"/>
            </w:r>
          </w:hyperlink>
        </w:p>
        <w:p w14:paraId="2634BEBA" w14:textId="492A16E9" w:rsidR="002505AB" w:rsidRPr="000152CB" w:rsidRDefault="000D3A5F">
          <w:pPr>
            <w:pStyle w:val="SADRAJ1"/>
            <w:tabs>
              <w:tab w:val="right" w:leader="dot" w:pos="12950"/>
            </w:tabs>
            <w:rPr>
              <w:rFonts w:eastAsiaTheme="minorEastAsia"/>
              <w:noProof/>
              <w:lang w:val="bs-Latn-BA"/>
            </w:rPr>
          </w:pPr>
          <w:hyperlink w:anchor="_Toc202039252" w:history="1">
            <w:r w:rsidR="002505AB" w:rsidRPr="000152CB">
              <w:rPr>
                <w:rStyle w:val="Hiperveza"/>
                <w:noProof/>
                <w:lang w:val="bs-Latn-BA"/>
              </w:rPr>
              <w:t>IZAZOVI I PREPREKE U IMPLEMENTACIJI STRATEGIJE</w:t>
            </w:r>
            <w:r w:rsidR="002505AB" w:rsidRPr="000152CB">
              <w:rPr>
                <w:noProof/>
                <w:webHidden/>
                <w:lang w:val="bs-Latn-BA"/>
              </w:rPr>
              <w:tab/>
            </w:r>
            <w:r w:rsidR="002505AB" w:rsidRPr="000152CB">
              <w:rPr>
                <w:noProof/>
                <w:webHidden/>
                <w:lang w:val="bs-Latn-BA"/>
              </w:rPr>
              <w:fldChar w:fldCharType="begin"/>
            </w:r>
            <w:r w:rsidR="002505AB" w:rsidRPr="000152CB">
              <w:rPr>
                <w:noProof/>
                <w:webHidden/>
                <w:lang w:val="bs-Latn-BA"/>
              </w:rPr>
              <w:instrText xml:space="preserve"> PAGEREF _Toc202039252 \h </w:instrText>
            </w:r>
            <w:r w:rsidR="002505AB" w:rsidRPr="000152CB">
              <w:rPr>
                <w:noProof/>
                <w:webHidden/>
                <w:lang w:val="bs-Latn-BA"/>
              </w:rPr>
            </w:r>
            <w:r w:rsidR="002505AB" w:rsidRPr="000152CB">
              <w:rPr>
                <w:noProof/>
                <w:webHidden/>
                <w:lang w:val="bs-Latn-BA"/>
              </w:rPr>
              <w:fldChar w:fldCharType="separate"/>
            </w:r>
            <w:r w:rsidR="002505AB" w:rsidRPr="000152CB">
              <w:rPr>
                <w:noProof/>
                <w:webHidden/>
                <w:lang w:val="bs-Latn-BA"/>
              </w:rPr>
              <w:t>24</w:t>
            </w:r>
            <w:r w:rsidR="002505AB" w:rsidRPr="000152CB">
              <w:rPr>
                <w:noProof/>
                <w:webHidden/>
                <w:lang w:val="bs-Latn-BA"/>
              </w:rPr>
              <w:fldChar w:fldCharType="end"/>
            </w:r>
          </w:hyperlink>
        </w:p>
        <w:p w14:paraId="5085BEBC" w14:textId="198A4308" w:rsidR="002505AB" w:rsidRPr="000152CB" w:rsidRDefault="000D3A5F">
          <w:pPr>
            <w:pStyle w:val="SADRAJ1"/>
            <w:tabs>
              <w:tab w:val="right" w:leader="dot" w:pos="12950"/>
            </w:tabs>
            <w:rPr>
              <w:rFonts w:eastAsiaTheme="minorEastAsia"/>
              <w:noProof/>
              <w:lang w:val="bs-Latn-BA"/>
            </w:rPr>
          </w:pPr>
          <w:hyperlink w:anchor="_Toc202039253" w:history="1">
            <w:r w:rsidR="002505AB" w:rsidRPr="000152CB">
              <w:rPr>
                <w:rStyle w:val="Hiperveza"/>
                <w:noProof/>
                <w:lang w:val="bs-Latn-BA"/>
              </w:rPr>
              <w:t>TABELA ZA IZVJEŠTAVANJE:</w:t>
            </w:r>
            <w:r w:rsidR="002505AB" w:rsidRPr="000152CB">
              <w:rPr>
                <w:noProof/>
                <w:webHidden/>
                <w:lang w:val="bs-Latn-BA"/>
              </w:rPr>
              <w:tab/>
            </w:r>
            <w:r w:rsidR="002505AB" w:rsidRPr="000152CB">
              <w:rPr>
                <w:noProof/>
                <w:webHidden/>
                <w:lang w:val="bs-Latn-BA"/>
              </w:rPr>
              <w:fldChar w:fldCharType="begin"/>
            </w:r>
            <w:r w:rsidR="002505AB" w:rsidRPr="000152CB">
              <w:rPr>
                <w:noProof/>
                <w:webHidden/>
                <w:lang w:val="bs-Latn-BA"/>
              </w:rPr>
              <w:instrText xml:space="preserve"> PAGEREF _Toc202039253 \h </w:instrText>
            </w:r>
            <w:r w:rsidR="002505AB" w:rsidRPr="000152CB">
              <w:rPr>
                <w:noProof/>
                <w:webHidden/>
                <w:lang w:val="bs-Latn-BA"/>
              </w:rPr>
            </w:r>
            <w:r w:rsidR="002505AB" w:rsidRPr="000152CB">
              <w:rPr>
                <w:noProof/>
                <w:webHidden/>
                <w:lang w:val="bs-Latn-BA"/>
              </w:rPr>
              <w:fldChar w:fldCharType="separate"/>
            </w:r>
            <w:r w:rsidR="002505AB" w:rsidRPr="000152CB">
              <w:rPr>
                <w:noProof/>
                <w:webHidden/>
                <w:lang w:val="bs-Latn-BA"/>
              </w:rPr>
              <w:t>25</w:t>
            </w:r>
            <w:r w:rsidR="002505AB" w:rsidRPr="000152CB">
              <w:rPr>
                <w:noProof/>
                <w:webHidden/>
                <w:lang w:val="bs-Latn-BA"/>
              </w:rPr>
              <w:fldChar w:fldCharType="end"/>
            </w:r>
          </w:hyperlink>
        </w:p>
        <w:p w14:paraId="35F311FB" w14:textId="5C797CDF" w:rsidR="002505AB" w:rsidRPr="000152CB" w:rsidRDefault="000D3A5F">
          <w:pPr>
            <w:pStyle w:val="SADRAJ1"/>
            <w:tabs>
              <w:tab w:val="right" w:leader="dot" w:pos="12950"/>
            </w:tabs>
            <w:rPr>
              <w:rFonts w:eastAsiaTheme="minorEastAsia"/>
              <w:noProof/>
              <w:lang w:val="bs-Latn-BA"/>
            </w:rPr>
          </w:pPr>
          <w:hyperlink w:anchor="_Toc202039254" w:history="1">
            <w:r w:rsidR="002505AB" w:rsidRPr="000152CB">
              <w:rPr>
                <w:rStyle w:val="Hiperveza"/>
                <w:noProof/>
                <w:lang w:val="bs-Latn-BA"/>
              </w:rPr>
              <w:t>IV OSVRT NA PLANIRANA I UTROŠENA SREDSTVA</w:t>
            </w:r>
            <w:r w:rsidR="002505AB" w:rsidRPr="000152CB">
              <w:rPr>
                <w:noProof/>
                <w:webHidden/>
                <w:lang w:val="bs-Latn-BA"/>
              </w:rPr>
              <w:tab/>
            </w:r>
            <w:r w:rsidR="002505AB" w:rsidRPr="000152CB">
              <w:rPr>
                <w:noProof/>
                <w:webHidden/>
                <w:lang w:val="bs-Latn-BA"/>
              </w:rPr>
              <w:fldChar w:fldCharType="begin"/>
            </w:r>
            <w:r w:rsidR="002505AB" w:rsidRPr="000152CB">
              <w:rPr>
                <w:noProof/>
                <w:webHidden/>
                <w:lang w:val="bs-Latn-BA"/>
              </w:rPr>
              <w:instrText xml:space="preserve"> PAGEREF _Toc202039254 \h </w:instrText>
            </w:r>
            <w:r w:rsidR="002505AB" w:rsidRPr="000152CB">
              <w:rPr>
                <w:noProof/>
                <w:webHidden/>
                <w:lang w:val="bs-Latn-BA"/>
              </w:rPr>
            </w:r>
            <w:r w:rsidR="002505AB" w:rsidRPr="000152CB">
              <w:rPr>
                <w:noProof/>
                <w:webHidden/>
                <w:lang w:val="bs-Latn-BA"/>
              </w:rPr>
              <w:fldChar w:fldCharType="separate"/>
            </w:r>
            <w:r w:rsidR="002505AB" w:rsidRPr="000152CB">
              <w:rPr>
                <w:noProof/>
                <w:webHidden/>
                <w:lang w:val="bs-Latn-BA"/>
              </w:rPr>
              <w:t>63</w:t>
            </w:r>
            <w:r w:rsidR="002505AB" w:rsidRPr="000152CB">
              <w:rPr>
                <w:noProof/>
                <w:webHidden/>
                <w:lang w:val="bs-Latn-BA"/>
              </w:rPr>
              <w:fldChar w:fldCharType="end"/>
            </w:r>
          </w:hyperlink>
        </w:p>
        <w:p w14:paraId="4905A24D" w14:textId="4D427557" w:rsidR="002505AB" w:rsidRPr="000152CB" w:rsidRDefault="000D3A5F">
          <w:pPr>
            <w:pStyle w:val="SADRAJ1"/>
            <w:tabs>
              <w:tab w:val="right" w:leader="dot" w:pos="12950"/>
            </w:tabs>
            <w:rPr>
              <w:rFonts w:eastAsiaTheme="minorEastAsia"/>
              <w:noProof/>
              <w:lang w:val="bs-Latn-BA"/>
            </w:rPr>
          </w:pPr>
          <w:hyperlink w:anchor="_Toc202039255" w:history="1">
            <w:r w:rsidR="002505AB" w:rsidRPr="000152CB">
              <w:rPr>
                <w:rStyle w:val="Hiperveza"/>
                <w:noProof/>
                <w:lang w:val="bs-Latn-BA"/>
              </w:rPr>
              <w:t>V GENERALNE PREPORUKE</w:t>
            </w:r>
            <w:r w:rsidR="002505AB" w:rsidRPr="000152CB">
              <w:rPr>
                <w:noProof/>
                <w:webHidden/>
                <w:lang w:val="bs-Latn-BA"/>
              </w:rPr>
              <w:tab/>
            </w:r>
            <w:r w:rsidR="002505AB" w:rsidRPr="000152CB">
              <w:rPr>
                <w:noProof/>
                <w:webHidden/>
                <w:lang w:val="bs-Latn-BA"/>
              </w:rPr>
              <w:fldChar w:fldCharType="begin"/>
            </w:r>
            <w:r w:rsidR="002505AB" w:rsidRPr="000152CB">
              <w:rPr>
                <w:noProof/>
                <w:webHidden/>
                <w:lang w:val="bs-Latn-BA"/>
              </w:rPr>
              <w:instrText xml:space="preserve"> PAGEREF _Toc202039255 \h </w:instrText>
            </w:r>
            <w:r w:rsidR="002505AB" w:rsidRPr="000152CB">
              <w:rPr>
                <w:noProof/>
                <w:webHidden/>
                <w:lang w:val="bs-Latn-BA"/>
              </w:rPr>
            </w:r>
            <w:r w:rsidR="002505AB" w:rsidRPr="000152CB">
              <w:rPr>
                <w:noProof/>
                <w:webHidden/>
                <w:lang w:val="bs-Latn-BA"/>
              </w:rPr>
              <w:fldChar w:fldCharType="separate"/>
            </w:r>
            <w:r w:rsidR="002505AB" w:rsidRPr="000152CB">
              <w:rPr>
                <w:noProof/>
                <w:webHidden/>
                <w:lang w:val="bs-Latn-BA"/>
              </w:rPr>
              <w:t>63</w:t>
            </w:r>
            <w:r w:rsidR="002505AB" w:rsidRPr="000152CB">
              <w:rPr>
                <w:noProof/>
                <w:webHidden/>
                <w:lang w:val="bs-Latn-BA"/>
              </w:rPr>
              <w:fldChar w:fldCharType="end"/>
            </w:r>
          </w:hyperlink>
        </w:p>
        <w:p w14:paraId="146C39C8" w14:textId="10FD3610" w:rsidR="00D25E12" w:rsidRPr="000152CB" w:rsidRDefault="00D25E12" w:rsidP="00FB5654">
          <w:r w:rsidRPr="000152CB">
            <w:rPr>
              <w:b/>
              <w:bCs/>
              <w:noProof/>
            </w:rPr>
            <w:fldChar w:fldCharType="end"/>
          </w:r>
        </w:p>
      </w:sdtContent>
    </w:sdt>
    <w:bookmarkStart w:id="0" w:name="_Toc185265702" w:displacedByCustomXml="prev"/>
    <w:p w14:paraId="482A845D" w14:textId="77777777" w:rsidR="00D25E12" w:rsidRPr="000152CB" w:rsidRDefault="00D25E12" w:rsidP="003F3DEB">
      <w:pPr>
        <w:pStyle w:val="Naslov1"/>
      </w:pPr>
    </w:p>
    <w:p w14:paraId="22BABF03" w14:textId="77777777" w:rsidR="00FB5654" w:rsidRPr="000152CB" w:rsidRDefault="00FB5654" w:rsidP="00D25E12">
      <w:pPr>
        <w:pStyle w:val="Naslov1"/>
      </w:pPr>
      <w:bookmarkStart w:id="1" w:name="_Toc202039240"/>
      <w:bookmarkEnd w:id="0"/>
    </w:p>
    <w:bookmarkEnd w:id="1"/>
    <w:p w14:paraId="6DF4E25D" w14:textId="77777777" w:rsidR="00FB5654" w:rsidRPr="000152CB" w:rsidRDefault="00FB5654" w:rsidP="007231D1">
      <w:pPr>
        <w:jc w:val="both"/>
      </w:pPr>
    </w:p>
    <w:p w14:paraId="2FFCD306" w14:textId="77777777" w:rsidR="00FB5654" w:rsidRPr="000152CB" w:rsidRDefault="00FB5654" w:rsidP="007231D1">
      <w:pPr>
        <w:jc w:val="both"/>
      </w:pPr>
    </w:p>
    <w:p w14:paraId="61C31B0D" w14:textId="77777777" w:rsidR="00FB5654" w:rsidRPr="000152CB" w:rsidRDefault="00FB5654" w:rsidP="00FB5654">
      <w:pPr>
        <w:pStyle w:val="Naslov1"/>
      </w:pPr>
      <w:r w:rsidRPr="000152CB">
        <w:lastRenderedPageBreak/>
        <w:t>I UVODNI REZIME</w:t>
      </w:r>
    </w:p>
    <w:p w14:paraId="046F4283" w14:textId="69EDCD77" w:rsidR="007231D1" w:rsidRPr="000152CB" w:rsidRDefault="007231D1" w:rsidP="007231D1">
      <w:pPr>
        <w:jc w:val="both"/>
      </w:pPr>
      <w:r w:rsidRPr="000152CB">
        <w:t xml:space="preserve">Strategija </w:t>
      </w:r>
      <w:r w:rsidR="00744B51" w:rsidRPr="000152CB">
        <w:t>razvoja zdravstva</w:t>
      </w:r>
      <w:r w:rsidRPr="000152CB">
        <w:t xml:space="preserve"> 20</w:t>
      </w:r>
      <w:r w:rsidR="00744B51" w:rsidRPr="000152CB">
        <w:t>23</w:t>
      </w:r>
      <w:r w:rsidRPr="000152CB">
        <w:t>-20</w:t>
      </w:r>
      <w:r w:rsidR="00744B51" w:rsidRPr="000152CB">
        <w:t>27</w:t>
      </w:r>
      <w:r w:rsidR="0074515C" w:rsidRPr="000152CB">
        <w:t>,</w:t>
      </w:r>
      <w:r w:rsidRPr="000152CB">
        <w:t xml:space="preserve"> predstavlja </w:t>
      </w:r>
      <w:r w:rsidR="0074515C" w:rsidRPr="000152CB">
        <w:t xml:space="preserve">krovni </w:t>
      </w:r>
      <w:r w:rsidRPr="000152CB">
        <w:t>strateški dokument</w:t>
      </w:r>
      <w:r w:rsidR="0074515C" w:rsidRPr="000152CB">
        <w:t xml:space="preserve"> u oblasti zdravstva u Crnoj Gori, </w:t>
      </w:r>
      <w:r w:rsidRPr="000152CB">
        <w:t xml:space="preserve">kojim je definisan sistem ključnih prioriteta i okvir podrške </w:t>
      </w:r>
      <w:r w:rsidR="00886694" w:rsidRPr="000152CB">
        <w:t>gen</w:t>
      </w:r>
      <w:r w:rsidR="00DB56F7" w:rsidRPr="000152CB">
        <w:t>er</w:t>
      </w:r>
      <w:r w:rsidR="00886694" w:rsidRPr="000152CB">
        <w:t>alnom razvoju i reformama zdravstvenog sistema u Crnoj Gori</w:t>
      </w:r>
      <w:r w:rsidRPr="000152CB">
        <w:t>. Strateški dokument je usvojen na petogodišnji period, za čiju realizaciju je pripremljen inicijalni akcioni plan za period 2023-2024.</w:t>
      </w:r>
    </w:p>
    <w:p w14:paraId="3B575104" w14:textId="12D372F4" w:rsidR="007231D1" w:rsidRPr="000152CB" w:rsidRDefault="007231D1" w:rsidP="007231D1">
      <w:pPr>
        <w:jc w:val="both"/>
        <w:rPr>
          <w:u w:val="single"/>
        </w:rPr>
      </w:pPr>
      <w:r w:rsidRPr="000152CB">
        <w:t xml:space="preserve">Godišnjim izvještajem je obuhvaćen period od oktobra 2023 godine, kada je strateški dokument donesen od strane Vlade Crne Gore, zaključno sa cjelokupnom 2024. godinom. </w:t>
      </w:r>
      <w:r w:rsidRPr="000152CB">
        <w:rPr>
          <w:b/>
          <w:bCs/>
        </w:rPr>
        <w:t xml:space="preserve">Uzevši u obzir metodološku obavezu da se nakon perioda od 2 godine sprovođenja strategije mora u izvještaju predstaviti prvi presjek nivoa dostignutosti postavljenih indikatora učinka i pratećih vrijednosti, važno je ukazati na činjenicu da je Akcioni plan 2023-2024 o kojem se izvještava, zajedno sa strategijom usvojen u u poslednjem kvartalu 2023. godine, što znači da je </w:t>
      </w:r>
      <w:r w:rsidR="004E5860" w:rsidRPr="000152CB">
        <w:rPr>
          <w:b/>
          <w:bCs/>
        </w:rPr>
        <w:t xml:space="preserve">protekao period od godinu </w:t>
      </w:r>
      <w:r w:rsidR="009C06EB" w:rsidRPr="000152CB">
        <w:rPr>
          <w:b/>
          <w:bCs/>
        </w:rPr>
        <w:t>dana i tri mjeseca</w:t>
      </w:r>
      <w:r w:rsidRPr="000152CB">
        <w:rPr>
          <w:b/>
          <w:bCs/>
        </w:rPr>
        <w:t xml:space="preserve"> sprovođenja AP.</w:t>
      </w:r>
      <w:r w:rsidRPr="000152CB">
        <w:t xml:space="preserve"> Takođe, navedeni period sprovođenja javne politike je obilježen veoma </w:t>
      </w:r>
      <w:r w:rsidR="009C06EB" w:rsidRPr="000152CB">
        <w:t>zadovoljavajućim</w:t>
      </w:r>
      <w:r w:rsidRPr="000152CB">
        <w:t xml:space="preserve"> stepenom potpune implementacije planiranih aktivnosti. </w:t>
      </w:r>
    </w:p>
    <w:p w14:paraId="15B8194F" w14:textId="54EDA7E5" w:rsidR="003F3DEB" w:rsidRPr="009A0C05" w:rsidRDefault="003F3DEB" w:rsidP="003F3DEB">
      <w:pPr>
        <w:spacing w:before="100" w:beforeAutospacing="1" w:after="100" w:afterAutospacing="1" w:line="240" w:lineRule="auto"/>
        <w:jc w:val="both"/>
        <w:rPr>
          <w:rFonts w:eastAsia="Times New Roman" w:cstheme="minorHAnsi"/>
          <w:u w:val="single"/>
        </w:rPr>
      </w:pPr>
      <w:r w:rsidRPr="000152CB">
        <w:rPr>
          <w:rFonts w:eastAsia="Times New Roman" w:cstheme="minorHAnsi"/>
        </w:rPr>
        <w:t xml:space="preserve">Dosadašnja implementacija </w:t>
      </w:r>
      <w:r w:rsidRPr="00F57704">
        <w:rPr>
          <w:rFonts w:eastAsia="Times New Roman" w:cstheme="minorHAnsi"/>
          <w:b/>
          <w:bCs/>
        </w:rPr>
        <w:t>Strategije razvoja zdravstva 2023–2027</w:t>
      </w:r>
      <w:r w:rsidRPr="000152CB">
        <w:rPr>
          <w:rFonts w:eastAsia="Times New Roman" w:cstheme="minorHAnsi"/>
        </w:rPr>
        <w:t>.</w:t>
      </w:r>
      <w:r w:rsidR="00814B1B" w:rsidRPr="000152CB">
        <w:rPr>
          <w:rFonts w:eastAsia="Times New Roman" w:cstheme="minorHAnsi"/>
        </w:rPr>
        <w:t>,</w:t>
      </w:r>
      <w:r w:rsidRPr="000152CB">
        <w:rPr>
          <w:rFonts w:eastAsia="Times New Roman" w:cstheme="minorHAnsi"/>
        </w:rPr>
        <w:t xml:space="preserve"> donijela je vidljiva poboljšanja u gotovo svim segmentima zdravstvenog sistema – od jačanja primarne zaštite i digitalne transformacije, preko proširenja usluga u bolnicama (npr. transplantacije) i bolje snabdijevenosti ljekovima, do intenziviranja preventivnih programa. </w:t>
      </w:r>
      <w:r w:rsidRPr="009A0C05">
        <w:rPr>
          <w:rFonts w:eastAsia="Times New Roman" w:cstheme="minorHAnsi"/>
          <w:u w:val="single"/>
        </w:rPr>
        <w:t xml:space="preserve">Ostvareni su i važni strateški koraci poput obezbjeđenja finansijskih investicija (CEB kredit) za infrastrukturu i početka sistemskog praćenja kvaliteta usluga. Međutim, izazovi poput nedostatka kadra, ograničenih resursa i potrebe promjene navika kako kod pružalaca usluga tako i kod stanovništva, jasno su identifikovani i zahtijevaju kontinuiranu pažnju. Implementacija strategije je u toku – uz podršku međunarodnih partnera (SZO, EU, UNDP i dr.) i aktivno učešće domaćih stručnjaka i civilnog društva, očekuje se da će naredne dvije godine donijeti dodatni napredak ka ostvarivanju vizije </w:t>
      </w:r>
      <w:r w:rsidRPr="009A0C05">
        <w:rPr>
          <w:rFonts w:eastAsia="Times New Roman" w:cstheme="minorHAnsi"/>
          <w:i/>
          <w:iCs/>
          <w:u w:val="single"/>
        </w:rPr>
        <w:t>“kvalitetan, efikasan i održiv zdravstveni sistem po mjeri građana”</w:t>
      </w:r>
      <w:r w:rsidRPr="009A0C05">
        <w:rPr>
          <w:rFonts w:eastAsia="Times New Roman" w:cstheme="minorHAnsi"/>
          <w:u w:val="single"/>
        </w:rPr>
        <w:t xml:space="preserve"> zacrtane strateškim dokumentom.</w:t>
      </w:r>
    </w:p>
    <w:p w14:paraId="52AFAFCF" w14:textId="77777777" w:rsidR="003F3DEB" w:rsidRPr="009A0C05" w:rsidRDefault="003F3DEB" w:rsidP="003F3DEB">
      <w:pPr>
        <w:spacing w:before="100" w:beforeAutospacing="1" w:after="100" w:afterAutospacing="1" w:line="240" w:lineRule="auto"/>
        <w:jc w:val="both"/>
        <w:rPr>
          <w:rFonts w:eastAsia="Times New Roman" w:cstheme="minorHAnsi"/>
          <w:u w:val="single"/>
        </w:rPr>
      </w:pPr>
      <w:r w:rsidRPr="009A0C05">
        <w:rPr>
          <w:rFonts w:eastAsia="Times New Roman" w:cstheme="minorHAnsi"/>
          <w:u w:val="single"/>
        </w:rPr>
        <w:t>Ovaj izvještaj prikazuje da je, uprkos izazovima, u proteklom periodu postavljen čvrst temelj za reforme i unapređenja zacrtane strategijom, te su mnoge aktivnosti već dale opipljive rezultate na dobrobit građana Crne Gore. Dalji uspjeh zavisiće od istrajnosti u sprovođenju mjera, osiguranja neophodnih resursa i zajedničkog djelovanja svih aktera u zdravstvenom sistemu.</w:t>
      </w:r>
    </w:p>
    <w:p w14:paraId="3171198B" w14:textId="77777777" w:rsidR="002A2DB2" w:rsidRPr="000152CB" w:rsidRDefault="007231D1" w:rsidP="007231D1">
      <w:pPr>
        <w:jc w:val="both"/>
      </w:pPr>
      <w:r w:rsidRPr="000152CB">
        <w:t xml:space="preserve">Kada govorimo o strukturu ciljeva, potrebno je istaći da </w:t>
      </w:r>
      <w:r w:rsidR="00D17875" w:rsidRPr="000152CB">
        <w:t>su</w:t>
      </w:r>
      <w:r w:rsidRPr="000152CB">
        <w:t xml:space="preserve"> Strategijom </w:t>
      </w:r>
      <w:r w:rsidR="003B5A8E" w:rsidRPr="000152CB">
        <w:t>razvoja zdravstva 2023-2027</w:t>
      </w:r>
      <w:r w:rsidRPr="000152CB">
        <w:t>, definisan</w:t>
      </w:r>
      <w:r w:rsidR="00D17875" w:rsidRPr="000152CB">
        <w:t>a tri</w:t>
      </w:r>
      <w:r w:rsidRPr="000152CB">
        <w:t xml:space="preserve"> </w:t>
      </w:r>
      <w:r w:rsidR="00D17875" w:rsidRPr="000152CB">
        <w:t xml:space="preserve">ključna strateška cilja, gdje svaki od </w:t>
      </w:r>
      <w:r w:rsidR="002A2DB2" w:rsidRPr="000152CB">
        <w:t>ciljeva sadrži niz operativnih ciljeva koji sa pratećim indikatorima učinka definišu pravce razvoja javne politike.</w:t>
      </w:r>
    </w:p>
    <w:p w14:paraId="1FCBCD7D" w14:textId="53C46C07" w:rsidR="007231D1" w:rsidRPr="000152CB" w:rsidRDefault="002A2DB2" w:rsidP="007231D1">
      <w:pPr>
        <w:jc w:val="both"/>
      </w:pPr>
      <w:r w:rsidRPr="000152CB">
        <w:t>STRATEŠKI CILJ 1</w:t>
      </w:r>
      <w:r w:rsidR="007231D1" w:rsidRPr="000152CB">
        <w:t>: „</w:t>
      </w:r>
      <w:r w:rsidR="00670D23" w:rsidRPr="000152CB">
        <w:t>Uspostavljen novi model pružanja primarne zdravstvene zaštite koji promoviše kvalitetnu zdravstvenu zaštitu sa građaninom u centru pažnje</w:t>
      </w:r>
      <w:r w:rsidR="007231D1" w:rsidRPr="000152CB">
        <w:t>.“</w:t>
      </w:r>
    </w:p>
    <w:p w14:paraId="370B9B48" w14:textId="4BA162EA" w:rsidR="00EE7793" w:rsidRPr="000152CB" w:rsidRDefault="00EE7793" w:rsidP="002A2DB2">
      <w:pPr>
        <w:pStyle w:val="Pasussalistom"/>
        <w:numPr>
          <w:ilvl w:val="0"/>
          <w:numId w:val="5"/>
        </w:numPr>
        <w:jc w:val="both"/>
      </w:pPr>
      <w:r w:rsidRPr="000152CB">
        <w:t>Operativni cilj 1</w:t>
      </w:r>
      <w:r w:rsidR="003B016C" w:rsidRPr="000152CB">
        <w:t>.1</w:t>
      </w:r>
      <w:r w:rsidRPr="000152CB">
        <w:t xml:space="preserve">: </w:t>
      </w:r>
      <w:r w:rsidR="00D17875" w:rsidRPr="000152CB">
        <w:t>Optimizovati model pružanja zdravstvene zaštite</w:t>
      </w:r>
      <w:r w:rsidR="00D44D56" w:rsidRPr="000152CB">
        <w:t>,</w:t>
      </w:r>
    </w:p>
    <w:p w14:paraId="33A8A24F" w14:textId="55AE340B" w:rsidR="00D44D56" w:rsidRPr="000152CB" w:rsidRDefault="003B016C" w:rsidP="002A2DB2">
      <w:pPr>
        <w:pStyle w:val="Pasussalistom"/>
        <w:numPr>
          <w:ilvl w:val="0"/>
          <w:numId w:val="5"/>
        </w:numPr>
        <w:jc w:val="both"/>
      </w:pPr>
      <w:r w:rsidRPr="000152CB">
        <w:t>Operativni cilj 1.2: Unaprijediti nivo finansijske zaštite građana kod pružanja zdravstvenih usluga,</w:t>
      </w:r>
    </w:p>
    <w:p w14:paraId="47F7A87D" w14:textId="7B8B324D" w:rsidR="00B6590D" w:rsidRPr="000152CB" w:rsidRDefault="003B016C" w:rsidP="00B6590D">
      <w:pPr>
        <w:pStyle w:val="Pasussalistom"/>
        <w:numPr>
          <w:ilvl w:val="0"/>
          <w:numId w:val="5"/>
        </w:numPr>
      </w:pPr>
      <w:r w:rsidRPr="000152CB">
        <w:lastRenderedPageBreak/>
        <w:t xml:space="preserve">Operativni cilj 1.3: </w:t>
      </w:r>
      <w:r w:rsidR="00B6590D" w:rsidRPr="000152CB">
        <w:t>Unaprijediti procese funkcionisanja i upravljanja zdravstvenim sistemom bazirano na dokazima sa fokusom na jačanje digitalnog zdravlja,</w:t>
      </w:r>
    </w:p>
    <w:p w14:paraId="4516D32C" w14:textId="065ED3B5" w:rsidR="003B016C" w:rsidRPr="000152CB" w:rsidRDefault="007E7B93" w:rsidP="002A2DB2">
      <w:pPr>
        <w:pStyle w:val="Pasussalistom"/>
        <w:numPr>
          <w:ilvl w:val="0"/>
          <w:numId w:val="5"/>
        </w:numPr>
        <w:jc w:val="both"/>
      </w:pPr>
      <w:r w:rsidRPr="000152CB">
        <w:t>Operativni cilj 1.4: Osnažiti ljudske resurse u zdravstvu</w:t>
      </w:r>
      <w:r w:rsidR="00AB5075" w:rsidRPr="000152CB">
        <w:t>,</w:t>
      </w:r>
    </w:p>
    <w:p w14:paraId="504B046B" w14:textId="155029D9" w:rsidR="00AB5075" w:rsidRPr="000152CB" w:rsidRDefault="00AB5075" w:rsidP="002A2DB2">
      <w:pPr>
        <w:pStyle w:val="Pasussalistom"/>
        <w:numPr>
          <w:ilvl w:val="0"/>
          <w:numId w:val="5"/>
        </w:numPr>
        <w:jc w:val="both"/>
      </w:pPr>
      <w:r w:rsidRPr="000152CB">
        <w:t>Operativni cilj 1.5: Unaprijeđen regulatorni i institucionalni okvir za pružanje kvalitetne i jednako dostupne zdravstvene zaštite.</w:t>
      </w:r>
    </w:p>
    <w:p w14:paraId="20F92331" w14:textId="77777777" w:rsidR="00666B11" w:rsidRPr="000152CB" w:rsidRDefault="002A2DB2" w:rsidP="007231D1">
      <w:pPr>
        <w:jc w:val="both"/>
      </w:pPr>
      <w:r w:rsidRPr="000152CB">
        <w:t xml:space="preserve">STRATEŠKI CILJ 2: </w:t>
      </w:r>
      <w:r w:rsidR="007475C3" w:rsidRPr="000152CB">
        <w:t>„</w:t>
      </w:r>
      <w:r w:rsidRPr="000152CB">
        <w:t>E</w:t>
      </w:r>
      <w:r w:rsidR="00D17875" w:rsidRPr="000152CB">
        <w:t>fikasna promocija zdravlja i prevencija bolesti kroz kontrolu faktora rizika, unapređenje multisektorske saradnje i angažman cijelog društva</w:t>
      </w:r>
      <w:r w:rsidR="007475C3" w:rsidRPr="000152CB">
        <w:t>““</w:t>
      </w:r>
    </w:p>
    <w:p w14:paraId="631E6326" w14:textId="3561DB7F" w:rsidR="007475C3" w:rsidRPr="000152CB" w:rsidRDefault="007475C3" w:rsidP="00666B11">
      <w:pPr>
        <w:pStyle w:val="Pasussalistom"/>
        <w:numPr>
          <w:ilvl w:val="0"/>
          <w:numId w:val="5"/>
        </w:numPr>
        <w:jc w:val="both"/>
      </w:pPr>
      <w:r w:rsidRPr="000152CB">
        <w:t>Operativni cilj 2.1</w:t>
      </w:r>
      <w:r w:rsidR="00666B11" w:rsidRPr="000152CB">
        <w:t>: O</w:t>
      </w:r>
      <w:r w:rsidRPr="000152CB">
        <w:t>jačati javno</w:t>
      </w:r>
      <w:r w:rsidR="00666B11" w:rsidRPr="000152CB">
        <w:t>-</w:t>
      </w:r>
      <w:r w:rsidRPr="000152CB">
        <w:t>zdravstvene kapacitete sa kompetencijama potrebnim za razvijanje, implementaciju i monitoring javno</w:t>
      </w:r>
      <w:r w:rsidR="00666B11" w:rsidRPr="000152CB">
        <w:t>-</w:t>
      </w:r>
      <w:r w:rsidRPr="000152CB">
        <w:t>zdravstvenih politika</w:t>
      </w:r>
      <w:r w:rsidR="00666B11" w:rsidRPr="000152CB">
        <w:t>,</w:t>
      </w:r>
    </w:p>
    <w:p w14:paraId="3DB403E0" w14:textId="12F723A7" w:rsidR="00666B11" w:rsidRPr="000152CB" w:rsidRDefault="0080063C" w:rsidP="00666B11">
      <w:pPr>
        <w:pStyle w:val="Pasussalistom"/>
        <w:numPr>
          <w:ilvl w:val="0"/>
          <w:numId w:val="5"/>
        </w:numPr>
        <w:jc w:val="both"/>
      </w:pPr>
      <w:r w:rsidRPr="000152CB">
        <w:t>Operativni cilj 2.2: Osnaživanje kapaciteta građana i zajednica za efikasno upravljanje zdravljem,</w:t>
      </w:r>
    </w:p>
    <w:p w14:paraId="0780C767" w14:textId="305FEB59" w:rsidR="0080063C" w:rsidRPr="000152CB" w:rsidRDefault="00F5189E" w:rsidP="00666B11">
      <w:pPr>
        <w:pStyle w:val="Pasussalistom"/>
        <w:numPr>
          <w:ilvl w:val="0"/>
          <w:numId w:val="5"/>
        </w:numPr>
        <w:jc w:val="both"/>
      </w:pPr>
      <w:r w:rsidRPr="000152CB">
        <w:t>Operativni cilj 2.3: Kontrola antimikrobne rezistencije kroz intervencije utemeljene na dokazima i dobroj praksi</w:t>
      </w:r>
      <w:r w:rsidR="001557B0" w:rsidRPr="000152CB">
        <w:t>.</w:t>
      </w:r>
    </w:p>
    <w:p w14:paraId="30EC4E52" w14:textId="77777777" w:rsidR="00774326" w:rsidRPr="000152CB" w:rsidRDefault="002A2DB2" w:rsidP="007231D1">
      <w:pPr>
        <w:jc w:val="both"/>
      </w:pPr>
      <w:r w:rsidRPr="000152CB">
        <w:t>STRATEŠKI CILJ 3: O</w:t>
      </w:r>
      <w:r w:rsidR="00D17875" w:rsidRPr="000152CB">
        <w:t xml:space="preserve">jačani kapacitet za pripremljenost i odgovor zdravstvenog sistema na zdravstvene vanredne situacije </w:t>
      </w:r>
    </w:p>
    <w:p w14:paraId="407C53B9" w14:textId="475DD0AA" w:rsidR="00651F71" w:rsidRPr="000152CB" w:rsidRDefault="00774326" w:rsidP="00774326">
      <w:pPr>
        <w:pStyle w:val="Pasussalistom"/>
        <w:numPr>
          <w:ilvl w:val="0"/>
          <w:numId w:val="5"/>
        </w:numPr>
        <w:jc w:val="both"/>
      </w:pPr>
      <w:r w:rsidRPr="000152CB">
        <w:t xml:space="preserve">Operativni cilj 3.1: </w:t>
      </w:r>
      <w:r w:rsidR="00D17875" w:rsidRPr="000152CB">
        <w:t xml:space="preserve"> </w:t>
      </w:r>
      <w:r w:rsidRPr="000152CB">
        <w:t>Obezbijediti uslove za efikasnu komunikaciju i i koordinaciju resursa za upravljanje zdravstvenim vanrednim situacijama,</w:t>
      </w:r>
    </w:p>
    <w:p w14:paraId="6CFC2AA8" w14:textId="4B3EA1DD" w:rsidR="00397429" w:rsidRPr="000152CB" w:rsidRDefault="00397429" w:rsidP="00774326">
      <w:pPr>
        <w:pStyle w:val="Pasussalistom"/>
        <w:numPr>
          <w:ilvl w:val="0"/>
          <w:numId w:val="5"/>
        </w:numPr>
        <w:jc w:val="both"/>
      </w:pPr>
      <w:r w:rsidRPr="000152CB">
        <w:t xml:space="preserve">Operativni cilj 3.2: Unaprijediti funkcionalnu i strukturalnu bezbjednost zdravstvenih ustanova, </w:t>
      </w:r>
    </w:p>
    <w:p w14:paraId="3CA9C94A" w14:textId="77777777" w:rsidR="00397429" w:rsidRPr="000152CB" w:rsidRDefault="00397429" w:rsidP="007F3A5D">
      <w:pPr>
        <w:pStyle w:val="Pasussalistom"/>
        <w:jc w:val="both"/>
      </w:pPr>
    </w:p>
    <w:p w14:paraId="0C4F4505" w14:textId="73AE8906" w:rsidR="007231D1" w:rsidRPr="000152CB" w:rsidRDefault="007231D1" w:rsidP="007231D1">
      <w:pPr>
        <w:jc w:val="both"/>
      </w:pPr>
      <w:r w:rsidRPr="000152CB">
        <w:t xml:space="preserve">Važno je istaći da je svaki operativni cilj baziran na setu mjerljivih indikatora učinka sa pratećim vrijednostima, kao i na </w:t>
      </w:r>
      <w:r w:rsidR="007D717A" w:rsidRPr="000152CB">
        <w:t>setu aktivnosti sa pratećim indikatorima rezultata</w:t>
      </w:r>
      <w:r w:rsidRPr="000152CB">
        <w:t xml:space="preserve"> koje su od značaja za ostvarivanje postavljenih vrijednosti indikatora učinka.</w:t>
      </w:r>
    </w:p>
    <w:p w14:paraId="58177621" w14:textId="724D3A57" w:rsidR="007231D1" w:rsidRPr="000152CB" w:rsidRDefault="007231D1" w:rsidP="007231D1">
      <w:pPr>
        <w:jc w:val="both"/>
      </w:pPr>
      <w:r w:rsidRPr="000152CB">
        <w:t>Inicijalni ak</w:t>
      </w:r>
      <w:r w:rsidR="00080F9B" w:rsidRPr="000152CB">
        <w:t>c</w:t>
      </w:r>
      <w:r w:rsidRPr="000152CB">
        <w:t xml:space="preserve">ioni plan za strateški dokument </w:t>
      </w:r>
      <w:r w:rsidR="00242CC1" w:rsidRPr="000152CB">
        <w:t>za period 2023-2024</w:t>
      </w:r>
      <w:r w:rsidR="005C7BD1" w:rsidRPr="000152CB">
        <w:t>,</w:t>
      </w:r>
      <w:r w:rsidR="00080F9B" w:rsidRPr="000152CB">
        <w:t xml:space="preserve"> </w:t>
      </w:r>
      <w:r w:rsidRPr="000152CB">
        <w:t xml:space="preserve">ostvario </w:t>
      </w:r>
      <w:r w:rsidR="005C7BD1" w:rsidRPr="000152CB">
        <w:t xml:space="preserve">je određeni nivo </w:t>
      </w:r>
      <w:r w:rsidRPr="000152CB">
        <w:t>planiran</w:t>
      </w:r>
      <w:r w:rsidR="005C7BD1" w:rsidRPr="000152CB">
        <w:t>ih</w:t>
      </w:r>
      <w:r w:rsidRPr="000152CB">
        <w:t xml:space="preserve"> reform</w:t>
      </w:r>
      <w:r w:rsidR="005C7BD1" w:rsidRPr="000152CB">
        <w:t>i</w:t>
      </w:r>
      <w:r w:rsidRPr="000152CB">
        <w:t xml:space="preserve"> </w:t>
      </w:r>
      <w:r w:rsidR="00080F9B" w:rsidRPr="000152CB">
        <w:t>zdravstvenih politika</w:t>
      </w:r>
      <w:r w:rsidRPr="000152CB">
        <w:t xml:space="preserve"> u izvještajnom periodu, što je i potvrđeno kroz </w:t>
      </w:r>
      <w:r w:rsidR="00420C22" w:rsidRPr="000152CB">
        <w:t>značajan</w:t>
      </w:r>
      <w:r w:rsidR="005C7BD1" w:rsidRPr="000152CB">
        <w:t xml:space="preserve"> </w:t>
      </w:r>
      <w:r w:rsidRPr="000152CB">
        <w:t xml:space="preserve">procenat potpuno realizovanih aktivnosti. Prethodni period sprovođenja strateškog dokumenta je obilježen obilježen institucionalnom i kadrovskom reorganizacijom Vlade Crne Gore i Ministarstva </w:t>
      </w:r>
      <w:r w:rsidR="00080F9B" w:rsidRPr="000152CB">
        <w:t>zdravlja</w:t>
      </w:r>
      <w:r w:rsidRPr="000152CB">
        <w:t xml:space="preserve">, kao i činjenicom da je značajan broj kadrova koji su bili zaduženi za omladinske politike u različitim resorima promijenjen. </w:t>
      </w:r>
    </w:p>
    <w:p w14:paraId="171BBB5D" w14:textId="76E48609" w:rsidR="007231D1" w:rsidRPr="000152CB" w:rsidRDefault="007231D1" w:rsidP="007231D1">
      <w:pPr>
        <w:jc w:val="both"/>
      </w:pPr>
      <w:r w:rsidRPr="000152CB">
        <w:t xml:space="preserve">U </w:t>
      </w:r>
      <w:r w:rsidR="00420C22" w:rsidRPr="000152CB">
        <w:t xml:space="preserve">vezi sa navedneim, u </w:t>
      </w:r>
      <w:r w:rsidRPr="000152CB">
        <w:t>narednom segmentu uvodnog rezimea je pružen kratak prikaz najvažnijih rezultate i evidentiranih prepreka u okviru svake od oblasti strateškog dokumenta.</w:t>
      </w:r>
    </w:p>
    <w:p w14:paraId="18AF9D3B" w14:textId="77777777" w:rsidR="004E4167" w:rsidRPr="000152CB" w:rsidRDefault="004E4167" w:rsidP="00C57716">
      <w:pPr>
        <w:rPr>
          <w:b/>
          <w:bCs/>
        </w:rPr>
      </w:pPr>
      <w:r w:rsidRPr="000152CB">
        <w:rPr>
          <w:b/>
          <w:bCs/>
        </w:rPr>
        <w:t>Unapređenje kvaliteta zdravstvene njege</w:t>
      </w:r>
    </w:p>
    <w:p w14:paraId="242F9D47" w14:textId="03AAE459" w:rsidR="004E4167" w:rsidRPr="000152CB" w:rsidRDefault="004E4167" w:rsidP="004E4167">
      <w:pPr>
        <w:spacing w:before="100" w:beforeAutospacing="1" w:after="100" w:afterAutospacing="1" w:line="240" w:lineRule="auto"/>
        <w:jc w:val="both"/>
        <w:rPr>
          <w:rFonts w:eastAsia="Times New Roman" w:cstheme="minorHAnsi"/>
        </w:rPr>
      </w:pPr>
      <w:r w:rsidRPr="000152CB">
        <w:rPr>
          <w:rFonts w:eastAsia="Times New Roman" w:cstheme="minorHAnsi"/>
        </w:rPr>
        <w:t xml:space="preserve">Ministarstvo zdravlja je s podrškom SZO/UNICEF sprovelo ocjenu kvaliteta zdravstva majki i novorođenčadi, na osnovu koje je 2024. formirana radna grupa i akcioni plan za poboljšanje perinatalne njege. Uveli su se individualni porođajni saloni i obavezne dodatne obuke za babice i neonatalne timove (npr. reanimacija novorođenčadi). U bolničkoj zaštiti je obnovljen transplantacioni program, čime je povećana dostupnost specijalističkih usluga. Izgrađena je nova Klinika za psihijatriju (povećani kapaciteti za mentalno zdravlje) i formirani multidisciplinarni timovi za </w:t>
      </w:r>
      <w:r w:rsidRPr="000152CB">
        <w:rPr>
          <w:rFonts w:eastAsia="Times New Roman" w:cstheme="minorHAnsi"/>
        </w:rPr>
        <w:lastRenderedPageBreak/>
        <w:t>unaprjeđenje bolničke njege. Posebno je značajan napredak u transplantacijama: u prvoj polovini 2025. Crna Gora je po prvi put izvršila autolognu transplantaciju matičnih ćelija koštane srži i transplantaciju bubrega živog donora u KCCG, što je omogućilo da pacijenti ne moraju ići u inostranstvo.</w:t>
      </w:r>
      <w:r w:rsidR="00B32EB8">
        <w:rPr>
          <w:rFonts w:eastAsia="Times New Roman" w:cstheme="minorHAnsi"/>
        </w:rPr>
        <w:t xml:space="preserve"> </w:t>
      </w:r>
      <w:r w:rsidR="00B32EB8" w:rsidRPr="00B32EB8">
        <w:rPr>
          <w:rFonts w:eastAsia="Times New Roman" w:cstheme="minorHAnsi"/>
        </w:rPr>
        <w:t>Budžet za zdravstvo povećan je u posljednje dvije godine kako bi se ispratio rast troškova i investicija. Fond za zdravstveno osiguranje je 2024. ukazao da prvobitno odobrenih 164 miliona € za lijekove neće biti dovoljno, te je tokom godine izvršen rebalans budžeta kako bi se pokrio očekivani trošak od oko 175 miliona € za lijekove (150 miliona kroz Montefarm i 25 miliona za privatne apoteke).</w:t>
      </w:r>
    </w:p>
    <w:p w14:paraId="51B17326" w14:textId="77777777" w:rsidR="004E4167" w:rsidRPr="000152CB" w:rsidRDefault="004E4167" w:rsidP="00C57716">
      <w:pPr>
        <w:rPr>
          <w:b/>
          <w:bCs/>
        </w:rPr>
      </w:pPr>
      <w:r w:rsidRPr="000152CB">
        <w:rPr>
          <w:b/>
          <w:bCs/>
        </w:rPr>
        <w:t>Promjene u zakonodavnom okviru i ljudskim resursima</w:t>
      </w:r>
    </w:p>
    <w:p w14:paraId="1F9B6827" w14:textId="791F2984" w:rsidR="004E4167" w:rsidRPr="000152CB" w:rsidRDefault="008D6E05" w:rsidP="004E4167">
      <w:pPr>
        <w:spacing w:before="100" w:beforeAutospacing="1" w:after="100" w:afterAutospacing="1" w:line="240" w:lineRule="auto"/>
        <w:jc w:val="both"/>
        <w:rPr>
          <w:rFonts w:eastAsia="Times New Roman" w:cstheme="minorHAnsi"/>
        </w:rPr>
      </w:pPr>
      <w:r>
        <w:rPr>
          <w:rFonts w:eastAsia="Times New Roman" w:cstheme="minorHAnsi"/>
        </w:rPr>
        <w:t xml:space="preserve">U prethodnom periodu </w:t>
      </w:r>
      <w:r w:rsidR="004E4167" w:rsidRPr="000152CB">
        <w:rPr>
          <w:rFonts w:eastAsia="Times New Roman" w:cstheme="minorHAnsi"/>
        </w:rPr>
        <w:t>uvedena je obaveza da ljekari po pripravničkom stažu dvije godine rade na primarnom nivou, čime je jačan kadar u domovima zdravlja. Ukinuto je čekanje od dvije godine za specijalizaciju iz porodične medicine, što ubrzava popunu specijalista na primaru. Povećana su ovlašćenja zdravstvenih radnika: farmaceutima je omogućeno izdavanje zamjenskih lijekova istog INN, čime je poboljšan pristup terapiji. Sprovodi se analiza poslova medicinskih sestara i tehničara radi proširenja njihovih nadležnosti, definisanja koeficijenata i organizacije dodatne edukacije. U toku je izrada planskog okvira za specijalističke usluge na primarnom nivou i plan ljudskih resursa (tender u toku), kako bi se sistemski osigurale potrebe kadrova.</w:t>
      </w:r>
    </w:p>
    <w:p w14:paraId="27F75080" w14:textId="77777777" w:rsidR="004E4167" w:rsidRPr="000152CB" w:rsidRDefault="004E4167" w:rsidP="00C57716">
      <w:pPr>
        <w:rPr>
          <w:b/>
          <w:bCs/>
        </w:rPr>
      </w:pPr>
      <w:r w:rsidRPr="000152CB">
        <w:rPr>
          <w:b/>
          <w:bCs/>
        </w:rPr>
        <w:t>Digitalizacija i upravljanje podacima u zdravstvu</w:t>
      </w:r>
    </w:p>
    <w:p w14:paraId="55D7F80B" w14:textId="77777777" w:rsidR="004E4167" w:rsidRPr="000152CB" w:rsidRDefault="004E4167" w:rsidP="004E4167">
      <w:pPr>
        <w:spacing w:before="100" w:beforeAutospacing="1" w:after="100" w:afterAutospacing="1" w:line="240" w:lineRule="auto"/>
        <w:jc w:val="both"/>
        <w:rPr>
          <w:rFonts w:eastAsia="Times New Roman" w:cstheme="minorHAnsi"/>
        </w:rPr>
      </w:pPr>
      <w:r w:rsidRPr="000152CB">
        <w:rPr>
          <w:rFonts w:eastAsia="Times New Roman" w:cstheme="minorHAnsi"/>
        </w:rPr>
        <w:t xml:space="preserve">Strategija je uvela nadogradnju informacionog sistema u zdravstvu. Razvijen je modul unutar Zdravstvenog informacionog sistema za praćenje neželjenih događaja i prigovora pacijenata. Radi se na povezivanju svih nivoa zdravstvene zaštite (izabrani doktor, dom zdravlja, bolnica) u centralizovanu bazu podataka uz tehničku podršku SZO i EU, s fokusom na interoperabilnost i standardizaciju podataka. Upotreba platforme </w:t>
      </w:r>
      <w:r w:rsidRPr="000152CB">
        <w:rPr>
          <w:rFonts w:eastAsia="Times New Roman" w:cstheme="minorHAnsi"/>
          <w:i/>
          <w:iCs/>
        </w:rPr>
        <w:t>eZdravlje</w:t>
      </w:r>
      <w:r w:rsidRPr="000152CB">
        <w:rPr>
          <w:rFonts w:eastAsia="Times New Roman" w:cstheme="minorHAnsi"/>
        </w:rPr>
        <w:t xml:space="preserve"> je povećana (elektronsko zakazivanje i recepti), a planira se uvođenje jedinstvenog elektronskog zdravstvenog kartona: tender za faznu implementaciju zakazan je do kraja 2025. Uspostavljen je i operativni mehanizam za bolju razmjenu zdravstvenih podataka među ustanovama (međuinstitucionalni tim sa redovnim sastancima).</w:t>
      </w:r>
    </w:p>
    <w:p w14:paraId="5953AB04" w14:textId="77777777" w:rsidR="004E4167" w:rsidRPr="000152CB" w:rsidRDefault="004E4167" w:rsidP="00C57716">
      <w:pPr>
        <w:rPr>
          <w:b/>
          <w:bCs/>
        </w:rPr>
      </w:pPr>
      <w:r w:rsidRPr="000152CB">
        <w:rPr>
          <w:b/>
          <w:bCs/>
        </w:rPr>
        <w:t>Preventivni programi i promocija zdravlja</w:t>
      </w:r>
    </w:p>
    <w:p w14:paraId="79D49D4E" w14:textId="77777777" w:rsidR="004E4167" w:rsidRPr="000152CB" w:rsidRDefault="004E4167" w:rsidP="004E4167">
      <w:pPr>
        <w:spacing w:before="100" w:beforeAutospacing="1" w:after="100" w:afterAutospacing="1" w:line="240" w:lineRule="auto"/>
        <w:jc w:val="both"/>
        <w:rPr>
          <w:rFonts w:eastAsia="Times New Roman" w:cstheme="minorHAnsi"/>
        </w:rPr>
      </w:pPr>
      <w:r w:rsidRPr="000152CB">
        <w:rPr>
          <w:rFonts w:eastAsia="Times New Roman" w:cstheme="minorHAnsi"/>
        </w:rPr>
        <w:t xml:space="preserve">Strategija je ojačala programe ranog otkrivanja bolesti. Na nacionalnom nivou nastavljeno je organizovano </w:t>
      </w:r>
      <w:r w:rsidRPr="000152CB">
        <w:rPr>
          <w:rFonts w:eastAsia="Times New Roman" w:cstheme="minorHAnsi"/>
          <w:b/>
          <w:bCs/>
        </w:rPr>
        <w:t>skriningiranje karcinoma</w:t>
      </w:r>
      <w:r w:rsidRPr="000152CB">
        <w:rPr>
          <w:rFonts w:eastAsia="Times New Roman" w:cstheme="minorHAnsi"/>
        </w:rPr>
        <w:t xml:space="preserve">: 2023–24. testirano je više hiljada žena u programu za rak grlića materice, pri čemu su otkrivene desetine premalignih promjena koje su na vrijeme zbrinute. U 2024. pokrenut je pilot-skrining raka debelog crijeva u nekoliko opština – pozvano je oko 9.500 osoba, odzvalo se 5.500, a uočeni su brojni polipi i rani stadijumi bolesti. Zbog još nedovoljnog obuhvata stanovništva, intenzivirane su javne kampanje: Institut za javno zdravlje i Ministarstvo zdravlja sprovode medijske akcije tokom Evropske nedjelje prevencije raka grlića i „Pinktobar“ (oktobar). Uvedena je i besplatna </w:t>
      </w:r>
      <w:r w:rsidRPr="000152CB">
        <w:rPr>
          <w:rFonts w:eastAsia="Times New Roman" w:cstheme="minorHAnsi"/>
          <w:b/>
          <w:bCs/>
        </w:rPr>
        <w:t>HPV vakcina</w:t>
      </w:r>
      <w:r w:rsidRPr="000152CB">
        <w:rPr>
          <w:rFonts w:eastAsia="Times New Roman" w:cstheme="minorHAnsi"/>
        </w:rPr>
        <w:t xml:space="preserve"> za djevojčice i dječake uzrasta 9–14 godina; premda je početni odziv slab, očekuje se porast obuhvata kontinuiranom edukacijom. U okviru promocije zdravlja pokrenuti su obrazovni programi o pravilnoj ishrani i fizičkoj aktivnosti u školama, kao i radionice „Zdravlje na radnom mjestu“ za zaposlene u većim kompanijama.</w:t>
      </w:r>
    </w:p>
    <w:p w14:paraId="6CA3A5E8" w14:textId="77777777" w:rsidR="004E4167" w:rsidRPr="000152CB" w:rsidRDefault="004E4167" w:rsidP="00C57716">
      <w:pPr>
        <w:rPr>
          <w:b/>
          <w:bCs/>
        </w:rPr>
      </w:pPr>
      <w:r w:rsidRPr="000152CB">
        <w:rPr>
          <w:b/>
          <w:bCs/>
        </w:rPr>
        <w:lastRenderedPageBreak/>
        <w:t>Infrastrukturna ulaganja</w:t>
      </w:r>
    </w:p>
    <w:p w14:paraId="5D2096C3" w14:textId="77777777" w:rsidR="004E4167" w:rsidRPr="000152CB" w:rsidRDefault="004E4167" w:rsidP="004E4167">
      <w:pPr>
        <w:spacing w:before="100" w:beforeAutospacing="1" w:after="100" w:afterAutospacing="1" w:line="240" w:lineRule="auto"/>
        <w:jc w:val="both"/>
        <w:rPr>
          <w:rFonts w:eastAsia="Times New Roman" w:cstheme="minorHAnsi"/>
        </w:rPr>
      </w:pPr>
      <w:r w:rsidRPr="000152CB">
        <w:rPr>
          <w:rFonts w:eastAsia="Times New Roman" w:cstheme="minorHAnsi"/>
        </w:rPr>
        <w:t xml:space="preserve">U toku je značajan ciklus obnove i izgradnje objekata. Dobijen je kredit od 83 miliona € od Razvojne banke Savjeta Evrope za modernizaciju infrastrukture. Prioritetni projekti finansirani tim sredstvima su: nova Opšta bolnica u Pljevljima (zamjena dotrajale zgrade), novi Dom zdravlja </w:t>
      </w:r>
      <w:r w:rsidRPr="000152CB">
        <w:rPr>
          <w:rFonts w:eastAsia="Times New Roman" w:cstheme="minorHAnsi"/>
          <w:i/>
          <w:iCs/>
        </w:rPr>
        <w:t>City kvart</w:t>
      </w:r>
      <w:r w:rsidRPr="000152CB">
        <w:rPr>
          <w:rFonts w:eastAsia="Times New Roman" w:cstheme="minorHAnsi"/>
        </w:rPr>
        <w:t xml:space="preserve"> u Podgorici (za smanjenje opterećenja primara) i nova Klinika za hematologiju u KCCG (proširenje kapaciteta specijalizirane njege). Planirana je i nabavka savremene dijagnostičke opreme (više MRI i CT skenera). Pored toga, već su realizovane pojedinačne investicije: obnovljen je Odjel za dijalizu u Opštoj bolnici Bar, rekonstruisane prostorije Klinike za onkologiju KCCG, a Dom zdravlja Andrijevica dobio je novo sanitetsko vozilo i proširene ambulante. Donacijama i EU sredstvima opremljeno je nekoliko seoskih ambulanti novim vozilima i telemedicinskom opremom, što poboljšava dostupnost usluga u ruralnim područjima. Identifikovan je i značajan infrastrukturni izazov u lancu snabdijevanja lijekovima: zbog rasta prometa lijekova sa 30 na 150 miliona € godišnje, nedovoljno je skladišnog prostora u Montefarmu. Stoga je planirana izgradnja novog centralnog magacina Montefarma do 2026. godine, što će omogućiti stvaranje zaliha ključnih lijekova za najmanje godinu dana.</w:t>
      </w:r>
    </w:p>
    <w:p w14:paraId="46449CD1" w14:textId="77777777" w:rsidR="004E4167" w:rsidRPr="000152CB" w:rsidRDefault="004E4167" w:rsidP="00C57716">
      <w:pPr>
        <w:rPr>
          <w:b/>
          <w:bCs/>
        </w:rPr>
      </w:pPr>
      <w:r w:rsidRPr="000152CB">
        <w:rPr>
          <w:b/>
          <w:bCs/>
        </w:rPr>
        <w:t>Nedostaci i nerealizovane aktivnosti</w:t>
      </w:r>
    </w:p>
    <w:p w14:paraId="5140DFEE" w14:textId="11BFF2C4" w:rsidR="004E4167" w:rsidRPr="000152CB" w:rsidRDefault="004E4167" w:rsidP="004E4167">
      <w:pPr>
        <w:spacing w:before="100" w:beforeAutospacing="1" w:after="100" w:afterAutospacing="1" w:line="240" w:lineRule="auto"/>
        <w:jc w:val="both"/>
        <w:rPr>
          <w:rFonts w:eastAsia="Times New Roman" w:cstheme="minorHAnsi"/>
        </w:rPr>
      </w:pPr>
      <w:r w:rsidRPr="000152CB">
        <w:rPr>
          <w:rFonts w:eastAsia="Times New Roman" w:cstheme="minorHAnsi"/>
        </w:rPr>
        <w:t xml:space="preserve">Nisu realizovani svi zadaci iz strateškog okvira. Još nije usvojen dokument osnovnih standarda za pružanje zdravstvenih usluga na svim nivoima, niti je izgrađena sveobuhvatna analiza zdravstvenih potreba sa planom razvoja kadrova. Izmjene mreže zdravstvenih ustanova donesene su 2023, ali uredba o pravima i standardima na sekundarnom/tercijarnom nivou još je u izradi. Nedostaju mjere motivacije zdravstvenih radnika u ruralnim sredinama i model organizacije palijativne njege (odloženo zbog izmjena vlade), a još nije uspostavljen sistem mobilnosti specijalista među bolnicama niti model akreditacije zdravstvenih ustanova na primarnom nivou. Što se tiče upravljanja podacima, </w:t>
      </w:r>
      <w:r w:rsidRPr="000152CB">
        <w:rPr>
          <w:rFonts w:eastAsia="Times New Roman" w:cstheme="minorHAnsi"/>
          <w:b/>
          <w:bCs/>
        </w:rPr>
        <w:t xml:space="preserve">Nacionalni zdravstveni </w:t>
      </w:r>
      <w:r w:rsidR="00B01066">
        <w:rPr>
          <w:rFonts w:eastAsia="Times New Roman" w:cstheme="minorHAnsi"/>
          <w:b/>
          <w:bCs/>
        </w:rPr>
        <w:t>račun</w:t>
      </w:r>
      <w:r w:rsidRPr="000152CB">
        <w:rPr>
          <w:rFonts w:eastAsia="Times New Roman" w:cstheme="minorHAnsi"/>
        </w:rPr>
        <w:t xml:space="preserve"> još nije organizovan po predviđenom EU mehanizmu (treba uspostaviti institucionalni aranžman), a objedinjeni elektronski zdravstveni karton je tek u planu (tender i izrada arhitekture do kraja 2025.). Ovi nedostaci predstavljaju izazove za dalji napredak u sprovođenju strateških mjera u zdravstvu.</w:t>
      </w:r>
    </w:p>
    <w:p w14:paraId="3AD7A85D" w14:textId="235FB234" w:rsidR="00C85252" w:rsidRPr="000152CB" w:rsidRDefault="00C85252" w:rsidP="004E4167">
      <w:pPr>
        <w:spacing w:before="100" w:beforeAutospacing="1" w:after="100" w:afterAutospacing="1" w:line="240" w:lineRule="auto"/>
        <w:jc w:val="both"/>
        <w:rPr>
          <w:rFonts w:eastAsia="Times New Roman" w:cstheme="minorHAnsi"/>
          <w:b/>
          <w:bCs/>
        </w:rPr>
      </w:pPr>
      <w:r w:rsidRPr="000152CB">
        <w:rPr>
          <w:rFonts w:eastAsia="Times New Roman" w:cstheme="minorHAnsi"/>
          <w:b/>
          <w:bCs/>
        </w:rPr>
        <w:t>Ključni izazovi u prethodnom periodu:</w:t>
      </w:r>
    </w:p>
    <w:p w14:paraId="1912AD41" w14:textId="77777777" w:rsidR="00C85252" w:rsidRPr="000152CB" w:rsidRDefault="00C85252" w:rsidP="00C85252">
      <w:pPr>
        <w:pStyle w:val="NormalWeb"/>
        <w:jc w:val="both"/>
        <w:rPr>
          <w:rFonts w:asciiTheme="minorHAnsi" w:hAnsiTheme="minorHAnsi" w:cstheme="minorHAnsi"/>
          <w:sz w:val="22"/>
          <w:szCs w:val="22"/>
          <w:lang w:val="bs-Latn-BA"/>
        </w:rPr>
      </w:pPr>
      <w:r w:rsidRPr="000152CB">
        <w:rPr>
          <w:rFonts w:asciiTheme="minorHAnsi" w:hAnsiTheme="minorHAnsi" w:cstheme="minorHAnsi"/>
          <w:sz w:val="22"/>
          <w:szCs w:val="22"/>
          <w:lang w:val="bs-Latn-BA"/>
        </w:rPr>
        <w:t>Zdravstveni sistem suočava se s nekoliko ključnih izazova:</w:t>
      </w:r>
    </w:p>
    <w:p w14:paraId="7C8D521A" w14:textId="77777777" w:rsidR="00C85252" w:rsidRPr="000152CB" w:rsidRDefault="00C85252" w:rsidP="00C85252">
      <w:pPr>
        <w:pStyle w:val="NormalWeb"/>
        <w:numPr>
          <w:ilvl w:val="0"/>
          <w:numId w:val="17"/>
        </w:numPr>
        <w:jc w:val="both"/>
        <w:rPr>
          <w:rFonts w:asciiTheme="minorHAnsi" w:hAnsiTheme="minorHAnsi" w:cstheme="minorHAnsi"/>
          <w:sz w:val="22"/>
          <w:szCs w:val="22"/>
          <w:lang w:val="bs-Latn-BA"/>
        </w:rPr>
      </w:pPr>
      <w:r w:rsidRPr="000152CB">
        <w:rPr>
          <w:rStyle w:val="Naglaeno"/>
          <w:rFonts w:asciiTheme="minorHAnsi" w:eastAsiaTheme="majorEastAsia" w:hAnsiTheme="minorHAnsi" w:cstheme="minorHAnsi"/>
          <w:sz w:val="22"/>
          <w:szCs w:val="22"/>
          <w:lang w:val="bs-Latn-BA"/>
        </w:rPr>
        <w:t>Kadrovski problemi</w:t>
      </w:r>
      <w:r w:rsidRPr="000152CB">
        <w:rPr>
          <w:rFonts w:asciiTheme="minorHAnsi" w:hAnsiTheme="minorHAnsi" w:cstheme="minorHAnsi"/>
          <w:sz w:val="22"/>
          <w:szCs w:val="22"/>
          <w:lang w:val="bs-Latn-BA"/>
        </w:rPr>
        <w:t>: Nedostatak specijalista i odlazak ljekara opterećuju postojeći kadar, a prekovremeni rad nije održiv.</w:t>
      </w:r>
    </w:p>
    <w:p w14:paraId="5493B830" w14:textId="77777777" w:rsidR="00C85252" w:rsidRPr="000152CB" w:rsidRDefault="00C85252" w:rsidP="00C85252">
      <w:pPr>
        <w:pStyle w:val="NormalWeb"/>
        <w:numPr>
          <w:ilvl w:val="0"/>
          <w:numId w:val="17"/>
        </w:numPr>
        <w:jc w:val="both"/>
        <w:rPr>
          <w:rFonts w:asciiTheme="minorHAnsi" w:hAnsiTheme="minorHAnsi" w:cstheme="minorHAnsi"/>
          <w:sz w:val="22"/>
          <w:szCs w:val="22"/>
          <w:lang w:val="bs-Latn-BA"/>
        </w:rPr>
      </w:pPr>
      <w:r w:rsidRPr="000152CB">
        <w:rPr>
          <w:rStyle w:val="Naglaeno"/>
          <w:rFonts w:asciiTheme="minorHAnsi" w:eastAsiaTheme="majorEastAsia" w:hAnsiTheme="minorHAnsi" w:cstheme="minorHAnsi"/>
          <w:sz w:val="22"/>
          <w:szCs w:val="22"/>
          <w:lang w:val="bs-Latn-BA"/>
        </w:rPr>
        <w:t>Finansijska održivost</w:t>
      </w:r>
      <w:r w:rsidRPr="000152CB">
        <w:rPr>
          <w:rFonts w:asciiTheme="minorHAnsi" w:hAnsiTheme="minorHAnsi" w:cstheme="minorHAnsi"/>
          <w:sz w:val="22"/>
          <w:szCs w:val="22"/>
          <w:lang w:val="bs-Latn-BA"/>
        </w:rPr>
        <w:t>: Velika ulaganja i porast troškova lijekova izazivaju pritisak na budžet, a potrebno je osigurati dugoročno održivo finansiranje.</w:t>
      </w:r>
    </w:p>
    <w:p w14:paraId="420DF64F" w14:textId="77777777" w:rsidR="00C85252" w:rsidRPr="000152CB" w:rsidRDefault="00C85252" w:rsidP="00C85252">
      <w:pPr>
        <w:pStyle w:val="NormalWeb"/>
        <w:numPr>
          <w:ilvl w:val="0"/>
          <w:numId w:val="17"/>
        </w:numPr>
        <w:jc w:val="both"/>
        <w:rPr>
          <w:rFonts w:asciiTheme="minorHAnsi" w:hAnsiTheme="minorHAnsi" w:cstheme="minorHAnsi"/>
          <w:sz w:val="22"/>
          <w:szCs w:val="22"/>
          <w:lang w:val="bs-Latn-BA"/>
        </w:rPr>
      </w:pPr>
      <w:r w:rsidRPr="000152CB">
        <w:rPr>
          <w:rStyle w:val="Naglaeno"/>
          <w:rFonts w:asciiTheme="minorHAnsi" w:eastAsiaTheme="majorEastAsia" w:hAnsiTheme="minorHAnsi" w:cstheme="minorHAnsi"/>
          <w:sz w:val="22"/>
          <w:szCs w:val="22"/>
          <w:lang w:val="bs-Latn-BA"/>
        </w:rPr>
        <w:t>Administrativne prepreke</w:t>
      </w:r>
      <w:r w:rsidRPr="000152CB">
        <w:rPr>
          <w:rFonts w:asciiTheme="minorHAnsi" w:hAnsiTheme="minorHAnsi" w:cstheme="minorHAnsi"/>
          <w:sz w:val="22"/>
          <w:szCs w:val="22"/>
          <w:lang w:val="bs-Latn-BA"/>
        </w:rPr>
        <w:t>: Ograničeni kapaciteti i birokratske prepreke usporavaju implementaciju mjera i nabavku opreme.</w:t>
      </w:r>
    </w:p>
    <w:p w14:paraId="2CAF0B9E" w14:textId="77777777" w:rsidR="00C85252" w:rsidRPr="000152CB" w:rsidRDefault="00C85252" w:rsidP="00C85252">
      <w:pPr>
        <w:pStyle w:val="NormalWeb"/>
        <w:numPr>
          <w:ilvl w:val="0"/>
          <w:numId w:val="17"/>
        </w:numPr>
        <w:jc w:val="both"/>
        <w:rPr>
          <w:rFonts w:asciiTheme="minorHAnsi" w:hAnsiTheme="minorHAnsi" w:cstheme="minorHAnsi"/>
          <w:sz w:val="22"/>
          <w:szCs w:val="22"/>
          <w:lang w:val="bs-Latn-BA"/>
        </w:rPr>
      </w:pPr>
      <w:r w:rsidRPr="000152CB">
        <w:rPr>
          <w:rStyle w:val="Naglaeno"/>
          <w:rFonts w:asciiTheme="minorHAnsi" w:eastAsiaTheme="majorEastAsia" w:hAnsiTheme="minorHAnsi" w:cstheme="minorHAnsi"/>
          <w:sz w:val="22"/>
          <w:szCs w:val="22"/>
          <w:lang w:val="bs-Latn-BA"/>
        </w:rPr>
        <w:t>Otpor promjenama</w:t>
      </w:r>
      <w:r w:rsidRPr="000152CB">
        <w:rPr>
          <w:rFonts w:asciiTheme="minorHAnsi" w:hAnsiTheme="minorHAnsi" w:cstheme="minorHAnsi"/>
          <w:sz w:val="22"/>
          <w:szCs w:val="22"/>
          <w:lang w:val="bs-Latn-BA"/>
        </w:rPr>
        <w:t>: Reforme nailaze na unutrašnji otpor, a problemi u koordinaciji između institucija otežavaju efikasnu implementaciju.</w:t>
      </w:r>
    </w:p>
    <w:p w14:paraId="525D7AD9" w14:textId="77777777" w:rsidR="00C85252" w:rsidRPr="000152CB" w:rsidRDefault="00C85252" w:rsidP="00C85252">
      <w:pPr>
        <w:pStyle w:val="NormalWeb"/>
        <w:numPr>
          <w:ilvl w:val="0"/>
          <w:numId w:val="17"/>
        </w:numPr>
        <w:jc w:val="both"/>
        <w:rPr>
          <w:rFonts w:asciiTheme="minorHAnsi" w:hAnsiTheme="minorHAnsi" w:cstheme="minorHAnsi"/>
          <w:sz w:val="22"/>
          <w:szCs w:val="22"/>
          <w:lang w:val="bs-Latn-BA"/>
        </w:rPr>
      </w:pPr>
      <w:r w:rsidRPr="000152CB">
        <w:rPr>
          <w:rStyle w:val="Naglaeno"/>
          <w:rFonts w:asciiTheme="minorHAnsi" w:eastAsiaTheme="majorEastAsia" w:hAnsiTheme="minorHAnsi" w:cstheme="minorHAnsi"/>
          <w:sz w:val="22"/>
          <w:szCs w:val="22"/>
          <w:lang w:val="bs-Latn-BA"/>
        </w:rPr>
        <w:t>Geografske nejednakosti</w:t>
      </w:r>
      <w:r w:rsidRPr="000152CB">
        <w:rPr>
          <w:rFonts w:asciiTheme="minorHAnsi" w:hAnsiTheme="minorHAnsi" w:cstheme="minorHAnsi"/>
          <w:sz w:val="22"/>
          <w:szCs w:val="22"/>
          <w:lang w:val="bs-Latn-BA"/>
        </w:rPr>
        <w:t>: Razlike u dostupnosti usluga između regija i nedostatak specijalista na sjeveru zemlje predstavljaju izazov za ravnomjernu zdravstvenu zaštitu.</w:t>
      </w:r>
    </w:p>
    <w:p w14:paraId="673EB77D" w14:textId="77777777" w:rsidR="00C85252" w:rsidRPr="000152CB" w:rsidRDefault="00C85252" w:rsidP="00C85252">
      <w:pPr>
        <w:pStyle w:val="NormalWeb"/>
        <w:numPr>
          <w:ilvl w:val="0"/>
          <w:numId w:val="17"/>
        </w:numPr>
        <w:jc w:val="both"/>
        <w:rPr>
          <w:rFonts w:asciiTheme="minorHAnsi" w:hAnsiTheme="minorHAnsi" w:cstheme="minorHAnsi"/>
          <w:sz w:val="22"/>
          <w:szCs w:val="22"/>
          <w:lang w:val="bs-Latn-BA"/>
        </w:rPr>
      </w:pPr>
      <w:r w:rsidRPr="000152CB">
        <w:rPr>
          <w:rStyle w:val="Naglaeno"/>
          <w:rFonts w:asciiTheme="minorHAnsi" w:eastAsiaTheme="majorEastAsia" w:hAnsiTheme="minorHAnsi" w:cstheme="minorHAnsi"/>
          <w:sz w:val="22"/>
          <w:szCs w:val="22"/>
          <w:lang w:val="bs-Latn-BA"/>
        </w:rPr>
        <w:lastRenderedPageBreak/>
        <w:t>Nizak odziv na preventivne programe</w:t>
      </w:r>
      <w:r w:rsidRPr="000152CB">
        <w:rPr>
          <w:rFonts w:asciiTheme="minorHAnsi" w:hAnsiTheme="minorHAnsi" w:cstheme="minorHAnsi"/>
          <w:sz w:val="22"/>
          <w:szCs w:val="22"/>
          <w:lang w:val="bs-Latn-BA"/>
        </w:rPr>
        <w:t>: Nizak odziv građana na preventivne mjere smanjuje efikasnost zdravstva.</w:t>
      </w:r>
    </w:p>
    <w:p w14:paraId="6C121C63" w14:textId="77777777" w:rsidR="00C85252" w:rsidRPr="000152CB" w:rsidRDefault="00C85252" w:rsidP="00C85252">
      <w:pPr>
        <w:pStyle w:val="NormalWeb"/>
        <w:numPr>
          <w:ilvl w:val="0"/>
          <w:numId w:val="17"/>
        </w:numPr>
        <w:jc w:val="both"/>
        <w:rPr>
          <w:rFonts w:asciiTheme="minorHAnsi" w:hAnsiTheme="minorHAnsi" w:cstheme="minorHAnsi"/>
          <w:sz w:val="22"/>
          <w:szCs w:val="22"/>
          <w:lang w:val="bs-Latn-BA"/>
        </w:rPr>
      </w:pPr>
      <w:r w:rsidRPr="000152CB">
        <w:rPr>
          <w:rStyle w:val="Naglaeno"/>
          <w:rFonts w:asciiTheme="minorHAnsi" w:eastAsiaTheme="majorEastAsia" w:hAnsiTheme="minorHAnsi" w:cstheme="minorHAnsi"/>
          <w:sz w:val="22"/>
          <w:szCs w:val="22"/>
          <w:lang w:val="bs-Latn-BA"/>
        </w:rPr>
        <w:t>Kvalitet usluga</w:t>
      </w:r>
      <w:r w:rsidRPr="000152CB">
        <w:rPr>
          <w:rFonts w:asciiTheme="minorHAnsi" w:hAnsiTheme="minorHAnsi" w:cstheme="minorHAnsi"/>
          <w:sz w:val="22"/>
          <w:szCs w:val="22"/>
          <w:lang w:val="bs-Latn-BA"/>
        </w:rPr>
        <w:t>: Proširenje kapaciteta može uticati na kvalitet ako se ne primjenjuju adekvatni standardi i mentorstvo za mlade ljekare.</w:t>
      </w:r>
    </w:p>
    <w:p w14:paraId="0DDD0AE1" w14:textId="11F1F5CA" w:rsidR="000D1B27" w:rsidRPr="000152CB" w:rsidRDefault="00C85252" w:rsidP="000D1B27">
      <w:pPr>
        <w:jc w:val="both"/>
        <w:rPr>
          <w:u w:val="single"/>
        </w:rPr>
      </w:pPr>
      <w:r w:rsidRPr="000152CB">
        <w:rPr>
          <w:noProof/>
          <w:highlight w:val="yellow"/>
          <w:u w:val="single"/>
        </w:rPr>
        <w:drawing>
          <wp:anchor distT="0" distB="0" distL="114300" distR="114300" simplePos="0" relativeHeight="251656192" behindDoc="0" locked="0" layoutInCell="1" allowOverlap="1" wp14:anchorId="1A89FFB2" wp14:editId="64A12735">
            <wp:simplePos x="0" y="0"/>
            <wp:positionH relativeFrom="margin">
              <wp:posOffset>-86995</wp:posOffset>
            </wp:positionH>
            <wp:positionV relativeFrom="paragraph">
              <wp:posOffset>273050</wp:posOffset>
            </wp:positionV>
            <wp:extent cx="4053840" cy="2395855"/>
            <wp:effectExtent l="0" t="0" r="3810" b="4445"/>
            <wp:wrapSquare wrapText="bothSides"/>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sidR="000D1B27" w:rsidRPr="000152CB">
        <w:rPr>
          <w:u w:val="single"/>
        </w:rPr>
        <w:t>Prikaz stepena realizacije aktivnosti predstavljen za svaki od akcionih planova:</w:t>
      </w:r>
    </w:p>
    <w:p w14:paraId="40B68DFD" w14:textId="53E58B14" w:rsidR="000D1B27" w:rsidRPr="000152CB" w:rsidRDefault="000D1B27" w:rsidP="00D25E12">
      <w:pPr>
        <w:jc w:val="center"/>
      </w:pPr>
      <w:r w:rsidRPr="000152CB">
        <w:rPr>
          <w:noProof/>
          <w:shd w:val="clear" w:color="auto" w:fill="FFFF00"/>
        </w:rPr>
        <w:drawing>
          <wp:inline distT="0" distB="0" distL="0" distR="0" wp14:anchorId="494D8CF9" wp14:editId="393BE6C0">
            <wp:extent cx="3922395" cy="2389454"/>
            <wp:effectExtent l="0" t="0" r="1905" b="11430"/>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0152CB">
        <w:br w:type="textWrapping" w:clear="all"/>
      </w:r>
      <w:r w:rsidRPr="000152CB">
        <w:rPr>
          <w:color w:val="767171" w:themeColor="background2" w:themeShade="80"/>
          <w:sz w:val="18"/>
          <w:szCs w:val="18"/>
        </w:rPr>
        <w:t xml:space="preserve">Tabela br. 1: Uporedni prikaz stepena realizacije aktivnosti po </w:t>
      </w:r>
      <w:r w:rsidR="004F55DC">
        <w:rPr>
          <w:color w:val="767171" w:themeColor="background2" w:themeShade="80"/>
          <w:sz w:val="18"/>
          <w:szCs w:val="18"/>
        </w:rPr>
        <w:t>dvogodišnji period</w:t>
      </w:r>
    </w:p>
    <w:p w14:paraId="3671E825" w14:textId="77777777" w:rsidR="000D1B27" w:rsidRPr="000152CB" w:rsidRDefault="000D1B27" w:rsidP="000D1B27">
      <w:pPr>
        <w:jc w:val="center"/>
        <w:rPr>
          <w:rFonts w:ascii="Cambria" w:eastAsia="Calibri" w:hAnsi="Cambria" w:cs="Times New Roman"/>
          <w:bCs/>
          <w:noProof/>
          <w:sz w:val="20"/>
          <w:szCs w:val="20"/>
          <w:u w:val="single"/>
        </w:rPr>
      </w:pPr>
      <w:r w:rsidRPr="000152CB">
        <w:rPr>
          <w:rFonts w:ascii="Cambria" w:eastAsia="Calibri" w:hAnsi="Cambria" w:cs="Times New Roman"/>
          <w:bCs/>
          <w:noProof/>
          <w:sz w:val="20"/>
          <w:szCs w:val="20"/>
          <w:u w:val="single"/>
        </w:rPr>
        <w:lastRenderedPageBreak/>
        <w:drawing>
          <wp:inline distT="0" distB="0" distL="0" distR="0" wp14:anchorId="32C64C85" wp14:editId="7B96C9D0">
            <wp:extent cx="7995920" cy="3777740"/>
            <wp:effectExtent l="0" t="0" r="5080" b="1333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AE3A6FC" w14:textId="77777777" w:rsidR="000D1B27" w:rsidRPr="000152CB" w:rsidRDefault="000D1B27" w:rsidP="000D1B27">
      <w:pPr>
        <w:jc w:val="center"/>
        <w:rPr>
          <w:rFonts w:eastAsia="Calibri" w:cstheme="minorHAnsi"/>
          <w:bCs/>
          <w:noProof/>
          <w:color w:val="767171" w:themeColor="background2" w:themeShade="80"/>
          <w:sz w:val="16"/>
          <w:szCs w:val="16"/>
        </w:rPr>
      </w:pPr>
      <w:r w:rsidRPr="000152CB">
        <w:rPr>
          <w:rFonts w:eastAsia="Calibri" w:cstheme="minorHAnsi"/>
          <w:bCs/>
          <w:noProof/>
          <w:color w:val="767171" w:themeColor="background2" w:themeShade="80"/>
          <w:sz w:val="16"/>
          <w:szCs w:val="16"/>
        </w:rPr>
        <w:t>Tabela br. 2: Pregled realizacije aktivnosti po svm oblastima strateškog dokumenta</w:t>
      </w:r>
    </w:p>
    <w:p w14:paraId="3CB38E1D" w14:textId="5CA520E4" w:rsidR="00CC2A1D" w:rsidRPr="000152CB" w:rsidRDefault="00CC2A1D" w:rsidP="00CC2A1D">
      <w:pPr>
        <w:jc w:val="both"/>
        <w:rPr>
          <w:rFonts w:eastAsia="Calibri" w:cstheme="minorHAnsi"/>
          <w:bCs/>
          <w:noProof/>
          <w:u w:val="single"/>
        </w:rPr>
      </w:pPr>
      <w:r w:rsidRPr="000152CB">
        <w:rPr>
          <w:rFonts w:eastAsia="Calibri" w:cstheme="minorHAnsi"/>
          <w:bCs/>
          <w:noProof/>
          <w:u w:val="single"/>
        </w:rPr>
        <w:t xml:space="preserve">Za </w:t>
      </w:r>
      <w:r w:rsidR="00FC3540" w:rsidRPr="000152CB">
        <w:rPr>
          <w:rFonts w:eastAsia="Calibri" w:cstheme="minorHAnsi"/>
          <w:bCs/>
          <w:noProof/>
          <w:u w:val="single"/>
        </w:rPr>
        <w:t>dvogodišnji</w:t>
      </w:r>
      <w:r w:rsidRPr="000152CB">
        <w:rPr>
          <w:rFonts w:eastAsia="Calibri" w:cstheme="minorHAnsi"/>
          <w:bCs/>
          <w:noProof/>
          <w:u w:val="single"/>
        </w:rPr>
        <w:t xml:space="preserve"> period trajanja </w:t>
      </w:r>
      <w:r w:rsidR="00FC3540" w:rsidRPr="000152CB">
        <w:rPr>
          <w:rFonts w:eastAsia="Calibri" w:cstheme="minorHAnsi"/>
          <w:bCs/>
          <w:noProof/>
          <w:u w:val="single"/>
        </w:rPr>
        <w:t>akcionog plana</w:t>
      </w:r>
      <w:r w:rsidRPr="000152CB">
        <w:rPr>
          <w:rFonts w:eastAsia="Calibri" w:cstheme="minorHAnsi"/>
          <w:bCs/>
          <w:noProof/>
          <w:u w:val="single"/>
        </w:rPr>
        <w:t xml:space="preserve">, predviđene su ukupno </w:t>
      </w:r>
      <w:r w:rsidR="00FC3540" w:rsidRPr="000152CB">
        <w:rPr>
          <w:rFonts w:eastAsia="Calibri" w:cstheme="minorHAnsi"/>
          <w:bCs/>
          <w:noProof/>
          <w:u w:val="single"/>
        </w:rPr>
        <w:t>103</w:t>
      </w:r>
      <w:r w:rsidRPr="000152CB">
        <w:rPr>
          <w:rFonts w:eastAsia="Calibri" w:cstheme="minorHAnsi"/>
          <w:bCs/>
          <w:noProof/>
          <w:u w:val="single"/>
        </w:rPr>
        <w:t xml:space="preserve"> aktivnosti. Od navedenog broja aktivnosti potpuno je realizovano </w:t>
      </w:r>
      <w:r w:rsidR="00FC3540" w:rsidRPr="000152CB">
        <w:rPr>
          <w:rFonts w:eastAsia="Calibri" w:cstheme="minorHAnsi"/>
          <w:bCs/>
          <w:noProof/>
          <w:u w:val="single"/>
        </w:rPr>
        <w:t>40</w:t>
      </w:r>
      <w:r w:rsidRPr="000152CB">
        <w:rPr>
          <w:rFonts w:eastAsia="Calibri" w:cstheme="minorHAnsi"/>
          <w:bCs/>
          <w:noProof/>
          <w:u w:val="single"/>
        </w:rPr>
        <w:t xml:space="preserve"> aktivnosti, iliti </w:t>
      </w:r>
      <w:r w:rsidR="00FC3540" w:rsidRPr="000152CB">
        <w:rPr>
          <w:rFonts w:eastAsia="Calibri" w:cstheme="minorHAnsi"/>
          <w:bCs/>
          <w:noProof/>
          <w:u w:val="single"/>
        </w:rPr>
        <w:t>39</w:t>
      </w:r>
      <w:r w:rsidRPr="000152CB">
        <w:rPr>
          <w:rFonts w:eastAsia="Calibri" w:cstheme="minorHAnsi"/>
          <w:bCs/>
          <w:noProof/>
          <w:u w:val="single"/>
        </w:rPr>
        <w:t xml:space="preserve">% aktivnosti. Djelimično je realizovano </w:t>
      </w:r>
      <w:r w:rsidR="00FC3540" w:rsidRPr="000152CB">
        <w:rPr>
          <w:rFonts w:eastAsia="Calibri" w:cstheme="minorHAnsi"/>
          <w:bCs/>
          <w:noProof/>
          <w:u w:val="single"/>
        </w:rPr>
        <w:t>39</w:t>
      </w:r>
      <w:r w:rsidRPr="000152CB">
        <w:rPr>
          <w:rFonts w:eastAsia="Calibri" w:cstheme="minorHAnsi"/>
          <w:bCs/>
          <w:noProof/>
          <w:u w:val="single"/>
        </w:rPr>
        <w:t xml:space="preserve"> aktivnosti, iliti </w:t>
      </w:r>
      <w:r w:rsidR="00FC3540" w:rsidRPr="000152CB">
        <w:rPr>
          <w:rFonts w:eastAsia="Calibri" w:cstheme="minorHAnsi"/>
          <w:bCs/>
          <w:noProof/>
          <w:u w:val="single"/>
        </w:rPr>
        <w:t>38</w:t>
      </w:r>
      <w:r w:rsidRPr="000152CB">
        <w:rPr>
          <w:rFonts w:eastAsia="Calibri" w:cstheme="minorHAnsi"/>
          <w:bCs/>
          <w:noProof/>
          <w:u w:val="single"/>
        </w:rPr>
        <w:t xml:space="preserve">% aktivnosti. </w:t>
      </w:r>
      <w:r w:rsidR="00FC3540" w:rsidRPr="000152CB">
        <w:rPr>
          <w:rFonts w:eastAsia="Calibri" w:cstheme="minorHAnsi"/>
          <w:bCs/>
          <w:noProof/>
          <w:u w:val="single"/>
        </w:rPr>
        <w:t>Nisu realizovane 24</w:t>
      </w:r>
      <w:r w:rsidRPr="000152CB">
        <w:rPr>
          <w:rFonts w:eastAsia="Calibri" w:cstheme="minorHAnsi"/>
          <w:bCs/>
          <w:noProof/>
          <w:u w:val="single"/>
        </w:rPr>
        <w:t xml:space="preserve">  aktivnosti, iliti </w:t>
      </w:r>
      <w:r w:rsidR="00FC3540" w:rsidRPr="000152CB">
        <w:rPr>
          <w:rFonts w:eastAsia="Calibri" w:cstheme="minorHAnsi"/>
          <w:bCs/>
          <w:noProof/>
          <w:u w:val="single"/>
        </w:rPr>
        <w:t>23</w:t>
      </w:r>
      <w:r w:rsidRPr="000152CB">
        <w:rPr>
          <w:rFonts w:eastAsia="Calibri" w:cstheme="minorHAnsi"/>
          <w:bCs/>
          <w:noProof/>
          <w:u w:val="single"/>
        </w:rPr>
        <w:t xml:space="preserve">% aktivnosti.  </w:t>
      </w:r>
    </w:p>
    <w:p w14:paraId="4F5FCFCB" w14:textId="56124207" w:rsidR="00CC2A1D" w:rsidRPr="000152CB" w:rsidRDefault="00CC2A1D" w:rsidP="00CC2A1D">
      <w:pPr>
        <w:jc w:val="both"/>
      </w:pPr>
      <w:r w:rsidRPr="000152CB">
        <w:t>Kratak osvrt na planirana i realizovana finansijska sredstva pro</w:t>
      </w:r>
      <w:r w:rsidR="002C5C68" w:rsidRPr="000152CB">
        <w:t>ist</w:t>
      </w:r>
      <w:r w:rsidRPr="000152CB">
        <w:t>ekla iz budžeta</w:t>
      </w:r>
      <w:r w:rsidR="00FD100A" w:rsidRPr="000152CB">
        <w:t xml:space="preserve"> i donacijaa</w:t>
      </w:r>
      <w:r w:rsidRPr="000152CB">
        <w:t xml:space="preserve"> za cjelokupni period trajanja </w:t>
      </w:r>
      <w:r w:rsidR="002C5C68" w:rsidRPr="000152CB">
        <w:t>akcionog plana</w:t>
      </w:r>
      <w:r w:rsidRPr="000152CB">
        <w:t>:</w:t>
      </w:r>
    </w:p>
    <w:tbl>
      <w:tblPr>
        <w:tblStyle w:val="Tabelakoordinatnemree4akcenat5"/>
        <w:tblW w:w="0" w:type="auto"/>
        <w:tblLook w:val="04A0" w:firstRow="1" w:lastRow="0" w:firstColumn="1" w:lastColumn="0" w:noHBand="0" w:noVBand="1"/>
      </w:tblPr>
      <w:tblGrid>
        <w:gridCol w:w="4284"/>
        <w:gridCol w:w="4519"/>
        <w:gridCol w:w="4147"/>
      </w:tblGrid>
      <w:tr w:rsidR="00CC2A1D" w:rsidRPr="000152CB" w14:paraId="4358CE9A" w14:textId="77777777" w:rsidTr="008451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84" w:type="dxa"/>
          </w:tcPr>
          <w:p w14:paraId="29B36FBF" w14:textId="77777777" w:rsidR="00CC2A1D" w:rsidRPr="000152CB" w:rsidRDefault="00CC2A1D" w:rsidP="009D4F7C">
            <w:pPr>
              <w:jc w:val="both"/>
            </w:pPr>
            <w:r w:rsidRPr="000152CB">
              <w:t>Godina</w:t>
            </w:r>
          </w:p>
        </w:tc>
        <w:tc>
          <w:tcPr>
            <w:tcW w:w="4519" w:type="dxa"/>
          </w:tcPr>
          <w:p w14:paraId="63D2B36C" w14:textId="77777777" w:rsidR="00CC2A1D" w:rsidRPr="000152CB" w:rsidRDefault="00CC2A1D" w:rsidP="009D4F7C">
            <w:pPr>
              <w:jc w:val="center"/>
              <w:cnfStyle w:val="100000000000" w:firstRow="1" w:lastRow="0" w:firstColumn="0" w:lastColumn="0" w:oddVBand="0" w:evenVBand="0" w:oddHBand="0" w:evenHBand="0" w:firstRowFirstColumn="0" w:firstRowLastColumn="0" w:lastRowFirstColumn="0" w:lastRowLastColumn="0"/>
            </w:pPr>
            <w:r w:rsidRPr="000152CB">
              <w:t>Planirana sredstva</w:t>
            </w:r>
          </w:p>
        </w:tc>
        <w:tc>
          <w:tcPr>
            <w:tcW w:w="4147" w:type="dxa"/>
          </w:tcPr>
          <w:p w14:paraId="253A298D" w14:textId="77777777" w:rsidR="00CC2A1D" w:rsidRPr="000152CB" w:rsidRDefault="00CC2A1D" w:rsidP="009D4F7C">
            <w:pPr>
              <w:jc w:val="center"/>
              <w:cnfStyle w:val="100000000000" w:firstRow="1" w:lastRow="0" w:firstColumn="0" w:lastColumn="0" w:oddVBand="0" w:evenVBand="0" w:oddHBand="0" w:evenHBand="0" w:firstRowFirstColumn="0" w:firstRowLastColumn="0" w:lastRowFirstColumn="0" w:lastRowLastColumn="0"/>
            </w:pPr>
            <w:r w:rsidRPr="000152CB">
              <w:t>Utrošena sredstva</w:t>
            </w:r>
          </w:p>
        </w:tc>
      </w:tr>
      <w:tr w:rsidR="00CC2A1D" w:rsidRPr="000152CB" w14:paraId="5FA5A6DC" w14:textId="77777777" w:rsidTr="008451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84" w:type="dxa"/>
          </w:tcPr>
          <w:p w14:paraId="110BDE85" w14:textId="77777777" w:rsidR="008451BA" w:rsidRPr="000152CB" w:rsidRDefault="008451BA" w:rsidP="009D4F7C">
            <w:pPr>
              <w:jc w:val="both"/>
              <w:rPr>
                <w:b w:val="0"/>
                <w:bCs w:val="0"/>
              </w:rPr>
            </w:pPr>
          </w:p>
          <w:p w14:paraId="1705F2B2" w14:textId="77777777" w:rsidR="00CC2A1D" w:rsidRPr="000152CB" w:rsidRDefault="00CC2A1D" w:rsidP="009D4F7C">
            <w:pPr>
              <w:jc w:val="both"/>
              <w:rPr>
                <w:b w:val="0"/>
                <w:bCs w:val="0"/>
              </w:rPr>
            </w:pPr>
            <w:r w:rsidRPr="000152CB">
              <w:t>2023</w:t>
            </w:r>
            <w:r w:rsidR="008451BA" w:rsidRPr="000152CB">
              <w:t>-2024</w:t>
            </w:r>
          </w:p>
          <w:p w14:paraId="40FAD59E" w14:textId="0F645462" w:rsidR="008451BA" w:rsidRPr="000152CB" w:rsidRDefault="008451BA" w:rsidP="009D4F7C">
            <w:pPr>
              <w:jc w:val="both"/>
            </w:pPr>
          </w:p>
        </w:tc>
        <w:tc>
          <w:tcPr>
            <w:tcW w:w="4519" w:type="dxa"/>
          </w:tcPr>
          <w:p w14:paraId="559EDCA1" w14:textId="77777777" w:rsidR="008451BA" w:rsidRPr="000152CB" w:rsidRDefault="008451BA" w:rsidP="008451BA">
            <w:pPr>
              <w:jc w:val="center"/>
              <w:cnfStyle w:val="000000100000" w:firstRow="0" w:lastRow="0" w:firstColumn="0" w:lastColumn="0" w:oddVBand="0" w:evenVBand="0" w:oddHBand="1" w:evenHBand="0" w:firstRowFirstColumn="0" w:firstRowLastColumn="0" w:lastRowFirstColumn="0" w:lastRowLastColumn="0"/>
              <w:rPr>
                <w:b/>
                <w:bCs/>
              </w:rPr>
            </w:pPr>
          </w:p>
          <w:p w14:paraId="1C90AC5A" w14:textId="5A3C47E4" w:rsidR="008451BA" w:rsidRPr="000152CB" w:rsidRDefault="008451BA" w:rsidP="008451BA">
            <w:pPr>
              <w:jc w:val="center"/>
              <w:cnfStyle w:val="000000100000" w:firstRow="0" w:lastRow="0" w:firstColumn="0" w:lastColumn="0" w:oddVBand="0" w:evenVBand="0" w:oddHBand="1" w:evenHBand="0" w:firstRowFirstColumn="0" w:firstRowLastColumn="0" w:lastRowFirstColumn="0" w:lastRowLastColumn="0"/>
              <w:rPr>
                <w:b/>
                <w:bCs/>
              </w:rPr>
            </w:pPr>
            <w:r w:rsidRPr="000152CB">
              <w:rPr>
                <w:b/>
                <w:bCs/>
              </w:rPr>
              <w:t>28.114,492 eura</w:t>
            </w:r>
          </w:p>
          <w:p w14:paraId="71E1E8E9" w14:textId="22337BA1" w:rsidR="00CC2A1D" w:rsidRPr="000152CB" w:rsidRDefault="00CC2A1D" w:rsidP="008451BA">
            <w:pPr>
              <w:jc w:val="center"/>
              <w:cnfStyle w:val="000000100000" w:firstRow="0" w:lastRow="0" w:firstColumn="0" w:lastColumn="0" w:oddVBand="0" w:evenVBand="0" w:oddHBand="1" w:evenHBand="0" w:firstRowFirstColumn="0" w:firstRowLastColumn="0" w:lastRowFirstColumn="0" w:lastRowLastColumn="0"/>
              <w:rPr>
                <w:b/>
                <w:bCs/>
                <w:highlight w:val="yellow"/>
              </w:rPr>
            </w:pPr>
          </w:p>
        </w:tc>
        <w:tc>
          <w:tcPr>
            <w:tcW w:w="4147" w:type="dxa"/>
          </w:tcPr>
          <w:p w14:paraId="1C016839" w14:textId="77777777" w:rsidR="008451BA" w:rsidRPr="000152CB" w:rsidRDefault="008451BA" w:rsidP="009D4F7C">
            <w:pPr>
              <w:jc w:val="center"/>
              <w:cnfStyle w:val="000000100000" w:firstRow="0" w:lastRow="0" w:firstColumn="0" w:lastColumn="0" w:oddVBand="0" w:evenVBand="0" w:oddHBand="1" w:evenHBand="0" w:firstRowFirstColumn="0" w:firstRowLastColumn="0" w:lastRowFirstColumn="0" w:lastRowLastColumn="0"/>
              <w:rPr>
                <w:b/>
                <w:bCs/>
              </w:rPr>
            </w:pPr>
          </w:p>
          <w:p w14:paraId="02B11CAC" w14:textId="4A82EE6B" w:rsidR="00CC2A1D" w:rsidRPr="000152CB" w:rsidRDefault="008451BA" w:rsidP="009D4F7C">
            <w:pPr>
              <w:jc w:val="center"/>
              <w:cnfStyle w:val="000000100000" w:firstRow="0" w:lastRow="0" w:firstColumn="0" w:lastColumn="0" w:oddVBand="0" w:evenVBand="0" w:oddHBand="1" w:evenHBand="0" w:firstRowFirstColumn="0" w:firstRowLastColumn="0" w:lastRowFirstColumn="0" w:lastRowLastColumn="0"/>
              <w:rPr>
                <w:b/>
                <w:bCs/>
              </w:rPr>
            </w:pPr>
            <w:r w:rsidRPr="000152CB">
              <w:rPr>
                <w:b/>
                <w:bCs/>
              </w:rPr>
              <w:t>21.021,718 eura</w:t>
            </w:r>
          </w:p>
        </w:tc>
      </w:tr>
    </w:tbl>
    <w:p w14:paraId="4EB662E4" w14:textId="77777777" w:rsidR="00CC2A1D" w:rsidRPr="000152CB" w:rsidRDefault="00CC2A1D" w:rsidP="00CC2A1D">
      <w:pPr>
        <w:jc w:val="center"/>
        <w:rPr>
          <w:color w:val="767171" w:themeColor="background2" w:themeShade="80"/>
          <w:sz w:val="18"/>
          <w:szCs w:val="18"/>
        </w:rPr>
      </w:pPr>
      <w:r w:rsidRPr="000152CB">
        <w:rPr>
          <w:color w:val="767171" w:themeColor="background2" w:themeShade="80"/>
          <w:sz w:val="18"/>
          <w:szCs w:val="18"/>
        </w:rPr>
        <w:t>Tabela br. 3: Prikaz ukupno planiranih i utrošenih sredstava</w:t>
      </w:r>
    </w:p>
    <w:p w14:paraId="1D9658B7" w14:textId="2DD62DA7" w:rsidR="00043D20" w:rsidRPr="000152CB" w:rsidRDefault="00562EBF" w:rsidP="003F3DEB">
      <w:pPr>
        <w:pStyle w:val="Naslov1"/>
      </w:pPr>
      <w:bookmarkStart w:id="2" w:name="_Toc202039241"/>
      <w:r w:rsidRPr="000152CB">
        <w:lastRenderedPageBreak/>
        <w:t>II KLUČNA DOSTIGNUĆA</w:t>
      </w:r>
      <w:bookmarkEnd w:id="2"/>
    </w:p>
    <w:p w14:paraId="51BD8884" w14:textId="41DB615C" w:rsidR="00043D20" w:rsidRPr="000152CB" w:rsidRDefault="00043D20" w:rsidP="00043D20">
      <w:pPr>
        <w:pStyle w:val="Naslov2"/>
      </w:pPr>
      <w:bookmarkStart w:id="3" w:name="_Toc202039242"/>
      <w:r w:rsidRPr="000152CB">
        <w:t>OBLAST I</w:t>
      </w:r>
      <w:bookmarkEnd w:id="3"/>
    </w:p>
    <w:tbl>
      <w:tblPr>
        <w:tblStyle w:val="Tabelakoordinatnemree4akcenat1"/>
        <w:tblW w:w="14215" w:type="dxa"/>
        <w:tblInd w:w="-635" w:type="dxa"/>
        <w:tblLook w:val="04A0" w:firstRow="1" w:lastRow="0" w:firstColumn="1" w:lastColumn="0" w:noHBand="0" w:noVBand="1"/>
      </w:tblPr>
      <w:tblGrid>
        <w:gridCol w:w="2790"/>
        <w:gridCol w:w="3510"/>
        <w:gridCol w:w="4050"/>
        <w:gridCol w:w="3865"/>
      </w:tblGrid>
      <w:tr w:rsidR="00562EBF" w:rsidRPr="000152CB" w14:paraId="458D2FED" w14:textId="77777777" w:rsidTr="00FC2126">
        <w:trPr>
          <w:cnfStyle w:val="100000000000" w:firstRow="1" w:lastRow="0" w:firstColumn="0" w:lastColumn="0" w:oddVBand="0" w:evenVBand="0" w:oddHBand="0"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2790" w:type="dxa"/>
            <w:hideMark/>
          </w:tcPr>
          <w:p w14:paraId="060B1195" w14:textId="77777777" w:rsidR="00562EBF" w:rsidRPr="000152CB" w:rsidRDefault="00562EBF" w:rsidP="009D4F7C">
            <w:pPr>
              <w:ind w:left="270"/>
              <w:jc w:val="center"/>
              <w:rPr>
                <w:rFonts w:eastAsia="Times New Roman" w:cs="Calibri"/>
                <w:b w:val="0"/>
                <w:sz w:val="20"/>
                <w:szCs w:val="20"/>
                <w:lang w:eastAsia="sr-Latn-ME"/>
              </w:rPr>
            </w:pPr>
            <w:r w:rsidRPr="000152CB">
              <w:rPr>
                <w:rFonts w:eastAsia="Times New Roman" w:cs="Calibri"/>
                <w:color w:val="000000"/>
                <w:sz w:val="20"/>
                <w:szCs w:val="20"/>
                <w:lang w:eastAsia="sr-Latn-ME"/>
              </w:rPr>
              <w:t>STRATEŠKI CILJ 1</w:t>
            </w:r>
          </w:p>
        </w:tc>
        <w:tc>
          <w:tcPr>
            <w:tcW w:w="11425" w:type="dxa"/>
            <w:gridSpan w:val="3"/>
            <w:hideMark/>
          </w:tcPr>
          <w:p w14:paraId="71AE4370" w14:textId="77777777" w:rsidR="00562EBF" w:rsidRPr="000152CB" w:rsidRDefault="00562EBF" w:rsidP="009D4F7C">
            <w:pPr>
              <w:spacing w:after="60"/>
              <w:ind w:left="270"/>
              <w:jc w:val="both"/>
              <w:cnfStyle w:val="100000000000" w:firstRow="1" w:lastRow="0" w:firstColumn="0" w:lastColumn="0" w:oddVBand="0" w:evenVBand="0" w:oddHBand="0" w:evenHBand="0" w:firstRowFirstColumn="0" w:firstRowLastColumn="0" w:lastRowFirstColumn="0" w:lastRowLastColumn="0"/>
              <w:rPr>
                <w:rFonts w:eastAsia="Times New Roman" w:cs="Calibri"/>
                <w:b w:val="0"/>
                <w:sz w:val="20"/>
                <w:szCs w:val="20"/>
                <w:lang w:eastAsia="sr-Latn-ME"/>
              </w:rPr>
            </w:pPr>
            <w:r w:rsidRPr="000152CB">
              <w:rPr>
                <w:rFonts w:eastAsia="Times New Roman" w:cs="Calibri"/>
                <w:sz w:val="20"/>
                <w:szCs w:val="20"/>
                <w:lang w:eastAsia="sr-Latn-ME"/>
              </w:rPr>
              <w:t xml:space="preserve">USPOSTAVLJEN NOVI MODEL PRUŽANJA PRIMARNE ZDRAVSTVENE ZAŠTITE KOJI PROMOVIŠE KVALITETNU ZDRAVSTVENU ZAŠTITU SA GRAĐANINOM U CENTRU PAŽNJE </w:t>
            </w:r>
          </w:p>
          <w:p w14:paraId="455E1660" w14:textId="77777777" w:rsidR="00562EBF" w:rsidRPr="000152CB" w:rsidRDefault="00562EBF" w:rsidP="009D4F7C">
            <w:pPr>
              <w:spacing w:after="60"/>
              <w:ind w:left="270"/>
              <w:cnfStyle w:val="100000000000" w:firstRow="1" w:lastRow="0" w:firstColumn="0" w:lastColumn="0" w:oddVBand="0" w:evenVBand="0" w:oddHBand="0" w:evenHBand="0" w:firstRowFirstColumn="0" w:firstRowLastColumn="0" w:lastRowFirstColumn="0" w:lastRowLastColumn="0"/>
              <w:rPr>
                <w:rFonts w:eastAsia="Times New Roman" w:cs="Calibri"/>
                <w:b w:val="0"/>
                <w:sz w:val="20"/>
                <w:szCs w:val="20"/>
                <w:lang w:eastAsia="sr-Latn-ME"/>
              </w:rPr>
            </w:pPr>
          </w:p>
        </w:tc>
      </w:tr>
      <w:tr w:rsidR="00562EBF" w:rsidRPr="000152CB" w14:paraId="25B63BFA" w14:textId="77777777" w:rsidTr="00FC2126">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2790" w:type="dxa"/>
            <w:hideMark/>
          </w:tcPr>
          <w:p w14:paraId="547462C6" w14:textId="77777777" w:rsidR="00562EBF" w:rsidRPr="000152CB" w:rsidRDefault="00562EBF" w:rsidP="009D4F7C">
            <w:pPr>
              <w:ind w:left="270"/>
              <w:jc w:val="center"/>
              <w:rPr>
                <w:rFonts w:eastAsia="Times New Roman" w:cs="Calibri"/>
                <w:b w:val="0"/>
                <w:sz w:val="20"/>
                <w:szCs w:val="20"/>
                <w:lang w:eastAsia="sr-Latn-ME"/>
              </w:rPr>
            </w:pPr>
            <w:r w:rsidRPr="000152CB">
              <w:rPr>
                <w:rFonts w:eastAsia="Times New Roman" w:cs="Calibri"/>
                <w:color w:val="000000"/>
                <w:sz w:val="20"/>
                <w:szCs w:val="20"/>
                <w:lang w:eastAsia="sr-Latn-ME"/>
              </w:rPr>
              <w:t>OPERATIVNI CILJ 1</w:t>
            </w:r>
          </w:p>
        </w:tc>
        <w:tc>
          <w:tcPr>
            <w:tcW w:w="11425" w:type="dxa"/>
            <w:gridSpan w:val="3"/>
            <w:hideMark/>
          </w:tcPr>
          <w:p w14:paraId="0FFE314E" w14:textId="77777777" w:rsidR="00562EBF" w:rsidRPr="000152CB" w:rsidRDefault="00562EBF" w:rsidP="009D4F7C">
            <w:pPr>
              <w:ind w:left="270"/>
              <w:jc w:val="center"/>
              <w:cnfStyle w:val="000000100000" w:firstRow="0" w:lastRow="0" w:firstColumn="0" w:lastColumn="0" w:oddVBand="0" w:evenVBand="0" w:oddHBand="1" w:evenHBand="0" w:firstRowFirstColumn="0" w:firstRowLastColumn="0" w:lastRowFirstColumn="0" w:lastRowLastColumn="0"/>
              <w:rPr>
                <w:rFonts w:eastAsia="Times New Roman" w:cs="Calibri"/>
                <w:b/>
                <w:sz w:val="20"/>
                <w:szCs w:val="20"/>
                <w:lang w:eastAsia="sr-Latn-ME"/>
              </w:rPr>
            </w:pPr>
            <w:r w:rsidRPr="000152CB">
              <w:rPr>
                <w:rFonts w:eastAsia="Times New Roman" w:cs="Calibri"/>
                <w:b/>
                <w:sz w:val="20"/>
                <w:szCs w:val="20"/>
                <w:lang w:eastAsia="sr-Latn-ME"/>
              </w:rPr>
              <w:t xml:space="preserve">OPTIMIZOVATI MODEL PRUŽANJA ZDRAVSTVENE ZAŠTITE </w:t>
            </w:r>
          </w:p>
        </w:tc>
      </w:tr>
      <w:tr w:rsidR="00562EBF" w:rsidRPr="000152CB" w14:paraId="72F7E5AF" w14:textId="77777777" w:rsidTr="00FC2126">
        <w:trPr>
          <w:trHeight w:val="610"/>
        </w:trPr>
        <w:tc>
          <w:tcPr>
            <w:cnfStyle w:val="001000000000" w:firstRow="0" w:lastRow="0" w:firstColumn="1" w:lastColumn="0" w:oddVBand="0" w:evenVBand="0" w:oddHBand="0" w:evenHBand="0" w:firstRowFirstColumn="0" w:firstRowLastColumn="0" w:lastRowFirstColumn="0" w:lastRowLastColumn="0"/>
            <w:tcW w:w="2790" w:type="dxa"/>
            <w:hideMark/>
          </w:tcPr>
          <w:p w14:paraId="5B27B9F7" w14:textId="77777777" w:rsidR="00562EBF" w:rsidRPr="000152CB" w:rsidRDefault="00562EBF" w:rsidP="00562EBF">
            <w:pPr>
              <w:rPr>
                <w:rFonts w:eastAsia="Times New Roman" w:cs="Calibri"/>
                <w:b w:val="0"/>
                <w:sz w:val="20"/>
                <w:szCs w:val="20"/>
                <w:lang w:eastAsia="sr-Latn-ME"/>
              </w:rPr>
            </w:pPr>
            <w:r w:rsidRPr="000152CB">
              <w:rPr>
                <w:rFonts w:eastAsia="Times New Roman" w:cs="Calibri"/>
                <w:color w:val="000000"/>
                <w:sz w:val="20"/>
                <w:szCs w:val="20"/>
                <w:lang w:eastAsia="sr-Latn-ME"/>
              </w:rPr>
              <w:t>INDIKATOR UČINKA 1.1: Smanjiti prijevremeni mortalitet kod HNB</w:t>
            </w:r>
            <w:r w:rsidRPr="000152CB">
              <w:rPr>
                <w:rFonts w:eastAsia="Times New Roman" w:cs="Calibri"/>
                <w:color w:val="000000"/>
                <w:sz w:val="20"/>
                <w:szCs w:val="20"/>
                <w:vertAlign w:val="superscript"/>
                <w:lang w:eastAsia="sr-Latn-ME"/>
              </w:rPr>
              <w:footnoteReference w:id="1"/>
            </w:r>
          </w:p>
        </w:tc>
        <w:tc>
          <w:tcPr>
            <w:tcW w:w="3510" w:type="dxa"/>
            <w:hideMark/>
          </w:tcPr>
          <w:p w14:paraId="1E1611E6" w14:textId="77777777" w:rsidR="00562EBF" w:rsidRPr="000152CB" w:rsidRDefault="00562EBF" w:rsidP="009D4F7C">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Calibri"/>
                <w:b/>
                <w:color w:val="000000"/>
                <w:sz w:val="20"/>
                <w:szCs w:val="20"/>
                <w:lang w:eastAsia="sr-Latn-ME"/>
              </w:rPr>
            </w:pPr>
            <w:r w:rsidRPr="000152CB">
              <w:rPr>
                <w:rFonts w:eastAsia="Times New Roman" w:cs="Calibri"/>
                <w:b/>
                <w:color w:val="000000"/>
                <w:sz w:val="20"/>
                <w:szCs w:val="20"/>
                <w:lang w:eastAsia="sr-Latn-ME"/>
              </w:rPr>
              <w:t xml:space="preserve">Početna vrijednost: </w:t>
            </w:r>
          </w:p>
          <w:p w14:paraId="4FB95DE0" w14:textId="77777777" w:rsidR="00562EBF" w:rsidRPr="000152CB" w:rsidRDefault="00562EBF" w:rsidP="009D4F7C">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Calibri"/>
                <w:bCs/>
                <w:color w:val="000000" w:themeColor="text1"/>
                <w:sz w:val="20"/>
                <w:szCs w:val="20"/>
                <w:lang w:eastAsia="sr-Latn-ME"/>
              </w:rPr>
            </w:pPr>
          </w:p>
          <w:p w14:paraId="1553327E" w14:textId="77777777" w:rsidR="00562EBF" w:rsidRPr="000152CB" w:rsidRDefault="00562EBF" w:rsidP="009D4F7C">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Calibri"/>
                <w:bCs/>
                <w:sz w:val="20"/>
                <w:szCs w:val="20"/>
                <w:lang w:eastAsia="sr-Latn-ME"/>
              </w:rPr>
            </w:pPr>
            <w:r w:rsidRPr="000152CB">
              <w:rPr>
                <w:rFonts w:eastAsia="Times New Roman" w:cs="Calibri"/>
                <w:bCs/>
                <w:color w:val="000000" w:themeColor="text1"/>
                <w:sz w:val="20"/>
                <w:szCs w:val="20"/>
                <w:lang w:eastAsia="sr-Latn-ME"/>
              </w:rPr>
              <w:t>Trenutni procenat mortaliteta kod HNB je 22.3%</w:t>
            </w:r>
          </w:p>
        </w:tc>
        <w:tc>
          <w:tcPr>
            <w:tcW w:w="4050" w:type="dxa"/>
          </w:tcPr>
          <w:p w14:paraId="33C4D6A1" w14:textId="77777777" w:rsidR="00562EBF" w:rsidRPr="000152CB" w:rsidRDefault="00562EBF" w:rsidP="009D4F7C">
            <w:pPr>
              <w:ind w:left="270"/>
              <w:jc w:val="center"/>
              <w:cnfStyle w:val="000000000000" w:firstRow="0" w:lastRow="0" w:firstColumn="0" w:lastColumn="0" w:oddVBand="0" w:evenVBand="0" w:oddHBand="0" w:evenHBand="0" w:firstRowFirstColumn="0" w:firstRowLastColumn="0" w:lastRowFirstColumn="0" w:lastRowLastColumn="0"/>
              <w:rPr>
                <w:rFonts w:eastAsia="Times New Roman" w:cs="Calibri"/>
                <w:b/>
                <w:color w:val="000000"/>
                <w:sz w:val="20"/>
                <w:szCs w:val="20"/>
                <w:lang w:eastAsia="sr-Latn-ME"/>
              </w:rPr>
            </w:pPr>
            <w:r w:rsidRPr="000152CB">
              <w:rPr>
                <w:rFonts w:eastAsia="Times New Roman" w:cs="Calibri"/>
                <w:b/>
                <w:color w:val="000000"/>
                <w:sz w:val="20"/>
                <w:szCs w:val="20"/>
                <w:lang w:eastAsia="sr-Latn-ME"/>
              </w:rPr>
              <w:t>Prelazna vrijednost:</w:t>
            </w:r>
          </w:p>
          <w:p w14:paraId="216AA393" w14:textId="77777777" w:rsidR="00562EBF" w:rsidRPr="000152CB" w:rsidRDefault="00562EBF" w:rsidP="009D4F7C">
            <w:pPr>
              <w:ind w:left="270"/>
              <w:jc w:val="center"/>
              <w:cnfStyle w:val="000000000000" w:firstRow="0" w:lastRow="0" w:firstColumn="0" w:lastColumn="0" w:oddVBand="0" w:evenVBand="0" w:oddHBand="0" w:evenHBand="0" w:firstRowFirstColumn="0" w:firstRowLastColumn="0" w:lastRowFirstColumn="0" w:lastRowLastColumn="0"/>
              <w:rPr>
                <w:rFonts w:eastAsia="Times New Roman" w:cs="Calibri"/>
                <w:bCs/>
                <w:color w:val="000000" w:themeColor="text1"/>
                <w:sz w:val="20"/>
                <w:szCs w:val="20"/>
                <w:lang w:eastAsia="sr-Latn-ME"/>
              </w:rPr>
            </w:pPr>
          </w:p>
          <w:p w14:paraId="13120404" w14:textId="77777777" w:rsidR="00562EBF" w:rsidRPr="000152CB" w:rsidRDefault="00562EBF" w:rsidP="009D4F7C">
            <w:pPr>
              <w:ind w:left="270"/>
              <w:jc w:val="center"/>
              <w:cnfStyle w:val="000000000000" w:firstRow="0" w:lastRow="0" w:firstColumn="0" w:lastColumn="0" w:oddVBand="0" w:evenVBand="0" w:oddHBand="0" w:evenHBand="0" w:firstRowFirstColumn="0" w:firstRowLastColumn="0" w:lastRowFirstColumn="0" w:lastRowLastColumn="0"/>
              <w:rPr>
                <w:rFonts w:eastAsia="Times New Roman" w:cs="Calibri"/>
                <w:b/>
                <w:color w:val="000000"/>
                <w:sz w:val="20"/>
                <w:szCs w:val="20"/>
                <w:lang w:eastAsia="sr-Latn-ME"/>
              </w:rPr>
            </w:pPr>
            <w:r w:rsidRPr="000152CB">
              <w:rPr>
                <w:rFonts w:eastAsia="Times New Roman" w:cs="Calibri"/>
                <w:bCs/>
                <w:color w:val="000000" w:themeColor="text1"/>
                <w:sz w:val="20"/>
                <w:szCs w:val="20"/>
                <w:lang w:eastAsia="sr-Latn-ME"/>
              </w:rPr>
              <w:t>Smanjiti procenat mortaliteta kod HNB na 21.6%</w:t>
            </w:r>
          </w:p>
        </w:tc>
        <w:tc>
          <w:tcPr>
            <w:tcW w:w="3865" w:type="dxa"/>
          </w:tcPr>
          <w:p w14:paraId="3530B71D" w14:textId="77777777" w:rsidR="00562EBF" w:rsidRPr="000152CB" w:rsidRDefault="00562EBF" w:rsidP="009D4F7C">
            <w:pPr>
              <w:ind w:left="270"/>
              <w:jc w:val="center"/>
              <w:cnfStyle w:val="000000000000" w:firstRow="0" w:lastRow="0" w:firstColumn="0" w:lastColumn="0" w:oddVBand="0" w:evenVBand="0" w:oddHBand="0" w:evenHBand="0" w:firstRowFirstColumn="0" w:firstRowLastColumn="0" w:lastRowFirstColumn="0" w:lastRowLastColumn="0"/>
              <w:rPr>
                <w:rFonts w:eastAsia="Times New Roman" w:cs="Calibri"/>
                <w:b/>
                <w:sz w:val="20"/>
                <w:szCs w:val="20"/>
                <w:lang w:eastAsia="sr-Latn-ME"/>
              </w:rPr>
            </w:pPr>
            <w:r w:rsidRPr="000152CB">
              <w:rPr>
                <w:rFonts w:eastAsia="Times New Roman" w:cs="Calibri"/>
                <w:b/>
                <w:sz w:val="20"/>
                <w:szCs w:val="20"/>
                <w:lang w:eastAsia="sr-Latn-ME"/>
              </w:rPr>
              <w:t>Ciljna vrijednost:</w:t>
            </w:r>
          </w:p>
          <w:p w14:paraId="28EDAD14" w14:textId="77777777" w:rsidR="00562EBF" w:rsidRPr="000152CB" w:rsidRDefault="00562EBF" w:rsidP="009D4F7C">
            <w:pPr>
              <w:ind w:left="270"/>
              <w:jc w:val="center"/>
              <w:cnfStyle w:val="000000000000" w:firstRow="0" w:lastRow="0" w:firstColumn="0" w:lastColumn="0" w:oddVBand="0" w:evenVBand="0" w:oddHBand="0" w:evenHBand="0" w:firstRowFirstColumn="0" w:firstRowLastColumn="0" w:lastRowFirstColumn="0" w:lastRowLastColumn="0"/>
              <w:rPr>
                <w:rFonts w:eastAsia="Times New Roman" w:cs="Calibri"/>
                <w:b/>
                <w:sz w:val="20"/>
                <w:szCs w:val="20"/>
                <w:lang w:eastAsia="sr-Latn-ME"/>
              </w:rPr>
            </w:pPr>
          </w:p>
          <w:p w14:paraId="41158E10" w14:textId="77777777" w:rsidR="00562EBF" w:rsidRPr="000152CB" w:rsidRDefault="00562EBF" w:rsidP="009D4F7C">
            <w:pPr>
              <w:ind w:left="270"/>
              <w:jc w:val="center"/>
              <w:cnfStyle w:val="000000000000" w:firstRow="0" w:lastRow="0" w:firstColumn="0" w:lastColumn="0" w:oddVBand="0" w:evenVBand="0" w:oddHBand="0" w:evenHBand="0" w:firstRowFirstColumn="0" w:firstRowLastColumn="0" w:lastRowFirstColumn="0" w:lastRowLastColumn="0"/>
              <w:rPr>
                <w:rFonts w:eastAsia="Times New Roman" w:cs="Calibri"/>
                <w:bCs/>
                <w:sz w:val="20"/>
                <w:szCs w:val="20"/>
                <w:lang w:eastAsia="sr-Latn-ME"/>
              </w:rPr>
            </w:pPr>
            <w:r w:rsidRPr="000152CB">
              <w:rPr>
                <w:rFonts w:eastAsia="Times New Roman" w:cs="Calibri"/>
                <w:bCs/>
                <w:sz w:val="20"/>
                <w:szCs w:val="20"/>
                <w:lang w:eastAsia="sr-Latn-ME"/>
              </w:rPr>
              <w:t>Smanjiti procenat mortaliteta kod HNB na 20.6%</w:t>
            </w:r>
          </w:p>
        </w:tc>
      </w:tr>
      <w:tr w:rsidR="00562EBF" w:rsidRPr="000152CB" w14:paraId="3AD37391" w14:textId="77777777" w:rsidTr="00FC2126">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2790" w:type="dxa"/>
            <w:hideMark/>
          </w:tcPr>
          <w:p w14:paraId="2B335DAA" w14:textId="0B49CAF8" w:rsidR="00562EBF" w:rsidRPr="000152CB" w:rsidRDefault="00562EBF" w:rsidP="00562EBF">
            <w:pPr>
              <w:rPr>
                <w:rFonts w:eastAsia="Times New Roman" w:cs="Calibri"/>
                <w:b w:val="0"/>
                <w:color w:val="000000"/>
                <w:sz w:val="20"/>
                <w:szCs w:val="20"/>
                <w:lang w:eastAsia="sr-Latn-ME"/>
              </w:rPr>
            </w:pPr>
            <w:r w:rsidRPr="000152CB">
              <w:rPr>
                <w:rFonts w:eastAsia="Times New Roman" w:cs="Calibri"/>
                <w:color w:val="000000"/>
                <w:sz w:val="20"/>
                <w:szCs w:val="20"/>
                <w:lang w:eastAsia="sr-Latn-ME"/>
              </w:rPr>
              <w:t xml:space="preserve">INDIKATOR UČINKA 1.2: </w:t>
            </w:r>
          </w:p>
          <w:p w14:paraId="6C9D1C98" w14:textId="77777777" w:rsidR="00562EBF" w:rsidRPr="000152CB" w:rsidRDefault="00562EBF" w:rsidP="00562EBF">
            <w:pPr>
              <w:rPr>
                <w:rFonts w:eastAsia="Times New Roman" w:cs="Calibri"/>
                <w:b w:val="0"/>
                <w:sz w:val="20"/>
                <w:szCs w:val="20"/>
                <w:lang w:eastAsia="sr-Latn-ME"/>
              </w:rPr>
            </w:pPr>
            <w:r w:rsidRPr="000152CB">
              <w:rPr>
                <w:rFonts w:eastAsia="Times New Roman" w:cs="Calibri"/>
                <w:color w:val="000000"/>
                <w:sz w:val="20"/>
                <w:szCs w:val="20"/>
                <w:lang w:eastAsia="sr-Latn-ME"/>
              </w:rPr>
              <w:t>Udio neopravdanih upućivanja na sekundarnom nivou zdravstvene zaštite</w:t>
            </w:r>
          </w:p>
        </w:tc>
        <w:tc>
          <w:tcPr>
            <w:tcW w:w="3510" w:type="dxa"/>
            <w:hideMark/>
          </w:tcPr>
          <w:p w14:paraId="625EEB41" w14:textId="77777777" w:rsidR="00562EBF" w:rsidRPr="000152CB" w:rsidRDefault="00562EBF" w:rsidP="009D4F7C">
            <w:pPr>
              <w:ind w:left="270"/>
              <w:jc w:val="center"/>
              <w:cnfStyle w:val="000000100000" w:firstRow="0" w:lastRow="0" w:firstColumn="0" w:lastColumn="0" w:oddVBand="0" w:evenVBand="0" w:oddHBand="1" w:evenHBand="0" w:firstRowFirstColumn="0" w:firstRowLastColumn="0" w:lastRowFirstColumn="0" w:lastRowLastColumn="0"/>
              <w:rPr>
                <w:rFonts w:eastAsia="Times New Roman" w:cs="Calibri"/>
                <w:b/>
                <w:color w:val="000000"/>
                <w:sz w:val="20"/>
                <w:szCs w:val="20"/>
                <w:lang w:eastAsia="sr-Latn-ME"/>
              </w:rPr>
            </w:pPr>
            <w:r w:rsidRPr="000152CB">
              <w:rPr>
                <w:rFonts w:eastAsia="Times New Roman" w:cs="Calibri"/>
                <w:b/>
                <w:color w:val="000000"/>
                <w:sz w:val="20"/>
                <w:szCs w:val="20"/>
                <w:lang w:eastAsia="sr-Latn-ME"/>
              </w:rPr>
              <w:t xml:space="preserve">Početna vrijednost: </w:t>
            </w:r>
          </w:p>
          <w:p w14:paraId="6E73F626" w14:textId="77777777" w:rsidR="00562EBF" w:rsidRPr="000152CB" w:rsidRDefault="00562EBF" w:rsidP="009D4F7C">
            <w:pPr>
              <w:ind w:left="270"/>
              <w:jc w:val="center"/>
              <w:cnfStyle w:val="000000100000" w:firstRow="0" w:lastRow="0" w:firstColumn="0" w:lastColumn="0" w:oddVBand="0" w:evenVBand="0" w:oddHBand="1" w:evenHBand="0" w:firstRowFirstColumn="0" w:firstRowLastColumn="0" w:lastRowFirstColumn="0" w:lastRowLastColumn="0"/>
              <w:rPr>
                <w:rFonts w:eastAsia="Times New Roman" w:cs="Calibri"/>
                <w:b/>
                <w:color w:val="000000"/>
                <w:sz w:val="20"/>
                <w:szCs w:val="20"/>
                <w:lang w:eastAsia="sr-Latn-ME"/>
              </w:rPr>
            </w:pPr>
          </w:p>
          <w:p w14:paraId="71B71254" w14:textId="77777777" w:rsidR="00562EBF" w:rsidRPr="000152CB" w:rsidRDefault="00562EBF" w:rsidP="009D4F7C">
            <w:pPr>
              <w:ind w:left="270"/>
              <w:jc w:val="center"/>
              <w:cnfStyle w:val="000000100000" w:firstRow="0" w:lastRow="0" w:firstColumn="0" w:lastColumn="0" w:oddVBand="0" w:evenVBand="0" w:oddHBand="1" w:evenHBand="0" w:firstRowFirstColumn="0" w:firstRowLastColumn="0" w:lastRowFirstColumn="0" w:lastRowLastColumn="0"/>
              <w:rPr>
                <w:rFonts w:eastAsia="Times New Roman" w:cs="Calibri"/>
                <w:bCs/>
                <w:color w:val="000000"/>
                <w:sz w:val="20"/>
                <w:szCs w:val="20"/>
                <w:lang w:eastAsia="sr-Latn-ME"/>
              </w:rPr>
            </w:pPr>
            <w:r w:rsidRPr="000152CB">
              <w:rPr>
                <w:rFonts w:eastAsia="Times New Roman" w:cs="Calibri"/>
                <w:bCs/>
                <w:color w:val="000000"/>
                <w:sz w:val="20"/>
                <w:szCs w:val="20"/>
                <w:lang w:eastAsia="sr-Latn-ME"/>
              </w:rPr>
              <w:t>Ne postoji baza podataka o trenutnom procentu upućivanja na sekundarni nivo zdravstvene zaštite</w:t>
            </w:r>
          </w:p>
          <w:p w14:paraId="17470A8B" w14:textId="77777777" w:rsidR="00562EBF" w:rsidRPr="000152CB" w:rsidRDefault="00562EBF" w:rsidP="009D4F7C">
            <w:pPr>
              <w:ind w:left="270"/>
              <w:jc w:val="center"/>
              <w:cnfStyle w:val="000000100000" w:firstRow="0" w:lastRow="0" w:firstColumn="0" w:lastColumn="0" w:oddVBand="0" w:evenVBand="0" w:oddHBand="1" w:evenHBand="0" w:firstRowFirstColumn="0" w:firstRowLastColumn="0" w:lastRowFirstColumn="0" w:lastRowLastColumn="0"/>
              <w:rPr>
                <w:rFonts w:eastAsia="Times New Roman" w:cs="Calibri"/>
                <w:b/>
                <w:sz w:val="20"/>
                <w:szCs w:val="20"/>
                <w:lang w:eastAsia="sr-Latn-ME"/>
              </w:rPr>
            </w:pPr>
          </w:p>
        </w:tc>
        <w:tc>
          <w:tcPr>
            <w:tcW w:w="4050" w:type="dxa"/>
          </w:tcPr>
          <w:p w14:paraId="1B6C2AE0" w14:textId="77777777" w:rsidR="00562EBF" w:rsidRPr="000152CB" w:rsidRDefault="00562EBF" w:rsidP="009D4F7C">
            <w:pPr>
              <w:ind w:left="270"/>
              <w:jc w:val="center"/>
              <w:cnfStyle w:val="000000100000" w:firstRow="0" w:lastRow="0" w:firstColumn="0" w:lastColumn="0" w:oddVBand="0" w:evenVBand="0" w:oddHBand="1" w:evenHBand="0" w:firstRowFirstColumn="0" w:firstRowLastColumn="0" w:lastRowFirstColumn="0" w:lastRowLastColumn="0"/>
              <w:rPr>
                <w:rFonts w:eastAsia="Times New Roman" w:cs="Calibri"/>
                <w:b/>
                <w:sz w:val="20"/>
                <w:szCs w:val="20"/>
                <w:lang w:eastAsia="sr-Latn-ME"/>
              </w:rPr>
            </w:pPr>
            <w:r w:rsidRPr="000152CB">
              <w:rPr>
                <w:rFonts w:eastAsia="Times New Roman" w:cs="Calibri"/>
                <w:b/>
                <w:sz w:val="20"/>
                <w:szCs w:val="20"/>
                <w:lang w:eastAsia="sr-Latn-ME"/>
              </w:rPr>
              <w:t xml:space="preserve">Prelazna vrijednost: </w:t>
            </w:r>
          </w:p>
          <w:p w14:paraId="1FB58594" w14:textId="77777777" w:rsidR="00562EBF" w:rsidRPr="000152CB" w:rsidRDefault="00562EBF" w:rsidP="009D4F7C">
            <w:pPr>
              <w:ind w:left="270"/>
              <w:jc w:val="center"/>
              <w:cnfStyle w:val="000000100000" w:firstRow="0" w:lastRow="0" w:firstColumn="0" w:lastColumn="0" w:oddVBand="0" w:evenVBand="0" w:oddHBand="1" w:evenHBand="0" w:firstRowFirstColumn="0" w:firstRowLastColumn="0" w:lastRowFirstColumn="0" w:lastRowLastColumn="0"/>
              <w:rPr>
                <w:rFonts w:eastAsia="Times New Roman" w:cs="Calibri"/>
                <w:b/>
                <w:sz w:val="20"/>
                <w:szCs w:val="20"/>
                <w:lang w:eastAsia="sr-Latn-ME"/>
              </w:rPr>
            </w:pPr>
          </w:p>
          <w:p w14:paraId="11D24D12" w14:textId="77777777" w:rsidR="00562EBF" w:rsidRPr="000152CB" w:rsidRDefault="00562EBF" w:rsidP="009D4F7C">
            <w:pPr>
              <w:ind w:left="270"/>
              <w:jc w:val="center"/>
              <w:cnfStyle w:val="000000100000" w:firstRow="0" w:lastRow="0" w:firstColumn="0" w:lastColumn="0" w:oddVBand="0" w:evenVBand="0" w:oddHBand="1" w:evenHBand="0" w:firstRowFirstColumn="0" w:firstRowLastColumn="0" w:lastRowFirstColumn="0" w:lastRowLastColumn="0"/>
              <w:rPr>
                <w:rFonts w:eastAsia="Times New Roman" w:cs="Calibri"/>
                <w:bCs/>
                <w:sz w:val="20"/>
                <w:szCs w:val="20"/>
                <w:lang w:eastAsia="sr-Latn-ME"/>
              </w:rPr>
            </w:pPr>
            <w:r w:rsidRPr="000152CB">
              <w:rPr>
                <w:rFonts w:eastAsia="Times New Roman" w:cs="Calibri"/>
                <w:bCs/>
                <w:sz w:val="20"/>
                <w:szCs w:val="20"/>
                <w:lang w:eastAsia="sr-Latn-ME"/>
              </w:rPr>
              <w:t>Izrađena baza podataka koja će sadržati precizan podatak o borju upućivanja</w:t>
            </w:r>
          </w:p>
        </w:tc>
        <w:tc>
          <w:tcPr>
            <w:tcW w:w="3865" w:type="dxa"/>
          </w:tcPr>
          <w:p w14:paraId="4BE357E5" w14:textId="77777777" w:rsidR="00562EBF" w:rsidRPr="000152CB" w:rsidRDefault="00562EBF" w:rsidP="009D4F7C">
            <w:pPr>
              <w:ind w:left="270"/>
              <w:jc w:val="center"/>
              <w:cnfStyle w:val="000000100000" w:firstRow="0" w:lastRow="0" w:firstColumn="0" w:lastColumn="0" w:oddVBand="0" w:evenVBand="0" w:oddHBand="1" w:evenHBand="0" w:firstRowFirstColumn="0" w:firstRowLastColumn="0" w:lastRowFirstColumn="0" w:lastRowLastColumn="0"/>
              <w:rPr>
                <w:rFonts w:eastAsia="Times New Roman" w:cs="Calibri"/>
                <w:b/>
                <w:sz w:val="20"/>
                <w:szCs w:val="20"/>
                <w:lang w:eastAsia="sr-Latn-ME"/>
              </w:rPr>
            </w:pPr>
            <w:r w:rsidRPr="000152CB">
              <w:rPr>
                <w:rFonts w:eastAsia="Times New Roman" w:cs="Calibri"/>
                <w:b/>
                <w:sz w:val="20"/>
                <w:szCs w:val="20"/>
                <w:lang w:eastAsia="sr-Latn-ME"/>
              </w:rPr>
              <w:t xml:space="preserve">Ciljna vrijednost: </w:t>
            </w:r>
          </w:p>
          <w:p w14:paraId="6BAFDA69" w14:textId="77777777" w:rsidR="00562EBF" w:rsidRPr="000152CB" w:rsidRDefault="00562EBF" w:rsidP="009D4F7C">
            <w:pPr>
              <w:ind w:left="270"/>
              <w:jc w:val="center"/>
              <w:cnfStyle w:val="000000100000" w:firstRow="0" w:lastRow="0" w:firstColumn="0" w:lastColumn="0" w:oddVBand="0" w:evenVBand="0" w:oddHBand="1" w:evenHBand="0" w:firstRowFirstColumn="0" w:firstRowLastColumn="0" w:lastRowFirstColumn="0" w:lastRowLastColumn="0"/>
              <w:rPr>
                <w:rFonts w:eastAsia="Times New Roman" w:cs="Calibri"/>
                <w:b/>
                <w:sz w:val="20"/>
                <w:szCs w:val="20"/>
                <w:lang w:eastAsia="sr-Latn-ME"/>
              </w:rPr>
            </w:pPr>
          </w:p>
          <w:p w14:paraId="545ACF67" w14:textId="77777777" w:rsidR="00562EBF" w:rsidRPr="000152CB" w:rsidRDefault="00562EBF" w:rsidP="009D4F7C">
            <w:pPr>
              <w:ind w:left="270"/>
              <w:jc w:val="center"/>
              <w:cnfStyle w:val="000000100000" w:firstRow="0" w:lastRow="0" w:firstColumn="0" w:lastColumn="0" w:oddVBand="0" w:evenVBand="0" w:oddHBand="1" w:evenHBand="0" w:firstRowFirstColumn="0" w:firstRowLastColumn="0" w:lastRowFirstColumn="0" w:lastRowLastColumn="0"/>
              <w:rPr>
                <w:rFonts w:eastAsia="Times New Roman" w:cs="Calibri"/>
                <w:bCs/>
                <w:sz w:val="20"/>
                <w:szCs w:val="20"/>
                <w:lang w:eastAsia="sr-Latn-ME"/>
              </w:rPr>
            </w:pPr>
            <w:r w:rsidRPr="000152CB">
              <w:rPr>
                <w:rFonts w:eastAsia="Times New Roman" w:cs="Calibri"/>
                <w:bCs/>
                <w:sz w:val="20"/>
                <w:szCs w:val="20"/>
                <w:lang w:eastAsia="sr-Latn-ME"/>
              </w:rPr>
              <w:t>15%  smanjen udio upućivanja u odnosu na vrijednost od 2025. godine</w:t>
            </w:r>
          </w:p>
        </w:tc>
      </w:tr>
      <w:tr w:rsidR="00562EBF" w:rsidRPr="000152CB" w14:paraId="364C3096" w14:textId="77777777" w:rsidTr="00FC2126">
        <w:trPr>
          <w:trHeight w:val="585"/>
        </w:trPr>
        <w:tc>
          <w:tcPr>
            <w:cnfStyle w:val="001000000000" w:firstRow="0" w:lastRow="0" w:firstColumn="1" w:lastColumn="0" w:oddVBand="0" w:evenVBand="0" w:oddHBand="0" w:evenHBand="0" w:firstRowFirstColumn="0" w:firstRowLastColumn="0" w:lastRowFirstColumn="0" w:lastRowLastColumn="0"/>
            <w:tcW w:w="2790" w:type="dxa"/>
          </w:tcPr>
          <w:p w14:paraId="5D0550A6" w14:textId="77777777" w:rsidR="00562EBF" w:rsidRPr="000152CB" w:rsidRDefault="00562EBF" w:rsidP="00562EBF">
            <w:pPr>
              <w:rPr>
                <w:rFonts w:eastAsia="Times New Roman" w:cs="Calibri"/>
                <w:b w:val="0"/>
                <w:color w:val="000000"/>
                <w:sz w:val="20"/>
                <w:szCs w:val="20"/>
                <w:lang w:eastAsia="sr-Latn-ME"/>
              </w:rPr>
            </w:pPr>
            <w:r w:rsidRPr="000152CB">
              <w:rPr>
                <w:rFonts w:eastAsia="Times New Roman" w:cs="Calibri"/>
                <w:color w:val="000000"/>
                <w:sz w:val="20"/>
                <w:szCs w:val="20"/>
                <w:lang w:eastAsia="sr-Latn-ME"/>
              </w:rPr>
              <w:t xml:space="preserve">INDIKATOR UČINKA 1.3: </w:t>
            </w:r>
            <w:r w:rsidRPr="000152CB">
              <w:rPr>
                <w:sz w:val="20"/>
                <w:szCs w:val="20"/>
              </w:rPr>
              <w:t xml:space="preserve">smanjiti hospitalizaciju za stanja koja su tretirana na ambulatnom nivou </w:t>
            </w:r>
            <w:r w:rsidRPr="000152CB">
              <w:rPr>
                <w:rFonts w:eastAsia="Times New Roman" w:cs="Calibri"/>
                <w:color w:val="000000" w:themeColor="text1"/>
                <w:sz w:val="20"/>
                <w:szCs w:val="20"/>
                <w:lang w:eastAsia="sr-Latn-ME"/>
              </w:rPr>
              <w:t xml:space="preserve">care-sensitive conditions (ACSC) </w:t>
            </w:r>
          </w:p>
        </w:tc>
        <w:tc>
          <w:tcPr>
            <w:tcW w:w="3510" w:type="dxa"/>
          </w:tcPr>
          <w:p w14:paraId="2FF3DB61" w14:textId="77777777" w:rsidR="00562EBF" w:rsidRPr="000152CB" w:rsidRDefault="00562EBF" w:rsidP="009D4F7C">
            <w:pPr>
              <w:jc w:val="center"/>
              <w:cnfStyle w:val="000000000000" w:firstRow="0" w:lastRow="0" w:firstColumn="0" w:lastColumn="0" w:oddVBand="0" w:evenVBand="0" w:oddHBand="0" w:evenHBand="0" w:firstRowFirstColumn="0" w:firstRowLastColumn="0" w:lastRowFirstColumn="0" w:lastRowLastColumn="0"/>
              <w:rPr>
                <w:rFonts w:eastAsia="Times New Roman" w:cs="Calibri"/>
                <w:b/>
                <w:color w:val="000000"/>
                <w:sz w:val="20"/>
                <w:szCs w:val="20"/>
                <w:lang w:eastAsia="sr-Latn-ME"/>
              </w:rPr>
            </w:pPr>
            <w:r w:rsidRPr="000152CB">
              <w:rPr>
                <w:rFonts w:eastAsia="Times New Roman" w:cs="Calibri"/>
                <w:b/>
                <w:color w:val="000000"/>
                <w:sz w:val="20"/>
                <w:szCs w:val="20"/>
                <w:lang w:eastAsia="sr-Latn-ME"/>
              </w:rPr>
              <w:t>Početna vrijednost:</w:t>
            </w:r>
          </w:p>
          <w:p w14:paraId="3933E15E" w14:textId="77777777" w:rsidR="00562EBF" w:rsidRPr="000152CB" w:rsidRDefault="00562EBF" w:rsidP="009D4F7C">
            <w:pPr>
              <w:ind w:left="270"/>
              <w:jc w:val="center"/>
              <w:cnfStyle w:val="000000000000" w:firstRow="0" w:lastRow="0" w:firstColumn="0" w:lastColumn="0" w:oddVBand="0" w:evenVBand="0" w:oddHBand="0" w:evenHBand="0" w:firstRowFirstColumn="0" w:firstRowLastColumn="0" w:lastRowFirstColumn="0" w:lastRowLastColumn="0"/>
              <w:rPr>
                <w:rFonts w:eastAsia="Times New Roman" w:cs="Calibri"/>
                <w:b/>
                <w:color w:val="000000"/>
                <w:sz w:val="20"/>
                <w:szCs w:val="20"/>
                <w:lang w:eastAsia="sr-Latn-ME"/>
              </w:rPr>
            </w:pPr>
          </w:p>
          <w:p w14:paraId="1659B7C8" w14:textId="77777777" w:rsidR="00562EBF" w:rsidRPr="000152CB" w:rsidRDefault="00562EBF" w:rsidP="009D4F7C">
            <w:pPr>
              <w:ind w:left="270"/>
              <w:jc w:val="center"/>
              <w:cnfStyle w:val="000000000000" w:firstRow="0" w:lastRow="0" w:firstColumn="0" w:lastColumn="0" w:oddVBand="0" w:evenVBand="0" w:oddHBand="0" w:evenHBand="0" w:firstRowFirstColumn="0" w:firstRowLastColumn="0" w:lastRowFirstColumn="0" w:lastRowLastColumn="0"/>
              <w:rPr>
                <w:rFonts w:eastAsia="Times New Roman" w:cs="Calibri"/>
                <w:b/>
                <w:color w:val="000000"/>
                <w:sz w:val="20"/>
                <w:szCs w:val="20"/>
                <w:lang w:eastAsia="sr-Latn-ME"/>
              </w:rPr>
            </w:pPr>
          </w:p>
          <w:p w14:paraId="0AEC24F6" w14:textId="77777777" w:rsidR="00562EBF" w:rsidRPr="000152CB" w:rsidRDefault="00562EBF" w:rsidP="009D4F7C">
            <w:pPr>
              <w:ind w:left="270"/>
              <w:jc w:val="center"/>
              <w:cnfStyle w:val="000000000000" w:firstRow="0" w:lastRow="0" w:firstColumn="0" w:lastColumn="0" w:oddVBand="0" w:evenVBand="0" w:oddHBand="0" w:evenHBand="0" w:firstRowFirstColumn="0" w:firstRowLastColumn="0" w:lastRowFirstColumn="0" w:lastRowLastColumn="0"/>
              <w:rPr>
                <w:rFonts w:eastAsia="Times New Roman" w:cs="Calibri"/>
                <w:bCs/>
                <w:color w:val="000000"/>
                <w:sz w:val="20"/>
                <w:szCs w:val="20"/>
                <w:lang w:eastAsia="sr-Latn-ME"/>
              </w:rPr>
            </w:pPr>
            <w:r w:rsidRPr="000152CB">
              <w:rPr>
                <w:rFonts w:eastAsia="Times New Roman" w:cs="Calibri"/>
                <w:bCs/>
                <w:color w:val="000000"/>
                <w:sz w:val="20"/>
                <w:szCs w:val="20"/>
                <w:lang w:eastAsia="sr-Latn-ME"/>
              </w:rPr>
              <w:t>min 50%</w:t>
            </w:r>
            <w:r w:rsidRPr="000152CB">
              <w:rPr>
                <w:rFonts w:eastAsia="Times New Roman" w:cs="Calibri"/>
                <w:bCs/>
                <w:color w:val="000000"/>
                <w:sz w:val="20"/>
                <w:szCs w:val="20"/>
                <w:vertAlign w:val="superscript"/>
                <w:lang w:eastAsia="sr-Latn-ME"/>
              </w:rPr>
              <w:footnoteReference w:id="2"/>
            </w:r>
          </w:p>
        </w:tc>
        <w:tc>
          <w:tcPr>
            <w:tcW w:w="4050" w:type="dxa"/>
          </w:tcPr>
          <w:p w14:paraId="2052B8C7" w14:textId="77777777" w:rsidR="00562EBF" w:rsidRPr="000152CB" w:rsidRDefault="00562EBF" w:rsidP="009D4F7C">
            <w:pPr>
              <w:ind w:left="270"/>
              <w:jc w:val="center"/>
              <w:cnfStyle w:val="000000000000" w:firstRow="0" w:lastRow="0" w:firstColumn="0" w:lastColumn="0" w:oddVBand="0" w:evenVBand="0" w:oddHBand="0" w:evenHBand="0" w:firstRowFirstColumn="0" w:firstRowLastColumn="0" w:lastRowFirstColumn="0" w:lastRowLastColumn="0"/>
              <w:rPr>
                <w:rFonts w:eastAsia="Times New Roman" w:cs="Calibri"/>
                <w:b/>
                <w:sz w:val="20"/>
                <w:szCs w:val="20"/>
                <w:lang w:eastAsia="sr-Latn-ME"/>
              </w:rPr>
            </w:pPr>
            <w:r w:rsidRPr="000152CB">
              <w:rPr>
                <w:rFonts w:eastAsia="Times New Roman" w:cs="Calibri"/>
                <w:b/>
                <w:sz w:val="20"/>
                <w:szCs w:val="20"/>
                <w:lang w:eastAsia="sr-Latn-ME"/>
              </w:rPr>
              <w:t xml:space="preserve">Prelazna vrijednost: </w:t>
            </w:r>
          </w:p>
          <w:p w14:paraId="208761BE" w14:textId="77777777" w:rsidR="00562EBF" w:rsidRPr="000152CB" w:rsidRDefault="00562EBF" w:rsidP="009D4F7C">
            <w:pPr>
              <w:ind w:left="270"/>
              <w:jc w:val="center"/>
              <w:cnfStyle w:val="000000000000" w:firstRow="0" w:lastRow="0" w:firstColumn="0" w:lastColumn="0" w:oddVBand="0" w:evenVBand="0" w:oddHBand="0" w:evenHBand="0" w:firstRowFirstColumn="0" w:firstRowLastColumn="0" w:lastRowFirstColumn="0" w:lastRowLastColumn="0"/>
              <w:rPr>
                <w:rFonts w:eastAsia="Times New Roman" w:cs="Calibri"/>
                <w:b/>
                <w:sz w:val="20"/>
                <w:szCs w:val="20"/>
                <w:lang w:eastAsia="sr-Latn-ME"/>
              </w:rPr>
            </w:pPr>
          </w:p>
          <w:p w14:paraId="04BD7963" w14:textId="77777777" w:rsidR="00562EBF" w:rsidRPr="000152CB" w:rsidRDefault="00562EBF" w:rsidP="009D4F7C">
            <w:pPr>
              <w:ind w:left="270"/>
              <w:jc w:val="center"/>
              <w:cnfStyle w:val="000000000000" w:firstRow="0" w:lastRow="0" w:firstColumn="0" w:lastColumn="0" w:oddVBand="0" w:evenVBand="0" w:oddHBand="0" w:evenHBand="0" w:firstRowFirstColumn="0" w:firstRowLastColumn="0" w:lastRowFirstColumn="0" w:lastRowLastColumn="0"/>
              <w:rPr>
                <w:rFonts w:eastAsia="Times New Roman" w:cs="Calibri"/>
                <w:b/>
                <w:sz w:val="20"/>
                <w:szCs w:val="20"/>
                <w:lang w:eastAsia="sr-Latn-ME"/>
              </w:rPr>
            </w:pPr>
          </w:p>
          <w:p w14:paraId="73E689C0" w14:textId="77777777" w:rsidR="00562EBF" w:rsidRPr="000152CB" w:rsidRDefault="00562EBF" w:rsidP="009D4F7C">
            <w:pPr>
              <w:ind w:left="270"/>
              <w:jc w:val="center"/>
              <w:cnfStyle w:val="000000000000" w:firstRow="0" w:lastRow="0" w:firstColumn="0" w:lastColumn="0" w:oddVBand="0" w:evenVBand="0" w:oddHBand="0" w:evenHBand="0" w:firstRowFirstColumn="0" w:firstRowLastColumn="0" w:lastRowFirstColumn="0" w:lastRowLastColumn="0"/>
              <w:rPr>
                <w:rFonts w:eastAsia="Times New Roman" w:cs="Calibri"/>
                <w:bCs/>
                <w:sz w:val="20"/>
                <w:szCs w:val="20"/>
                <w:lang w:eastAsia="sr-Latn-ME"/>
              </w:rPr>
            </w:pPr>
            <w:r w:rsidRPr="000152CB">
              <w:rPr>
                <w:rFonts w:eastAsia="Times New Roman" w:cs="Calibri"/>
                <w:bCs/>
                <w:sz w:val="20"/>
                <w:szCs w:val="20"/>
                <w:lang w:eastAsia="sr-Latn-ME"/>
              </w:rPr>
              <w:t>trend  smanjivanja od 10%</w:t>
            </w:r>
          </w:p>
        </w:tc>
        <w:tc>
          <w:tcPr>
            <w:tcW w:w="3865" w:type="dxa"/>
          </w:tcPr>
          <w:p w14:paraId="6E3F9331" w14:textId="77777777" w:rsidR="00562EBF" w:rsidRPr="000152CB" w:rsidRDefault="00562EBF" w:rsidP="009D4F7C">
            <w:pPr>
              <w:ind w:left="270"/>
              <w:jc w:val="center"/>
              <w:cnfStyle w:val="000000000000" w:firstRow="0" w:lastRow="0" w:firstColumn="0" w:lastColumn="0" w:oddVBand="0" w:evenVBand="0" w:oddHBand="0" w:evenHBand="0" w:firstRowFirstColumn="0" w:firstRowLastColumn="0" w:lastRowFirstColumn="0" w:lastRowLastColumn="0"/>
              <w:rPr>
                <w:rFonts w:eastAsia="Times New Roman" w:cs="Calibri"/>
                <w:b/>
                <w:sz w:val="20"/>
                <w:szCs w:val="20"/>
                <w:lang w:eastAsia="sr-Latn-ME"/>
              </w:rPr>
            </w:pPr>
            <w:r w:rsidRPr="000152CB">
              <w:rPr>
                <w:rFonts w:eastAsia="Times New Roman" w:cs="Calibri"/>
                <w:b/>
                <w:sz w:val="20"/>
                <w:szCs w:val="20"/>
                <w:lang w:eastAsia="sr-Latn-ME"/>
              </w:rPr>
              <w:t xml:space="preserve">Ciljna vrijednost: </w:t>
            </w:r>
          </w:p>
          <w:p w14:paraId="17FEB62A" w14:textId="77777777" w:rsidR="00562EBF" w:rsidRPr="000152CB" w:rsidRDefault="00562EBF" w:rsidP="009D4F7C">
            <w:pPr>
              <w:ind w:left="270"/>
              <w:jc w:val="center"/>
              <w:cnfStyle w:val="000000000000" w:firstRow="0" w:lastRow="0" w:firstColumn="0" w:lastColumn="0" w:oddVBand="0" w:evenVBand="0" w:oddHBand="0" w:evenHBand="0" w:firstRowFirstColumn="0" w:firstRowLastColumn="0" w:lastRowFirstColumn="0" w:lastRowLastColumn="0"/>
              <w:rPr>
                <w:rFonts w:eastAsia="Times New Roman" w:cs="Calibri"/>
                <w:b/>
                <w:sz w:val="20"/>
                <w:szCs w:val="20"/>
                <w:lang w:eastAsia="sr-Latn-ME"/>
              </w:rPr>
            </w:pPr>
          </w:p>
          <w:p w14:paraId="219F2A5F" w14:textId="77777777" w:rsidR="00562EBF" w:rsidRPr="000152CB" w:rsidRDefault="00562EBF" w:rsidP="009D4F7C">
            <w:pPr>
              <w:ind w:left="270"/>
              <w:jc w:val="center"/>
              <w:cnfStyle w:val="000000000000" w:firstRow="0" w:lastRow="0" w:firstColumn="0" w:lastColumn="0" w:oddVBand="0" w:evenVBand="0" w:oddHBand="0" w:evenHBand="0" w:firstRowFirstColumn="0" w:firstRowLastColumn="0" w:lastRowFirstColumn="0" w:lastRowLastColumn="0"/>
              <w:rPr>
                <w:rFonts w:eastAsia="Times New Roman" w:cs="Calibri"/>
                <w:b/>
                <w:sz w:val="20"/>
                <w:szCs w:val="20"/>
                <w:lang w:eastAsia="sr-Latn-ME"/>
              </w:rPr>
            </w:pPr>
          </w:p>
          <w:p w14:paraId="7229526E" w14:textId="77777777" w:rsidR="00562EBF" w:rsidRPr="000152CB" w:rsidRDefault="00562EBF" w:rsidP="009D4F7C">
            <w:pPr>
              <w:ind w:left="270"/>
              <w:jc w:val="center"/>
              <w:cnfStyle w:val="000000000000" w:firstRow="0" w:lastRow="0" w:firstColumn="0" w:lastColumn="0" w:oddVBand="0" w:evenVBand="0" w:oddHBand="0" w:evenHBand="0" w:firstRowFirstColumn="0" w:firstRowLastColumn="0" w:lastRowFirstColumn="0" w:lastRowLastColumn="0"/>
              <w:rPr>
                <w:rFonts w:eastAsia="Times New Roman" w:cs="Calibri"/>
                <w:bCs/>
                <w:sz w:val="20"/>
                <w:szCs w:val="20"/>
                <w:lang w:eastAsia="sr-Latn-ME"/>
              </w:rPr>
            </w:pPr>
            <w:r w:rsidRPr="000152CB">
              <w:rPr>
                <w:rFonts w:eastAsia="Times New Roman" w:cs="Calibri"/>
                <w:bCs/>
                <w:sz w:val="20"/>
                <w:szCs w:val="20"/>
                <w:lang w:eastAsia="sr-Latn-ME"/>
              </w:rPr>
              <w:t>smanjen udio predmetnih hospitalizacija za 25%</w:t>
            </w:r>
          </w:p>
        </w:tc>
      </w:tr>
    </w:tbl>
    <w:p w14:paraId="4583CACE" w14:textId="5B4DB543" w:rsidR="00BF2251" w:rsidRPr="000152CB" w:rsidRDefault="00BF2251" w:rsidP="00BF2251">
      <w:pPr>
        <w:spacing w:before="100" w:beforeAutospacing="1" w:after="100" w:afterAutospacing="1" w:line="240" w:lineRule="auto"/>
        <w:jc w:val="both"/>
        <w:rPr>
          <w:rFonts w:eastAsia="Times New Roman" w:cstheme="minorHAnsi"/>
        </w:rPr>
      </w:pPr>
      <w:r w:rsidRPr="000152CB">
        <w:rPr>
          <w:rFonts w:eastAsia="Times New Roman" w:cstheme="minorHAnsi"/>
        </w:rPr>
        <w:t xml:space="preserve">U svrhu sistemskog praćenja i poboljšanja kvaliteta zdravstvene njege, u prethodnom periodu sprovođenja javne politike preduzeti su koraci na uspostavljanju </w:t>
      </w:r>
      <w:r w:rsidRPr="000152CB">
        <w:rPr>
          <w:rFonts w:eastAsia="Times New Roman" w:cstheme="minorHAnsi"/>
          <w:b/>
          <w:bCs/>
        </w:rPr>
        <w:t>operativnog sistema kontrole kvaliteta</w:t>
      </w:r>
      <w:r w:rsidRPr="000152CB">
        <w:rPr>
          <w:rFonts w:eastAsia="Times New Roman" w:cstheme="minorHAnsi"/>
        </w:rPr>
        <w:t xml:space="preserve"> u zdravstvu, što je predviđeno strategijom. Ministarstvo zdravlja je, uz podršku SZO i UNICEF-a, sprovelo ocjenjivanje kvaliteta zdravstvene zaštite u pojedinim oblastima. Tako je u 2023. urađena treća po redu </w:t>
      </w:r>
      <w:r w:rsidRPr="000152CB">
        <w:rPr>
          <w:rFonts w:eastAsia="Times New Roman" w:cstheme="minorHAnsi"/>
          <w:b/>
          <w:bCs/>
        </w:rPr>
        <w:t>procjena kvaliteta zdravstvene zaštite majki i novorođenčadi</w:t>
      </w:r>
      <w:r w:rsidRPr="000152CB">
        <w:rPr>
          <w:rFonts w:eastAsia="Times New Roman" w:cstheme="minorHAnsi"/>
        </w:rPr>
        <w:t xml:space="preserve"> u porodilištima Crne Gore, koja je identifikovala napredak u odnosu na ranije ali i oblasti za dalje poboljšanje. Na osnovu preporuka te analize, Ministarstvo je krajem 2024. formiralo radnu grupu i pripremilo </w:t>
      </w:r>
      <w:r w:rsidRPr="000152CB">
        <w:rPr>
          <w:rFonts w:eastAsia="Times New Roman" w:cstheme="minorHAnsi"/>
          <w:b/>
          <w:bCs/>
        </w:rPr>
        <w:t>akcioni plan za unapređenje perinatalne njege</w:t>
      </w:r>
      <w:r w:rsidRPr="000152CB">
        <w:rPr>
          <w:rFonts w:eastAsia="Times New Roman" w:cstheme="minorHAnsi"/>
        </w:rPr>
        <w:t xml:space="preserve"> – mjere uključuju uvođenje individualnih porođajnih sala u većim porodilištima, obaveznu dodatnu obuku babica i neonatalnih timova (npr. obuke za neonatalnu reanimaciju su već održane početkom 2025. u svim bolnicama). Uz to, radi se na poboljšanju </w:t>
      </w:r>
      <w:r w:rsidRPr="000152CB">
        <w:rPr>
          <w:rFonts w:eastAsia="Times New Roman" w:cstheme="minorHAnsi"/>
          <w:b/>
          <w:bCs/>
        </w:rPr>
        <w:t>evidencije pokazatelja kvaliteta</w:t>
      </w:r>
      <w:r w:rsidRPr="000152CB">
        <w:rPr>
          <w:rFonts w:eastAsia="Times New Roman" w:cstheme="minorHAnsi"/>
        </w:rPr>
        <w:t xml:space="preserve">: strategija predviđa izgradnju boljih baza podataka i korišćenje indikatora (poput stope bolničkih infekcija, ishoda liječenja određених bolesti, vremena čekanja i sl.) za upravljanje kvalitetom. U tu svrhu, tokom 2024. je razvijen modul unutar zdravstvenog informacionog sistema za praćenje neželjenih događaja u bolnicama i prigovora pacijenata, kako bi se ustanove motivisale na internu analizu i unapređenje usluga. </w:t>
      </w:r>
      <w:r w:rsidRPr="000152CB">
        <w:rPr>
          <w:rFonts w:eastAsia="Times New Roman" w:cstheme="minorHAnsi"/>
        </w:rPr>
        <w:lastRenderedPageBreak/>
        <w:t xml:space="preserve">Takođe, Crna Gora je započela pripreme za priključivanje međunarodnom programu </w:t>
      </w:r>
      <w:r w:rsidRPr="000152CB">
        <w:rPr>
          <w:rFonts w:eastAsia="Times New Roman" w:cstheme="minorHAnsi"/>
          <w:b/>
          <w:bCs/>
        </w:rPr>
        <w:t>akreditacije zdravstvenih ustanova</w:t>
      </w:r>
      <w:r w:rsidRPr="000152CB">
        <w:rPr>
          <w:rFonts w:eastAsia="Times New Roman" w:cstheme="minorHAnsi"/>
        </w:rPr>
        <w:t xml:space="preserve"> – u toku je samoprocjena nekoliko odjeljenja KCCG prema akreditacionim standardima uz savjetovanje eksperata iz Evropskog centra za kvalitet u zdravstvenoj njezi. Sve ovo ima cilj da se obezbijedi da rast dostupnosti usluga prati i rast njihovog kvaliteta i sigurnosti za pacijente.</w:t>
      </w:r>
    </w:p>
    <w:p w14:paraId="2CF4973B" w14:textId="7CDFA0C4" w:rsidR="00784360" w:rsidRPr="000152CB" w:rsidRDefault="00784360" w:rsidP="00CE1189">
      <w:pPr>
        <w:spacing w:before="100" w:beforeAutospacing="1" w:after="100" w:afterAutospacing="1" w:line="240" w:lineRule="auto"/>
        <w:jc w:val="both"/>
      </w:pPr>
      <w:r w:rsidRPr="000152CB">
        <w:t xml:space="preserve">Kada govorimo o primarnoj zdravstvenoj zaštiti, potrebno je istaći da je novi Zakon o zdravstvenoj zaštiti </w:t>
      </w:r>
      <w:r w:rsidR="002F2E3E" w:rsidRPr="000152CB">
        <w:t>usklađen</w:t>
      </w:r>
      <w:r w:rsidRPr="000152CB">
        <w:t xml:space="preserve"> sa strategijom</w:t>
      </w:r>
      <w:r w:rsidR="00BF2251" w:rsidRPr="000152CB">
        <w:t xml:space="preserve">, gdje je posebno potrebno istaći </w:t>
      </w:r>
      <w:r w:rsidRPr="000152CB">
        <w:t>uve</w:t>
      </w:r>
      <w:r w:rsidR="00BF2251" w:rsidRPr="000152CB">
        <w:t xml:space="preserve">denu </w:t>
      </w:r>
      <w:r w:rsidRPr="000152CB">
        <w:t>mjeru da ljekari po završetku pripravničkog staža obavezno dvije godine rade na primarnom nivou, čime se jača kadar u domovima zdravlja. Takođe, ukinuto je dosadašnje čekanje od dvije godine za specijalizaciju iz porodične medicine – mladi ljekari se sada odmah mogu opredijeliti za tu specijalizaciju, što motiviše izbor porodične medicine i popunjavanje nedostajućih kadrova. Time su stvoreni uslovi da se primarni nivo postepeno rastereti i preuzme oko 70% svih zdravstvenih usluga, što je standard razvijenih sistema. U domovima zdravlja u više opština (Podgorica, Bijelo Polje, Berane) uspostavljeni su i novi servisi rane intervencije za djecu sa rizikom u razvoju, u sklopu strategije ranog razvoja djece povezane sa zdravstvenim sektorom.</w:t>
      </w:r>
    </w:p>
    <w:p w14:paraId="2DF90C82" w14:textId="1DBE12CC" w:rsidR="00CE1189" w:rsidRPr="000152CB" w:rsidRDefault="00CE7E00" w:rsidP="00CE1189">
      <w:pPr>
        <w:spacing w:before="100" w:beforeAutospacing="1" w:after="100" w:afterAutospacing="1" w:line="240" w:lineRule="auto"/>
        <w:jc w:val="both"/>
        <w:rPr>
          <w:rFonts w:eastAsia="Times New Roman" w:cstheme="minorHAnsi"/>
        </w:rPr>
      </w:pPr>
      <w:r w:rsidRPr="000152CB">
        <w:t>Na nivou sekundardne i tercijarne zdravstvene zaštite o</w:t>
      </w:r>
      <w:r w:rsidR="00A00818" w:rsidRPr="000152CB">
        <w:t>bnovljen je transplantacioni program, čime je poboljšana dostupnost specijalizovanih zdravstvenih usluga. Izgradnjom nove Klinike za psihijatriju značajno su povećani kapaciteti za pružanje njege u oblasti mentalnog zdravlja. Formirani su brojni multidisciplinarni i multisektorski timovi koji sprovode aktivnosti usmjerene ka unapređenju zdravstvene njege u bolnicama. U toku je izrada standardnih operativnih procedura za nabavku, skladištenje i distribuciju u zdravstvenim ustanovama, sa rokom završetka do</w:t>
      </w:r>
      <w:r w:rsidR="00B36F26" w:rsidRPr="000152CB">
        <w:t xml:space="preserve"> kraja</w:t>
      </w:r>
      <w:r w:rsidR="00A00818" w:rsidRPr="000152CB">
        <w:t xml:space="preserve"> IV kvartala 2025. Donijeto je deset jednoobraznih akata o unutrašnjoj organizaciji i sistematizaciji u zdravstvenim ustanovama na svim nivoima</w:t>
      </w:r>
      <w:r w:rsidR="00B36F26" w:rsidRPr="000152CB">
        <w:t xml:space="preserve">. </w:t>
      </w:r>
      <w:r w:rsidR="00A00818" w:rsidRPr="000152CB">
        <w:t>Svjetska zdravstvena organizacija je izradila analizu dostupnosti, održivosti i kvaliteta usluga Zavoda za hitnu medicinsku pomoć, sa preporukama za optimizaciju</w:t>
      </w:r>
      <w:r w:rsidR="00181867" w:rsidRPr="000152CB">
        <w:t xml:space="preserve">. </w:t>
      </w:r>
      <w:r w:rsidR="00A00818" w:rsidRPr="000152CB">
        <w:t>Izrađen je model specijalističkih usluga koje se pružaju na primarnom nivou, dok je realizacija aktivnosti i tender za plan ljudskih resursa u toku</w:t>
      </w:r>
      <w:r w:rsidR="00181867" w:rsidRPr="000152CB">
        <w:t xml:space="preserve">. </w:t>
      </w:r>
      <w:r w:rsidR="00A00818" w:rsidRPr="000152CB">
        <w:t>Paralelno se radi na izradi održivog modela integrisanog pružanja usluga iz oblasti medicine rada, koji se temelji na multisektorskom pristupu</w:t>
      </w:r>
      <w:r w:rsidR="00181867" w:rsidRPr="000152CB">
        <w:t xml:space="preserve">. </w:t>
      </w:r>
      <w:r w:rsidR="00A00818" w:rsidRPr="000152CB">
        <w:t>U cilju jačanja kontrole privremene spriječenosti za rad i povreda na radu, održane su dvije obuke i sprovedene 33 kontrole. Revizija ovlašćenja izabranih doktora na primarnom nivou je završena, formirana je radna grupa, a pravilnik je u izradi. U okviru prve faze</w:t>
      </w:r>
      <w:r w:rsidR="000F7FFE" w:rsidRPr="000152CB">
        <w:t>implementacije</w:t>
      </w:r>
      <w:r w:rsidR="00A00818" w:rsidRPr="000152CB">
        <w:t xml:space="preserve"> Akcionog plana sa Svjetskom bankom omogućeno je farmaceutima da izdaju zamjenski lijek istog INN-a, jačine i farmaceutskog oblika, što je omogućilo veći pristup terapiji i proširena ovlašćenja farmaceutima. U toku je i izrada funkcionalne analize poslova i zadataka medicinskih sestara i tehničara, sa ciljem proširenja ovlašćenja, definisanja koeficijenata i potreba za doedukacijom</w:t>
      </w:r>
      <w:r w:rsidR="000F7FFE" w:rsidRPr="000152CB">
        <w:t xml:space="preserve">. </w:t>
      </w:r>
      <w:r w:rsidR="00A00818" w:rsidRPr="000152CB">
        <w:t>Takođe, izrađen je plan razvoja stomatološke zaštite sa fokusom na djecu i optimizaciju pružanja stomatoloških usluga</w:t>
      </w:r>
      <w:r w:rsidR="000F7FFE" w:rsidRPr="000152CB">
        <w:t xml:space="preserve">. </w:t>
      </w:r>
      <w:r w:rsidR="00CE1189" w:rsidRPr="000152CB">
        <w:rPr>
          <w:rFonts w:eastAsia="Times New Roman" w:cstheme="minorHAnsi"/>
        </w:rPr>
        <w:t xml:space="preserve">Postignut je značajan iskorak u kvalitetu bolničkih usluga – </w:t>
      </w:r>
      <w:r w:rsidR="00CE1189" w:rsidRPr="000152CB">
        <w:rPr>
          <w:rFonts w:eastAsia="Times New Roman" w:cstheme="minorHAnsi"/>
          <w:b/>
          <w:bCs/>
        </w:rPr>
        <w:t>uspostavljen je transplantacioni program u Crnoj Gori</w:t>
      </w:r>
      <w:r w:rsidR="00CE1189" w:rsidRPr="000152CB">
        <w:rPr>
          <w:rFonts w:eastAsia="Times New Roman" w:cstheme="minorHAnsi"/>
        </w:rPr>
        <w:t xml:space="preserve">. Po prvi put su urađene transplantacije matičnih ćelija koštane srži u Kliničkom centru Crne Gore (KCCG) za teško oboljele hematološke pacijente, kao i prva transplantacija bubrega sa živog donora poslije višegodišnjeg prekida. Ovim zahvatima, sprovedenim početkom 2025. godine, crnogorsko zdravstvo se svrstalo rame uz rame sa razvijenim centrima u regionu, jer su pacijenti ranije za ovakvu terapiju morali ići u inostranstvo. Proces uspostave transplantacija zahtijevao je prilagođavanje regulative, formiranje stručnih timova i nabavku opreme i lijekova, što je uspješno realizovano kroz saradnju Ministarstva zdravlja, KCCG, Zavoda za transfuziju i partnera iz inostranstva. Pored toga, nabavljena je i nova medicinska oprema – u toku je isporuka savremenih dijagnostičkih aparata (npr. </w:t>
      </w:r>
      <w:r w:rsidR="00CE1189" w:rsidRPr="000152CB">
        <w:rPr>
          <w:rFonts w:eastAsia="Times New Roman" w:cstheme="minorHAnsi"/>
          <w:b/>
          <w:bCs/>
        </w:rPr>
        <w:t>PET skener</w:t>
      </w:r>
      <w:r w:rsidR="00CE1189" w:rsidRPr="000152CB">
        <w:rPr>
          <w:rFonts w:eastAsia="Times New Roman" w:cstheme="minorHAnsi"/>
        </w:rPr>
        <w:t xml:space="preserve"> za onkološke potrebe biće instaliran tokom 2025. godine) što će skratiti čekanja i omogućiti preglede u zemlji umjesto upućivanja vani. Ministarstvo zdravlja ističe i da su </w:t>
      </w:r>
      <w:r w:rsidR="00CE1189" w:rsidRPr="000152CB">
        <w:rPr>
          <w:rFonts w:eastAsia="Times New Roman" w:cstheme="minorHAnsi"/>
          <w:b/>
          <w:bCs/>
        </w:rPr>
        <w:t>liste čekanja</w:t>
      </w:r>
      <w:r w:rsidR="00CE1189" w:rsidRPr="000152CB">
        <w:rPr>
          <w:rFonts w:eastAsia="Times New Roman" w:cstheme="minorHAnsi"/>
        </w:rPr>
        <w:t xml:space="preserve"> smanjene u pojedinim oblastima: trenutno ni za jednu hiruršku intervenciju (osim dijela ortopedskih) čekanje nije duže od godinu </w:t>
      </w:r>
      <w:r w:rsidR="00CE1189" w:rsidRPr="000152CB">
        <w:rPr>
          <w:rFonts w:eastAsia="Times New Roman" w:cstheme="minorHAnsi"/>
        </w:rPr>
        <w:lastRenderedPageBreak/>
        <w:t xml:space="preserve">dana, a većina pacijenata dobije termin u prvom kvartalu godine. Posebno su </w:t>
      </w:r>
      <w:r w:rsidR="00CE1189" w:rsidRPr="000152CB">
        <w:rPr>
          <w:rFonts w:eastAsia="Times New Roman" w:cstheme="minorHAnsi"/>
          <w:b/>
          <w:bCs/>
        </w:rPr>
        <w:t>skraćene liste čekanja u kardiologiji</w:t>
      </w:r>
      <w:r w:rsidR="00CE1189" w:rsidRPr="000152CB">
        <w:rPr>
          <w:rFonts w:eastAsia="Times New Roman" w:cstheme="minorHAnsi"/>
        </w:rPr>
        <w:t>, zahvaljujući uvođenju dodatnih termina i pilot-projekta zakazivanja pregleda šest mjeseci unaprijed u KCCG. U najopterećenijim specijalnostima (poput reumatologije, endokrinologije, neurologije i dr.), KCCG je pojačao prekovremeni rad i angažovanje dodatnih timova kako bi ubrzao specijalističke preglede.</w:t>
      </w:r>
    </w:p>
    <w:p w14:paraId="6C06F6A5" w14:textId="428184AC" w:rsidR="002D6E96" w:rsidRPr="000152CB" w:rsidRDefault="002D6E96" w:rsidP="002D6E96">
      <w:pPr>
        <w:spacing w:before="100" w:beforeAutospacing="1" w:after="100" w:afterAutospacing="1" w:line="240" w:lineRule="auto"/>
        <w:jc w:val="both"/>
        <w:rPr>
          <w:rFonts w:eastAsia="Times New Roman" w:cstheme="minorHAnsi"/>
        </w:rPr>
      </w:pPr>
      <w:r w:rsidRPr="000152CB">
        <w:rPr>
          <w:rFonts w:eastAsia="Times New Roman" w:cstheme="minorHAnsi"/>
          <w:b/>
          <w:bCs/>
        </w:rPr>
        <w:t>Snabdijevanje apoteka</w:t>
      </w:r>
      <w:r w:rsidRPr="000152CB">
        <w:rPr>
          <w:rFonts w:eastAsia="Times New Roman" w:cstheme="minorHAnsi"/>
        </w:rPr>
        <w:t xml:space="preserve"> se značajno poboljšalo u odnosu na raniji period čestih nestašica. Državne apoteke Montefarma sada uglavnom </w:t>
      </w:r>
      <w:r w:rsidRPr="000152CB">
        <w:rPr>
          <w:rFonts w:eastAsia="Times New Roman" w:cstheme="minorHAnsi"/>
          <w:b/>
          <w:bCs/>
        </w:rPr>
        <w:t>uredno raspolažu esencijalnim lijekovima</w:t>
      </w:r>
      <w:r w:rsidRPr="000152CB">
        <w:rPr>
          <w:rFonts w:eastAsia="Times New Roman" w:cstheme="minorHAnsi"/>
        </w:rPr>
        <w:t xml:space="preserve">, a eventualni prekidi su sporadični i kratkotrajni (par dana). U 2024. i 2025. Montefarm je uložio napor da održi kontinuitet terapije za najugroženije pacijente – npr. i pored globalnih problema u proizvodnji, obezbijeđena je kontinuirana nabavka </w:t>
      </w:r>
      <w:r w:rsidRPr="000152CB">
        <w:rPr>
          <w:rFonts w:eastAsia="Times New Roman" w:cstheme="minorHAnsi"/>
          <w:b/>
          <w:bCs/>
        </w:rPr>
        <w:t>onkoloških lijekova</w:t>
      </w:r>
      <w:r w:rsidRPr="000152CB">
        <w:rPr>
          <w:rFonts w:eastAsia="Times New Roman" w:cstheme="minorHAnsi"/>
        </w:rPr>
        <w:t xml:space="preserve"> za pacijentkinje sa karcinomom dojke, nakon što je početkom 2024. bilo kratkih zastoja u isporuci. Problem nestašice jednog važnog antidepresiva (Anafranil) riješen je zamjenskom terapijom i hitnim uvozom po specijalnom režimu, čime je spriječeno ugrožavanje terapije za psihijatrijske bolesnike. </w:t>
      </w:r>
      <w:r w:rsidRPr="000152CB">
        <w:rPr>
          <w:rFonts w:eastAsia="Times New Roman" w:cstheme="minorHAnsi"/>
          <w:b/>
          <w:bCs/>
        </w:rPr>
        <w:t>Planiranje zaliha</w:t>
      </w:r>
      <w:r w:rsidRPr="000152CB">
        <w:rPr>
          <w:rFonts w:eastAsia="Times New Roman" w:cstheme="minorHAnsi"/>
        </w:rPr>
        <w:t xml:space="preserve"> je takođe unaprijeđeno – Montefarm sada raspisuje tendere ranije i pribjegava direktnim sporazumima kada globalno dođe do nestašica, u saradnji sa SZO i mehanizmima za hitnu nabavku. Identifikovan je, ipak, veliki infrastrukturni izazov: </w:t>
      </w:r>
      <w:r w:rsidRPr="000152CB">
        <w:rPr>
          <w:rFonts w:eastAsia="Times New Roman" w:cstheme="minorHAnsi"/>
          <w:b/>
          <w:bCs/>
        </w:rPr>
        <w:t>nedostatak skladišnog prostora</w:t>
      </w:r>
      <w:r w:rsidRPr="000152CB">
        <w:rPr>
          <w:rFonts w:eastAsia="Times New Roman" w:cstheme="minorHAnsi"/>
        </w:rPr>
        <w:t xml:space="preserve"> u Montefarmu. Postojeći centralni magacin projektovan je za promet od ~30 miliona €, a promet lijekova je narastao na 150 miliona €, što znači da nema mjesta za sve potrebne zalihe. Zbog toga Montefarm trenutno radi po sistemu “just-in-time” (naručuje češće manje količine, drži minimalne lagere) što nije optimalno, ali uz podršku države planira izgradnju </w:t>
      </w:r>
      <w:r w:rsidRPr="000152CB">
        <w:rPr>
          <w:rFonts w:eastAsia="Times New Roman" w:cstheme="minorHAnsi"/>
          <w:b/>
          <w:bCs/>
        </w:rPr>
        <w:t>novog centralnog magacina do 2026. godine</w:t>
      </w:r>
      <w:r w:rsidRPr="000152CB">
        <w:rPr>
          <w:rFonts w:eastAsia="Times New Roman" w:cstheme="minorHAnsi"/>
        </w:rPr>
        <w:t xml:space="preserve">. Vlada je već ponudila lokacije za novu zgradu Montefarma i radi se na projektovanju; očekuje se da će novi magacin omogućiti držanje većih zaliha i uspostavu </w:t>
      </w:r>
      <w:r w:rsidRPr="000152CB">
        <w:rPr>
          <w:rFonts w:eastAsia="Times New Roman" w:cstheme="minorHAnsi"/>
          <w:b/>
          <w:bCs/>
        </w:rPr>
        <w:t>rezervi lijekova</w:t>
      </w:r>
      <w:r w:rsidRPr="000152CB">
        <w:rPr>
          <w:rFonts w:eastAsia="Times New Roman" w:cstheme="minorHAnsi"/>
        </w:rPr>
        <w:t xml:space="preserve"> za najmanje godinu dana za ključne lijekove, što je strateški cilj za jačanje sigurnosti snabdijevanja. Takođe, Montefarm je u 2024. proširio mrežu apoteka u nekim nedovoljno pokrivenim sredinama (npr. ponovo je otvorena apoteka u Plavu, traži se prostor za apoteku u Virpazaru) kako bi dostupnost lijekova bila ravnomjernija.</w:t>
      </w:r>
    </w:p>
    <w:p w14:paraId="3F8F9570" w14:textId="6D396620" w:rsidR="00D502D0" w:rsidRPr="000152CB" w:rsidRDefault="008F6431" w:rsidP="002868EB">
      <w:pPr>
        <w:spacing w:before="100" w:beforeAutospacing="1" w:after="100" w:afterAutospacing="1" w:line="240" w:lineRule="auto"/>
        <w:jc w:val="both"/>
        <w:rPr>
          <w:rFonts w:eastAsia="Times New Roman" w:cstheme="minorHAnsi"/>
        </w:rPr>
      </w:pPr>
      <w:r w:rsidRPr="000152CB">
        <w:t>Kada govrimo o nere</w:t>
      </w:r>
      <w:r w:rsidR="009F408F" w:rsidRPr="000152CB">
        <w:t>al</w:t>
      </w:r>
      <w:r w:rsidRPr="000152CB">
        <w:t>izovani</w:t>
      </w:r>
      <w:r w:rsidR="009F408F" w:rsidRPr="000152CB">
        <w:t>m</w:t>
      </w:r>
      <w:r w:rsidRPr="000152CB">
        <w:t xml:space="preserve"> aktivnostima u periodu izvještavanja, potrebno je istaći da</w:t>
      </w:r>
      <w:r w:rsidR="00D502D0" w:rsidRPr="000152CB">
        <w:t xml:space="preserve"> nije usvojen dokument kojim se definišu osnovni standardi za pružanje zdravstvenih usluga na svim nivoima zdravstvene zaštite, niti je izrađena sveobuhvatna analiza zdravstvenih potreba sa planom razvoja ljudskih resursa i pružalaca usluga, uključujući uticaj klimatskih promjena. Iako je 2023. godine donijeta odluka o izmjenama mreže zdravstvenih ustanova, još je u izradi Uredba o obimu prava i standardima zdravstvene zaštite iz obaveznog osiguranja za sekundarni i tercijarni nivo. Dodatne prepreke predstavljaju zakonska ograničenja i teritorijalno razgraničenje ustanova. Nisu definisane mjere za stimulaciju zdravstvenih radnika u ruralnim područjima, niti model za organizaciju i pružanje palijativne njege, čija realizacija je izostala zbog ograničenih kadrovskih kapaciteta i promjene Vlade. Takođe, nije uspostavljen sistem mobilizacije specijalista između bolničkih ustanova, niti je urađena analiza upućivanja i transporta pacijenata, posebno u hitnim slučajevima. Konačno, izostaje i model akreditacije ustanova na primarnom nivou, čija izrada zavisi od zakonskih izmjena i promjena u organizaciji Ministarstva zdravlja.</w:t>
      </w:r>
    </w:p>
    <w:p w14:paraId="01218F95" w14:textId="6428BD9D" w:rsidR="007231D1" w:rsidRPr="000152CB" w:rsidRDefault="00043D20" w:rsidP="00043D20">
      <w:pPr>
        <w:pStyle w:val="Naslov2"/>
      </w:pPr>
      <w:bookmarkStart w:id="4" w:name="_Toc202039243"/>
      <w:r w:rsidRPr="000152CB">
        <w:t>OBLAST II</w:t>
      </w:r>
      <w:bookmarkEnd w:id="4"/>
    </w:p>
    <w:tbl>
      <w:tblPr>
        <w:tblStyle w:val="Tabelakoordinatnemree4akcenat2"/>
        <w:tblW w:w="14220" w:type="dxa"/>
        <w:tblInd w:w="-635" w:type="dxa"/>
        <w:tblLook w:val="04A0" w:firstRow="1" w:lastRow="0" w:firstColumn="1" w:lastColumn="0" w:noHBand="0" w:noVBand="1"/>
      </w:tblPr>
      <w:tblGrid>
        <w:gridCol w:w="2061"/>
        <w:gridCol w:w="3767"/>
        <w:gridCol w:w="2900"/>
        <w:gridCol w:w="5492"/>
      </w:tblGrid>
      <w:tr w:rsidR="00043D20" w:rsidRPr="000152CB" w14:paraId="77DFC664" w14:textId="77777777" w:rsidTr="00043D20">
        <w:trPr>
          <w:cnfStyle w:val="100000000000" w:firstRow="1" w:lastRow="0" w:firstColumn="0" w:lastColumn="0" w:oddVBand="0" w:evenVBand="0" w:oddHBand="0"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2061" w:type="dxa"/>
            <w:hideMark/>
          </w:tcPr>
          <w:p w14:paraId="20645D79" w14:textId="77777777" w:rsidR="00043D20" w:rsidRPr="000152CB" w:rsidRDefault="00043D20" w:rsidP="009D4F7C">
            <w:pPr>
              <w:ind w:left="270"/>
              <w:jc w:val="center"/>
              <w:rPr>
                <w:rFonts w:eastAsia="Times New Roman" w:cs="Calibri"/>
                <w:b w:val="0"/>
                <w:sz w:val="20"/>
                <w:szCs w:val="20"/>
                <w:lang w:eastAsia="sr-Latn-ME"/>
              </w:rPr>
            </w:pPr>
            <w:r w:rsidRPr="000152CB">
              <w:rPr>
                <w:rFonts w:eastAsia="Times New Roman" w:cs="Calibri"/>
                <w:color w:val="000000"/>
                <w:sz w:val="20"/>
                <w:szCs w:val="20"/>
                <w:lang w:eastAsia="sr-Latn-ME"/>
              </w:rPr>
              <w:t>OPERATIVNI CILJ 1.2</w:t>
            </w:r>
          </w:p>
        </w:tc>
        <w:tc>
          <w:tcPr>
            <w:tcW w:w="12159" w:type="dxa"/>
            <w:gridSpan w:val="3"/>
            <w:hideMark/>
          </w:tcPr>
          <w:p w14:paraId="4562BC54" w14:textId="77777777" w:rsidR="00043D20" w:rsidRPr="000152CB" w:rsidRDefault="00043D20" w:rsidP="009D4F7C">
            <w:pPr>
              <w:ind w:left="270"/>
              <w:jc w:val="center"/>
              <w:cnfStyle w:val="100000000000" w:firstRow="1" w:lastRow="0" w:firstColumn="0" w:lastColumn="0" w:oddVBand="0" w:evenVBand="0" w:oddHBand="0" w:evenHBand="0" w:firstRowFirstColumn="0" w:firstRowLastColumn="0" w:lastRowFirstColumn="0" w:lastRowLastColumn="0"/>
              <w:rPr>
                <w:rFonts w:eastAsia="Times New Roman" w:cs="Calibri"/>
                <w:b w:val="0"/>
                <w:sz w:val="20"/>
                <w:szCs w:val="20"/>
                <w:lang w:eastAsia="sr-Latn-ME"/>
              </w:rPr>
            </w:pPr>
            <w:r w:rsidRPr="000152CB">
              <w:rPr>
                <w:rFonts w:eastAsia="Times New Roman" w:cs="Calibri"/>
                <w:sz w:val="20"/>
                <w:szCs w:val="20"/>
                <w:lang w:eastAsia="sr-Latn-ME"/>
              </w:rPr>
              <w:t>UNAPRIJEDITI NIVO FINANSIJSKE ZAŠTITE GRAĐANA KOD PRUŽANJA ZDRAVSTVENIH USLUGA</w:t>
            </w:r>
          </w:p>
        </w:tc>
      </w:tr>
      <w:tr w:rsidR="00043D20" w:rsidRPr="000152CB" w14:paraId="77A4C53C" w14:textId="77777777" w:rsidTr="00043D20">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2061" w:type="dxa"/>
            <w:hideMark/>
          </w:tcPr>
          <w:p w14:paraId="5ECAEF66" w14:textId="77777777" w:rsidR="00043D20" w:rsidRPr="000152CB" w:rsidRDefault="00043D20" w:rsidP="00043D20">
            <w:pPr>
              <w:rPr>
                <w:rFonts w:eastAsia="Times New Roman" w:cs="Calibri"/>
                <w:b w:val="0"/>
                <w:color w:val="000000"/>
                <w:sz w:val="20"/>
                <w:szCs w:val="20"/>
                <w:lang w:eastAsia="sr-Latn-ME"/>
              </w:rPr>
            </w:pPr>
            <w:r w:rsidRPr="000152CB">
              <w:rPr>
                <w:rFonts w:eastAsia="Times New Roman" w:cs="Calibri"/>
                <w:color w:val="000000"/>
                <w:sz w:val="20"/>
                <w:szCs w:val="20"/>
                <w:lang w:eastAsia="sr-Latn-ME"/>
              </w:rPr>
              <w:lastRenderedPageBreak/>
              <w:t xml:space="preserve">INDIKATOR UČINKA 2.1: </w:t>
            </w:r>
          </w:p>
          <w:p w14:paraId="2A4F0CAC" w14:textId="77777777" w:rsidR="00043D20" w:rsidRPr="000152CB" w:rsidRDefault="00043D20" w:rsidP="00043D20">
            <w:pPr>
              <w:rPr>
                <w:rFonts w:eastAsia="Times New Roman" w:cs="Calibri"/>
                <w:b w:val="0"/>
                <w:sz w:val="20"/>
                <w:szCs w:val="20"/>
                <w:lang w:eastAsia="sr-Latn-ME"/>
              </w:rPr>
            </w:pPr>
            <w:r w:rsidRPr="000152CB">
              <w:rPr>
                <w:rFonts w:eastAsia="Times New Roman" w:cs="Calibri"/>
                <w:color w:val="000000"/>
                <w:sz w:val="20"/>
                <w:szCs w:val="20"/>
                <w:lang w:eastAsia="sr-Latn-ME"/>
              </w:rPr>
              <w:t>Udio bolnica koji ne generiše godišnji finansnijski deficit</w:t>
            </w:r>
          </w:p>
        </w:tc>
        <w:tc>
          <w:tcPr>
            <w:tcW w:w="3767" w:type="dxa"/>
            <w:hideMark/>
          </w:tcPr>
          <w:p w14:paraId="35A5FC8D" w14:textId="77777777" w:rsidR="00043D20" w:rsidRPr="000152CB" w:rsidRDefault="00043D20" w:rsidP="009D4F7C">
            <w:pPr>
              <w:ind w:left="270"/>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Calibri"/>
                <w:b/>
                <w:sz w:val="20"/>
                <w:szCs w:val="20"/>
                <w:lang w:eastAsia="sr-Latn-ME"/>
              </w:rPr>
            </w:pPr>
            <w:r w:rsidRPr="000152CB">
              <w:rPr>
                <w:rFonts w:eastAsia="Times New Roman" w:cs="Calibri"/>
                <w:b/>
                <w:color w:val="000000"/>
                <w:sz w:val="20"/>
                <w:szCs w:val="20"/>
                <w:lang w:eastAsia="sr-Latn-ME"/>
              </w:rPr>
              <w:t>Početna vrijednost:</w:t>
            </w:r>
          </w:p>
          <w:p w14:paraId="3BD66D70" w14:textId="77777777" w:rsidR="00043D20" w:rsidRPr="000152CB" w:rsidRDefault="00043D20" w:rsidP="009D4F7C">
            <w:pPr>
              <w:ind w:left="270"/>
              <w:cnfStyle w:val="000000100000" w:firstRow="0" w:lastRow="0" w:firstColumn="0" w:lastColumn="0" w:oddVBand="0" w:evenVBand="0" w:oddHBand="1" w:evenHBand="0" w:firstRowFirstColumn="0" w:firstRowLastColumn="0" w:lastRowFirstColumn="0" w:lastRowLastColumn="0"/>
              <w:rPr>
                <w:rFonts w:eastAsia="Times New Roman" w:cs="Calibri"/>
                <w:b/>
                <w:color w:val="000000"/>
                <w:sz w:val="20"/>
                <w:szCs w:val="20"/>
                <w:lang w:eastAsia="sr-Latn-ME"/>
              </w:rPr>
            </w:pPr>
            <w:r w:rsidRPr="000152CB">
              <w:rPr>
                <w:rFonts w:eastAsia="Times New Roman" w:cs="Calibri"/>
                <w:b/>
                <w:color w:val="000000"/>
                <w:sz w:val="20"/>
                <w:szCs w:val="20"/>
                <w:lang w:eastAsia="sr-Latn-ME"/>
              </w:rPr>
              <w:t xml:space="preserve"> </w:t>
            </w:r>
          </w:p>
          <w:p w14:paraId="2C312EB7" w14:textId="77777777" w:rsidR="00043D20" w:rsidRPr="000152CB" w:rsidRDefault="00043D20" w:rsidP="009D4F7C">
            <w:pPr>
              <w:ind w:left="270"/>
              <w:cnfStyle w:val="000000100000" w:firstRow="0" w:lastRow="0" w:firstColumn="0" w:lastColumn="0" w:oddVBand="0" w:evenVBand="0" w:oddHBand="1" w:evenHBand="0" w:firstRowFirstColumn="0" w:firstRowLastColumn="0" w:lastRowFirstColumn="0" w:lastRowLastColumn="0"/>
              <w:rPr>
                <w:rFonts w:eastAsia="Times New Roman" w:cs="Calibri"/>
                <w:bCs/>
                <w:color w:val="000000"/>
                <w:sz w:val="20"/>
                <w:szCs w:val="20"/>
                <w:lang w:eastAsia="sr-Latn-ME"/>
              </w:rPr>
            </w:pPr>
            <w:r w:rsidRPr="000152CB">
              <w:rPr>
                <w:rFonts w:eastAsia="Times New Roman" w:cs="Calibri"/>
                <w:bCs/>
                <w:color w:val="000000"/>
                <w:sz w:val="20"/>
                <w:szCs w:val="20"/>
                <w:lang w:eastAsia="sr-Latn-ME"/>
              </w:rPr>
              <w:t>Trenutno ne postoji precizan podatak o novou finansijskog deficita koji generiše bolnički sistem u Crnoj Gori</w:t>
            </w:r>
          </w:p>
        </w:tc>
        <w:tc>
          <w:tcPr>
            <w:tcW w:w="2900" w:type="dxa"/>
          </w:tcPr>
          <w:p w14:paraId="75D9F1D4" w14:textId="77777777" w:rsidR="00043D20" w:rsidRPr="000152CB" w:rsidRDefault="00043D20" w:rsidP="009D4F7C">
            <w:pPr>
              <w:ind w:left="270"/>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Calibri"/>
                <w:b/>
                <w:sz w:val="20"/>
                <w:szCs w:val="20"/>
                <w:lang w:eastAsia="sr-Latn-ME"/>
              </w:rPr>
            </w:pPr>
            <w:r w:rsidRPr="000152CB">
              <w:rPr>
                <w:rFonts w:eastAsia="Times New Roman" w:cs="Calibri"/>
                <w:b/>
                <w:color w:val="000000"/>
                <w:sz w:val="20"/>
                <w:szCs w:val="20"/>
                <w:lang w:eastAsia="sr-Latn-ME"/>
              </w:rPr>
              <w:t>Prelazna vrijednost:</w:t>
            </w:r>
          </w:p>
          <w:p w14:paraId="451F3991" w14:textId="77777777" w:rsidR="00043D20" w:rsidRPr="000152CB" w:rsidRDefault="00043D20" w:rsidP="009D4F7C">
            <w:pPr>
              <w:ind w:left="270"/>
              <w:cnfStyle w:val="000000100000" w:firstRow="0" w:lastRow="0" w:firstColumn="0" w:lastColumn="0" w:oddVBand="0" w:evenVBand="0" w:oddHBand="1" w:evenHBand="0" w:firstRowFirstColumn="0" w:firstRowLastColumn="0" w:lastRowFirstColumn="0" w:lastRowLastColumn="0"/>
              <w:rPr>
                <w:rFonts w:eastAsia="Times New Roman" w:cs="Calibri"/>
                <w:b/>
                <w:color w:val="000000"/>
                <w:sz w:val="20"/>
                <w:szCs w:val="20"/>
                <w:lang w:eastAsia="sr-Latn-ME"/>
              </w:rPr>
            </w:pPr>
          </w:p>
          <w:p w14:paraId="59F04AB6" w14:textId="77777777" w:rsidR="00043D20" w:rsidRPr="000152CB" w:rsidRDefault="00043D20" w:rsidP="009D4F7C">
            <w:pPr>
              <w:ind w:left="270"/>
              <w:cnfStyle w:val="000000100000" w:firstRow="0" w:lastRow="0" w:firstColumn="0" w:lastColumn="0" w:oddVBand="0" w:evenVBand="0" w:oddHBand="1" w:evenHBand="0" w:firstRowFirstColumn="0" w:firstRowLastColumn="0" w:lastRowFirstColumn="0" w:lastRowLastColumn="0"/>
              <w:rPr>
                <w:rFonts w:eastAsia="Times New Roman" w:cs="Calibri"/>
                <w:bCs/>
                <w:color w:val="000000"/>
                <w:sz w:val="20"/>
                <w:szCs w:val="20"/>
                <w:lang w:eastAsia="sr-Latn-ME"/>
              </w:rPr>
            </w:pPr>
            <w:r w:rsidRPr="000152CB">
              <w:rPr>
                <w:rFonts w:eastAsia="Times New Roman" w:cs="Calibri"/>
                <w:bCs/>
                <w:color w:val="000000"/>
                <w:sz w:val="20"/>
                <w:szCs w:val="20"/>
                <w:lang w:eastAsia="sr-Latn-ME"/>
              </w:rPr>
              <w:t>Izrada analize finansijske održivosti bolničkoga sistema Crne Gore</w:t>
            </w:r>
          </w:p>
        </w:tc>
        <w:tc>
          <w:tcPr>
            <w:tcW w:w="5492" w:type="dxa"/>
          </w:tcPr>
          <w:p w14:paraId="726F1C8E" w14:textId="77777777" w:rsidR="00043D20" w:rsidRPr="000152CB" w:rsidRDefault="00043D20" w:rsidP="009D4F7C">
            <w:pPr>
              <w:ind w:left="270"/>
              <w:jc w:val="center"/>
              <w:cnfStyle w:val="000000100000" w:firstRow="0" w:lastRow="0" w:firstColumn="0" w:lastColumn="0" w:oddVBand="0" w:evenVBand="0" w:oddHBand="1" w:evenHBand="0" w:firstRowFirstColumn="0" w:firstRowLastColumn="0" w:lastRowFirstColumn="0" w:lastRowLastColumn="0"/>
              <w:rPr>
                <w:rFonts w:eastAsia="Times New Roman" w:cs="Calibri"/>
                <w:b/>
                <w:sz w:val="20"/>
                <w:szCs w:val="20"/>
                <w:lang w:eastAsia="sr-Latn-ME"/>
              </w:rPr>
            </w:pPr>
            <w:r w:rsidRPr="000152CB">
              <w:rPr>
                <w:rFonts w:eastAsia="Times New Roman" w:cs="Calibri"/>
                <w:b/>
                <w:sz w:val="20"/>
                <w:szCs w:val="20"/>
                <w:lang w:eastAsia="sr-Latn-ME"/>
              </w:rPr>
              <w:t>Ciljna vrijednost:</w:t>
            </w:r>
          </w:p>
          <w:p w14:paraId="2BA757C4" w14:textId="77777777" w:rsidR="00043D20" w:rsidRPr="000152CB" w:rsidRDefault="00043D20" w:rsidP="009D4F7C">
            <w:pPr>
              <w:ind w:left="270"/>
              <w:cnfStyle w:val="000000100000" w:firstRow="0" w:lastRow="0" w:firstColumn="0" w:lastColumn="0" w:oddVBand="0" w:evenVBand="0" w:oddHBand="1" w:evenHBand="0" w:firstRowFirstColumn="0" w:firstRowLastColumn="0" w:lastRowFirstColumn="0" w:lastRowLastColumn="0"/>
              <w:rPr>
                <w:rFonts w:eastAsia="Times New Roman" w:cs="Calibri"/>
                <w:b/>
                <w:sz w:val="20"/>
                <w:szCs w:val="20"/>
                <w:lang w:eastAsia="sr-Latn-ME"/>
              </w:rPr>
            </w:pPr>
          </w:p>
          <w:p w14:paraId="4DDECE7F" w14:textId="77777777" w:rsidR="00043D20" w:rsidRPr="000152CB" w:rsidRDefault="00043D20" w:rsidP="009D4F7C">
            <w:pPr>
              <w:ind w:left="270"/>
              <w:cnfStyle w:val="000000100000" w:firstRow="0" w:lastRow="0" w:firstColumn="0" w:lastColumn="0" w:oddVBand="0" w:evenVBand="0" w:oddHBand="1" w:evenHBand="0" w:firstRowFirstColumn="0" w:firstRowLastColumn="0" w:lastRowFirstColumn="0" w:lastRowLastColumn="0"/>
              <w:rPr>
                <w:rFonts w:eastAsia="Times New Roman" w:cs="Calibri"/>
                <w:bCs/>
                <w:sz w:val="20"/>
                <w:szCs w:val="20"/>
                <w:lang w:eastAsia="sr-Latn-ME"/>
              </w:rPr>
            </w:pPr>
            <w:r w:rsidRPr="000152CB">
              <w:rPr>
                <w:rFonts w:eastAsia="Times New Roman" w:cs="Calibri"/>
                <w:bCs/>
                <w:sz w:val="20"/>
                <w:szCs w:val="20"/>
                <w:lang w:eastAsia="sr-Latn-ME"/>
              </w:rPr>
              <w:t>Udio bolnica sa godišnjim rashodom na nivou planiranih sredstava uz odstupanja od + 10%</w:t>
            </w:r>
          </w:p>
        </w:tc>
      </w:tr>
      <w:tr w:rsidR="00043D20" w:rsidRPr="000152CB" w14:paraId="5C985A20" w14:textId="77777777" w:rsidTr="00043D20">
        <w:trPr>
          <w:trHeight w:val="585"/>
        </w:trPr>
        <w:tc>
          <w:tcPr>
            <w:cnfStyle w:val="001000000000" w:firstRow="0" w:lastRow="0" w:firstColumn="1" w:lastColumn="0" w:oddVBand="0" w:evenVBand="0" w:oddHBand="0" w:evenHBand="0" w:firstRowFirstColumn="0" w:firstRowLastColumn="0" w:lastRowFirstColumn="0" w:lastRowLastColumn="0"/>
            <w:tcW w:w="2061" w:type="dxa"/>
            <w:hideMark/>
          </w:tcPr>
          <w:p w14:paraId="072F8C9B" w14:textId="77777777" w:rsidR="00043D20" w:rsidRPr="000152CB" w:rsidRDefault="00043D20" w:rsidP="00043D20">
            <w:pPr>
              <w:rPr>
                <w:rFonts w:eastAsia="Times New Roman" w:cs="Calibri"/>
                <w:b w:val="0"/>
                <w:color w:val="000000"/>
                <w:sz w:val="20"/>
                <w:szCs w:val="20"/>
                <w:lang w:eastAsia="sr-Latn-ME"/>
              </w:rPr>
            </w:pPr>
            <w:r w:rsidRPr="000152CB">
              <w:rPr>
                <w:rFonts w:eastAsia="Times New Roman" w:cs="Calibri"/>
                <w:color w:val="000000"/>
                <w:sz w:val="20"/>
                <w:szCs w:val="20"/>
                <w:lang w:eastAsia="sr-Latn-ME"/>
              </w:rPr>
              <w:t>INDIKATOR UČINKA 2.2:</w:t>
            </w:r>
          </w:p>
          <w:p w14:paraId="4631C8E3" w14:textId="77777777" w:rsidR="00043D20" w:rsidRPr="000152CB" w:rsidRDefault="00043D20" w:rsidP="00043D20">
            <w:pPr>
              <w:rPr>
                <w:rFonts w:eastAsia="Times New Roman" w:cs="Calibri"/>
                <w:b w:val="0"/>
                <w:sz w:val="20"/>
                <w:szCs w:val="20"/>
                <w:lang w:eastAsia="sr-Latn-ME"/>
              </w:rPr>
            </w:pPr>
            <w:r w:rsidRPr="000152CB">
              <w:rPr>
                <w:rFonts w:eastAsia="Times New Roman" w:cs="Calibri"/>
                <w:color w:val="000000"/>
                <w:sz w:val="20"/>
                <w:szCs w:val="20"/>
                <w:lang w:eastAsia="sr-Latn-ME"/>
              </w:rPr>
              <w:t>Udio privatnih plaćanja iz džepa (out of pocket payment)</w:t>
            </w:r>
          </w:p>
        </w:tc>
        <w:tc>
          <w:tcPr>
            <w:tcW w:w="3767" w:type="dxa"/>
            <w:hideMark/>
          </w:tcPr>
          <w:p w14:paraId="7EF4773D" w14:textId="77777777" w:rsidR="00043D20" w:rsidRPr="000152CB" w:rsidRDefault="00043D20" w:rsidP="009D4F7C">
            <w:pPr>
              <w:ind w:left="270"/>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Calibri"/>
                <w:b/>
                <w:sz w:val="20"/>
                <w:szCs w:val="20"/>
                <w:lang w:eastAsia="sr-Latn-ME"/>
              </w:rPr>
            </w:pPr>
            <w:r w:rsidRPr="000152CB">
              <w:rPr>
                <w:rFonts w:eastAsia="Times New Roman" w:cs="Calibri"/>
                <w:b/>
                <w:color w:val="000000"/>
                <w:sz w:val="20"/>
                <w:szCs w:val="20"/>
                <w:lang w:eastAsia="sr-Latn-ME"/>
              </w:rPr>
              <w:t>Početna vrijednost:</w:t>
            </w:r>
          </w:p>
          <w:p w14:paraId="038F6A02" w14:textId="77777777" w:rsidR="00043D20" w:rsidRPr="000152CB" w:rsidRDefault="00043D20" w:rsidP="009D4F7C">
            <w:pPr>
              <w:ind w:left="270"/>
              <w:cnfStyle w:val="000000000000" w:firstRow="0" w:lastRow="0" w:firstColumn="0" w:lastColumn="0" w:oddVBand="0" w:evenVBand="0" w:oddHBand="0" w:evenHBand="0" w:firstRowFirstColumn="0" w:firstRowLastColumn="0" w:lastRowFirstColumn="0" w:lastRowLastColumn="0"/>
              <w:rPr>
                <w:rFonts w:eastAsia="Times New Roman" w:cs="Calibri"/>
                <w:b/>
                <w:sz w:val="20"/>
                <w:szCs w:val="20"/>
                <w:lang w:eastAsia="sr-Latn-ME"/>
              </w:rPr>
            </w:pPr>
          </w:p>
          <w:p w14:paraId="2FE2722B" w14:textId="77777777" w:rsidR="00043D20" w:rsidRPr="000152CB" w:rsidRDefault="00043D20" w:rsidP="009D4F7C">
            <w:pPr>
              <w:ind w:left="270"/>
              <w:cnfStyle w:val="000000000000" w:firstRow="0" w:lastRow="0" w:firstColumn="0" w:lastColumn="0" w:oddVBand="0" w:evenVBand="0" w:oddHBand="0" w:evenHBand="0" w:firstRowFirstColumn="0" w:firstRowLastColumn="0" w:lastRowFirstColumn="0" w:lastRowLastColumn="0"/>
              <w:rPr>
                <w:rFonts w:eastAsia="Times New Roman" w:cs="Calibri"/>
                <w:bCs/>
                <w:sz w:val="20"/>
                <w:szCs w:val="20"/>
                <w:lang w:eastAsia="sr-Latn-ME"/>
              </w:rPr>
            </w:pPr>
            <w:r w:rsidRPr="000152CB">
              <w:rPr>
                <w:rFonts w:eastAsia="Times New Roman" w:cs="Calibri"/>
                <w:bCs/>
                <w:sz w:val="20"/>
                <w:szCs w:val="20"/>
                <w:lang w:eastAsia="sr-Latn-ME"/>
              </w:rPr>
              <w:t>40% OOPs (privatna plaćanja iz džepa)</w:t>
            </w:r>
          </w:p>
        </w:tc>
        <w:tc>
          <w:tcPr>
            <w:tcW w:w="2900" w:type="dxa"/>
          </w:tcPr>
          <w:p w14:paraId="1D42B23E" w14:textId="77777777" w:rsidR="00043D20" w:rsidRPr="000152CB" w:rsidRDefault="00043D20" w:rsidP="009D4F7C">
            <w:pPr>
              <w:ind w:left="270"/>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Calibri"/>
                <w:b/>
                <w:sz w:val="20"/>
                <w:szCs w:val="20"/>
                <w:lang w:eastAsia="sr-Latn-ME"/>
              </w:rPr>
            </w:pPr>
            <w:r w:rsidRPr="000152CB">
              <w:rPr>
                <w:rFonts w:eastAsia="Times New Roman" w:cs="Calibri"/>
                <w:b/>
                <w:color w:val="000000"/>
                <w:sz w:val="20"/>
                <w:szCs w:val="20"/>
                <w:lang w:eastAsia="sr-Latn-ME"/>
              </w:rPr>
              <w:t>Prelazna vrijednost:</w:t>
            </w:r>
          </w:p>
          <w:p w14:paraId="22BCA71A" w14:textId="77777777" w:rsidR="00043D20" w:rsidRPr="000152CB" w:rsidRDefault="00043D20" w:rsidP="009D4F7C">
            <w:pPr>
              <w:ind w:left="270"/>
              <w:cnfStyle w:val="000000000000" w:firstRow="0" w:lastRow="0" w:firstColumn="0" w:lastColumn="0" w:oddVBand="0" w:evenVBand="0" w:oddHBand="0" w:evenHBand="0" w:firstRowFirstColumn="0" w:firstRowLastColumn="0" w:lastRowFirstColumn="0" w:lastRowLastColumn="0"/>
              <w:rPr>
                <w:rFonts w:eastAsia="Times New Roman" w:cs="Calibri"/>
                <w:b/>
                <w:sz w:val="20"/>
                <w:szCs w:val="20"/>
                <w:lang w:eastAsia="sr-Latn-ME"/>
              </w:rPr>
            </w:pPr>
          </w:p>
          <w:p w14:paraId="3A635B39" w14:textId="274727F9" w:rsidR="00043D20" w:rsidRPr="000152CB" w:rsidRDefault="00043D20" w:rsidP="009D4F7C">
            <w:pPr>
              <w:ind w:left="270"/>
              <w:cnfStyle w:val="000000000000" w:firstRow="0" w:lastRow="0" w:firstColumn="0" w:lastColumn="0" w:oddVBand="0" w:evenVBand="0" w:oddHBand="0" w:evenHBand="0" w:firstRowFirstColumn="0" w:firstRowLastColumn="0" w:lastRowFirstColumn="0" w:lastRowLastColumn="0"/>
              <w:rPr>
                <w:rFonts w:eastAsia="Times New Roman" w:cs="Calibri"/>
                <w:bCs/>
                <w:sz w:val="20"/>
                <w:szCs w:val="20"/>
                <w:highlight w:val="magenta"/>
                <w:lang w:eastAsia="sr-Latn-ME"/>
              </w:rPr>
            </w:pPr>
            <w:r w:rsidRPr="000152CB">
              <w:rPr>
                <w:rFonts w:eastAsia="Times New Roman" w:cs="Calibri"/>
                <w:bCs/>
                <w:sz w:val="20"/>
                <w:szCs w:val="20"/>
                <w:lang w:eastAsia="sr-Latn-ME"/>
              </w:rPr>
              <w:t>Smanjen procenat priva</w:t>
            </w:r>
            <w:r w:rsidR="00D12FC3">
              <w:rPr>
                <w:rFonts w:eastAsia="Times New Roman" w:cs="Calibri"/>
                <w:bCs/>
                <w:sz w:val="20"/>
                <w:szCs w:val="20"/>
                <w:lang w:eastAsia="sr-Latn-ME"/>
              </w:rPr>
              <w:t>tn</w:t>
            </w:r>
            <w:r w:rsidRPr="000152CB">
              <w:rPr>
                <w:rFonts w:eastAsia="Times New Roman" w:cs="Calibri"/>
                <w:bCs/>
                <w:sz w:val="20"/>
                <w:szCs w:val="20"/>
                <w:lang w:eastAsia="sr-Latn-ME"/>
              </w:rPr>
              <w:t>ih plaćanja iz džepa na 35%</w:t>
            </w:r>
          </w:p>
        </w:tc>
        <w:tc>
          <w:tcPr>
            <w:tcW w:w="5492" w:type="dxa"/>
          </w:tcPr>
          <w:p w14:paraId="10AF7E30" w14:textId="77777777" w:rsidR="00043D20" w:rsidRPr="000152CB" w:rsidRDefault="00043D20" w:rsidP="009D4F7C">
            <w:pPr>
              <w:ind w:left="270"/>
              <w:jc w:val="center"/>
              <w:cnfStyle w:val="000000000000" w:firstRow="0" w:lastRow="0" w:firstColumn="0" w:lastColumn="0" w:oddVBand="0" w:evenVBand="0" w:oddHBand="0" w:evenHBand="0" w:firstRowFirstColumn="0" w:firstRowLastColumn="0" w:lastRowFirstColumn="0" w:lastRowLastColumn="0"/>
              <w:rPr>
                <w:rFonts w:eastAsia="Times New Roman" w:cs="Calibri"/>
                <w:b/>
                <w:sz w:val="20"/>
                <w:szCs w:val="20"/>
                <w:lang w:eastAsia="sr-Latn-ME"/>
              </w:rPr>
            </w:pPr>
            <w:r w:rsidRPr="000152CB">
              <w:rPr>
                <w:rFonts w:eastAsia="Times New Roman" w:cs="Calibri"/>
                <w:b/>
                <w:sz w:val="20"/>
                <w:szCs w:val="20"/>
                <w:lang w:eastAsia="sr-Latn-ME"/>
              </w:rPr>
              <w:t>Ciljna vrijednost:</w:t>
            </w:r>
          </w:p>
          <w:p w14:paraId="3788C12B" w14:textId="77777777" w:rsidR="00043D20" w:rsidRPr="000152CB" w:rsidRDefault="00043D20" w:rsidP="009D4F7C">
            <w:pPr>
              <w:ind w:left="270"/>
              <w:cnfStyle w:val="000000000000" w:firstRow="0" w:lastRow="0" w:firstColumn="0" w:lastColumn="0" w:oddVBand="0" w:evenVBand="0" w:oddHBand="0" w:evenHBand="0" w:firstRowFirstColumn="0" w:firstRowLastColumn="0" w:lastRowFirstColumn="0" w:lastRowLastColumn="0"/>
              <w:rPr>
                <w:rFonts w:eastAsia="Times New Roman" w:cs="Calibri"/>
                <w:b/>
                <w:sz w:val="20"/>
                <w:szCs w:val="20"/>
                <w:lang w:eastAsia="sr-Latn-ME"/>
              </w:rPr>
            </w:pPr>
          </w:p>
          <w:p w14:paraId="14675E46" w14:textId="77777777" w:rsidR="00043D20" w:rsidRPr="000152CB" w:rsidRDefault="00043D20" w:rsidP="009D4F7C">
            <w:pPr>
              <w:ind w:left="270"/>
              <w:cnfStyle w:val="000000000000" w:firstRow="0" w:lastRow="0" w:firstColumn="0" w:lastColumn="0" w:oddVBand="0" w:evenVBand="0" w:oddHBand="0" w:evenHBand="0" w:firstRowFirstColumn="0" w:firstRowLastColumn="0" w:lastRowFirstColumn="0" w:lastRowLastColumn="0"/>
              <w:rPr>
                <w:rFonts w:eastAsia="Times New Roman" w:cs="Calibri"/>
                <w:bCs/>
                <w:sz w:val="20"/>
                <w:szCs w:val="20"/>
                <w:lang w:eastAsia="sr-Latn-ME"/>
              </w:rPr>
            </w:pPr>
            <w:r w:rsidRPr="000152CB">
              <w:rPr>
                <w:rFonts w:eastAsia="Times New Roman" w:cs="Calibri"/>
                <w:bCs/>
                <w:sz w:val="20"/>
                <w:szCs w:val="20"/>
                <w:lang w:eastAsia="sr-Latn-ME"/>
              </w:rPr>
              <w:t>Smanjen procenat privatnih plaćanja iz džepa na 33%</w:t>
            </w:r>
          </w:p>
        </w:tc>
      </w:tr>
    </w:tbl>
    <w:p w14:paraId="2FACE6EC" w14:textId="77777777" w:rsidR="003633E3" w:rsidRPr="000152CB" w:rsidRDefault="003633E3" w:rsidP="003633E3">
      <w:pPr>
        <w:rPr>
          <w:rFonts w:eastAsia="Times New Roman" w:cstheme="minorHAnsi"/>
        </w:rPr>
      </w:pPr>
    </w:p>
    <w:p w14:paraId="788E6CD0" w14:textId="4B6CF38B" w:rsidR="003633E3" w:rsidRPr="000152CB" w:rsidRDefault="003633E3" w:rsidP="003633E3">
      <w:pPr>
        <w:jc w:val="both"/>
        <w:rPr>
          <w:rFonts w:eastAsia="Times New Roman" w:cstheme="minorHAnsi"/>
        </w:rPr>
      </w:pPr>
      <w:bookmarkStart w:id="5" w:name="_Hlk202117825"/>
      <w:r w:rsidRPr="000152CB">
        <w:rPr>
          <w:rFonts w:eastAsia="Times New Roman" w:cstheme="minorHAnsi"/>
        </w:rPr>
        <w:t xml:space="preserve">Budžet za zdravstvo povećan je u posljednje dvije godine kako bi se ispratio rast troškova i investicija. Fond za zdravstveno osiguranje je 2024. </w:t>
      </w:r>
      <w:r w:rsidR="000A3455" w:rsidRPr="000152CB">
        <w:rPr>
          <w:rFonts w:eastAsia="Times New Roman" w:cstheme="minorHAnsi"/>
        </w:rPr>
        <w:t>ukazao</w:t>
      </w:r>
      <w:r w:rsidRPr="000152CB">
        <w:rPr>
          <w:rFonts w:eastAsia="Times New Roman" w:cstheme="minorHAnsi"/>
        </w:rPr>
        <w:t xml:space="preserve"> da prvobitno odobrenih </w:t>
      </w:r>
      <w:r w:rsidRPr="000152CB">
        <w:rPr>
          <w:rFonts w:eastAsia="Times New Roman" w:cstheme="minorHAnsi"/>
          <w:b/>
          <w:bCs/>
        </w:rPr>
        <w:t>164 miliona € za lijekove</w:t>
      </w:r>
      <w:r w:rsidRPr="000152CB">
        <w:rPr>
          <w:rFonts w:eastAsia="Times New Roman" w:cstheme="minorHAnsi"/>
        </w:rPr>
        <w:t xml:space="preserve"> neće biti dovoljno, te je tokom godine izvršen rebalans budžeta kako bi se pokrio očekivani trošak od oko </w:t>
      </w:r>
      <w:r w:rsidRPr="000152CB">
        <w:rPr>
          <w:rFonts w:eastAsia="Times New Roman" w:cstheme="minorHAnsi"/>
          <w:b/>
          <w:bCs/>
        </w:rPr>
        <w:t>175 miliona €</w:t>
      </w:r>
      <w:r w:rsidRPr="000152CB">
        <w:rPr>
          <w:rFonts w:eastAsia="Times New Roman" w:cstheme="minorHAnsi"/>
        </w:rPr>
        <w:t xml:space="preserve"> za lijekove (150 miliona kroz Montefarm i 25 miliona za privatne apoteke).</w:t>
      </w:r>
      <w:bookmarkEnd w:id="5"/>
      <w:r w:rsidRPr="000152CB">
        <w:rPr>
          <w:rFonts w:eastAsia="Times New Roman" w:cstheme="minorHAnsi"/>
        </w:rPr>
        <w:t xml:space="preserve"> Time je izbjegnuta nestašica esencijalnih terapija i omogućeno uvođenje novih, skupih lijekova (posebno biološke terapije i savremenih citostatika za onkološke pacijente). Vlada je donijela i </w:t>
      </w:r>
      <w:r w:rsidRPr="000152CB">
        <w:rPr>
          <w:rFonts w:eastAsia="Times New Roman" w:cstheme="minorHAnsi"/>
          <w:b/>
          <w:bCs/>
        </w:rPr>
        <w:t>Uredbu o ograničenju cijena lijekova</w:t>
      </w:r>
      <w:r w:rsidRPr="000152CB">
        <w:rPr>
          <w:rFonts w:eastAsia="Times New Roman" w:cstheme="minorHAnsi"/>
        </w:rPr>
        <w:t xml:space="preserve"> kako bi smanjila finansijski teret građanima za pojedine lijekove na tržištu. Uz to, nastavljeno je ukidanje participacija za određene usluge – od 2024. recepti za hronične terapije i osnovne laboratorijske analize u domovima zdravlja oslobođeni su participacije za osiguranike, što je dio mjera za ostvarenje univerzalne zdravstvene zaštite. Zahvaljujući budžetskoj podršci, </w:t>
      </w:r>
      <w:r w:rsidRPr="000152CB">
        <w:rPr>
          <w:rFonts w:eastAsia="Times New Roman" w:cstheme="minorHAnsi"/>
          <w:b/>
          <w:bCs/>
        </w:rPr>
        <w:t>skupi inovativni lijekovi</w:t>
      </w:r>
      <w:r w:rsidRPr="000152CB">
        <w:rPr>
          <w:rFonts w:eastAsia="Times New Roman" w:cstheme="minorHAnsi"/>
        </w:rPr>
        <w:t xml:space="preserve"> (npr. nove terapije za rijetke bolesti i onkologiju) uvršteni su na listu Fonda, pa pacijenti dobijaju više tih lijekova o trošku države nego prethodnih godina. Tako je krajem 2024. na zalihama Montefarma stabilizovano snabdijevanje citostaticima nakon kratkotrajnih poremećaja, a povećana su izdvajanja za nabavku insulina i medicinskih sredstava.</w:t>
      </w:r>
    </w:p>
    <w:p w14:paraId="6ACA7480" w14:textId="284DA85D" w:rsidR="003633E3" w:rsidRPr="000152CB" w:rsidRDefault="000A3455" w:rsidP="00CB448F">
      <w:pPr>
        <w:jc w:val="both"/>
      </w:pPr>
      <w:r w:rsidRPr="000152CB">
        <w:t>Kada govorimo o planiranim aktivnostima i njihovoj impelementaciji, u</w:t>
      </w:r>
      <w:r w:rsidR="00A75A09" w:rsidRPr="000152CB">
        <w:t xml:space="preserve"> toku je izrada funkcionalne analize uloga, poslova i zadataka Fonda za zdravstveno osiguranje u vezi sa pružanjem zdravstvene zaštite i ostvarivanjem prava iz obaveznog zdravstvenog osiguranja, a njen završetak planiran je za drugi kvartal 2026. godine. Od januara 2025. realizuje se projekat razvoja Zdravstvenih računa, koji finansira Evropska komisija kroz SZO, s ciljem uspostavljanja redovnog godišnjeg izvještavanja prema Eurostatu i SZO, u skladu sa EU regulativom. U okviru projekta identifikovani su sistemski nedostaci koje je potrebno otkloniti radi stabilnog izvještavanja i finansiranja, a do kraja juna biće izrađen završni izvještaj sa funkcionalnom šemom finansiranja i memorandumom o institucionalnim obavezama. Izrada modela plaćanja za primarni i sekundarni nivo zdravstvene zaštite trenutno nije moguća, a kako je prethodni sistem plaćanja po učinku (kapitacija) ukinut, novi model se planira do kraja 2027. godine. Nisu izrađene ni studije troškovne isplativosti modela nabavki medicinskog i nemedicinskog materijala, osim za lijekove i medicinska sredstva. Model dopunskog zdravstvenog osiguranja takođe nije razvijen zbog nedostatka zakonskog osnova, a njegova realizacija je planirana u narednom akcionom planu. Nedostaje i strateški okvir za održivo finansiranje zdravstva, iako je model plaćanja po uslugama prepoznat kao rješenje </w:t>
      </w:r>
      <w:r w:rsidR="00A75A09" w:rsidRPr="000152CB">
        <w:lastRenderedPageBreak/>
        <w:t>za stabilno finansiranje, uz preporuke za izmjene zakonske regulative u vezi sa vrstama i cijenama usluga. U toku je i završna analiza spiska zdravstvenih usluga i obima prava iz zdravstvene zaštite.</w:t>
      </w:r>
    </w:p>
    <w:p w14:paraId="196CA45F" w14:textId="0AF16C0A" w:rsidR="004A12D4" w:rsidRPr="000152CB" w:rsidRDefault="005B6DFA" w:rsidP="005B6DFA">
      <w:pPr>
        <w:pStyle w:val="Naslov2"/>
      </w:pPr>
      <w:bookmarkStart w:id="6" w:name="_Toc202039244"/>
      <w:r w:rsidRPr="000152CB">
        <w:t>OBLAST III</w:t>
      </w:r>
      <w:bookmarkEnd w:id="6"/>
    </w:p>
    <w:tbl>
      <w:tblPr>
        <w:tblStyle w:val="Tabelakoordinatnemree4akcenat3"/>
        <w:tblW w:w="14220" w:type="dxa"/>
        <w:tblInd w:w="-635" w:type="dxa"/>
        <w:tblLook w:val="04A0" w:firstRow="1" w:lastRow="0" w:firstColumn="1" w:lastColumn="0" w:noHBand="0" w:noVBand="1"/>
      </w:tblPr>
      <w:tblGrid>
        <w:gridCol w:w="2061"/>
        <w:gridCol w:w="3767"/>
        <w:gridCol w:w="2900"/>
        <w:gridCol w:w="5492"/>
      </w:tblGrid>
      <w:tr w:rsidR="00AF3451" w:rsidRPr="000152CB" w14:paraId="79A18D72" w14:textId="77777777" w:rsidTr="00AF3451">
        <w:trPr>
          <w:cnfStyle w:val="100000000000" w:firstRow="1" w:lastRow="0" w:firstColumn="0" w:lastColumn="0" w:oddVBand="0" w:evenVBand="0" w:oddHBand="0"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2061" w:type="dxa"/>
            <w:hideMark/>
          </w:tcPr>
          <w:p w14:paraId="00FDA7E9" w14:textId="77777777" w:rsidR="00AF3451" w:rsidRPr="000152CB" w:rsidRDefault="00AF3451" w:rsidP="009D4F7C">
            <w:pPr>
              <w:ind w:left="270"/>
              <w:jc w:val="center"/>
              <w:rPr>
                <w:rFonts w:eastAsia="Times New Roman" w:cs="Calibri"/>
                <w:b w:val="0"/>
                <w:sz w:val="20"/>
                <w:szCs w:val="20"/>
                <w:lang w:eastAsia="sr-Latn-ME"/>
              </w:rPr>
            </w:pPr>
            <w:r w:rsidRPr="000152CB">
              <w:rPr>
                <w:rFonts w:eastAsia="Times New Roman" w:cs="Calibri"/>
                <w:color w:val="000000"/>
                <w:sz w:val="20"/>
                <w:szCs w:val="20"/>
                <w:lang w:eastAsia="sr-Latn-ME"/>
              </w:rPr>
              <w:t>OPERATIVNI CILJ 1.3.</w:t>
            </w:r>
          </w:p>
        </w:tc>
        <w:tc>
          <w:tcPr>
            <w:tcW w:w="12159" w:type="dxa"/>
            <w:gridSpan w:val="3"/>
            <w:hideMark/>
          </w:tcPr>
          <w:p w14:paraId="1E1F4740" w14:textId="77777777" w:rsidR="00AF3451" w:rsidRPr="000152CB" w:rsidRDefault="00AF3451" w:rsidP="009D4F7C">
            <w:pPr>
              <w:ind w:left="270"/>
              <w:jc w:val="center"/>
              <w:cnfStyle w:val="100000000000" w:firstRow="1" w:lastRow="0" w:firstColumn="0" w:lastColumn="0" w:oddVBand="0" w:evenVBand="0" w:oddHBand="0" w:evenHBand="0" w:firstRowFirstColumn="0" w:firstRowLastColumn="0" w:lastRowFirstColumn="0" w:lastRowLastColumn="0"/>
              <w:rPr>
                <w:b w:val="0"/>
              </w:rPr>
            </w:pPr>
            <w:r w:rsidRPr="000152CB">
              <w:t>UNAPRIJEDITI PROCESE FUNKCIONISANJA I UPRAVLJANJA ZDRAVSTVENIM SISTEMOM BAZIRANO NA DOKAZIMA SA FOKUSOM NA JAČANJE DIGITALNOG ZDRAVLJA</w:t>
            </w:r>
          </w:p>
          <w:p w14:paraId="30FD1F2B" w14:textId="77777777" w:rsidR="00AF3451" w:rsidRPr="000152CB" w:rsidRDefault="00AF3451" w:rsidP="009D4F7C">
            <w:pPr>
              <w:ind w:left="270"/>
              <w:jc w:val="center"/>
              <w:cnfStyle w:val="100000000000" w:firstRow="1" w:lastRow="0" w:firstColumn="0" w:lastColumn="0" w:oddVBand="0" w:evenVBand="0" w:oddHBand="0" w:evenHBand="0" w:firstRowFirstColumn="0" w:firstRowLastColumn="0" w:lastRowFirstColumn="0" w:lastRowLastColumn="0"/>
              <w:rPr>
                <w:rFonts w:eastAsia="Times New Roman" w:cs="Calibri"/>
                <w:b w:val="0"/>
                <w:sz w:val="20"/>
                <w:szCs w:val="20"/>
                <w:lang w:eastAsia="sr-Latn-ME"/>
              </w:rPr>
            </w:pPr>
          </w:p>
        </w:tc>
      </w:tr>
      <w:tr w:rsidR="00AF3451" w:rsidRPr="000152CB" w14:paraId="29691633" w14:textId="77777777" w:rsidTr="00AF3451">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2061" w:type="dxa"/>
            <w:hideMark/>
          </w:tcPr>
          <w:p w14:paraId="45BC4849" w14:textId="77777777" w:rsidR="00AF3451" w:rsidRPr="000152CB" w:rsidRDefault="00AF3451" w:rsidP="00AF3451">
            <w:pPr>
              <w:rPr>
                <w:rFonts w:eastAsia="Times New Roman" w:cs="Calibri"/>
                <w:b w:val="0"/>
                <w:color w:val="000000"/>
                <w:sz w:val="20"/>
                <w:szCs w:val="20"/>
                <w:lang w:eastAsia="sr-Latn-ME"/>
              </w:rPr>
            </w:pPr>
            <w:r w:rsidRPr="000152CB">
              <w:rPr>
                <w:rFonts w:eastAsia="Times New Roman" w:cs="Calibri"/>
                <w:color w:val="000000"/>
                <w:sz w:val="20"/>
                <w:szCs w:val="20"/>
                <w:lang w:eastAsia="sr-Latn-ME"/>
              </w:rPr>
              <w:t xml:space="preserve">INDIKATOR UČINKA 1: </w:t>
            </w:r>
          </w:p>
          <w:p w14:paraId="632DF01C" w14:textId="77777777" w:rsidR="00AF3451" w:rsidRPr="000152CB" w:rsidRDefault="00AF3451" w:rsidP="00AF3451">
            <w:pPr>
              <w:rPr>
                <w:rFonts w:eastAsia="Times New Roman" w:cs="Calibri"/>
                <w:b w:val="0"/>
                <w:sz w:val="20"/>
                <w:szCs w:val="20"/>
                <w:lang w:eastAsia="sr-Latn-ME"/>
              </w:rPr>
            </w:pPr>
            <w:r w:rsidRPr="000152CB">
              <w:rPr>
                <w:rFonts w:eastAsia="Times New Roman" w:cs="Calibri"/>
                <w:color w:val="000000"/>
                <w:sz w:val="20"/>
                <w:szCs w:val="20"/>
                <w:lang w:eastAsia="sr-Latn-ME"/>
              </w:rPr>
              <w:t>Udio vršilaca za poslove mrtvozornika koji je obučen za sertifikovanje smrtnih slučajeva</w:t>
            </w:r>
          </w:p>
        </w:tc>
        <w:tc>
          <w:tcPr>
            <w:tcW w:w="3767" w:type="dxa"/>
            <w:hideMark/>
          </w:tcPr>
          <w:p w14:paraId="746148F8" w14:textId="77777777" w:rsidR="00AF3451" w:rsidRPr="000152CB" w:rsidRDefault="00AF3451" w:rsidP="009D4F7C">
            <w:pPr>
              <w:ind w:left="270"/>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Calibri"/>
                <w:b/>
                <w:color w:val="000000"/>
                <w:sz w:val="20"/>
                <w:szCs w:val="20"/>
                <w:lang w:eastAsia="sr-Latn-ME"/>
              </w:rPr>
            </w:pPr>
            <w:r w:rsidRPr="000152CB">
              <w:rPr>
                <w:rFonts w:eastAsia="Times New Roman" w:cs="Calibri"/>
                <w:b/>
                <w:color w:val="000000"/>
                <w:sz w:val="20"/>
                <w:szCs w:val="20"/>
                <w:lang w:eastAsia="sr-Latn-ME"/>
              </w:rPr>
              <w:t>Početna vrijednost:</w:t>
            </w:r>
          </w:p>
          <w:p w14:paraId="53395A63" w14:textId="77777777" w:rsidR="00AF3451" w:rsidRPr="000152CB" w:rsidRDefault="00AF3451" w:rsidP="009D4F7C">
            <w:pPr>
              <w:ind w:left="270"/>
              <w:contextualSpacing/>
              <w:jc w:val="center"/>
              <w:cnfStyle w:val="000000100000" w:firstRow="0" w:lastRow="0" w:firstColumn="0" w:lastColumn="0" w:oddVBand="0" w:evenVBand="0" w:oddHBand="1" w:evenHBand="0" w:firstRowFirstColumn="0" w:firstRowLastColumn="0" w:lastRowFirstColumn="0" w:lastRowLastColumn="0"/>
              <w:rPr>
                <w:sz w:val="20"/>
                <w:szCs w:val="20"/>
              </w:rPr>
            </w:pPr>
          </w:p>
          <w:p w14:paraId="5A4D7163" w14:textId="77777777" w:rsidR="00AF3451" w:rsidRPr="000152CB" w:rsidRDefault="00AF3451" w:rsidP="009D4F7C">
            <w:pPr>
              <w:ind w:left="270"/>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Calibri"/>
                <w:b/>
                <w:sz w:val="20"/>
                <w:szCs w:val="20"/>
                <w:lang w:eastAsia="sr-Latn-ME"/>
              </w:rPr>
            </w:pPr>
            <w:r w:rsidRPr="000152CB">
              <w:rPr>
                <w:sz w:val="20"/>
                <w:szCs w:val="20"/>
              </w:rPr>
              <w:t>Trenutni broj vršilaca za poslove mrtvozornika koji je obučen za sertifikovanje smrtnih slučajeva je 0</w:t>
            </w:r>
          </w:p>
          <w:p w14:paraId="6803D29B" w14:textId="77777777" w:rsidR="00AF3451" w:rsidRPr="000152CB" w:rsidRDefault="00AF3451" w:rsidP="009D4F7C">
            <w:pPr>
              <w:jc w:val="center"/>
              <w:cnfStyle w:val="000000100000" w:firstRow="0" w:lastRow="0" w:firstColumn="0" w:lastColumn="0" w:oddVBand="0" w:evenVBand="0" w:oddHBand="1" w:evenHBand="0" w:firstRowFirstColumn="0" w:firstRowLastColumn="0" w:lastRowFirstColumn="0" w:lastRowLastColumn="0"/>
              <w:rPr>
                <w:rFonts w:eastAsia="Times New Roman" w:cs="Calibri"/>
                <w:b/>
                <w:color w:val="000000"/>
                <w:sz w:val="20"/>
                <w:szCs w:val="20"/>
                <w:lang w:eastAsia="sr-Latn-ME"/>
              </w:rPr>
            </w:pPr>
          </w:p>
        </w:tc>
        <w:tc>
          <w:tcPr>
            <w:tcW w:w="2900" w:type="dxa"/>
          </w:tcPr>
          <w:p w14:paraId="75B376DF" w14:textId="77777777" w:rsidR="00AF3451" w:rsidRPr="000152CB" w:rsidRDefault="00AF3451" w:rsidP="009D4F7C">
            <w:pPr>
              <w:ind w:left="270"/>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Calibri"/>
                <w:b/>
                <w:color w:val="000000"/>
                <w:sz w:val="20"/>
                <w:szCs w:val="20"/>
                <w:lang w:eastAsia="sr-Latn-ME"/>
              </w:rPr>
            </w:pPr>
            <w:r w:rsidRPr="000152CB">
              <w:rPr>
                <w:rFonts w:eastAsia="Times New Roman" w:cs="Calibri"/>
                <w:b/>
                <w:color w:val="000000"/>
                <w:sz w:val="20"/>
                <w:szCs w:val="20"/>
                <w:lang w:eastAsia="sr-Latn-ME"/>
              </w:rPr>
              <w:t>Prelazna vrijednost:</w:t>
            </w:r>
          </w:p>
          <w:p w14:paraId="00E43ECE" w14:textId="77777777" w:rsidR="00AF3451" w:rsidRPr="000152CB" w:rsidRDefault="00AF3451" w:rsidP="009D4F7C">
            <w:pPr>
              <w:ind w:left="270"/>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Calibri"/>
                <w:b/>
                <w:color w:val="000000"/>
                <w:sz w:val="20"/>
                <w:szCs w:val="20"/>
                <w:lang w:eastAsia="sr-Latn-ME"/>
              </w:rPr>
            </w:pPr>
          </w:p>
          <w:p w14:paraId="4F4A06A1" w14:textId="77777777" w:rsidR="00AF3451" w:rsidRPr="000152CB" w:rsidRDefault="00AF3451" w:rsidP="009D4F7C">
            <w:pPr>
              <w:ind w:left="270"/>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Calibri"/>
                <w:bCs/>
                <w:color w:val="000000"/>
                <w:sz w:val="20"/>
                <w:szCs w:val="20"/>
                <w:lang w:eastAsia="sr-Latn-ME"/>
              </w:rPr>
            </w:pPr>
            <w:r w:rsidRPr="000152CB">
              <w:rPr>
                <w:rFonts w:eastAsia="Times New Roman" w:cs="Calibri"/>
                <w:bCs/>
                <w:color w:val="000000"/>
                <w:sz w:val="20"/>
                <w:szCs w:val="20"/>
                <w:lang w:eastAsia="sr-Latn-ME"/>
              </w:rPr>
              <w:t>Min.50% vršilaca  za  poslove mrtvozornika obučeni za poslove sertifikacije smrtnih slučajeva</w:t>
            </w:r>
          </w:p>
        </w:tc>
        <w:tc>
          <w:tcPr>
            <w:tcW w:w="5492" w:type="dxa"/>
          </w:tcPr>
          <w:p w14:paraId="65ED2541" w14:textId="77777777" w:rsidR="00AF3451" w:rsidRPr="000152CB" w:rsidRDefault="00AF3451" w:rsidP="009D4F7C">
            <w:pPr>
              <w:ind w:left="270"/>
              <w:jc w:val="center"/>
              <w:cnfStyle w:val="000000100000" w:firstRow="0" w:lastRow="0" w:firstColumn="0" w:lastColumn="0" w:oddVBand="0" w:evenVBand="0" w:oddHBand="1" w:evenHBand="0" w:firstRowFirstColumn="0" w:firstRowLastColumn="0" w:lastRowFirstColumn="0" w:lastRowLastColumn="0"/>
              <w:rPr>
                <w:rFonts w:eastAsia="Times New Roman" w:cs="Calibri"/>
                <w:b/>
                <w:color w:val="000000"/>
                <w:sz w:val="20"/>
                <w:szCs w:val="20"/>
                <w:lang w:eastAsia="sr-Latn-ME"/>
              </w:rPr>
            </w:pPr>
            <w:r w:rsidRPr="000152CB">
              <w:rPr>
                <w:rFonts w:eastAsia="Times New Roman" w:cs="Calibri"/>
                <w:b/>
                <w:color w:val="000000"/>
                <w:sz w:val="20"/>
                <w:szCs w:val="20"/>
                <w:lang w:eastAsia="sr-Latn-ME"/>
              </w:rPr>
              <w:t>Ciljna vrijednost:</w:t>
            </w:r>
          </w:p>
          <w:p w14:paraId="55BB20F4" w14:textId="77777777" w:rsidR="00AF3451" w:rsidRPr="000152CB" w:rsidRDefault="00AF3451" w:rsidP="009D4F7C">
            <w:pPr>
              <w:ind w:left="270"/>
              <w:jc w:val="center"/>
              <w:cnfStyle w:val="000000100000" w:firstRow="0" w:lastRow="0" w:firstColumn="0" w:lastColumn="0" w:oddVBand="0" w:evenVBand="0" w:oddHBand="1" w:evenHBand="0" w:firstRowFirstColumn="0" w:firstRowLastColumn="0" w:lastRowFirstColumn="0" w:lastRowLastColumn="0"/>
              <w:rPr>
                <w:rFonts w:eastAsia="Times New Roman" w:cs="Calibri"/>
                <w:b/>
                <w:color w:val="000000"/>
                <w:sz w:val="20"/>
                <w:szCs w:val="20"/>
                <w:lang w:eastAsia="sr-Latn-ME"/>
              </w:rPr>
            </w:pPr>
          </w:p>
          <w:p w14:paraId="06EC1187" w14:textId="77777777" w:rsidR="00AF3451" w:rsidRPr="000152CB" w:rsidRDefault="00AF3451" w:rsidP="009D4F7C">
            <w:pPr>
              <w:ind w:left="270"/>
              <w:jc w:val="center"/>
              <w:cnfStyle w:val="000000100000" w:firstRow="0" w:lastRow="0" w:firstColumn="0" w:lastColumn="0" w:oddVBand="0" w:evenVBand="0" w:oddHBand="1" w:evenHBand="0" w:firstRowFirstColumn="0" w:firstRowLastColumn="0" w:lastRowFirstColumn="0" w:lastRowLastColumn="0"/>
              <w:rPr>
                <w:rFonts w:eastAsia="Times New Roman" w:cs="Calibri"/>
                <w:bCs/>
                <w:sz w:val="20"/>
                <w:szCs w:val="20"/>
                <w:lang w:eastAsia="sr-Latn-ME"/>
              </w:rPr>
            </w:pPr>
            <w:r w:rsidRPr="000152CB">
              <w:rPr>
                <w:rFonts w:eastAsia="Times New Roman" w:cs="Calibri"/>
                <w:bCs/>
                <w:color w:val="000000"/>
                <w:sz w:val="20"/>
                <w:szCs w:val="20"/>
                <w:lang w:eastAsia="sr-Latn-ME"/>
              </w:rPr>
              <w:t>100% vršilaca za poslove mrtvozornika obučenih za poslove sertifikacije smrtnih slučajeva</w:t>
            </w:r>
          </w:p>
        </w:tc>
      </w:tr>
      <w:tr w:rsidR="00AF3451" w:rsidRPr="000152CB" w14:paraId="76C8532B" w14:textId="77777777" w:rsidTr="00AF3451">
        <w:trPr>
          <w:trHeight w:val="585"/>
        </w:trPr>
        <w:tc>
          <w:tcPr>
            <w:cnfStyle w:val="001000000000" w:firstRow="0" w:lastRow="0" w:firstColumn="1" w:lastColumn="0" w:oddVBand="0" w:evenVBand="0" w:oddHBand="0" w:evenHBand="0" w:firstRowFirstColumn="0" w:firstRowLastColumn="0" w:lastRowFirstColumn="0" w:lastRowLastColumn="0"/>
            <w:tcW w:w="2061" w:type="dxa"/>
            <w:hideMark/>
          </w:tcPr>
          <w:p w14:paraId="3F85782C" w14:textId="77777777" w:rsidR="00AF3451" w:rsidRPr="000152CB" w:rsidRDefault="00AF3451" w:rsidP="00AF3451">
            <w:pPr>
              <w:rPr>
                <w:rFonts w:eastAsia="Times New Roman" w:cs="Calibri"/>
                <w:b w:val="0"/>
                <w:color w:val="000000"/>
                <w:sz w:val="20"/>
                <w:szCs w:val="20"/>
                <w:lang w:eastAsia="sr-Latn-ME"/>
              </w:rPr>
            </w:pPr>
            <w:r w:rsidRPr="000152CB">
              <w:rPr>
                <w:rFonts w:eastAsia="Times New Roman" w:cs="Calibri"/>
                <w:color w:val="000000"/>
                <w:sz w:val="20"/>
                <w:szCs w:val="20"/>
                <w:lang w:eastAsia="sr-Latn-ME"/>
              </w:rPr>
              <w:t>INDIKATOR UČINKA 2:</w:t>
            </w:r>
          </w:p>
          <w:p w14:paraId="7E5FFB0F" w14:textId="77777777" w:rsidR="00AF3451" w:rsidRPr="000152CB" w:rsidRDefault="00AF3451" w:rsidP="00AF3451">
            <w:pPr>
              <w:rPr>
                <w:rFonts w:eastAsia="Times New Roman" w:cs="Calibri"/>
                <w:b w:val="0"/>
                <w:sz w:val="20"/>
                <w:szCs w:val="20"/>
                <w:lang w:eastAsia="sr-Latn-ME"/>
              </w:rPr>
            </w:pPr>
            <w:r w:rsidRPr="000152CB">
              <w:rPr>
                <w:rFonts w:eastAsia="Times New Roman" w:cs="Calibri"/>
                <w:color w:val="000000"/>
                <w:sz w:val="20"/>
                <w:szCs w:val="20"/>
                <w:lang w:eastAsia="sr-Latn-ME"/>
              </w:rPr>
              <w:t>Uspostavljen informacioni sistem MZ</w:t>
            </w:r>
          </w:p>
        </w:tc>
        <w:tc>
          <w:tcPr>
            <w:tcW w:w="3767" w:type="dxa"/>
            <w:hideMark/>
          </w:tcPr>
          <w:p w14:paraId="432F6ECD" w14:textId="77777777" w:rsidR="00AF3451" w:rsidRPr="000152CB" w:rsidRDefault="00AF3451" w:rsidP="009D4F7C">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Calibri"/>
                <w:b/>
                <w:sz w:val="20"/>
                <w:szCs w:val="20"/>
                <w:lang w:eastAsia="sr-Latn-ME"/>
              </w:rPr>
            </w:pPr>
            <w:r w:rsidRPr="000152CB">
              <w:rPr>
                <w:rFonts w:eastAsia="Times New Roman" w:cs="Calibri"/>
                <w:b/>
                <w:color w:val="000000"/>
                <w:sz w:val="20"/>
                <w:szCs w:val="20"/>
                <w:lang w:eastAsia="sr-Latn-ME"/>
              </w:rPr>
              <w:t>Početna vrijednost:</w:t>
            </w:r>
          </w:p>
          <w:p w14:paraId="0DBA8E29" w14:textId="77777777" w:rsidR="00AF3451" w:rsidRPr="000152CB" w:rsidRDefault="00AF3451" w:rsidP="009D4F7C">
            <w:pPr>
              <w:ind w:left="270"/>
              <w:jc w:val="center"/>
              <w:cnfStyle w:val="000000000000" w:firstRow="0" w:lastRow="0" w:firstColumn="0" w:lastColumn="0" w:oddVBand="0" w:evenVBand="0" w:oddHBand="0" w:evenHBand="0" w:firstRowFirstColumn="0" w:firstRowLastColumn="0" w:lastRowFirstColumn="0" w:lastRowLastColumn="0"/>
              <w:rPr>
                <w:rFonts w:eastAsia="Times New Roman" w:cs="Calibri"/>
                <w:b/>
                <w:color w:val="000000"/>
                <w:sz w:val="20"/>
                <w:szCs w:val="20"/>
                <w:lang w:eastAsia="sr-Latn-ME"/>
              </w:rPr>
            </w:pPr>
          </w:p>
          <w:p w14:paraId="48EC6CA6" w14:textId="77777777" w:rsidR="00AF3451" w:rsidRPr="000152CB" w:rsidRDefault="00AF3451" w:rsidP="009D4F7C">
            <w:pPr>
              <w:ind w:left="270"/>
              <w:jc w:val="center"/>
              <w:cnfStyle w:val="000000000000" w:firstRow="0" w:lastRow="0" w:firstColumn="0" w:lastColumn="0" w:oddVBand="0" w:evenVBand="0" w:oddHBand="0" w:evenHBand="0" w:firstRowFirstColumn="0" w:firstRowLastColumn="0" w:lastRowFirstColumn="0" w:lastRowLastColumn="0"/>
              <w:rPr>
                <w:rFonts w:eastAsia="Times New Roman" w:cs="Calibri"/>
                <w:bCs/>
                <w:sz w:val="20"/>
                <w:szCs w:val="20"/>
                <w:lang w:eastAsia="sr-Latn-ME"/>
              </w:rPr>
            </w:pPr>
            <w:r w:rsidRPr="000152CB">
              <w:rPr>
                <w:rFonts w:eastAsia="Times New Roman" w:cs="Calibri"/>
                <w:bCs/>
                <w:color w:val="000000"/>
                <w:sz w:val="20"/>
                <w:szCs w:val="20"/>
                <w:lang w:eastAsia="sr-Latn-ME"/>
              </w:rPr>
              <w:t>Trenutno ne postoji softver za upravljanje podacima u MZ</w:t>
            </w:r>
          </w:p>
        </w:tc>
        <w:tc>
          <w:tcPr>
            <w:tcW w:w="2900" w:type="dxa"/>
          </w:tcPr>
          <w:p w14:paraId="3110E729" w14:textId="77777777" w:rsidR="00AF3451" w:rsidRPr="000152CB" w:rsidRDefault="00AF3451" w:rsidP="009D4F7C">
            <w:pPr>
              <w:ind w:left="270"/>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Calibri"/>
                <w:b/>
                <w:sz w:val="20"/>
                <w:szCs w:val="20"/>
                <w:lang w:eastAsia="sr-Latn-ME"/>
              </w:rPr>
            </w:pPr>
            <w:r w:rsidRPr="000152CB">
              <w:rPr>
                <w:rFonts w:eastAsia="Times New Roman" w:cs="Calibri"/>
                <w:b/>
                <w:color w:val="000000"/>
                <w:sz w:val="20"/>
                <w:szCs w:val="20"/>
                <w:lang w:eastAsia="sr-Latn-ME"/>
              </w:rPr>
              <w:t>Prelazna vrijednost:</w:t>
            </w:r>
          </w:p>
          <w:p w14:paraId="7080D4FA" w14:textId="77777777" w:rsidR="00AF3451" w:rsidRPr="000152CB" w:rsidRDefault="00AF3451" w:rsidP="009D4F7C">
            <w:pPr>
              <w:ind w:left="270"/>
              <w:jc w:val="center"/>
              <w:cnfStyle w:val="000000000000" w:firstRow="0" w:lastRow="0" w:firstColumn="0" w:lastColumn="0" w:oddVBand="0" w:evenVBand="0" w:oddHBand="0" w:evenHBand="0" w:firstRowFirstColumn="0" w:firstRowLastColumn="0" w:lastRowFirstColumn="0" w:lastRowLastColumn="0"/>
              <w:rPr>
                <w:rFonts w:eastAsia="Times New Roman" w:cs="Calibri"/>
                <w:b/>
                <w:color w:val="000000"/>
                <w:sz w:val="20"/>
                <w:szCs w:val="20"/>
                <w:lang w:eastAsia="sr-Latn-ME"/>
              </w:rPr>
            </w:pPr>
          </w:p>
          <w:p w14:paraId="197766CB" w14:textId="77777777" w:rsidR="00AF3451" w:rsidRPr="000152CB" w:rsidRDefault="00AF3451" w:rsidP="009D4F7C">
            <w:pPr>
              <w:ind w:left="270"/>
              <w:jc w:val="center"/>
              <w:cnfStyle w:val="000000000000" w:firstRow="0" w:lastRow="0" w:firstColumn="0" w:lastColumn="0" w:oddVBand="0" w:evenVBand="0" w:oddHBand="0" w:evenHBand="0" w:firstRowFirstColumn="0" w:firstRowLastColumn="0" w:lastRowFirstColumn="0" w:lastRowLastColumn="0"/>
              <w:rPr>
                <w:rFonts w:eastAsia="Times New Roman" w:cs="Calibri"/>
                <w:bCs/>
                <w:sz w:val="20"/>
                <w:szCs w:val="20"/>
                <w:lang w:eastAsia="sr-Latn-ME"/>
              </w:rPr>
            </w:pPr>
            <w:r w:rsidRPr="000152CB">
              <w:rPr>
                <w:rFonts w:eastAsia="Times New Roman" w:cs="Calibri"/>
                <w:bCs/>
                <w:color w:val="000000"/>
                <w:sz w:val="20"/>
                <w:szCs w:val="20"/>
                <w:lang w:eastAsia="sr-Latn-ME"/>
              </w:rPr>
              <w:t>Izrađeno idejno rješenje za softver</w:t>
            </w:r>
          </w:p>
        </w:tc>
        <w:tc>
          <w:tcPr>
            <w:tcW w:w="5492" w:type="dxa"/>
          </w:tcPr>
          <w:p w14:paraId="14AF49D9" w14:textId="77777777" w:rsidR="00AF3451" w:rsidRPr="000152CB" w:rsidRDefault="00AF3451" w:rsidP="009D4F7C">
            <w:pPr>
              <w:ind w:left="270"/>
              <w:jc w:val="center"/>
              <w:cnfStyle w:val="000000000000" w:firstRow="0" w:lastRow="0" w:firstColumn="0" w:lastColumn="0" w:oddVBand="0" w:evenVBand="0" w:oddHBand="0" w:evenHBand="0" w:firstRowFirstColumn="0" w:firstRowLastColumn="0" w:lastRowFirstColumn="0" w:lastRowLastColumn="0"/>
              <w:rPr>
                <w:rFonts w:eastAsia="Times New Roman" w:cs="Calibri"/>
                <w:b/>
                <w:color w:val="000000"/>
                <w:sz w:val="20"/>
                <w:szCs w:val="20"/>
                <w:lang w:eastAsia="sr-Latn-ME"/>
              </w:rPr>
            </w:pPr>
            <w:r w:rsidRPr="000152CB">
              <w:rPr>
                <w:rFonts w:eastAsia="Times New Roman" w:cs="Calibri"/>
                <w:b/>
                <w:color w:val="000000"/>
                <w:sz w:val="20"/>
                <w:szCs w:val="20"/>
                <w:lang w:eastAsia="sr-Latn-ME"/>
              </w:rPr>
              <w:t>Ciljna vrijednost:</w:t>
            </w:r>
          </w:p>
          <w:p w14:paraId="23B0C3FA" w14:textId="77777777" w:rsidR="00AF3451" w:rsidRPr="000152CB" w:rsidRDefault="00AF3451" w:rsidP="009D4F7C">
            <w:pPr>
              <w:ind w:left="270"/>
              <w:jc w:val="center"/>
              <w:cnfStyle w:val="000000000000" w:firstRow="0" w:lastRow="0" w:firstColumn="0" w:lastColumn="0" w:oddVBand="0" w:evenVBand="0" w:oddHBand="0" w:evenHBand="0" w:firstRowFirstColumn="0" w:firstRowLastColumn="0" w:lastRowFirstColumn="0" w:lastRowLastColumn="0"/>
              <w:rPr>
                <w:rFonts w:eastAsia="Times New Roman" w:cs="Calibri"/>
                <w:b/>
                <w:color w:val="000000"/>
                <w:sz w:val="20"/>
                <w:szCs w:val="20"/>
                <w:lang w:eastAsia="sr-Latn-ME"/>
              </w:rPr>
            </w:pPr>
          </w:p>
          <w:p w14:paraId="4F5B25DC" w14:textId="77777777" w:rsidR="00AF3451" w:rsidRPr="000152CB" w:rsidRDefault="00AF3451" w:rsidP="009D4F7C">
            <w:pPr>
              <w:ind w:left="270"/>
              <w:jc w:val="center"/>
              <w:cnfStyle w:val="000000000000" w:firstRow="0" w:lastRow="0" w:firstColumn="0" w:lastColumn="0" w:oddVBand="0" w:evenVBand="0" w:oddHBand="0" w:evenHBand="0" w:firstRowFirstColumn="0" w:firstRowLastColumn="0" w:lastRowFirstColumn="0" w:lastRowLastColumn="0"/>
              <w:rPr>
                <w:rFonts w:eastAsia="Times New Roman" w:cs="Calibri"/>
                <w:bCs/>
                <w:sz w:val="20"/>
                <w:szCs w:val="20"/>
                <w:lang w:eastAsia="sr-Latn-ME"/>
              </w:rPr>
            </w:pPr>
            <w:r w:rsidRPr="000152CB">
              <w:rPr>
                <w:rFonts w:eastAsia="Times New Roman" w:cs="Calibri"/>
                <w:bCs/>
                <w:color w:val="000000"/>
                <w:sz w:val="20"/>
                <w:szCs w:val="20"/>
                <w:lang w:eastAsia="sr-Latn-ME"/>
              </w:rPr>
              <w:t>Uspostavljen i funkcionalan informacioni sistem MZ</w:t>
            </w:r>
          </w:p>
        </w:tc>
      </w:tr>
    </w:tbl>
    <w:p w14:paraId="7D7A9F5B" w14:textId="77777777" w:rsidR="0091013E" w:rsidRPr="000152CB" w:rsidRDefault="0091013E" w:rsidP="00D537D1">
      <w:pPr>
        <w:jc w:val="both"/>
      </w:pPr>
    </w:p>
    <w:p w14:paraId="46AC01DE" w14:textId="44CCBCFA" w:rsidR="00D537D1" w:rsidRPr="000152CB" w:rsidRDefault="00D537D1" w:rsidP="00D537D1">
      <w:pPr>
        <w:jc w:val="both"/>
      </w:pPr>
      <w:r w:rsidRPr="000152CB">
        <w:t>U pogledu digitalizacije zdravlja, važno je istaći da je u prethodnom periodu sprovođenja javne politike, nastavljene su aktivnosti na integraciji informacionih sistema svih nivoa zdravstvene zaštite. Krajem jula 2023. u potpunosti je funkcionalizovan novi informacioni sistem Kliničkog centra (KCCG), čime je najveća bolnička ustanova dobila savremen elektronski sistem za upravljanje podacima o pacijentima. Na osnovu toga se radi na povezivanju bolničkog sistema sa primarnom zdravstvenom zaštitom i apotekama, kako bi se ostvario jedinstveni elektronski zdravstveni karton za svakog pacijenta na nacionalnom nivou. U toku je unapređenje softverskih rješenja i IT infrastrukture uz podršku međunarodnih partnera, što će omogućiti kvalitetno povezivanje svih nivoa – od izabranog doktora do bolnice – i stvaranje centralizovane baze zdravstvenih podataka za efikasnije donošenje odluka. Ovi napori su dio šireg projekta digitalizacije zdravstva koji se sprovodi uz tehničku pomoć SZO i EU, sa fokusom na interoperabilnost i standardizaciju podataka. Već je povećana upotreba postojeće eZdravlje platforme za elektronsko zakazivanje pregleda i e-recepte, a radi se na proširenju funkcionalnosti (npr. uvođenje e-uputa i telemedicine).</w:t>
      </w:r>
    </w:p>
    <w:p w14:paraId="66477BBA" w14:textId="1BD01431" w:rsidR="005B6DFA" w:rsidRPr="000152CB" w:rsidRDefault="00D537D1" w:rsidP="005E522B">
      <w:pPr>
        <w:jc w:val="both"/>
      </w:pPr>
      <w:r w:rsidRPr="000152CB">
        <w:t>Kada govorimo o izazovima, potrebno</w:t>
      </w:r>
      <w:r w:rsidR="00C673F5" w:rsidRPr="000152CB">
        <w:t xml:space="preserve"> je definisati institucionalni aranžman za trajno vođenje Nacionalnog zdravstvenog računa u skladu sa EU direktivama i izrađivati godišnji izvještaj kroz predviđeni mehanizam, s obzirom na to da je tokom implementacije i prikupljanja podataka uočen niz problema – od nezadovoljavajuće saradnje sa nadležnim institucijama i zdravstvenim ustanovama, preko dostavljanja podataka koji nijesu strukturno adekvatni niti pravilno klasifikovani prema metodologiji, do potpunog izostanka dostave podataka. Potrebno je edukovati zdravstvene ustanove radi obezbjeđivanja relevantnih podataka, uz poštovanje principa da se podaci pribavljaju direktno od institucija koje ih generišu. Istovremeno, još uvijek nije uspostavljen centralni elektronski zdravstveni karton (EZK); planirano je da se do kraja tekuće godine sprovede tender </w:t>
      </w:r>
      <w:r w:rsidR="00C673F5" w:rsidRPr="000152CB">
        <w:lastRenderedPageBreak/>
        <w:t xml:space="preserve">i potpiše ugovor za njegovu faznu implementaciju, s procijenjenim trajanjem projekta od dvije godine. U toku je i izmjena zakona o zbirkama podataka u oblasti zdravstva, izrada nove sistemske arhitekture i standardizacije, nakon čega će se pristupiti tenderu za uspostavljanje EZK. U cilju unapređenja razmjene zdravstvenih podataka, uspostavljen je operativni mehanizam koji uključuje međuinstitucionalni, multidisciplinarni tim sa redovnim sastancima, analizom trenutnog stanja i predloženim mjerama za poboljšanje razmjene podataka na osnovu metodologije monitoringa i evaluacije, kao i završena nabavka za izradu nove sistemske arhitekture i standardizacije koja je trenutno u toku i definiše smjernice za interoperabilnost. </w:t>
      </w:r>
      <w:r w:rsidR="00B44E25">
        <w:t xml:space="preserve">Multisektorska radna za unapređenje kvaliteta mortalitetne statistike u Crnoj Gori (oformljena u julu 2022. godine od strane Ministarstva zdravlja, a na predlog Instituta za javno zdravlje Crne Gore) usvojila je 2023. godine dokument </w:t>
      </w:r>
      <w:r w:rsidR="00B44E25" w:rsidRPr="00D54A67">
        <w:t>Situaciona analiza mortalitetne statistike u Crnoj Gori i predlozi za njeno unapređenje</w:t>
      </w:r>
      <w:r w:rsidR="00B44E25">
        <w:t xml:space="preserve">. Shodno </w:t>
      </w:r>
      <w:r w:rsidR="00B44E25" w:rsidRPr="00D54A67">
        <w:t>kadrovskim promjenama koje su se dogodile u određenom broju ustanova čiji predstavnici učestvuju u radu Multisektorske radne grupe</w:t>
      </w:r>
      <w:r w:rsidR="00B44E25">
        <w:t xml:space="preserve">, potrebno je ažuriranje sastava radne grupe i nastavak aktivnosti na unapređenju kvaliteta mortalitetne statistike.  </w:t>
      </w:r>
      <w:r w:rsidR="00C673F5" w:rsidRPr="000152CB">
        <w:t xml:space="preserve">Pored toga, planirana je reorganizacija dijela Instituta za javno zdravlje koji se bavi mortalitetnom statistikom, , s ciljem poboljšanja kvaliteta obrade i analize podataka o smrtnosti. U okviru ove reorganizacije, predviđena je dodatna edukacija </w:t>
      </w:r>
      <w:r w:rsidR="00B44E25" w:rsidRPr="000152CB">
        <w:t>zaposlen</w:t>
      </w:r>
      <w:r w:rsidR="00B44E25">
        <w:t>ih</w:t>
      </w:r>
      <w:r w:rsidR="00B44E25" w:rsidRPr="000152CB">
        <w:t xml:space="preserve"> </w:t>
      </w:r>
      <w:r w:rsidR="00C673F5" w:rsidRPr="000152CB">
        <w:t>u vezi sa pravilnim kodiranjem uzroka smrti prema međunarodnim standardima i sticanjem dodatnih kompetencija za analizu i interpretaciju podataka, čime se jačaju stručni kapaciteti tima zaduženog za ovaj važan segment javnog zdravlja.</w:t>
      </w:r>
    </w:p>
    <w:p w14:paraId="2C6AE60B" w14:textId="77777777" w:rsidR="00345359" w:rsidRPr="000152CB" w:rsidRDefault="00345359" w:rsidP="005B6DFA"/>
    <w:p w14:paraId="5CCE672A" w14:textId="7AA1BDC3" w:rsidR="00AF3451" w:rsidRPr="000152CB" w:rsidRDefault="00AF3451" w:rsidP="00AF3451">
      <w:pPr>
        <w:pStyle w:val="Naslov2"/>
      </w:pPr>
      <w:bookmarkStart w:id="7" w:name="_Toc202039245"/>
      <w:r w:rsidRPr="000152CB">
        <w:t>OBLAST IV</w:t>
      </w:r>
      <w:bookmarkEnd w:id="7"/>
    </w:p>
    <w:tbl>
      <w:tblPr>
        <w:tblStyle w:val="Tabelakoordinatnemree4akcenat4"/>
        <w:tblW w:w="14220" w:type="dxa"/>
        <w:tblInd w:w="-635" w:type="dxa"/>
        <w:tblLook w:val="04A0" w:firstRow="1" w:lastRow="0" w:firstColumn="1" w:lastColumn="0" w:noHBand="0" w:noVBand="1"/>
      </w:tblPr>
      <w:tblGrid>
        <w:gridCol w:w="2061"/>
        <w:gridCol w:w="3767"/>
        <w:gridCol w:w="2900"/>
        <w:gridCol w:w="5492"/>
      </w:tblGrid>
      <w:tr w:rsidR="00C4360E" w:rsidRPr="000152CB" w14:paraId="79DAFF22" w14:textId="77777777" w:rsidTr="00C4360E">
        <w:trPr>
          <w:cnfStyle w:val="100000000000" w:firstRow="1" w:lastRow="0" w:firstColumn="0" w:lastColumn="0" w:oddVBand="0" w:evenVBand="0" w:oddHBand="0"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2061" w:type="dxa"/>
            <w:hideMark/>
          </w:tcPr>
          <w:p w14:paraId="045A29A0" w14:textId="77777777" w:rsidR="00C4360E" w:rsidRPr="000152CB" w:rsidRDefault="00C4360E" w:rsidP="009D4F7C">
            <w:pPr>
              <w:ind w:left="270"/>
              <w:jc w:val="center"/>
              <w:rPr>
                <w:rFonts w:eastAsia="Times New Roman" w:cs="Calibri"/>
                <w:b w:val="0"/>
                <w:sz w:val="20"/>
                <w:szCs w:val="20"/>
                <w:lang w:eastAsia="sr-Latn-ME"/>
              </w:rPr>
            </w:pPr>
            <w:r w:rsidRPr="000152CB">
              <w:rPr>
                <w:rFonts w:eastAsia="Times New Roman" w:cs="Calibri"/>
                <w:color w:val="000000"/>
                <w:sz w:val="20"/>
                <w:szCs w:val="20"/>
                <w:lang w:eastAsia="sr-Latn-ME"/>
              </w:rPr>
              <w:t>OPERATIVNI CILJ 1.4.</w:t>
            </w:r>
          </w:p>
        </w:tc>
        <w:tc>
          <w:tcPr>
            <w:tcW w:w="12159" w:type="dxa"/>
            <w:gridSpan w:val="3"/>
            <w:hideMark/>
          </w:tcPr>
          <w:p w14:paraId="11FB899D" w14:textId="77777777" w:rsidR="00C4360E" w:rsidRPr="000152CB" w:rsidRDefault="00C4360E" w:rsidP="009D4F7C">
            <w:pPr>
              <w:ind w:left="270"/>
              <w:jc w:val="center"/>
              <w:cnfStyle w:val="100000000000" w:firstRow="1" w:lastRow="0" w:firstColumn="0" w:lastColumn="0" w:oddVBand="0" w:evenVBand="0" w:oddHBand="0" w:evenHBand="0" w:firstRowFirstColumn="0" w:firstRowLastColumn="0" w:lastRowFirstColumn="0" w:lastRowLastColumn="0"/>
              <w:rPr>
                <w:rFonts w:eastAsia="Times New Roman" w:cs="Calibri"/>
                <w:b w:val="0"/>
                <w:sz w:val="20"/>
                <w:szCs w:val="20"/>
                <w:lang w:eastAsia="sr-Latn-ME"/>
              </w:rPr>
            </w:pPr>
            <w:r w:rsidRPr="000152CB">
              <w:rPr>
                <w:rFonts w:eastAsia="Times New Roman" w:cs="Calibri"/>
                <w:sz w:val="20"/>
                <w:szCs w:val="20"/>
                <w:lang w:eastAsia="sr-Latn-ME"/>
              </w:rPr>
              <w:t xml:space="preserve">OSNAŽITI LJUDSKE RESURSE U ZDRAVSTVU </w:t>
            </w:r>
          </w:p>
        </w:tc>
      </w:tr>
      <w:tr w:rsidR="00C4360E" w:rsidRPr="000152CB" w14:paraId="7E1EA84D" w14:textId="77777777" w:rsidTr="00C4360E">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2061" w:type="dxa"/>
            <w:hideMark/>
          </w:tcPr>
          <w:p w14:paraId="617AB6E8" w14:textId="77777777" w:rsidR="00C4360E" w:rsidRPr="000152CB" w:rsidRDefault="00C4360E" w:rsidP="00C4360E">
            <w:pPr>
              <w:rPr>
                <w:rFonts w:eastAsia="Times New Roman" w:cs="Calibri"/>
                <w:b w:val="0"/>
                <w:color w:val="000000"/>
                <w:sz w:val="20"/>
                <w:szCs w:val="20"/>
                <w:lang w:eastAsia="sr-Latn-ME"/>
              </w:rPr>
            </w:pPr>
            <w:r w:rsidRPr="000152CB">
              <w:rPr>
                <w:rFonts w:eastAsia="Times New Roman" w:cs="Calibri"/>
                <w:color w:val="000000"/>
                <w:sz w:val="20"/>
                <w:szCs w:val="20"/>
                <w:lang w:eastAsia="sr-Latn-ME"/>
              </w:rPr>
              <w:t xml:space="preserve">INDIKATOR UČINKA 1: </w:t>
            </w:r>
          </w:p>
          <w:p w14:paraId="3BC7D05A" w14:textId="77777777" w:rsidR="00C4360E" w:rsidRPr="000152CB" w:rsidRDefault="00C4360E" w:rsidP="00C4360E">
            <w:pPr>
              <w:rPr>
                <w:rFonts w:eastAsia="Times New Roman" w:cs="Calibri"/>
                <w:b w:val="0"/>
                <w:color w:val="000000"/>
                <w:sz w:val="20"/>
                <w:szCs w:val="20"/>
                <w:lang w:eastAsia="sr-Latn-ME"/>
              </w:rPr>
            </w:pPr>
            <w:r w:rsidRPr="000152CB">
              <w:rPr>
                <w:rFonts w:eastAsia="Times New Roman" w:cs="Calibri"/>
                <w:color w:val="000000"/>
                <w:sz w:val="20"/>
                <w:szCs w:val="20"/>
                <w:lang w:eastAsia="sr-Latn-ME"/>
              </w:rPr>
              <w:t xml:space="preserve">Broj zdravstvenih radnika (doktora i medicinskih sestara/tehničara) na 1000 stanovnika </w:t>
            </w:r>
          </w:p>
          <w:p w14:paraId="7B90E003" w14:textId="77777777" w:rsidR="00C4360E" w:rsidRPr="000152CB" w:rsidRDefault="00C4360E" w:rsidP="009D4F7C">
            <w:pPr>
              <w:ind w:left="270"/>
              <w:jc w:val="center"/>
              <w:rPr>
                <w:rFonts w:eastAsia="Times New Roman" w:cs="Calibri"/>
                <w:b w:val="0"/>
                <w:sz w:val="20"/>
                <w:szCs w:val="20"/>
                <w:lang w:eastAsia="sr-Latn-ME"/>
              </w:rPr>
            </w:pPr>
          </w:p>
        </w:tc>
        <w:tc>
          <w:tcPr>
            <w:tcW w:w="3767" w:type="dxa"/>
            <w:hideMark/>
          </w:tcPr>
          <w:p w14:paraId="7FEED2B0" w14:textId="77777777" w:rsidR="00C4360E" w:rsidRPr="000152CB" w:rsidRDefault="00C4360E" w:rsidP="009D4F7C">
            <w:pPr>
              <w:ind w:left="270"/>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Calibri"/>
                <w:b/>
                <w:color w:val="000000"/>
                <w:sz w:val="20"/>
                <w:szCs w:val="20"/>
                <w:lang w:eastAsia="sr-Latn-ME"/>
              </w:rPr>
            </w:pPr>
            <w:r w:rsidRPr="000152CB">
              <w:rPr>
                <w:rFonts w:eastAsia="Times New Roman" w:cs="Calibri"/>
                <w:b/>
                <w:color w:val="000000"/>
                <w:sz w:val="20"/>
                <w:szCs w:val="20"/>
                <w:lang w:eastAsia="sr-Latn-ME"/>
              </w:rPr>
              <w:t>Početna vrijednost:</w:t>
            </w:r>
          </w:p>
          <w:p w14:paraId="0815B708" w14:textId="77777777" w:rsidR="00C4360E" w:rsidRPr="000152CB" w:rsidRDefault="00C4360E" w:rsidP="009D4F7C">
            <w:pPr>
              <w:ind w:left="270"/>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Calibri"/>
                <w:b/>
                <w:color w:val="000000"/>
                <w:sz w:val="20"/>
                <w:szCs w:val="20"/>
                <w:lang w:eastAsia="sr-Latn-ME"/>
              </w:rPr>
            </w:pPr>
          </w:p>
          <w:p w14:paraId="441B6295" w14:textId="77777777" w:rsidR="00C4360E" w:rsidRPr="000152CB" w:rsidRDefault="00C4360E" w:rsidP="009D4F7C">
            <w:pPr>
              <w:ind w:left="270"/>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Calibri"/>
                <w:bCs/>
                <w:color w:val="000000"/>
                <w:sz w:val="20"/>
                <w:szCs w:val="20"/>
                <w:lang w:eastAsia="sr-Latn-ME"/>
              </w:rPr>
            </w:pPr>
            <w:r w:rsidRPr="000152CB">
              <w:rPr>
                <w:rFonts w:eastAsia="Times New Roman" w:cs="Calibri"/>
                <w:bCs/>
                <w:color w:val="000000"/>
                <w:sz w:val="20"/>
                <w:szCs w:val="20"/>
                <w:lang w:eastAsia="sr-Latn-ME"/>
              </w:rPr>
              <w:t xml:space="preserve">2,9 doktora na 1000 stanovnika </w:t>
            </w:r>
          </w:p>
          <w:p w14:paraId="69A1BC34" w14:textId="77777777" w:rsidR="00C4360E" w:rsidRPr="000152CB" w:rsidRDefault="00C4360E" w:rsidP="009D4F7C">
            <w:pPr>
              <w:ind w:left="270"/>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Calibri"/>
                <w:bCs/>
                <w:color w:val="000000"/>
                <w:sz w:val="20"/>
                <w:szCs w:val="20"/>
                <w:lang w:eastAsia="sr-Latn-ME"/>
              </w:rPr>
            </w:pPr>
            <w:r w:rsidRPr="000152CB">
              <w:rPr>
                <w:rFonts w:eastAsia="Times New Roman" w:cs="Calibri"/>
                <w:bCs/>
                <w:color w:val="000000"/>
                <w:sz w:val="20"/>
                <w:szCs w:val="20"/>
                <w:lang w:eastAsia="sr-Latn-ME"/>
              </w:rPr>
              <w:t xml:space="preserve">5,9 medicinskih sestara/tehničara na 1000 stanovnika </w:t>
            </w:r>
          </w:p>
          <w:p w14:paraId="7CBDFB11" w14:textId="77777777" w:rsidR="00C4360E" w:rsidRPr="000152CB" w:rsidRDefault="00C4360E" w:rsidP="009D4F7C">
            <w:pPr>
              <w:ind w:left="270"/>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Calibri"/>
                <w:b/>
                <w:color w:val="000000"/>
                <w:sz w:val="20"/>
                <w:szCs w:val="20"/>
                <w:lang w:eastAsia="sr-Latn-ME"/>
              </w:rPr>
            </w:pPr>
          </w:p>
        </w:tc>
        <w:tc>
          <w:tcPr>
            <w:tcW w:w="2900" w:type="dxa"/>
          </w:tcPr>
          <w:p w14:paraId="1F55B5C3" w14:textId="77777777" w:rsidR="00C4360E" w:rsidRPr="000152CB" w:rsidRDefault="00C4360E" w:rsidP="009D4F7C">
            <w:pPr>
              <w:ind w:left="270"/>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Calibri"/>
                <w:b/>
                <w:color w:val="000000"/>
                <w:sz w:val="20"/>
                <w:szCs w:val="20"/>
                <w:lang w:eastAsia="sr-Latn-ME"/>
              </w:rPr>
            </w:pPr>
            <w:r w:rsidRPr="000152CB">
              <w:rPr>
                <w:rFonts w:eastAsia="Times New Roman" w:cs="Calibri"/>
                <w:b/>
                <w:color w:val="000000"/>
                <w:sz w:val="20"/>
                <w:szCs w:val="20"/>
                <w:lang w:eastAsia="sr-Latn-ME"/>
              </w:rPr>
              <w:t>Prelazna vrijednost:</w:t>
            </w:r>
          </w:p>
          <w:p w14:paraId="362AB39C" w14:textId="77777777" w:rsidR="00C4360E" w:rsidRPr="000152CB" w:rsidRDefault="00C4360E" w:rsidP="009D4F7C">
            <w:pPr>
              <w:ind w:left="270"/>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Calibri"/>
                <w:b/>
                <w:color w:val="000000"/>
                <w:sz w:val="20"/>
                <w:szCs w:val="20"/>
                <w:lang w:eastAsia="sr-Latn-ME"/>
              </w:rPr>
            </w:pPr>
          </w:p>
          <w:p w14:paraId="1F39433D" w14:textId="77777777" w:rsidR="00C4360E" w:rsidRPr="000152CB" w:rsidRDefault="00C4360E" w:rsidP="009D4F7C">
            <w:pPr>
              <w:ind w:left="270"/>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Calibri"/>
                <w:bCs/>
                <w:color w:val="000000"/>
                <w:sz w:val="20"/>
                <w:szCs w:val="20"/>
                <w:lang w:eastAsia="sr-Latn-ME"/>
              </w:rPr>
            </w:pPr>
            <w:r w:rsidRPr="000152CB">
              <w:rPr>
                <w:rFonts w:eastAsia="Times New Roman" w:cs="Calibri"/>
                <w:bCs/>
                <w:color w:val="000000"/>
                <w:sz w:val="20"/>
                <w:szCs w:val="20"/>
                <w:lang w:eastAsia="sr-Latn-ME"/>
              </w:rPr>
              <w:t xml:space="preserve">3,2 doktora na 1000 stanovnika </w:t>
            </w:r>
          </w:p>
          <w:p w14:paraId="72D52D49" w14:textId="77777777" w:rsidR="00C4360E" w:rsidRPr="000152CB" w:rsidRDefault="00C4360E" w:rsidP="009D4F7C">
            <w:pPr>
              <w:ind w:left="270"/>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Calibri"/>
                <w:bCs/>
                <w:color w:val="000000"/>
                <w:sz w:val="20"/>
                <w:szCs w:val="20"/>
                <w:lang w:eastAsia="sr-Latn-ME"/>
              </w:rPr>
            </w:pPr>
          </w:p>
          <w:p w14:paraId="77373736" w14:textId="77777777" w:rsidR="00C4360E" w:rsidRPr="000152CB" w:rsidRDefault="00C4360E" w:rsidP="009D4F7C">
            <w:pPr>
              <w:ind w:left="270"/>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Calibri"/>
                <w:bCs/>
                <w:color w:val="000000"/>
                <w:sz w:val="20"/>
                <w:szCs w:val="20"/>
                <w:lang w:eastAsia="sr-Latn-ME"/>
              </w:rPr>
            </w:pPr>
          </w:p>
          <w:p w14:paraId="1C4E0FD3" w14:textId="77777777" w:rsidR="00C4360E" w:rsidRPr="000152CB" w:rsidRDefault="00C4360E" w:rsidP="009D4F7C">
            <w:pPr>
              <w:ind w:left="270"/>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Calibri"/>
                <w:bCs/>
                <w:color w:val="000000"/>
                <w:sz w:val="20"/>
                <w:szCs w:val="20"/>
                <w:lang w:eastAsia="sr-Latn-ME"/>
              </w:rPr>
            </w:pPr>
            <w:r w:rsidRPr="000152CB">
              <w:rPr>
                <w:rFonts w:eastAsia="Times New Roman" w:cs="Calibri"/>
                <w:bCs/>
                <w:color w:val="000000"/>
                <w:sz w:val="20"/>
                <w:szCs w:val="20"/>
                <w:lang w:eastAsia="sr-Latn-ME"/>
              </w:rPr>
              <w:t>6,5 medicinskih sestara/tehničara na 1000 stanovnika</w:t>
            </w:r>
          </w:p>
          <w:p w14:paraId="79C1D935" w14:textId="77777777" w:rsidR="00C4360E" w:rsidRPr="000152CB" w:rsidRDefault="00C4360E" w:rsidP="009D4F7C">
            <w:pPr>
              <w:ind w:left="270"/>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Calibri"/>
                <w:b/>
                <w:color w:val="000000"/>
                <w:sz w:val="20"/>
                <w:szCs w:val="20"/>
                <w:lang w:eastAsia="sr-Latn-ME"/>
              </w:rPr>
            </w:pPr>
          </w:p>
        </w:tc>
        <w:tc>
          <w:tcPr>
            <w:tcW w:w="5492" w:type="dxa"/>
          </w:tcPr>
          <w:p w14:paraId="1CB6B201" w14:textId="77777777" w:rsidR="00C4360E" w:rsidRPr="000152CB" w:rsidRDefault="00C4360E" w:rsidP="009D4F7C">
            <w:pPr>
              <w:ind w:left="270"/>
              <w:jc w:val="center"/>
              <w:cnfStyle w:val="000000100000" w:firstRow="0" w:lastRow="0" w:firstColumn="0" w:lastColumn="0" w:oddVBand="0" w:evenVBand="0" w:oddHBand="1" w:evenHBand="0" w:firstRowFirstColumn="0" w:firstRowLastColumn="0" w:lastRowFirstColumn="0" w:lastRowLastColumn="0"/>
              <w:rPr>
                <w:rFonts w:eastAsia="Times New Roman" w:cs="Calibri"/>
                <w:b/>
                <w:color w:val="000000"/>
                <w:sz w:val="20"/>
                <w:szCs w:val="20"/>
                <w:lang w:eastAsia="sr-Latn-ME"/>
              </w:rPr>
            </w:pPr>
            <w:r w:rsidRPr="000152CB">
              <w:rPr>
                <w:rFonts w:eastAsia="Times New Roman" w:cs="Calibri"/>
                <w:b/>
                <w:color w:val="000000"/>
                <w:sz w:val="20"/>
                <w:szCs w:val="20"/>
                <w:lang w:eastAsia="sr-Latn-ME"/>
              </w:rPr>
              <w:t>Ciljna vrijednost:</w:t>
            </w:r>
          </w:p>
          <w:p w14:paraId="27D78BA2" w14:textId="77777777" w:rsidR="00C4360E" w:rsidRPr="000152CB" w:rsidRDefault="00C4360E" w:rsidP="009D4F7C">
            <w:pPr>
              <w:ind w:left="270"/>
              <w:jc w:val="center"/>
              <w:cnfStyle w:val="000000100000" w:firstRow="0" w:lastRow="0" w:firstColumn="0" w:lastColumn="0" w:oddVBand="0" w:evenVBand="0" w:oddHBand="1" w:evenHBand="0" w:firstRowFirstColumn="0" w:firstRowLastColumn="0" w:lastRowFirstColumn="0" w:lastRowLastColumn="0"/>
              <w:rPr>
                <w:rFonts w:eastAsia="Times New Roman" w:cs="Calibri"/>
                <w:b/>
                <w:color w:val="000000"/>
                <w:sz w:val="20"/>
                <w:szCs w:val="20"/>
                <w:lang w:eastAsia="sr-Latn-ME"/>
              </w:rPr>
            </w:pPr>
          </w:p>
          <w:p w14:paraId="13149355" w14:textId="77777777" w:rsidR="00C4360E" w:rsidRPr="000152CB" w:rsidRDefault="00C4360E" w:rsidP="009D4F7C">
            <w:pPr>
              <w:ind w:left="270"/>
              <w:jc w:val="center"/>
              <w:cnfStyle w:val="000000100000" w:firstRow="0" w:lastRow="0" w:firstColumn="0" w:lastColumn="0" w:oddVBand="0" w:evenVBand="0" w:oddHBand="1" w:evenHBand="0" w:firstRowFirstColumn="0" w:firstRowLastColumn="0" w:lastRowFirstColumn="0" w:lastRowLastColumn="0"/>
              <w:rPr>
                <w:rFonts w:eastAsia="Times New Roman" w:cs="Calibri"/>
                <w:bCs/>
                <w:color w:val="000000"/>
                <w:sz w:val="20"/>
                <w:szCs w:val="20"/>
                <w:lang w:eastAsia="sr-Latn-ME"/>
              </w:rPr>
            </w:pPr>
            <w:r w:rsidRPr="000152CB">
              <w:rPr>
                <w:rFonts w:eastAsia="Times New Roman" w:cs="Calibri"/>
                <w:bCs/>
                <w:color w:val="000000"/>
                <w:sz w:val="20"/>
                <w:szCs w:val="20"/>
                <w:lang w:eastAsia="sr-Latn-ME"/>
              </w:rPr>
              <w:t xml:space="preserve">3,5 doktora na 1000 stanovnika </w:t>
            </w:r>
          </w:p>
          <w:p w14:paraId="1764D050" w14:textId="77777777" w:rsidR="00C4360E" w:rsidRPr="000152CB" w:rsidRDefault="00C4360E" w:rsidP="009D4F7C">
            <w:pPr>
              <w:ind w:left="270"/>
              <w:jc w:val="center"/>
              <w:cnfStyle w:val="000000100000" w:firstRow="0" w:lastRow="0" w:firstColumn="0" w:lastColumn="0" w:oddVBand="0" w:evenVBand="0" w:oddHBand="1" w:evenHBand="0" w:firstRowFirstColumn="0" w:firstRowLastColumn="0" w:lastRowFirstColumn="0" w:lastRowLastColumn="0"/>
              <w:rPr>
                <w:rFonts w:eastAsia="Times New Roman" w:cs="Calibri"/>
                <w:bCs/>
                <w:color w:val="000000"/>
                <w:sz w:val="20"/>
                <w:szCs w:val="20"/>
                <w:lang w:eastAsia="sr-Latn-ME"/>
              </w:rPr>
            </w:pPr>
          </w:p>
          <w:p w14:paraId="11985BE4" w14:textId="77777777" w:rsidR="00C4360E" w:rsidRPr="000152CB" w:rsidRDefault="00C4360E" w:rsidP="009D4F7C">
            <w:pPr>
              <w:ind w:left="270"/>
              <w:jc w:val="center"/>
              <w:cnfStyle w:val="000000100000" w:firstRow="0" w:lastRow="0" w:firstColumn="0" w:lastColumn="0" w:oddVBand="0" w:evenVBand="0" w:oddHBand="1" w:evenHBand="0" w:firstRowFirstColumn="0" w:firstRowLastColumn="0" w:lastRowFirstColumn="0" w:lastRowLastColumn="0"/>
              <w:rPr>
                <w:rFonts w:eastAsia="Times New Roman" w:cs="Calibri"/>
                <w:bCs/>
                <w:color w:val="000000"/>
                <w:sz w:val="20"/>
                <w:szCs w:val="20"/>
                <w:lang w:eastAsia="sr-Latn-ME"/>
              </w:rPr>
            </w:pPr>
          </w:p>
          <w:p w14:paraId="1D09F09A" w14:textId="77777777" w:rsidR="00C4360E" w:rsidRPr="000152CB" w:rsidRDefault="00C4360E" w:rsidP="009D4F7C">
            <w:pPr>
              <w:ind w:left="270"/>
              <w:jc w:val="center"/>
              <w:cnfStyle w:val="000000100000" w:firstRow="0" w:lastRow="0" w:firstColumn="0" w:lastColumn="0" w:oddVBand="0" w:evenVBand="0" w:oddHBand="1" w:evenHBand="0" w:firstRowFirstColumn="0" w:firstRowLastColumn="0" w:lastRowFirstColumn="0" w:lastRowLastColumn="0"/>
              <w:rPr>
                <w:rFonts w:eastAsia="Times New Roman" w:cs="Calibri"/>
                <w:bCs/>
                <w:color w:val="000000"/>
                <w:sz w:val="20"/>
                <w:szCs w:val="20"/>
                <w:lang w:eastAsia="sr-Latn-ME"/>
              </w:rPr>
            </w:pPr>
            <w:r w:rsidRPr="000152CB">
              <w:rPr>
                <w:rFonts w:eastAsia="Times New Roman" w:cs="Calibri"/>
                <w:bCs/>
                <w:color w:val="000000"/>
                <w:sz w:val="20"/>
                <w:szCs w:val="20"/>
                <w:lang w:eastAsia="sr-Latn-ME"/>
              </w:rPr>
              <w:t>7</w:t>
            </w:r>
            <w:r w:rsidRPr="000152CB">
              <w:rPr>
                <w:bCs/>
              </w:rPr>
              <w:t xml:space="preserve"> </w:t>
            </w:r>
            <w:r w:rsidRPr="000152CB">
              <w:rPr>
                <w:rFonts w:eastAsia="Times New Roman" w:cs="Calibri"/>
                <w:bCs/>
                <w:color w:val="000000"/>
                <w:sz w:val="20"/>
                <w:szCs w:val="20"/>
                <w:lang w:eastAsia="sr-Latn-ME"/>
              </w:rPr>
              <w:t>medicinskih sestara/tehničara na 1000 stanovnika</w:t>
            </w:r>
          </w:p>
          <w:p w14:paraId="21601552" w14:textId="77777777" w:rsidR="00C4360E" w:rsidRPr="000152CB" w:rsidRDefault="00C4360E" w:rsidP="009D4F7C">
            <w:pPr>
              <w:ind w:left="270"/>
              <w:jc w:val="center"/>
              <w:cnfStyle w:val="000000100000" w:firstRow="0" w:lastRow="0" w:firstColumn="0" w:lastColumn="0" w:oddVBand="0" w:evenVBand="0" w:oddHBand="1" w:evenHBand="0" w:firstRowFirstColumn="0" w:firstRowLastColumn="0" w:lastRowFirstColumn="0" w:lastRowLastColumn="0"/>
              <w:rPr>
                <w:rFonts w:eastAsia="Times New Roman" w:cs="Calibri"/>
                <w:b/>
                <w:sz w:val="20"/>
                <w:szCs w:val="20"/>
                <w:lang w:eastAsia="sr-Latn-ME"/>
              </w:rPr>
            </w:pPr>
          </w:p>
        </w:tc>
      </w:tr>
    </w:tbl>
    <w:p w14:paraId="12BE64E6" w14:textId="77777777" w:rsidR="00B86CAC" w:rsidRPr="000152CB" w:rsidRDefault="00B86CAC" w:rsidP="00B86CAC">
      <w:pPr>
        <w:jc w:val="both"/>
      </w:pPr>
    </w:p>
    <w:p w14:paraId="4708D87E" w14:textId="2909FF80" w:rsidR="00B86CAC" w:rsidRPr="000152CB" w:rsidRDefault="00B86CAC" w:rsidP="00B86CAC">
      <w:pPr>
        <w:jc w:val="both"/>
      </w:pPr>
      <w:r w:rsidRPr="000152CB">
        <w:t xml:space="preserve">U pogledu upravljanja ljudskim resursima, u prethodnom periodu su pokrenute mjere za stabilizaciju i motivaciju medicinskog kadra. Pored već pomenute obavezne prakse ljekara na primarnom nivou i stimulisanja specijalizacije iz porodične medicine, značajno su povećane zarade u zdravstvu u prethodnom periodu, što je dio nastojanja Vlade da zadrži stručni kadar. Prosječna plata specijaliste značajno je uvećana 2023. (u </w:t>
      </w:r>
      <w:r w:rsidRPr="000152CB">
        <w:lastRenderedPageBreak/>
        <w:t>nekim slučajevima i do 5000 € bruto), dok su plate medicinskih sestara podignute ali i dalje ostaju relativno niske (600 €). U periodu 202</w:t>
      </w:r>
      <w:r w:rsidR="00C040F0">
        <w:t>3</w:t>
      </w:r>
      <w:r w:rsidRPr="000152CB">
        <w:t>–2024. primijećen je povratak određenog broja ljekara koji su ranije radili u inostranstvu, zahvaljujući poboljšanim uslovima, ali odliv kadra ostaje izazov. Prema ranijim podacima, Crna Gora je 2014–2018. izgubila preko 100 ljekara koji su napustili sistem, a trend se djelimično nastavlja zbog konkurentnijih ponuda u inostranstvu. Kako bi se to ublažilo, Ministarstvo zdravlja je uvelo kadrovsko planiranje – izrađen je plan specijalizacija i subspecijalizacija po potrebama sistema, a povećan je i broj upisanih studenata na Medicinski fakultet. Takođe, 2024. godine pokrenut je program kontinuirane edukacije u saradnji sa strukovnim komorama, čime se ulaže u znanje i vještine postojećeg kadra (npr. obuke iz neonatalne reanimacije uz podršku UNICEF-a).</w:t>
      </w:r>
    </w:p>
    <w:p w14:paraId="7C639846" w14:textId="29C2E68C" w:rsidR="00345359" w:rsidRPr="00466DF8" w:rsidRDefault="00B2781F" w:rsidP="00CB448F">
      <w:pPr>
        <w:jc w:val="both"/>
      </w:pPr>
      <w:r w:rsidRPr="00466DF8">
        <w:t>Međutim, važo je istaći da n</w:t>
      </w:r>
      <w:r w:rsidR="00A929CD" w:rsidRPr="00466DF8">
        <w:t xml:space="preserve">isu definisane motivacione mjere za zadržavanje kadra i unapređenje rada na nivou primarne zdravstvene zaštite, kao što su dodjela priznanja, stipendije i slične inicijative. Na ovo su uticali političke promjene, uključujući </w:t>
      </w:r>
      <w:r w:rsidR="00EF1BEF" w:rsidRPr="00466DF8">
        <w:t>formiranje nove Vlade Crne Gore</w:t>
      </w:r>
      <w:r w:rsidR="00A929CD" w:rsidRPr="00466DF8">
        <w:t>, čekanje na usvajanje novog Zakona o zdravstvenoj zaštiti, kao i izrada funkcionalne analize primarne zdravstvene zaštite. Istovremeno, sprovedene su aktivnosti na izradi nove metodologije za planiranje kontinuirane medicinske edukacije (KME), sa jasno definisanim kriterijumima, indikatorima procesa i učinka, te očekivanim rezultatima, u saradnji sa stručnim regulatornim tijelima (komorama), kao i aktivnosti na jačanju institucionalnih kapaciteta za planiranje KME po zdravstvenim ustanovama. Nisu definisani bliži uslovi i procedure za mobilizaciju specijalista između zdravstvenih ustanova sa bolničkom zaštitom na nacionalnom nivou, što uključuje jasno utvrđeno vremensko trajanje, dijagnoze i indikatore za praćenje rezultata, sa ciljem unapređenja dostupnosti, kvaliteta i troškovne efikasnosti zdravstvene zaštite. Takođe, nije formiran multisektorski tim radi motivacije srednjoškolaca da nastave školovanje u oblasti medicine. Izrađena je analiza tržišta rada u zdravstvu, zajedno sa planom razvoja ljudskih resursa radi obezbjeđivanja jednakog pristupa zdravstvenoj zaštiti, a postavljeni su temelji za razvoj institucionalnih kapaciteta strukovnih regulatornih tijela za prikupljanje i analizu podataka u svrhu strateškog planiranja kadrova, uključujući i uspostavljanje registra vođenja licenci.</w:t>
      </w:r>
    </w:p>
    <w:p w14:paraId="4FEED597" w14:textId="634A4DA7" w:rsidR="00E33725" w:rsidRPr="000152CB" w:rsidRDefault="00E33725" w:rsidP="00E33725">
      <w:pPr>
        <w:pStyle w:val="Naslov2"/>
      </w:pPr>
      <w:bookmarkStart w:id="8" w:name="_Toc202039246"/>
      <w:r w:rsidRPr="000152CB">
        <w:t>OBLAST V</w:t>
      </w:r>
      <w:bookmarkEnd w:id="8"/>
    </w:p>
    <w:tbl>
      <w:tblPr>
        <w:tblStyle w:val="Tabelakoordinatnemree4akcenat5"/>
        <w:tblW w:w="14220" w:type="dxa"/>
        <w:tblInd w:w="-635" w:type="dxa"/>
        <w:tblLook w:val="04A0" w:firstRow="1" w:lastRow="0" w:firstColumn="1" w:lastColumn="0" w:noHBand="0" w:noVBand="1"/>
      </w:tblPr>
      <w:tblGrid>
        <w:gridCol w:w="2061"/>
        <w:gridCol w:w="3767"/>
        <w:gridCol w:w="3072"/>
        <w:gridCol w:w="5320"/>
      </w:tblGrid>
      <w:tr w:rsidR="00A8599C" w:rsidRPr="000152CB" w14:paraId="4BDE4137" w14:textId="77777777" w:rsidTr="00A8599C">
        <w:trPr>
          <w:cnfStyle w:val="100000000000" w:firstRow="1" w:lastRow="0" w:firstColumn="0" w:lastColumn="0" w:oddVBand="0" w:evenVBand="0" w:oddHBand="0"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2061" w:type="dxa"/>
            <w:hideMark/>
          </w:tcPr>
          <w:p w14:paraId="6EE69C0A" w14:textId="77777777" w:rsidR="00A8599C" w:rsidRPr="000152CB" w:rsidRDefault="00A8599C" w:rsidP="009D4F7C">
            <w:pPr>
              <w:jc w:val="center"/>
              <w:rPr>
                <w:rFonts w:eastAsia="Times New Roman" w:cs="Calibri"/>
                <w:b w:val="0"/>
                <w:sz w:val="20"/>
                <w:szCs w:val="20"/>
                <w:lang w:eastAsia="sr-Latn-ME"/>
              </w:rPr>
            </w:pPr>
            <w:r w:rsidRPr="000152CB">
              <w:rPr>
                <w:rFonts w:eastAsia="Times New Roman" w:cs="Calibri"/>
                <w:color w:val="000000"/>
                <w:sz w:val="20"/>
                <w:szCs w:val="20"/>
                <w:lang w:eastAsia="sr-Latn-ME"/>
              </w:rPr>
              <w:t>OPERATIVNI CILJ 1.5.</w:t>
            </w:r>
          </w:p>
        </w:tc>
        <w:tc>
          <w:tcPr>
            <w:tcW w:w="12159" w:type="dxa"/>
            <w:gridSpan w:val="3"/>
            <w:hideMark/>
          </w:tcPr>
          <w:p w14:paraId="1FFD1A14" w14:textId="77777777" w:rsidR="00A8599C" w:rsidRPr="000152CB" w:rsidRDefault="00A8599C" w:rsidP="009D4F7C">
            <w:pPr>
              <w:ind w:left="270"/>
              <w:jc w:val="center"/>
              <w:cnfStyle w:val="100000000000" w:firstRow="1" w:lastRow="0" w:firstColumn="0" w:lastColumn="0" w:oddVBand="0" w:evenVBand="0" w:oddHBand="0" w:evenHBand="0" w:firstRowFirstColumn="0" w:firstRowLastColumn="0" w:lastRowFirstColumn="0" w:lastRowLastColumn="0"/>
              <w:rPr>
                <w:rFonts w:eastAsia="Times New Roman" w:cs="Calibri"/>
                <w:b w:val="0"/>
                <w:sz w:val="20"/>
                <w:szCs w:val="20"/>
                <w:lang w:eastAsia="sr-Latn-ME"/>
              </w:rPr>
            </w:pPr>
            <w:r w:rsidRPr="000152CB">
              <w:rPr>
                <w:rFonts w:eastAsia="Times New Roman" w:cs="Calibri"/>
                <w:sz w:val="20"/>
                <w:szCs w:val="20"/>
                <w:lang w:eastAsia="sr-Latn-ME"/>
              </w:rPr>
              <w:t>UNAPRIJEĐEN REGULATORNI I INSTITUCIONALNI OKVIR ZA PRUŽANJE KVALITETNE I JEDNAKO DOSTUPNE ZDRAVSTVENE ZAŠTITE</w:t>
            </w:r>
          </w:p>
        </w:tc>
      </w:tr>
      <w:tr w:rsidR="00A8599C" w:rsidRPr="000152CB" w14:paraId="382BC0ED" w14:textId="77777777" w:rsidTr="00A8599C">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2061" w:type="dxa"/>
          </w:tcPr>
          <w:p w14:paraId="2878AD8E" w14:textId="32D79FC6" w:rsidR="00A8599C" w:rsidRPr="000152CB" w:rsidRDefault="001548E5" w:rsidP="001548E5">
            <w:pPr>
              <w:rPr>
                <w:rFonts w:eastAsia="Times New Roman" w:cs="Calibri"/>
                <w:b w:val="0"/>
                <w:color w:val="000000"/>
                <w:sz w:val="20"/>
                <w:szCs w:val="20"/>
                <w:lang w:eastAsia="sr-Latn-ME"/>
              </w:rPr>
            </w:pPr>
            <w:r w:rsidRPr="000152CB">
              <w:rPr>
                <w:rFonts w:eastAsia="Times New Roman" w:cs="Calibri"/>
                <w:color w:val="000000"/>
                <w:sz w:val="20"/>
                <w:szCs w:val="20"/>
                <w:lang w:eastAsia="sr-Latn-ME"/>
              </w:rPr>
              <w:t xml:space="preserve">INDIKATOR UČINKA </w:t>
            </w:r>
            <w:r w:rsidR="00A8599C" w:rsidRPr="000152CB">
              <w:rPr>
                <w:rFonts w:eastAsia="Times New Roman" w:cs="Calibri"/>
                <w:color w:val="000000"/>
                <w:sz w:val="20"/>
                <w:szCs w:val="20"/>
                <w:lang w:eastAsia="sr-Latn-ME"/>
              </w:rPr>
              <w:t xml:space="preserve"> 1:</w:t>
            </w:r>
          </w:p>
          <w:p w14:paraId="38A6DA82" w14:textId="77777777" w:rsidR="00A8599C" w:rsidRPr="000152CB" w:rsidRDefault="00A8599C" w:rsidP="001548E5">
            <w:pPr>
              <w:rPr>
                <w:rFonts w:eastAsia="Times New Roman" w:cs="Calibri"/>
                <w:b w:val="0"/>
                <w:color w:val="000000"/>
                <w:sz w:val="20"/>
                <w:szCs w:val="20"/>
                <w:lang w:eastAsia="sr-Latn-ME"/>
              </w:rPr>
            </w:pPr>
            <w:r w:rsidRPr="000152CB">
              <w:rPr>
                <w:rFonts w:eastAsia="Times New Roman" w:cs="Calibri"/>
                <w:color w:val="000000"/>
                <w:sz w:val="20"/>
                <w:szCs w:val="20"/>
                <w:lang w:eastAsia="sr-Latn-ME"/>
              </w:rPr>
              <w:t>Uspostavljen zakonski i strateški okvir</w:t>
            </w:r>
          </w:p>
          <w:p w14:paraId="7419705C" w14:textId="77777777" w:rsidR="00A8599C" w:rsidRPr="000152CB" w:rsidRDefault="00A8599C" w:rsidP="009D4F7C">
            <w:pPr>
              <w:ind w:left="270"/>
              <w:jc w:val="center"/>
              <w:rPr>
                <w:rFonts w:eastAsia="Times New Roman" w:cs="Calibri"/>
                <w:b w:val="0"/>
                <w:color w:val="000000"/>
                <w:sz w:val="20"/>
                <w:szCs w:val="20"/>
                <w:lang w:eastAsia="sr-Latn-ME"/>
              </w:rPr>
            </w:pPr>
          </w:p>
        </w:tc>
        <w:tc>
          <w:tcPr>
            <w:tcW w:w="3767" w:type="dxa"/>
          </w:tcPr>
          <w:p w14:paraId="0EF87009" w14:textId="77777777" w:rsidR="00A8599C" w:rsidRPr="000152CB" w:rsidRDefault="00A8599C" w:rsidP="009D4F7C">
            <w:pPr>
              <w:ind w:left="270"/>
              <w:jc w:val="center"/>
              <w:cnfStyle w:val="000000100000" w:firstRow="0" w:lastRow="0" w:firstColumn="0" w:lastColumn="0" w:oddVBand="0" w:evenVBand="0" w:oddHBand="1" w:evenHBand="0" w:firstRowFirstColumn="0" w:firstRowLastColumn="0" w:lastRowFirstColumn="0" w:lastRowLastColumn="0"/>
              <w:rPr>
                <w:rFonts w:eastAsia="Times New Roman" w:cs="Calibri"/>
                <w:b/>
                <w:sz w:val="20"/>
                <w:szCs w:val="20"/>
                <w:lang w:eastAsia="sr-Latn-ME"/>
              </w:rPr>
            </w:pPr>
            <w:r w:rsidRPr="000152CB">
              <w:rPr>
                <w:rFonts w:eastAsia="Times New Roman" w:cs="Calibri"/>
                <w:b/>
                <w:sz w:val="20"/>
                <w:szCs w:val="20"/>
                <w:lang w:eastAsia="sr-Latn-ME"/>
              </w:rPr>
              <w:t xml:space="preserve">Početna vrijednost: </w:t>
            </w:r>
          </w:p>
          <w:p w14:paraId="6BEED16C" w14:textId="77777777" w:rsidR="00A8599C" w:rsidRPr="000152CB" w:rsidRDefault="00A8599C" w:rsidP="009D4F7C">
            <w:pPr>
              <w:ind w:left="270"/>
              <w:jc w:val="center"/>
              <w:cnfStyle w:val="000000100000" w:firstRow="0" w:lastRow="0" w:firstColumn="0" w:lastColumn="0" w:oddVBand="0" w:evenVBand="0" w:oddHBand="1" w:evenHBand="0" w:firstRowFirstColumn="0" w:firstRowLastColumn="0" w:lastRowFirstColumn="0" w:lastRowLastColumn="0"/>
              <w:rPr>
                <w:rFonts w:eastAsia="Times New Roman" w:cs="Calibri"/>
                <w:b/>
                <w:sz w:val="20"/>
                <w:szCs w:val="20"/>
                <w:lang w:eastAsia="sr-Latn-ME"/>
              </w:rPr>
            </w:pPr>
          </w:p>
          <w:p w14:paraId="43E5195D" w14:textId="77777777" w:rsidR="00A8599C" w:rsidRPr="000152CB" w:rsidRDefault="00A8599C" w:rsidP="009D4F7C">
            <w:pPr>
              <w:ind w:left="270"/>
              <w:jc w:val="center"/>
              <w:cnfStyle w:val="000000100000" w:firstRow="0" w:lastRow="0" w:firstColumn="0" w:lastColumn="0" w:oddVBand="0" w:evenVBand="0" w:oddHBand="1" w:evenHBand="0" w:firstRowFirstColumn="0" w:firstRowLastColumn="0" w:lastRowFirstColumn="0" w:lastRowLastColumn="0"/>
              <w:rPr>
                <w:rFonts w:eastAsia="Times New Roman" w:cs="Calibri"/>
                <w:bCs/>
                <w:sz w:val="20"/>
                <w:szCs w:val="20"/>
                <w:lang w:eastAsia="sr-Latn-ME"/>
              </w:rPr>
            </w:pPr>
            <w:r w:rsidRPr="000152CB">
              <w:rPr>
                <w:rFonts w:eastAsia="Times New Roman" w:cs="Calibri"/>
                <w:bCs/>
                <w:sz w:val="20"/>
                <w:szCs w:val="20"/>
                <w:lang w:eastAsia="sr-Latn-ME"/>
              </w:rPr>
              <w:t>Strateška dokumenta i normativni akti koji uređuju cjelokupni sistem zdravstvene zaštite u Crnoj Gori su u fazi izrade</w:t>
            </w:r>
          </w:p>
        </w:tc>
        <w:tc>
          <w:tcPr>
            <w:tcW w:w="3072" w:type="dxa"/>
          </w:tcPr>
          <w:p w14:paraId="470AEBD0" w14:textId="77777777" w:rsidR="00A8599C" w:rsidRPr="000152CB" w:rsidRDefault="00A8599C" w:rsidP="009D4F7C">
            <w:pPr>
              <w:ind w:left="270"/>
              <w:jc w:val="center"/>
              <w:cnfStyle w:val="000000100000" w:firstRow="0" w:lastRow="0" w:firstColumn="0" w:lastColumn="0" w:oddVBand="0" w:evenVBand="0" w:oddHBand="1" w:evenHBand="0" w:firstRowFirstColumn="0" w:firstRowLastColumn="0" w:lastRowFirstColumn="0" w:lastRowLastColumn="0"/>
              <w:rPr>
                <w:rFonts w:eastAsia="Times New Roman" w:cs="Calibri"/>
                <w:b/>
                <w:sz w:val="20"/>
                <w:szCs w:val="20"/>
                <w:lang w:eastAsia="sr-Latn-ME"/>
              </w:rPr>
            </w:pPr>
            <w:r w:rsidRPr="000152CB">
              <w:rPr>
                <w:rFonts w:eastAsia="Times New Roman" w:cs="Calibri"/>
                <w:b/>
                <w:sz w:val="20"/>
                <w:szCs w:val="20"/>
                <w:lang w:eastAsia="sr-Latn-ME"/>
              </w:rPr>
              <w:t xml:space="preserve">Prelazna vrijednost: </w:t>
            </w:r>
          </w:p>
          <w:p w14:paraId="09055B0A" w14:textId="77777777" w:rsidR="00A8599C" w:rsidRPr="000152CB" w:rsidRDefault="00A8599C" w:rsidP="009D4F7C">
            <w:pPr>
              <w:ind w:left="270"/>
              <w:jc w:val="center"/>
              <w:cnfStyle w:val="000000100000" w:firstRow="0" w:lastRow="0" w:firstColumn="0" w:lastColumn="0" w:oddVBand="0" w:evenVBand="0" w:oddHBand="1" w:evenHBand="0" w:firstRowFirstColumn="0" w:firstRowLastColumn="0" w:lastRowFirstColumn="0" w:lastRowLastColumn="0"/>
              <w:rPr>
                <w:rFonts w:eastAsia="Times New Roman" w:cs="Calibri"/>
                <w:b/>
                <w:sz w:val="20"/>
                <w:szCs w:val="20"/>
                <w:lang w:eastAsia="sr-Latn-ME"/>
              </w:rPr>
            </w:pPr>
          </w:p>
          <w:p w14:paraId="2D824542" w14:textId="77777777" w:rsidR="00A8599C" w:rsidRPr="000152CB" w:rsidRDefault="00A8599C" w:rsidP="009D4F7C">
            <w:pPr>
              <w:ind w:left="270"/>
              <w:jc w:val="center"/>
              <w:cnfStyle w:val="000000100000" w:firstRow="0" w:lastRow="0" w:firstColumn="0" w:lastColumn="0" w:oddVBand="0" w:evenVBand="0" w:oddHBand="1" w:evenHBand="0" w:firstRowFirstColumn="0" w:firstRowLastColumn="0" w:lastRowFirstColumn="0" w:lastRowLastColumn="0"/>
              <w:rPr>
                <w:rFonts w:eastAsia="Times New Roman" w:cs="Calibri"/>
                <w:bCs/>
                <w:sz w:val="20"/>
                <w:szCs w:val="20"/>
                <w:lang w:eastAsia="sr-Latn-ME"/>
              </w:rPr>
            </w:pPr>
            <w:r w:rsidRPr="000152CB">
              <w:rPr>
                <w:rFonts w:eastAsia="Times New Roman" w:cs="Calibri"/>
                <w:bCs/>
                <w:sz w:val="20"/>
                <w:szCs w:val="20"/>
                <w:lang w:eastAsia="sr-Latn-ME"/>
              </w:rPr>
              <w:t>60% planiranih dokumenata je izrađeno i usvojeno do kraja 2025. godine</w:t>
            </w:r>
          </w:p>
        </w:tc>
        <w:tc>
          <w:tcPr>
            <w:tcW w:w="5320" w:type="dxa"/>
          </w:tcPr>
          <w:p w14:paraId="79A7B869" w14:textId="77777777" w:rsidR="00A8599C" w:rsidRPr="000152CB" w:rsidRDefault="00A8599C" w:rsidP="009D4F7C">
            <w:pPr>
              <w:ind w:left="270"/>
              <w:jc w:val="center"/>
              <w:cnfStyle w:val="000000100000" w:firstRow="0" w:lastRow="0" w:firstColumn="0" w:lastColumn="0" w:oddVBand="0" w:evenVBand="0" w:oddHBand="1" w:evenHBand="0" w:firstRowFirstColumn="0" w:firstRowLastColumn="0" w:lastRowFirstColumn="0" w:lastRowLastColumn="0"/>
              <w:rPr>
                <w:rFonts w:eastAsia="Times New Roman" w:cs="Calibri"/>
                <w:b/>
                <w:sz w:val="20"/>
                <w:szCs w:val="20"/>
                <w:lang w:eastAsia="sr-Latn-ME"/>
              </w:rPr>
            </w:pPr>
            <w:r w:rsidRPr="000152CB">
              <w:rPr>
                <w:rFonts w:eastAsia="Times New Roman" w:cs="Calibri"/>
                <w:b/>
                <w:sz w:val="20"/>
                <w:szCs w:val="20"/>
                <w:lang w:eastAsia="sr-Latn-ME"/>
              </w:rPr>
              <w:t xml:space="preserve">Ciljna vrijednost: </w:t>
            </w:r>
          </w:p>
          <w:p w14:paraId="325A8044" w14:textId="77777777" w:rsidR="00A8599C" w:rsidRPr="000152CB" w:rsidRDefault="00A8599C" w:rsidP="009D4F7C">
            <w:pPr>
              <w:ind w:left="270"/>
              <w:jc w:val="center"/>
              <w:cnfStyle w:val="000000100000" w:firstRow="0" w:lastRow="0" w:firstColumn="0" w:lastColumn="0" w:oddVBand="0" w:evenVBand="0" w:oddHBand="1" w:evenHBand="0" w:firstRowFirstColumn="0" w:firstRowLastColumn="0" w:lastRowFirstColumn="0" w:lastRowLastColumn="0"/>
              <w:rPr>
                <w:rFonts w:eastAsia="Times New Roman" w:cs="Calibri"/>
                <w:b/>
                <w:sz w:val="20"/>
                <w:szCs w:val="20"/>
                <w:lang w:eastAsia="sr-Latn-ME"/>
              </w:rPr>
            </w:pPr>
          </w:p>
          <w:p w14:paraId="54F78EBD" w14:textId="77777777" w:rsidR="00A8599C" w:rsidRPr="000152CB" w:rsidRDefault="00A8599C" w:rsidP="009D4F7C">
            <w:pPr>
              <w:jc w:val="center"/>
              <w:cnfStyle w:val="000000100000" w:firstRow="0" w:lastRow="0" w:firstColumn="0" w:lastColumn="0" w:oddVBand="0" w:evenVBand="0" w:oddHBand="1" w:evenHBand="0" w:firstRowFirstColumn="0" w:firstRowLastColumn="0" w:lastRowFirstColumn="0" w:lastRowLastColumn="0"/>
              <w:rPr>
                <w:rFonts w:eastAsia="Times New Roman" w:cs="Calibri"/>
                <w:bCs/>
                <w:sz w:val="20"/>
                <w:szCs w:val="20"/>
                <w:lang w:eastAsia="sr-Latn-ME"/>
              </w:rPr>
            </w:pPr>
            <w:r w:rsidRPr="000152CB">
              <w:rPr>
                <w:rFonts w:eastAsia="Times New Roman" w:cs="Calibri"/>
                <w:bCs/>
                <w:sz w:val="20"/>
                <w:szCs w:val="20"/>
                <w:lang w:eastAsia="sr-Latn-ME"/>
              </w:rPr>
              <w:t>100% izrađenih dokumenata planiranih dokumenata je izrađeno i usvojeno do kraja 2025. godine</w:t>
            </w:r>
          </w:p>
        </w:tc>
      </w:tr>
    </w:tbl>
    <w:p w14:paraId="3CBAFD4D" w14:textId="77777777" w:rsidR="00C57716" w:rsidRPr="000152CB" w:rsidRDefault="00C57716" w:rsidP="00C57716"/>
    <w:p w14:paraId="010BF4E5" w14:textId="7337BF83" w:rsidR="00B94C2C" w:rsidRPr="000152CB" w:rsidRDefault="00B94C2C" w:rsidP="00A642B6">
      <w:pPr>
        <w:jc w:val="both"/>
      </w:pPr>
      <w:r w:rsidRPr="000152CB">
        <w:t xml:space="preserve">U 2023. godini realizovane su planirane aktivnosti u oblasti kontrole upotrebe duvanskih proizvoda i kontrole vektora. Programom rada Vlade za 2025. godinu predviđena je izrada Godišnjeg izvještaja o realizaciji Akcionog plana Programa kontrole upotrebe duvanskih proizvoda u Crnoj Gori 2023–2025, za 2024. godinu, za period od prvog do trećeg kvartala. Takođe, predviđena je i izrada Godišnjeg izvještaja o realizaciji Akcionog plana </w:t>
      </w:r>
      <w:r w:rsidRPr="000152CB">
        <w:lastRenderedPageBreak/>
        <w:t>Programa kontrole vektora 2023–2025, za isti period. Međutim, oba izvještaja još nisu izrađena, a njihova priprema počeće u julu 2025. godine, nakon dostavljanja informacija od nosilaca aktivnosti. Novi rok za završetak je avgust 2025. godine.</w:t>
      </w:r>
    </w:p>
    <w:p w14:paraId="285C2E28" w14:textId="3384E6AB" w:rsidR="00B94C2C" w:rsidRPr="000152CB" w:rsidRDefault="00B94C2C" w:rsidP="00A642B6">
      <w:pPr>
        <w:jc w:val="both"/>
      </w:pPr>
      <w:r w:rsidRPr="000152CB">
        <w:t xml:space="preserve">Nacionalna strategija za kontrolu i prevenciju hroničnih nezaraznih bolesti za period 2023–2030, sa pratećim Akcionim planom za 2023–2025. godinu, nije usvojena. Aktivnost nije realizovana zbog </w:t>
      </w:r>
      <w:r w:rsidR="00A1095A">
        <w:t>institucionalnih i kadrovskih promjena</w:t>
      </w:r>
      <w:r w:rsidRPr="000152CB">
        <w:t>, nedostatka kadrovskih kapaciteta i prioriteta Evropske agende.</w:t>
      </w:r>
    </w:p>
    <w:p w14:paraId="4B291D67" w14:textId="36DD887A" w:rsidR="00B94C2C" w:rsidRPr="000152CB" w:rsidRDefault="00B94C2C" w:rsidP="00A642B6">
      <w:pPr>
        <w:jc w:val="both"/>
      </w:pPr>
      <w:r w:rsidRPr="000152CB">
        <w:t>Ipak, u prethodnom periodu usvojene su sljedeće strategije i programi: Program za borbu protiv HIV/AIDS-a za period 2024–2026, sa Akcionim planom 2024–2026</w:t>
      </w:r>
      <w:r w:rsidR="00A1095A">
        <w:t xml:space="preserve">, </w:t>
      </w:r>
      <w:r w:rsidRPr="000152CB">
        <w:t>Program za unapređenje mentalnog zdravlja u Crnoj Gori 2024–2026, sa Akcionim planom za isti period</w:t>
      </w:r>
      <w:r w:rsidR="00A1095A">
        <w:t xml:space="preserve">, </w:t>
      </w:r>
      <w:r w:rsidRPr="000152CB">
        <w:t>Strategija ranog razvoja djeteta 2023–2027</w:t>
      </w:r>
      <w:r w:rsidR="00A1095A">
        <w:t xml:space="preserve">, </w:t>
      </w:r>
      <w:r w:rsidRPr="000152CB">
        <w:t>Strategija za sprečavanje zloupotrebe droga za period 2023–2026, sa Akcionim planom 2023–2024</w:t>
      </w:r>
      <w:r w:rsidR="00A1095A">
        <w:t xml:space="preserve">, </w:t>
      </w:r>
      <w:r w:rsidRPr="000152CB">
        <w:t>kao i Nacionalna strategija razvoja digitalnog zdravlja u Crnoj Gori za period 2024–2029, sa Akcionim planom za njeno sprovođenje u periodu 2024–2026. Takođe, izrađen je nacrt Strategije za rijetke bolesti, dok je izrada Akcionog plana u toku.</w:t>
      </w:r>
    </w:p>
    <w:p w14:paraId="278803CA" w14:textId="77777777" w:rsidR="00B94C2C" w:rsidRPr="000152CB" w:rsidRDefault="00B94C2C" w:rsidP="00A642B6">
      <w:pPr>
        <w:jc w:val="both"/>
      </w:pPr>
      <w:r w:rsidRPr="000152CB">
        <w:t>Radna grupa za izradu Zakona o ljekovima formirana je sredinom 2024. godine. Planirano je da nacrt novog Zakona bude završen do kraja maja 2025, nakon čega će uslijediti javna rasprava i dostavljanje Evropskoj komisiji na mišljenje. Tokom procesa izrade, zaključeno je da je potrebno izraditi potpuno novi Zakon o ljekovima, a ne samo izmjene i dopune postojećeg, kako bi se nacionalna regulativa u potpunosti uskladila sa EU propisima u oblasti humanih i veterinarskih ljekova, uključujući i klinička ispitivanja. Proces izrade traje duže od planiranog zbog obima potrebnog usklađivanja.</w:t>
      </w:r>
    </w:p>
    <w:p w14:paraId="0E0DE067" w14:textId="77777777" w:rsidR="00B94C2C" w:rsidRPr="000152CB" w:rsidRDefault="00B94C2C" w:rsidP="00A642B6">
      <w:pPr>
        <w:jc w:val="both"/>
      </w:pPr>
      <w:r w:rsidRPr="000152CB">
        <w:t>Izmjene i dopune Zakona o apotekarskoj djelatnosti još nisu donesene. Izrada Nacrta Zakona može započeti tek nakon donošenja Zakona o zdravstvenoj zaštiti i Zakona o ljekovima, s obzirom na to da je ovim propisima potrebno definisati nadležnosti apotekarskih ustanova, kao i mogućnost izrade magistralnih i galenskih ljekova. Nedostatak kadrovskih kapaciteta u Ministarstvu zdravlja dodatno uslovljava produžavanje rokova.</w:t>
      </w:r>
    </w:p>
    <w:p w14:paraId="0BFFB71B" w14:textId="77777777" w:rsidR="00B94C2C" w:rsidRPr="000152CB" w:rsidRDefault="00B94C2C" w:rsidP="00A642B6">
      <w:pPr>
        <w:jc w:val="both"/>
      </w:pPr>
      <w:r w:rsidRPr="000152CB">
        <w:t>Doneseni su Zakon o izmjenama i dopunama Zakona o obaveznom zdravstvenom osiguranju, Zakon o izmjenama i dopunama Zakona o uzimanju i presađivanju ljudskih organa u svrhu liječenja, kao i Zakon o izmjenama i dopunama Zakona o hitnoj medicinskoj pomoći. Zakon o izmjenama i dopunama Zakona o uzimanju i presađivanju ljudskih tkiva i ćelija u svrhu liječenja nalazi se u proceduri donošenja.</w:t>
      </w:r>
    </w:p>
    <w:p w14:paraId="293B2D48" w14:textId="77777777" w:rsidR="00B94C2C" w:rsidRPr="000152CB" w:rsidRDefault="00B94C2C" w:rsidP="00A642B6">
      <w:pPr>
        <w:jc w:val="both"/>
      </w:pPr>
      <w:r w:rsidRPr="000152CB">
        <w:t>Izmjena Zakona o zbirkama podataka u oblasti zdravstva uvrštena je u Program rada Vlade za 2025. godinu, a planirana je za treći kvartal. Konsultacije sa uključenim institucijama su u toku, kao i izrada Zakona.</w:t>
      </w:r>
    </w:p>
    <w:p w14:paraId="16AD9FB1" w14:textId="77777777" w:rsidR="00B94C2C" w:rsidRPr="000152CB" w:rsidRDefault="00B94C2C" w:rsidP="00A642B6">
      <w:pPr>
        <w:jc w:val="both"/>
      </w:pPr>
      <w:r w:rsidRPr="000152CB">
        <w:t>Odredbe koje se odnose na dojenje unijete su u Zakon o zdravstvenoj zaštiti, koji je trenutno dostavljen Evropskoj komisiji na mišljenje. Rok za njegovo usvajanje je četvrti kvartal 2025. godine.</w:t>
      </w:r>
    </w:p>
    <w:p w14:paraId="6B1ED2BC" w14:textId="77777777" w:rsidR="00B94C2C" w:rsidRPr="000152CB" w:rsidRDefault="00B94C2C" w:rsidP="00A642B6">
      <w:pPr>
        <w:jc w:val="both"/>
      </w:pPr>
      <w:r w:rsidRPr="000152CB">
        <w:lastRenderedPageBreak/>
        <w:t>Predstavnici Instituta za javno zdravlje i Fonda za zdravstveno osiguranje, u saradnji sa Kliničkim centrom Crne Gore, Opštom bolnicom Cetinje i Zavodom za transfuziju krvi, usaglasili su i pripremili spisak i sadržaj usluga za sekundarni i tercijarni nivo zdravstvene zaštite, u svrhu pripreme Uredbe. Dokument je dostavljen Ministarstvu zdravlja u maju 2023. i ponovo u maju 2024. godine, a trenutno je u toku izrada konačnog spiska zdravstvenih usluga, koji predstavlja preduslov za donošenje Uredbe.</w:t>
      </w:r>
    </w:p>
    <w:p w14:paraId="0D70B1F7" w14:textId="77777777" w:rsidR="00B94C2C" w:rsidRPr="000152CB" w:rsidRDefault="00B94C2C" w:rsidP="00A642B6">
      <w:pPr>
        <w:jc w:val="both"/>
      </w:pPr>
      <w:r w:rsidRPr="000152CB">
        <w:t>Takođe, u toku je uspostavljanje jedinstvenog operativnog registra svih zdravstvenih ustanova u Crnoj Gori, kroz izradu odgovarajućeg softverskog rješenja i popunjavanje podataka o ustanovama.</w:t>
      </w:r>
    </w:p>
    <w:p w14:paraId="2EDD5B40" w14:textId="77777777" w:rsidR="00B94C2C" w:rsidRPr="000152CB" w:rsidRDefault="00B94C2C" w:rsidP="00C57716"/>
    <w:p w14:paraId="737CB304" w14:textId="3768143E" w:rsidR="00345359" w:rsidRPr="000152CB" w:rsidRDefault="00A8599C" w:rsidP="00B94C2C">
      <w:pPr>
        <w:pStyle w:val="Naslov2"/>
      </w:pPr>
      <w:bookmarkStart w:id="9" w:name="_Toc202039247"/>
      <w:r w:rsidRPr="000152CB">
        <w:t>OBLAST VI</w:t>
      </w:r>
      <w:bookmarkEnd w:id="9"/>
    </w:p>
    <w:tbl>
      <w:tblPr>
        <w:tblStyle w:val="Tabelakoordinatnemree4akcenat6"/>
        <w:tblW w:w="14220" w:type="dxa"/>
        <w:tblInd w:w="-635" w:type="dxa"/>
        <w:tblLook w:val="04A0" w:firstRow="1" w:lastRow="0" w:firstColumn="1" w:lastColumn="0" w:noHBand="0" w:noVBand="1"/>
      </w:tblPr>
      <w:tblGrid>
        <w:gridCol w:w="2374"/>
        <w:gridCol w:w="4606"/>
        <w:gridCol w:w="2275"/>
        <w:gridCol w:w="4965"/>
      </w:tblGrid>
      <w:tr w:rsidR="001548E5" w:rsidRPr="000152CB" w14:paraId="0AA34646" w14:textId="77777777" w:rsidTr="001548E5">
        <w:trPr>
          <w:cnfStyle w:val="100000000000" w:firstRow="1" w:lastRow="0" w:firstColumn="0" w:lastColumn="0" w:oddVBand="0" w:evenVBand="0" w:oddHBand="0"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2374" w:type="dxa"/>
            <w:hideMark/>
          </w:tcPr>
          <w:p w14:paraId="396B426A" w14:textId="77777777" w:rsidR="001548E5" w:rsidRPr="000152CB" w:rsidRDefault="001548E5" w:rsidP="009D4F7C">
            <w:pPr>
              <w:ind w:left="270"/>
              <w:jc w:val="center"/>
              <w:rPr>
                <w:rFonts w:eastAsia="Times New Roman" w:cs="Calibri"/>
                <w:b w:val="0"/>
                <w:sz w:val="20"/>
                <w:szCs w:val="20"/>
                <w:lang w:eastAsia="sr-Latn-ME"/>
              </w:rPr>
            </w:pPr>
            <w:r w:rsidRPr="000152CB">
              <w:rPr>
                <w:rFonts w:eastAsia="Times New Roman" w:cs="Calibri"/>
                <w:color w:val="000000"/>
                <w:sz w:val="20"/>
                <w:szCs w:val="20"/>
                <w:lang w:eastAsia="sr-Latn-ME"/>
              </w:rPr>
              <w:t>STRATEŠKI CILJ 2</w:t>
            </w:r>
          </w:p>
        </w:tc>
        <w:tc>
          <w:tcPr>
            <w:tcW w:w="11846" w:type="dxa"/>
            <w:gridSpan w:val="3"/>
            <w:hideMark/>
          </w:tcPr>
          <w:p w14:paraId="62DF9D52" w14:textId="77777777" w:rsidR="001548E5" w:rsidRPr="000152CB" w:rsidRDefault="001548E5" w:rsidP="009D4F7C">
            <w:pPr>
              <w:spacing w:after="60"/>
              <w:jc w:val="center"/>
              <w:cnfStyle w:val="100000000000" w:firstRow="1" w:lastRow="0" w:firstColumn="0" w:lastColumn="0" w:oddVBand="0" w:evenVBand="0" w:oddHBand="0" w:evenHBand="0" w:firstRowFirstColumn="0" w:firstRowLastColumn="0" w:lastRowFirstColumn="0" w:lastRowLastColumn="0"/>
              <w:rPr>
                <w:rFonts w:eastAsia="Times New Roman" w:cs="Calibri"/>
                <w:b w:val="0"/>
                <w:sz w:val="20"/>
                <w:szCs w:val="20"/>
                <w:lang w:eastAsia="sr-Latn-ME"/>
              </w:rPr>
            </w:pPr>
            <w:r w:rsidRPr="000152CB">
              <w:rPr>
                <w:rFonts w:eastAsia="Times New Roman" w:cs="Calibri"/>
                <w:sz w:val="20"/>
                <w:szCs w:val="20"/>
                <w:lang w:eastAsia="sr-Latn-ME"/>
              </w:rPr>
              <w:t>EFIKASNA PROMOCIJA ZDRAVLJA I PREVENCIJA BOLESTI KROZ KONTROLU FAKTORA RIZIKA, UNAPREĐENJE MULTISEKTORSKE SARADNJE I ANGAŽMAN CIJELOG DRUŠTVA</w:t>
            </w:r>
          </w:p>
          <w:p w14:paraId="37A33133" w14:textId="77777777" w:rsidR="001548E5" w:rsidRPr="000152CB" w:rsidRDefault="001548E5" w:rsidP="009D4F7C">
            <w:pPr>
              <w:spacing w:after="60"/>
              <w:jc w:val="center"/>
              <w:cnfStyle w:val="100000000000" w:firstRow="1" w:lastRow="0" w:firstColumn="0" w:lastColumn="0" w:oddVBand="0" w:evenVBand="0" w:oddHBand="0" w:evenHBand="0" w:firstRowFirstColumn="0" w:firstRowLastColumn="0" w:lastRowFirstColumn="0" w:lastRowLastColumn="0"/>
              <w:rPr>
                <w:rFonts w:eastAsia="Times New Roman" w:cs="Calibri"/>
                <w:b w:val="0"/>
                <w:sz w:val="20"/>
                <w:szCs w:val="20"/>
                <w:lang w:eastAsia="sr-Latn-ME"/>
              </w:rPr>
            </w:pPr>
          </w:p>
        </w:tc>
      </w:tr>
      <w:tr w:rsidR="001548E5" w:rsidRPr="000152CB" w14:paraId="4473D6A6" w14:textId="77777777" w:rsidTr="001548E5">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2374" w:type="dxa"/>
            <w:hideMark/>
          </w:tcPr>
          <w:p w14:paraId="34CBAF9E" w14:textId="77777777" w:rsidR="001548E5" w:rsidRPr="000152CB" w:rsidRDefault="001548E5" w:rsidP="009D4F7C">
            <w:pPr>
              <w:ind w:left="270"/>
              <w:jc w:val="center"/>
              <w:rPr>
                <w:rFonts w:eastAsia="Times New Roman" w:cs="Calibri"/>
                <w:b w:val="0"/>
                <w:sz w:val="20"/>
                <w:szCs w:val="20"/>
                <w:lang w:eastAsia="sr-Latn-ME"/>
              </w:rPr>
            </w:pPr>
            <w:r w:rsidRPr="000152CB">
              <w:rPr>
                <w:rFonts w:eastAsia="Times New Roman" w:cs="Calibri"/>
                <w:color w:val="000000"/>
                <w:sz w:val="20"/>
                <w:szCs w:val="20"/>
                <w:lang w:eastAsia="sr-Latn-ME"/>
              </w:rPr>
              <w:t>OPERATIVNI CILJ 2.1.</w:t>
            </w:r>
          </w:p>
        </w:tc>
        <w:tc>
          <w:tcPr>
            <w:tcW w:w="11846" w:type="dxa"/>
            <w:gridSpan w:val="3"/>
            <w:hideMark/>
          </w:tcPr>
          <w:p w14:paraId="051CFF1E" w14:textId="77777777" w:rsidR="001548E5" w:rsidRPr="000152CB" w:rsidRDefault="001548E5" w:rsidP="009D4F7C">
            <w:pPr>
              <w:ind w:left="270"/>
              <w:jc w:val="center"/>
              <w:cnfStyle w:val="000000100000" w:firstRow="0" w:lastRow="0" w:firstColumn="0" w:lastColumn="0" w:oddVBand="0" w:evenVBand="0" w:oddHBand="1" w:evenHBand="0" w:firstRowFirstColumn="0" w:firstRowLastColumn="0" w:lastRowFirstColumn="0" w:lastRowLastColumn="0"/>
              <w:rPr>
                <w:rFonts w:eastAsia="Times New Roman" w:cs="Calibri"/>
                <w:b/>
                <w:sz w:val="20"/>
                <w:szCs w:val="20"/>
                <w:lang w:eastAsia="sr-Latn-ME"/>
              </w:rPr>
            </w:pPr>
            <w:r w:rsidRPr="000152CB">
              <w:rPr>
                <w:rFonts w:eastAsia="Times New Roman" w:cs="Calibri"/>
                <w:b/>
                <w:sz w:val="20"/>
                <w:szCs w:val="20"/>
                <w:lang w:eastAsia="sr-Latn-ME"/>
              </w:rPr>
              <w:t xml:space="preserve">OJAČATI JAVNOZDRAVSTVENE KAPACITETE SA KOMPETENCIJAMA POTREBNIM ZA RAZVIJANJE, IMPLEMENTACIJU I MONITORING JAVNOZDRAVSTVENIH POLITIKA </w:t>
            </w:r>
          </w:p>
        </w:tc>
      </w:tr>
      <w:tr w:rsidR="001548E5" w:rsidRPr="000152CB" w14:paraId="35A512AC" w14:textId="77777777" w:rsidTr="001548E5">
        <w:trPr>
          <w:trHeight w:val="610"/>
        </w:trPr>
        <w:tc>
          <w:tcPr>
            <w:cnfStyle w:val="001000000000" w:firstRow="0" w:lastRow="0" w:firstColumn="1" w:lastColumn="0" w:oddVBand="0" w:evenVBand="0" w:oddHBand="0" w:evenHBand="0" w:firstRowFirstColumn="0" w:firstRowLastColumn="0" w:lastRowFirstColumn="0" w:lastRowLastColumn="0"/>
            <w:tcW w:w="2374" w:type="dxa"/>
            <w:hideMark/>
          </w:tcPr>
          <w:p w14:paraId="2AFE735A" w14:textId="77777777" w:rsidR="001548E5" w:rsidRPr="000152CB" w:rsidRDefault="001548E5" w:rsidP="00FF2DC3">
            <w:pPr>
              <w:rPr>
                <w:rFonts w:eastAsia="Times New Roman" w:cs="Calibri"/>
                <w:b w:val="0"/>
                <w:color w:val="000000"/>
                <w:sz w:val="20"/>
                <w:szCs w:val="20"/>
                <w:lang w:eastAsia="sr-Latn-ME"/>
              </w:rPr>
            </w:pPr>
            <w:r w:rsidRPr="000152CB">
              <w:rPr>
                <w:rFonts w:eastAsia="Times New Roman" w:cs="Calibri"/>
                <w:color w:val="000000"/>
                <w:sz w:val="20"/>
                <w:szCs w:val="20"/>
                <w:lang w:eastAsia="sr-Latn-ME"/>
              </w:rPr>
              <w:t>INDIKATOR UČINKA 1:</w:t>
            </w:r>
          </w:p>
          <w:p w14:paraId="7E9BFD63" w14:textId="77777777" w:rsidR="001548E5" w:rsidRPr="000152CB" w:rsidRDefault="001548E5" w:rsidP="00FF2DC3">
            <w:pPr>
              <w:contextualSpacing/>
              <w:rPr>
                <w:rFonts w:eastAsia="Times New Roman" w:cs="Calibri"/>
                <w:b w:val="0"/>
                <w:sz w:val="20"/>
                <w:szCs w:val="20"/>
                <w:lang w:eastAsia="sr-Latn-ME"/>
              </w:rPr>
            </w:pPr>
            <w:r w:rsidRPr="000152CB">
              <w:rPr>
                <w:rFonts w:eastAsia="Times New Roman" w:cs="Calibri"/>
                <w:sz w:val="20"/>
                <w:szCs w:val="20"/>
                <w:lang w:eastAsia="sr-Latn-ME"/>
              </w:rPr>
              <w:t>Procenat polaznika naprednog trening programa iz oblasti terenske epidemiologije koji je uspješno završio dvogodišnju obuku</w:t>
            </w:r>
          </w:p>
          <w:p w14:paraId="4154B9EC" w14:textId="77777777" w:rsidR="001548E5" w:rsidRPr="000152CB" w:rsidRDefault="001548E5" w:rsidP="009D4F7C">
            <w:pPr>
              <w:ind w:left="270"/>
              <w:jc w:val="center"/>
              <w:rPr>
                <w:rFonts w:eastAsia="Times New Roman" w:cs="Calibri"/>
                <w:b w:val="0"/>
                <w:sz w:val="20"/>
                <w:szCs w:val="20"/>
                <w:lang w:eastAsia="sr-Latn-ME"/>
              </w:rPr>
            </w:pPr>
          </w:p>
        </w:tc>
        <w:tc>
          <w:tcPr>
            <w:tcW w:w="4606" w:type="dxa"/>
            <w:hideMark/>
          </w:tcPr>
          <w:p w14:paraId="6A6D6F6B" w14:textId="77777777" w:rsidR="001548E5" w:rsidRPr="000152CB" w:rsidRDefault="001548E5" w:rsidP="009D4F7C">
            <w:pPr>
              <w:ind w:left="270"/>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Calibri"/>
                <w:b/>
                <w:color w:val="000000"/>
                <w:sz w:val="20"/>
                <w:szCs w:val="20"/>
                <w:lang w:eastAsia="sr-Latn-ME"/>
              </w:rPr>
            </w:pPr>
            <w:r w:rsidRPr="000152CB">
              <w:rPr>
                <w:rFonts w:eastAsia="Times New Roman" w:cs="Calibri"/>
                <w:b/>
                <w:color w:val="000000"/>
                <w:sz w:val="20"/>
                <w:szCs w:val="20"/>
                <w:lang w:eastAsia="sr-Latn-ME"/>
              </w:rPr>
              <w:t>Početna vrijednost:</w:t>
            </w:r>
          </w:p>
          <w:p w14:paraId="0358502A" w14:textId="77777777" w:rsidR="001548E5" w:rsidRPr="000152CB" w:rsidRDefault="001548E5" w:rsidP="009D4F7C">
            <w:pPr>
              <w:ind w:left="270"/>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Calibri"/>
                <w:b/>
                <w:color w:val="000000"/>
                <w:sz w:val="20"/>
                <w:szCs w:val="20"/>
                <w:lang w:eastAsia="sr-Latn-ME"/>
              </w:rPr>
            </w:pPr>
          </w:p>
          <w:p w14:paraId="6E080B22" w14:textId="77777777" w:rsidR="001548E5" w:rsidRPr="000152CB" w:rsidRDefault="001548E5" w:rsidP="009D4F7C">
            <w:pPr>
              <w:ind w:left="270"/>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Calibri"/>
                <w:bCs/>
                <w:color w:val="000000"/>
                <w:sz w:val="20"/>
                <w:szCs w:val="20"/>
                <w:lang w:eastAsia="sr-Latn-ME"/>
              </w:rPr>
            </w:pPr>
            <w:r w:rsidRPr="000152CB">
              <w:rPr>
                <w:rFonts w:eastAsia="Times New Roman" w:cs="Calibri"/>
                <w:bCs/>
                <w:color w:val="000000"/>
                <w:sz w:val="20"/>
                <w:szCs w:val="20"/>
                <w:lang w:eastAsia="sr-Latn-ME"/>
              </w:rPr>
              <w:t>0%</w:t>
            </w:r>
          </w:p>
          <w:p w14:paraId="45A01A2D" w14:textId="77777777" w:rsidR="001548E5" w:rsidRPr="000152CB" w:rsidRDefault="001548E5" w:rsidP="009D4F7C">
            <w:pPr>
              <w:ind w:left="270"/>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Calibri"/>
                <w:b/>
                <w:sz w:val="20"/>
                <w:szCs w:val="20"/>
                <w:lang w:eastAsia="sr-Latn-ME"/>
              </w:rPr>
            </w:pPr>
          </w:p>
        </w:tc>
        <w:tc>
          <w:tcPr>
            <w:tcW w:w="2275" w:type="dxa"/>
          </w:tcPr>
          <w:p w14:paraId="2A190FE2" w14:textId="77777777" w:rsidR="001548E5" w:rsidRPr="000152CB" w:rsidRDefault="001548E5" w:rsidP="009D4F7C">
            <w:pPr>
              <w:ind w:left="270"/>
              <w:jc w:val="center"/>
              <w:cnfStyle w:val="000000000000" w:firstRow="0" w:lastRow="0" w:firstColumn="0" w:lastColumn="0" w:oddVBand="0" w:evenVBand="0" w:oddHBand="0" w:evenHBand="0" w:firstRowFirstColumn="0" w:firstRowLastColumn="0" w:lastRowFirstColumn="0" w:lastRowLastColumn="0"/>
              <w:rPr>
                <w:rFonts w:eastAsia="Times New Roman" w:cs="Calibri"/>
                <w:b/>
                <w:color w:val="000000"/>
                <w:sz w:val="20"/>
                <w:szCs w:val="20"/>
                <w:lang w:eastAsia="sr-Latn-ME"/>
              </w:rPr>
            </w:pPr>
            <w:r w:rsidRPr="000152CB">
              <w:rPr>
                <w:rFonts w:eastAsia="Times New Roman" w:cs="Calibri"/>
                <w:b/>
                <w:color w:val="000000"/>
                <w:sz w:val="20"/>
                <w:szCs w:val="20"/>
                <w:lang w:eastAsia="sr-Latn-ME"/>
              </w:rPr>
              <w:t>Prelazna vrijednost:</w:t>
            </w:r>
          </w:p>
          <w:p w14:paraId="1E831B48" w14:textId="77777777" w:rsidR="001548E5" w:rsidRPr="000152CB" w:rsidRDefault="001548E5" w:rsidP="009D4F7C">
            <w:pPr>
              <w:ind w:left="270"/>
              <w:jc w:val="center"/>
              <w:cnfStyle w:val="000000000000" w:firstRow="0" w:lastRow="0" w:firstColumn="0" w:lastColumn="0" w:oddVBand="0" w:evenVBand="0" w:oddHBand="0" w:evenHBand="0" w:firstRowFirstColumn="0" w:firstRowLastColumn="0" w:lastRowFirstColumn="0" w:lastRowLastColumn="0"/>
              <w:rPr>
                <w:rFonts w:eastAsia="Times New Roman" w:cs="Calibri"/>
                <w:b/>
                <w:sz w:val="20"/>
                <w:szCs w:val="20"/>
                <w:lang w:eastAsia="sr-Latn-ME"/>
              </w:rPr>
            </w:pPr>
          </w:p>
          <w:p w14:paraId="26BA6C41" w14:textId="77777777" w:rsidR="001548E5" w:rsidRPr="000152CB" w:rsidRDefault="001548E5" w:rsidP="009D4F7C">
            <w:pPr>
              <w:ind w:left="270"/>
              <w:jc w:val="center"/>
              <w:cnfStyle w:val="000000000000" w:firstRow="0" w:lastRow="0" w:firstColumn="0" w:lastColumn="0" w:oddVBand="0" w:evenVBand="0" w:oddHBand="0" w:evenHBand="0" w:firstRowFirstColumn="0" w:firstRowLastColumn="0" w:lastRowFirstColumn="0" w:lastRowLastColumn="0"/>
              <w:rPr>
                <w:rFonts w:eastAsia="Times New Roman" w:cs="Calibri"/>
                <w:bCs/>
                <w:sz w:val="20"/>
                <w:szCs w:val="20"/>
                <w:lang w:eastAsia="sr-Latn-ME"/>
              </w:rPr>
            </w:pPr>
            <w:r w:rsidRPr="000152CB">
              <w:rPr>
                <w:rFonts w:eastAsia="Times New Roman" w:cs="Calibri"/>
                <w:bCs/>
                <w:sz w:val="20"/>
                <w:szCs w:val="20"/>
                <w:lang w:eastAsia="sr-Latn-ME"/>
              </w:rPr>
              <w:t xml:space="preserve">Minimu 45% polaznika je uspješno završilo dvogodišnju obuku </w:t>
            </w:r>
          </w:p>
        </w:tc>
        <w:tc>
          <w:tcPr>
            <w:tcW w:w="4965" w:type="dxa"/>
          </w:tcPr>
          <w:p w14:paraId="58D7BDF2" w14:textId="77777777" w:rsidR="001548E5" w:rsidRPr="000152CB" w:rsidRDefault="001548E5" w:rsidP="009D4F7C">
            <w:pPr>
              <w:jc w:val="center"/>
              <w:cnfStyle w:val="000000000000" w:firstRow="0" w:lastRow="0" w:firstColumn="0" w:lastColumn="0" w:oddVBand="0" w:evenVBand="0" w:oddHBand="0" w:evenHBand="0" w:firstRowFirstColumn="0" w:firstRowLastColumn="0" w:lastRowFirstColumn="0" w:lastRowLastColumn="0"/>
              <w:rPr>
                <w:rFonts w:eastAsia="Times New Roman" w:cs="Calibri"/>
                <w:b/>
                <w:color w:val="000000"/>
                <w:sz w:val="20"/>
                <w:szCs w:val="20"/>
                <w:lang w:eastAsia="sr-Latn-ME"/>
              </w:rPr>
            </w:pPr>
            <w:r w:rsidRPr="000152CB">
              <w:rPr>
                <w:rFonts w:eastAsia="Times New Roman" w:cs="Calibri"/>
                <w:b/>
                <w:color w:val="000000"/>
                <w:sz w:val="20"/>
                <w:szCs w:val="20"/>
                <w:lang w:eastAsia="sr-Latn-ME"/>
              </w:rPr>
              <w:t>Ciljna vrijednost:</w:t>
            </w:r>
          </w:p>
          <w:p w14:paraId="679EDFED" w14:textId="77777777" w:rsidR="001548E5" w:rsidRPr="000152CB" w:rsidRDefault="001548E5" w:rsidP="009D4F7C">
            <w:pPr>
              <w:ind w:left="270"/>
              <w:jc w:val="center"/>
              <w:cnfStyle w:val="000000000000" w:firstRow="0" w:lastRow="0" w:firstColumn="0" w:lastColumn="0" w:oddVBand="0" w:evenVBand="0" w:oddHBand="0" w:evenHBand="0" w:firstRowFirstColumn="0" w:firstRowLastColumn="0" w:lastRowFirstColumn="0" w:lastRowLastColumn="0"/>
              <w:rPr>
                <w:rFonts w:eastAsia="Times New Roman" w:cs="Calibri"/>
                <w:b/>
                <w:sz w:val="20"/>
                <w:szCs w:val="20"/>
                <w:lang w:eastAsia="sr-Latn-ME"/>
              </w:rPr>
            </w:pPr>
          </w:p>
          <w:p w14:paraId="55018055" w14:textId="77777777" w:rsidR="001548E5" w:rsidRPr="000152CB" w:rsidRDefault="001548E5" w:rsidP="009D4F7C">
            <w:pPr>
              <w:ind w:left="270"/>
              <w:jc w:val="center"/>
              <w:cnfStyle w:val="000000000000" w:firstRow="0" w:lastRow="0" w:firstColumn="0" w:lastColumn="0" w:oddVBand="0" w:evenVBand="0" w:oddHBand="0" w:evenHBand="0" w:firstRowFirstColumn="0" w:firstRowLastColumn="0" w:lastRowFirstColumn="0" w:lastRowLastColumn="0"/>
              <w:rPr>
                <w:rFonts w:eastAsia="Times New Roman" w:cs="Calibri"/>
                <w:bCs/>
                <w:sz w:val="20"/>
                <w:szCs w:val="20"/>
                <w:lang w:eastAsia="sr-Latn-ME"/>
              </w:rPr>
            </w:pPr>
            <w:r w:rsidRPr="000152CB">
              <w:rPr>
                <w:rFonts w:eastAsia="Times New Roman" w:cs="Calibri"/>
                <w:bCs/>
                <w:sz w:val="20"/>
                <w:szCs w:val="20"/>
                <w:lang w:eastAsia="sr-Latn-ME"/>
              </w:rPr>
              <w:t>Minimum 70% polaznika je uspješno završilo dvogodišnju obuku</w:t>
            </w:r>
          </w:p>
        </w:tc>
      </w:tr>
    </w:tbl>
    <w:p w14:paraId="4183D365" w14:textId="77777777" w:rsidR="00443D5C" w:rsidRDefault="00443D5C" w:rsidP="00482053">
      <w:pPr>
        <w:jc w:val="both"/>
      </w:pPr>
    </w:p>
    <w:p w14:paraId="3A406EB4" w14:textId="15F35787" w:rsidR="00846C92" w:rsidRPr="000152CB" w:rsidRDefault="00846C92" w:rsidP="00482053">
      <w:pPr>
        <w:jc w:val="both"/>
      </w:pPr>
      <w:r w:rsidRPr="000152CB">
        <w:t xml:space="preserve">U okviru aktivnosti Instituta za javno zdravlje </w:t>
      </w:r>
      <w:r w:rsidR="00443E92">
        <w:t xml:space="preserve">na godišnjem nivou definišu se </w:t>
      </w:r>
      <w:r w:rsidRPr="000152CB">
        <w:t>ciljevi poslovanja okviru Integrisanog menadžment sistema (IMS). Ipak, tokom izvještajnog perioda nisu realizovane planirane obuke koje su imale za cilj jačanje institucionalnih kapaciteta za upravljanje zdravstvenim podacima u prioritetnim oblastima, posebno kada je riječ o izradi analiza, uključujući procjene uticaja na zdravlje, kao i o identifikaciji relevantnih nacionalnih indikatora za praćenje zdravstvenog stanja stanovništva i sprovođenja politika.</w:t>
      </w:r>
    </w:p>
    <w:p w14:paraId="4066DCB8" w14:textId="77777777" w:rsidR="00846C92" w:rsidRPr="000152CB" w:rsidRDefault="00846C92" w:rsidP="00482053">
      <w:pPr>
        <w:jc w:val="both"/>
      </w:pPr>
      <w:r w:rsidRPr="000152CB">
        <w:t>Planirana sredstva u iznosu od 450.000 eura, koja su trebala biti obezbijeđena iz aranžmana sa Svjetskom bankom za sprovođenje nacionalnog istraživanja o nivou zdravlja sa antropometrijskim mjerenjima, nijesu bila dostupna. Međutim, sredstva za istraživanje procjene zdravlja djece do pet godina obezbijeđena su prije 2023. godine iz IPA II programa, kroz Collaborative grant scheme for innovative project ideas (EuropeAID/162457/ID/ACT/ME). Ovo istraživanje je realizovano tokom 2023. godine i rezultiralo je formiranjem nacionalnih grafikona rasta za djecu do pet godina u Crnoj Gori, čime je značajno unaprijeđena baza podataka o rastu i razvoju djece u zemlji.</w:t>
      </w:r>
    </w:p>
    <w:p w14:paraId="1EC7DAD8" w14:textId="77777777" w:rsidR="00846C92" w:rsidRPr="000152CB" w:rsidRDefault="00846C92" w:rsidP="00482053">
      <w:pPr>
        <w:jc w:val="both"/>
      </w:pPr>
      <w:r w:rsidRPr="000152CB">
        <w:lastRenderedPageBreak/>
        <w:t>Takođe, sprovedena je situaciona analiza o zdravstvenim potrebama i nejednakostima u populaciji osoba sa invaliditetom. Analiza je pružila preporuke za smanjivanje zdravstvenih nejednakosti, mjereno kroz veći obuhvat i nivo zaštite u slučaju vanrednih situacija, kao i za unapređenje inkluzivnosti preventivnih servisa, posebno imunizacije. Izrađene su preporuke za unapređenje dostupnosti i pristupačnosti zdravstvene zaštite licima sa invaliditetom, a akcioni plan koji proizilazi iz ove analize potrebno je usvojiti na Vladi.</w:t>
      </w:r>
    </w:p>
    <w:p w14:paraId="1822BAA7" w14:textId="7145FBD2" w:rsidR="00FF2DC3" w:rsidRPr="000152CB" w:rsidRDefault="00846C92" w:rsidP="00CB448F">
      <w:pPr>
        <w:jc w:val="both"/>
      </w:pPr>
      <w:r w:rsidRPr="000152CB">
        <w:t>Pored navedenog, urađena je i analiza postojećeg modela upravljanja medicinskim otpadom, koja je sadržala konkretne preporuke usmjerene na unapređenje troškovne isplativosti i efikasnosti sistema, u cilju poboljšanja upravljanja ovim segmentom javnog zdravlja na nacionalnom nivou.</w:t>
      </w:r>
    </w:p>
    <w:p w14:paraId="18114952" w14:textId="2DEDD575" w:rsidR="00345359" w:rsidRPr="000152CB" w:rsidRDefault="00FF2DC3" w:rsidP="00FF2DC3">
      <w:pPr>
        <w:pStyle w:val="Naslov2"/>
      </w:pPr>
      <w:bookmarkStart w:id="10" w:name="_Toc202039248"/>
      <w:r w:rsidRPr="000152CB">
        <w:t>OBLAST VII</w:t>
      </w:r>
      <w:bookmarkEnd w:id="10"/>
    </w:p>
    <w:tbl>
      <w:tblPr>
        <w:tblStyle w:val="Tabelakoordinatnemree4akcenat1"/>
        <w:tblW w:w="14220" w:type="dxa"/>
        <w:tblInd w:w="-635" w:type="dxa"/>
        <w:tblLook w:val="04A0" w:firstRow="1" w:lastRow="0" w:firstColumn="1" w:lastColumn="0" w:noHBand="0" w:noVBand="1"/>
      </w:tblPr>
      <w:tblGrid>
        <w:gridCol w:w="2374"/>
        <w:gridCol w:w="4606"/>
        <w:gridCol w:w="4097"/>
        <w:gridCol w:w="3143"/>
      </w:tblGrid>
      <w:tr w:rsidR="00B42DA8" w:rsidRPr="000152CB" w14:paraId="653C1CB5" w14:textId="77777777" w:rsidTr="00B42DA8">
        <w:trPr>
          <w:cnfStyle w:val="100000000000" w:firstRow="1" w:lastRow="0" w:firstColumn="0" w:lastColumn="0" w:oddVBand="0" w:evenVBand="0" w:oddHBand="0"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2374" w:type="dxa"/>
            <w:hideMark/>
          </w:tcPr>
          <w:p w14:paraId="1781449A" w14:textId="77777777" w:rsidR="00B42DA8" w:rsidRPr="000152CB" w:rsidRDefault="00B42DA8" w:rsidP="009D4F7C">
            <w:pPr>
              <w:jc w:val="center"/>
              <w:rPr>
                <w:rFonts w:eastAsia="Times New Roman" w:cs="Calibri"/>
                <w:b w:val="0"/>
                <w:sz w:val="20"/>
                <w:szCs w:val="20"/>
                <w:lang w:eastAsia="sr-Latn-ME"/>
              </w:rPr>
            </w:pPr>
            <w:r w:rsidRPr="000152CB">
              <w:rPr>
                <w:rFonts w:eastAsia="Times New Roman" w:cs="Calibri"/>
                <w:color w:val="000000"/>
                <w:sz w:val="20"/>
                <w:szCs w:val="20"/>
                <w:lang w:eastAsia="sr-Latn-ME"/>
              </w:rPr>
              <w:t>OPERATIVNI CILJ 2.2.</w:t>
            </w:r>
          </w:p>
        </w:tc>
        <w:tc>
          <w:tcPr>
            <w:tcW w:w="11846" w:type="dxa"/>
            <w:gridSpan w:val="3"/>
            <w:hideMark/>
          </w:tcPr>
          <w:p w14:paraId="55317401" w14:textId="77777777" w:rsidR="00B42DA8" w:rsidRPr="000152CB" w:rsidRDefault="00B42DA8" w:rsidP="009D4F7C">
            <w:pPr>
              <w:ind w:left="270"/>
              <w:jc w:val="center"/>
              <w:cnfStyle w:val="100000000000" w:firstRow="1" w:lastRow="0" w:firstColumn="0" w:lastColumn="0" w:oddVBand="0" w:evenVBand="0" w:oddHBand="0" w:evenHBand="0" w:firstRowFirstColumn="0" w:firstRowLastColumn="0" w:lastRowFirstColumn="0" w:lastRowLastColumn="0"/>
              <w:rPr>
                <w:rFonts w:eastAsia="Times New Roman" w:cs="Calibri"/>
                <w:b w:val="0"/>
                <w:sz w:val="20"/>
                <w:szCs w:val="20"/>
                <w:lang w:eastAsia="sr-Latn-ME"/>
              </w:rPr>
            </w:pPr>
            <w:r w:rsidRPr="000152CB">
              <w:rPr>
                <w:rFonts w:eastAsia="Times New Roman" w:cs="Calibri"/>
                <w:sz w:val="20"/>
                <w:szCs w:val="20"/>
                <w:lang w:eastAsia="sr-Latn-ME"/>
              </w:rPr>
              <w:t>OSNAŽIVANJE KAPACITETA GRAĐANA I ZAJEDNICA ZA EFIKASNO UPRAVLJANJE ZDRAVLJEM</w:t>
            </w:r>
          </w:p>
        </w:tc>
      </w:tr>
      <w:tr w:rsidR="00B42DA8" w:rsidRPr="000152CB" w14:paraId="43703BA0" w14:textId="77777777" w:rsidTr="00B42DA8">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2374" w:type="dxa"/>
            <w:hideMark/>
          </w:tcPr>
          <w:p w14:paraId="4E263D7F" w14:textId="77777777" w:rsidR="00B42DA8" w:rsidRPr="000152CB" w:rsidRDefault="00B42DA8" w:rsidP="00B42DA8">
            <w:pPr>
              <w:rPr>
                <w:rFonts w:eastAsia="Times New Roman" w:cstheme="minorHAnsi"/>
                <w:b w:val="0"/>
                <w:color w:val="000000"/>
                <w:sz w:val="20"/>
                <w:szCs w:val="20"/>
                <w:lang w:eastAsia="sr-Latn-ME"/>
              </w:rPr>
            </w:pPr>
            <w:r w:rsidRPr="000152CB">
              <w:rPr>
                <w:rFonts w:eastAsia="Times New Roman" w:cstheme="minorHAnsi"/>
                <w:color w:val="000000"/>
                <w:sz w:val="20"/>
                <w:szCs w:val="20"/>
                <w:lang w:eastAsia="sr-Latn-ME"/>
              </w:rPr>
              <w:t>INDIKATOR UČINKA 1:</w:t>
            </w:r>
          </w:p>
          <w:p w14:paraId="2C1200A3" w14:textId="77777777" w:rsidR="00B42DA8" w:rsidRPr="000152CB" w:rsidRDefault="00B42DA8" w:rsidP="00B42DA8">
            <w:pPr>
              <w:rPr>
                <w:rFonts w:eastAsia="Times New Roman" w:cs="Calibri"/>
                <w:b w:val="0"/>
                <w:sz w:val="20"/>
                <w:szCs w:val="20"/>
                <w:lang w:eastAsia="sr-Latn-ME"/>
              </w:rPr>
            </w:pPr>
            <w:r w:rsidRPr="000152CB">
              <w:rPr>
                <w:rFonts w:eastAsia="Times New Roman" w:cstheme="minorHAnsi"/>
                <w:color w:val="000000" w:themeColor="text1"/>
                <w:sz w:val="20"/>
                <w:szCs w:val="20"/>
                <w:lang w:eastAsia="sr-Latn-ME"/>
              </w:rPr>
              <w:t>Broj korisnika usluga savjetovališta je zadovoljno kvalitetom pruženih usluga</w:t>
            </w:r>
          </w:p>
        </w:tc>
        <w:tc>
          <w:tcPr>
            <w:tcW w:w="4606" w:type="dxa"/>
            <w:hideMark/>
          </w:tcPr>
          <w:p w14:paraId="49AF3C57" w14:textId="77777777" w:rsidR="00B42DA8" w:rsidRPr="000152CB" w:rsidRDefault="00B42DA8" w:rsidP="009D4F7C">
            <w:pPr>
              <w:ind w:left="270"/>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Calibri"/>
                <w:b/>
                <w:color w:val="000000"/>
                <w:sz w:val="20"/>
                <w:szCs w:val="20"/>
                <w:lang w:eastAsia="sr-Latn-ME"/>
              </w:rPr>
            </w:pPr>
            <w:r w:rsidRPr="000152CB">
              <w:rPr>
                <w:rFonts w:eastAsia="Times New Roman" w:cs="Calibri"/>
                <w:b/>
                <w:color w:val="000000"/>
                <w:sz w:val="20"/>
                <w:szCs w:val="20"/>
                <w:lang w:eastAsia="sr-Latn-ME"/>
              </w:rPr>
              <w:t>Početna vrijednost:</w:t>
            </w:r>
          </w:p>
          <w:p w14:paraId="62AAA840" w14:textId="77777777" w:rsidR="00B42DA8" w:rsidRPr="000152CB" w:rsidRDefault="00B42DA8" w:rsidP="009D4F7C">
            <w:pPr>
              <w:ind w:left="270"/>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Calibri"/>
                <w:b/>
                <w:sz w:val="20"/>
                <w:szCs w:val="20"/>
                <w:lang w:eastAsia="sr-Latn-ME"/>
              </w:rPr>
            </w:pPr>
          </w:p>
          <w:p w14:paraId="48058680" w14:textId="77777777" w:rsidR="00B42DA8" w:rsidRPr="000152CB" w:rsidRDefault="00B42DA8" w:rsidP="009D4F7C">
            <w:pPr>
              <w:ind w:left="270"/>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Calibri"/>
                <w:bCs/>
                <w:sz w:val="20"/>
                <w:szCs w:val="20"/>
                <w:lang w:eastAsia="sr-Latn-ME"/>
              </w:rPr>
            </w:pPr>
            <w:r w:rsidRPr="000152CB">
              <w:rPr>
                <w:rFonts w:eastAsia="Times New Roman" w:cs="Calibri"/>
                <w:bCs/>
                <w:sz w:val="20"/>
                <w:szCs w:val="20"/>
                <w:lang w:eastAsia="sr-Latn-ME"/>
              </w:rPr>
              <w:t>Nema podataka o trenutnom nivou zadovoljstva korisnika kvalitetom pruženih usluga zdravstvenog sistema</w:t>
            </w:r>
          </w:p>
          <w:p w14:paraId="1705C1E1" w14:textId="77777777" w:rsidR="00B42DA8" w:rsidRPr="000152CB" w:rsidRDefault="00B42DA8" w:rsidP="009D4F7C">
            <w:pPr>
              <w:ind w:left="270"/>
              <w:jc w:val="center"/>
              <w:cnfStyle w:val="000000100000" w:firstRow="0" w:lastRow="0" w:firstColumn="0" w:lastColumn="0" w:oddVBand="0" w:evenVBand="0" w:oddHBand="1" w:evenHBand="0" w:firstRowFirstColumn="0" w:firstRowLastColumn="0" w:lastRowFirstColumn="0" w:lastRowLastColumn="0"/>
              <w:rPr>
                <w:rFonts w:eastAsia="Times New Roman" w:cs="Calibri"/>
                <w:b/>
                <w:sz w:val="20"/>
                <w:szCs w:val="20"/>
                <w:lang w:eastAsia="sr-Latn-ME"/>
              </w:rPr>
            </w:pPr>
          </w:p>
        </w:tc>
        <w:tc>
          <w:tcPr>
            <w:tcW w:w="4097" w:type="dxa"/>
          </w:tcPr>
          <w:p w14:paraId="52EBA55C" w14:textId="77777777" w:rsidR="00B42DA8" w:rsidRPr="000152CB" w:rsidRDefault="00B42DA8" w:rsidP="009D4F7C">
            <w:pPr>
              <w:ind w:left="270"/>
              <w:jc w:val="center"/>
              <w:cnfStyle w:val="000000100000" w:firstRow="0" w:lastRow="0" w:firstColumn="0" w:lastColumn="0" w:oddVBand="0" w:evenVBand="0" w:oddHBand="1" w:evenHBand="0" w:firstRowFirstColumn="0" w:firstRowLastColumn="0" w:lastRowFirstColumn="0" w:lastRowLastColumn="0"/>
              <w:rPr>
                <w:rFonts w:eastAsia="Times New Roman" w:cs="Calibri"/>
                <w:b/>
                <w:color w:val="000000"/>
                <w:sz w:val="20"/>
                <w:szCs w:val="20"/>
                <w:lang w:eastAsia="sr-Latn-ME"/>
              </w:rPr>
            </w:pPr>
            <w:r w:rsidRPr="000152CB">
              <w:rPr>
                <w:rFonts w:eastAsia="Times New Roman" w:cs="Calibri"/>
                <w:b/>
                <w:color w:val="000000"/>
                <w:sz w:val="20"/>
                <w:szCs w:val="20"/>
                <w:lang w:eastAsia="sr-Latn-ME"/>
              </w:rPr>
              <w:t>Prelazna vrijednost:</w:t>
            </w:r>
          </w:p>
          <w:p w14:paraId="3533A558" w14:textId="77777777" w:rsidR="00B42DA8" w:rsidRPr="000152CB" w:rsidRDefault="00B42DA8" w:rsidP="009D4F7C">
            <w:pPr>
              <w:ind w:left="270"/>
              <w:jc w:val="center"/>
              <w:cnfStyle w:val="000000100000" w:firstRow="0" w:lastRow="0" w:firstColumn="0" w:lastColumn="0" w:oddVBand="0" w:evenVBand="0" w:oddHBand="1" w:evenHBand="0" w:firstRowFirstColumn="0" w:firstRowLastColumn="0" w:lastRowFirstColumn="0" w:lastRowLastColumn="0"/>
              <w:rPr>
                <w:rFonts w:eastAsia="Times New Roman" w:cs="Calibri"/>
                <w:b/>
                <w:color w:val="000000"/>
                <w:sz w:val="20"/>
                <w:szCs w:val="20"/>
                <w:lang w:eastAsia="sr-Latn-ME"/>
              </w:rPr>
            </w:pPr>
          </w:p>
          <w:p w14:paraId="195B0287" w14:textId="77777777" w:rsidR="00B42DA8" w:rsidRPr="000152CB" w:rsidRDefault="00B42DA8" w:rsidP="009D4F7C">
            <w:pPr>
              <w:ind w:left="270"/>
              <w:jc w:val="center"/>
              <w:cnfStyle w:val="000000100000" w:firstRow="0" w:lastRow="0" w:firstColumn="0" w:lastColumn="0" w:oddVBand="0" w:evenVBand="0" w:oddHBand="1" w:evenHBand="0" w:firstRowFirstColumn="0" w:firstRowLastColumn="0" w:lastRowFirstColumn="0" w:lastRowLastColumn="0"/>
              <w:rPr>
                <w:rFonts w:eastAsia="Times New Roman" w:cs="Calibri"/>
                <w:bCs/>
                <w:color w:val="000000"/>
                <w:sz w:val="20"/>
                <w:szCs w:val="20"/>
                <w:lang w:eastAsia="sr-Latn-ME"/>
              </w:rPr>
            </w:pPr>
            <w:r w:rsidRPr="000152CB">
              <w:rPr>
                <w:rFonts w:eastAsia="Times New Roman" w:cs="Calibri"/>
                <w:bCs/>
                <w:color w:val="000000"/>
                <w:sz w:val="20"/>
                <w:szCs w:val="20"/>
                <w:lang w:eastAsia="sr-Latn-ME"/>
              </w:rPr>
              <w:t>Izrađena analiza o niovu zadovoljstva korisnika kvalitetom pruženih usluga zdravstvenog sistema/</w:t>
            </w:r>
          </w:p>
          <w:p w14:paraId="537CBB8D" w14:textId="77777777" w:rsidR="00B42DA8" w:rsidRPr="000152CB" w:rsidRDefault="00B42DA8" w:rsidP="009D4F7C">
            <w:pPr>
              <w:ind w:left="270"/>
              <w:jc w:val="center"/>
              <w:cnfStyle w:val="000000100000" w:firstRow="0" w:lastRow="0" w:firstColumn="0" w:lastColumn="0" w:oddVBand="0" w:evenVBand="0" w:oddHBand="1" w:evenHBand="0" w:firstRowFirstColumn="0" w:firstRowLastColumn="0" w:lastRowFirstColumn="0" w:lastRowLastColumn="0"/>
              <w:rPr>
                <w:rFonts w:eastAsia="Times New Roman" w:cs="Calibri"/>
                <w:bCs/>
                <w:color w:val="000000"/>
                <w:sz w:val="20"/>
                <w:szCs w:val="20"/>
                <w:lang w:eastAsia="sr-Latn-ME"/>
              </w:rPr>
            </w:pPr>
          </w:p>
          <w:p w14:paraId="7333E723" w14:textId="77777777" w:rsidR="00B42DA8" w:rsidRPr="000152CB" w:rsidRDefault="00B42DA8" w:rsidP="009D4F7C">
            <w:pPr>
              <w:ind w:left="270"/>
              <w:jc w:val="center"/>
              <w:cnfStyle w:val="000000100000" w:firstRow="0" w:lastRow="0" w:firstColumn="0" w:lastColumn="0" w:oddVBand="0" w:evenVBand="0" w:oddHBand="1" w:evenHBand="0" w:firstRowFirstColumn="0" w:firstRowLastColumn="0" w:lastRowFirstColumn="0" w:lastRowLastColumn="0"/>
              <w:rPr>
                <w:rFonts w:eastAsia="Times New Roman" w:cs="Calibri"/>
                <w:bCs/>
                <w:color w:val="000000"/>
                <w:sz w:val="20"/>
                <w:szCs w:val="20"/>
                <w:lang w:eastAsia="sr-Latn-ME"/>
              </w:rPr>
            </w:pPr>
            <w:r w:rsidRPr="000152CB">
              <w:rPr>
                <w:rFonts w:eastAsia="Times New Roman" w:cs="Calibri"/>
                <w:bCs/>
                <w:color w:val="000000"/>
                <w:sz w:val="20"/>
                <w:szCs w:val="20"/>
                <w:lang w:eastAsia="sr-Latn-ME"/>
              </w:rPr>
              <w:t>50% korisnika usluga zdravstvenog sistema Crne Gore je zadovoljno pruženim uslugama</w:t>
            </w:r>
          </w:p>
          <w:p w14:paraId="29371E88" w14:textId="77777777" w:rsidR="00B42DA8" w:rsidRPr="000152CB" w:rsidRDefault="00B42DA8" w:rsidP="009D4F7C">
            <w:pPr>
              <w:ind w:left="270"/>
              <w:jc w:val="center"/>
              <w:cnfStyle w:val="000000100000" w:firstRow="0" w:lastRow="0" w:firstColumn="0" w:lastColumn="0" w:oddVBand="0" w:evenVBand="0" w:oddHBand="1" w:evenHBand="0" w:firstRowFirstColumn="0" w:firstRowLastColumn="0" w:lastRowFirstColumn="0" w:lastRowLastColumn="0"/>
              <w:rPr>
                <w:rFonts w:eastAsia="Times New Roman" w:cs="Calibri"/>
                <w:b/>
                <w:sz w:val="20"/>
                <w:szCs w:val="20"/>
                <w:lang w:eastAsia="sr-Latn-ME"/>
              </w:rPr>
            </w:pPr>
          </w:p>
        </w:tc>
        <w:tc>
          <w:tcPr>
            <w:tcW w:w="3143" w:type="dxa"/>
          </w:tcPr>
          <w:p w14:paraId="429B01C7" w14:textId="77777777" w:rsidR="00B42DA8" w:rsidRPr="000152CB" w:rsidRDefault="00B42DA8" w:rsidP="009D4F7C">
            <w:pPr>
              <w:jc w:val="center"/>
              <w:cnfStyle w:val="000000100000" w:firstRow="0" w:lastRow="0" w:firstColumn="0" w:lastColumn="0" w:oddVBand="0" w:evenVBand="0" w:oddHBand="1" w:evenHBand="0" w:firstRowFirstColumn="0" w:firstRowLastColumn="0" w:lastRowFirstColumn="0" w:lastRowLastColumn="0"/>
              <w:rPr>
                <w:rFonts w:eastAsia="Times New Roman" w:cs="Calibri"/>
                <w:b/>
                <w:color w:val="000000"/>
                <w:sz w:val="20"/>
                <w:szCs w:val="20"/>
                <w:lang w:eastAsia="sr-Latn-ME"/>
              </w:rPr>
            </w:pPr>
            <w:r w:rsidRPr="000152CB">
              <w:rPr>
                <w:rFonts w:eastAsia="Times New Roman" w:cs="Calibri"/>
                <w:b/>
                <w:color w:val="000000"/>
                <w:sz w:val="20"/>
                <w:szCs w:val="20"/>
                <w:lang w:eastAsia="sr-Latn-ME"/>
              </w:rPr>
              <w:t>Ciljna vrijednost:</w:t>
            </w:r>
          </w:p>
          <w:p w14:paraId="4F9FF5E0" w14:textId="77777777" w:rsidR="00B42DA8" w:rsidRPr="000152CB" w:rsidRDefault="00B42DA8" w:rsidP="009D4F7C">
            <w:pPr>
              <w:jc w:val="center"/>
              <w:cnfStyle w:val="000000100000" w:firstRow="0" w:lastRow="0" w:firstColumn="0" w:lastColumn="0" w:oddVBand="0" w:evenVBand="0" w:oddHBand="1" w:evenHBand="0" w:firstRowFirstColumn="0" w:firstRowLastColumn="0" w:lastRowFirstColumn="0" w:lastRowLastColumn="0"/>
              <w:rPr>
                <w:rFonts w:eastAsia="Times New Roman" w:cs="Calibri"/>
                <w:b/>
                <w:color w:val="000000"/>
                <w:sz w:val="20"/>
                <w:szCs w:val="20"/>
                <w:lang w:eastAsia="sr-Latn-ME"/>
              </w:rPr>
            </w:pPr>
          </w:p>
          <w:p w14:paraId="46A87043" w14:textId="77777777" w:rsidR="00B42DA8" w:rsidRPr="000152CB" w:rsidRDefault="00B42DA8" w:rsidP="009D4F7C">
            <w:pPr>
              <w:jc w:val="center"/>
              <w:cnfStyle w:val="000000100000" w:firstRow="0" w:lastRow="0" w:firstColumn="0" w:lastColumn="0" w:oddVBand="0" w:evenVBand="0" w:oddHBand="1" w:evenHBand="0" w:firstRowFirstColumn="0" w:firstRowLastColumn="0" w:lastRowFirstColumn="0" w:lastRowLastColumn="0"/>
              <w:rPr>
                <w:rFonts w:eastAsia="Times New Roman" w:cs="Calibri"/>
                <w:b/>
                <w:color w:val="000000"/>
                <w:sz w:val="20"/>
                <w:szCs w:val="20"/>
                <w:lang w:eastAsia="sr-Latn-ME"/>
              </w:rPr>
            </w:pPr>
          </w:p>
          <w:p w14:paraId="46E784AB" w14:textId="77777777" w:rsidR="00B42DA8" w:rsidRPr="000152CB" w:rsidRDefault="00B42DA8" w:rsidP="009D4F7C">
            <w:pPr>
              <w:jc w:val="center"/>
              <w:cnfStyle w:val="000000100000" w:firstRow="0" w:lastRow="0" w:firstColumn="0" w:lastColumn="0" w:oddVBand="0" w:evenVBand="0" w:oddHBand="1" w:evenHBand="0" w:firstRowFirstColumn="0" w:firstRowLastColumn="0" w:lastRowFirstColumn="0" w:lastRowLastColumn="0"/>
              <w:rPr>
                <w:rFonts w:eastAsia="Times New Roman" w:cs="Calibri"/>
                <w:bCs/>
                <w:color w:val="000000"/>
                <w:sz w:val="20"/>
                <w:szCs w:val="20"/>
                <w:lang w:eastAsia="sr-Latn-ME"/>
              </w:rPr>
            </w:pPr>
            <w:r w:rsidRPr="000152CB">
              <w:rPr>
                <w:rFonts w:eastAsia="Times New Roman" w:cs="Calibri"/>
                <w:bCs/>
                <w:color w:val="000000"/>
                <w:sz w:val="20"/>
                <w:szCs w:val="20"/>
                <w:lang w:eastAsia="sr-Latn-ME"/>
              </w:rPr>
              <w:t>70% korisnika usluga zdravstvenog sistema Crne Gore je zadovoljno pruženim uslugama</w:t>
            </w:r>
          </w:p>
          <w:p w14:paraId="3AD97527" w14:textId="77777777" w:rsidR="00B42DA8" w:rsidRPr="000152CB" w:rsidRDefault="00B42DA8" w:rsidP="009D4F7C">
            <w:pPr>
              <w:ind w:left="270"/>
              <w:jc w:val="center"/>
              <w:cnfStyle w:val="000000100000" w:firstRow="0" w:lastRow="0" w:firstColumn="0" w:lastColumn="0" w:oddVBand="0" w:evenVBand="0" w:oddHBand="1" w:evenHBand="0" w:firstRowFirstColumn="0" w:firstRowLastColumn="0" w:lastRowFirstColumn="0" w:lastRowLastColumn="0"/>
              <w:rPr>
                <w:rFonts w:eastAsia="Times New Roman" w:cs="Calibri"/>
                <w:b/>
                <w:sz w:val="20"/>
                <w:szCs w:val="20"/>
                <w:lang w:eastAsia="sr-Latn-ME"/>
              </w:rPr>
            </w:pPr>
          </w:p>
        </w:tc>
      </w:tr>
    </w:tbl>
    <w:p w14:paraId="032C2AED" w14:textId="77777777" w:rsidR="00DC70B4" w:rsidRPr="000152CB" w:rsidRDefault="00DC70B4" w:rsidP="00DC70B4">
      <w:pPr>
        <w:spacing w:before="100" w:beforeAutospacing="1" w:after="100" w:afterAutospacing="1" w:line="240" w:lineRule="auto"/>
        <w:jc w:val="both"/>
        <w:rPr>
          <w:rFonts w:eastAsia="Times New Roman" w:cstheme="minorHAnsi"/>
        </w:rPr>
      </w:pPr>
      <w:r w:rsidRPr="000152CB">
        <w:rPr>
          <w:rFonts w:eastAsia="Times New Roman" w:cstheme="minorHAnsi"/>
          <w:b/>
          <w:bCs/>
        </w:rPr>
        <w:t>Prevencija i promocija zdravlja:</w:t>
      </w:r>
      <w:r w:rsidRPr="000152CB">
        <w:rPr>
          <w:rFonts w:eastAsia="Times New Roman" w:cstheme="minorHAnsi"/>
        </w:rPr>
        <w:t xml:space="preserve"> Strategija stavlja poseban akcenat na </w:t>
      </w:r>
      <w:r w:rsidRPr="000152CB">
        <w:rPr>
          <w:rFonts w:eastAsia="Times New Roman" w:cstheme="minorHAnsi"/>
          <w:b/>
          <w:bCs/>
        </w:rPr>
        <w:t>unapređenje preventivnih programa</w:t>
      </w:r>
      <w:r w:rsidRPr="000152CB">
        <w:rPr>
          <w:rFonts w:eastAsia="Times New Roman" w:cstheme="minorHAnsi"/>
        </w:rPr>
        <w:t xml:space="preserve"> i promociju zdravih stilova života. U periodu od usvajanja strategije, </w:t>
      </w:r>
      <w:r w:rsidRPr="000152CB">
        <w:rPr>
          <w:rFonts w:eastAsia="Times New Roman" w:cstheme="minorHAnsi"/>
          <w:b/>
          <w:bCs/>
        </w:rPr>
        <w:t>ojačani su nacionalni skrining programi</w:t>
      </w:r>
      <w:r w:rsidRPr="000152CB">
        <w:rPr>
          <w:rFonts w:eastAsia="Times New Roman" w:cstheme="minorHAnsi"/>
        </w:rPr>
        <w:t xml:space="preserve"> za rano otkrivanje karcinoma. Nastavljen je organizovani </w:t>
      </w:r>
      <w:r w:rsidRPr="000152CB">
        <w:rPr>
          <w:rFonts w:eastAsia="Times New Roman" w:cstheme="minorHAnsi"/>
          <w:b/>
          <w:bCs/>
        </w:rPr>
        <w:t>skrining raka grlića materice</w:t>
      </w:r>
      <w:r w:rsidRPr="000152CB">
        <w:rPr>
          <w:rFonts w:eastAsia="Times New Roman" w:cstheme="minorHAnsi"/>
        </w:rPr>
        <w:t xml:space="preserve"> na nacionalnom nivou, uz koji je 2023–2024. izvršeno testiranje hiljada žena; zahvaljujući tome otkrivene su desetine slučajeva premalignih promjena koje su na vrijeme liječene. Pokrenut je i </w:t>
      </w:r>
      <w:r w:rsidRPr="000152CB">
        <w:rPr>
          <w:rFonts w:eastAsia="Times New Roman" w:cstheme="minorHAnsi"/>
          <w:b/>
          <w:bCs/>
        </w:rPr>
        <w:t>pilot skrining raka debelog crijeva</w:t>
      </w:r>
      <w:r w:rsidRPr="000152CB">
        <w:rPr>
          <w:rFonts w:eastAsia="Times New Roman" w:cstheme="minorHAnsi"/>
        </w:rPr>
        <w:t xml:space="preserve"> u nekoliko opština tokom 2024. – oko 9.500 pozvanih osoba, od čega se odazvalo oko 5.500, pri čemu su u više slučajeva otkriveni polipi i rani stadijumi bolesti. Ipak, obuhvat stanovništva skriningom još je </w:t>
      </w:r>
      <w:r w:rsidRPr="000152CB">
        <w:rPr>
          <w:rFonts w:eastAsia="Times New Roman" w:cstheme="minorHAnsi"/>
          <w:b/>
          <w:bCs/>
        </w:rPr>
        <w:t>ispod ciljnih vrijednosti</w:t>
      </w:r>
      <w:r w:rsidRPr="000152CB">
        <w:rPr>
          <w:rFonts w:eastAsia="Times New Roman" w:cstheme="minorHAnsi"/>
        </w:rPr>
        <w:t xml:space="preserve"> – Državna revizorska institucija je utvrdila da se preventivni pregledi sprovode sa nedovoljno kadra i opreme, uz nedovoljnu informisanost, što rezultira niskim odzivom u nekim sredinama. S tim u vezi, intenzivirane su </w:t>
      </w:r>
      <w:r w:rsidRPr="000152CB">
        <w:rPr>
          <w:rFonts w:eastAsia="Times New Roman" w:cstheme="minorHAnsi"/>
          <w:b/>
          <w:bCs/>
        </w:rPr>
        <w:t>javne kampanje</w:t>
      </w:r>
      <w:r w:rsidRPr="000152CB">
        <w:rPr>
          <w:rFonts w:eastAsia="Times New Roman" w:cstheme="minorHAnsi"/>
        </w:rPr>
        <w:t xml:space="preserve">: Institut za javno zdravlje i Ministarstvo zdravlja sproveli su medijske kampanje povodom Evropske nedjelje prevencije raka grlića materice (januar 2024. i 2025.), Mjeseca borbe protiv raka dojke (Pinktobar 2024.) i dr. koje su imale za cilj edukaciju stanovništva o važnosti ranih pregleda. Takođe, u posljednje dvije godine uvedena je </w:t>
      </w:r>
      <w:r w:rsidRPr="000152CB">
        <w:rPr>
          <w:rFonts w:eastAsia="Times New Roman" w:cstheme="minorHAnsi"/>
          <w:b/>
          <w:bCs/>
        </w:rPr>
        <w:t>HPV vakcina</w:t>
      </w:r>
      <w:r w:rsidRPr="000152CB">
        <w:rPr>
          <w:rFonts w:eastAsia="Times New Roman" w:cstheme="minorHAnsi"/>
        </w:rPr>
        <w:t xml:space="preserve"> u nacionalni program imunizacije – dostupna je besplatno za djevojčice i dječake uzrasta 9–14 godina. Iako je početni obuhvat HPV vakcinacijom nizak uprkos snažnoj kampanji i dostupnosti vakcine, očekuje se da će kontinuirana edukacija popraviti odziv i dugoročno smanjiti incidenciju karcinoma grlića. U oblasti promocije zdravlja, Ministarstvo je u saradnji sa školama pokrenulo programe </w:t>
      </w:r>
      <w:r w:rsidRPr="000152CB">
        <w:rPr>
          <w:rFonts w:eastAsia="Times New Roman" w:cstheme="minorHAnsi"/>
          <w:b/>
          <w:bCs/>
        </w:rPr>
        <w:t>edukacije o pravilnoj ishrani i fizičkoj aktivnosti</w:t>
      </w:r>
      <w:r w:rsidRPr="000152CB">
        <w:rPr>
          <w:rFonts w:eastAsia="Times New Roman" w:cstheme="minorHAnsi"/>
        </w:rPr>
        <w:t xml:space="preserve"> za djecu, a u 2024. su održane i prve “Zdravlje na radnom mjestu” radionice za zaposlene u nekoliko većih kompanija, radi prevencije bolesti vezanih za način života.</w:t>
      </w:r>
    </w:p>
    <w:p w14:paraId="1CB14F40" w14:textId="022A6D69" w:rsidR="002173BF" w:rsidRPr="000152CB" w:rsidRDefault="002173BF" w:rsidP="00C57716">
      <w:pPr>
        <w:jc w:val="both"/>
      </w:pPr>
      <w:r w:rsidRPr="000152CB">
        <w:lastRenderedPageBreak/>
        <w:t>U cilju unapređenja mentalnog zdravlja mladih, tokom prethodnog perioda urađena je analiza rada svih savjetovališta za mlade u centrima za prevenciju, sa pripremljenim zaključcima i preporukama. Na osnovu rezultata analize, Institut za javno zdravlje Crne Gore započeo je izradu Programa unapređenja mentalnog zdravlja za savjetovališta u primarnoj zdravstvenoj zaštiti, a pilot implementacija ovog programa planirana je do kraja 2025. godine. Takođe, u prvom kvartalu 2026. godine biće sprovedena evaluacija podataka iz pilot programa unapređenja mentalnog zdravlja, čime će se obezbijediti kontinuirano praćenje efekata planiranih intervencija.</w:t>
      </w:r>
    </w:p>
    <w:p w14:paraId="2029815B" w14:textId="77777777" w:rsidR="002173BF" w:rsidRPr="000152CB" w:rsidRDefault="002173BF" w:rsidP="00C57716">
      <w:pPr>
        <w:jc w:val="both"/>
      </w:pPr>
      <w:r w:rsidRPr="000152CB">
        <w:t>Tokom 2024. godine realizovane su brojne promotivne aktivnosti u cilju podizanja zdravstvene pismenosti stanovništva, posebno u oblasti prevencije i kontrole hroničnih nezaraznih bolesti. Ukupno je organizovano 20 medijskih događaja posvećenih unapređenju zdravstvene pismenosti o prevenciji i kontroli HNB.</w:t>
      </w:r>
    </w:p>
    <w:p w14:paraId="05714516" w14:textId="77777777" w:rsidR="002173BF" w:rsidRPr="000152CB" w:rsidRDefault="002173BF" w:rsidP="00C57716">
      <w:pPr>
        <w:jc w:val="both"/>
      </w:pPr>
      <w:r w:rsidRPr="000152CB">
        <w:t>Povodom Svjetskog dana srca (29. septembar) pripremljeno je pisano saopštenje za javnost, a izrađeni su i promotivni materijali za društvene mreže Instituta za javno zdravlje Crne Gore. Tom prilikom, u saradnji sa Crvenim krstom Crne Gore, u prostorijama Crvenog krsta na Koniku održano je edukativno predavanje i radionica na temu očuvanja zdravlja srca, uz mjerenje krvnog pritiska i šećera pripadnicama romske i egipćanske populacije.</w:t>
      </w:r>
    </w:p>
    <w:p w14:paraId="2ED6F238" w14:textId="77777777" w:rsidR="002173BF" w:rsidRPr="000152CB" w:rsidRDefault="002173BF" w:rsidP="00C57716">
      <w:pPr>
        <w:jc w:val="both"/>
      </w:pPr>
      <w:r w:rsidRPr="000152CB">
        <w:t>Poseban napredak ostvaren je kroz implementaciju softvera godišnjeg sistematskog pregleda oboljelih od dijabetesa, koji je razvijen u formatu za savjetovališta za dijabetes i za ljekare domova zdravlja i bolnica, čime je unaprijeđen nadzor nad dijabetesom i faktorima rizika kod oboljelih.</w:t>
      </w:r>
    </w:p>
    <w:p w14:paraId="1AEC8D19" w14:textId="77777777" w:rsidR="002173BF" w:rsidRPr="000152CB" w:rsidRDefault="002173BF" w:rsidP="00C57716">
      <w:pPr>
        <w:jc w:val="both"/>
      </w:pPr>
      <w:r w:rsidRPr="000152CB">
        <w:t>U oblasti skrining programa raka debelog crijeva, realizovane su edukacije za nosioce programa i medicinske radnike o značaju sprovođenja skrininga, a održana su predavanja u Udruženju penzionera Podgorica i Domu starih Podgorica. U saradnji sa onkolozima Kliničkog centra Crne Gore organizovan je događaj ispred Instituta za onkologiju povodom završetka martovske kampanje podizanja svijesti o raku debelog crijeva. Takođe, u saradnji sa Domom zdravlja Glavnog grada organizovani su događaji u zajednici na kojima su građani dobijali informacije o značaju skrining pregleda i vršeno je zakazivanje pregleda. U okviru kampanje izrađeni su promotivni posteri i infografici.</w:t>
      </w:r>
    </w:p>
    <w:p w14:paraId="5EC0FD41" w14:textId="77777777" w:rsidR="002173BF" w:rsidRPr="000152CB" w:rsidRDefault="002173BF" w:rsidP="00C57716">
      <w:pPr>
        <w:jc w:val="both"/>
      </w:pPr>
      <w:r w:rsidRPr="000152CB">
        <w:t>Tokom godine posebna pažnja posvećena je i promociji skrininga raka dojke kroz medijska gostovanja, edukacije i organizaciju događaja u zajednici u saradnji sa Domom zdravlja Glavnog grada, tokom kojih su pružane informacije o značaju preventivnih pregleda i vršeno zakazivanje skrining pregleda. U saradnji sa NVO “Brini o sebi” Institut je učestvovao u događaju Race for the Cure, u cilju promocije ranog otkrivanja raka dojke, kao i u panel diskusiji povodom “Ružičastog oktobra” koju je organizovala Kancelarija za rodnu ravnopravnost Sekretarijata za socijalno staranje Glavnog grada Podgorica. Izrađen je i promotivno-edukativni materijal za skrining program raka dojke, uključujući liflete i infografike.</w:t>
      </w:r>
    </w:p>
    <w:p w14:paraId="48EB13F8" w14:textId="719F21B4" w:rsidR="00345359" w:rsidRPr="000152CB" w:rsidRDefault="002173BF" w:rsidP="00C57716">
      <w:pPr>
        <w:jc w:val="both"/>
      </w:pPr>
      <w:r w:rsidRPr="000152CB">
        <w:t>U oblasti skrininga raka grlića materice, organizovane su edukacije za nosioce programa i medicinske radnike uključene u sprovođenje skrininga, a pripremljen je promotivno-edukativni materijal koji obuhvata brošure, postere i vodič za razumijevanje skrining testa.</w:t>
      </w:r>
    </w:p>
    <w:p w14:paraId="636F441B" w14:textId="01A6FE72" w:rsidR="00345359" w:rsidRPr="000152CB" w:rsidRDefault="00B42DA8" w:rsidP="00B42DA8">
      <w:pPr>
        <w:pStyle w:val="Naslov2"/>
      </w:pPr>
      <w:bookmarkStart w:id="11" w:name="_Toc202039249"/>
      <w:r w:rsidRPr="000152CB">
        <w:lastRenderedPageBreak/>
        <w:t>OBLAST VIII</w:t>
      </w:r>
      <w:bookmarkEnd w:id="11"/>
    </w:p>
    <w:tbl>
      <w:tblPr>
        <w:tblStyle w:val="Tabelakoordinatnemree4akcenat2"/>
        <w:tblW w:w="14220" w:type="dxa"/>
        <w:tblInd w:w="-635" w:type="dxa"/>
        <w:tblLook w:val="04A0" w:firstRow="1" w:lastRow="0" w:firstColumn="1" w:lastColumn="0" w:noHBand="0" w:noVBand="1"/>
      </w:tblPr>
      <w:tblGrid>
        <w:gridCol w:w="2374"/>
        <w:gridCol w:w="4606"/>
        <w:gridCol w:w="3164"/>
        <w:gridCol w:w="4076"/>
      </w:tblGrid>
      <w:tr w:rsidR="00520B4F" w:rsidRPr="000152CB" w14:paraId="5314BDA3" w14:textId="77777777" w:rsidTr="00520B4F">
        <w:trPr>
          <w:cnfStyle w:val="100000000000" w:firstRow="1" w:lastRow="0" w:firstColumn="0" w:lastColumn="0" w:oddVBand="0" w:evenVBand="0" w:oddHBand="0"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2374" w:type="dxa"/>
            <w:hideMark/>
          </w:tcPr>
          <w:p w14:paraId="5FD09CAB" w14:textId="77777777" w:rsidR="00520B4F" w:rsidRPr="000152CB" w:rsidRDefault="00520B4F" w:rsidP="009D4F7C">
            <w:pPr>
              <w:ind w:left="270"/>
              <w:jc w:val="center"/>
              <w:rPr>
                <w:rFonts w:eastAsia="Times New Roman" w:cs="Calibri"/>
                <w:b w:val="0"/>
                <w:sz w:val="20"/>
                <w:szCs w:val="20"/>
                <w:lang w:eastAsia="sr-Latn-ME"/>
              </w:rPr>
            </w:pPr>
            <w:r w:rsidRPr="000152CB">
              <w:rPr>
                <w:rFonts w:eastAsia="Times New Roman" w:cs="Calibri"/>
                <w:color w:val="000000"/>
                <w:sz w:val="20"/>
                <w:szCs w:val="20"/>
                <w:lang w:eastAsia="sr-Latn-ME"/>
              </w:rPr>
              <w:t>OPERATIVNI CILJ 2.3.</w:t>
            </w:r>
          </w:p>
        </w:tc>
        <w:tc>
          <w:tcPr>
            <w:tcW w:w="11846" w:type="dxa"/>
            <w:gridSpan w:val="3"/>
            <w:hideMark/>
          </w:tcPr>
          <w:p w14:paraId="611739E4" w14:textId="77777777" w:rsidR="00520B4F" w:rsidRPr="000152CB" w:rsidRDefault="00520B4F" w:rsidP="009D4F7C">
            <w:pPr>
              <w:ind w:left="270"/>
              <w:jc w:val="center"/>
              <w:cnfStyle w:val="100000000000" w:firstRow="1" w:lastRow="0" w:firstColumn="0" w:lastColumn="0" w:oddVBand="0" w:evenVBand="0" w:oddHBand="0" w:evenHBand="0" w:firstRowFirstColumn="0" w:firstRowLastColumn="0" w:lastRowFirstColumn="0" w:lastRowLastColumn="0"/>
              <w:rPr>
                <w:rFonts w:eastAsia="Times New Roman" w:cs="Calibri"/>
                <w:b w:val="0"/>
                <w:sz w:val="20"/>
                <w:szCs w:val="20"/>
                <w:lang w:eastAsia="sr-Latn-ME"/>
              </w:rPr>
            </w:pPr>
            <w:r w:rsidRPr="000152CB">
              <w:rPr>
                <w:rFonts w:eastAsia="Times New Roman" w:cs="Calibri"/>
                <w:sz w:val="20"/>
                <w:szCs w:val="20"/>
                <w:lang w:eastAsia="sr-Latn-ME"/>
              </w:rPr>
              <w:t xml:space="preserve">KONTROLA ANTIMIKROBNE REZISTENCIJE KROZ INTERVENCIJE UTEMELJENE NA DOKAZIMA I DOBROJ PRAKSI </w:t>
            </w:r>
          </w:p>
        </w:tc>
      </w:tr>
      <w:tr w:rsidR="00520B4F" w:rsidRPr="000152CB" w14:paraId="12F37087" w14:textId="77777777" w:rsidTr="00520B4F">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2374" w:type="dxa"/>
            <w:hideMark/>
          </w:tcPr>
          <w:p w14:paraId="5DBBFFF0" w14:textId="77777777" w:rsidR="00520B4F" w:rsidRPr="000152CB" w:rsidRDefault="00520B4F" w:rsidP="00520B4F">
            <w:pPr>
              <w:rPr>
                <w:rFonts w:eastAsia="Times New Roman" w:cstheme="minorHAnsi"/>
                <w:b w:val="0"/>
                <w:color w:val="000000" w:themeColor="text1"/>
                <w:sz w:val="20"/>
                <w:szCs w:val="20"/>
                <w:lang w:eastAsia="sr-Latn-ME"/>
              </w:rPr>
            </w:pPr>
            <w:r w:rsidRPr="000152CB">
              <w:rPr>
                <w:rFonts w:eastAsia="Times New Roman" w:cstheme="minorHAnsi"/>
                <w:color w:val="000000" w:themeColor="text1"/>
                <w:sz w:val="20"/>
                <w:szCs w:val="20"/>
                <w:lang w:eastAsia="sr-Latn-ME"/>
              </w:rPr>
              <w:t>INDIKATOR UČINKA 1:</w:t>
            </w:r>
          </w:p>
          <w:p w14:paraId="10567F58" w14:textId="77777777" w:rsidR="00520B4F" w:rsidRPr="000152CB" w:rsidRDefault="00520B4F" w:rsidP="00520B4F">
            <w:pPr>
              <w:rPr>
                <w:rFonts w:eastAsia="Times New Roman" w:cstheme="minorHAnsi"/>
                <w:b w:val="0"/>
                <w:color w:val="000000" w:themeColor="text1"/>
                <w:sz w:val="20"/>
                <w:szCs w:val="20"/>
                <w:lang w:eastAsia="sr-Latn-ME"/>
              </w:rPr>
            </w:pPr>
            <w:r w:rsidRPr="000152CB">
              <w:rPr>
                <w:rFonts w:eastAsia="Times New Roman" w:cstheme="minorHAnsi"/>
                <w:color w:val="000000" w:themeColor="text1"/>
                <w:sz w:val="20"/>
                <w:szCs w:val="20"/>
                <w:lang w:eastAsia="sr-Latn-ME"/>
              </w:rPr>
              <w:t>Potrošnja antibiotika u DDD/1000st/dan</w:t>
            </w:r>
          </w:p>
        </w:tc>
        <w:tc>
          <w:tcPr>
            <w:tcW w:w="4606" w:type="dxa"/>
            <w:hideMark/>
          </w:tcPr>
          <w:p w14:paraId="61600EAF" w14:textId="77777777" w:rsidR="00520B4F" w:rsidRPr="000152CB" w:rsidRDefault="00520B4F" w:rsidP="009D4F7C">
            <w:pPr>
              <w:ind w:left="270"/>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themeColor="text1"/>
                <w:sz w:val="20"/>
                <w:szCs w:val="20"/>
                <w:lang w:eastAsia="sr-Latn-ME"/>
              </w:rPr>
            </w:pPr>
            <w:r w:rsidRPr="000152CB">
              <w:rPr>
                <w:rFonts w:eastAsia="Times New Roman" w:cstheme="minorHAnsi"/>
                <w:b/>
                <w:color w:val="000000" w:themeColor="text1"/>
                <w:sz w:val="20"/>
                <w:szCs w:val="20"/>
                <w:lang w:eastAsia="sr-Latn-ME"/>
              </w:rPr>
              <w:t>Početna vrijednost:</w:t>
            </w:r>
          </w:p>
          <w:p w14:paraId="3D2046DC" w14:textId="77777777" w:rsidR="00520B4F" w:rsidRPr="000152CB" w:rsidRDefault="00520B4F" w:rsidP="009D4F7C">
            <w:pPr>
              <w:ind w:left="27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themeColor="text1"/>
                <w:sz w:val="20"/>
                <w:szCs w:val="20"/>
                <w:lang w:eastAsia="sr-Latn-ME"/>
              </w:rPr>
            </w:pPr>
          </w:p>
          <w:p w14:paraId="1A4B465B" w14:textId="77777777" w:rsidR="00520B4F" w:rsidRPr="000152CB" w:rsidRDefault="00520B4F" w:rsidP="009D4F7C">
            <w:pPr>
              <w:ind w:left="27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sr-Latn-ME"/>
              </w:rPr>
            </w:pPr>
            <w:r w:rsidRPr="000152CB">
              <w:rPr>
                <w:rFonts w:eastAsia="Times New Roman" w:cstheme="minorHAnsi"/>
                <w:bCs/>
                <w:color w:val="000000" w:themeColor="text1"/>
                <w:sz w:val="20"/>
                <w:szCs w:val="20"/>
                <w:lang w:eastAsia="sr-Latn-ME"/>
              </w:rPr>
              <w:t>26.6 DDD/1000 st/dan</w:t>
            </w:r>
          </w:p>
        </w:tc>
        <w:tc>
          <w:tcPr>
            <w:tcW w:w="3164" w:type="dxa"/>
          </w:tcPr>
          <w:p w14:paraId="54D6E221" w14:textId="77777777" w:rsidR="00520B4F" w:rsidRPr="000152CB" w:rsidRDefault="00520B4F" w:rsidP="009D4F7C">
            <w:pPr>
              <w:ind w:left="27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themeColor="text1"/>
                <w:sz w:val="20"/>
                <w:szCs w:val="20"/>
                <w:lang w:eastAsia="sr-Latn-ME"/>
              </w:rPr>
            </w:pPr>
            <w:r w:rsidRPr="000152CB">
              <w:rPr>
                <w:rFonts w:eastAsia="Times New Roman" w:cstheme="minorHAnsi"/>
                <w:b/>
                <w:color w:val="000000" w:themeColor="text1"/>
                <w:sz w:val="20"/>
                <w:szCs w:val="20"/>
                <w:lang w:eastAsia="sr-Latn-ME"/>
              </w:rPr>
              <w:t>Prelazna vrijednost:</w:t>
            </w:r>
          </w:p>
          <w:p w14:paraId="52ADFA5B" w14:textId="77777777" w:rsidR="00520B4F" w:rsidRPr="000152CB" w:rsidRDefault="00520B4F" w:rsidP="009D4F7C">
            <w:pPr>
              <w:ind w:left="27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themeColor="text1"/>
                <w:sz w:val="20"/>
                <w:szCs w:val="20"/>
                <w:lang w:eastAsia="sr-Latn-ME"/>
              </w:rPr>
            </w:pPr>
          </w:p>
          <w:p w14:paraId="776A6440" w14:textId="77777777" w:rsidR="00520B4F" w:rsidRPr="000152CB" w:rsidRDefault="00520B4F" w:rsidP="009D4F7C">
            <w:pPr>
              <w:ind w:left="27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sr-Latn-ME"/>
              </w:rPr>
            </w:pPr>
            <w:r w:rsidRPr="000152CB">
              <w:rPr>
                <w:rFonts w:eastAsia="Times New Roman" w:cstheme="minorHAnsi"/>
                <w:bCs/>
                <w:color w:val="000000" w:themeColor="text1"/>
                <w:sz w:val="20"/>
                <w:szCs w:val="20"/>
                <w:lang w:eastAsia="sr-Latn-ME"/>
              </w:rPr>
              <w:t>25.6 DDD/1000 st/dan</w:t>
            </w:r>
          </w:p>
        </w:tc>
        <w:tc>
          <w:tcPr>
            <w:tcW w:w="4076" w:type="dxa"/>
          </w:tcPr>
          <w:p w14:paraId="4794DA5E" w14:textId="77777777" w:rsidR="00520B4F" w:rsidRPr="000152CB" w:rsidRDefault="00520B4F" w:rsidP="009D4F7C">
            <w:pPr>
              <w:ind w:left="27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themeColor="text1"/>
                <w:sz w:val="20"/>
                <w:szCs w:val="20"/>
                <w:lang w:eastAsia="sr-Latn-ME"/>
              </w:rPr>
            </w:pPr>
            <w:r w:rsidRPr="000152CB">
              <w:rPr>
                <w:rFonts w:eastAsia="Times New Roman" w:cstheme="minorHAnsi"/>
                <w:b/>
                <w:color w:val="000000" w:themeColor="text1"/>
                <w:sz w:val="20"/>
                <w:szCs w:val="20"/>
                <w:lang w:eastAsia="sr-Latn-ME"/>
              </w:rPr>
              <w:t>Ciljna vrijednost:</w:t>
            </w:r>
          </w:p>
          <w:p w14:paraId="348A3060" w14:textId="77777777" w:rsidR="00520B4F" w:rsidRPr="000152CB" w:rsidRDefault="00520B4F" w:rsidP="009D4F7C">
            <w:pPr>
              <w:ind w:left="27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themeColor="text1"/>
                <w:sz w:val="20"/>
                <w:szCs w:val="20"/>
                <w:lang w:eastAsia="sr-Latn-ME"/>
              </w:rPr>
            </w:pPr>
          </w:p>
          <w:p w14:paraId="346E9FC1" w14:textId="77777777" w:rsidR="00520B4F" w:rsidRPr="000152CB" w:rsidRDefault="00520B4F" w:rsidP="009D4F7C">
            <w:pPr>
              <w:ind w:left="27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themeColor="text1"/>
                <w:sz w:val="20"/>
                <w:szCs w:val="20"/>
                <w:lang w:eastAsia="sr-Latn-ME"/>
              </w:rPr>
            </w:pPr>
            <w:r w:rsidRPr="000152CB">
              <w:rPr>
                <w:rFonts w:eastAsia="Times New Roman" w:cstheme="minorHAnsi"/>
                <w:bCs/>
                <w:color w:val="000000" w:themeColor="text1"/>
                <w:sz w:val="20"/>
                <w:szCs w:val="20"/>
                <w:lang w:eastAsia="sr-Latn-ME"/>
              </w:rPr>
              <w:t>24.6 DDD/1000 st/dan</w:t>
            </w:r>
          </w:p>
        </w:tc>
      </w:tr>
    </w:tbl>
    <w:p w14:paraId="34A6B07A" w14:textId="77777777" w:rsidR="00950C6C" w:rsidRPr="000152CB" w:rsidRDefault="00950C6C" w:rsidP="00950C6C"/>
    <w:p w14:paraId="61DB869D" w14:textId="606598E0" w:rsidR="00950C6C" w:rsidRPr="000152CB" w:rsidRDefault="00950C6C" w:rsidP="00ED7471">
      <w:pPr>
        <w:jc w:val="both"/>
      </w:pPr>
      <w:r w:rsidRPr="000152CB">
        <w:t>U cilju unapređenja kontrole bolničkih infekcija i racionalne upotrebe antibiotika, sprovedena je procjena prevalencije bolničkih infekcija i upotrebe antibiotika. Institut je tokom trećeg kvartala 2023. godine sproveo istraživanje i izradio izvještaj, koji je dostavljen nadležnim institucijama.</w:t>
      </w:r>
    </w:p>
    <w:p w14:paraId="417BFBB1" w14:textId="77777777" w:rsidR="00950C6C" w:rsidRPr="000152CB" w:rsidRDefault="00950C6C" w:rsidP="00ED7471">
      <w:pPr>
        <w:jc w:val="both"/>
      </w:pPr>
      <w:r w:rsidRPr="000152CB">
        <w:t>Unapređenje operativnog sistema praćenja rezistencije bakterija na antibiotike je djelimično realizovano. U 2023. godini broj setova hemokultura na 1000 bolničkih dana iznosio je 5 (raspon 2–24), dok je broj invazivnih izolata značajnih patogena (prvi izolat po pacijentu), prema CAESAR metodologiji, bio 223. Izvještaj sa ovim podacima dostavljen je Ministarstvu zdravlja. Nadalje, Nacionalna referentna laboratorija za praćenje rezistencije na antimikrobne lijekove je od 2024. godine započela nadzor i praćenje bakterijskih sojeva iz reda Enterobacterales koji luče karbapenemaze, a u skladu sa Procedurom za nadzor i praćenje ovih sojeva vodi se elektronska evidencija u Nacionalnoj referentnoj laboratoriji.</w:t>
      </w:r>
    </w:p>
    <w:p w14:paraId="05FFA402" w14:textId="77777777" w:rsidR="00950C6C" w:rsidRPr="000152CB" w:rsidRDefault="00950C6C" w:rsidP="00ED7471">
      <w:pPr>
        <w:jc w:val="both"/>
      </w:pPr>
      <w:r w:rsidRPr="000152CB">
        <w:t>Međutim, Plan za prevenciju i kontrolu bolničkih infekcija još uvijek nije izrađen. Nacionalna komisija za nadzor nad bolničkim infekcijama, koja funkcioniše u okviru Ministarstva zdravlja, postavila je kao cilj izradu ovog plana u narednom periodu, formiranjem radne grupe koju će činiti predstavnici različitih oblasti. Rok za izradu plana biće usaglašen sa članovima Komisije i Ministarstvom zdravlja.</w:t>
      </w:r>
    </w:p>
    <w:p w14:paraId="57D5AA66" w14:textId="07A9538B" w:rsidR="00B42DA8" w:rsidRPr="000152CB" w:rsidRDefault="00950C6C" w:rsidP="00ED7471">
      <w:pPr>
        <w:jc w:val="both"/>
      </w:pPr>
      <w:r w:rsidRPr="000152CB">
        <w:t>Takođe, nije izrađen mikroplan za podizanje nivoa obuhvata prioritetnih imunizacija (MMR, HPV), sa posebnim fokusom na RAE populaciju. Prema Pravilniku o uslovima i načinu sprovođenja obavezne imunoprofilakse i hemioprofilakse protiv određenih zaraznih bolesti, izrada planova sprovođenja imunizacije je u nadležnosti lokalnih domova zdravlja (koordinatora imunizacija i direktora ustanova), uz podršku, monitoring i superviziju Instituta za javno zdravlje Crne Gore.</w:t>
      </w:r>
      <w:r w:rsidR="00CA4F26">
        <w:t xml:space="preserve"> U toku je izrada Programa mjera za imunizaciju sa akcionim planom 2025-2027, čiji dio će biti i ova aktivnost.</w:t>
      </w:r>
      <w:r w:rsidRPr="000152CB">
        <w:t xml:space="preserve"> Novi rok za izradu mikroplanova, koji su sastavni dio godišnjih planova imunizacije, postavljen je za prvi kvartal 2026. godine, uz obavezu ažuriranja u prvom kvartalu svake naredne godine.</w:t>
      </w:r>
    </w:p>
    <w:p w14:paraId="69AE5ABF" w14:textId="5E84BE75" w:rsidR="00345359" w:rsidRPr="000152CB" w:rsidRDefault="00520B4F" w:rsidP="00520B4F">
      <w:pPr>
        <w:pStyle w:val="Naslov2"/>
      </w:pPr>
      <w:bookmarkStart w:id="12" w:name="_Toc202039250"/>
      <w:r w:rsidRPr="000152CB">
        <w:t>OBLAST IX:</w:t>
      </w:r>
      <w:bookmarkEnd w:id="12"/>
    </w:p>
    <w:tbl>
      <w:tblPr>
        <w:tblStyle w:val="Tabelakoordinatnemree4akcenat3"/>
        <w:tblW w:w="14220" w:type="dxa"/>
        <w:tblInd w:w="-635" w:type="dxa"/>
        <w:tblLook w:val="04A0" w:firstRow="1" w:lastRow="0" w:firstColumn="1" w:lastColumn="0" w:noHBand="0" w:noVBand="1"/>
      </w:tblPr>
      <w:tblGrid>
        <w:gridCol w:w="2423"/>
        <w:gridCol w:w="4289"/>
        <w:gridCol w:w="3503"/>
        <w:gridCol w:w="4005"/>
      </w:tblGrid>
      <w:tr w:rsidR="009C5219" w:rsidRPr="000152CB" w14:paraId="285B03CB" w14:textId="77777777" w:rsidTr="009C5219">
        <w:trPr>
          <w:cnfStyle w:val="100000000000" w:firstRow="1" w:lastRow="0" w:firstColumn="0" w:lastColumn="0" w:oddVBand="0" w:evenVBand="0" w:oddHBand="0"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2423" w:type="dxa"/>
            <w:hideMark/>
          </w:tcPr>
          <w:p w14:paraId="0D296025" w14:textId="77777777" w:rsidR="009C5219" w:rsidRPr="000152CB" w:rsidRDefault="009C5219" w:rsidP="009D4F7C">
            <w:pPr>
              <w:ind w:left="270"/>
              <w:jc w:val="center"/>
              <w:rPr>
                <w:rFonts w:eastAsia="Times New Roman" w:cs="Calibri"/>
                <w:b w:val="0"/>
                <w:sz w:val="20"/>
                <w:szCs w:val="20"/>
                <w:lang w:eastAsia="sr-Latn-ME"/>
              </w:rPr>
            </w:pPr>
            <w:r w:rsidRPr="000152CB">
              <w:rPr>
                <w:rFonts w:eastAsia="Times New Roman" w:cs="Calibri"/>
                <w:color w:val="000000"/>
                <w:sz w:val="20"/>
                <w:szCs w:val="20"/>
                <w:lang w:eastAsia="sr-Latn-ME"/>
              </w:rPr>
              <w:t>STRATEŠKI CILJ 3</w:t>
            </w:r>
          </w:p>
        </w:tc>
        <w:tc>
          <w:tcPr>
            <w:tcW w:w="11797" w:type="dxa"/>
            <w:gridSpan w:val="3"/>
            <w:hideMark/>
          </w:tcPr>
          <w:p w14:paraId="075A2571" w14:textId="77777777" w:rsidR="009C5219" w:rsidRPr="000152CB" w:rsidRDefault="009C5219" w:rsidP="009D4F7C">
            <w:pPr>
              <w:spacing w:after="60"/>
              <w:ind w:left="270"/>
              <w:cnfStyle w:val="100000000000" w:firstRow="1" w:lastRow="0" w:firstColumn="0" w:lastColumn="0" w:oddVBand="0" w:evenVBand="0" w:oddHBand="0" w:evenHBand="0" w:firstRowFirstColumn="0" w:firstRowLastColumn="0" w:lastRowFirstColumn="0" w:lastRowLastColumn="0"/>
              <w:rPr>
                <w:rFonts w:eastAsia="Times New Roman" w:cs="Calibri"/>
                <w:b w:val="0"/>
                <w:sz w:val="20"/>
                <w:szCs w:val="20"/>
                <w:lang w:eastAsia="sr-Latn-ME"/>
              </w:rPr>
            </w:pPr>
            <w:r w:rsidRPr="000152CB">
              <w:rPr>
                <w:rFonts w:eastAsia="Times New Roman" w:cs="Calibri"/>
                <w:sz w:val="20"/>
                <w:szCs w:val="20"/>
                <w:lang w:eastAsia="sr-Latn-ME"/>
              </w:rPr>
              <w:t xml:space="preserve">OJAČANI KAPACITET ZA PRIPREMLJENOST I ODGOVOR ZDRAVSTVENOG SISTEMA NA ZDRAVSTVENE VANREDNE SITUACIJE  </w:t>
            </w:r>
          </w:p>
        </w:tc>
      </w:tr>
      <w:tr w:rsidR="009C5219" w:rsidRPr="000152CB" w14:paraId="7EE14AA7" w14:textId="77777777" w:rsidTr="009C5219">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2423" w:type="dxa"/>
            <w:hideMark/>
          </w:tcPr>
          <w:p w14:paraId="46AD4EE0" w14:textId="77777777" w:rsidR="009C5219" w:rsidRPr="000152CB" w:rsidRDefault="009C5219" w:rsidP="009D4F7C">
            <w:pPr>
              <w:ind w:left="270"/>
              <w:jc w:val="center"/>
              <w:rPr>
                <w:rFonts w:eastAsia="Times New Roman" w:cs="Calibri"/>
                <w:b w:val="0"/>
                <w:sz w:val="20"/>
                <w:szCs w:val="20"/>
                <w:lang w:eastAsia="sr-Latn-ME"/>
              </w:rPr>
            </w:pPr>
            <w:r w:rsidRPr="000152CB">
              <w:rPr>
                <w:rFonts w:eastAsia="Times New Roman" w:cs="Calibri"/>
                <w:color w:val="000000"/>
                <w:sz w:val="20"/>
                <w:szCs w:val="20"/>
                <w:lang w:eastAsia="sr-Latn-ME"/>
              </w:rPr>
              <w:t>OPERATIVNI CILJ 3.1.</w:t>
            </w:r>
          </w:p>
        </w:tc>
        <w:tc>
          <w:tcPr>
            <w:tcW w:w="11797" w:type="dxa"/>
            <w:gridSpan w:val="3"/>
            <w:hideMark/>
          </w:tcPr>
          <w:p w14:paraId="01B7AFD6" w14:textId="77777777" w:rsidR="009C5219" w:rsidRPr="000152CB" w:rsidRDefault="009C5219" w:rsidP="009D4F7C">
            <w:pPr>
              <w:ind w:left="270"/>
              <w:jc w:val="center"/>
              <w:cnfStyle w:val="000000100000" w:firstRow="0" w:lastRow="0" w:firstColumn="0" w:lastColumn="0" w:oddVBand="0" w:evenVBand="0" w:oddHBand="1" w:evenHBand="0" w:firstRowFirstColumn="0" w:firstRowLastColumn="0" w:lastRowFirstColumn="0" w:lastRowLastColumn="0"/>
              <w:rPr>
                <w:rFonts w:eastAsia="Times New Roman" w:cs="Calibri"/>
                <w:b/>
                <w:sz w:val="20"/>
                <w:szCs w:val="20"/>
                <w:lang w:eastAsia="sr-Latn-ME"/>
              </w:rPr>
            </w:pPr>
            <w:r w:rsidRPr="000152CB">
              <w:rPr>
                <w:rFonts w:eastAsia="Times New Roman" w:cs="Calibri"/>
                <w:b/>
                <w:sz w:val="20"/>
                <w:szCs w:val="20"/>
                <w:lang w:eastAsia="sr-Latn-ME"/>
              </w:rPr>
              <w:t xml:space="preserve">OBEZBIJEDITI USLOVE ZA EFIKASNU KOMUNIKACIJU I I KOORDINACIJU RESURSA ZA UPRAVLJANJE ZDRAVSTVENIM VANREDNIM SITUACIJAMA </w:t>
            </w:r>
          </w:p>
        </w:tc>
      </w:tr>
      <w:tr w:rsidR="009C5219" w:rsidRPr="000152CB" w14:paraId="3825B8E0" w14:textId="77777777" w:rsidTr="009C5219">
        <w:trPr>
          <w:trHeight w:val="610"/>
        </w:trPr>
        <w:tc>
          <w:tcPr>
            <w:cnfStyle w:val="001000000000" w:firstRow="0" w:lastRow="0" w:firstColumn="1" w:lastColumn="0" w:oddVBand="0" w:evenVBand="0" w:oddHBand="0" w:evenHBand="0" w:firstRowFirstColumn="0" w:firstRowLastColumn="0" w:lastRowFirstColumn="0" w:lastRowLastColumn="0"/>
            <w:tcW w:w="2423" w:type="dxa"/>
            <w:hideMark/>
          </w:tcPr>
          <w:p w14:paraId="23F9E56E" w14:textId="77777777" w:rsidR="009C5219" w:rsidRPr="000152CB" w:rsidRDefault="009C5219" w:rsidP="009C5219">
            <w:pPr>
              <w:rPr>
                <w:rFonts w:eastAsia="Times New Roman" w:cs="Calibri"/>
                <w:b w:val="0"/>
                <w:sz w:val="20"/>
                <w:szCs w:val="20"/>
                <w:lang w:eastAsia="sr-Latn-ME"/>
              </w:rPr>
            </w:pPr>
            <w:r w:rsidRPr="000152CB">
              <w:rPr>
                <w:rFonts w:eastAsia="Times New Roman" w:cs="Calibri"/>
                <w:color w:val="000000"/>
                <w:sz w:val="20"/>
                <w:szCs w:val="20"/>
                <w:lang w:eastAsia="sr-Latn-ME"/>
              </w:rPr>
              <w:lastRenderedPageBreak/>
              <w:t>INDIKATOR UČINKA 1:</w:t>
            </w:r>
            <w:r w:rsidRPr="000152CB">
              <w:rPr>
                <w:sz w:val="20"/>
                <w:szCs w:val="20"/>
              </w:rPr>
              <w:t xml:space="preserve"> K</w:t>
            </w:r>
            <w:r w:rsidRPr="000152CB">
              <w:rPr>
                <w:rFonts w:eastAsia="Times New Roman" w:cs="Calibri"/>
                <w:color w:val="000000"/>
                <w:sz w:val="20"/>
                <w:szCs w:val="20"/>
                <w:lang w:eastAsia="sr-Latn-ME"/>
              </w:rPr>
              <w:t>apaciteti IJZ za efikasan odgovor na javnozdravstvene prijetnje kroz funkcionalan Operativni centarza vanredne situacije  (PHEOC)</w:t>
            </w:r>
          </w:p>
        </w:tc>
        <w:tc>
          <w:tcPr>
            <w:tcW w:w="4289" w:type="dxa"/>
            <w:hideMark/>
          </w:tcPr>
          <w:p w14:paraId="44E361A3" w14:textId="77777777" w:rsidR="009C5219" w:rsidRPr="000152CB" w:rsidRDefault="009C5219" w:rsidP="009D4F7C">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Calibri"/>
                <w:b/>
                <w:color w:val="000000"/>
                <w:sz w:val="20"/>
                <w:szCs w:val="20"/>
                <w:lang w:eastAsia="sr-Latn-ME"/>
              </w:rPr>
            </w:pPr>
            <w:r w:rsidRPr="000152CB">
              <w:rPr>
                <w:rFonts w:eastAsia="Times New Roman" w:cs="Calibri"/>
                <w:b/>
                <w:color w:val="000000"/>
                <w:sz w:val="20"/>
                <w:szCs w:val="20"/>
                <w:lang w:eastAsia="sr-Latn-ME"/>
              </w:rPr>
              <w:t>Početna vrijednost:</w:t>
            </w:r>
          </w:p>
          <w:p w14:paraId="6225784A" w14:textId="77777777" w:rsidR="009C5219" w:rsidRPr="000152CB" w:rsidRDefault="009C5219" w:rsidP="009D4F7C">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Calibri"/>
                <w:b/>
                <w:color w:val="000000"/>
                <w:sz w:val="20"/>
                <w:szCs w:val="20"/>
                <w:lang w:eastAsia="sr-Latn-ME"/>
              </w:rPr>
            </w:pPr>
          </w:p>
          <w:p w14:paraId="52849310" w14:textId="77777777" w:rsidR="009C5219" w:rsidRPr="000152CB" w:rsidRDefault="009C5219" w:rsidP="009D4F7C">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Calibri"/>
                <w:b/>
                <w:sz w:val="20"/>
                <w:szCs w:val="20"/>
                <w:lang w:eastAsia="sr-Latn-ME"/>
              </w:rPr>
            </w:pPr>
            <w:r w:rsidRPr="000152CB">
              <w:rPr>
                <w:rFonts w:eastAsia="Times New Roman" w:cs="Calibri"/>
                <w:bCs/>
                <w:color w:val="000000"/>
                <w:sz w:val="20"/>
                <w:szCs w:val="20"/>
                <w:lang w:eastAsia="sr-Latn-ME"/>
              </w:rPr>
              <w:t>2020 e-Spar indikatori:  Okvir za zdravstvene vanredne situacije (HEF)  60%;  Humani resursi (HR) 60% ; Krizna</w:t>
            </w:r>
            <w:r w:rsidRPr="000152CB">
              <w:rPr>
                <w:rFonts w:eastAsia="Times New Roman" w:cs="Calibri"/>
                <w:b/>
                <w:color w:val="000000"/>
                <w:sz w:val="20"/>
                <w:szCs w:val="20"/>
                <w:lang w:eastAsia="sr-Latn-ME"/>
              </w:rPr>
              <w:t xml:space="preserve"> komunikacija (RC) 60%</w:t>
            </w:r>
          </w:p>
          <w:p w14:paraId="430AA108" w14:textId="77777777" w:rsidR="009C5219" w:rsidRPr="000152CB" w:rsidRDefault="009C5219" w:rsidP="009D4F7C">
            <w:pPr>
              <w:ind w:left="270"/>
              <w:jc w:val="center"/>
              <w:cnfStyle w:val="000000000000" w:firstRow="0" w:lastRow="0" w:firstColumn="0" w:lastColumn="0" w:oddVBand="0" w:evenVBand="0" w:oddHBand="0" w:evenHBand="0" w:firstRowFirstColumn="0" w:firstRowLastColumn="0" w:lastRowFirstColumn="0" w:lastRowLastColumn="0"/>
              <w:rPr>
                <w:rFonts w:eastAsia="Times New Roman" w:cs="Calibri"/>
                <w:b/>
                <w:sz w:val="20"/>
                <w:szCs w:val="20"/>
                <w:lang w:eastAsia="sr-Latn-ME"/>
              </w:rPr>
            </w:pPr>
          </w:p>
        </w:tc>
        <w:tc>
          <w:tcPr>
            <w:tcW w:w="3503" w:type="dxa"/>
          </w:tcPr>
          <w:p w14:paraId="09D0900B" w14:textId="77777777" w:rsidR="009C5219" w:rsidRPr="000152CB" w:rsidRDefault="009C5219" w:rsidP="009D4F7C">
            <w:pPr>
              <w:ind w:left="270"/>
              <w:jc w:val="center"/>
              <w:cnfStyle w:val="000000000000" w:firstRow="0" w:lastRow="0" w:firstColumn="0" w:lastColumn="0" w:oddVBand="0" w:evenVBand="0" w:oddHBand="0" w:evenHBand="0" w:firstRowFirstColumn="0" w:firstRowLastColumn="0" w:lastRowFirstColumn="0" w:lastRowLastColumn="0"/>
              <w:rPr>
                <w:rFonts w:eastAsia="Times New Roman" w:cs="Calibri"/>
                <w:b/>
                <w:color w:val="000000"/>
                <w:sz w:val="20"/>
                <w:szCs w:val="20"/>
                <w:lang w:eastAsia="sr-Latn-ME"/>
              </w:rPr>
            </w:pPr>
            <w:r w:rsidRPr="000152CB">
              <w:rPr>
                <w:rFonts w:eastAsia="Times New Roman" w:cs="Calibri"/>
                <w:b/>
                <w:color w:val="000000"/>
                <w:sz w:val="20"/>
                <w:szCs w:val="20"/>
                <w:lang w:eastAsia="sr-Latn-ME"/>
              </w:rPr>
              <w:t>Prelazna vrijednost:</w:t>
            </w:r>
          </w:p>
          <w:p w14:paraId="2132AB33" w14:textId="77777777" w:rsidR="009C5219" w:rsidRPr="000152CB" w:rsidRDefault="009C5219" w:rsidP="009D4F7C">
            <w:pPr>
              <w:ind w:left="270"/>
              <w:jc w:val="center"/>
              <w:cnfStyle w:val="000000000000" w:firstRow="0" w:lastRow="0" w:firstColumn="0" w:lastColumn="0" w:oddVBand="0" w:evenVBand="0" w:oddHBand="0" w:evenHBand="0" w:firstRowFirstColumn="0" w:firstRowLastColumn="0" w:lastRowFirstColumn="0" w:lastRowLastColumn="0"/>
              <w:rPr>
                <w:rFonts w:eastAsia="Times New Roman" w:cs="Calibri"/>
                <w:b/>
                <w:color w:val="000000"/>
                <w:sz w:val="20"/>
                <w:szCs w:val="20"/>
                <w:lang w:eastAsia="sr-Latn-ME"/>
              </w:rPr>
            </w:pPr>
          </w:p>
          <w:p w14:paraId="2FDE75A8" w14:textId="77777777" w:rsidR="009C5219" w:rsidRPr="000152CB" w:rsidRDefault="009C5219" w:rsidP="009D4F7C">
            <w:pPr>
              <w:ind w:left="270"/>
              <w:jc w:val="center"/>
              <w:cnfStyle w:val="000000000000" w:firstRow="0" w:lastRow="0" w:firstColumn="0" w:lastColumn="0" w:oddVBand="0" w:evenVBand="0" w:oddHBand="0" w:evenHBand="0" w:firstRowFirstColumn="0" w:firstRowLastColumn="0" w:lastRowFirstColumn="0" w:lastRowLastColumn="0"/>
              <w:rPr>
                <w:rFonts w:eastAsia="Times New Roman" w:cs="Calibri"/>
                <w:bCs/>
                <w:color w:val="000000"/>
                <w:sz w:val="20"/>
                <w:szCs w:val="20"/>
                <w:lang w:eastAsia="sr-Latn-ME"/>
              </w:rPr>
            </w:pPr>
            <w:r w:rsidRPr="000152CB">
              <w:rPr>
                <w:rFonts w:eastAsia="Times New Roman" w:cs="Calibri"/>
                <w:bCs/>
                <w:color w:val="000000"/>
                <w:sz w:val="20"/>
                <w:szCs w:val="20"/>
                <w:lang w:eastAsia="sr-Latn-ME"/>
              </w:rPr>
              <w:t>Okvir za zdravstvene vanredne situacije (HEF)  61.5%;  Humani resursi (HR) 61.5% ; Krizna komunikacija (RC) 63%</w:t>
            </w:r>
          </w:p>
        </w:tc>
        <w:tc>
          <w:tcPr>
            <w:tcW w:w="4005" w:type="dxa"/>
          </w:tcPr>
          <w:p w14:paraId="0454755E" w14:textId="77777777" w:rsidR="009C5219" w:rsidRPr="000152CB" w:rsidRDefault="009C5219" w:rsidP="009D4F7C">
            <w:pPr>
              <w:ind w:left="270"/>
              <w:jc w:val="center"/>
              <w:cnfStyle w:val="000000000000" w:firstRow="0" w:lastRow="0" w:firstColumn="0" w:lastColumn="0" w:oddVBand="0" w:evenVBand="0" w:oddHBand="0" w:evenHBand="0" w:firstRowFirstColumn="0" w:firstRowLastColumn="0" w:lastRowFirstColumn="0" w:lastRowLastColumn="0"/>
              <w:rPr>
                <w:sz w:val="20"/>
                <w:szCs w:val="20"/>
              </w:rPr>
            </w:pPr>
            <w:r w:rsidRPr="000152CB">
              <w:rPr>
                <w:rFonts w:eastAsia="Times New Roman" w:cs="Calibri"/>
                <w:b/>
                <w:color w:val="000000"/>
                <w:sz w:val="20"/>
                <w:szCs w:val="20"/>
                <w:lang w:eastAsia="sr-Latn-ME"/>
              </w:rPr>
              <w:t>Ciljna vrijednost:</w:t>
            </w:r>
            <w:r w:rsidRPr="000152CB">
              <w:rPr>
                <w:sz w:val="20"/>
                <w:szCs w:val="20"/>
              </w:rPr>
              <w:t xml:space="preserve"> </w:t>
            </w:r>
          </w:p>
          <w:p w14:paraId="372747A1" w14:textId="77777777" w:rsidR="009C5219" w:rsidRPr="000152CB" w:rsidRDefault="009C5219" w:rsidP="009D4F7C">
            <w:pPr>
              <w:ind w:left="270"/>
              <w:jc w:val="center"/>
              <w:cnfStyle w:val="000000000000" w:firstRow="0" w:lastRow="0" w:firstColumn="0" w:lastColumn="0" w:oddVBand="0" w:evenVBand="0" w:oddHBand="0" w:evenHBand="0" w:firstRowFirstColumn="0" w:firstRowLastColumn="0" w:lastRowFirstColumn="0" w:lastRowLastColumn="0"/>
              <w:rPr>
                <w:rFonts w:eastAsia="Times New Roman" w:cs="Calibri"/>
                <w:b/>
                <w:color w:val="000000"/>
                <w:sz w:val="20"/>
                <w:szCs w:val="20"/>
                <w:lang w:eastAsia="sr-Latn-ME"/>
              </w:rPr>
            </w:pPr>
          </w:p>
          <w:p w14:paraId="78F3B2F7" w14:textId="77777777" w:rsidR="009C5219" w:rsidRPr="000152CB" w:rsidRDefault="009C5219" w:rsidP="009D4F7C">
            <w:pPr>
              <w:ind w:left="270"/>
              <w:jc w:val="center"/>
              <w:cnfStyle w:val="000000000000" w:firstRow="0" w:lastRow="0" w:firstColumn="0" w:lastColumn="0" w:oddVBand="0" w:evenVBand="0" w:oddHBand="0" w:evenHBand="0" w:firstRowFirstColumn="0" w:firstRowLastColumn="0" w:lastRowFirstColumn="0" w:lastRowLastColumn="0"/>
              <w:rPr>
                <w:rFonts w:eastAsia="Times New Roman" w:cs="Calibri"/>
                <w:bCs/>
                <w:sz w:val="20"/>
                <w:szCs w:val="20"/>
                <w:lang w:eastAsia="sr-Latn-ME"/>
              </w:rPr>
            </w:pPr>
            <w:r w:rsidRPr="000152CB">
              <w:rPr>
                <w:rFonts w:eastAsia="Times New Roman" w:cs="Calibri"/>
                <w:bCs/>
                <w:color w:val="000000"/>
                <w:sz w:val="20"/>
                <w:szCs w:val="20"/>
                <w:lang w:eastAsia="sr-Latn-ME"/>
              </w:rPr>
              <w:t>Okvir za zdravstvene vanredne situacije (HEF)  63%;  Humani resursi (HR) 63% ; Krizna komunikacija (RC) 63%</w:t>
            </w:r>
          </w:p>
        </w:tc>
      </w:tr>
    </w:tbl>
    <w:p w14:paraId="37F5A942" w14:textId="77777777" w:rsidR="00710235" w:rsidRPr="000152CB" w:rsidRDefault="00710235" w:rsidP="00710235">
      <w:pPr>
        <w:jc w:val="both"/>
      </w:pPr>
    </w:p>
    <w:p w14:paraId="5E5B8C95" w14:textId="791583D9" w:rsidR="0011440E" w:rsidRPr="000152CB" w:rsidRDefault="0011440E" w:rsidP="0011440E">
      <w:pPr>
        <w:spacing w:before="100" w:beforeAutospacing="1" w:after="100" w:afterAutospacing="1" w:line="240" w:lineRule="auto"/>
        <w:jc w:val="both"/>
        <w:rPr>
          <w:rFonts w:eastAsia="Times New Roman" w:cstheme="minorHAnsi"/>
        </w:rPr>
      </w:pPr>
      <w:r w:rsidRPr="000152CB">
        <w:rPr>
          <w:rFonts w:eastAsia="Times New Roman" w:cstheme="minorHAnsi"/>
        </w:rPr>
        <w:t xml:space="preserve">Pandemija COVID-19 pokazala je značaj izgradnje otpornosti i brze reakcije sistema na krize. Stoga je u okviru strategije sprovedeno više aktivnosti na jačanju </w:t>
      </w:r>
      <w:r w:rsidRPr="000152CB">
        <w:rPr>
          <w:rFonts w:eastAsia="Times New Roman" w:cstheme="minorHAnsi"/>
          <w:b/>
          <w:bCs/>
        </w:rPr>
        <w:t>kapaciteta za odgovor na vanredne situacije</w:t>
      </w:r>
      <w:r w:rsidRPr="000152CB">
        <w:rPr>
          <w:rFonts w:eastAsia="Times New Roman" w:cstheme="minorHAnsi"/>
        </w:rPr>
        <w:t xml:space="preserve">. U saradnji sa SZO i Evropskom unijom, 2024. godine pokrenut je projekat za </w:t>
      </w:r>
      <w:r w:rsidRPr="000152CB">
        <w:rPr>
          <w:rFonts w:eastAsia="Times New Roman" w:cstheme="minorHAnsi"/>
          <w:b/>
          <w:bCs/>
        </w:rPr>
        <w:t>unapređenje pripravnosti za vanredne zdravstvene hazarde</w:t>
      </w:r>
      <w:r w:rsidRPr="000152CB">
        <w:rPr>
          <w:rFonts w:eastAsia="Times New Roman" w:cstheme="minorHAnsi"/>
        </w:rPr>
        <w:t xml:space="preserve"> (All-hazards Emergency Preparedness), koji obuhvata obuke zdravstvenih radnika za reagovanje u masovnim nesrećama, epidemijama i prirodnim katastrofama. Organizovane su simulacijske vježbe reakcije na zemljotres sa mass-casualty situacijom u Podgorici i na epidemiju velike zarazne bolesti u Bijelom Polju, uz učešće zdravstvenih ustanova, Instituta za javno zdravlje i službi zaštite i spašavanja. Ministarstvo zdravlja je takođe ažuriralo </w:t>
      </w:r>
      <w:r w:rsidRPr="000152CB">
        <w:rPr>
          <w:rFonts w:eastAsia="Times New Roman" w:cstheme="minorHAnsi"/>
          <w:b/>
          <w:bCs/>
        </w:rPr>
        <w:t>Pandemijski plan</w:t>
      </w:r>
      <w:r w:rsidRPr="000152CB">
        <w:rPr>
          <w:rFonts w:eastAsia="Times New Roman" w:cstheme="minorHAnsi"/>
        </w:rPr>
        <w:t xml:space="preserve"> i </w:t>
      </w:r>
      <w:r w:rsidRPr="000152CB">
        <w:rPr>
          <w:rFonts w:eastAsia="Times New Roman" w:cstheme="minorHAnsi"/>
          <w:b/>
          <w:bCs/>
        </w:rPr>
        <w:t>Plan pripravnosti za epidemije gripe</w:t>
      </w:r>
      <w:r w:rsidRPr="000152CB">
        <w:rPr>
          <w:rFonts w:eastAsia="Times New Roman" w:cstheme="minorHAnsi"/>
        </w:rPr>
        <w:t xml:space="preserve">, a uspostavljen je i </w:t>
      </w:r>
      <w:r w:rsidRPr="000152CB">
        <w:rPr>
          <w:rFonts w:eastAsia="Times New Roman" w:cstheme="minorHAnsi"/>
          <w:b/>
          <w:bCs/>
        </w:rPr>
        <w:t>operativni centar za koordinaciju u vanrednim situacijama</w:t>
      </w:r>
      <w:r w:rsidRPr="000152CB">
        <w:rPr>
          <w:rFonts w:eastAsia="Times New Roman" w:cstheme="minorHAnsi"/>
        </w:rPr>
        <w:t xml:space="preserve"> u okviru Instituta za javno zdravlje. Kroz ovaj centar se prikupljaju i analiziraju podaci u realnom vremenu tokom hitnih situacija, što omogućava brže donošenje mjera. Dodatno, 2025. je pokrenuta inicijativa za integraciju zdravstvenog sektora u nacionalni sistem upravljanja krizama – predstavnici Ministarstva zdravlja uključeni su u međuresornu komisiju za vanredne situacije kako bi se obezbijedila koordinacija (npr. bolnice sada imaju jasno definisane uloge u Nacionalnom planu zaštite i spašavanja). Napominjemo da je Crna Gora u globalnom Indeksu zdravstvene bezbjednosti 2021. imala relativno nizak skor (44,1/100), pa su ove aktivnosti usmjerene na poboljšanje te pozicije. Već se bilježe pomaci – recimo, </w:t>
      </w:r>
      <w:r w:rsidRPr="000152CB">
        <w:rPr>
          <w:rFonts w:eastAsia="Times New Roman" w:cstheme="minorHAnsi"/>
          <w:b/>
          <w:bCs/>
        </w:rPr>
        <w:t>2024. godine</w:t>
      </w:r>
      <w:r w:rsidR="008034A9" w:rsidRPr="000152CB">
        <w:rPr>
          <w:rFonts w:eastAsia="Times New Roman" w:cstheme="minorHAnsi"/>
          <w:b/>
          <w:bCs/>
        </w:rPr>
        <w:t>,</w:t>
      </w:r>
      <w:r w:rsidRPr="000152CB">
        <w:rPr>
          <w:rFonts w:eastAsia="Times New Roman" w:cstheme="minorHAnsi"/>
          <w:b/>
          <w:bCs/>
        </w:rPr>
        <w:t xml:space="preserve"> Crna Gora je po prvi put predala 98% traženih podataka za godišnji Izvještaj o sprovođenju Međunarodnog zdravstvenog pravilnika (IHR)</w:t>
      </w:r>
      <w:r w:rsidRPr="000152CB">
        <w:rPr>
          <w:rFonts w:eastAsia="Times New Roman" w:cstheme="minorHAnsi"/>
        </w:rPr>
        <w:t>, što pokazuje povećanu posvećenost spremnosti na zdravstvene prijetnje.</w:t>
      </w:r>
    </w:p>
    <w:p w14:paraId="398B7CC9" w14:textId="1C28D2F1" w:rsidR="00710235" w:rsidRPr="000152CB" w:rsidRDefault="00710235" w:rsidP="00710235">
      <w:pPr>
        <w:jc w:val="both"/>
      </w:pPr>
      <w:r w:rsidRPr="000152CB">
        <w:t>U cilju jačanja otpornosti zdravstvenog sistema i spremnosti za odgovor na javno-zdravstvene prijetnje i vanredne situacije, neophodno je uspostaviti Javno-zdravstveno operativni centar (Public Health Emergency Operations Centre – PHEOC) kao integralni dio zdravstvenog sistema Crne Gore. U tom smislu, potrebno je definisati pravni osnov za PHEOC kroz izmjene i dopune Zakona o zaštiti stanovništva od zaraznih bolesti, čime bi se uspostavila zakonska osnova za njegovo funkcionisanje, nadležnosti i ulogu u sistemu zaštite i spašavanja. Napominjemo da je Pravilnikom o sistematizaciji Instituta za javno zdravlje Crne Gore iz juna 2023. godine PHEOC već predviđen kao organizaciona jedinica, ali bez odgovarajuće zakonske potpore njegova funkcionalnost je ograničena.</w:t>
      </w:r>
    </w:p>
    <w:p w14:paraId="0673CB91" w14:textId="77777777" w:rsidR="00710235" w:rsidRPr="000152CB" w:rsidRDefault="00710235" w:rsidP="00710235">
      <w:pPr>
        <w:jc w:val="both"/>
      </w:pPr>
      <w:r w:rsidRPr="000152CB">
        <w:t>U cilju operativizacije PHEOC-a, potrebno je izraditi sveobuhvatan priručnik koji će obuhvatiti interne procedure (SOP-ove), koncept operacija, opis poslova i zadataka zaposlenih, kao i instrumente za realizaciju rutinskih funkcija centra. Ovaj priručnik predstavlja osnov za standardizaciju rada i usklađivanje sa međunarodnim smjernicama i preporukama Svjetske zdravstvene organizacije (SZO).</w:t>
      </w:r>
    </w:p>
    <w:p w14:paraId="13565E00" w14:textId="77777777" w:rsidR="00710235" w:rsidRPr="000152CB" w:rsidRDefault="00710235" w:rsidP="00710235">
      <w:pPr>
        <w:jc w:val="both"/>
      </w:pPr>
      <w:r w:rsidRPr="000152CB">
        <w:lastRenderedPageBreak/>
        <w:t>Poseban fokus treba staviti na jačanje institucionalnih kapaciteta kroz organizovanje sveobuhvatnih i kontinuiranih obuka za kadar koji će biti zadužen za poslove i zadatke u okviru PHEOC-a. Obuka treba da bude organizovana u skladu sa standardima SZO i najboljim međunarodnim praksama, kako bi se osigurala adekvatna spremnost za postupanje u svim vrstama javno-zdravstvenih hitnih situacija.</w:t>
      </w:r>
    </w:p>
    <w:p w14:paraId="68A8CAC7" w14:textId="77777777" w:rsidR="00710235" w:rsidRPr="000152CB" w:rsidRDefault="00710235" w:rsidP="00710235">
      <w:pPr>
        <w:jc w:val="both"/>
      </w:pPr>
      <w:r w:rsidRPr="000152CB">
        <w:t>Takođe, neophodno je razviti informatičku podršku za PHEOC kroz izradu softverske aplikacije koja će omogućiti realizaciju njegovih funkcija na efikasan i koordinisan način. Međutim, ova aktivnost nije realizovana u izvještajnom periodu zbog promjene administracije dva puta, što je dovelo do različitog shvatanja samog koncepta PHEOC-a i, uprkos sprovedenim pripremnim radnjama, realizacija nije započeta.</w:t>
      </w:r>
    </w:p>
    <w:p w14:paraId="5404437F" w14:textId="77777777" w:rsidR="00710235" w:rsidRPr="000152CB" w:rsidRDefault="00710235" w:rsidP="00710235">
      <w:pPr>
        <w:jc w:val="both"/>
      </w:pPr>
      <w:r w:rsidRPr="000152CB">
        <w:t>Isto tako, nabavka IT opreme (hardvera) za PHEOC nije realizovana iz istih razloga – promjene administracije i nepostojanje jedinstvenog stava o značaju i organizaciji PHEOC-a, iako su pripremne aktivnosti bile sprovedene.</w:t>
      </w:r>
    </w:p>
    <w:p w14:paraId="08D9A4F0" w14:textId="4F18B129" w:rsidR="00520B4F" w:rsidRPr="000152CB" w:rsidRDefault="00710235" w:rsidP="00710235">
      <w:pPr>
        <w:jc w:val="both"/>
      </w:pPr>
      <w:r w:rsidRPr="000152CB">
        <w:t>Paralelno sa ovim aktivnostima, u cilju jačanja nacionalnog sistema kontrole hemijskih rizika, izrađen je Nacrt Pravilnika o opasnim materijama, što predstavlja važan korak ka razvoju održivog modela organizacije i integrisane kontrole trovanja u zemlji.</w:t>
      </w:r>
    </w:p>
    <w:p w14:paraId="7AE3112F" w14:textId="438CEA00" w:rsidR="00345359" w:rsidRPr="000152CB" w:rsidRDefault="00421FAC" w:rsidP="00421FAC">
      <w:pPr>
        <w:pStyle w:val="Naslov2"/>
      </w:pPr>
      <w:bookmarkStart w:id="13" w:name="_Toc202039251"/>
      <w:r w:rsidRPr="000152CB">
        <w:t>OBLAST X</w:t>
      </w:r>
      <w:bookmarkEnd w:id="13"/>
    </w:p>
    <w:tbl>
      <w:tblPr>
        <w:tblStyle w:val="Tabelakoordinatnemree4akcenat4"/>
        <w:tblW w:w="14220" w:type="dxa"/>
        <w:tblInd w:w="-635" w:type="dxa"/>
        <w:tblLook w:val="04A0" w:firstRow="1" w:lastRow="0" w:firstColumn="1" w:lastColumn="0" w:noHBand="0" w:noVBand="1"/>
      </w:tblPr>
      <w:tblGrid>
        <w:gridCol w:w="2423"/>
        <w:gridCol w:w="4289"/>
        <w:gridCol w:w="3503"/>
        <w:gridCol w:w="4005"/>
      </w:tblGrid>
      <w:tr w:rsidR="00421FAC" w:rsidRPr="000152CB" w14:paraId="37B8B033" w14:textId="77777777" w:rsidTr="00421FAC">
        <w:trPr>
          <w:cnfStyle w:val="100000000000" w:firstRow="1" w:lastRow="0" w:firstColumn="0" w:lastColumn="0" w:oddVBand="0" w:evenVBand="0" w:oddHBand="0"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2423" w:type="dxa"/>
            <w:hideMark/>
          </w:tcPr>
          <w:p w14:paraId="67A88DD8" w14:textId="77777777" w:rsidR="00421FAC" w:rsidRPr="000152CB" w:rsidRDefault="00421FAC" w:rsidP="009D4F7C">
            <w:pPr>
              <w:ind w:left="270"/>
              <w:jc w:val="center"/>
              <w:rPr>
                <w:rFonts w:eastAsia="Times New Roman" w:cs="Calibri"/>
                <w:b w:val="0"/>
                <w:sz w:val="20"/>
                <w:szCs w:val="20"/>
                <w:lang w:eastAsia="sr-Latn-ME"/>
              </w:rPr>
            </w:pPr>
            <w:r w:rsidRPr="000152CB">
              <w:rPr>
                <w:rFonts w:eastAsia="Times New Roman" w:cs="Calibri"/>
                <w:color w:val="000000"/>
                <w:sz w:val="20"/>
                <w:szCs w:val="20"/>
                <w:lang w:eastAsia="sr-Latn-ME"/>
              </w:rPr>
              <w:t>OPERATIVNI CILJ 3.2.</w:t>
            </w:r>
          </w:p>
        </w:tc>
        <w:tc>
          <w:tcPr>
            <w:tcW w:w="11797" w:type="dxa"/>
            <w:gridSpan w:val="3"/>
            <w:hideMark/>
          </w:tcPr>
          <w:p w14:paraId="4856744E" w14:textId="77777777" w:rsidR="00421FAC" w:rsidRPr="000152CB" w:rsidRDefault="00421FAC" w:rsidP="009D4F7C">
            <w:pPr>
              <w:ind w:left="270"/>
              <w:jc w:val="center"/>
              <w:cnfStyle w:val="100000000000" w:firstRow="1" w:lastRow="0" w:firstColumn="0" w:lastColumn="0" w:oddVBand="0" w:evenVBand="0" w:oddHBand="0" w:evenHBand="0" w:firstRowFirstColumn="0" w:firstRowLastColumn="0" w:lastRowFirstColumn="0" w:lastRowLastColumn="0"/>
              <w:rPr>
                <w:rFonts w:eastAsia="Times New Roman" w:cs="Calibri"/>
                <w:b w:val="0"/>
                <w:sz w:val="20"/>
                <w:szCs w:val="20"/>
                <w:lang w:eastAsia="sr-Latn-ME"/>
              </w:rPr>
            </w:pPr>
            <w:r w:rsidRPr="000152CB">
              <w:rPr>
                <w:rFonts w:eastAsia="Times New Roman" w:cs="Calibri"/>
                <w:sz w:val="20"/>
                <w:szCs w:val="20"/>
                <w:lang w:eastAsia="sr-Latn-ME"/>
              </w:rPr>
              <w:t xml:space="preserve">Unaprijediti funkcionalnu i strukturalnu bezbjednost zdravstvenih ustanova </w:t>
            </w:r>
          </w:p>
        </w:tc>
      </w:tr>
      <w:tr w:rsidR="00421FAC" w:rsidRPr="000152CB" w14:paraId="77FFF816" w14:textId="77777777" w:rsidTr="00421FAC">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2423" w:type="dxa"/>
            <w:hideMark/>
          </w:tcPr>
          <w:p w14:paraId="434C6287" w14:textId="77777777" w:rsidR="00421FAC" w:rsidRPr="000152CB" w:rsidRDefault="00421FAC" w:rsidP="00421FAC">
            <w:pPr>
              <w:rPr>
                <w:rFonts w:eastAsia="Times New Roman" w:cs="Calibri"/>
                <w:b w:val="0"/>
                <w:sz w:val="20"/>
                <w:szCs w:val="20"/>
                <w:lang w:eastAsia="sr-Latn-ME"/>
              </w:rPr>
            </w:pPr>
            <w:r w:rsidRPr="000152CB">
              <w:rPr>
                <w:rFonts w:eastAsia="Times New Roman" w:cs="Calibri"/>
                <w:color w:val="000000"/>
                <w:sz w:val="20"/>
                <w:szCs w:val="20"/>
                <w:lang w:eastAsia="sr-Latn-ME"/>
              </w:rPr>
              <w:t>INDIKATOR UČINKA 1: Stepen realizacije infrastrukturnih rješenja</w:t>
            </w:r>
          </w:p>
        </w:tc>
        <w:tc>
          <w:tcPr>
            <w:tcW w:w="4289" w:type="dxa"/>
            <w:hideMark/>
          </w:tcPr>
          <w:p w14:paraId="646CB240" w14:textId="77777777" w:rsidR="00421FAC" w:rsidRPr="000152CB" w:rsidRDefault="00421FAC" w:rsidP="009D4F7C">
            <w:pPr>
              <w:ind w:left="270"/>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Calibri"/>
                <w:b/>
                <w:color w:val="000000"/>
                <w:sz w:val="20"/>
                <w:szCs w:val="20"/>
                <w:lang w:eastAsia="sr-Latn-ME"/>
              </w:rPr>
            </w:pPr>
            <w:r w:rsidRPr="000152CB">
              <w:rPr>
                <w:rFonts w:eastAsia="Times New Roman" w:cs="Calibri"/>
                <w:b/>
                <w:color w:val="000000"/>
                <w:sz w:val="20"/>
                <w:szCs w:val="20"/>
                <w:lang w:eastAsia="sr-Latn-ME"/>
              </w:rPr>
              <w:t>Početna vrijednost:</w:t>
            </w:r>
          </w:p>
          <w:p w14:paraId="38FF3FF4" w14:textId="77777777" w:rsidR="00421FAC" w:rsidRPr="000152CB" w:rsidRDefault="00421FAC" w:rsidP="009D4F7C">
            <w:pPr>
              <w:ind w:left="270"/>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Calibri"/>
                <w:b/>
                <w:color w:val="000000"/>
                <w:sz w:val="20"/>
                <w:szCs w:val="20"/>
                <w:lang w:eastAsia="sr-Latn-ME"/>
              </w:rPr>
            </w:pPr>
          </w:p>
          <w:p w14:paraId="33455366" w14:textId="77777777" w:rsidR="00421FAC" w:rsidRPr="000152CB" w:rsidRDefault="00421FAC" w:rsidP="009D4F7C">
            <w:pPr>
              <w:ind w:left="270"/>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Calibri"/>
                <w:bCs/>
                <w:sz w:val="20"/>
                <w:szCs w:val="20"/>
                <w:lang w:eastAsia="sr-Latn-ME"/>
              </w:rPr>
            </w:pPr>
            <w:r w:rsidRPr="000152CB">
              <w:rPr>
                <w:rFonts w:eastAsia="Times New Roman" w:cs="Calibri"/>
                <w:bCs/>
                <w:color w:val="000000"/>
                <w:sz w:val="20"/>
                <w:szCs w:val="20"/>
                <w:lang w:eastAsia="sr-Latn-ME"/>
              </w:rPr>
              <w:t>Ne postoji podatak o trenutnom % realizovanih infrastrukturnih rješenja</w:t>
            </w:r>
          </w:p>
          <w:p w14:paraId="059D4F25" w14:textId="77777777" w:rsidR="00421FAC" w:rsidRPr="000152CB" w:rsidRDefault="00421FAC" w:rsidP="009D4F7C">
            <w:pPr>
              <w:ind w:left="270"/>
              <w:jc w:val="center"/>
              <w:cnfStyle w:val="000000100000" w:firstRow="0" w:lastRow="0" w:firstColumn="0" w:lastColumn="0" w:oddVBand="0" w:evenVBand="0" w:oddHBand="1" w:evenHBand="0" w:firstRowFirstColumn="0" w:firstRowLastColumn="0" w:lastRowFirstColumn="0" w:lastRowLastColumn="0"/>
              <w:rPr>
                <w:rFonts w:eastAsia="Times New Roman" w:cs="Calibri"/>
                <w:b/>
                <w:sz w:val="20"/>
                <w:szCs w:val="20"/>
                <w:lang w:eastAsia="sr-Latn-ME"/>
              </w:rPr>
            </w:pPr>
          </w:p>
        </w:tc>
        <w:tc>
          <w:tcPr>
            <w:tcW w:w="3503" w:type="dxa"/>
          </w:tcPr>
          <w:p w14:paraId="7EF1DECF" w14:textId="77777777" w:rsidR="00421FAC" w:rsidRPr="000152CB" w:rsidRDefault="00421FAC" w:rsidP="009D4F7C">
            <w:pPr>
              <w:ind w:left="270"/>
              <w:jc w:val="center"/>
              <w:cnfStyle w:val="000000100000" w:firstRow="0" w:lastRow="0" w:firstColumn="0" w:lastColumn="0" w:oddVBand="0" w:evenVBand="0" w:oddHBand="1" w:evenHBand="0" w:firstRowFirstColumn="0" w:firstRowLastColumn="0" w:lastRowFirstColumn="0" w:lastRowLastColumn="0"/>
              <w:rPr>
                <w:rFonts w:eastAsia="Times New Roman" w:cs="Calibri"/>
                <w:b/>
                <w:color w:val="000000"/>
                <w:sz w:val="20"/>
                <w:szCs w:val="20"/>
                <w:lang w:eastAsia="sr-Latn-ME"/>
              </w:rPr>
            </w:pPr>
            <w:r w:rsidRPr="000152CB">
              <w:rPr>
                <w:rFonts w:eastAsia="Times New Roman" w:cs="Calibri"/>
                <w:b/>
                <w:color w:val="000000"/>
                <w:sz w:val="20"/>
                <w:szCs w:val="20"/>
                <w:lang w:eastAsia="sr-Latn-ME"/>
              </w:rPr>
              <w:t>Prelazna vrijednost:</w:t>
            </w:r>
          </w:p>
          <w:p w14:paraId="1FFD9706" w14:textId="77777777" w:rsidR="00421FAC" w:rsidRPr="000152CB" w:rsidRDefault="00421FAC" w:rsidP="009D4F7C">
            <w:pPr>
              <w:ind w:left="270"/>
              <w:jc w:val="center"/>
              <w:cnfStyle w:val="000000100000" w:firstRow="0" w:lastRow="0" w:firstColumn="0" w:lastColumn="0" w:oddVBand="0" w:evenVBand="0" w:oddHBand="1" w:evenHBand="0" w:firstRowFirstColumn="0" w:firstRowLastColumn="0" w:lastRowFirstColumn="0" w:lastRowLastColumn="0"/>
              <w:rPr>
                <w:rFonts w:eastAsia="Times New Roman" w:cs="Calibri"/>
                <w:b/>
                <w:color w:val="000000"/>
                <w:sz w:val="20"/>
                <w:szCs w:val="20"/>
                <w:lang w:eastAsia="sr-Latn-ME"/>
              </w:rPr>
            </w:pPr>
          </w:p>
          <w:p w14:paraId="5E978357" w14:textId="77777777" w:rsidR="00421FAC" w:rsidRPr="000152CB" w:rsidRDefault="00421FAC" w:rsidP="009D4F7C">
            <w:pPr>
              <w:ind w:left="270"/>
              <w:jc w:val="center"/>
              <w:cnfStyle w:val="000000100000" w:firstRow="0" w:lastRow="0" w:firstColumn="0" w:lastColumn="0" w:oddVBand="0" w:evenVBand="0" w:oddHBand="1" w:evenHBand="0" w:firstRowFirstColumn="0" w:firstRowLastColumn="0" w:lastRowFirstColumn="0" w:lastRowLastColumn="0"/>
              <w:rPr>
                <w:rFonts w:eastAsia="Times New Roman" w:cs="Calibri"/>
                <w:bCs/>
                <w:color w:val="000000"/>
                <w:sz w:val="20"/>
                <w:szCs w:val="20"/>
                <w:lang w:eastAsia="sr-Latn-ME"/>
              </w:rPr>
            </w:pPr>
            <w:r w:rsidRPr="000152CB">
              <w:rPr>
                <w:rFonts w:eastAsia="Times New Roman" w:cs="Calibri"/>
                <w:bCs/>
                <w:color w:val="000000"/>
                <w:sz w:val="20"/>
                <w:szCs w:val="20"/>
                <w:lang w:eastAsia="sr-Latn-ME"/>
              </w:rPr>
              <w:t xml:space="preserve">60% planiranih infrastrukturnih rješenja je realizovano </w:t>
            </w:r>
          </w:p>
        </w:tc>
        <w:tc>
          <w:tcPr>
            <w:tcW w:w="4005" w:type="dxa"/>
          </w:tcPr>
          <w:p w14:paraId="7596895A" w14:textId="77777777" w:rsidR="00421FAC" w:rsidRPr="000152CB" w:rsidRDefault="00421FAC" w:rsidP="009D4F7C">
            <w:pPr>
              <w:ind w:left="270"/>
              <w:jc w:val="center"/>
              <w:cnfStyle w:val="000000100000" w:firstRow="0" w:lastRow="0" w:firstColumn="0" w:lastColumn="0" w:oddVBand="0" w:evenVBand="0" w:oddHBand="1" w:evenHBand="0" w:firstRowFirstColumn="0" w:firstRowLastColumn="0" w:lastRowFirstColumn="0" w:lastRowLastColumn="0"/>
              <w:rPr>
                <w:rFonts w:eastAsia="Times New Roman" w:cs="Calibri"/>
                <w:b/>
                <w:color w:val="000000"/>
                <w:sz w:val="20"/>
                <w:szCs w:val="20"/>
                <w:lang w:eastAsia="sr-Latn-ME"/>
              </w:rPr>
            </w:pPr>
            <w:r w:rsidRPr="000152CB">
              <w:rPr>
                <w:rFonts w:eastAsia="Times New Roman" w:cs="Calibri"/>
                <w:b/>
                <w:color w:val="000000"/>
                <w:sz w:val="20"/>
                <w:szCs w:val="20"/>
                <w:lang w:eastAsia="sr-Latn-ME"/>
              </w:rPr>
              <w:t>Ciljna vrijednost:</w:t>
            </w:r>
          </w:p>
          <w:p w14:paraId="2B203F5A" w14:textId="77777777" w:rsidR="00421FAC" w:rsidRPr="000152CB" w:rsidRDefault="00421FAC" w:rsidP="009D4F7C">
            <w:pPr>
              <w:ind w:left="270"/>
              <w:jc w:val="center"/>
              <w:cnfStyle w:val="000000100000" w:firstRow="0" w:lastRow="0" w:firstColumn="0" w:lastColumn="0" w:oddVBand="0" w:evenVBand="0" w:oddHBand="1" w:evenHBand="0" w:firstRowFirstColumn="0" w:firstRowLastColumn="0" w:lastRowFirstColumn="0" w:lastRowLastColumn="0"/>
              <w:rPr>
                <w:rFonts w:eastAsia="Times New Roman" w:cs="Calibri"/>
                <w:b/>
                <w:color w:val="000000"/>
                <w:sz w:val="20"/>
                <w:szCs w:val="20"/>
                <w:lang w:eastAsia="sr-Latn-ME"/>
              </w:rPr>
            </w:pPr>
          </w:p>
          <w:p w14:paraId="0F2B2AB4" w14:textId="77777777" w:rsidR="00421FAC" w:rsidRPr="000152CB" w:rsidRDefault="00421FAC" w:rsidP="009D4F7C">
            <w:pPr>
              <w:ind w:left="270"/>
              <w:jc w:val="center"/>
              <w:cnfStyle w:val="000000100000" w:firstRow="0" w:lastRow="0" w:firstColumn="0" w:lastColumn="0" w:oddVBand="0" w:evenVBand="0" w:oddHBand="1" w:evenHBand="0" w:firstRowFirstColumn="0" w:firstRowLastColumn="0" w:lastRowFirstColumn="0" w:lastRowLastColumn="0"/>
              <w:rPr>
                <w:rFonts w:eastAsia="Times New Roman" w:cs="Calibri"/>
                <w:bCs/>
                <w:color w:val="000000"/>
                <w:sz w:val="20"/>
                <w:szCs w:val="20"/>
                <w:lang w:eastAsia="sr-Latn-ME"/>
              </w:rPr>
            </w:pPr>
            <w:r w:rsidRPr="000152CB">
              <w:rPr>
                <w:rFonts w:eastAsia="Times New Roman" w:cs="Calibri"/>
                <w:bCs/>
                <w:color w:val="000000"/>
                <w:sz w:val="20"/>
                <w:szCs w:val="20"/>
                <w:lang w:eastAsia="sr-Latn-ME"/>
              </w:rPr>
              <w:t xml:space="preserve">100%planiranih infrastrukturnih rješenja je realizovano </w:t>
            </w:r>
          </w:p>
          <w:p w14:paraId="0611E80D" w14:textId="77777777" w:rsidR="00421FAC" w:rsidRPr="000152CB" w:rsidRDefault="00421FAC" w:rsidP="009D4F7C">
            <w:pPr>
              <w:ind w:left="270"/>
              <w:jc w:val="center"/>
              <w:cnfStyle w:val="000000100000" w:firstRow="0" w:lastRow="0" w:firstColumn="0" w:lastColumn="0" w:oddVBand="0" w:evenVBand="0" w:oddHBand="1" w:evenHBand="0" w:firstRowFirstColumn="0" w:firstRowLastColumn="0" w:lastRowFirstColumn="0" w:lastRowLastColumn="0"/>
              <w:rPr>
                <w:rFonts w:eastAsia="Times New Roman" w:cs="Calibri"/>
                <w:b/>
                <w:sz w:val="20"/>
                <w:szCs w:val="20"/>
                <w:lang w:eastAsia="sr-Latn-ME"/>
              </w:rPr>
            </w:pPr>
          </w:p>
        </w:tc>
      </w:tr>
      <w:tr w:rsidR="00421FAC" w:rsidRPr="000152CB" w14:paraId="5E2EB221" w14:textId="77777777" w:rsidTr="00421FAC">
        <w:trPr>
          <w:trHeight w:val="610"/>
        </w:trPr>
        <w:tc>
          <w:tcPr>
            <w:cnfStyle w:val="001000000000" w:firstRow="0" w:lastRow="0" w:firstColumn="1" w:lastColumn="0" w:oddVBand="0" w:evenVBand="0" w:oddHBand="0" w:evenHBand="0" w:firstRowFirstColumn="0" w:firstRowLastColumn="0" w:lastRowFirstColumn="0" w:lastRowLastColumn="0"/>
            <w:tcW w:w="2423" w:type="dxa"/>
          </w:tcPr>
          <w:p w14:paraId="31DD5B21" w14:textId="77777777" w:rsidR="00421FAC" w:rsidRPr="000152CB" w:rsidRDefault="00421FAC" w:rsidP="00421FAC">
            <w:pPr>
              <w:rPr>
                <w:rFonts w:eastAsia="Times New Roman" w:cs="Calibri"/>
                <w:b w:val="0"/>
                <w:color w:val="000000"/>
                <w:sz w:val="20"/>
                <w:szCs w:val="20"/>
                <w:lang w:eastAsia="sr-Latn-ME"/>
              </w:rPr>
            </w:pPr>
            <w:r w:rsidRPr="000152CB">
              <w:rPr>
                <w:rFonts w:eastAsia="Times New Roman" w:cs="Calibri"/>
                <w:color w:val="000000"/>
                <w:sz w:val="20"/>
                <w:szCs w:val="20"/>
                <w:lang w:eastAsia="sr-Latn-ME"/>
              </w:rPr>
              <w:t>INDIKATOR UČINKA 2:</w:t>
            </w:r>
          </w:p>
          <w:p w14:paraId="13FDD3A3" w14:textId="77777777" w:rsidR="00421FAC" w:rsidRPr="000152CB" w:rsidRDefault="00421FAC" w:rsidP="00421FAC">
            <w:pPr>
              <w:rPr>
                <w:rFonts w:eastAsia="Times New Roman" w:cs="Calibri"/>
                <w:b w:val="0"/>
                <w:color w:val="000000"/>
                <w:sz w:val="20"/>
                <w:szCs w:val="20"/>
                <w:highlight w:val="magenta"/>
                <w:lang w:eastAsia="sr-Latn-ME"/>
              </w:rPr>
            </w:pPr>
            <w:r w:rsidRPr="000152CB">
              <w:rPr>
                <w:rFonts w:eastAsia="Times New Roman" w:cs="Calibri"/>
                <w:color w:val="000000"/>
                <w:sz w:val="20"/>
                <w:szCs w:val="20"/>
                <w:lang w:eastAsia="sr-Latn-ME"/>
              </w:rPr>
              <w:t>Procenat smanjenih upućivanja iz hirurških i internističkih oblasti iz sjeverne i južne regije ka KCCG</w:t>
            </w:r>
          </w:p>
        </w:tc>
        <w:tc>
          <w:tcPr>
            <w:tcW w:w="4289" w:type="dxa"/>
          </w:tcPr>
          <w:p w14:paraId="0BACD51B" w14:textId="77777777" w:rsidR="00421FAC" w:rsidRPr="000152CB" w:rsidRDefault="00421FAC" w:rsidP="009D4F7C">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Calibri"/>
                <w:b/>
                <w:color w:val="000000"/>
                <w:sz w:val="20"/>
                <w:szCs w:val="20"/>
                <w:lang w:eastAsia="sr-Latn-ME"/>
              </w:rPr>
            </w:pPr>
            <w:r w:rsidRPr="000152CB">
              <w:rPr>
                <w:rFonts w:eastAsia="Times New Roman" w:cs="Calibri"/>
                <w:b/>
                <w:color w:val="000000"/>
                <w:sz w:val="20"/>
                <w:szCs w:val="20"/>
                <w:lang w:eastAsia="sr-Latn-ME"/>
              </w:rPr>
              <w:t>Početna vrijednost:</w:t>
            </w:r>
          </w:p>
          <w:p w14:paraId="00782BD4" w14:textId="77777777" w:rsidR="00421FAC" w:rsidRPr="000152CB" w:rsidRDefault="00421FAC" w:rsidP="009D4F7C">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Calibri"/>
                <w:b/>
                <w:color w:val="000000"/>
                <w:sz w:val="20"/>
                <w:szCs w:val="20"/>
                <w:lang w:eastAsia="sr-Latn-ME"/>
              </w:rPr>
            </w:pPr>
          </w:p>
          <w:p w14:paraId="1D360E47" w14:textId="77777777" w:rsidR="00421FAC" w:rsidRPr="000152CB" w:rsidRDefault="00421FAC" w:rsidP="009D4F7C">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Calibri"/>
                <w:bCs/>
                <w:color w:val="000000"/>
                <w:sz w:val="20"/>
                <w:szCs w:val="20"/>
                <w:lang w:eastAsia="sr-Latn-ME"/>
              </w:rPr>
            </w:pPr>
            <w:r w:rsidRPr="000152CB">
              <w:rPr>
                <w:rFonts w:eastAsia="Times New Roman" w:cs="Calibri"/>
                <w:bCs/>
                <w:color w:val="000000"/>
                <w:sz w:val="20"/>
                <w:szCs w:val="20"/>
                <w:lang w:eastAsia="sr-Latn-ME"/>
              </w:rPr>
              <w:t>Broj upućivanja u periodu od 12.04.2022-14.04.2023.godine</w:t>
            </w:r>
            <w:r w:rsidRPr="000152CB">
              <w:rPr>
                <w:rFonts w:eastAsia="Times New Roman" w:cs="Calibri"/>
                <w:bCs/>
                <w:color w:val="000000"/>
                <w:sz w:val="20"/>
                <w:szCs w:val="20"/>
                <w:vertAlign w:val="superscript"/>
                <w:lang w:eastAsia="sr-Latn-ME"/>
              </w:rPr>
              <w:footnoteReference w:id="3"/>
            </w:r>
          </w:p>
          <w:p w14:paraId="3DCE7E5B" w14:textId="77777777" w:rsidR="00421FAC" w:rsidRPr="000152CB" w:rsidRDefault="00421FAC" w:rsidP="009D4F7C">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Calibri"/>
                <w:bCs/>
                <w:color w:val="000000"/>
                <w:sz w:val="20"/>
                <w:szCs w:val="20"/>
                <w:lang w:eastAsia="sr-Latn-ME"/>
              </w:rPr>
            </w:pPr>
            <w:r w:rsidRPr="000152CB">
              <w:rPr>
                <w:rFonts w:eastAsia="Times New Roman" w:cs="Calibri"/>
                <w:bCs/>
                <w:color w:val="000000"/>
                <w:sz w:val="20"/>
                <w:szCs w:val="20"/>
                <w:lang w:eastAsia="sr-Latn-ME"/>
              </w:rPr>
              <w:t>Hirurška klinika: 2247 pacijenata</w:t>
            </w:r>
          </w:p>
          <w:p w14:paraId="35D22FC1" w14:textId="77777777" w:rsidR="00421FAC" w:rsidRPr="000152CB" w:rsidRDefault="00421FAC" w:rsidP="009D4F7C">
            <w:pPr>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Calibri"/>
                <w:bCs/>
                <w:color w:val="000000"/>
                <w:sz w:val="20"/>
                <w:szCs w:val="20"/>
                <w:lang w:eastAsia="sr-Latn-ME"/>
              </w:rPr>
            </w:pPr>
            <w:r w:rsidRPr="000152CB">
              <w:rPr>
                <w:rFonts w:eastAsia="Times New Roman" w:cs="Calibri"/>
                <w:bCs/>
                <w:color w:val="000000"/>
                <w:sz w:val="20"/>
                <w:szCs w:val="20"/>
                <w:lang w:eastAsia="sr-Latn-ME"/>
              </w:rPr>
              <w:t>Klinika za kardiologiju: 2262</w:t>
            </w:r>
          </w:p>
          <w:p w14:paraId="5B7ED43B" w14:textId="77777777" w:rsidR="00421FAC" w:rsidRPr="000152CB" w:rsidRDefault="00421FAC" w:rsidP="009D4F7C">
            <w:pPr>
              <w:ind w:left="270"/>
              <w:contextualSpacing/>
              <w:jc w:val="center"/>
              <w:cnfStyle w:val="000000000000" w:firstRow="0" w:lastRow="0" w:firstColumn="0" w:lastColumn="0" w:oddVBand="0" w:evenVBand="0" w:oddHBand="0" w:evenHBand="0" w:firstRowFirstColumn="0" w:firstRowLastColumn="0" w:lastRowFirstColumn="0" w:lastRowLastColumn="0"/>
              <w:rPr>
                <w:rFonts w:eastAsia="Times New Roman" w:cs="Calibri"/>
                <w:b/>
                <w:color w:val="000000"/>
                <w:sz w:val="20"/>
                <w:szCs w:val="20"/>
                <w:lang w:eastAsia="sr-Latn-ME"/>
              </w:rPr>
            </w:pPr>
          </w:p>
        </w:tc>
        <w:tc>
          <w:tcPr>
            <w:tcW w:w="3503" w:type="dxa"/>
          </w:tcPr>
          <w:p w14:paraId="2BA0C276" w14:textId="77777777" w:rsidR="00421FAC" w:rsidRPr="000152CB" w:rsidRDefault="00421FAC" w:rsidP="009D4F7C">
            <w:pPr>
              <w:ind w:left="270"/>
              <w:jc w:val="center"/>
              <w:cnfStyle w:val="000000000000" w:firstRow="0" w:lastRow="0" w:firstColumn="0" w:lastColumn="0" w:oddVBand="0" w:evenVBand="0" w:oddHBand="0" w:evenHBand="0" w:firstRowFirstColumn="0" w:firstRowLastColumn="0" w:lastRowFirstColumn="0" w:lastRowLastColumn="0"/>
              <w:rPr>
                <w:rFonts w:eastAsia="Times New Roman" w:cs="Calibri"/>
                <w:b/>
                <w:color w:val="000000"/>
                <w:sz w:val="20"/>
                <w:szCs w:val="20"/>
                <w:lang w:eastAsia="sr-Latn-ME"/>
              </w:rPr>
            </w:pPr>
            <w:r w:rsidRPr="000152CB">
              <w:rPr>
                <w:rFonts w:eastAsia="Times New Roman" w:cs="Calibri"/>
                <w:b/>
                <w:color w:val="000000"/>
                <w:sz w:val="20"/>
                <w:szCs w:val="20"/>
                <w:lang w:eastAsia="sr-Latn-ME"/>
              </w:rPr>
              <w:t>Prelazna vrijednost:</w:t>
            </w:r>
          </w:p>
          <w:p w14:paraId="5150F957" w14:textId="77777777" w:rsidR="00421FAC" w:rsidRPr="000152CB" w:rsidRDefault="00421FAC" w:rsidP="009D4F7C">
            <w:pPr>
              <w:ind w:left="270"/>
              <w:jc w:val="center"/>
              <w:cnfStyle w:val="000000000000" w:firstRow="0" w:lastRow="0" w:firstColumn="0" w:lastColumn="0" w:oddVBand="0" w:evenVBand="0" w:oddHBand="0" w:evenHBand="0" w:firstRowFirstColumn="0" w:firstRowLastColumn="0" w:lastRowFirstColumn="0" w:lastRowLastColumn="0"/>
              <w:rPr>
                <w:rFonts w:eastAsia="Times New Roman" w:cs="Calibri"/>
                <w:b/>
                <w:color w:val="000000"/>
                <w:sz w:val="20"/>
                <w:szCs w:val="20"/>
                <w:lang w:eastAsia="sr-Latn-ME"/>
              </w:rPr>
            </w:pPr>
          </w:p>
          <w:p w14:paraId="2A7A5B98" w14:textId="77777777" w:rsidR="00421FAC" w:rsidRPr="000152CB" w:rsidRDefault="00421FAC" w:rsidP="009D4F7C">
            <w:pPr>
              <w:ind w:left="270"/>
              <w:jc w:val="center"/>
              <w:cnfStyle w:val="000000000000" w:firstRow="0" w:lastRow="0" w:firstColumn="0" w:lastColumn="0" w:oddVBand="0" w:evenVBand="0" w:oddHBand="0" w:evenHBand="0" w:firstRowFirstColumn="0" w:firstRowLastColumn="0" w:lastRowFirstColumn="0" w:lastRowLastColumn="0"/>
              <w:rPr>
                <w:rFonts w:eastAsia="Times New Roman" w:cs="Calibri"/>
                <w:bCs/>
                <w:color w:val="000000"/>
                <w:sz w:val="20"/>
                <w:szCs w:val="20"/>
                <w:lang w:eastAsia="sr-Latn-ME"/>
              </w:rPr>
            </w:pPr>
            <w:r w:rsidRPr="000152CB">
              <w:rPr>
                <w:rFonts w:eastAsia="Times New Roman" w:cs="Calibri"/>
                <w:bCs/>
                <w:color w:val="000000"/>
                <w:sz w:val="20"/>
                <w:szCs w:val="20"/>
                <w:lang w:eastAsia="sr-Latn-ME"/>
              </w:rPr>
              <w:t>Procenat smanjenja upućivanja</w:t>
            </w:r>
          </w:p>
          <w:p w14:paraId="331899A8" w14:textId="77777777" w:rsidR="00421FAC" w:rsidRPr="000152CB" w:rsidRDefault="00421FAC" w:rsidP="009D4F7C">
            <w:pPr>
              <w:ind w:left="270"/>
              <w:jc w:val="center"/>
              <w:cnfStyle w:val="000000000000" w:firstRow="0" w:lastRow="0" w:firstColumn="0" w:lastColumn="0" w:oddVBand="0" w:evenVBand="0" w:oddHBand="0" w:evenHBand="0" w:firstRowFirstColumn="0" w:firstRowLastColumn="0" w:lastRowFirstColumn="0" w:lastRowLastColumn="0"/>
              <w:rPr>
                <w:rFonts w:eastAsia="Times New Roman" w:cs="Calibri"/>
                <w:bCs/>
                <w:color w:val="000000"/>
                <w:sz w:val="20"/>
                <w:szCs w:val="20"/>
                <w:lang w:eastAsia="sr-Latn-ME"/>
              </w:rPr>
            </w:pPr>
            <w:r w:rsidRPr="000152CB">
              <w:rPr>
                <w:rFonts w:eastAsia="Times New Roman" w:cs="Calibri"/>
                <w:bCs/>
                <w:color w:val="000000"/>
                <w:sz w:val="20"/>
                <w:szCs w:val="20"/>
                <w:lang w:eastAsia="sr-Latn-ME"/>
              </w:rPr>
              <w:t>Hirurška klinika za 5-10%</w:t>
            </w:r>
          </w:p>
          <w:p w14:paraId="51CB87CA" w14:textId="77777777" w:rsidR="00421FAC" w:rsidRPr="000152CB" w:rsidRDefault="00421FAC" w:rsidP="009D4F7C">
            <w:pPr>
              <w:ind w:left="270"/>
              <w:jc w:val="center"/>
              <w:cnfStyle w:val="000000000000" w:firstRow="0" w:lastRow="0" w:firstColumn="0" w:lastColumn="0" w:oddVBand="0" w:evenVBand="0" w:oddHBand="0" w:evenHBand="0" w:firstRowFirstColumn="0" w:firstRowLastColumn="0" w:lastRowFirstColumn="0" w:lastRowLastColumn="0"/>
              <w:rPr>
                <w:rFonts w:eastAsia="Times New Roman" w:cs="Calibri"/>
                <w:bCs/>
                <w:color w:val="000000"/>
                <w:sz w:val="20"/>
                <w:szCs w:val="20"/>
                <w:lang w:eastAsia="sr-Latn-ME"/>
              </w:rPr>
            </w:pPr>
            <w:r w:rsidRPr="000152CB">
              <w:rPr>
                <w:rFonts w:eastAsia="Times New Roman" w:cs="Calibri"/>
                <w:bCs/>
                <w:color w:val="000000"/>
                <w:sz w:val="20"/>
                <w:szCs w:val="20"/>
                <w:lang w:eastAsia="sr-Latn-ME"/>
              </w:rPr>
              <w:t>Klinika za kardiologiju: 5-10%</w:t>
            </w:r>
          </w:p>
          <w:p w14:paraId="08252E59" w14:textId="77777777" w:rsidR="00421FAC" w:rsidRPr="000152CB" w:rsidRDefault="00421FAC" w:rsidP="009D4F7C">
            <w:pPr>
              <w:ind w:left="270"/>
              <w:jc w:val="center"/>
              <w:cnfStyle w:val="000000000000" w:firstRow="0" w:lastRow="0" w:firstColumn="0" w:lastColumn="0" w:oddVBand="0" w:evenVBand="0" w:oddHBand="0" w:evenHBand="0" w:firstRowFirstColumn="0" w:firstRowLastColumn="0" w:lastRowFirstColumn="0" w:lastRowLastColumn="0"/>
              <w:rPr>
                <w:rFonts w:eastAsia="Times New Roman" w:cs="Calibri"/>
                <w:b/>
                <w:color w:val="000000"/>
                <w:sz w:val="20"/>
                <w:szCs w:val="20"/>
                <w:lang w:eastAsia="sr-Latn-ME"/>
              </w:rPr>
            </w:pPr>
          </w:p>
        </w:tc>
        <w:tc>
          <w:tcPr>
            <w:tcW w:w="4005" w:type="dxa"/>
          </w:tcPr>
          <w:p w14:paraId="156FB745" w14:textId="77777777" w:rsidR="00421FAC" w:rsidRPr="000152CB" w:rsidRDefault="00421FAC" w:rsidP="009D4F7C">
            <w:pPr>
              <w:ind w:left="270"/>
              <w:jc w:val="center"/>
              <w:cnfStyle w:val="000000000000" w:firstRow="0" w:lastRow="0" w:firstColumn="0" w:lastColumn="0" w:oddVBand="0" w:evenVBand="0" w:oddHBand="0" w:evenHBand="0" w:firstRowFirstColumn="0" w:firstRowLastColumn="0" w:lastRowFirstColumn="0" w:lastRowLastColumn="0"/>
              <w:rPr>
                <w:rFonts w:eastAsia="Times New Roman" w:cs="Calibri"/>
                <w:b/>
                <w:color w:val="000000"/>
                <w:sz w:val="20"/>
                <w:szCs w:val="20"/>
                <w:lang w:eastAsia="sr-Latn-ME"/>
              </w:rPr>
            </w:pPr>
            <w:r w:rsidRPr="000152CB">
              <w:rPr>
                <w:rFonts w:eastAsia="Times New Roman" w:cs="Calibri"/>
                <w:b/>
                <w:color w:val="000000"/>
                <w:sz w:val="20"/>
                <w:szCs w:val="20"/>
                <w:lang w:eastAsia="sr-Latn-ME"/>
              </w:rPr>
              <w:t>Ciljna vrijednost:</w:t>
            </w:r>
          </w:p>
          <w:p w14:paraId="79D6889C" w14:textId="77777777" w:rsidR="00421FAC" w:rsidRPr="000152CB" w:rsidRDefault="00421FAC" w:rsidP="009D4F7C">
            <w:pPr>
              <w:ind w:left="270"/>
              <w:jc w:val="center"/>
              <w:cnfStyle w:val="000000000000" w:firstRow="0" w:lastRow="0" w:firstColumn="0" w:lastColumn="0" w:oddVBand="0" w:evenVBand="0" w:oddHBand="0" w:evenHBand="0" w:firstRowFirstColumn="0" w:firstRowLastColumn="0" w:lastRowFirstColumn="0" w:lastRowLastColumn="0"/>
              <w:rPr>
                <w:rFonts w:eastAsia="Times New Roman" w:cs="Calibri"/>
                <w:b/>
                <w:color w:val="000000"/>
                <w:sz w:val="20"/>
                <w:szCs w:val="20"/>
                <w:lang w:eastAsia="sr-Latn-ME"/>
              </w:rPr>
            </w:pPr>
          </w:p>
          <w:p w14:paraId="3643D1DE" w14:textId="77777777" w:rsidR="00421FAC" w:rsidRPr="000152CB" w:rsidRDefault="00421FAC" w:rsidP="009D4F7C">
            <w:pPr>
              <w:ind w:left="270"/>
              <w:jc w:val="center"/>
              <w:cnfStyle w:val="000000000000" w:firstRow="0" w:lastRow="0" w:firstColumn="0" w:lastColumn="0" w:oddVBand="0" w:evenVBand="0" w:oddHBand="0" w:evenHBand="0" w:firstRowFirstColumn="0" w:firstRowLastColumn="0" w:lastRowFirstColumn="0" w:lastRowLastColumn="0"/>
              <w:rPr>
                <w:rFonts w:eastAsia="Times New Roman" w:cs="Calibri"/>
                <w:bCs/>
                <w:color w:val="000000"/>
                <w:sz w:val="20"/>
                <w:szCs w:val="20"/>
                <w:lang w:eastAsia="sr-Latn-ME"/>
              </w:rPr>
            </w:pPr>
            <w:r w:rsidRPr="000152CB">
              <w:rPr>
                <w:rFonts w:eastAsia="Times New Roman" w:cs="Calibri"/>
                <w:bCs/>
                <w:color w:val="000000"/>
                <w:sz w:val="20"/>
                <w:szCs w:val="20"/>
                <w:lang w:eastAsia="sr-Latn-ME"/>
              </w:rPr>
              <w:t>Procenat smanjenja upućivanja</w:t>
            </w:r>
          </w:p>
          <w:p w14:paraId="62D6FB9A" w14:textId="77777777" w:rsidR="00421FAC" w:rsidRPr="000152CB" w:rsidRDefault="00421FAC" w:rsidP="009D4F7C">
            <w:pPr>
              <w:ind w:left="270"/>
              <w:jc w:val="center"/>
              <w:cnfStyle w:val="000000000000" w:firstRow="0" w:lastRow="0" w:firstColumn="0" w:lastColumn="0" w:oddVBand="0" w:evenVBand="0" w:oddHBand="0" w:evenHBand="0" w:firstRowFirstColumn="0" w:firstRowLastColumn="0" w:lastRowFirstColumn="0" w:lastRowLastColumn="0"/>
              <w:rPr>
                <w:rFonts w:eastAsia="Times New Roman" w:cs="Calibri"/>
                <w:bCs/>
                <w:color w:val="000000"/>
                <w:sz w:val="20"/>
                <w:szCs w:val="20"/>
                <w:lang w:eastAsia="sr-Latn-ME"/>
              </w:rPr>
            </w:pPr>
            <w:r w:rsidRPr="000152CB">
              <w:rPr>
                <w:rFonts w:eastAsia="Times New Roman" w:cs="Calibri"/>
                <w:bCs/>
                <w:color w:val="000000"/>
                <w:sz w:val="20"/>
                <w:szCs w:val="20"/>
                <w:lang w:eastAsia="sr-Latn-ME"/>
              </w:rPr>
              <w:t>Hirurška klinika za 10-15%</w:t>
            </w:r>
          </w:p>
          <w:p w14:paraId="6C7F277F" w14:textId="77777777" w:rsidR="00421FAC" w:rsidRPr="000152CB" w:rsidRDefault="00421FAC" w:rsidP="009D4F7C">
            <w:pPr>
              <w:ind w:left="270"/>
              <w:jc w:val="center"/>
              <w:cnfStyle w:val="000000000000" w:firstRow="0" w:lastRow="0" w:firstColumn="0" w:lastColumn="0" w:oddVBand="0" w:evenVBand="0" w:oddHBand="0" w:evenHBand="0" w:firstRowFirstColumn="0" w:firstRowLastColumn="0" w:lastRowFirstColumn="0" w:lastRowLastColumn="0"/>
              <w:rPr>
                <w:rFonts w:eastAsia="Times New Roman" w:cs="Calibri"/>
                <w:bCs/>
                <w:color w:val="000000"/>
                <w:sz w:val="20"/>
                <w:szCs w:val="20"/>
                <w:lang w:eastAsia="sr-Latn-ME"/>
              </w:rPr>
            </w:pPr>
            <w:r w:rsidRPr="000152CB">
              <w:rPr>
                <w:rFonts w:eastAsia="Times New Roman" w:cs="Calibri"/>
                <w:bCs/>
                <w:color w:val="000000"/>
                <w:sz w:val="20"/>
                <w:szCs w:val="20"/>
                <w:lang w:eastAsia="sr-Latn-ME"/>
              </w:rPr>
              <w:t>Klinika za kardiologiju: 10-15%</w:t>
            </w:r>
          </w:p>
          <w:p w14:paraId="651B2A32" w14:textId="77777777" w:rsidR="00421FAC" w:rsidRPr="000152CB" w:rsidRDefault="00421FAC" w:rsidP="009D4F7C">
            <w:pPr>
              <w:ind w:left="270"/>
              <w:jc w:val="center"/>
              <w:cnfStyle w:val="000000000000" w:firstRow="0" w:lastRow="0" w:firstColumn="0" w:lastColumn="0" w:oddVBand="0" w:evenVBand="0" w:oddHBand="0" w:evenHBand="0" w:firstRowFirstColumn="0" w:firstRowLastColumn="0" w:lastRowFirstColumn="0" w:lastRowLastColumn="0"/>
              <w:rPr>
                <w:rFonts w:eastAsia="Times New Roman" w:cs="Calibri"/>
                <w:b/>
                <w:color w:val="000000"/>
                <w:sz w:val="20"/>
                <w:szCs w:val="20"/>
                <w:lang w:eastAsia="sr-Latn-ME"/>
              </w:rPr>
            </w:pPr>
          </w:p>
        </w:tc>
      </w:tr>
    </w:tbl>
    <w:p w14:paraId="7B020E1F" w14:textId="77777777" w:rsidR="000B5ED0" w:rsidRPr="000152CB" w:rsidRDefault="000B5ED0" w:rsidP="000B5ED0">
      <w:pPr>
        <w:jc w:val="both"/>
      </w:pPr>
    </w:p>
    <w:p w14:paraId="634EBF02" w14:textId="77777777" w:rsidR="00F80A08" w:rsidRPr="000152CB" w:rsidRDefault="00F80A08" w:rsidP="00F80A08">
      <w:pPr>
        <w:spacing w:before="100" w:beforeAutospacing="1" w:after="100" w:afterAutospacing="1" w:line="240" w:lineRule="auto"/>
        <w:jc w:val="both"/>
        <w:rPr>
          <w:rFonts w:eastAsia="Times New Roman" w:cstheme="minorHAnsi"/>
        </w:rPr>
      </w:pPr>
      <w:r w:rsidRPr="000152CB">
        <w:rPr>
          <w:rFonts w:eastAsia="Times New Roman" w:cstheme="minorHAnsi"/>
        </w:rPr>
        <w:t xml:space="preserve">U toku je značajan investicioni ciklus obnovе i izgradnje zdravstvenih ustanova. U aprilu 2025. obezbijeđen je </w:t>
      </w:r>
      <w:r w:rsidRPr="000152CB">
        <w:rPr>
          <w:rFonts w:eastAsia="Times New Roman" w:cstheme="minorHAnsi"/>
          <w:b/>
          <w:bCs/>
        </w:rPr>
        <w:t>kredit od 83 miliona eura od Razvojne banke Savjeta Evrope (CEB)</w:t>
      </w:r>
      <w:r w:rsidRPr="000152CB">
        <w:rPr>
          <w:rFonts w:eastAsia="Times New Roman" w:cstheme="minorHAnsi"/>
        </w:rPr>
        <w:t xml:space="preserve"> za podršku implementaciji strategije i modernizaciju infrastrukture. Prioritetni projekti koji će se finansirati ovim sredstvima uključuju izgradnju </w:t>
      </w:r>
      <w:r w:rsidRPr="000152CB">
        <w:rPr>
          <w:rFonts w:eastAsia="Times New Roman" w:cstheme="minorHAnsi"/>
          <w:b/>
          <w:bCs/>
        </w:rPr>
        <w:t>nove Opšte bolnice u Pljevljima</w:t>
      </w:r>
      <w:r w:rsidRPr="000152CB">
        <w:rPr>
          <w:rFonts w:eastAsia="Times New Roman" w:cstheme="minorHAnsi"/>
        </w:rPr>
        <w:t xml:space="preserve"> (zamjena za dotrajali postojeći objekat, radi poboljšanja zdravstvene zaštite na </w:t>
      </w:r>
      <w:r w:rsidRPr="000152CB">
        <w:rPr>
          <w:rFonts w:eastAsia="Times New Roman" w:cstheme="minorHAnsi"/>
        </w:rPr>
        <w:lastRenderedPageBreak/>
        <w:t xml:space="preserve">sjeveru), </w:t>
      </w:r>
      <w:r w:rsidRPr="000152CB">
        <w:rPr>
          <w:rFonts w:eastAsia="Times New Roman" w:cstheme="minorHAnsi"/>
          <w:b/>
          <w:bCs/>
        </w:rPr>
        <w:t>novog Doma zdravlja u podgoričkom naselju City kvart</w:t>
      </w:r>
      <w:r w:rsidRPr="000152CB">
        <w:rPr>
          <w:rFonts w:eastAsia="Times New Roman" w:cstheme="minorHAnsi"/>
        </w:rPr>
        <w:t xml:space="preserve"> (radi rješavanja preopterećenosti postojeće primarne zaštite u Glavnom gradu) i izgradnju </w:t>
      </w:r>
      <w:r w:rsidRPr="000152CB">
        <w:rPr>
          <w:rFonts w:eastAsia="Times New Roman" w:cstheme="minorHAnsi"/>
          <w:b/>
          <w:bCs/>
        </w:rPr>
        <w:t>nove Klinike za hematologiju u KCCG</w:t>
      </w:r>
      <w:r w:rsidRPr="000152CB">
        <w:rPr>
          <w:rFonts w:eastAsia="Times New Roman" w:cstheme="minorHAnsi"/>
        </w:rPr>
        <w:t xml:space="preserve"> kao dijela proširenja kapaciteta za specijalizovanu zdravstvenu njegu. Osim građevinskih radova, projekat podrazumijeva i </w:t>
      </w:r>
      <w:r w:rsidRPr="000152CB">
        <w:rPr>
          <w:rFonts w:eastAsia="Times New Roman" w:cstheme="minorHAnsi"/>
          <w:b/>
          <w:bCs/>
        </w:rPr>
        <w:t>nabavku najsavremenije opreme</w:t>
      </w:r>
      <w:r w:rsidRPr="000152CB">
        <w:rPr>
          <w:rFonts w:eastAsia="Times New Roman" w:cstheme="minorHAnsi"/>
        </w:rPr>
        <w:t xml:space="preserve"> za zdravstvene ustanove širom zemlje – uključujući više novih MRI i CT skenera – kako bi se poboljšala dijagnostika i liječenje. Već tokom 2024. izvršena je modernizacija pojedinih odjeljenja u postojećim bolnicama: na primjer, u Opštoj bolnici Bar obnovljen je Odsjek za dijalizu, u KCCG su rekonstruisane prostorije Klinike za onkologiju, a Dom zdravlja u Andrijevici je dobio novo sanitetsko vozilo i proširene ambulante (prema saopštenjima lokalnih vlasti i medija). Takođe, kroz donacije i sredstva EU, nekoliko seoskih ambulanti i zdravstvenih stanica je opremljeno novim vozilima i telekomunikacionom opremom za </w:t>
      </w:r>
      <w:r w:rsidRPr="000152CB">
        <w:rPr>
          <w:rFonts w:eastAsia="Times New Roman" w:cstheme="minorHAnsi"/>
          <w:b/>
          <w:bCs/>
        </w:rPr>
        <w:t>telemedicinsku konsultaciju</w:t>
      </w:r>
      <w:r w:rsidRPr="000152CB">
        <w:rPr>
          <w:rFonts w:eastAsia="Times New Roman" w:cstheme="minorHAnsi"/>
        </w:rPr>
        <w:t>, što poboljšava dostupnost usluga u ruralnim predjelima.</w:t>
      </w:r>
    </w:p>
    <w:p w14:paraId="1F92F05B" w14:textId="372528B1" w:rsidR="000B5ED0" w:rsidRPr="000152CB" w:rsidRDefault="000B5ED0" w:rsidP="000B5ED0">
      <w:pPr>
        <w:jc w:val="both"/>
      </w:pPr>
      <w:r w:rsidRPr="000152CB">
        <w:t>Dana 19. decembra 2024. godine</w:t>
      </w:r>
      <w:r w:rsidR="00443D5C">
        <w:t>,</w:t>
      </w:r>
      <w:r w:rsidRPr="000152CB">
        <w:t xml:space="preserve"> otvorene su Klinika za infektivne bolesti i Klinika za dermatovenerologiju, koje su odmah stavljene u funkciju, čime je značajno unaprijeđena dostupnost i kvalitet zdravstvene zaštite u ovim oblastima. Takođe, radovi na novoj Klinici za mentalno zdravlje (psihijatriju) započeli su krajem jula 2022. godine, a ukupna ugovorena vrijednost projekta izgradnje i opremanja iznosila je 7.314.390,72 eura. Novi objekat Klinike za psihijatriju u okviru Kliničkog centra Crne Gore otvoren 18. septembra 2024. godine u Podgorici.</w:t>
      </w:r>
    </w:p>
    <w:p w14:paraId="329D6097" w14:textId="77777777" w:rsidR="000B5ED0" w:rsidRPr="000152CB" w:rsidRDefault="000B5ED0" w:rsidP="000B5ED0">
      <w:pPr>
        <w:jc w:val="both"/>
      </w:pPr>
      <w:r w:rsidRPr="000152CB">
        <w:t>Izgradnja Centra za kontrolu i prevenciju zaraznih bolesti, sa Operativnim centrom za vanredne situacije, završena je u martu 2024. godine. Paralelno, u februaru 2024. godine završena je adaptacija i opremanje devet mikrobioloških laboratorija u zdravstvenim ustanovama, za koje je nakon godinu dana istekao garantni rok.</w:t>
      </w:r>
    </w:p>
    <w:p w14:paraId="44897F06" w14:textId="77777777" w:rsidR="000B5ED0" w:rsidRPr="000152CB" w:rsidRDefault="000B5ED0" w:rsidP="000B5ED0">
      <w:pPr>
        <w:jc w:val="both"/>
      </w:pPr>
      <w:r w:rsidRPr="000152CB">
        <w:t>U toku su aktivnosti na izgradnji Opšte bolnice u Pljevljima, za koju je izrađen i revidovan glavni projekat. Za navedeni objekat odlučeno je da se realizuje po principu „projektuj i izgradi“; raspisan je tender, izabran izvođač radova (konzorcijum), a projektovanje je započeto u novembru 2024. godine, dok se završetak revidovanog glavnog projekta očekuje do četvrtog kvartala ove godine.</w:t>
      </w:r>
    </w:p>
    <w:p w14:paraId="0BEDF7E2" w14:textId="77777777" w:rsidR="000B5ED0" w:rsidRPr="000152CB" w:rsidRDefault="000B5ED0" w:rsidP="000B5ED0">
      <w:pPr>
        <w:jc w:val="both"/>
      </w:pPr>
      <w:r w:rsidRPr="000152CB">
        <w:t>Ministarstvo ekologije, prostornog planiranja i urbanizma raspisalo je međunarodne konkurse za izradu idejnih arhitektonskih rješenja za Urgentni centar u okviru Kliničkog centra Crne Gore, kao i za objekat doma zdravlja u City kvartu u Podgorici, čime se pokreće izgradnja novih infrastrukturnih kapaciteta u glavnom gradu.</w:t>
      </w:r>
    </w:p>
    <w:p w14:paraId="39754A92" w14:textId="77777777" w:rsidR="000B5ED0" w:rsidRPr="000152CB" w:rsidRDefault="000B5ED0" w:rsidP="000B5ED0">
      <w:pPr>
        <w:jc w:val="both"/>
      </w:pPr>
      <w:r w:rsidRPr="000152CB">
        <w:t>U saradnji sa Međunarodnom agencijom za atomsku energiju (IAEA), utvrđeno je da nije moguće rekonstruisati postojeći objekat stare onkologije, te je donijeta odluka o izgradnji novog objekta. Glavni projekat je završen i revidovan, a u toku je priprema za raspisivanje tendera za izbor izvođača radova, pri čemu je planirano da radovi budu završeni u roku od 18 mjeseci od uvođenja izvođača u posao.</w:t>
      </w:r>
    </w:p>
    <w:p w14:paraId="0694B2C5" w14:textId="77777777" w:rsidR="000B5ED0" w:rsidRPr="000152CB" w:rsidRDefault="000B5ED0" w:rsidP="000B5ED0">
      <w:pPr>
        <w:jc w:val="both"/>
      </w:pPr>
      <w:r w:rsidRPr="000152CB">
        <w:t>U kontinuitetu traje saradnja sa Evropskom bankom za obnovu i razvoj (EBRD) na sprovođenju pripremnih aktivnosti koje će omogućiti izbor izvođača i uspješnu implementaciju projekata energetske efikasnosti u zdravstvenim ustanovama širom Crne Gore. Takođe, ojačani su kadrovski kapaciteti, posebno u novoformiranim klinikama pri Opštoj bolnici Kotor i Opštoj bolnici Berane.</w:t>
      </w:r>
    </w:p>
    <w:p w14:paraId="3AB25D0D" w14:textId="1E467D06" w:rsidR="00421FAC" w:rsidRPr="000152CB" w:rsidRDefault="000B5ED0" w:rsidP="003F3DEB">
      <w:pPr>
        <w:jc w:val="both"/>
      </w:pPr>
      <w:r w:rsidRPr="000152CB">
        <w:lastRenderedPageBreak/>
        <w:t>U cilju jačanja spremnosti zdravstvenog sistema za vanredne situacije, izrađen je Model plana pripremljenosti i odgovora na zdravstvene krize na bolničkom nivou, ali simulaciona vježba za testiranje pripremljenosti bolnica za ovakve situacije još uvijek nije sprovedena.</w:t>
      </w:r>
    </w:p>
    <w:p w14:paraId="15F05C38" w14:textId="4D0AB183" w:rsidR="00F77A00" w:rsidRPr="000152CB" w:rsidRDefault="002505AB" w:rsidP="002505AB">
      <w:pPr>
        <w:pStyle w:val="Naslov1"/>
      </w:pPr>
      <w:bookmarkStart w:id="14" w:name="_Toc202039252"/>
      <w:r w:rsidRPr="000152CB">
        <w:t>IZAZOVI I PREPREKE U IMPLEMENTACIJI STRATEGIJE</w:t>
      </w:r>
      <w:bookmarkEnd w:id="14"/>
    </w:p>
    <w:p w14:paraId="410E99D9" w14:textId="77777777" w:rsidR="00F77A00" w:rsidRPr="000152CB" w:rsidRDefault="00F77A00" w:rsidP="00F77A00">
      <w:pPr>
        <w:spacing w:before="100" w:beforeAutospacing="1" w:after="100" w:afterAutospacing="1" w:line="240" w:lineRule="auto"/>
        <w:jc w:val="both"/>
        <w:rPr>
          <w:rFonts w:eastAsia="Times New Roman" w:cstheme="minorHAnsi"/>
        </w:rPr>
      </w:pPr>
      <w:r w:rsidRPr="000152CB">
        <w:rPr>
          <w:rFonts w:eastAsia="Times New Roman" w:cstheme="minorHAnsi"/>
        </w:rPr>
        <w:t xml:space="preserve">Iako su ostvareni značajni pomaci, implementacija strategije prati i niz </w:t>
      </w:r>
      <w:r w:rsidRPr="000152CB">
        <w:rPr>
          <w:rFonts w:eastAsia="Times New Roman" w:cstheme="minorHAnsi"/>
          <w:b/>
          <w:bCs/>
        </w:rPr>
        <w:t>izazova</w:t>
      </w:r>
      <w:r w:rsidRPr="000152CB">
        <w:rPr>
          <w:rFonts w:eastAsia="Times New Roman" w:cstheme="minorHAnsi"/>
        </w:rPr>
        <w:t xml:space="preserve"> i prepreka koje su identifikovane tokom 2023–2025:</w:t>
      </w:r>
    </w:p>
    <w:p w14:paraId="6830FAF0" w14:textId="2D8CA778" w:rsidR="00F77A00" w:rsidRPr="000152CB" w:rsidRDefault="00F77A00" w:rsidP="00B86673">
      <w:pPr>
        <w:numPr>
          <w:ilvl w:val="0"/>
          <w:numId w:val="2"/>
        </w:numPr>
        <w:spacing w:before="100" w:beforeAutospacing="1" w:after="100" w:afterAutospacing="1" w:line="240" w:lineRule="auto"/>
        <w:jc w:val="both"/>
        <w:rPr>
          <w:rFonts w:eastAsia="Times New Roman" w:cstheme="minorHAnsi"/>
        </w:rPr>
      </w:pPr>
      <w:r w:rsidRPr="000152CB">
        <w:rPr>
          <w:rFonts w:eastAsia="Times New Roman" w:cstheme="minorHAnsi"/>
          <w:b/>
          <w:bCs/>
        </w:rPr>
        <w:t>Nedostatak kadrovskih kapaciteta:</w:t>
      </w:r>
      <w:r w:rsidRPr="000152CB">
        <w:rPr>
          <w:rFonts w:eastAsia="Times New Roman" w:cstheme="minorHAnsi"/>
        </w:rPr>
        <w:t xml:space="preserve"> Hronični manjak specijalista u određenim granama (poput reumatologije, endokrinologije, radiologije) usporava ostvarenje univerzalne dostupnosti usluga. Dugogodišnji odliv ljekara (zbog penzionisanja ili emigracije) stvara pritisak – primjer je podatak da je Crna Gora za samo četiri godine izgubila preko stotinu ljekara, što se odražava na liste čekanja i preopterećenost preostalih kadrova. Iako su uvedene stimulativne mjere, za efekat će trebati vremena dok nove generacije specijalista ne stupe u rad. U međuvremenu, pojedine službe zavise od prekovremenog rada, što dugoročno nije održivo i može uticati na kvalitet usluge zbog zamora osoblja.</w:t>
      </w:r>
    </w:p>
    <w:p w14:paraId="3A17B29D" w14:textId="080182AF" w:rsidR="00F77A00" w:rsidRPr="000152CB" w:rsidRDefault="00F77A00" w:rsidP="00B86673">
      <w:pPr>
        <w:numPr>
          <w:ilvl w:val="0"/>
          <w:numId w:val="2"/>
        </w:numPr>
        <w:spacing w:before="100" w:beforeAutospacing="1" w:after="100" w:afterAutospacing="1" w:line="240" w:lineRule="auto"/>
        <w:jc w:val="both"/>
        <w:rPr>
          <w:rFonts w:eastAsia="Times New Roman" w:cstheme="minorHAnsi"/>
        </w:rPr>
      </w:pPr>
      <w:r w:rsidRPr="000152CB">
        <w:rPr>
          <w:rFonts w:eastAsia="Times New Roman" w:cstheme="minorHAnsi"/>
          <w:b/>
          <w:bCs/>
        </w:rPr>
        <w:t>Finansijska održivost:</w:t>
      </w:r>
      <w:r w:rsidRPr="000152CB">
        <w:rPr>
          <w:rFonts w:eastAsia="Times New Roman" w:cstheme="minorHAnsi"/>
        </w:rPr>
        <w:t xml:space="preserve"> Implementacija strateških mjera zahtijeva velika ulaganja – kako u infrastrukturu i opremu, tako i u plate kadra i nabavku savremenih terapija. To predstavlja izazov za budžet. Primjer je nagli porast troškova za ljekove na </w:t>
      </w:r>
      <w:r w:rsidRPr="000152CB">
        <w:rPr>
          <w:rFonts w:eastAsia="Times New Roman" w:cstheme="minorHAnsi"/>
          <w:b/>
          <w:bCs/>
        </w:rPr>
        <w:t>preko 170 miliona € godišnje</w:t>
      </w:r>
      <w:r w:rsidRPr="000152CB">
        <w:rPr>
          <w:rFonts w:eastAsia="Times New Roman" w:cstheme="minorHAnsi"/>
        </w:rPr>
        <w:t>, usljed uvođenja novih terapija i inflacije cijena. Država se zasad obavezala da obezbijedi dodatna sredstva (kroz rebalanse i kredite), ali je dugoročno neophodno naći održiva rješenja za finansiranje. Dodatno, najavljeni infrastrukturni projekti (bolnice, domovi zdravlja) moraju se pažljivo voditi da ne dođe do kašnjenja ili prekoračenja troškova, što bi usporilo benefite strategije.</w:t>
      </w:r>
    </w:p>
    <w:p w14:paraId="3A2BFA51" w14:textId="24E5BFBF" w:rsidR="00F77A00" w:rsidRPr="000152CB" w:rsidRDefault="00F77A00" w:rsidP="00B86673">
      <w:pPr>
        <w:numPr>
          <w:ilvl w:val="0"/>
          <w:numId w:val="2"/>
        </w:numPr>
        <w:spacing w:before="100" w:beforeAutospacing="1" w:after="100" w:afterAutospacing="1" w:line="240" w:lineRule="auto"/>
        <w:jc w:val="both"/>
        <w:rPr>
          <w:rFonts w:eastAsia="Times New Roman" w:cstheme="minorHAnsi"/>
        </w:rPr>
      </w:pPr>
      <w:r w:rsidRPr="000152CB">
        <w:rPr>
          <w:rFonts w:eastAsia="Times New Roman" w:cstheme="minorHAnsi"/>
          <w:b/>
          <w:bCs/>
        </w:rPr>
        <w:t>Administrativni i tehnički kapaciteti:</w:t>
      </w:r>
      <w:r w:rsidRPr="000152CB">
        <w:rPr>
          <w:rFonts w:eastAsia="Times New Roman" w:cstheme="minorHAnsi"/>
        </w:rPr>
        <w:t xml:space="preserve"> </w:t>
      </w:r>
      <w:r w:rsidRPr="000152CB">
        <w:rPr>
          <w:rFonts w:eastAsia="Times New Roman" w:cstheme="minorHAnsi"/>
          <w:b/>
          <w:bCs/>
        </w:rPr>
        <w:t>Implementacija akcioniх planova</w:t>
      </w:r>
      <w:r w:rsidRPr="000152CB">
        <w:rPr>
          <w:rFonts w:eastAsia="Times New Roman" w:cstheme="minorHAnsi"/>
        </w:rPr>
        <w:t xml:space="preserve"> trpi zbog ograničenih administrativnih kapaciteta Ministarstva zdravlja. Izrada strategije otkrila je problem da ne postoje kvalitetne baze podataka o mnogim segmentima zdravstva, što otežava praćenje učinka mjera. I dalje se uspostavljaju sistemi za prikupljanje pouzdanih indikatora. Kao posljedica, teško je precizno evaluirati napredak nekih aktivnosti i pravovremeno reagovati. Tu je i birokratska sporost javnih nabavki – nabavke IT sistema, medicinske opreme i građevinski radovi nerijetko traju duže od planiranog zbog složenih procedura, žalbi ponuđača i sl. To može odložiti digitalizaciju ili izgradnju objekata.</w:t>
      </w:r>
    </w:p>
    <w:p w14:paraId="442EC1A1" w14:textId="38740F64" w:rsidR="00F77A00" w:rsidRPr="000152CB" w:rsidRDefault="00F77A00" w:rsidP="00B86673">
      <w:pPr>
        <w:numPr>
          <w:ilvl w:val="0"/>
          <w:numId w:val="2"/>
        </w:numPr>
        <w:spacing w:before="100" w:beforeAutospacing="1" w:after="100" w:afterAutospacing="1" w:line="240" w:lineRule="auto"/>
        <w:jc w:val="both"/>
        <w:rPr>
          <w:rFonts w:eastAsia="Times New Roman" w:cstheme="minorHAnsi"/>
        </w:rPr>
      </w:pPr>
      <w:r w:rsidRPr="000152CB">
        <w:rPr>
          <w:rFonts w:eastAsia="Times New Roman" w:cstheme="minorHAnsi"/>
          <w:b/>
          <w:bCs/>
        </w:rPr>
        <w:t>Otpor promjenama i koordinacija aktera:</w:t>
      </w:r>
      <w:r w:rsidRPr="000152CB">
        <w:rPr>
          <w:rFonts w:eastAsia="Times New Roman" w:cstheme="minorHAnsi"/>
        </w:rPr>
        <w:t xml:space="preserve"> Reforme u zdravstvu često nailaze na </w:t>
      </w:r>
      <w:r w:rsidRPr="000152CB">
        <w:rPr>
          <w:rFonts w:eastAsia="Times New Roman" w:cstheme="minorHAnsi"/>
          <w:b/>
          <w:bCs/>
        </w:rPr>
        <w:t>otpor unutar samog sistema</w:t>
      </w:r>
      <w:r w:rsidRPr="000152CB">
        <w:rPr>
          <w:rFonts w:eastAsia="Times New Roman" w:cstheme="minorHAnsi"/>
        </w:rPr>
        <w:t>. Na primjer, obavezno zadržavanje mladih ljekara u domovima zdravlja inicijalno je izazvalo negodovanje dijela stručne javnosti, uz argument da se time ograničava sloboda izbora. Takođe, pokušaji da se prošire ovlašćenja farmaceuta (npr. da izdaju određene lijekove bez recepta ili vrše osnovna mjerenja) naišli su na oprez doktora i zahtijevaju jasno definisanje protokola. Implementacija zahtijeva dobru koordinaciju: Ministarstvo zdravlja mora usklađeno djelovati sa Fondom za zdravstvo, Montefarmom, InstitutOM za javno zdravlje, strukovnim komorama i dr. U praksi se javljaju problemi komunikacije – npr. kašnjenja u razmjeni podataka između Montefarma i Fonda uticala su na planiranje budžeta za lijekove, što je djelimično uzrokovalo onaj nagli zahtjev za rebalansom u 2024. godini. Unapređenje međusektorske saradnje je stoga stalni izazov.</w:t>
      </w:r>
    </w:p>
    <w:p w14:paraId="50C70CE9" w14:textId="77777777" w:rsidR="00F77A00" w:rsidRPr="000152CB" w:rsidRDefault="00F77A00" w:rsidP="00B86673">
      <w:pPr>
        <w:numPr>
          <w:ilvl w:val="0"/>
          <w:numId w:val="2"/>
        </w:numPr>
        <w:spacing w:before="100" w:beforeAutospacing="1" w:after="100" w:afterAutospacing="1" w:line="240" w:lineRule="auto"/>
        <w:jc w:val="both"/>
        <w:rPr>
          <w:rFonts w:eastAsia="Times New Roman" w:cstheme="minorHAnsi"/>
        </w:rPr>
      </w:pPr>
      <w:r w:rsidRPr="000152CB">
        <w:rPr>
          <w:rFonts w:eastAsia="Times New Roman" w:cstheme="minorHAnsi"/>
          <w:b/>
          <w:bCs/>
        </w:rPr>
        <w:t>Geografske nejednakosti i dostupnost:</w:t>
      </w:r>
      <w:r w:rsidRPr="000152CB">
        <w:rPr>
          <w:rFonts w:eastAsia="Times New Roman" w:cstheme="minorHAnsi"/>
        </w:rPr>
        <w:t xml:space="preserve"> Iako strategija teži ravnomjernoj dostupnosti, u praksi </w:t>
      </w:r>
      <w:r w:rsidRPr="000152CB">
        <w:rPr>
          <w:rFonts w:eastAsia="Times New Roman" w:cstheme="minorHAnsi"/>
          <w:b/>
          <w:bCs/>
        </w:rPr>
        <w:t>razlike između regiona</w:t>
      </w:r>
      <w:r w:rsidRPr="000152CB">
        <w:rPr>
          <w:rFonts w:eastAsia="Times New Roman" w:cstheme="minorHAnsi"/>
        </w:rPr>
        <w:t xml:space="preserve"> ostaju. Sjeverni region i dalje ima manjak specijalista – dok se ne izgradi nova bolnica u Pljevljima i ne osnaže kadrovi, stanovnici sjevera često putuju u Podgoricu ili druge gradove za složenije preglede. Takođe, neke manje sredine nemaju 24-časovnu apoteku ili dostupnog pedijatra svakog </w:t>
      </w:r>
      <w:r w:rsidRPr="000152CB">
        <w:rPr>
          <w:rFonts w:eastAsia="Times New Roman" w:cstheme="minorHAnsi"/>
        </w:rPr>
        <w:lastRenderedPageBreak/>
        <w:t xml:space="preserve">dana. Tekući projekti (poput mobilnih timova specijalista koji povremeno dolaze u udaljene opštine) su počeli, ali njihov obim treba povećati. Ove nejednakosti predstavljaju izazov u ostvarivanju pune </w:t>
      </w:r>
      <w:r w:rsidRPr="000152CB">
        <w:rPr>
          <w:rFonts w:eastAsia="Times New Roman" w:cstheme="minorHAnsi"/>
          <w:b/>
          <w:bCs/>
        </w:rPr>
        <w:t>univerzalnosti zaštite</w:t>
      </w:r>
      <w:r w:rsidRPr="000152CB">
        <w:rPr>
          <w:rFonts w:eastAsia="Times New Roman" w:cstheme="minorHAnsi"/>
        </w:rPr>
        <w:t>.</w:t>
      </w:r>
    </w:p>
    <w:p w14:paraId="7F473529" w14:textId="2DD4202B" w:rsidR="00F77A00" w:rsidRPr="000152CB" w:rsidRDefault="00F77A00" w:rsidP="00B86673">
      <w:pPr>
        <w:numPr>
          <w:ilvl w:val="0"/>
          <w:numId w:val="2"/>
        </w:numPr>
        <w:spacing w:before="100" w:beforeAutospacing="1" w:after="100" w:afterAutospacing="1" w:line="240" w:lineRule="auto"/>
        <w:jc w:val="both"/>
        <w:rPr>
          <w:rFonts w:eastAsia="Times New Roman" w:cstheme="minorHAnsi"/>
        </w:rPr>
      </w:pPr>
      <w:r w:rsidRPr="000152CB">
        <w:rPr>
          <w:rFonts w:eastAsia="Times New Roman" w:cstheme="minorHAnsi"/>
          <w:b/>
          <w:bCs/>
        </w:rPr>
        <w:t>Nizak odziv na preventivne programe:</w:t>
      </w:r>
      <w:r w:rsidRPr="000152CB">
        <w:rPr>
          <w:rFonts w:eastAsia="Times New Roman" w:cstheme="minorHAnsi"/>
        </w:rPr>
        <w:t xml:space="preserve"> Kao što je pomenuto, </w:t>
      </w:r>
      <w:r w:rsidRPr="000152CB">
        <w:rPr>
          <w:rFonts w:eastAsia="Times New Roman" w:cstheme="minorHAnsi"/>
          <w:b/>
          <w:bCs/>
        </w:rPr>
        <w:t>kontinuirana edukacija stanovništva</w:t>
      </w:r>
      <w:r w:rsidRPr="000152CB">
        <w:rPr>
          <w:rFonts w:eastAsia="Times New Roman" w:cstheme="minorHAnsi"/>
        </w:rPr>
        <w:t xml:space="preserve"> ostaje potreba – mnogi građani ne učestvuju u skrining programima ili zanemaruju vakcinaciju. Stopa odziva na pozive za skrining karcinoma je ispod 50% u prosjeku, a odziv na HPV vakcinu je razočaravajuće nizak uprkos dostupnosti. Ove prepreke su dijelom kulturne/prourokovane nepovjerenjem, dezinformacijama ili nedovoljnom promocijom na lokalnom nivou. Izazov je kako doprijeti do </w:t>
      </w:r>
      <w:r w:rsidRPr="000152CB">
        <w:rPr>
          <w:rFonts w:eastAsia="Times New Roman" w:cstheme="minorHAnsi"/>
          <w:b/>
          <w:bCs/>
        </w:rPr>
        <w:t>ugroženih grupa</w:t>
      </w:r>
      <w:r w:rsidRPr="000152CB">
        <w:rPr>
          <w:rFonts w:eastAsia="Times New Roman" w:cstheme="minorHAnsi"/>
        </w:rPr>
        <w:t xml:space="preserve"> (npr. romske populacije, stanovništva iz ruralnih krajeva) i uključiti ih u preventivu. Bez većeg obuhvata, benefiti preventivnih mjera na populacionom nivou će izostati, što znači da se visoke stope obolijevanja (npr. od raka grlića – gdje CG ima najvišu stopu smrtnosti u Evropi) neće brzo smanjiti.</w:t>
      </w:r>
    </w:p>
    <w:p w14:paraId="69CF6306" w14:textId="3DE2E923" w:rsidR="00F77A00" w:rsidRPr="000152CB" w:rsidRDefault="00F77A00" w:rsidP="00B86673">
      <w:pPr>
        <w:numPr>
          <w:ilvl w:val="0"/>
          <w:numId w:val="2"/>
        </w:numPr>
        <w:spacing w:before="100" w:beforeAutospacing="1" w:after="100" w:afterAutospacing="1" w:line="240" w:lineRule="auto"/>
        <w:jc w:val="both"/>
        <w:rPr>
          <w:rFonts w:eastAsia="Times New Roman" w:cstheme="minorHAnsi"/>
        </w:rPr>
      </w:pPr>
      <w:r w:rsidRPr="000152CB">
        <w:rPr>
          <w:rFonts w:eastAsia="Times New Roman" w:cstheme="minorHAnsi"/>
          <w:b/>
          <w:bCs/>
        </w:rPr>
        <w:t>Održavanje kvaliteta usluga tokom reformi:</w:t>
      </w:r>
      <w:r w:rsidRPr="000152CB">
        <w:rPr>
          <w:rFonts w:eastAsia="Times New Roman" w:cstheme="minorHAnsi"/>
        </w:rPr>
        <w:t xml:space="preserve"> Kako se uvode nove usluge i proširuju kapaciteti, postoji rizik opadanja kvaliteta ako se ne implementiraju odgovarajuće </w:t>
      </w:r>
      <w:r w:rsidRPr="000152CB">
        <w:rPr>
          <w:rFonts w:eastAsia="Times New Roman" w:cstheme="minorHAnsi"/>
          <w:b/>
          <w:bCs/>
        </w:rPr>
        <w:t>kontrolne mjere</w:t>
      </w:r>
      <w:r w:rsidRPr="000152CB">
        <w:rPr>
          <w:rFonts w:eastAsia="Times New Roman" w:cstheme="minorHAnsi"/>
        </w:rPr>
        <w:t>. Primijećeno je da neke ustanove nemaju još razvijenu kulturu praćenja ishoda i standarda – npr. interni protokoli liječenja nisu ujednačeni svuda, što je istaknuto kao problem koji zahtijeva postavljanje standarda i protokola kao prioritet. Uveden je sistem akreditacije, ali do kraja 2025. nijedna bolnica još nije stekla međunarodnu akreditaciju – proces je u toku i treba ga ubrzati bez ugrožavanja kriterijuma. Takođe, prilikom uvođenja mladih ljekara u primarnu zaštitu, treba osigurati mentorstvo da kvalitet pregleda ne trpi dok stiču iskustvo.</w:t>
      </w:r>
    </w:p>
    <w:p w14:paraId="4C1D24B9" w14:textId="15008873" w:rsidR="00FD6E82" w:rsidRPr="000152CB" w:rsidRDefault="00CB448F" w:rsidP="009747B6">
      <w:pPr>
        <w:pStyle w:val="Naslov1"/>
      </w:pPr>
      <w:bookmarkStart w:id="15" w:name="_Toc202039253"/>
      <w:r>
        <w:t xml:space="preserve">III </w:t>
      </w:r>
      <w:r w:rsidR="00FD6E82" w:rsidRPr="000152CB">
        <w:t>TABELA ZA IZVJEŠTAVANJE:</w:t>
      </w:r>
      <w:bookmarkEnd w:id="15"/>
    </w:p>
    <w:p w14:paraId="15169C09" w14:textId="77777777" w:rsidR="00FD6E82" w:rsidRPr="000152CB" w:rsidRDefault="00FD6E82" w:rsidP="00FD6E82">
      <w:pPr>
        <w:spacing w:after="0" w:line="240" w:lineRule="auto"/>
        <w:rPr>
          <w:rFonts w:asciiTheme="majorHAnsi" w:eastAsiaTheme="majorEastAsia" w:hAnsiTheme="majorHAnsi" w:cstheme="majorBidi"/>
          <w:b/>
          <w:color w:val="2F5496" w:themeColor="accent1" w:themeShade="BF"/>
          <w:sz w:val="28"/>
          <w:szCs w:val="28"/>
        </w:rPr>
      </w:pPr>
    </w:p>
    <w:tbl>
      <w:tblPr>
        <w:tblW w:w="15565" w:type="dxa"/>
        <w:jc w:val="center"/>
        <w:tblCellMar>
          <w:top w:w="15" w:type="dxa"/>
          <w:left w:w="15" w:type="dxa"/>
          <w:bottom w:w="15" w:type="dxa"/>
          <w:right w:w="15" w:type="dxa"/>
        </w:tblCellMar>
        <w:tblLook w:val="04A0" w:firstRow="1" w:lastRow="0" w:firstColumn="1" w:lastColumn="0" w:noHBand="0" w:noVBand="1"/>
      </w:tblPr>
      <w:tblGrid>
        <w:gridCol w:w="2091"/>
        <w:gridCol w:w="313"/>
        <w:gridCol w:w="1657"/>
        <w:gridCol w:w="1796"/>
        <w:gridCol w:w="798"/>
        <w:gridCol w:w="719"/>
        <w:gridCol w:w="66"/>
        <w:gridCol w:w="115"/>
        <w:gridCol w:w="810"/>
        <w:gridCol w:w="967"/>
        <w:gridCol w:w="592"/>
        <w:gridCol w:w="252"/>
        <w:gridCol w:w="32"/>
        <w:gridCol w:w="119"/>
        <w:gridCol w:w="170"/>
        <w:gridCol w:w="808"/>
        <w:gridCol w:w="11"/>
        <w:gridCol w:w="379"/>
        <w:gridCol w:w="421"/>
        <w:gridCol w:w="476"/>
        <w:gridCol w:w="1164"/>
        <w:gridCol w:w="118"/>
        <w:gridCol w:w="140"/>
        <w:gridCol w:w="17"/>
        <w:gridCol w:w="29"/>
        <w:gridCol w:w="45"/>
        <w:gridCol w:w="20"/>
        <w:gridCol w:w="47"/>
        <w:gridCol w:w="1393"/>
      </w:tblGrid>
      <w:tr w:rsidR="00FD6E82" w:rsidRPr="000152CB" w14:paraId="2E2CD841" w14:textId="77777777" w:rsidTr="00E77388">
        <w:trPr>
          <w:trHeight w:val="710"/>
          <w:jc w:val="center"/>
        </w:trPr>
        <w:tc>
          <w:tcPr>
            <w:tcW w:w="2091"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Mar>
              <w:top w:w="0" w:type="dxa"/>
              <w:left w:w="108" w:type="dxa"/>
              <w:bottom w:w="0" w:type="dxa"/>
              <w:right w:w="108" w:type="dxa"/>
            </w:tcMar>
            <w:vAlign w:val="center"/>
            <w:hideMark/>
          </w:tcPr>
          <w:p w14:paraId="1F6CBC0B" w14:textId="77777777" w:rsidR="00FD6E82" w:rsidRPr="000152CB" w:rsidRDefault="00FD6E82" w:rsidP="00FD6E82">
            <w:pPr>
              <w:spacing w:after="0" w:line="240" w:lineRule="auto"/>
              <w:ind w:left="270"/>
              <w:jc w:val="center"/>
              <w:rPr>
                <w:rFonts w:eastAsia="Times New Roman" w:cs="Calibri"/>
                <w:b/>
                <w:sz w:val="20"/>
                <w:szCs w:val="20"/>
                <w:lang w:eastAsia="sr-Latn-ME"/>
              </w:rPr>
            </w:pPr>
            <w:bookmarkStart w:id="16" w:name="_Hlk128467196"/>
            <w:r w:rsidRPr="000152CB">
              <w:rPr>
                <w:rFonts w:eastAsia="Times New Roman" w:cs="Calibri"/>
                <w:b/>
                <w:color w:val="000000"/>
                <w:sz w:val="20"/>
                <w:szCs w:val="20"/>
                <w:lang w:eastAsia="sr-Latn-ME"/>
              </w:rPr>
              <w:t>STRATEŠKI CILJ 1</w:t>
            </w:r>
          </w:p>
        </w:tc>
        <w:tc>
          <w:tcPr>
            <w:tcW w:w="13474" w:type="dxa"/>
            <w:gridSpan w:val="28"/>
            <w:tcBorders>
              <w:top w:val="single" w:sz="4" w:space="0" w:color="000000"/>
              <w:left w:val="single" w:sz="4" w:space="0" w:color="000000"/>
              <w:bottom w:val="single" w:sz="4" w:space="0" w:color="000000"/>
              <w:right w:val="single" w:sz="4" w:space="0" w:color="000000"/>
            </w:tcBorders>
            <w:shd w:val="clear" w:color="auto" w:fill="8EAADB" w:themeFill="accent1" w:themeFillTint="99"/>
            <w:tcMar>
              <w:top w:w="0" w:type="dxa"/>
              <w:left w:w="108" w:type="dxa"/>
              <w:bottom w:w="0" w:type="dxa"/>
              <w:right w:w="108" w:type="dxa"/>
            </w:tcMar>
            <w:vAlign w:val="center"/>
            <w:hideMark/>
          </w:tcPr>
          <w:p w14:paraId="2976C35F" w14:textId="77777777" w:rsidR="00FD6E82" w:rsidRPr="000152CB" w:rsidRDefault="00FD6E82" w:rsidP="00FD6E82">
            <w:pPr>
              <w:spacing w:after="60" w:line="240" w:lineRule="auto"/>
              <w:ind w:left="270"/>
              <w:jc w:val="both"/>
              <w:rPr>
                <w:rFonts w:eastAsia="Times New Roman" w:cs="Calibri"/>
                <w:b/>
                <w:sz w:val="20"/>
                <w:szCs w:val="20"/>
                <w:lang w:eastAsia="sr-Latn-ME"/>
              </w:rPr>
            </w:pPr>
            <w:r w:rsidRPr="000152CB">
              <w:rPr>
                <w:rFonts w:eastAsia="Times New Roman" w:cs="Calibri"/>
                <w:b/>
                <w:sz w:val="20"/>
                <w:szCs w:val="20"/>
                <w:lang w:eastAsia="sr-Latn-ME"/>
              </w:rPr>
              <w:t xml:space="preserve">USPOSTAVLJEN NOVI MODEL PRUŽANJA PRIMARNE ZDRAVSTVENE ZAŠTITE KOJI PROMOVIŠE KVALITETNU ZDRAVSTVENU ZAŠTITU SA GRAĐANINOM U CENTRU PAŽNJE </w:t>
            </w:r>
          </w:p>
          <w:p w14:paraId="4C31D107" w14:textId="77777777" w:rsidR="00FD6E82" w:rsidRPr="000152CB" w:rsidRDefault="00FD6E82" w:rsidP="00FD6E82">
            <w:pPr>
              <w:spacing w:after="60" w:line="240" w:lineRule="auto"/>
              <w:ind w:left="270"/>
              <w:rPr>
                <w:rFonts w:eastAsia="Times New Roman" w:cs="Calibri"/>
                <w:b/>
                <w:sz w:val="20"/>
                <w:szCs w:val="20"/>
                <w:lang w:eastAsia="sr-Latn-ME"/>
              </w:rPr>
            </w:pPr>
          </w:p>
        </w:tc>
      </w:tr>
      <w:tr w:rsidR="00FD6E82" w:rsidRPr="000152CB" w14:paraId="6A5849B1" w14:textId="77777777" w:rsidTr="00E77388">
        <w:trPr>
          <w:trHeight w:val="585"/>
          <w:jc w:val="center"/>
        </w:trPr>
        <w:tc>
          <w:tcPr>
            <w:tcW w:w="2091"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Mar>
              <w:top w:w="0" w:type="dxa"/>
              <w:left w:w="108" w:type="dxa"/>
              <w:bottom w:w="0" w:type="dxa"/>
              <w:right w:w="108" w:type="dxa"/>
            </w:tcMar>
            <w:vAlign w:val="center"/>
            <w:hideMark/>
          </w:tcPr>
          <w:p w14:paraId="0970FFDF" w14:textId="77777777" w:rsidR="00FD6E82" w:rsidRPr="000152CB" w:rsidRDefault="00FD6E82" w:rsidP="00FD6E82">
            <w:pPr>
              <w:spacing w:after="0" w:line="240" w:lineRule="auto"/>
              <w:ind w:left="270"/>
              <w:jc w:val="center"/>
              <w:rPr>
                <w:rFonts w:eastAsia="Times New Roman" w:cs="Calibri"/>
                <w:b/>
                <w:sz w:val="20"/>
                <w:szCs w:val="20"/>
                <w:lang w:eastAsia="sr-Latn-ME"/>
              </w:rPr>
            </w:pPr>
            <w:bookmarkStart w:id="17" w:name="_Hlk128467035"/>
            <w:r w:rsidRPr="000152CB">
              <w:rPr>
                <w:rFonts w:eastAsia="Times New Roman" w:cs="Calibri"/>
                <w:b/>
                <w:color w:val="000000"/>
                <w:sz w:val="20"/>
                <w:szCs w:val="20"/>
                <w:lang w:eastAsia="sr-Latn-ME"/>
              </w:rPr>
              <w:t>OPERATIVNI CILJ 1</w:t>
            </w:r>
          </w:p>
        </w:tc>
        <w:tc>
          <w:tcPr>
            <w:tcW w:w="13474" w:type="dxa"/>
            <w:gridSpan w:val="28"/>
            <w:tcBorders>
              <w:top w:val="single" w:sz="4" w:space="0" w:color="000000"/>
              <w:left w:val="single" w:sz="4" w:space="0" w:color="000000"/>
              <w:bottom w:val="single" w:sz="4" w:space="0" w:color="auto"/>
              <w:right w:val="single" w:sz="4" w:space="0" w:color="000000"/>
            </w:tcBorders>
            <w:shd w:val="clear" w:color="auto" w:fill="8EAADB" w:themeFill="accent1" w:themeFillTint="99"/>
            <w:tcMar>
              <w:top w:w="0" w:type="dxa"/>
              <w:left w:w="108" w:type="dxa"/>
              <w:bottom w:w="0" w:type="dxa"/>
              <w:right w:w="108" w:type="dxa"/>
            </w:tcMar>
            <w:vAlign w:val="center"/>
            <w:hideMark/>
          </w:tcPr>
          <w:p w14:paraId="4F14C1B6" w14:textId="77777777" w:rsidR="00FD6E82" w:rsidRPr="000152CB" w:rsidRDefault="00FD6E82" w:rsidP="00FD6E82">
            <w:pPr>
              <w:spacing w:after="0" w:line="240" w:lineRule="auto"/>
              <w:ind w:left="270"/>
              <w:jc w:val="center"/>
              <w:rPr>
                <w:rFonts w:eastAsia="Times New Roman" w:cs="Calibri"/>
                <w:b/>
                <w:sz w:val="20"/>
                <w:szCs w:val="20"/>
                <w:lang w:eastAsia="sr-Latn-ME"/>
              </w:rPr>
            </w:pPr>
            <w:r w:rsidRPr="000152CB">
              <w:rPr>
                <w:rFonts w:eastAsia="Times New Roman" w:cs="Calibri"/>
                <w:b/>
                <w:sz w:val="20"/>
                <w:szCs w:val="20"/>
                <w:lang w:eastAsia="sr-Latn-ME"/>
              </w:rPr>
              <w:t xml:space="preserve">OPTIMIZOVATI MODEL PRUŽANJA ZDRAVSTVENE ZAŠTITE </w:t>
            </w:r>
          </w:p>
        </w:tc>
      </w:tr>
      <w:tr w:rsidR="00A6629D" w:rsidRPr="000152CB" w14:paraId="395AE15B" w14:textId="77777777" w:rsidTr="00E77388">
        <w:trPr>
          <w:trHeight w:val="610"/>
          <w:jc w:val="center"/>
        </w:trPr>
        <w:tc>
          <w:tcPr>
            <w:tcW w:w="2091" w:type="dxa"/>
            <w:tcBorders>
              <w:top w:val="single" w:sz="4" w:space="0" w:color="000000"/>
              <w:left w:val="single" w:sz="4" w:space="0" w:color="000000"/>
              <w:bottom w:val="single" w:sz="4" w:space="0" w:color="000000"/>
              <w:right w:val="single" w:sz="4" w:space="0" w:color="auto"/>
            </w:tcBorders>
            <w:shd w:val="clear" w:color="auto" w:fill="B4C6E7" w:themeFill="accent1" w:themeFillTint="66"/>
            <w:tcMar>
              <w:top w:w="0" w:type="dxa"/>
              <w:left w:w="108" w:type="dxa"/>
              <w:bottom w:w="0" w:type="dxa"/>
              <w:right w:w="108" w:type="dxa"/>
            </w:tcMar>
            <w:vAlign w:val="center"/>
            <w:hideMark/>
          </w:tcPr>
          <w:p w14:paraId="580FFEB0" w14:textId="77777777" w:rsidR="00FD6E82" w:rsidRPr="000152CB" w:rsidRDefault="00FD6E82" w:rsidP="00FD6E82">
            <w:pPr>
              <w:spacing w:after="0" w:line="240" w:lineRule="auto"/>
              <w:ind w:left="270"/>
              <w:jc w:val="center"/>
              <w:rPr>
                <w:rFonts w:eastAsia="Times New Roman" w:cs="Calibri"/>
                <w:b/>
                <w:sz w:val="20"/>
                <w:szCs w:val="20"/>
                <w:lang w:eastAsia="sr-Latn-ME"/>
              </w:rPr>
            </w:pPr>
            <w:r w:rsidRPr="000152CB">
              <w:rPr>
                <w:rFonts w:eastAsia="Times New Roman" w:cs="Calibri"/>
                <w:b/>
                <w:color w:val="000000"/>
                <w:sz w:val="20"/>
                <w:szCs w:val="20"/>
                <w:lang w:eastAsia="sr-Latn-ME"/>
              </w:rPr>
              <w:t>INDIKATOR UČINKA 1.1: Smanjiti prijevremeni mortalitet kod HNB</w:t>
            </w:r>
            <w:r w:rsidRPr="000152CB">
              <w:rPr>
                <w:rFonts w:eastAsia="Times New Roman" w:cs="Calibri"/>
                <w:b/>
                <w:color w:val="000000"/>
                <w:sz w:val="20"/>
                <w:szCs w:val="20"/>
                <w:vertAlign w:val="superscript"/>
                <w:lang w:eastAsia="sr-Latn-ME"/>
              </w:rPr>
              <w:footnoteReference w:id="4"/>
            </w:r>
          </w:p>
        </w:tc>
        <w:tc>
          <w:tcPr>
            <w:tcW w:w="3766" w:type="dxa"/>
            <w:gridSpan w:val="3"/>
            <w:tcBorders>
              <w:top w:val="single" w:sz="4" w:space="0" w:color="auto"/>
              <w:left w:val="single" w:sz="4" w:space="0" w:color="auto"/>
              <w:bottom w:val="single" w:sz="4" w:space="0" w:color="auto"/>
              <w:right w:val="single" w:sz="4" w:space="0" w:color="auto"/>
            </w:tcBorders>
            <w:shd w:val="clear" w:color="auto" w:fill="B4C6E7" w:themeFill="accent1" w:themeFillTint="66"/>
            <w:tcMar>
              <w:top w:w="0" w:type="dxa"/>
              <w:left w:w="108" w:type="dxa"/>
              <w:bottom w:w="0" w:type="dxa"/>
              <w:right w:w="108" w:type="dxa"/>
            </w:tcMar>
            <w:hideMark/>
          </w:tcPr>
          <w:p w14:paraId="78AA9BA6" w14:textId="77777777" w:rsidR="00FD6E82" w:rsidRPr="000152CB" w:rsidRDefault="00FD6E82" w:rsidP="00FD6E82">
            <w:pPr>
              <w:spacing w:after="0" w:line="240" w:lineRule="auto"/>
              <w:contextualSpacing/>
              <w:jc w:val="center"/>
              <w:rPr>
                <w:rFonts w:eastAsia="Times New Roman" w:cs="Calibri"/>
                <w:b/>
                <w:color w:val="000000"/>
                <w:sz w:val="20"/>
                <w:szCs w:val="20"/>
                <w:lang w:eastAsia="sr-Latn-ME"/>
              </w:rPr>
            </w:pPr>
            <w:r w:rsidRPr="000152CB">
              <w:rPr>
                <w:rFonts w:eastAsia="Times New Roman" w:cs="Calibri"/>
                <w:b/>
                <w:color w:val="000000"/>
                <w:sz w:val="20"/>
                <w:szCs w:val="20"/>
                <w:lang w:eastAsia="sr-Latn-ME"/>
              </w:rPr>
              <w:t xml:space="preserve">Početna vrijednost: </w:t>
            </w:r>
          </w:p>
          <w:p w14:paraId="442216DB" w14:textId="77777777" w:rsidR="00FD6E82" w:rsidRPr="000152CB" w:rsidRDefault="00FD6E82" w:rsidP="00FD6E82">
            <w:pPr>
              <w:spacing w:after="0" w:line="240" w:lineRule="auto"/>
              <w:contextualSpacing/>
              <w:jc w:val="center"/>
              <w:rPr>
                <w:rFonts w:eastAsia="Times New Roman" w:cs="Calibri"/>
                <w:bCs/>
                <w:color w:val="000000" w:themeColor="text1"/>
                <w:sz w:val="20"/>
                <w:szCs w:val="20"/>
                <w:lang w:eastAsia="sr-Latn-ME"/>
              </w:rPr>
            </w:pPr>
          </w:p>
          <w:p w14:paraId="6AD3AA98" w14:textId="77777777" w:rsidR="00FD6E82" w:rsidRPr="000152CB" w:rsidRDefault="00FD6E82" w:rsidP="00FD6E82">
            <w:pPr>
              <w:spacing w:after="0" w:line="240" w:lineRule="auto"/>
              <w:contextualSpacing/>
              <w:jc w:val="center"/>
              <w:rPr>
                <w:rFonts w:eastAsia="Times New Roman" w:cs="Calibri"/>
                <w:bCs/>
                <w:sz w:val="20"/>
                <w:szCs w:val="20"/>
                <w:lang w:eastAsia="sr-Latn-ME"/>
              </w:rPr>
            </w:pPr>
            <w:r w:rsidRPr="000152CB">
              <w:rPr>
                <w:rFonts w:eastAsia="Times New Roman" w:cs="Calibri"/>
                <w:bCs/>
                <w:color w:val="000000" w:themeColor="text1"/>
                <w:sz w:val="20"/>
                <w:szCs w:val="20"/>
                <w:lang w:eastAsia="sr-Latn-ME"/>
              </w:rPr>
              <w:t>Trenutni procenat mortaliteta kod HNB je 22.3%</w:t>
            </w:r>
          </w:p>
        </w:tc>
        <w:tc>
          <w:tcPr>
            <w:tcW w:w="4067" w:type="dxa"/>
            <w:gridSpan w:val="7"/>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5447DA8" w14:textId="77777777" w:rsidR="00FD6E82" w:rsidRPr="000152CB" w:rsidRDefault="00FD6E82" w:rsidP="00FD6E82">
            <w:pPr>
              <w:spacing w:after="0" w:line="240" w:lineRule="auto"/>
              <w:ind w:left="270"/>
              <w:jc w:val="center"/>
              <w:rPr>
                <w:rFonts w:eastAsia="Times New Roman" w:cs="Calibri"/>
                <w:b/>
                <w:color w:val="000000"/>
                <w:sz w:val="20"/>
                <w:szCs w:val="20"/>
                <w:lang w:eastAsia="sr-Latn-ME"/>
              </w:rPr>
            </w:pPr>
            <w:r w:rsidRPr="000152CB">
              <w:rPr>
                <w:rFonts w:eastAsia="Times New Roman" w:cs="Calibri"/>
                <w:b/>
                <w:color w:val="000000"/>
                <w:sz w:val="20"/>
                <w:szCs w:val="20"/>
                <w:lang w:eastAsia="sr-Latn-ME"/>
              </w:rPr>
              <w:t>Prelazna vrijednost:</w:t>
            </w:r>
          </w:p>
          <w:p w14:paraId="3F957A5C" w14:textId="77777777" w:rsidR="00FD6E82" w:rsidRPr="000152CB" w:rsidRDefault="00FD6E82" w:rsidP="00FD6E82">
            <w:pPr>
              <w:spacing w:after="0" w:line="240" w:lineRule="auto"/>
              <w:ind w:left="270"/>
              <w:jc w:val="center"/>
              <w:rPr>
                <w:rFonts w:eastAsia="Times New Roman" w:cs="Calibri"/>
                <w:bCs/>
                <w:color w:val="000000" w:themeColor="text1"/>
                <w:sz w:val="20"/>
                <w:szCs w:val="20"/>
                <w:lang w:eastAsia="sr-Latn-ME"/>
              </w:rPr>
            </w:pPr>
          </w:p>
          <w:p w14:paraId="6483FD93" w14:textId="77777777" w:rsidR="00FD6E82" w:rsidRPr="000152CB" w:rsidRDefault="00FD6E82" w:rsidP="00FD6E82">
            <w:pPr>
              <w:spacing w:after="0" w:line="240" w:lineRule="auto"/>
              <w:ind w:left="270"/>
              <w:jc w:val="center"/>
              <w:rPr>
                <w:rFonts w:eastAsia="Times New Roman" w:cs="Calibri"/>
                <w:b/>
                <w:color w:val="000000"/>
                <w:sz w:val="20"/>
                <w:szCs w:val="20"/>
                <w:lang w:eastAsia="sr-Latn-ME"/>
              </w:rPr>
            </w:pPr>
            <w:r w:rsidRPr="000152CB">
              <w:rPr>
                <w:rFonts w:eastAsia="Times New Roman" w:cs="Calibri"/>
                <w:bCs/>
                <w:color w:val="000000" w:themeColor="text1"/>
                <w:sz w:val="20"/>
                <w:szCs w:val="20"/>
                <w:lang w:eastAsia="sr-Latn-ME"/>
              </w:rPr>
              <w:t>Smanjiti procenat mortaliteta kod HNB na 21.6%</w:t>
            </w:r>
          </w:p>
        </w:tc>
        <w:tc>
          <w:tcPr>
            <w:tcW w:w="5641" w:type="dxa"/>
            <w:gridSpan w:val="18"/>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6A3EEA8" w14:textId="77777777" w:rsidR="00FD6E82" w:rsidRPr="000152CB" w:rsidRDefault="00FD6E82" w:rsidP="00FD6E82">
            <w:pPr>
              <w:spacing w:after="0" w:line="240" w:lineRule="auto"/>
              <w:ind w:left="270"/>
              <w:jc w:val="center"/>
              <w:rPr>
                <w:rFonts w:eastAsia="Times New Roman" w:cs="Calibri"/>
                <w:b/>
                <w:sz w:val="20"/>
                <w:szCs w:val="20"/>
                <w:lang w:eastAsia="sr-Latn-ME"/>
              </w:rPr>
            </w:pPr>
            <w:r w:rsidRPr="000152CB">
              <w:rPr>
                <w:rFonts w:eastAsia="Times New Roman" w:cs="Calibri"/>
                <w:b/>
                <w:sz w:val="20"/>
                <w:szCs w:val="20"/>
                <w:lang w:eastAsia="sr-Latn-ME"/>
              </w:rPr>
              <w:t>Ciljna vrijednost:</w:t>
            </w:r>
          </w:p>
          <w:p w14:paraId="4A077F58" w14:textId="77777777" w:rsidR="00FD6E82" w:rsidRPr="000152CB" w:rsidRDefault="00FD6E82" w:rsidP="00FD6E82">
            <w:pPr>
              <w:spacing w:after="0" w:line="240" w:lineRule="auto"/>
              <w:ind w:left="270"/>
              <w:jc w:val="center"/>
              <w:rPr>
                <w:rFonts w:eastAsia="Times New Roman" w:cs="Calibri"/>
                <w:b/>
                <w:sz w:val="20"/>
                <w:szCs w:val="20"/>
                <w:lang w:eastAsia="sr-Latn-ME"/>
              </w:rPr>
            </w:pPr>
          </w:p>
          <w:p w14:paraId="1CAD246B" w14:textId="77777777" w:rsidR="00FD6E82" w:rsidRPr="000152CB" w:rsidRDefault="00FD6E82" w:rsidP="00FD6E82">
            <w:pPr>
              <w:spacing w:after="0" w:line="240" w:lineRule="auto"/>
              <w:ind w:left="270"/>
              <w:jc w:val="center"/>
              <w:rPr>
                <w:rFonts w:eastAsia="Times New Roman" w:cs="Calibri"/>
                <w:bCs/>
                <w:sz w:val="20"/>
                <w:szCs w:val="20"/>
                <w:lang w:eastAsia="sr-Latn-ME"/>
              </w:rPr>
            </w:pPr>
            <w:r w:rsidRPr="000152CB">
              <w:rPr>
                <w:rFonts w:eastAsia="Times New Roman" w:cs="Calibri"/>
                <w:bCs/>
                <w:sz w:val="20"/>
                <w:szCs w:val="20"/>
                <w:lang w:eastAsia="sr-Latn-ME"/>
              </w:rPr>
              <w:t>Smanjiti procenat mortaliteta kod HNB na 20.6%</w:t>
            </w:r>
          </w:p>
        </w:tc>
      </w:tr>
      <w:tr w:rsidR="00A6629D" w:rsidRPr="000152CB" w14:paraId="478C9F1B" w14:textId="77777777" w:rsidTr="00E77388">
        <w:trPr>
          <w:trHeight w:val="585"/>
          <w:jc w:val="center"/>
        </w:trPr>
        <w:tc>
          <w:tcPr>
            <w:tcW w:w="2091" w:type="dxa"/>
            <w:tcBorders>
              <w:top w:val="single" w:sz="4" w:space="0" w:color="000000"/>
              <w:left w:val="single" w:sz="4" w:space="0" w:color="000000"/>
              <w:bottom w:val="single" w:sz="4" w:space="0" w:color="000000"/>
              <w:right w:val="single" w:sz="4" w:space="0" w:color="auto"/>
            </w:tcBorders>
            <w:shd w:val="clear" w:color="auto" w:fill="B4C6E7" w:themeFill="accent1" w:themeFillTint="66"/>
            <w:vAlign w:val="center"/>
            <w:hideMark/>
          </w:tcPr>
          <w:p w14:paraId="6E843AA5" w14:textId="77777777" w:rsidR="00FD6E82" w:rsidRPr="000152CB" w:rsidRDefault="00FD6E82" w:rsidP="00FD6E82">
            <w:pPr>
              <w:spacing w:after="0" w:line="240" w:lineRule="auto"/>
              <w:ind w:left="270"/>
              <w:jc w:val="center"/>
              <w:rPr>
                <w:rFonts w:eastAsia="Times New Roman" w:cs="Calibri"/>
                <w:b/>
                <w:color w:val="000000"/>
                <w:sz w:val="20"/>
                <w:szCs w:val="20"/>
                <w:lang w:eastAsia="sr-Latn-ME"/>
              </w:rPr>
            </w:pPr>
            <w:r w:rsidRPr="000152CB">
              <w:rPr>
                <w:rFonts w:eastAsia="Times New Roman" w:cs="Calibri"/>
                <w:b/>
                <w:color w:val="000000"/>
                <w:sz w:val="20"/>
                <w:szCs w:val="20"/>
                <w:lang w:eastAsia="sr-Latn-ME"/>
              </w:rPr>
              <w:t xml:space="preserve">INDIKATOR UČINKA 1.2: </w:t>
            </w:r>
          </w:p>
          <w:p w14:paraId="61CABCEE" w14:textId="77777777" w:rsidR="00FD6E82" w:rsidRPr="000152CB" w:rsidRDefault="00FD6E82" w:rsidP="00FD6E82">
            <w:pPr>
              <w:spacing w:after="0" w:line="240" w:lineRule="auto"/>
              <w:ind w:left="270"/>
              <w:jc w:val="center"/>
              <w:rPr>
                <w:rFonts w:eastAsia="Times New Roman" w:cs="Calibri"/>
                <w:b/>
                <w:sz w:val="20"/>
                <w:szCs w:val="20"/>
                <w:lang w:eastAsia="sr-Latn-ME"/>
              </w:rPr>
            </w:pPr>
            <w:r w:rsidRPr="000152CB">
              <w:rPr>
                <w:rFonts w:eastAsia="Times New Roman" w:cs="Calibri"/>
                <w:b/>
                <w:color w:val="000000"/>
                <w:sz w:val="20"/>
                <w:szCs w:val="20"/>
                <w:lang w:eastAsia="sr-Latn-ME"/>
              </w:rPr>
              <w:t xml:space="preserve">Udio neopravdanih upućivanja na </w:t>
            </w:r>
            <w:r w:rsidRPr="000152CB">
              <w:rPr>
                <w:rFonts w:eastAsia="Times New Roman" w:cs="Calibri"/>
                <w:b/>
                <w:color w:val="000000"/>
                <w:sz w:val="20"/>
                <w:szCs w:val="20"/>
                <w:lang w:eastAsia="sr-Latn-ME"/>
              </w:rPr>
              <w:lastRenderedPageBreak/>
              <w:t>sekundarnom nivou zdravstvene zaštite</w:t>
            </w:r>
          </w:p>
        </w:tc>
        <w:tc>
          <w:tcPr>
            <w:tcW w:w="3766" w:type="dxa"/>
            <w:gridSpan w:val="3"/>
            <w:tcBorders>
              <w:top w:val="single" w:sz="4" w:space="0" w:color="auto"/>
              <w:left w:val="single" w:sz="4" w:space="0" w:color="auto"/>
              <w:bottom w:val="single" w:sz="4" w:space="0" w:color="auto"/>
              <w:right w:val="single" w:sz="4" w:space="0" w:color="auto"/>
            </w:tcBorders>
            <w:shd w:val="clear" w:color="auto" w:fill="B4C6E7" w:themeFill="accent1" w:themeFillTint="66"/>
            <w:tcMar>
              <w:top w:w="0" w:type="dxa"/>
              <w:left w:w="108" w:type="dxa"/>
              <w:bottom w:w="0" w:type="dxa"/>
              <w:right w:w="108" w:type="dxa"/>
            </w:tcMar>
            <w:hideMark/>
          </w:tcPr>
          <w:p w14:paraId="39BEF35E" w14:textId="77777777" w:rsidR="00FD6E82" w:rsidRPr="000152CB" w:rsidRDefault="00FD6E82" w:rsidP="00FD6E82">
            <w:pPr>
              <w:spacing w:after="0" w:line="240" w:lineRule="auto"/>
              <w:ind w:left="270"/>
              <w:jc w:val="center"/>
              <w:rPr>
                <w:rFonts w:eastAsia="Times New Roman" w:cs="Calibri"/>
                <w:b/>
                <w:color w:val="000000"/>
                <w:sz w:val="20"/>
                <w:szCs w:val="20"/>
                <w:lang w:eastAsia="sr-Latn-ME"/>
              </w:rPr>
            </w:pPr>
            <w:r w:rsidRPr="000152CB">
              <w:rPr>
                <w:rFonts w:eastAsia="Times New Roman" w:cs="Calibri"/>
                <w:b/>
                <w:color w:val="000000"/>
                <w:sz w:val="20"/>
                <w:szCs w:val="20"/>
                <w:lang w:eastAsia="sr-Latn-ME"/>
              </w:rPr>
              <w:lastRenderedPageBreak/>
              <w:t xml:space="preserve">Početna vrijednost: </w:t>
            </w:r>
          </w:p>
          <w:p w14:paraId="6D8B2F1E" w14:textId="77777777" w:rsidR="00FD6E82" w:rsidRPr="000152CB" w:rsidRDefault="00FD6E82" w:rsidP="00FD6E82">
            <w:pPr>
              <w:spacing w:after="0" w:line="240" w:lineRule="auto"/>
              <w:ind w:left="270"/>
              <w:jc w:val="center"/>
              <w:rPr>
                <w:rFonts w:eastAsia="Times New Roman" w:cs="Calibri"/>
                <w:b/>
                <w:color w:val="000000"/>
                <w:sz w:val="20"/>
                <w:szCs w:val="20"/>
                <w:lang w:eastAsia="sr-Latn-ME"/>
              </w:rPr>
            </w:pPr>
          </w:p>
          <w:p w14:paraId="0F9B872A" w14:textId="77777777" w:rsidR="00FD6E82" w:rsidRPr="000152CB" w:rsidRDefault="00FD6E82" w:rsidP="00FD6E82">
            <w:pPr>
              <w:spacing w:after="0" w:line="240" w:lineRule="auto"/>
              <w:ind w:left="270"/>
              <w:jc w:val="center"/>
              <w:rPr>
                <w:rFonts w:eastAsia="Times New Roman" w:cs="Calibri"/>
                <w:bCs/>
                <w:color w:val="000000"/>
                <w:sz w:val="20"/>
                <w:szCs w:val="20"/>
                <w:lang w:eastAsia="sr-Latn-ME"/>
              </w:rPr>
            </w:pPr>
            <w:r w:rsidRPr="000152CB">
              <w:rPr>
                <w:rFonts w:eastAsia="Times New Roman" w:cs="Calibri"/>
                <w:bCs/>
                <w:color w:val="000000"/>
                <w:sz w:val="20"/>
                <w:szCs w:val="20"/>
                <w:lang w:eastAsia="sr-Latn-ME"/>
              </w:rPr>
              <w:t>Ne postoji baza podataka o trenutnom procentu upućivanja na sekundarni nivo zdravstvene zaštite</w:t>
            </w:r>
          </w:p>
          <w:p w14:paraId="5C9D1412" w14:textId="77777777" w:rsidR="00FD6E82" w:rsidRPr="000152CB" w:rsidRDefault="00FD6E82" w:rsidP="00FD6E82">
            <w:pPr>
              <w:spacing w:after="0" w:line="240" w:lineRule="auto"/>
              <w:ind w:left="270"/>
              <w:jc w:val="center"/>
              <w:rPr>
                <w:rFonts w:eastAsia="Times New Roman" w:cs="Calibri"/>
                <w:b/>
                <w:sz w:val="20"/>
                <w:szCs w:val="20"/>
                <w:lang w:eastAsia="sr-Latn-ME"/>
              </w:rPr>
            </w:pPr>
          </w:p>
        </w:tc>
        <w:tc>
          <w:tcPr>
            <w:tcW w:w="4067" w:type="dxa"/>
            <w:gridSpan w:val="7"/>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117F120" w14:textId="77777777" w:rsidR="00FD6E82" w:rsidRPr="000152CB" w:rsidRDefault="00FD6E82" w:rsidP="00FD6E82">
            <w:pPr>
              <w:spacing w:after="0" w:line="240" w:lineRule="auto"/>
              <w:ind w:left="270"/>
              <w:jc w:val="center"/>
              <w:rPr>
                <w:rFonts w:eastAsia="Times New Roman" w:cs="Calibri"/>
                <w:b/>
                <w:sz w:val="20"/>
                <w:szCs w:val="20"/>
                <w:lang w:eastAsia="sr-Latn-ME"/>
              </w:rPr>
            </w:pPr>
            <w:r w:rsidRPr="000152CB">
              <w:rPr>
                <w:rFonts w:eastAsia="Times New Roman" w:cs="Calibri"/>
                <w:b/>
                <w:sz w:val="20"/>
                <w:szCs w:val="20"/>
                <w:lang w:eastAsia="sr-Latn-ME"/>
              </w:rPr>
              <w:t xml:space="preserve">Prelazna vrijednost: </w:t>
            </w:r>
          </w:p>
          <w:p w14:paraId="5E8A1265" w14:textId="77777777" w:rsidR="00FD6E82" w:rsidRPr="000152CB" w:rsidRDefault="00FD6E82" w:rsidP="00FD6E82">
            <w:pPr>
              <w:spacing w:after="0" w:line="240" w:lineRule="auto"/>
              <w:ind w:left="270"/>
              <w:jc w:val="center"/>
              <w:rPr>
                <w:rFonts w:eastAsia="Times New Roman" w:cs="Calibri"/>
                <w:b/>
                <w:sz w:val="20"/>
                <w:szCs w:val="20"/>
                <w:lang w:eastAsia="sr-Latn-ME"/>
              </w:rPr>
            </w:pPr>
          </w:p>
          <w:p w14:paraId="71F08840" w14:textId="77777777" w:rsidR="00FD6E82" w:rsidRPr="000152CB" w:rsidRDefault="00FD6E82" w:rsidP="00FD6E82">
            <w:pPr>
              <w:spacing w:after="0" w:line="240" w:lineRule="auto"/>
              <w:ind w:left="270"/>
              <w:jc w:val="center"/>
              <w:rPr>
                <w:rFonts w:eastAsia="Times New Roman" w:cs="Calibri"/>
                <w:bCs/>
                <w:sz w:val="20"/>
                <w:szCs w:val="20"/>
                <w:lang w:eastAsia="sr-Latn-ME"/>
              </w:rPr>
            </w:pPr>
            <w:r w:rsidRPr="000152CB">
              <w:rPr>
                <w:rFonts w:eastAsia="Times New Roman" w:cs="Calibri"/>
                <w:bCs/>
                <w:sz w:val="20"/>
                <w:szCs w:val="20"/>
                <w:lang w:eastAsia="sr-Latn-ME"/>
              </w:rPr>
              <w:t>Izrađena baza podataka koja će sadržati precizan podatak o borju upućivanja</w:t>
            </w:r>
          </w:p>
        </w:tc>
        <w:tc>
          <w:tcPr>
            <w:tcW w:w="5641" w:type="dxa"/>
            <w:gridSpan w:val="18"/>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3A7FE1B" w14:textId="77777777" w:rsidR="00FD6E82" w:rsidRPr="000152CB" w:rsidRDefault="00FD6E82" w:rsidP="00FD6E82">
            <w:pPr>
              <w:spacing w:after="0" w:line="240" w:lineRule="auto"/>
              <w:ind w:left="270"/>
              <w:jc w:val="center"/>
              <w:rPr>
                <w:rFonts w:eastAsia="Times New Roman" w:cs="Calibri"/>
                <w:b/>
                <w:sz w:val="20"/>
                <w:szCs w:val="20"/>
                <w:lang w:eastAsia="sr-Latn-ME"/>
              </w:rPr>
            </w:pPr>
            <w:r w:rsidRPr="000152CB">
              <w:rPr>
                <w:rFonts w:eastAsia="Times New Roman" w:cs="Calibri"/>
                <w:b/>
                <w:sz w:val="20"/>
                <w:szCs w:val="20"/>
                <w:lang w:eastAsia="sr-Latn-ME"/>
              </w:rPr>
              <w:t xml:space="preserve">Ciljna vrijednost: </w:t>
            </w:r>
          </w:p>
          <w:p w14:paraId="4ECC1937" w14:textId="77777777" w:rsidR="00FD6E82" w:rsidRPr="000152CB" w:rsidRDefault="00FD6E82" w:rsidP="00FD6E82">
            <w:pPr>
              <w:spacing w:after="0" w:line="240" w:lineRule="auto"/>
              <w:ind w:left="270"/>
              <w:jc w:val="center"/>
              <w:rPr>
                <w:rFonts w:eastAsia="Times New Roman" w:cs="Calibri"/>
                <w:b/>
                <w:sz w:val="20"/>
                <w:szCs w:val="20"/>
                <w:lang w:eastAsia="sr-Latn-ME"/>
              </w:rPr>
            </w:pPr>
          </w:p>
          <w:p w14:paraId="06F030CB" w14:textId="77777777" w:rsidR="00FD6E82" w:rsidRPr="000152CB" w:rsidRDefault="00FD6E82" w:rsidP="00FD6E82">
            <w:pPr>
              <w:spacing w:after="0" w:line="240" w:lineRule="auto"/>
              <w:ind w:left="270"/>
              <w:jc w:val="center"/>
              <w:rPr>
                <w:rFonts w:eastAsia="Times New Roman" w:cs="Calibri"/>
                <w:bCs/>
                <w:sz w:val="20"/>
                <w:szCs w:val="20"/>
                <w:lang w:eastAsia="sr-Latn-ME"/>
              </w:rPr>
            </w:pPr>
            <w:r w:rsidRPr="000152CB">
              <w:rPr>
                <w:rFonts w:eastAsia="Times New Roman" w:cs="Calibri"/>
                <w:bCs/>
                <w:sz w:val="20"/>
                <w:szCs w:val="20"/>
                <w:lang w:eastAsia="sr-Latn-ME"/>
              </w:rPr>
              <w:t>15%  smanjen udio upućivanja u odnosu na vrijednost od 2025. godine</w:t>
            </w:r>
          </w:p>
        </w:tc>
      </w:tr>
      <w:tr w:rsidR="00A6629D" w:rsidRPr="000152CB" w14:paraId="16541D8D" w14:textId="77777777" w:rsidTr="00E77388">
        <w:trPr>
          <w:trHeight w:val="585"/>
          <w:jc w:val="center"/>
        </w:trPr>
        <w:tc>
          <w:tcPr>
            <w:tcW w:w="2091" w:type="dxa"/>
            <w:tcBorders>
              <w:top w:val="single" w:sz="4" w:space="0" w:color="000000"/>
              <w:left w:val="single" w:sz="4" w:space="0" w:color="000000"/>
              <w:bottom w:val="single" w:sz="4" w:space="0" w:color="000000"/>
              <w:right w:val="single" w:sz="4" w:space="0" w:color="auto"/>
            </w:tcBorders>
            <w:shd w:val="clear" w:color="auto" w:fill="B4C6E7" w:themeFill="accent1" w:themeFillTint="66"/>
            <w:vAlign w:val="center"/>
          </w:tcPr>
          <w:p w14:paraId="78C0B3F5" w14:textId="77777777" w:rsidR="00FD6E82" w:rsidRPr="000152CB" w:rsidRDefault="00FD6E82" w:rsidP="00FD6E82">
            <w:pPr>
              <w:spacing w:after="0" w:line="240" w:lineRule="auto"/>
              <w:ind w:left="270"/>
              <w:jc w:val="center"/>
              <w:rPr>
                <w:rFonts w:eastAsia="Times New Roman" w:cs="Calibri"/>
                <w:b/>
                <w:color w:val="000000"/>
                <w:sz w:val="20"/>
                <w:szCs w:val="20"/>
                <w:lang w:eastAsia="sr-Latn-ME"/>
              </w:rPr>
            </w:pPr>
            <w:r w:rsidRPr="000152CB">
              <w:rPr>
                <w:rFonts w:eastAsia="Times New Roman" w:cs="Calibri"/>
                <w:b/>
                <w:color w:val="000000"/>
                <w:sz w:val="20"/>
                <w:szCs w:val="20"/>
                <w:lang w:eastAsia="sr-Latn-ME"/>
              </w:rPr>
              <w:t xml:space="preserve">INDIKATOR UČINKA 1.3: </w:t>
            </w:r>
            <w:r w:rsidRPr="000152CB">
              <w:rPr>
                <w:b/>
                <w:sz w:val="20"/>
                <w:szCs w:val="20"/>
              </w:rPr>
              <w:t>smanjiti hospitalizaciju za stanja koja su tretirana na ambulatnom nivou</w:t>
            </w:r>
            <w:r w:rsidRPr="000152CB">
              <w:rPr>
                <w:sz w:val="20"/>
                <w:szCs w:val="20"/>
              </w:rPr>
              <w:t xml:space="preserve"> </w:t>
            </w:r>
            <w:r w:rsidRPr="000152CB">
              <w:rPr>
                <w:rFonts w:eastAsia="Times New Roman" w:cs="Calibri"/>
                <w:b/>
                <w:color w:val="000000" w:themeColor="text1"/>
                <w:sz w:val="20"/>
                <w:szCs w:val="20"/>
                <w:lang w:eastAsia="sr-Latn-ME"/>
              </w:rPr>
              <w:t xml:space="preserve">care-sensitive conditions (ACSC) </w:t>
            </w:r>
          </w:p>
        </w:tc>
        <w:tc>
          <w:tcPr>
            <w:tcW w:w="3766" w:type="dxa"/>
            <w:gridSpan w:val="3"/>
            <w:tcBorders>
              <w:top w:val="single" w:sz="4" w:space="0" w:color="auto"/>
              <w:left w:val="single" w:sz="4" w:space="0" w:color="auto"/>
              <w:bottom w:val="single" w:sz="4" w:space="0" w:color="auto"/>
              <w:right w:val="single" w:sz="4" w:space="0" w:color="auto"/>
            </w:tcBorders>
            <w:shd w:val="clear" w:color="auto" w:fill="B4C6E7" w:themeFill="accent1" w:themeFillTint="66"/>
            <w:tcMar>
              <w:top w:w="0" w:type="dxa"/>
              <w:left w:w="108" w:type="dxa"/>
              <w:bottom w:w="0" w:type="dxa"/>
              <w:right w:w="108" w:type="dxa"/>
            </w:tcMar>
          </w:tcPr>
          <w:p w14:paraId="13C4C674" w14:textId="77777777" w:rsidR="00FD6E82" w:rsidRPr="000152CB" w:rsidRDefault="00FD6E82" w:rsidP="00FD6E82">
            <w:pPr>
              <w:spacing w:after="0" w:line="240" w:lineRule="auto"/>
              <w:jc w:val="center"/>
              <w:rPr>
                <w:rFonts w:eastAsia="Times New Roman" w:cs="Calibri"/>
                <w:b/>
                <w:color w:val="000000"/>
                <w:sz w:val="20"/>
                <w:szCs w:val="20"/>
                <w:lang w:eastAsia="sr-Latn-ME"/>
              </w:rPr>
            </w:pPr>
            <w:r w:rsidRPr="000152CB">
              <w:rPr>
                <w:rFonts w:eastAsia="Times New Roman" w:cs="Calibri"/>
                <w:b/>
                <w:color w:val="000000"/>
                <w:sz w:val="20"/>
                <w:szCs w:val="20"/>
                <w:lang w:eastAsia="sr-Latn-ME"/>
              </w:rPr>
              <w:t>Početna vrijednost:</w:t>
            </w:r>
          </w:p>
          <w:p w14:paraId="7EFDFAC5" w14:textId="77777777" w:rsidR="00FD6E82" w:rsidRPr="000152CB" w:rsidRDefault="00FD6E82" w:rsidP="00FD6E82">
            <w:pPr>
              <w:spacing w:after="0" w:line="240" w:lineRule="auto"/>
              <w:ind w:left="270"/>
              <w:jc w:val="center"/>
              <w:rPr>
                <w:rFonts w:eastAsia="Times New Roman" w:cs="Calibri"/>
                <w:b/>
                <w:color w:val="000000"/>
                <w:sz w:val="20"/>
                <w:szCs w:val="20"/>
                <w:lang w:eastAsia="sr-Latn-ME"/>
              </w:rPr>
            </w:pPr>
          </w:p>
          <w:p w14:paraId="708A6554" w14:textId="77777777" w:rsidR="00FD6E82" w:rsidRPr="000152CB" w:rsidRDefault="00FD6E82" w:rsidP="00FD6E82">
            <w:pPr>
              <w:spacing w:after="0" w:line="240" w:lineRule="auto"/>
              <w:ind w:left="270"/>
              <w:jc w:val="center"/>
              <w:rPr>
                <w:rFonts w:eastAsia="Times New Roman" w:cs="Calibri"/>
                <w:b/>
                <w:color w:val="000000"/>
                <w:sz w:val="20"/>
                <w:szCs w:val="20"/>
                <w:lang w:eastAsia="sr-Latn-ME"/>
              </w:rPr>
            </w:pPr>
          </w:p>
          <w:p w14:paraId="085E3AD6" w14:textId="77777777" w:rsidR="00FD6E82" w:rsidRPr="000152CB" w:rsidRDefault="00FD6E82" w:rsidP="00FD6E82">
            <w:pPr>
              <w:spacing w:after="0" w:line="240" w:lineRule="auto"/>
              <w:ind w:left="270"/>
              <w:jc w:val="center"/>
              <w:rPr>
                <w:rFonts w:eastAsia="Times New Roman" w:cs="Calibri"/>
                <w:bCs/>
                <w:color w:val="000000"/>
                <w:sz w:val="20"/>
                <w:szCs w:val="20"/>
                <w:lang w:eastAsia="sr-Latn-ME"/>
              </w:rPr>
            </w:pPr>
            <w:r w:rsidRPr="000152CB">
              <w:rPr>
                <w:rFonts w:eastAsia="Times New Roman" w:cs="Calibri"/>
                <w:bCs/>
                <w:color w:val="000000"/>
                <w:sz w:val="20"/>
                <w:szCs w:val="20"/>
                <w:lang w:eastAsia="sr-Latn-ME"/>
              </w:rPr>
              <w:t>min 50%</w:t>
            </w:r>
            <w:r w:rsidRPr="000152CB">
              <w:rPr>
                <w:rFonts w:eastAsia="Times New Roman" w:cs="Calibri"/>
                <w:bCs/>
                <w:color w:val="000000"/>
                <w:sz w:val="20"/>
                <w:szCs w:val="20"/>
                <w:vertAlign w:val="superscript"/>
                <w:lang w:eastAsia="sr-Latn-ME"/>
              </w:rPr>
              <w:footnoteReference w:id="5"/>
            </w:r>
          </w:p>
        </w:tc>
        <w:tc>
          <w:tcPr>
            <w:tcW w:w="4067" w:type="dxa"/>
            <w:gridSpan w:val="7"/>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203C5D6" w14:textId="77777777" w:rsidR="00FD6E82" w:rsidRPr="000152CB" w:rsidRDefault="00FD6E82" w:rsidP="00FD6E82">
            <w:pPr>
              <w:spacing w:after="0" w:line="240" w:lineRule="auto"/>
              <w:ind w:left="270"/>
              <w:jc w:val="center"/>
              <w:rPr>
                <w:rFonts w:eastAsia="Times New Roman" w:cs="Calibri"/>
                <w:b/>
                <w:sz w:val="20"/>
                <w:szCs w:val="20"/>
                <w:lang w:eastAsia="sr-Latn-ME"/>
              </w:rPr>
            </w:pPr>
            <w:r w:rsidRPr="000152CB">
              <w:rPr>
                <w:rFonts w:eastAsia="Times New Roman" w:cs="Calibri"/>
                <w:b/>
                <w:sz w:val="20"/>
                <w:szCs w:val="20"/>
                <w:lang w:eastAsia="sr-Latn-ME"/>
              </w:rPr>
              <w:t xml:space="preserve">Prelazna vrijednost: </w:t>
            </w:r>
          </w:p>
          <w:p w14:paraId="05C96F06" w14:textId="77777777" w:rsidR="00FD6E82" w:rsidRPr="000152CB" w:rsidRDefault="00FD6E82" w:rsidP="00FD6E82">
            <w:pPr>
              <w:spacing w:after="0" w:line="240" w:lineRule="auto"/>
              <w:ind w:left="270"/>
              <w:jc w:val="center"/>
              <w:rPr>
                <w:rFonts w:eastAsia="Times New Roman" w:cs="Calibri"/>
                <w:b/>
                <w:sz w:val="20"/>
                <w:szCs w:val="20"/>
                <w:lang w:eastAsia="sr-Latn-ME"/>
              </w:rPr>
            </w:pPr>
          </w:p>
          <w:p w14:paraId="1BB4E936" w14:textId="77777777" w:rsidR="00FD6E82" w:rsidRPr="000152CB" w:rsidRDefault="00FD6E82" w:rsidP="00FD6E82">
            <w:pPr>
              <w:spacing w:after="0" w:line="240" w:lineRule="auto"/>
              <w:ind w:left="270"/>
              <w:jc w:val="center"/>
              <w:rPr>
                <w:rFonts w:eastAsia="Times New Roman" w:cs="Calibri"/>
                <w:b/>
                <w:sz w:val="20"/>
                <w:szCs w:val="20"/>
                <w:lang w:eastAsia="sr-Latn-ME"/>
              </w:rPr>
            </w:pPr>
          </w:p>
          <w:p w14:paraId="066380A8" w14:textId="77777777" w:rsidR="00FD6E82" w:rsidRPr="000152CB" w:rsidRDefault="00FD6E82" w:rsidP="00FD6E82">
            <w:pPr>
              <w:spacing w:after="0" w:line="240" w:lineRule="auto"/>
              <w:ind w:left="270"/>
              <w:jc w:val="center"/>
              <w:rPr>
                <w:rFonts w:eastAsia="Times New Roman" w:cs="Calibri"/>
                <w:bCs/>
                <w:sz w:val="20"/>
                <w:szCs w:val="20"/>
                <w:lang w:eastAsia="sr-Latn-ME"/>
              </w:rPr>
            </w:pPr>
            <w:r w:rsidRPr="000152CB">
              <w:rPr>
                <w:rFonts w:eastAsia="Times New Roman" w:cs="Calibri"/>
                <w:bCs/>
                <w:sz w:val="20"/>
                <w:szCs w:val="20"/>
                <w:lang w:eastAsia="sr-Latn-ME"/>
              </w:rPr>
              <w:t>trend  smanjivanja od 10%</w:t>
            </w:r>
          </w:p>
        </w:tc>
        <w:tc>
          <w:tcPr>
            <w:tcW w:w="5641" w:type="dxa"/>
            <w:gridSpan w:val="18"/>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24B5DD0" w14:textId="77777777" w:rsidR="00FD6E82" w:rsidRPr="000152CB" w:rsidRDefault="00FD6E82" w:rsidP="00FD6E82">
            <w:pPr>
              <w:spacing w:after="0" w:line="240" w:lineRule="auto"/>
              <w:ind w:left="270"/>
              <w:jc w:val="center"/>
              <w:rPr>
                <w:rFonts w:eastAsia="Times New Roman" w:cs="Calibri"/>
                <w:b/>
                <w:sz w:val="20"/>
                <w:szCs w:val="20"/>
                <w:lang w:eastAsia="sr-Latn-ME"/>
              </w:rPr>
            </w:pPr>
            <w:r w:rsidRPr="000152CB">
              <w:rPr>
                <w:rFonts w:eastAsia="Times New Roman" w:cs="Calibri"/>
                <w:b/>
                <w:sz w:val="20"/>
                <w:szCs w:val="20"/>
                <w:lang w:eastAsia="sr-Latn-ME"/>
              </w:rPr>
              <w:t xml:space="preserve">Ciljna vrijednost: </w:t>
            </w:r>
          </w:p>
          <w:p w14:paraId="105AB18F" w14:textId="77777777" w:rsidR="00FD6E82" w:rsidRPr="000152CB" w:rsidRDefault="00FD6E82" w:rsidP="00FD6E82">
            <w:pPr>
              <w:spacing w:after="0" w:line="240" w:lineRule="auto"/>
              <w:ind w:left="270"/>
              <w:jc w:val="center"/>
              <w:rPr>
                <w:rFonts w:eastAsia="Times New Roman" w:cs="Calibri"/>
                <w:b/>
                <w:sz w:val="20"/>
                <w:szCs w:val="20"/>
                <w:lang w:eastAsia="sr-Latn-ME"/>
              </w:rPr>
            </w:pPr>
          </w:p>
          <w:p w14:paraId="025A68E2" w14:textId="77777777" w:rsidR="00FD6E82" w:rsidRPr="000152CB" w:rsidRDefault="00FD6E82" w:rsidP="00FD6E82">
            <w:pPr>
              <w:spacing w:after="0" w:line="240" w:lineRule="auto"/>
              <w:ind w:left="270"/>
              <w:jc w:val="center"/>
              <w:rPr>
                <w:rFonts w:eastAsia="Times New Roman" w:cs="Calibri"/>
                <w:b/>
                <w:sz w:val="20"/>
                <w:szCs w:val="20"/>
                <w:lang w:eastAsia="sr-Latn-ME"/>
              </w:rPr>
            </w:pPr>
          </w:p>
          <w:p w14:paraId="617666D7" w14:textId="77777777" w:rsidR="00FD6E82" w:rsidRPr="000152CB" w:rsidRDefault="00FD6E82" w:rsidP="00FD6E82">
            <w:pPr>
              <w:spacing w:after="0" w:line="240" w:lineRule="auto"/>
              <w:ind w:left="270"/>
              <w:jc w:val="center"/>
              <w:rPr>
                <w:rFonts w:eastAsia="Times New Roman" w:cs="Calibri"/>
                <w:bCs/>
                <w:sz w:val="20"/>
                <w:szCs w:val="20"/>
                <w:lang w:eastAsia="sr-Latn-ME"/>
              </w:rPr>
            </w:pPr>
            <w:r w:rsidRPr="000152CB">
              <w:rPr>
                <w:rFonts w:eastAsia="Times New Roman" w:cs="Calibri"/>
                <w:bCs/>
                <w:sz w:val="20"/>
                <w:szCs w:val="20"/>
                <w:lang w:eastAsia="sr-Latn-ME"/>
              </w:rPr>
              <w:t>smanjen udio predmetnih hospitalizacija za 25%</w:t>
            </w:r>
          </w:p>
        </w:tc>
      </w:tr>
      <w:tr w:rsidR="00BB44DA" w:rsidRPr="000152CB" w14:paraId="778619B1" w14:textId="77777777" w:rsidTr="00E77388">
        <w:trPr>
          <w:trHeight w:val="377"/>
          <w:jc w:val="center"/>
        </w:trPr>
        <w:tc>
          <w:tcPr>
            <w:tcW w:w="2091" w:type="dxa"/>
            <w:vMerge w:val="restart"/>
            <w:tcBorders>
              <w:top w:val="single" w:sz="4" w:space="0" w:color="000000"/>
              <w:left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hideMark/>
          </w:tcPr>
          <w:p w14:paraId="33FE73BA" w14:textId="77777777" w:rsidR="00FD6E82" w:rsidRPr="000152CB" w:rsidRDefault="00FD6E82" w:rsidP="00FD6E82">
            <w:pPr>
              <w:spacing w:after="0" w:line="240" w:lineRule="auto"/>
              <w:ind w:left="270"/>
              <w:jc w:val="center"/>
              <w:rPr>
                <w:rFonts w:eastAsia="Times New Roman" w:cs="Calibri"/>
                <w:b/>
                <w:sz w:val="20"/>
                <w:szCs w:val="20"/>
                <w:lang w:eastAsia="sr-Latn-ME"/>
              </w:rPr>
            </w:pPr>
            <w:r w:rsidRPr="000152CB">
              <w:rPr>
                <w:rFonts w:eastAsia="Times New Roman" w:cs="Calibri"/>
                <w:b/>
                <w:color w:val="000000"/>
                <w:sz w:val="20"/>
                <w:szCs w:val="20"/>
                <w:lang w:eastAsia="sr-Latn-ME"/>
              </w:rPr>
              <w:t>Aktivnost koja utiče na realizaciju Operativnog cilja</w:t>
            </w:r>
          </w:p>
        </w:tc>
        <w:tc>
          <w:tcPr>
            <w:tcW w:w="1970" w:type="dxa"/>
            <w:gridSpan w:val="2"/>
            <w:vMerge w:val="restart"/>
            <w:tcBorders>
              <w:top w:val="single" w:sz="4" w:space="0" w:color="auto"/>
              <w:left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hideMark/>
          </w:tcPr>
          <w:p w14:paraId="43AA87AD" w14:textId="77777777" w:rsidR="00FD6E82" w:rsidRPr="000152CB" w:rsidRDefault="00FD6E82" w:rsidP="00FD6E82">
            <w:pPr>
              <w:spacing w:after="0" w:line="240" w:lineRule="auto"/>
              <w:ind w:left="270"/>
              <w:jc w:val="center"/>
              <w:rPr>
                <w:rFonts w:eastAsia="Times New Roman" w:cs="Calibri"/>
                <w:b/>
                <w:sz w:val="20"/>
                <w:szCs w:val="20"/>
                <w:lang w:eastAsia="sr-Latn-ME"/>
              </w:rPr>
            </w:pPr>
            <w:r w:rsidRPr="000152CB">
              <w:rPr>
                <w:rFonts w:eastAsia="Times New Roman" w:cs="Calibri"/>
                <w:b/>
                <w:color w:val="000000"/>
                <w:sz w:val="20"/>
                <w:szCs w:val="20"/>
                <w:lang w:eastAsia="sr-Latn-ME"/>
              </w:rPr>
              <w:t>Indikator rezultata</w:t>
            </w:r>
          </w:p>
        </w:tc>
        <w:tc>
          <w:tcPr>
            <w:tcW w:w="1796" w:type="dxa"/>
            <w:vMerge w:val="restart"/>
            <w:tcBorders>
              <w:top w:val="single" w:sz="4" w:space="0" w:color="auto"/>
              <w:left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hideMark/>
          </w:tcPr>
          <w:p w14:paraId="0023E147" w14:textId="77777777" w:rsidR="00FD6E82" w:rsidRPr="000152CB" w:rsidRDefault="00FD6E82" w:rsidP="00FD6E82">
            <w:pPr>
              <w:spacing w:after="0" w:line="240" w:lineRule="auto"/>
              <w:ind w:left="270"/>
              <w:jc w:val="center"/>
              <w:rPr>
                <w:rFonts w:eastAsia="Times New Roman" w:cs="Calibri"/>
                <w:b/>
                <w:sz w:val="20"/>
                <w:szCs w:val="20"/>
                <w:lang w:eastAsia="sr-Latn-ME"/>
              </w:rPr>
            </w:pPr>
            <w:r w:rsidRPr="000152CB">
              <w:rPr>
                <w:rFonts w:eastAsia="Times New Roman" w:cs="Calibri"/>
                <w:b/>
                <w:color w:val="000000"/>
                <w:sz w:val="20"/>
                <w:szCs w:val="20"/>
                <w:lang w:eastAsia="sr-Latn-ME"/>
              </w:rPr>
              <w:t>Nadležna institucija</w:t>
            </w:r>
          </w:p>
        </w:tc>
        <w:tc>
          <w:tcPr>
            <w:tcW w:w="2508" w:type="dxa"/>
            <w:gridSpan w:val="5"/>
            <w:tcBorders>
              <w:top w:val="single" w:sz="4" w:space="0" w:color="auto"/>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hideMark/>
          </w:tcPr>
          <w:p w14:paraId="7B8603B5" w14:textId="77777777" w:rsidR="00FD6E82" w:rsidRPr="000152CB" w:rsidRDefault="00FD6E82" w:rsidP="00653D13">
            <w:pPr>
              <w:spacing w:after="0" w:line="240" w:lineRule="auto"/>
              <w:rPr>
                <w:rFonts w:eastAsia="Times New Roman" w:cs="Calibri"/>
                <w:b/>
                <w:sz w:val="20"/>
                <w:szCs w:val="20"/>
                <w:lang w:eastAsia="sr-Latn-ME"/>
              </w:rPr>
            </w:pPr>
            <w:r w:rsidRPr="000152CB">
              <w:rPr>
                <w:rFonts w:eastAsia="Times New Roman" w:cs="Calibri"/>
                <w:b/>
                <w:color w:val="000000"/>
                <w:sz w:val="20"/>
                <w:szCs w:val="20"/>
                <w:lang w:eastAsia="sr-Latn-ME"/>
              </w:rPr>
              <w:t>STATUS REALIZACIJE AKTIVNOSTI</w:t>
            </w:r>
          </w:p>
        </w:tc>
        <w:tc>
          <w:tcPr>
            <w:tcW w:w="1962" w:type="dxa"/>
            <w:gridSpan w:val="5"/>
            <w:vMerge w:val="restart"/>
            <w:tcBorders>
              <w:top w:val="single" w:sz="4" w:space="0" w:color="auto"/>
              <w:left w:val="single" w:sz="4" w:space="0" w:color="000000"/>
              <w:right w:val="single" w:sz="4" w:space="0" w:color="000000"/>
            </w:tcBorders>
            <w:shd w:val="clear" w:color="auto" w:fill="D9E2F3" w:themeFill="accent1" w:themeFillTint="33"/>
            <w:vAlign w:val="center"/>
          </w:tcPr>
          <w:p w14:paraId="5F492952" w14:textId="77777777" w:rsidR="00FD6E82" w:rsidRPr="000152CB" w:rsidRDefault="00FD6E82" w:rsidP="00FD6E82">
            <w:pPr>
              <w:spacing w:after="0" w:line="240" w:lineRule="auto"/>
              <w:ind w:left="270"/>
              <w:jc w:val="center"/>
              <w:rPr>
                <w:rFonts w:eastAsia="Times New Roman" w:cs="Calibri"/>
                <w:b/>
                <w:sz w:val="20"/>
                <w:szCs w:val="20"/>
                <w:lang w:eastAsia="sr-Latn-ME"/>
              </w:rPr>
            </w:pPr>
            <w:r w:rsidRPr="000152CB">
              <w:rPr>
                <w:rFonts w:eastAsia="Times New Roman" w:cs="Calibri"/>
                <w:b/>
                <w:color w:val="000000"/>
                <w:sz w:val="20"/>
                <w:szCs w:val="20"/>
                <w:lang w:eastAsia="sr-Latn-ME"/>
              </w:rPr>
              <w:t>Datum početka-Datum završetka</w:t>
            </w:r>
          </w:p>
        </w:tc>
        <w:tc>
          <w:tcPr>
            <w:tcW w:w="1368" w:type="dxa"/>
            <w:gridSpan w:val="4"/>
            <w:vMerge w:val="restart"/>
            <w:tcBorders>
              <w:top w:val="single" w:sz="4" w:space="0" w:color="auto"/>
              <w:left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hideMark/>
          </w:tcPr>
          <w:p w14:paraId="14C30CAD" w14:textId="77777777" w:rsidR="00FD6E82" w:rsidRPr="000152CB" w:rsidRDefault="00FD6E82" w:rsidP="00FD6E82">
            <w:pPr>
              <w:spacing w:after="0" w:line="240" w:lineRule="auto"/>
              <w:ind w:left="270"/>
              <w:jc w:val="center"/>
              <w:rPr>
                <w:rFonts w:eastAsia="Times New Roman" w:cs="Calibri"/>
                <w:b/>
                <w:sz w:val="20"/>
                <w:szCs w:val="20"/>
                <w:lang w:eastAsia="sr-Latn-ME"/>
              </w:rPr>
            </w:pPr>
            <w:r w:rsidRPr="000152CB">
              <w:rPr>
                <w:rFonts w:eastAsia="Times New Roman" w:cs="Calibri"/>
                <w:b/>
                <w:color w:val="000000"/>
                <w:sz w:val="20"/>
                <w:szCs w:val="20"/>
                <w:lang w:eastAsia="sr-Latn-ME"/>
              </w:rPr>
              <w:t>Planirana i utrošena sredstva</w:t>
            </w:r>
          </w:p>
        </w:tc>
        <w:tc>
          <w:tcPr>
            <w:tcW w:w="2336" w:type="dxa"/>
            <w:gridSpan w:val="6"/>
            <w:vMerge w:val="restart"/>
            <w:tcBorders>
              <w:top w:val="single" w:sz="4" w:space="0" w:color="auto"/>
              <w:left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hideMark/>
          </w:tcPr>
          <w:p w14:paraId="19CA132E" w14:textId="77777777" w:rsidR="00FD6E82" w:rsidRPr="000152CB" w:rsidRDefault="00FD6E82" w:rsidP="00FD6E82">
            <w:pPr>
              <w:spacing w:after="0" w:line="240" w:lineRule="auto"/>
              <w:ind w:left="270"/>
              <w:jc w:val="center"/>
              <w:rPr>
                <w:rFonts w:eastAsia="Times New Roman" w:cs="Calibri"/>
                <w:b/>
                <w:sz w:val="20"/>
                <w:szCs w:val="20"/>
                <w:lang w:eastAsia="sr-Latn-ME"/>
              </w:rPr>
            </w:pPr>
            <w:r w:rsidRPr="000152CB">
              <w:rPr>
                <w:rFonts w:eastAsia="Times New Roman" w:cs="Calibri"/>
                <w:b/>
                <w:color w:val="000000"/>
                <w:sz w:val="20"/>
                <w:szCs w:val="20"/>
                <w:lang w:eastAsia="sr-Latn-ME"/>
              </w:rPr>
              <w:t>Izvor finansiranja</w:t>
            </w:r>
          </w:p>
        </w:tc>
        <w:tc>
          <w:tcPr>
            <w:tcW w:w="1534" w:type="dxa"/>
            <w:gridSpan w:val="5"/>
            <w:vMerge w:val="restart"/>
            <w:tcBorders>
              <w:top w:val="single" w:sz="4" w:space="0" w:color="auto"/>
              <w:left w:val="single" w:sz="4" w:space="0" w:color="000000"/>
              <w:right w:val="single" w:sz="4" w:space="0" w:color="000000"/>
            </w:tcBorders>
            <w:shd w:val="clear" w:color="auto" w:fill="D9E2F3" w:themeFill="accent1" w:themeFillTint="33"/>
            <w:vAlign w:val="center"/>
          </w:tcPr>
          <w:p w14:paraId="784E8660" w14:textId="271528D2" w:rsidR="00FD6E82" w:rsidRPr="000152CB" w:rsidRDefault="00FD6E82" w:rsidP="00FD6E82">
            <w:pPr>
              <w:spacing w:after="0" w:line="240" w:lineRule="auto"/>
              <w:ind w:left="270"/>
              <w:jc w:val="center"/>
              <w:rPr>
                <w:rFonts w:eastAsia="Times New Roman" w:cs="Calibri"/>
                <w:b/>
                <w:sz w:val="20"/>
                <w:szCs w:val="20"/>
                <w:lang w:eastAsia="sr-Latn-ME"/>
              </w:rPr>
            </w:pPr>
            <w:r w:rsidRPr="000152CB">
              <w:rPr>
                <w:rFonts w:eastAsia="Times New Roman" w:cs="Calibri"/>
                <w:b/>
                <w:sz w:val="20"/>
                <w:szCs w:val="20"/>
                <w:lang w:eastAsia="sr-Latn-ME"/>
              </w:rPr>
              <w:t>Preporuk</w:t>
            </w:r>
            <w:r w:rsidR="00E77388" w:rsidRPr="000152CB">
              <w:rPr>
                <w:rFonts w:eastAsia="Times New Roman" w:cs="Calibri"/>
                <w:b/>
                <w:sz w:val="20"/>
                <w:szCs w:val="20"/>
                <w:lang w:eastAsia="sr-Latn-ME"/>
              </w:rPr>
              <w:t>a</w:t>
            </w:r>
          </w:p>
        </w:tc>
      </w:tr>
      <w:tr w:rsidR="00CA0422" w:rsidRPr="000152CB" w14:paraId="756A8336" w14:textId="77777777" w:rsidTr="00E77388">
        <w:trPr>
          <w:trHeight w:val="376"/>
          <w:jc w:val="center"/>
        </w:trPr>
        <w:tc>
          <w:tcPr>
            <w:tcW w:w="2091" w:type="dxa"/>
            <w:vMerge/>
            <w:tcBorders>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6E948F36" w14:textId="77777777" w:rsidR="00FD6E82" w:rsidRPr="000152CB" w:rsidRDefault="00FD6E82" w:rsidP="00FD6E82">
            <w:pPr>
              <w:spacing w:after="0" w:line="240" w:lineRule="auto"/>
              <w:ind w:left="270"/>
              <w:jc w:val="center"/>
              <w:rPr>
                <w:rFonts w:eastAsia="Times New Roman" w:cs="Calibri"/>
                <w:b/>
                <w:color w:val="000000"/>
                <w:sz w:val="20"/>
                <w:szCs w:val="20"/>
                <w:lang w:eastAsia="sr-Latn-ME"/>
              </w:rPr>
            </w:pPr>
          </w:p>
        </w:tc>
        <w:tc>
          <w:tcPr>
            <w:tcW w:w="1970" w:type="dxa"/>
            <w:gridSpan w:val="2"/>
            <w:vMerge/>
            <w:tcBorders>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54470AD2" w14:textId="77777777" w:rsidR="00FD6E82" w:rsidRPr="000152CB" w:rsidRDefault="00FD6E82" w:rsidP="00FD6E82">
            <w:pPr>
              <w:spacing w:after="0" w:line="240" w:lineRule="auto"/>
              <w:ind w:left="270"/>
              <w:jc w:val="center"/>
              <w:rPr>
                <w:rFonts w:eastAsia="Times New Roman" w:cs="Calibri"/>
                <w:b/>
                <w:color w:val="000000"/>
                <w:sz w:val="20"/>
                <w:szCs w:val="20"/>
                <w:lang w:eastAsia="sr-Latn-ME"/>
              </w:rPr>
            </w:pPr>
          </w:p>
        </w:tc>
        <w:tc>
          <w:tcPr>
            <w:tcW w:w="1796" w:type="dxa"/>
            <w:vMerge/>
            <w:tcBorders>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4476EC09" w14:textId="77777777" w:rsidR="00FD6E82" w:rsidRPr="000152CB" w:rsidRDefault="00FD6E82" w:rsidP="00FD6E82">
            <w:pPr>
              <w:spacing w:after="0" w:line="240" w:lineRule="auto"/>
              <w:ind w:left="270"/>
              <w:jc w:val="center"/>
              <w:rPr>
                <w:rFonts w:eastAsia="Times New Roman" w:cs="Calibri"/>
                <w:b/>
                <w:color w:val="000000"/>
                <w:sz w:val="20"/>
                <w:szCs w:val="20"/>
                <w:lang w:eastAsia="sr-Latn-ME"/>
              </w:rPr>
            </w:pPr>
          </w:p>
        </w:tc>
        <w:tc>
          <w:tcPr>
            <w:tcW w:w="798" w:type="dxa"/>
            <w:tcBorders>
              <w:top w:val="single" w:sz="4" w:space="0" w:color="auto"/>
              <w:left w:val="single" w:sz="4" w:space="0" w:color="000000"/>
              <w:bottom w:val="single" w:sz="4" w:space="0" w:color="000000"/>
              <w:right w:val="single" w:sz="4" w:space="0" w:color="000000"/>
            </w:tcBorders>
            <w:shd w:val="clear" w:color="auto" w:fill="92D050"/>
            <w:tcMar>
              <w:top w:w="0" w:type="dxa"/>
              <w:left w:w="108" w:type="dxa"/>
              <w:bottom w:w="0" w:type="dxa"/>
              <w:right w:w="108" w:type="dxa"/>
            </w:tcMar>
            <w:vAlign w:val="center"/>
          </w:tcPr>
          <w:p w14:paraId="2149F5A1" w14:textId="77777777" w:rsidR="00FD6E82" w:rsidRPr="000152CB" w:rsidRDefault="00FD6E82" w:rsidP="00FD6E82">
            <w:pPr>
              <w:spacing w:after="0" w:line="240" w:lineRule="auto"/>
              <w:ind w:left="270"/>
              <w:jc w:val="center"/>
              <w:rPr>
                <w:rFonts w:eastAsia="Times New Roman" w:cs="Calibri"/>
                <w:b/>
                <w:color w:val="000000"/>
                <w:sz w:val="20"/>
                <w:szCs w:val="20"/>
                <w:lang w:eastAsia="sr-Latn-ME"/>
              </w:rPr>
            </w:pPr>
          </w:p>
        </w:tc>
        <w:tc>
          <w:tcPr>
            <w:tcW w:w="900" w:type="dxa"/>
            <w:gridSpan w:val="3"/>
            <w:tcBorders>
              <w:top w:val="single" w:sz="4" w:space="0" w:color="auto"/>
              <w:left w:val="single" w:sz="4" w:space="0" w:color="000000"/>
              <w:bottom w:val="single" w:sz="4" w:space="0" w:color="000000"/>
              <w:right w:val="single" w:sz="4" w:space="0" w:color="000000"/>
            </w:tcBorders>
            <w:shd w:val="clear" w:color="auto" w:fill="FFFF00"/>
            <w:vAlign w:val="center"/>
          </w:tcPr>
          <w:p w14:paraId="2D60EB98" w14:textId="77777777" w:rsidR="00FD6E82" w:rsidRPr="000152CB" w:rsidRDefault="00FD6E82" w:rsidP="00FD6E82">
            <w:pPr>
              <w:spacing w:after="0" w:line="240" w:lineRule="auto"/>
              <w:ind w:left="270"/>
              <w:jc w:val="center"/>
              <w:rPr>
                <w:rFonts w:eastAsia="Times New Roman" w:cs="Calibri"/>
                <w:b/>
                <w:color w:val="000000"/>
                <w:sz w:val="20"/>
                <w:szCs w:val="20"/>
                <w:lang w:eastAsia="sr-Latn-ME"/>
              </w:rPr>
            </w:pPr>
          </w:p>
        </w:tc>
        <w:tc>
          <w:tcPr>
            <w:tcW w:w="810" w:type="dxa"/>
            <w:tcBorders>
              <w:top w:val="single" w:sz="4" w:space="0" w:color="auto"/>
              <w:left w:val="single" w:sz="4" w:space="0" w:color="000000"/>
              <w:bottom w:val="single" w:sz="4" w:space="0" w:color="000000"/>
              <w:right w:val="single" w:sz="4" w:space="0" w:color="000000"/>
            </w:tcBorders>
            <w:shd w:val="clear" w:color="auto" w:fill="FF0000"/>
            <w:vAlign w:val="center"/>
          </w:tcPr>
          <w:p w14:paraId="7A3AF258" w14:textId="77777777" w:rsidR="00FD6E82" w:rsidRPr="000152CB" w:rsidRDefault="00FD6E82" w:rsidP="00FD6E82">
            <w:pPr>
              <w:spacing w:after="0" w:line="240" w:lineRule="auto"/>
              <w:ind w:left="270"/>
              <w:jc w:val="center"/>
              <w:rPr>
                <w:rFonts w:eastAsia="Times New Roman" w:cs="Calibri"/>
                <w:b/>
                <w:color w:val="000000"/>
                <w:sz w:val="20"/>
                <w:szCs w:val="20"/>
                <w:lang w:eastAsia="sr-Latn-ME"/>
              </w:rPr>
            </w:pPr>
          </w:p>
        </w:tc>
        <w:tc>
          <w:tcPr>
            <w:tcW w:w="1962" w:type="dxa"/>
            <w:gridSpan w:val="5"/>
            <w:vMerge/>
            <w:tcBorders>
              <w:left w:val="single" w:sz="4" w:space="0" w:color="000000"/>
              <w:bottom w:val="single" w:sz="4" w:space="0" w:color="000000"/>
              <w:right w:val="single" w:sz="4" w:space="0" w:color="000000"/>
            </w:tcBorders>
            <w:shd w:val="clear" w:color="auto" w:fill="D9E2F3" w:themeFill="accent1" w:themeFillTint="33"/>
            <w:vAlign w:val="center"/>
          </w:tcPr>
          <w:p w14:paraId="427008CA" w14:textId="77777777" w:rsidR="00FD6E82" w:rsidRPr="000152CB" w:rsidRDefault="00FD6E82" w:rsidP="00FD6E82">
            <w:pPr>
              <w:spacing w:after="0" w:line="240" w:lineRule="auto"/>
              <w:ind w:left="270"/>
              <w:jc w:val="center"/>
              <w:rPr>
                <w:rFonts w:eastAsia="Times New Roman" w:cs="Calibri"/>
                <w:b/>
                <w:color w:val="000000"/>
                <w:sz w:val="20"/>
                <w:szCs w:val="20"/>
                <w:lang w:eastAsia="sr-Latn-ME"/>
              </w:rPr>
            </w:pPr>
          </w:p>
        </w:tc>
        <w:tc>
          <w:tcPr>
            <w:tcW w:w="1368" w:type="dxa"/>
            <w:gridSpan w:val="4"/>
            <w:vMerge/>
            <w:tcBorders>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5F0DF9BC" w14:textId="77777777" w:rsidR="00FD6E82" w:rsidRPr="000152CB" w:rsidRDefault="00FD6E82" w:rsidP="00FD6E82">
            <w:pPr>
              <w:spacing w:after="0" w:line="240" w:lineRule="auto"/>
              <w:ind w:left="270"/>
              <w:jc w:val="center"/>
              <w:rPr>
                <w:rFonts w:eastAsia="Times New Roman" w:cs="Calibri"/>
                <w:b/>
                <w:color w:val="000000"/>
                <w:sz w:val="20"/>
                <w:szCs w:val="20"/>
                <w:lang w:eastAsia="sr-Latn-ME"/>
              </w:rPr>
            </w:pPr>
          </w:p>
        </w:tc>
        <w:tc>
          <w:tcPr>
            <w:tcW w:w="2336" w:type="dxa"/>
            <w:gridSpan w:val="6"/>
            <w:vMerge/>
            <w:tcBorders>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36327EA9" w14:textId="77777777" w:rsidR="00FD6E82" w:rsidRPr="000152CB" w:rsidRDefault="00FD6E82" w:rsidP="00FD6E82">
            <w:pPr>
              <w:spacing w:after="0" w:line="240" w:lineRule="auto"/>
              <w:ind w:left="270"/>
              <w:jc w:val="center"/>
              <w:rPr>
                <w:rFonts w:eastAsia="Times New Roman" w:cs="Calibri"/>
                <w:b/>
                <w:color w:val="000000"/>
                <w:sz w:val="20"/>
                <w:szCs w:val="20"/>
                <w:lang w:eastAsia="sr-Latn-ME"/>
              </w:rPr>
            </w:pPr>
          </w:p>
        </w:tc>
        <w:tc>
          <w:tcPr>
            <w:tcW w:w="1534" w:type="dxa"/>
            <w:gridSpan w:val="5"/>
            <w:vMerge/>
            <w:tcBorders>
              <w:left w:val="single" w:sz="4" w:space="0" w:color="000000"/>
              <w:bottom w:val="single" w:sz="4" w:space="0" w:color="000000"/>
              <w:right w:val="single" w:sz="4" w:space="0" w:color="000000"/>
            </w:tcBorders>
            <w:shd w:val="clear" w:color="auto" w:fill="D9E2F3" w:themeFill="accent1" w:themeFillTint="33"/>
            <w:vAlign w:val="center"/>
          </w:tcPr>
          <w:p w14:paraId="4A31D94F" w14:textId="77777777" w:rsidR="00FD6E82" w:rsidRPr="000152CB" w:rsidRDefault="00FD6E82" w:rsidP="00FD6E82">
            <w:pPr>
              <w:spacing w:after="0" w:line="240" w:lineRule="auto"/>
              <w:ind w:left="270"/>
              <w:jc w:val="center"/>
              <w:rPr>
                <w:rFonts w:eastAsia="Times New Roman" w:cs="Calibri"/>
                <w:b/>
                <w:sz w:val="20"/>
                <w:szCs w:val="20"/>
                <w:lang w:eastAsia="sr-Latn-ME"/>
              </w:rPr>
            </w:pPr>
          </w:p>
        </w:tc>
      </w:tr>
      <w:tr w:rsidR="00BB44DA" w:rsidRPr="000152CB" w14:paraId="5AEC3A9D" w14:textId="77777777" w:rsidTr="00E77388">
        <w:trPr>
          <w:trHeight w:val="331"/>
          <w:jc w:val="center"/>
        </w:trPr>
        <w:tc>
          <w:tcPr>
            <w:tcW w:w="2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8B4D1" w14:textId="77777777" w:rsidR="00FD6E82" w:rsidRPr="000152CB" w:rsidRDefault="00FD6E82" w:rsidP="00FD6E82">
            <w:pPr>
              <w:spacing w:line="240" w:lineRule="auto"/>
              <w:textAlignment w:val="baseline"/>
              <w:rPr>
                <w:rFonts w:eastAsia="Times New Roman" w:cs="Calibri"/>
                <w:color w:val="000000"/>
                <w:sz w:val="20"/>
                <w:szCs w:val="20"/>
                <w:lang w:eastAsia="sr-Latn-ME"/>
              </w:rPr>
            </w:pPr>
            <w:r w:rsidRPr="000152CB">
              <w:rPr>
                <w:rFonts w:eastAsia="Times New Roman" w:cs="Calibri"/>
                <w:color w:val="000000"/>
                <w:sz w:val="20"/>
                <w:szCs w:val="20"/>
                <w:lang w:eastAsia="sr-Latn-ME"/>
              </w:rPr>
              <w:t xml:space="preserve">1.1.1.Izrada normativa i standarda pružanja zdravstvenih usluga na svim nivoima zdravstvene zaštite </w:t>
            </w:r>
          </w:p>
        </w:tc>
        <w:tc>
          <w:tcPr>
            <w:tcW w:w="19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7D75B1"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Usvojen dokument kojim su utvrđeni osnovni standardi za pružanje zdravstvenih usluga na svim nivoima zdravstvene zaštite</w:t>
            </w:r>
          </w:p>
        </w:tc>
        <w:tc>
          <w:tcPr>
            <w:tcW w:w="1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18D0E1"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MZ, zdravstvene ustanove</w:t>
            </w:r>
          </w:p>
        </w:tc>
        <w:tc>
          <w:tcPr>
            <w:tcW w:w="2508" w:type="dxa"/>
            <w:gridSpan w:val="5"/>
            <w:tcBorders>
              <w:top w:val="single" w:sz="4" w:space="0" w:color="000000"/>
              <w:left w:val="single" w:sz="4" w:space="0" w:color="000000"/>
              <w:bottom w:val="single" w:sz="4" w:space="0" w:color="000000"/>
              <w:right w:val="single" w:sz="4" w:space="0" w:color="000000"/>
            </w:tcBorders>
            <w:shd w:val="clear" w:color="auto" w:fill="FF0000"/>
            <w:tcMar>
              <w:top w:w="0" w:type="dxa"/>
              <w:left w:w="108" w:type="dxa"/>
              <w:bottom w:w="0" w:type="dxa"/>
              <w:right w:w="108" w:type="dxa"/>
            </w:tcMar>
          </w:tcPr>
          <w:p w14:paraId="5F122FD0" w14:textId="17A63A6E" w:rsidR="00FD6E82" w:rsidRPr="000152CB" w:rsidRDefault="00474251"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U nadležne institucije dodati  i IJZ i Fond . Aktivnost će biti realizovana u narednom AP. Rok IV 2026</w:t>
            </w:r>
          </w:p>
        </w:tc>
        <w:tc>
          <w:tcPr>
            <w:tcW w:w="1962" w:type="dxa"/>
            <w:gridSpan w:val="5"/>
            <w:tcBorders>
              <w:top w:val="single" w:sz="4" w:space="0" w:color="000000"/>
              <w:left w:val="single" w:sz="4" w:space="0" w:color="000000"/>
              <w:bottom w:val="single" w:sz="4" w:space="0" w:color="000000"/>
              <w:right w:val="single" w:sz="4" w:space="0" w:color="000000"/>
            </w:tcBorders>
          </w:tcPr>
          <w:p w14:paraId="57C123F0" w14:textId="77777777" w:rsidR="00FD6E82" w:rsidRPr="000152CB" w:rsidRDefault="00FD6E82" w:rsidP="00FD6E82">
            <w:pPr>
              <w:spacing w:after="0" w:line="240" w:lineRule="auto"/>
              <w:ind w:left="270"/>
              <w:rPr>
                <w:rFonts w:eastAsia="Times New Roman" w:cs="Calibri"/>
                <w:sz w:val="20"/>
                <w:szCs w:val="20"/>
                <w:lang w:eastAsia="sr-Latn-ME"/>
              </w:rPr>
            </w:pPr>
            <w:r w:rsidRPr="000152CB">
              <w:rPr>
                <w:rFonts w:eastAsia="Times New Roman" w:cs="Calibri"/>
                <w:sz w:val="20"/>
                <w:szCs w:val="20"/>
                <w:lang w:eastAsia="sr-Latn-ME"/>
              </w:rPr>
              <w:t>III Q 2023-IV Q 2024</w:t>
            </w:r>
          </w:p>
        </w:tc>
        <w:tc>
          <w:tcPr>
            <w:tcW w:w="136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8CA52D" w14:textId="77777777" w:rsidR="00FD6E82" w:rsidRPr="000152CB" w:rsidRDefault="00FD6E82" w:rsidP="00BA0AE7">
            <w:pPr>
              <w:spacing w:after="0" w:line="240" w:lineRule="auto"/>
              <w:rPr>
                <w:rFonts w:eastAsia="Times New Roman" w:cs="Calibri"/>
                <w:sz w:val="20"/>
                <w:szCs w:val="20"/>
                <w:lang w:eastAsia="sr-Latn-ME"/>
              </w:rPr>
            </w:pPr>
            <w:r w:rsidRPr="000152CB">
              <w:rPr>
                <w:rFonts w:eastAsia="Times New Roman" w:cs="Calibri"/>
                <w:sz w:val="20"/>
                <w:szCs w:val="20"/>
                <w:lang w:eastAsia="sr-Latn-ME"/>
              </w:rPr>
              <w:t>Tekuća sredstva</w:t>
            </w:r>
          </w:p>
        </w:tc>
        <w:tc>
          <w:tcPr>
            <w:tcW w:w="2336"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A973E8"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Budžet</w:t>
            </w:r>
          </w:p>
        </w:tc>
        <w:tc>
          <w:tcPr>
            <w:tcW w:w="1534" w:type="dxa"/>
            <w:gridSpan w:val="5"/>
            <w:tcBorders>
              <w:top w:val="single" w:sz="4" w:space="0" w:color="000000"/>
              <w:left w:val="single" w:sz="4" w:space="0" w:color="000000"/>
              <w:bottom w:val="single" w:sz="4" w:space="0" w:color="000000"/>
              <w:right w:val="single" w:sz="4" w:space="0" w:color="000000"/>
            </w:tcBorders>
          </w:tcPr>
          <w:p w14:paraId="54D06CD6" w14:textId="2DCC2F95" w:rsidR="00FD6E82" w:rsidRPr="000152CB" w:rsidRDefault="004816B8"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Aktivnost će biti prenesena u naredni akcioni plan i realizacija je planirana do kraja IV kvartala 2026</w:t>
            </w:r>
          </w:p>
        </w:tc>
      </w:tr>
      <w:tr w:rsidR="00BB44DA" w:rsidRPr="000152CB" w14:paraId="00B7937A" w14:textId="77777777" w:rsidTr="00E77388">
        <w:trPr>
          <w:trHeight w:val="331"/>
          <w:jc w:val="center"/>
        </w:trPr>
        <w:tc>
          <w:tcPr>
            <w:tcW w:w="2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916FF4" w14:textId="77777777" w:rsidR="00FD6E82" w:rsidRPr="000152CB" w:rsidRDefault="00FD6E82" w:rsidP="00FD6E82">
            <w:pPr>
              <w:spacing w:line="240" w:lineRule="auto"/>
              <w:textAlignment w:val="baseline"/>
              <w:rPr>
                <w:rFonts w:eastAsia="Times New Roman" w:cs="Calibri"/>
                <w:color w:val="000000"/>
                <w:sz w:val="20"/>
                <w:szCs w:val="20"/>
                <w:lang w:eastAsia="sr-Latn-ME"/>
              </w:rPr>
            </w:pPr>
            <w:r w:rsidRPr="000152CB">
              <w:rPr>
                <w:rFonts w:eastAsia="Times New Roman" w:cs="Calibri"/>
                <w:color w:val="000000"/>
                <w:sz w:val="20"/>
                <w:szCs w:val="20"/>
                <w:lang w:eastAsia="sr-Latn-ME"/>
              </w:rPr>
              <w:t xml:space="preserve">1.1.2. Sveobuhvatna analiza zdravstvenih potreba u Crnoj Gori sa planom razvoja ljudskih resursa u zdravstvu i pružaoca usluga po nivoima zdravstvene </w:t>
            </w:r>
            <w:r w:rsidRPr="000152CB">
              <w:rPr>
                <w:rFonts w:eastAsia="Times New Roman" w:cs="Calibri"/>
                <w:sz w:val="20"/>
                <w:szCs w:val="20"/>
                <w:lang w:eastAsia="sr-Latn-ME"/>
              </w:rPr>
              <w:t xml:space="preserve">zaštite uvažavajući uticaj klimatskih promjena </w:t>
            </w:r>
          </w:p>
          <w:p w14:paraId="6D80B217" w14:textId="77777777" w:rsidR="00FD6E82" w:rsidRPr="000152CB" w:rsidRDefault="00FD6E82" w:rsidP="00FD6E82">
            <w:pPr>
              <w:spacing w:line="240" w:lineRule="auto"/>
              <w:ind w:left="270"/>
              <w:textAlignment w:val="baseline"/>
              <w:rPr>
                <w:rFonts w:eastAsia="Times New Roman" w:cs="Calibri"/>
                <w:color w:val="000000"/>
                <w:sz w:val="20"/>
                <w:szCs w:val="20"/>
                <w:lang w:eastAsia="sr-Latn-ME"/>
              </w:rPr>
            </w:pPr>
          </w:p>
          <w:p w14:paraId="7D3CFD02" w14:textId="77777777" w:rsidR="00FD6E82" w:rsidRPr="000152CB" w:rsidRDefault="00FD6E82" w:rsidP="00FD6E82">
            <w:pPr>
              <w:spacing w:line="240" w:lineRule="auto"/>
              <w:ind w:left="270"/>
              <w:textAlignment w:val="baseline"/>
              <w:rPr>
                <w:rFonts w:eastAsia="Times New Roman" w:cs="Calibri"/>
                <w:color w:val="000000"/>
                <w:sz w:val="20"/>
                <w:szCs w:val="20"/>
                <w:lang w:eastAsia="sr-Latn-ME"/>
              </w:rPr>
            </w:pPr>
          </w:p>
        </w:tc>
        <w:tc>
          <w:tcPr>
            <w:tcW w:w="19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C34238"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Izrađena analiza zdravstenih potreba</w:t>
            </w:r>
          </w:p>
        </w:tc>
        <w:tc>
          <w:tcPr>
            <w:tcW w:w="1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D02801"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MZ, IJZ</w:t>
            </w:r>
          </w:p>
        </w:tc>
        <w:tc>
          <w:tcPr>
            <w:tcW w:w="2508" w:type="dxa"/>
            <w:gridSpan w:val="5"/>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349B50AE" w14:textId="04519F2D" w:rsidR="00FD6E82" w:rsidRPr="000152CB" w:rsidRDefault="005F1094"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Izrada Plana ljudskih resursa je u toku, i planiran je da bude završen do novembra 2025. godine.</w:t>
            </w:r>
          </w:p>
        </w:tc>
        <w:tc>
          <w:tcPr>
            <w:tcW w:w="1962" w:type="dxa"/>
            <w:gridSpan w:val="5"/>
            <w:tcBorders>
              <w:top w:val="single" w:sz="4" w:space="0" w:color="000000"/>
              <w:left w:val="single" w:sz="4" w:space="0" w:color="000000"/>
              <w:bottom w:val="single" w:sz="4" w:space="0" w:color="000000"/>
              <w:right w:val="single" w:sz="4" w:space="0" w:color="000000"/>
            </w:tcBorders>
          </w:tcPr>
          <w:p w14:paraId="45730465"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III Q 2023-IVQ  2024</w:t>
            </w:r>
          </w:p>
        </w:tc>
        <w:tc>
          <w:tcPr>
            <w:tcW w:w="136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7C60B8"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Tekuća sredstva</w:t>
            </w:r>
          </w:p>
        </w:tc>
        <w:tc>
          <w:tcPr>
            <w:tcW w:w="2336"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975E5F"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Budžet</w:t>
            </w:r>
          </w:p>
        </w:tc>
        <w:tc>
          <w:tcPr>
            <w:tcW w:w="1534" w:type="dxa"/>
            <w:gridSpan w:val="5"/>
            <w:tcBorders>
              <w:top w:val="single" w:sz="4" w:space="0" w:color="000000"/>
              <w:left w:val="single" w:sz="4" w:space="0" w:color="000000"/>
              <w:bottom w:val="single" w:sz="4" w:space="0" w:color="000000"/>
              <w:right w:val="single" w:sz="4" w:space="0" w:color="000000"/>
            </w:tcBorders>
          </w:tcPr>
          <w:p w14:paraId="780C08B9" w14:textId="5B4C588F" w:rsidR="00FD6E82" w:rsidRPr="000152CB" w:rsidRDefault="005F1094"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Aktivnost će biti realizovana do kraja 2025. godine</w:t>
            </w:r>
          </w:p>
        </w:tc>
      </w:tr>
      <w:tr w:rsidR="00BB44DA" w:rsidRPr="000152CB" w14:paraId="0380DB03" w14:textId="77777777" w:rsidTr="00E77388">
        <w:trPr>
          <w:trHeight w:val="45"/>
          <w:jc w:val="center"/>
        </w:trPr>
        <w:tc>
          <w:tcPr>
            <w:tcW w:w="2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162F3" w14:textId="77777777" w:rsidR="00FD6E82" w:rsidRPr="000152CB" w:rsidRDefault="00FD6E82" w:rsidP="00FD6E82">
            <w:pPr>
              <w:spacing w:line="240" w:lineRule="auto"/>
              <w:textAlignment w:val="baseline"/>
              <w:rPr>
                <w:rFonts w:eastAsia="Times New Roman" w:cs="Calibri"/>
                <w:color w:val="000000"/>
                <w:sz w:val="20"/>
                <w:szCs w:val="20"/>
                <w:lang w:eastAsia="sr-Latn-ME"/>
              </w:rPr>
            </w:pPr>
            <w:r w:rsidRPr="000152CB">
              <w:rPr>
                <w:rFonts w:eastAsia="Times New Roman" w:cs="Calibri"/>
                <w:color w:val="000000"/>
                <w:sz w:val="20"/>
                <w:szCs w:val="20"/>
                <w:lang w:eastAsia="sr-Latn-ME"/>
              </w:rPr>
              <w:lastRenderedPageBreak/>
              <w:t>1.1.3. Izrada predloga mreže zdravstvenih ustanova sa planom razvoja i investicija (kratkoročni, srednjeročni i dugoročni), na osnovu analize svih faktora i projekcija koji utiču i/ili mogu uticati na realizaciju programa zdravstvene zaštite</w:t>
            </w:r>
          </w:p>
          <w:p w14:paraId="535DBD86" w14:textId="77777777" w:rsidR="00FD6E82" w:rsidRPr="000152CB" w:rsidRDefault="00FD6E82" w:rsidP="00FD6E82">
            <w:pPr>
              <w:spacing w:line="240" w:lineRule="auto"/>
              <w:textAlignment w:val="baseline"/>
              <w:rPr>
                <w:rFonts w:eastAsia="Times New Roman" w:cs="Calibri"/>
                <w:color w:val="000000"/>
                <w:sz w:val="20"/>
                <w:szCs w:val="20"/>
                <w:lang w:eastAsia="sr-Latn-ME"/>
              </w:rPr>
            </w:pPr>
            <w:r w:rsidRPr="000152CB">
              <w:rPr>
                <w:rFonts w:eastAsia="Times New Roman" w:cs="Calibri"/>
                <w:color w:val="000000"/>
                <w:sz w:val="20"/>
                <w:szCs w:val="20"/>
                <w:lang w:eastAsia="sr-Latn-ME"/>
              </w:rPr>
              <w:t>Analiza i model optimizacije integrisanja pružanja usluga u privatnom i javnom sektoru</w:t>
            </w:r>
          </w:p>
        </w:tc>
        <w:tc>
          <w:tcPr>
            <w:tcW w:w="19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3C9A54"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Izrađen predlog mreže zdravstvenih ustanova</w:t>
            </w:r>
          </w:p>
        </w:tc>
        <w:tc>
          <w:tcPr>
            <w:tcW w:w="1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9662E" w14:textId="77777777" w:rsidR="00FD6E82" w:rsidRPr="000152CB" w:rsidRDefault="00FD6E82" w:rsidP="00FD6E82">
            <w:pPr>
              <w:spacing w:after="0" w:line="240" w:lineRule="auto"/>
              <w:ind w:left="270"/>
              <w:rPr>
                <w:rFonts w:eastAsia="Times New Roman" w:cs="Calibri"/>
                <w:sz w:val="20"/>
                <w:szCs w:val="20"/>
                <w:lang w:eastAsia="sr-Latn-ME"/>
              </w:rPr>
            </w:pPr>
            <w:r w:rsidRPr="000152CB">
              <w:rPr>
                <w:rFonts w:eastAsia="Times New Roman" w:cs="Calibri"/>
                <w:sz w:val="20"/>
                <w:szCs w:val="20"/>
                <w:lang w:eastAsia="sr-Latn-ME"/>
              </w:rPr>
              <w:t>MZ, Fond</w:t>
            </w:r>
          </w:p>
        </w:tc>
        <w:tc>
          <w:tcPr>
            <w:tcW w:w="2508" w:type="dxa"/>
            <w:gridSpan w:val="5"/>
            <w:tcBorders>
              <w:top w:val="single" w:sz="4" w:space="0" w:color="000000"/>
              <w:left w:val="single" w:sz="4" w:space="0" w:color="000000"/>
              <w:bottom w:val="single" w:sz="4" w:space="0" w:color="000000"/>
              <w:right w:val="single" w:sz="4" w:space="0" w:color="000000"/>
            </w:tcBorders>
            <w:shd w:val="clear" w:color="auto" w:fill="FF0000"/>
            <w:tcMar>
              <w:top w:w="0" w:type="dxa"/>
              <w:left w:w="108" w:type="dxa"/>
              <w:bottom w:w="0" w:type="dxa"/>
              <w:right w:w="108" w:type="dxa"/>
            </w:tcMar>
          </w:tcPr>
          <w:p w14:paraId="4BD1A822" w14:textId="5211B174" w:rsidR="00FD6E82" w:rsidRPr="000152CB" w:rsidRDefault="000574A7"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Odluku o izmjenama Odluke o mreži zdravstvenih ustanova donijeta u 2023. U toku je izrada  Uredba o obimu prava i standardima zdravstvene zaštite iz obaveznog zdravstvenog osiguranja na sekundarnom i tercijarnom nivou zdravstvene zaštite. Zakonska ogranjičenja. Teritorijalno razgraničenje zdravstvenih ustanova u pružanju zdravstvenih usluga. Rok IV Q 2027</w:t>
            </w:r>
          </w:p>
        </w:tc>
        <w:tc>
          <w:tcPr>
            <w:tcW w:w="1962" w:type="dxa"/>
            <w:gridSpan w:val="5"/>
            <w:tcBorders>
              <w:top w:val="single" w:sz="4" w:space="0" w:color="000000"/>
              <w:left w:val="single" w:sz="4" w:space="0" w:color="000000"/>
              <w:bottom w:val="single" w:sz="4" w:space="0" w:color="000000"/>
              <w:right w:val="single" w:sz="4" w:space="0" w:color="000000"/>
            </w:tcBorders>
          </w:tcPr>
          <w:p w14:paraId="452C0DBF"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II Q 2024-IV Q 2024</w:t>
            </w:r>
          </w:p>
        </w:tc>
        <w:tc>
          <w:tcPr>
            <w:tcW w:w="136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1839B8"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 xml:space="preserve">Tekuća sredstva </w:t>
            </w:r>
          </w:p>
        </w:tc>
        <w:tc>
          <w:tcPr>
            <w:tcW w:w="2336"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6B1FD0"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Budžet</w:t>
            </w:r>
          </w:p>
        </w:tc>
        <w:tc>
          <w:tcPr>
            <w:tcW w:w="1534" w:type="dxa"/>
            <w:gridSpan w:val="5"/>
            <w:tcBorders>
              <w:top w:val="single" w:sz="4" w:space="0" w:color="000000"/>
              <w:left w:val="single" w:sz="4" w:space="0" w:color="000000"/>
              <w:bottom w:val="single" w:sz="4" w:space="0" w:color="000000"/>
              <w:right w:val="single" w:sz="4" w:space="0" w:color="000000"/>
            </w:tcBorders>
          </w:tcPr>
          <w:p w14:paraId="6AB02B7A" w14:textId="7262AC79" w:rsidR="00FD6E82" w:rsidRPr="000152CB" w:rsidRDefault="002530D3"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Aktivnost će biti realizovana do kraja IV kvartala 2027. godine</w:t>
            </w:r>
          </w:p>
        </w:tc>
      </w:tr>
      <w:tr w:rsidR="00BB44DA" w:rsidRPr="000152CB" w14:paraId="215DD3F4" w14:textId="77777777" w:rsidTr="00FC610B">
        <w:trPr>
          <w:trHeight w:val="331"/>
          <w:jc w:val="center"/>
        </w:trPr>
        <w:tc>
          <w:tcPr>
            <w:tcW w:w="2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5EC6F4" w14:textId="77777777" w:rsidR="00FD6E82" w:rsidRPr="000152CB" w:rsidRDefault="00FD6E82" w:rsidP="00FD6E82">
            <w:pPr>
              <w:spacing w:line="240" w:lineRule="auto"/>
              <w:textAlignment w:val="baseline"/>
              <w:rPr>
                <w:rFonts w:eastAsia="Times New Roman" w:cs="Calibri"/>
                <w:color w:val="000000"/>
                <w:sz w:val="20"/>
                <w:szCs w:val="20"/>
                <w:lang w:eastAsia="sr-Latn-ME"/>
              </w:rPr>
            </w:pPr>
            <w:r w:rsidRPr="000152CB">
              <w:rPr>
                <w:rFonts w:eastAsia="Times New Roman" w:cs="Calibri"/>
                <w:color w:val="000000"/>
                <w:sz w:val="20"/>
                <w:szCs w:val="20"/>
                <w:lang w:eastAsia="sr-Latn-ME"/>
              </w:rPr>
              <w:t>1.1.4. Izrada funkcionalne analize za oblast zdravstva sa fokusom na zarade  i kadrovsku politiku u zdravstvu</w:t>
            </w:r>
          </w:p>
        </w:tc>
        <w:tc>
          <w:tcPr>
            <w:tcW w:w="19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032F58"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Izrađena analiza sa odgovarajućim preporukama</w:t>
            </w:r>
          </w:p>
        </w:tc>
        <w:tc>
          <w:tcPr>
            <w:tcW w:w="1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3C1F5C"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MZ, Fond, MJU, MF, SB</w:t>
            </w:r>
          </w:p>
        </w:tc>
        <w:tc>
          <w:tcPr>
            <w:tcW w:w="2508" w:type="dxa"/>
            <w:gridSpan w:val="5"/>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4A8BC9FA" w14:textId="31F6C85A" w:rsidR="00FD6E82" w:rsidRPr="000152CB" w:rsidRDefault="00FC610B"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Funkcionalna analiza je aktivnost predviđena AP Strategijom reforme javne uprave. Aktivnost je pod</w:t>
            </w:r>
            <w:r w:rsidR="006605A7" w:rsidRPr="000152CB">
              <w:rPr>
                <w:rFonts w:eastAsia="Times New Roman" w:cs="Calibri"/>
                <w:sz w:val="20"/>
                <w:szCs w:val="20"/>
                <w:lang w:eastAsia="sr-Latn-ME"/>
              </w:rPr>
              <w:t>i</w:t>
            </w:r>
            <w:r w:rsidRPr="000152CB">
              <w:rPr>
                <w:rFonts w:eastAsia="Times New Roman" w:cs="Calibri"/>
                <w:sz w:val="20"/>
                <w:szCs w:val="20"/>
                <w:lang w:eastAsia="sr-Latn-ME"/>
              </w:rPr>
              <w:t xml:space="preserve">jeljena u 2 faze. </w:t>
            </w:r>
            <w:r w:rsidR="006605A7" w:rsidRPr="000152CB">
              <w:rPr>
                <w:rFonts w:eastAsia="Times New Roman" w:cs="Calibri"/>
                <w:sz w:val="20"/>
                <w:szCs w:val="20"/>
                <w:lang w:eastAsia="sr-Latn-ME"/>
              </w:rPr>
              <w:t>U okviru prve</w:t>
            </w:r>
            <w:r w:rsidR="00A72297" w:rsidRPr="000152CB">
              <w:rPr>
                <w:rFonts w:eastAsia="Times New Roman" w:cs="Calibri"/>
                <w:sz w:val="20"/>
                <w:szCs w:val="20"/>
                <w:lang w:eastAsia="sr-Latn-ME"/>
              </w:rPr>
              <w:t xml:space="preserve"> </w:t>
            </w:r>
            <w:r w:rsidRPr="000152CB">
              <w:rPr>
                <w:rFonts w:eastAsia="Times New Roman" w:cs="Calibri"/>
                <w:sz w:val="20"/>
                <w:szCs w:val="20"/>
                <w:lang w:eastAsia="sr-Latn-ME"/>
              </w:rPr>
              <w:t>fa</w:t>
            </w:r>
            <w:r w:rsidR="00A72297" w:rsidRPr="000152CB">
              <w:rPr>
                <w:rFonts w:eastAsia="Times New Roman" w:cs="Calibri"/>
                <w:sz w:val="20"/>
                <w:szCs w:val="20"/>
                <w:lang w:eastAsia="sr-Latn-ME"/>
              </w:rPr>
              <w:t>e</w:t>
            </w:r>
            <w:r w:rsidRPr="000152CB">
              <w:rPr>
                <w:rFonts w:eastAsia="Times New Roman" w:cs="Calibri"/>
                <w:sz w:val="20"/>
                <w:szCs w:val="20"/>
                <w:lang w:eastAsia="sr-Latn-ME"/>
              </w:rPr>
              <w:t>a je donijet izvještaj od strane Sv</w:t>
            </w:r>
            <w:r w:rsidR="006605A7" w:rsidRPr="000152CB">
              <w:rPr>
                <w:rFonts w:eastAsia="Times New Roman" w:cs="Calibri"/>
                <w:sz w:val="20"/>
                <w:szCs w:val="20"/>
                <w:lang w:eastAsia="sr-Latn-ME"/>
              </w:rPr>
              <w:t>j</w:t>
            </w:r>
            <w:r w:rsidRPr="000152CB">
              <w:rPr>
                <w:rFonts w:eastAsia="Times New Roman" w:cs="Calibri"/>
                <w:sz w:val="20"/>
                <w:szCs w:val="20"/>
                <w:lang w:eastAsia="sr-Latn-ME"/>
              </w:rPr>
              <w:t>etske banke koji pruža analizu na opštem nivou.  Druga faza- istraživanje nije ni zapo</w:t>
            </w:r>
            <w:r w:rsidR="006605A7" w:rsidRPr="000152CB">
              <w:rPr>
                <w:rFonts w:eastAsia="Times New Roman" w:cs="Calibri"/>
                <w:sz w:val="20"/>
                <w:szCs w:val="20"/>
                <w:lang w:eastAsia="sr-Latn-ME"/>
              </w:rPr>
              <w:t>čee</w:t>
            </w:r>
            <w:r w:rsidRPr="000152CB">
              <w:rPr>
                <w:rFonts w:eastAsia="Times New Roman" w:cs="Calibri"/>
                <w:sz w:val="20"/>
                <w:szCs w:val="20"/>
                <w:lang w:eastAsia="sr-Latn-ME"/>
              </w:rPr>
              <w:t xml:space="preserve">ta </w:t>
            </w:r>
          </w:p>
        </w:tc>
        <w:tc>
          <w:tcPr>
            <w:tcW w:w="1962" w:type="dxa"/>
            <w:gridSpan w:val="5"/>
            <w:tcBorders>
              <w:top w:val="single" w:sz="4" w:space="0" w:color="000000"/>
              <w:left w:val="single" w:sz="4" w:space="0" w:color="000000"/>
              <w:bottom w:val="single" w:sz="4" w:space="0" w:color="000000"/>
              <w:right w:val="single" w:sz="4" w:space="0" w:color="000000"/>
            </w:tcBorders>
          </w:tcPr>
          <w:p w14:paraId="6FD04AD4"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I Q 2023-III Q 2023</w:t>
            </w:r>
          </w:p>
        </w:tc>
        <w:tc>
          <w:tcPr>
            <w:tcW w:w="136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D3A8CB"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N/A</w:t>
            </w:r>
          </w:p>
        </w:tc>
        <w:tc>
          <w:tcPr>
            <w:tcW w:w="2336"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FF3E4C"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Budžet, donacije, projekti</w:t>
            </w:r>
          </w:p>
        </w:tc>
        <w:tc>
          <w:tcPr>
            <w:tcW w:w="1534" w:type="dxa"/>
            <w:gridSpan w:val="5"/>
            <w:tcBorders>
              <w:top w:val="single" w:sz="4" w:space="0" w:color="000000"/>
              <w:left w:val="single" w:sz="4" w:space="0" w:color="000000"/>
              <w:bottom w:val="single" w:sz="4" w:space="0" w:color="000000"/>
              <w:right w:val="single" w:sz="4" w:space="0" w:color="000000"/>
            </w:tcBorders>
          </w:tcPr>
          <w:p w14:paraId="6905DF8B" w14:textId="3CF7EABB" w:rsidR="00FD6E82" w:rsidRPr="000152CB" w:rsidRDefault="00A72297"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Aktivnost mora biti realizovana u narednom akcionom planu</w:t>
            </w:r>
          </w:p>
        </w:tc>
      </w:tr>
      <w:tr w:rsidR="00BB44DA" w:rsidRPr="000152CB" w14:paraId="1605FF4F" w14:textId="77777777" w:rsidTr="00E77388">
        <w:trPr>
          <w:trHeight w:val="331"/>
          <w:jc w:val="center"/>
        </w:trPr>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9062B" w14:textId="77777777" w:rsidR="00FD6E82" w:rsidRPr="000152CB" w:rsidRDefault="00FD6E82" w:rsidP="00FD6E82">
            <w:pPr>
              <w:spacing w:line="240" w:lineRule="auto"/>
              <w:textAlignment w:val="baseline"/>
              <w:rPr>
                <w:rFonts w:eastAsia="Times New Roman" w:cs="Calibri"/>
                <w:color w:val="000000"/>
                <w:sz w:val="20"/>
                <w:szCs w:val="20"/>
                <w:lang w:eastAsia="sr-Latn-ME"/>
              </w:rPr>
            </w:pPr>
            <w:r w:rsidRPr="000152CB">
              <w:rPr>
                <w:rFonts w:eastAsia="Times New Roman" w:cs="Calibri"/>
                <w:color w:val="000000"/>
                <w:sz w:val="20"/>
                <w:szCs w:val="20"/>
                <w:lang w:eastAsia="sr-Latn-ME"/>
              </w:rPr>
              <w:t xml:space="preserve">1.1.5. Izraditi set preporuka sa obrazloženjem u vezi sa stimulacijom zdravstvenih radnika koji pružaju zdravstvene usluge u </w:t>
            </w:r>
            <w:r w:rsidRPr="000152CB">
              <w:rPr>
                <w:rFonts w:eastAsia="Times New Roman" w:cs="Calibri"/>
                <w:color w:val="000000"/>
                <w:sz w:val="20"/>
                <w:szCs w:val="20"/>
                <w:lang w:eastAsia="sr-Latn-ME"/>
              </w:rPr>
              <w:lastRenderedPageBreak/>
              <w:t>udaljenim i/ili ruralnim područjima</w:t>
            </w:r>
          </w:p>
        </w:tc>
        <w:tc>
          <w:tcPr>
            <w:tcW w:w="19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8E60E2"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lastRenderedPageBreak/>
              <w:t>Određen koeficijent za obračun zarada zdravstvenih radnika koji pružaju zdravstvene usluge u udaljenim i/ili ruralnim područjima</w:t>
            </w:r>
          </w:p>
        </w:tc>
        <w:tc>
          <w:tcPr>
            <w:tcW w:w="1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279FF5"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MZ, Fond</w:t>
            </w:r>
          </w:p>
        </w:tc>
        <w:tc>
          <w:tcPr>
            <w:tcW w:w="2508" w:type="dxa"/>
            <w:gridSpan w:val="5"/>
            <w:tcBorders>
              <w:top w:val="single" w:sz="4" w:space="0" w:color="000000"/>
              <w:left w:val="single" w:sz="4" w:space="0" w:color="000000"/>
              <w:bottom w:val="single" w:sz="4" w:space="0" w:color="000000"/>
              <w:right w:val="single" w:sz="4" w:space="0" w:color="000000"/>
            </w:tcBorders>
            <w:shd w:val="clear" w:color="auto" w:fill="FF0000"/>
            <w:tcMar>
              <w:top w:w="0" w:type="dxa"/>
              <w:left w:w="108" w:type="dxa"/>
              <w:bottom w:w="0" w:type="dxa"/>
              <w:right w:w="108" w:type="dxa"/>
            </w:tcMar>
          </w:tcPr>
          <w:p w14:paraId="6C305C62" w14:textId="6826D7AB" w:rsidR="00FD6E82" w:rsidRPr="000152CB" w:rsidRDefault="002530D3"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 xml:space="preserve">Institucionalne </w:t>
            </w:r>
            <w:r w:rsidR="006E6321" w:rsidRPr="000152CB">
              <w:rPr>
                <w:rFonts w:eastAsia="Times New Roman" w:cs="Calibri"/>
                <w:sz w:val="20"/>
                <w:szCs w:val="20"/>
                <w:lang w:eastAsia="sr-Latn-ME"/>
              </w:rPr>
              <w:t>promjene koje su se dogodile u prethodnom periodu sprovođenja javne politike su presudno uticale na nesprovođenje aktivnosti u planiranom roku</w:t>
            </w:r>
          </w:p>
        </w:tc>
        <w:tc>
          <w:tcPr>
            <w:tcW w:w="1962" w:type="dxa"/>
            <w:gridSpan w:val="5"/>
            <w:tcBorders>
              <w:top w:val="single" w:sz="4" w:space="0" w:color="000000"/>
              <w:left w:val="single" w:sz="4" w:space="0" w:color="000000"/>
              <w:bottom w:val="single" w:sz="4" w:space="0" w:color="000000"/>
              <w:right w:val="single" w:sz="4" w:space="0" w:color="000000"/>
            </w:tcBorders>
          </w:tcPr>
          <w:p w14:paraId="16550866"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III Q 2023-IV Q 2023</w:t>
            </w:r>
          </w:p>
        </w:tc>
        <w:tc>
          <w:tcPr>
            <w:tcW w:w="136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300101"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Tekuća sredstva</w:t>
            </w:r>
          </w:p>
        </w:tc>
        <w:tc>
          <w:tcPr>
            <w:tcW w:w="2336"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A355EF"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Budžet</w:t>
            </w:r>
          </w:p>
        </w:tc>
        <w:tc>
          <w:tcPr>
            <w:tcW w:w="1534" w:type="dxa"/>
            <w:gridSpan w:val="5"/>
            <w:tcBorders>
              <w:top w:val="single" w:sz="4" w:space="0" w:color="000000"/>
              <w:left w:val="single" w:sz="4" w:space="0" w:color="000000"/>
              <w:bottom w:val="single" w:sz="4" w:space="0" w:color="000000"/>
              <w:right w:val="single" w:sz="4" w:space="0" w:color="000000"/>
            </w:tcBorders>
          </w:tcPr>
          <w:p w14:paraId="0024921C" w14:textId="6B70AECC" w:rsidR="00FD6E82" w:rsidRPr="000152CB" w:rsidRDefault="002530D3"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Aktivnost će se realizovati u III kvartalu  2026. godine</w:t>
            </w:r>
          </w:p>
        </w:tc>
      </w:tr>
      <w:tr w:rsidR="00BB44DA" w:rsidRPr="000152CB" w14:paraId="2D3A8E71" w14:textId="77777777" w:rsidTr="00E77388">
        <w:trPr>
          <w:trHeight w:val="968"/>
          <w:jc w:val="center"/>
        </w:trPr>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049F2" w14:textId="77777777" w:rsidR="00FD6E82" w:rsidRPr="000152CB" w:rsidRDefault="00FD6E82" w:rsidP="00FD6E82">
            <w:pPr>
              <w:spacing w:line="240" w:lineRule="auto"/>
              <w:textAlignment w:val="baseline"/>
              <w:rPr>
                <w:rFonts w:eastAsia="Times New Roman" w:cs="Calibri"/>
                <w:color w:val="000000"/>
                <w:sz w:val="20"/>
                <w:szCs w:val="20"/>
                <w:lang w:eastAsia="sr-Latn-ME"/>
              </w:rPr>
            </w:pPr>
            <w:r w:rsidRPr="000152CB">
              <w:rPr>
                <w:rFonts w:eastAsia="Times New Roman" w:cs="Calibri"/>
                <w:color w:val="000000"/>
                <w:sz w:val="20"/>
                <w:szCs w:val="20"/>
                <w:lang w:eastAsia="sr-Latn-ME"/>
              </w:rPr>
              <w:t xml:space="preserve">1.1.6. Izrada modela organizacije i pružanja palijativnih usluga </w:t>
            </w:r>
          </w:p>
        </w:tc>
        <w:tc>
          <w:tcPr>
            <w:tcW w:w="19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C1C5BB"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 xml:space="preserve">Izrađen model </w:t>
            </w:r>
          </w:p>
        </w:tc>
        <w:tc>
          <w:tcPr>
            <w:tcW w:w="1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CB4384"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MZ, MF, MRSS</w:t>
            </w:r>
          </w:p>
        </w:tc>
        <w:tc>
          <w:tcPr>
            <w:tcW w:w="2508" w:type="dxa"/>
            <w:gridSpan w:val="5"/>
            <w:tcBorders>
              <w:top w:val="single" w:sz="4" w:space="0" w:color="000000"/>
              <w:left w:val="single" w:sz="4" w:space="0" w:color="000000"/>
              <w:bottom w:val="single" w:sz="4" w:space="0" w:color="000000"/>
              <w:right w:val="single" w:sz="4" w:space="0" w:color="000000"/>
            </w:tcBorders>
            <w:shd w:val="clear" w:color="auto" w:fill="FF0000"/>
            <w:tcMar>
              <w:top w:w="0" w:type="dxa"/>
              <w:left w:w="108" w:type="dxa"/>
              <w:bottom w:w="0" w:type="dxa"/>
              <w:right w:w="108" w:type="dxa"/>
            </w:tcMar>
          </w:tcPr>
          <w:p w14:paraId="58E9FBB7" w14:textId="7B40D508" w:rsidR="00FD6E82" w:rsidRPr="000152CB" w:rsidRDefault="00410C6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 xml:space="preserve">Aktivnost nije realizovana zbog ograničenih kadrovskih kapaciteta. </w:t>
            </w:r>
          </w:p>
        </w:tc>
        <w:tc>
          <w:tcPr>
            <w:tcW w:w="1962" w:type="dxa"/>
            <w:gridSpan w:val="5"/>
            <w:tcBorders>
              <w:top w:val="single" w:sz="4" w:space="0" w:color="000000"/>
              <w:left w:val="single" w:sz="4" w:space="0" w:color="000000"/>
              <w:bottom w:val="single" w:sz="4" w:space="0" w:color="000000"/>
              <w:right w:val="single" w:sz="4" w:space="0" w:color="000000"/>
            </w:tcBorders>
          </w:tcPr>
          <w:p w14:paraId="236A7060"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IVQ 2023-IV Q 2024</w:t>
            </w:r>
          </w:p>
        </w:tc>
        <w:tc>
          <w:tcPr>
            <w:tcW w:w="136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65E4FF"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Tekuća sredstva</w:t>
            </w:r>
          </w:p>
        </w:tc>
        <w:tc>
          <w:tcPr>
            <w:tcW w:w="2336"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0EE778"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Budžet</w:t>
            </w:r>
          </w:p>
        </w:tc>
        <w:tc>
          <w:tcPr>
            <w:tcW w:w="1534" w:type="dxa"/>
            <w:gridSpan w:val="5"/>
            <w:tcBorders>
              <w:top w:val="single" w:sz="4" w:space="0" w:color="000000"/>
              <w:left w:val="single" w:sz="4" w:space="0" w:color="000000"/>
              <w:bottom w:val="single" w:sz="4" w:space="0" w:color="000000"/>
              <w:right w:val="single" w:sz="4" w:space="0" w:color="000000"/>
            </w:tcBorders>
          </w:tcPr>
          <w:p w14:paraId="63D2E8D1" w14:textId="2DAC59AB" w:rsidR="00FD6E82" w:rsidRPr="000152CB" w:rsidRDefault="00241818"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Aktivnost će se realizovati u IV kvartalu 2025. godine.</w:t>
            </w:r>
          </w:p>
        </w:tc>
      </w:tr>
      <w:tr w:rsidR="00BB44DA" w:rsidRPr="000152CB" w14:paraId="3C2BB427" w14:textId="77777777" w:rsidTr="00E77388">
        <w:trPr>
          <w:trHeight w:val="968"/>
          <w:jc w:val="center"/>
        </w:trPr>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7749D6" w14:textId="77777777" w:rsidR="00FD6E82" w:rsidRPr="000152CB" w:rsidRDefault="00FD6E82" w:rsidP="00FD6E82">
            <w:pPr>
              <w:spacing w:line="240" w:lineRule="auto"/>
              <w:textAlignment w:val="baseline"/>
              <w:rPr>
                <w:rFonts w:eastAsia="Times New Roman" w:cs="Calibri"/>
                <w:color w:val="000000"/>
                <w:sz w:val="20"/>
                <w:szCs w:val="20"/>
                <w:lang w:eastAsia="sr-Latn-ME"/>
              </w:rPr>
            </w:pPr>
            <w:r w:rsidRPr="000152CB">
              <w:rPr>
                <w:rFonts w:eastAsia="Times New Roman" w:cs="Calibri"/>
                <w:color w:val="000000"/>
                <w:sz w:val="20"/>
                <w:szCs w:val="20"/>
                <w:lang w:eastAsia="sr-Latn-ME"/>
              </w:rPr>
              <w:t>1.1.7. Izrada modela za jačanje zdravstvene njege u bolnicama</w:t>
            </w:r>
          </w:p>
        </w:tc>
        <w:tc>
          <w:tcPr>
            <w:tcW w:w="19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5866D8"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Obrazovan multidisciplinarni i multisektorski tim za izradu modela</w:t>
            </w:r>
          </w:p>
          <w:p w14:paraId="136E269E" w14:textId="77777777" w:rsidR="00FD6E82" w:rsidRPr="000152CB" w:rsidRDefault="00FD6E82" w:rsidP="00FD6E82">
            <w:pPr>
              <w:spacing w:after="0" w:line="240" w:lineRule="auto"/>
              <w:rPr>
                <w:rFonts w:eastAsia="Times New Roman" w:cs="Calibri"/>
                <w:sz w:val="20"/>
                <w:szCs w:val="20"/>
                <w:lang w:eastAsia="sr-Latn-ME"/>
              </w:rPr>
            </w:pPr>
          </w:p>
          <w:p w14:paraId="03CC2D14"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Izrađen model</w:t>
            </w:r>
          </w:p>
          <w:p w14:paraId="4AEA1C26" w14:textId="77777777" w:rsidR="00FD6E82" w:rsidRPr="000152CB" w:rsidRDefault="00FD6E82" w:rsidP="00FD6E82">
            <w:pPr>
              <w:spacing w:after="0" w:line="240" w:lineRule="auto"/>
              <w:ind w:left="270"/>
              <w:rPr>
                <w:rFonts w:eastAsia="Times New Roman" w:cs="Calibri"/>
                <w:sz w:val="20"/>
                <w:szCs w:val="20"/>
                <w:lang w:eastAsia="sr-Latn-ME"/>
              </w:rPr>
            </w:pPr>
          </w:p>
        </w:tc>
        <w:tc>
          <w:tcPr>
            <w:tcW w:w="1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46CD60"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MZ, Ministarstvo prosvjete, zdravstvene ustanove</w:t>
            </w:r>
          </w:p>
        </w:tc>
        <w:tc>
          <w:tcPr>
            <w:tcW w:w="2508" w:type="dxa"/>
            <w:gridSpan w:val="5"/>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4141A11C" w14:textId="1B2FB915" w:rsidR="00FD6E82" w:rsidRPr="000152CB" w:rsidRDefault="00B96473"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Vraćen transplatacioni program..Izgrađena nova Klinika za psihijatriju dovela je do povećanja kapaciteta za pružanje njege. Formirano više multidisplinarnih i multisektorskih  timova koji rade na više aktivnosti čiji je cilj podizanje zdravstvene njege u bolnicama.</w:t>
            </w:r>
          </w:p>
        </w:tc>
        <w:tc>
          <w:tcPr>
            <w:tcW w:w="1962" w:type="dxa"/>
            <w:gridSpan w:val="5"/>
            <w:tcBorders>
              <w:top w:val="single" w:sz="4" w:space="0" w:color="000000"/>
              <w:left w:val="single" w:sz="4" w:space="0" w:color="000000"/>
              <w:bottom w:val="single" w:sz="4" w:space="0" w:color="000000"/>
              <w:right w:val="single" w:sz="4" w:space="0" w:color="000000"/>
            </w:tcBorders>
          </w:tcPr>
          <w:p w14:paraId="0DCE82B8"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IIIQ 2023-IVQ 2024</w:t>
            </w:r>
          </w:p>
        </w:tc>
        <w:tc>
          <w:tcPr>
            <w:tcW w:w="136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7994A0" w14:textId="77777777" w:rsidR="00FD6E82" w:rsidRPr="000152CB" w:rsidRDefault="00FD6E82" w:rsidP="00FD6E82">
            <w:pPr>
              <w:spacing w:after="0" w:line="240" w:lineRule="auto"/>
              <w:rPr>
                <w:rFonts w:eastAsia="Times New Roman" w:cs="Calibri"/>
                <w:sz w:val="20"/>
                <w:szCs w:val="20"/>
                <w:lang w:eastAsia="sr-Latn-ME"/>
              </w:rPr>
            </w:pPr>
            <w:r w:rsidRPr="000152CB">
              <w:rPr>
                <w:sz w:val="20"/>
                <w:szCs w:val="20"/>
              </w:rPr>
              <w:t>Tekuća sredstva</w:t>
            </w:r>
          </w:p>
        </w:tc>
        <w:tc>
          <w:tcPr>
            <w:tcW w:w="2336"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47986A" w14:textId="77777777" w:rsidR="00FD6E82" w:rsidRPr="000152CB" w:rsidRDefault="00FD6E82" w:rsidP="00FD6E82">
            <w:pPr>
              <w:spacing w:after="0" w:line="240" w:lineRule="auto"/>
              <w:rPr>
                <w:rFonts w:eastAsia="Times New Roman" w:cs="Calibri"/>
                <w:sz w:val="20"/>
                <w:szCs w:val="20"/>
                <w:lang w:eastAsia="sr-Latn-ME"/>
              </w:rPr>
            </w:pPr>
            <w:r w:rsidRPr="000152CB">
              <w:rPr>
                <w:sz w:val="20"/>
                <w:szCs w:val="20"/>
              </w:rPr>
              <w:t>Budžet</w:t>
            </w:r>
          </w:p>
        </w:tc>
        <w:tc>
          <w:tcPr>
            <w:tcW w:w="1534" w:type="dxa"/>
            <w:gridSpan w:val="5"/>
            <w:tcBorders>
              <w:top w:val="single" w:sz="4" w:space="0" w:color="000000"/>
              <w:left w:val="single" w:sz="4" w:space="0" w:color="000000"/>
              <w:bottom w:val="single" w:sz="4" w:space="0" w:color="000000"/>
              <w:right w:val="single" w:sz="4" w:space="0" w:color="000000"/>
            </w:tcBorders>
          </w:tcPr>
          <w:p w14:paraId="72AEEFA0" w14:textId="77777777" w:rsidR="00FD6E82" w:rsidRPr="000152CB" w:rsidRDefault="00FD6E82" w:rsidP="00FD6E82">
            <w:pPr>
              <w:spacing w:after="0" w:line="240" w:lineRule="auto"/>
              <w:rPr>
                <w:rFonts w:eastAsia="Times New Roman" w:cs="Calibri"/>
                <w:sz w:val="20"/>
                <w:szCs w:val="20"/>
                <w:lang w:eastAsia="sr-Latn-ME"/>
              </w:rPr>
            </w:pPr>
          </w:p>
        </w:tc>
      </w:tr>
      <w:tr w:rsidR="00BB44DA" w:rsidRPr="000152CB" w14:paraId="6CB86076" w14:textId="77777777" w:rsidTr="00E77388">
        <w:trPr>
          <w:trHeight w:val="331"/>
          <w:jc w:val="center"/>
        </w:trPr>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AB0CB7" w14:textId="77777777" w:rsidR="00FD6E82" w:rsidRPr="000152CB" w:rsidRDefault="00FD6E82" w:rsidP="00FD6E82">
            <w:pPr>
              <w:spacing w:line="240" w:lineRule="auto"/>
              <w:textAlignment w:val="baseline"/>
              <w:rPr>
                <w:rFonts w:eastAsia="Times New Roman" w:cs="Calibri"/>
                <w:color w:val="000000"/>
                <w:sz w:val="20"/>
                <w:szCs w:val="20"/>
                <w:lang w:eastAsia="sr-Latn-ME"/>
              </w:rPr>
            </w:pPr>
            <w:r w:rsidRPr="000152CB">
              <w:rPr>
                <w:rFonts w:eastAsia="Times New Roman" w:cs="Calibri"/>
                <w:color w:val="000000"/>
                <w:sz w:val="20"/>
                <w:szCs w:val="20"/>
                <w:lang w:eastAsia="sr-Latn-ME"/>
              </w:rPr>
              <w:t>1.1.8. Analiza sistema nabavke, prijema, skladištenja, distribucije i potrošnje ljekova i medicinskih sredstava u zdravstvenom sistemu Crne Gore uključujući funkcionalnu analizu uloge Montefarma u cjelokupnom procesu</w:t>
            </w:r>
          </w:p>
        </w:tc>
        <w:tc>
          <w:tcPr>
            <w:tcW w:w="19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13AC70"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Od 1.1.2024. tenderi prelaze u fond</w:t>
            </w:r>
          </w:p>
          <w:p w14:paraId="01CB0428" w14:textId="77777777" w:rsidR="00FD6E82" w:rsidRPr="000152CB" w:rsidRDefault="00FD6E82" w:rsidP="00FD6E82">
            <w:pPr>
              <w:spacing w:after="0" w:line="240" w:lineRule="auto"/>
              <w:rPr>
                <w:rFonts w:eastAsia="Times New Roman" w:cs="Calibri"/>
                <w:sz w:val="20"/>
                <w:szCs w:val="20"/>
                <w:lang w:eastAsia="sr-Latn-ME"/>
              </w:rPr>
            </w:pPr>
          </w:p>
          <w:p w14:paraId="646B203C"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Izrađena analiza sa odgovarajućim preporukama</w:t>
            </w:r>
          </w:p>
        </w:tc>
        <w:tc>
          <w:tcPr>
            <w:tcW w:w="1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C0965B"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MZ, Fond, Montefarm</w:t>
            </w:r>
          </w:p>
        </w:tc>
        <w:tc>
          <w:tcPr>
            <w:tcW w:w="2508" w:type="dxa"/>
            <w:gridSpan w:val="5"/>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03551BDF" w14:textId="6F715596" w:rsidR="00FD6E82" w:rsidRPr="000152CB" w:rsidRDefault="00B96473"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 xml:space="preserve">U toku izrada standardnih operativnih procedura za procese nabavke, skladištenje i distribuciju u zdravstvenim ustanovama (SOP)  </w:t>
            </w:r>
          </w:p>
        </w:tc>
        <w:tc>
          <w:tcPr>
            <w:tcW w:w="1962" w:type="dxa"/>
            <w:gridSpan w:val="5"/>
            <w:tcBorders>
              <w:top w:val="single" w:sz="4" w:space="0" w:color="000000"/>
              <w:left w:val="single" w:sz="4" w:space="0" w:color="000000"/>
              <w:bottom w:val="single" w:sz="4" w:space="0" w:color="000000"/>
              <w:right w:val="single" w:sz="4" w:space="0" w:color="000000"/>
            </w:tcBorders>
          </w:tcPr>
          <w:p w14:paraId="731AE265"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IQ 2023-IV Q 2023</w:t>
            </w:r>
          </w:p>
        </w:tc>
        <w:tc>
          <w:tcPr>
            <w:tcW w:w="136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6C3939"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Tekuća sredstva</w:t>
            </w:r>
          </w:p>
        </w:tc>
        <w:tc>
          <w:tcPr>
            <w:tcW w:w="2336"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DC2C46"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Budžet</w:t>
            </w:r>
          </w:p>
        </w:tc>
        <w:tc>
          <w:tcPr>
            <w:tcW w:w="1534" w:type="dxa"/>
            <w:gridSpan w:val="5"/>
            <w:tcBorders>
              <w:top w:val="single" w:sz="4" w:space="0" w:color="000000"/>
              <w:left w:val="single" w:sz="4" w:space="0" w:color="000000"/>
              <w:bottom w:val="single" w:sz="4" w:space="0" w:color="000000"/>
              <w:right w:val="single" w:sz="4" w:space="0" w:color="000000"/>
            </w:tcBorders>
          </w:tcPr>
          <w:p w14:paraId="549B8133" w14:textId="0819AF16" w:rsidR="00FD6E82" w:rsidRPr="000152CB" w:rsidRDefault="000E6AE7"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Novi rok za realizaciju aktivnosti je IV kvartal 2025. godine</w:t>
            </w:r>
          </w:p>
        </w:tc>
      </w:tr>
      <w:tr w:rsidR="00BB44DA" w:rsidRPr="000152CB" w14:paraId="4A3DDB12" w14:textId="77777777" w:rsidTr="00E77388">
        <w:trPr>
          <w:trHeight w:val="331"/>
          <w:jc w:val="center"/>
        </w:trPr>
        <w:tc>
          <w:tcPr>
            <w:tcW w:w="2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596E06" w14:textId="77777777" w:rsidR="00FD6E82" w:rsidRPr="000152CB" w:rsidRDefault="00FD6E82" w:rsidP="00FD6E82">
            <w:pPr>
              <w:spacing w:line="240" w:lineRule="auto"/>
              <w:textAlignment w:val="baseline"/>
              <w:rPr>
                <w:rFonts w:eastAsia="Times New Roman" w:cs="Calibri"/>
                <w:color w:val="000000"/>
                <w:sz w:val="20"/>
                <w:szCs w:val="20"/>
                <w:lang w:eastAsia="sr-Latn-ME"/>
              </w:rPr>
            </w:pPr>
            <w:r w:rsidRPr="000152CB">
              <w:rPr>
                <w:rFonts w:eastAsia="Times New Roman" w:cs="Calibri"/>
                <w:color w:val="000000"/>
                <w:sz w:val="20"/>
                <w:szCs w:val="20"/>
                <w:lang w:eastAsia="sr-Latn-ME"/>
              </w:rPr>
              <w:t xml:space="preserve">1.1.9. Donijeti jednoobrazne akte o unutrašnjoj organizaciji i sistematizaciji u ustanovama na svim </w:t>
            </w:r>
            <w:r w:rsidRPr="000152CB">
              <w:rPr>
                <w:rFonts w:eastAsia="Times New Roman" w:cs="Calibri"/>
                <w:color w:val="000000"/>
                <w:sz w:val="20"/>
                <w:szCs w:val="20"/>
                <w:lang w:eastAsia="sr-Latn-ME"/>
              </w:rPr>
              <w:lastRenderedPageBreak/>
              <w:t>nivoima zdravstvene zaštite</w:t>
            </w:r>
          </w:p>
        </w:tc>
        <w:tc>
          <w:tcPr>
            <w:tcW w:w="19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DED065"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lastRenderedPageBreak/>
              <w:t>Broj akata</w:t>
            </w:r>
          </w:p>
          <w:p w14:paraId="13ED820B" w14:textId="77777777" w:rsidR="00FD6E82" w:rsidRPr="000152CB" w:rsidRDefault="00FD6E82" w:rsidP="00FD6E82">
            <w:pPr>
              <w:spacing w:after="0" w:line="240" w:lineRule="auto"/>
              <w:rPr>
                <w:rFonts w:eastAsia="Times New Roman" w:cs="Calibri"/>
                <w:sz w:val="20"/>
                <w:szCs w:val="20"/>
                <w:lang w:eastAsia="sr-Latn-ME"/>
              </w:rPr>
            </w:pPr>
          </w:p>
        </w:tc>
        <w:tc>
          <w:tcPr>
            <w:tcW w:w="1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A2A130"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MZ, Zdravstvene ustanove</w:t>
            </w:r>
          </w:p>
        </w:tc>
        <w:tc>
          <w:tcPr>
            <w:tcW w:w="2508" w:type="dxa"/>
            <w:gridSpan w:val="5"/>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189B865F" w14:textId="5101F656" w:rsidR="001E2588" w:rsidRPr="000152CB" w:rsidRDefault="001E2588" w:rsidP="001E2588">
            <w:pPr>
              <w:spacing w:after="0" w:line="240" w:lineRule="auto"/>
              <w:rPr>
                <w:rFonts w:eastAsia="Times New Roman" w:cs="Calibri"/>
                <w:sz w:val="20"/>
                <w:szCs w:val="20"/>
                <w:lang w:eastAsia="sr-Latn-ME"/>
              </w:rPr>
            </w:pPr>
            <w:r w:rsidRPr="000152CB">
              <w:rPr>
                <w:rFonts w:eastAsia="Times New Roman" w:cs="Calibri"/>
                <w:sz w:val="20"/>
                <w:szCs w:val="20"/>
                <w:lang w:eastAsia="sr-Latn-ME"/>
              </w:rPr>
              <w:t>Donijeto je 10 jednoobraznih akta o</w:t>
            </w:r>
          </w:p>
          <w:p w14:paraId="0F0E62F7" w14:textId="5354329C" w:rsidR="00FD6E82" w:rsidRPr="000152CB" w:rsidRDefault="001E2588" w:rsidP="001E2588">
            <w:pPr>
              <w:spacing w:after="0" w:line="240" w:lineRule="auto"/>
              <w:rPr>
                <w:rFonts w:eastAsia="Times New Roman" w:cs="Calibri"/>
                <w:sz w:val="20"/>
                <w:szCs w:val="20"/>
                <w:lang w:eastAsia="sr-Latn-ME"/>
              </w:rPr>
            </w:pPr>
            <w:r w:rsidRPr="000152CB">
              <w:rPr>
                <w:rFonts w:eastAsia="Times New Roman" w:cs="Calibri"/>
                <w:sz w:val="20"/>
                <w:szCs w:val="20"/>
                <w:lang w:eastAsia="sr-Latn-ME"/>
              </w:rPr>
              <w:t xml:space="preserve">unutrašnjoj organizaciji i sistematizaciji u ustanovama na svim nivoima zdravstvene zaštite. </w:t>
            </w:r>
          </w:p>
        </w:tc>
        <w:tc>
          <w:tcPr>
            <w:tcW w:w="1962" w:type="dxa"/>
            <w:gridSpan w:val="5"/>
            <w:tcBorders>
              <w:top w:val="single" w:sz="4" w:space="0" w:color="000000"/>
              <w:left w:val="single" w:sz="4" w:space="0" w:color="000000"/>
              <w:bottom w:val="single" w:sz="4" w:space="0" w:color="000000"/>
              <w:right w:val="single" w:sz="4" w:space="0" w:color="000000"/>
            </w:tcBorders>
          </w:tcPr>
          <w:p w14:paraId="35F75DDF"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IIIQ 2023-IVQ 2024</w:t>
            </w:r>
          </w:p>
        </w:tc>
        <w:tc>
          <w:tcPr>
            <w:tcW w:w="136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D8FA11"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Tekuća sredstva</w:t>
            </w:r>
          </w:p>
        </w:tc>
        <w:tc>
          <w:tcPr>
            <w:tcW w:w="2336"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FE5803"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Budžet</w:t>
            </w:r>
          </w:p>
        </w:tc>
        <w:tc>
          <w:tcPr>
            <w:tcW w:w="1534" w:type="dxa"/>
            <w:gridSpan w:val="5"/>
            <w:tcBorders>
              <w:top w:val="single" w:sz="4" w:space="0" w:color="000000"/>
              <w:left w:val="single" w:sz="4" w:space="0" w:color="000000"/>
              <w:bottom w:val="single" w:sz="4" w:space="0" w:color="000000"/>
              <w:right w:val="single" w:sz="4" w:space="0" w:color="000000"/>
            </w:tcBorders>
          </w:tcPr>
          <w:p w14:paraId="33832C0E" w14:textId="101A036C" w:rsidR="00FD6E82" w:rsidRPr="000152CB" w:rsidRDefault="000E6AE7"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Novi rok za realizaciju aktivnosti je III kvartal 2026. godine</w:t>
            </w:r>
          </w:p>
        </w:tc>
      </w:tr>
      <w:tr w:rsidR="00BB44DA" w:rsidRPr="000152CB" w14:paraId="50A10C6A" w14:textId="77777777" w:rsidTr="00E77388">
        <w:trPr>
          <w:trHeight w:val="331"/>
          <w:jc w:val="center"/>
        </w:trPr>
        <w:tc>
          <w:tcPr>
            <w:tcW w:w="2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0A0E0B" w14:textId="77777777" w:rsidR="00FD6E82" w:rsidRPr="000152CB" w:rsidRDefault="00FD6E82" w:rsidP="00FD6E82">
            <w:pPr>
              <w:spacing w:line="240" w:lineRule="auto"/>
              <w:textAlignment w:val="baseline"/>
              <w:rPr>
                <w:rFonts w:eastAsia="Times New Roman" w:cs="Calibri"/>
                <w:color w:val="000000"/>
                <w:sz w:val="20"/>
                <w:szCs w:val="20"/>
                <w:highlight w:val="yellow"/>
                <w:lang w:eastAsia="sr-Latn-ME"/>
              </w:rPr>
            </w:pPr>
            <w:r w:rsidRPr="000152CB">
              <w:rPr>
                <w:rFonts w:eastAsia="Times New Roman" w:cs="Calibri"/>
                <w:color w:val="000000"/>
                <w:sz w:val="20"/>
                <w:szCs w:val="20"/>
                <w:lang w:eastAsia="sr-Latn-ME"/>
              </w:rPr>
              <w:t xml:space="preserve">1.1.10. Sprovesti doedukaciju zdravstvenih menadžera </w:t>
            </w:r>
          </w:p>
        </w:tc>
        <w:tc>
          <w:tcPr>
            <w:tcW w:w="19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C980EF"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Cilj - 29 edukovanih menadžera</w:t>
            </w:r>
          </w:p>
        </w:tc>
        <w:tc>
          <w:tcPr>
            <w:tcW w:w="1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64087F"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MZ, SZO</w:t>
            </w:r>
          </w:p>
        </w:tc>
        <w:tc>
          <w:tcPr>
            <w:tcW w:w="2508" w:type="dxa"/>
            <w:gridSpan w:val="5"/>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57A6C867" w14:textId="6A1D38B4" w:rsidR="00FD6E82" w:rsidRPr="000152CB" w:rsidRDefault="009169E7"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Eduakcije su sprovedene u planiranom roku</w:t>
            </w:r>
          </w:p>
        </w:tc>
        <w:tc>
          <w:tcPr>
            <w:tcW w:w="1962" w:type="dxa"/>
            <w:gridSpan w:val="5"/>
            <w:tcBorders>
              <w:top w:val="single" w:sz="4" w:space="0" w:color="000000"/>
              <w:left w:val="single" w:sz="4" w:space="0" w:color="000000"/>
              <w:bottom w:val="single" w:sz="4" w:space="0" w:color="000000"/>
              <w:right w:val="single" w:sz="4" w:space="0" w:color="000000"/>
            </w:tcBorders>
          </w:tcPr>
          <w:p w14:paraId="3462F036"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IQ 2024-III Q 2024</w:t>
            </w:r>
          </w:p>
        </w:tc>
        <w:tc>
          <w:tcPr>
            <w:tcW w:w="136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A60475" w14:textId="35061B13" w:rsidR="00FD6E82" w:rsidRPr="000152CB" w:rsidRDefault="000B7735"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Utrošena sredstva: 12,740 eura</w:t>
            </w:r>
          </w:p>
        </w:tc>
        <w:tc>
          <w:tcPr>
            <w:tcW w:w="2336"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5E93A"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Budžet, donacije i projekti SZO</w:t>
            </w:r>
          </w:p>
        </w:tc>
        <w:tc>
          <w:tcPr>
            <w:tcW w:w="1534" w:type="dxa"/>
            <w:gridSpan w:val="5"/>
            <w:tcBorders>
              <w:top w:val="single" w:sz="4" w:space="0" w:color="000000"/>
              <w:left w:val="single" w:sz="4" w:space="0" w:color="000000"/>
              <w:bottom w:val="single" w:sz="4" w:space="0" w:color="000000"/>
              <w:right w:val="single" w:sz="4" w:space="0" w:color="000000"/>
            </w:tcBorders>
          </w:tcPr>
          <w:p w14:paraId="6BD11F0C" w14:textId="77777777" w:rsidR="00FD6E82" w:rsidRPr="000152CB" w:rsidRDefault="00FD6E82" w:rsidP="00FD6E82">
            <w:pPr>
              <w:spacing w:after="0" w:line="240" w:lineRule="auto"/>
              <w:rPr>
                <w:rFonts w:eastAsia="Times New Roman" w:cs="Calibri"/>
                <w:sz w:val="20"/>
                <w:szCs w:val="20"/>
                <w:lang w:eastAsia="sr-Latn-ME"/>
              </w:rPr>
            </w:pPr>
          </w:p>
        </w:tc>
      </w:tr>
      <w:tr w:rsidR="00BB44DA" w:rsidRPr="000152CB" w14:paraId="4B7DC7D2" w14:textId="77777777" w:rsidTr="00E77388">
        <w:trPr>
          <w:trHeight w:val="331"/>
          <w:jc w:val="center"/>
        </w:trPr>
        <w:tc>
          <w:tcPr>
            <w:tcW w:w="2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661E7E" w14:textId="77777777" w:rsidR="00FD6E82" w:rsidRPr="000152CB" w:rsidRDefault="00FD6E82" w:rsidP="00FD6E82">
            <w:pPr>
              <w:spacing w:line="240" w:lineRule="auto"/>
              <w:textAlignment w:val="baseline"/>
              <w:rPr>
                <w:rFonts w:eastAsia="Times New Roman" w:cs="Calibri"/>
                <w:color w:val="000000"/>
                <w:sz w:val="20"/>
                <w:szCs w:val="20"/>
                <w:highlight w:val="yellow"/>
                <w:lang w:eastAsia="sr-Latn-ME"/>
              </w:rPr>
            </w:pPr>
            <w:r w:rsidRPr="000152CB">
              <w:rPr>
                <w:rFonts w:eastAsia="Times New Roman" w:cs="Calibri"/>
                <w:color w:val="000000"/>
                <w:sz w:val="20"/>
                <w:szCs w:val="20"/>
                <w:lang w:eastAsia="sr-Latn-ME"/>
              </w:rPr>
              <w:t>1.1.11. Izrada analize dostupnosti, održivosti i kvaliteta pružanja usluga  ZHMP, sa preporukama za unapređenje i optimizaciju i finansijsku održivost</w:t>
            </w:r>
          </w:p>
        </w:tc>
        <w:tc>
          <w:tcPr>
            <w:tcW w:w="19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AC9566"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Izrađena analiza</w:t>
            </w:r>
            <w:r w:rsidRPr="000152CB">
              <w:rPr>
                <w:rFonts w:eastAsia="Times New Roman" w:cs="Calibri"/>
                <w:color w:val="000000"/>
                <w:sz w:val="20"/>
                <w:szCs w:val="20"/>
                <w:lang w:eastAsia="sr-Latn-ME"/>
              </w:rPr>
              <w:t xml:space="preserve"> dostupnosti, održivosti i kvaliteta pružanja usluga  ZHMP</w:t>
            </w:r>
          </w:p>
        </w:tc>
        <w:tc>
          <w:tcPr>
            <w:tcW w:w="1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EC4ACA"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MZ, ZHMP</w:t>
            </w:r>
          </w:p>
        </w:tc>
        <w:tc>
          <w:tcPr>
            <w:tcW w:w="2508" w:type="dxa"/>
            <w:gridSpan w:val="5"/>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67FDEDF7" w14:textId="443AD53D" w:rsidR="00FD6E82" w:rsidRPr="000152CB" w:rsidRDefault="001E2588"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Svetska zdravstvena organizacija izradila analizu dostupnosti, održivosti i kvaliteta pružanja usluga ZHMP</w:t>
            </w:r>
          </w:p>
        </w:tc>
        <w:tc>
          <w:tcPr>
            <w:tcW w:w="1962" w:type="dxa"/>
            <w:gridSpan w:val="5"/>
            <w:tcBorders>
              <w:top w:val="single" w:sz="4" w:space="0" w:color="000000"/>
              <w:left w:val="single" w:sz="4" w:space="0" w:color="000000"/>
              <w:bottom w:val="single" w:sz="4" w:space="0" w:color="000000"/>
              <w:right w:val="single" w:sz="4" w:space="0" w:color="000000"/>
            </w:tcBorders>
          </w:tcPr>
          <w:p w14:paraId="139EFA9E"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IVQ 2023-II Q 2024</w:t>
            </w:r>
          </w:p>
        </w:tc>
        <w:tc>
          <w:tcPr>
            <w:tcW w:w="136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0149BA"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Tekuća sredstva</w:t>
            </w:r>
          </w:p>
        </w:tc>
        <w:tc>
          <w:tcPr>
            <w:tcW w:w="2336"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76459B"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Budžet</w:t>
            </w:r>
          </w:p>
        </w:tc>
        <w:tc>
          <w:tcPr>
            <w:tcW w:w="1534" w:type="dxa"/>
            <w:gridSpan w:val="5"/>
            <w:tcBorders>
              <w:top w:val="single" w:sz="4" w:space="0" w:color="000000"/>
              <w:left w:val="single" w:sz="4" w:space="0" w:color="000000"/>
              <w:bottom w:val="single" w:sz="4" w:space="0" w:color="000000"/>
              <w:right w:val="single" w:sz="4" w:space="0" w:color="000000"/>
            </w:tcBorders>
          </w:tcPr>
          <w:p w14:paraId="2D590767" w14:textId="77777777" w:rsidR="00FD6E82" w:rsidRPr="000152CB" w:rsidRDefault="00FD6E82" w:rsidP="00FD6E82">
            <w:pPr>
              <w:spacing w:after="0" w:line="240" w:lineRule="auto"/>
              <w:rPr>
                <w:rFonts w:eastAsia="Times New Roman" w:cs="Calibri"/>
                <w:sz w:val="20"/>
                <w:szCs w:val="20"/>
                <w:lang w:eastAsia="sr-Latn-ME"/>
              </w:rPr>
            </w:pPr>
          </w:p>
        </w:tc>
      </w:tr>
      <w:tr w:rsidR="00BB44DA" w:rsidRPr="000152CB" w14:paraId="0C5F0C3B" w14:textId="77777777" w:rsidTr="00E77388">
        <w:trPr>
          <w:trHeight w:val="331"/>
          <w:jc w:val="center"/>
        </w:trPr>
        <w:tc>
          <w:tcPr>
            <w:tcW w:w="2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678F1E" w14:textId="77777777" w:rsidR="00FD6E82" w:rsidRPr="000152CB" w:rsidRDefault="00FD6E82" w:rsidP="00FD6E82">
            <w:pPr>
              <w:spacing w:line="240" w:lineRule="auto"/>
              <w:textAlignment w:val="baseline"/>
              <w:rPr>
                <w:rFonts w:eastAsia="Times New Roman" w:cs="Calibri"/>
                <w:color w:val="000000"/>
                <w:sz w:val="20"/>
                <w:szCs w:val="20"/>
                <w:lang w:eastAsia="sr-Latn-ME"/>
              </w:rPr>
            </w:pPr>
            <w:r w:rsidRPr="000152CB">
              <w:rPr>
                <w:rFonts w:eastAsia="Times New Roman" w:cs="Calibri"/>
                <w:color w:val="000000"/>
                <w:sz w:val="20"/>
                <w:szCs w:val="20"/>
                <w:lang w:eastAsia="sr-Latn-ME"/>
              </w:rPr>
              <w:t xml:space="preserve">1.1.12. Procjena modela organizacije službe hitne pomoći sa preporukama za optimizaciju </w:t>
            </w:r>
          </w:p>
        </w:tc>
        <w:tc>
          <w:tcPr>
            <w:tcW w:w="19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EA44D9"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Izrađena analiza sa preporukama</w:t>
            </w:r>
          </w:p>
        </w:tc>
        <w:tc>
          <w:tcPr>
            <w:tcW w:w="1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5FEF3C"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MZ, Zavod za hitnu pomoć</w:t>
            </w:r>
          </w:p>
        </w:tc>
        <w:tc>
          <w:tcPr>
            <w:tcW w:w="2508" w:type="dxa"/>
            <w:gridSpan w:val="5"/>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6F697F53" w14:textId="17F42498" w:rsidR="00FD6E82" w:rsidRPr="000152CB" w:rsidRDefault="00BC287E"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Izrađena analiza sa preporukama  biće  realizovana u II Q 2026</w:t>
            </w:r>
          </w:p>
        </w:tc>
        <w:tc>
          <w:tcPr>
            <w:tcW w:w="1962" w:type="dxa"/>
            <w:gridSpan w:val="5"/>
            <w:tcBorders>
              <w:top w:val="single" w:sz="4" w:space="0" w:color="000000"/>
              <w:left w:val="single" w:sz="4" w:space="0" w:color="000000"/>
              <w:bottom w:val="single" w:sz="4" w:space="0" w:color="000000"/>
              <w:right w:val="single" w:sz="4" w:space="0" w:color="000000"/>
            </w:tcBorders>
          </w:tcPr>
          <w:p w14:paraId="3D468BA3"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IIQ2023-IIIQ2023</w:t>
            </w:r>
          </w:p>
        </w:tc>
        <w:tc>
          <w:tcPr>
            <w:tcW w:w="136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67C90D"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Planirana sredstva: 10 000€</w:t>
            </w:r>
          </w:p>
          <w:p w14:paraId="6698D395" w14:textId="77777777" w:rsidR="00FD6E82" w:rsidRPr="000152CB" w:rsidRDefault="00FD6E82" w:rsidP="00FD6E82">
            <w:pPr>
              <w:spacing w:after="0" w:line="240" w:lineRule="auto"/>
              <w:rPr>
                <w:rFonts w:eastAsia="Times New Roman" w:cs="Calibri"/>
                <w:sz w:val="20"/>
                <w:szCs w:val="20"/>
                <w:lang w:eastAsia="sr-Latn-ME"/>
              </w:rPr>
            </w:pPr>
          </w:p>
          <w:p w14:paraId="0FF9EF7F"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Utrošena sredstva:</w:t>
            </w:r>
          </w:p>
        </w:tc>
        <w:tc>
          <w:tcPr>
            <w:tcW w:w="2336"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6591FD"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Budžet, donacije i projekti SZO</w:t>
            </w:r>
          </w:p>
        </w:tc>
        <w:tc>
          <w:tcPr>
            <w:tcW w:w="1534" w:type="dxa"/>
            <w:gridSpan w:val="5"/>
            <w:tcBorders>
              <w:top w:val="single" w:sz="4" w:space="0" w:color="000000"/>
              <w:left w:val="single" w:sz="4" w:space="0" w:color="000000"/>
              <w:bottom w:val="single" w:sz="4" w:space="0" w:color="000000"/>
              <w:right w:val="single" w:sz="4" w:space="0" w:color="000000"/>
            </w:tcBorders>
          </w:tcPr>
          <w:p w14:paraId="0D9E48E4" w14:textId="77777777" w:rsidR="00FD6E82" w:rsidRPr="000152CB" w:rsidRDefault="00FD6E82" w:rsidP="00FD6E82">
            <w:pPr>
              <w:spacing w:after="0" w:line="240" w:lineRule="auto"/>
              <w:rPr>
                <w:rFonts w:eastAsia="Times New Roman" w:cs="Calibri"/>
                <w:sz w:val="20"/>
                <w:szCs w:val="20"/>
                <w:lang w:eastAsia="sr-Latn-ME"/>
              </w:rPr>
            </w:pPr>
          </w:p>
        </w:tc>
      </w:tr>
      <w:tr w:rsidR="00BB44DA" w:rsidRPr="000152CB" w14:paraId="3E529737" w14:textId="77777777" w:rsidTr="00E77388">
        <w:trPr>
          <w:trHeight w:val="331"/>
          <w:jc w:val="center"/>
        </w:trPr>
        <w:tc>
          <w:tcPr>
            <w:tcW w:w="2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64DCCC" w14:textId="77777777" w:rsidR="00FD6E82" w:rsidRPr="000152CB" w:rsidRDefault="00FD6E82" w:rsidP="00FD6E82">
            <w:pPr>
              <w:spacing w:line="240" w:lineRule="auto"/>
              <w:textAlignment w:val="baseline"/>
              <w:rPr>
                <w:rFonts w:eastAsia="Times New Roman" w:cs="Calibri"/>
                <w:color w:val="000000"/>
                <w:sz w:val="20"/>
                <w:szCs w:val="20"/>
                <w:lang w:eastAsia="sr-Latn-ME"/>
              </w:rPr>
            </w:pPr>
            <w:r w:rsidRPr="000152CB">
              <w:rPr>
                <w:rFonts w:eastAsia="Times New Roman" w:cs="Calibri"/>
                <w:color w:val="000000"/>
                <w:sz w:val="20"/>
                <w:szCs w:val="20"/>
                <w:lang w:eastAsia="sr-Latn-ME"/>
              </w:rPr>
              <w:t>1.1.13. Izrada analize sa preporukama koji tip specijalnosti bi bio optimalan na primarnom nivou/po opštinama iz perspektive dostupnosti i kvaliteta (medicina rada)</w:t>
            </w:r>
          </w:p>
        </w:tc>
        <w:tc>
          <w:tcPr>
            <w:tcW w:w="19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773BC6"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Izrađen model specijalističkih usluga koje se pružaju na primarnom nivou</w:t>
            </w:r>
          </w:p>
        </w:tc>
        <w:tc>
          <w:tcPr>
            <w:tcW w:w="1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3D0793"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 xml:space="preserve">MZ, </w:t>
            </w:r>
            <w:r w:rsidRPr="000152CB">
              <w:rPr>
                <w:rFonts w:eastAsia="Times New Roman" w:cs="Calibri"/>
                <w:color w:val="000000" w:themeColor="text1"/>
                <w:sz w:val="20"/>
                <w:szCs w:val="20"/>
                <w:lang w:eastAsia="sr-Latn-ME"/>
              </w:rPr>
              <w:t>domovi zdravlja</w:t>
            </w:r>
          </w:p>
        </w:tc>
        <w:tc>
          <w:tcPr>
            <w:tcW w:w="2508" w:type="dxa"/>
            <w:gridSpan w:val="5"/>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0B964F6A" w14:textId="77777777" w:rsidR="00BC287E" w:rsidRPr="000152CB" w:rsidRDefault="00BC287E" w:rsidP="00BC287E">
            <w:pPr>
              <w:spacing w:after="0" w:line="240" w:lineRule="auto"/>
              <w:rPr>
                <w:rFonts w:eastAsia="Times New Roman" w:cs="Calibri"/>
                <w:sz w:val="20"/>
                <w:szCs w:val="20"/>
                <w:lang w:eastAsia="sr-Latn-ME"/>
              </w:rPr>
            </w:pPr>
            <w:r w:rsidRPr="000152CB">
              <w:rPr>
                <w:rFonts w:eastAsia="Times New Roman" w:cs="Calibri"/>
                <w:sz w:val="20"/>
                <w:szCs w:val="20"/>
                <w:lang w:eastAsia="sr-Latn-ME"/>
              </w:rPr>
              <w:t>"Realizacija aktivnosti je u toku. Plan ljudskih nije  završen . Teneder je u toku . Rok IV Q 2025 godine . Izrađen model</w:t>
            </w:r>
          </w:p>
          <w:p w14:paraId="36587AEE" w14:textId="207142C4" w:rsidR="00FD6E82" w:rsidRPr="000152CB" w:rsidRDefault="00BC287E" w:rsidP="00BC287E">
            <w:pPr>
              <w:spacing w:after="0" w:line="240" w:lineRule="auto"/>
              <w:rPr>
                <w:rFonts w:eastAsia="Times New Roman" w:cs="Calibri"/>
                <w:sz w:val="20"/>
                <w:szCs w:val="20"/>
                <w:lang w:eastAsia="sr-Latn-ME"/>
              </w:rPr>
            </w:pPr>
            <w:r w:rsidRPr="000152CB">
              <w:rPr>
                <w:rFonts w:eastAsia="Times New Roman" w:cs="Calibri"/>
                <w:sz w:val="20"/>
                <w:szCs w:val="20"/>
                <w:lang w:eastAsia="sr-Latn-ME"/>
              </w:rPr>
              <w:t>specijalističkih usluga koje se pružaju na primarnom nivou) "</w:t>
            </w:r>
          </w:p>
        </w:tc>
        <w:tc>
          <w:tcPr>
            <w:tcW w:w="1962" w:type="dxa"/>
            <w:gridSpan w:val="5"/>
            <w:tcBorders>
              <w:top w:val="single" w:sz="4" w:space="0" w:color="000000"/>
              <w:left w:val="single" w:sz="4" w:space="0" w:color="000000"/>
              <w:bottom w:val="single" w:sz="4" w:space="0" w:color="000000"/>
              <w:right w:val="single" w:sz="4" w:space="0" w:color="000000"/>
            </w:tcBorders>
          </w:tcPr>
          <w:p w14:paraId="7B70BEEB"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III Q 2023-II Q 2024</w:t>
            </w:r>
          </w:p>
        </w:tc>
        <w:tc>
          <w:tcPr>
            <w:tcW w:w="136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5941FF"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Tekuća sredstva</w:t>
            </w:r>
          </w:p>
        </w:tc>
        <w:tc>
          <w:tcPr>
            <w:tcW w:w="2336"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459A99"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Budžet</w:t>
            </w:r>
          </w:p>
        </w:tc>
        <w:tc>
          <w:tcPr>
            <w:tcW w:w="1534" w:type="dxa"/>
            <w:gridSpan w:val="5"/>
            <w:tcBorders>
              <w:top w:val="single" w:sz="4" w:space="0" w:color="000000"/>
              <w:left w:val="single" w:sz="4" w:space="0" w:color="000000"/>
              <w:bottom w:val="single" w:sz="4" w:space="0" w:color="000000"/>
              <w:right w:val="single" w:sz="4" w:space="0" w:color="000000"/>
            </w:tcBorders>
          </w:tcPr>
          <w:p w14:paraId="1F489396" w14:textId="77777777" w:rsidR="00FD6E82" w:rsidRPr="000152CB" w:rsidRDefault="00FD6E82" w:rsidP="00FD6E82">
            <w:pPr>
              <w:spacing w:after="0" w:line="240" w:lineRule="auto"/>
              <w:rPr>
                <w:rFonts w:eastAsia="Times New Roman" w:cs="Calibri"/>
                <w:sz w:val="20"/>
                <w:szCs w:val="20"/>
                <w:lang w:eastAsia="sr-Latn-ME"/>
              </w:rPr>
            </w:pPr>
          </w:p>
        </w:tc>
      </w:tr>
      <w:tr w:rsidR="00BB44DA" w:rsidRPr="000152CB" w14:paraId="7B45B70E" w14:textId="77777777" w:rsidTr="00E77388">
        <w:trPr>
          <w:trHeight w:val="331"/>
          <w:jc w:val="center"/>
        </w:trPr>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FFBE4" w14:textId="77777777" w:rsidR="00FD6E82" w:rsidRPr="000152CB" w:rsidRDefault="00FD6E82" w:rsidP="00FD6E82">
            <w:pPr>
              <w:spacing w:after="0" w:line="240" w:lineRule="auto"/>
              <w:rPr>
                <w:rFonts w:cstheme="minorHAnsi"/>
                <w:bCs/>
                <w:noProof/>
                <w:sz w:val="20"/>
                <w:szCs w:val="20"/>
              </w:rPr>
            </w:pPr>
            <w:r w:rsidRPr="000152CB">
              <w:rPr>
                <w:rFonts w:eastAsia="Times New Roman" w:cs="Calibri"/>
                <w:color w:val="000000"/>
                <w:sz w:val="20"/>
                <w:szCs w:val="20"/>
                <w:lang w:eastAsia="sr-Latn-ME"/>
              </w:rPr>
              <w:t xml:space="preserve">1.1.14. </w:t>
            </w:r>
            <w:r w:rsidRPr="000152CB">
              <w:rPr>
                <w:rFonts w:cstheme="minorHAnsi"/>
                <w:bCs/>
                <w:noProof/>
                <w:sz w:val="20"/>
                <w:szCs w:val="20"/>
              </w:rPr>
              <w:t xml:space="preserve">Izrada održivog modela integrisanog pružanja usluga iz domenu medicine rada kroz promociju </w:t>
            </w:r>
            <w:r w:rsidRPr="000152CB">
              <w:rPr>
                <w:rFonts w:cstheme="minorHAnsi"/>
                <w:bCs/>
                <w:noProof/>
                <w:sz w:val="20"/>
                <w:szCs w:val="20"/>
              </w:rPr>
              <w:lastRenderedPageBreak/>
              <w:t xml:space="preserve">multidisciplinarnog i multisektorskog pristupa </w:t>
            </w:r>
          </w:p>
          <w:p w14:paraId="25EF0450" w14:textId="77777777" w:rsidR="00FD6E82" w:rsidRPr="000152CB" w:rsidRDefault="00FD6E82" w:rsidP="00FD6E82">
            <w:pPr>
              <w:spacing w:line="240" w:lineRule="auto"/>
              <w:textAlignment w:val="baseline"/>
              <w:rPr>
                <w:rFonts w:eastAsia="Times New Roman" w:cs="Calibri"/>
                <w:color w:val="000000"/>
                <w:sz w:val="20"/>
                <w:szCs w:val="20"/>
                <w:lang w:eastAsia="sr-Latn-ME"/>
              </w:rPr>
            </w:pPr>
          </w:p>
        </w:tc>
        <w:tc>
          <w:tcPr>
            <w:tcW w:w="19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854A87" w14:textId="77777777" w:rsidR="00FD6E82" w:rsidRPr="000152CB" w:rsidRDefault="00FD6E82" w:rsidP="00FD6E82">
            <w:pPr>
              <w:spacing w:after="0" w:line="240" w:lineRule="auto"/>
              <w:rPr>
                <w:rFonts w:eastAsia="Times New Roman" w:cs="Calibri"/>
                <w:sz w:val="20"/>
                <w:szCs w:val="20"/>
                <w:lang w:eastAsia="sr-Latn-ME"/>
              </w:rPr>
            </w:pPr>
            <w:r w:rsidRPr="000152CB">
              <w:rPr>
                <w:rFonts w:cstheme="minorHAnsi"/>
                <w:bCs/>
                <w:noProof/>
                <w:sz w:val="20"/>
                <w:szCs w:val="20"/>
              </w:rPr>
              <w:lastRenderedPageBreak/>
              <w:t>Model usvojen</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88FDBD" w14:textId="77777777" w:rsidR="00FD6E82" w:rsidRPr="000152CB" w:rsidRDefault="00FD6E82" w:rsidP="00FD6E82">
            <w:pPr>
              <w:spacing w:after="0" w:line="240" w:lineRule="auto"/>
              <w:rPr>
                <w:rFonts w:eastAsia="Times New Roman" w:cs="Calibri"/>
                <w:color w:val="000000"/>
                <w:sz w:val="20"/>
                <w:szCs w:val="20"/>
                <w:lang w:eastAsia="sr-Latn-ME"/>
              </w:rPr>
            </w:pPr>
            <w:r w:rsidRPr="000152CB">
              <w:rPr>
                <w:rFonts w:eastAsia="Times New Roman" w:cs="Calibri"/>
                <w:color w:val="000000"/>
                <w:sz w:val="20"/>
                <w:szCs w:val="20"/>
                <w:lang w:eastAsia="sr-Latn-ME"/>
              </w:rPr>
              <w:t>MZ</w:t>
            </w:r>
          </w:p>
          <w:p w14:paraId="6B7B11FA" w14:textId="77777777" w:rsidR="00FD6E82" w:rsidRPr="000152CB" w:rsidRDefault="00FD6E82" w:rsidP="00FD6E82">
            <w:pPr>
              <w:spacing w:after="0" w:line="240" w:lineRule="auto"/>
              <w:rPr>
                <w:rFonts w:eastAsia="Times New Roman" w:cs="Calibri"/>
                <w:color w:val="000000"/>
                <w:sz w:val="20"/>
                <w:szCs w:val="20"/>
                <w:lang w:eastAsia="sr-Latn-ME"/>
              </w:rPr>
            </w:pPr>
            <w:r w:rsidRPr="000152CB">
              <w:rPr>
                <w:rFonts w:eastAsia="Times New Roman" w:cs="Calibri"/>
                <w:color w:val="000000"/>
                <w:sz w:val="20"/>
                <w:szCs w:val="20"/>
                <w:lang w:eastAsia="sr-Latn-ME"/>
              </w:rPr>
              <w:t>Zdravstvene ustanove</w:t>
            </w:r>
          </w:p>
          <w:p w14:paraId="6B6D873F"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color w:val="000000"/>
                <w:sz w:val="20"/>
                <w:szCs w:val="20"/>
                <w:lang w:eastAsia="sr-Latn-ME"/>
              </w:rPr>
              <w:lastRenderedPageBreak/>
              <w:t>Ministarstvo rada i socijalnog staranja, IJZ</w:t>
            </w:r>
          </w:p>
        </w:tc>
        <w:tc>
          <w:tcPr>
            <w:tcW w:w="2508" w:type="dxa"/>
            <w:gridSpan w:val="5"/>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63EA7D96" w14:textId="03B8363C" w:rsidR="00FD6E82" w:rsidRPr="000152CB" w:rsidRDefault="00AE4B79"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lastRenderedPageBreak/>
              <w:t>Realizacija se nastavlja. ROK IV Q 2025</w:t>
            </w:r>
          </w:p>
        </w:tc>
        <w:tc>
          <w:tcPr>
            <w:tcW w:w="1962" w:type="dxa"/>
            <w:gridSpan w:val="5"/>
            <w:tcBorders>
              <w:top w:val="single" w:sz="4" w:space="0" w:color="000000"/>
              <w:left w:val="single" w:sz="4" w:space="0" w:color="000000"/>
              <w:bottom w:val="single" w:sz="4" w:space="0" w:color="000000"/>
              <w:right w:val="single" w:sz="4" w:space="0" w:color="000000"/>
            </w:tcBorders>
            <w:shd w:val="clear" w:color="auto" w:fill="auto"/>
          </w:tcPr>
          <w:p w14:paraId="35E0CD84"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color w:val="000000"/>
                <w:sz w:val="20"/>
                <w:szCs w:val="20"/>
                <w:lang w:eastAsia="sr-Latn-ME"/>
              </w:rPr>
              <w:t>IIIQ 2023-IVQ 2024</w:t>
            </w:r>
          </w:p>
        </w:tc>
        <w:tc>
          <w:tcPr>
            <w:tcW w:w="136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91B9F" w14:textId="77777777" w:rsidR="00FD6E82" w:rsidRPr="000152CB" w:rsidRDefault="00FD6E82" w:rsidP="00FD6E82">
            <w:pPr>
              <w:spacing w:after="0" w:line="240" w:lineRule="auto"/>
              <w:rPr>
                <w:rFonts w:eastAsia="Times New Roman" w:cs="Calibri"/>
                <w:color w:val="000000"/>
                <w:sz w:val="20"/>
                <w:szCs w:val="20"/>
                <w:lang w:eastAsia="sr-Latn-ME"/>
              </w:rPr>
            </w:pPr>
            <w:r w:rsidRPr="000152CB">
              <w:rPr>
                <w:rFonts w:eastAsia="Times New Roman" w:cs="Calibri"/>
                <w:color w:val="000000"/>
                <w:sz w:val="20"/>
                <w:szCs w:val="20"/>
                <w:lang w:eastAsia="sr-Latn-ME"/>
              </w:rPr>
              <w:t>Planirana sredstva: 10,000 – 12,000 za konsultante</w:t>
            </w:r>
          </w:p>
          <w:p w14:paraId="05E54E00" w14:textId="77777777" w:rsidR="00FD6E82" w:rsidRPr="000152CB" w:rsidRDefault="00FD6E82" w:rsidP="00FD6E82">
            <w:pPr>
              <w:spacing w:after="0" w:line="240" w:lineRule="auto"/>
              <w:rPr>
                <w:rFonts w:eastAsia="Times New Roman" w:cs="Calibri"/>
                <w:color w:val="000000"/>
                <w:sz w:val="20"/>
                <w:szCs w:val="20"/>
                <w:lang w:eastAsia="sr-Latn-ME"/>
              </w:rPr>
            </w:pPr>
          </w:p>
          <w:p w14:paraId="48EE020F" w14:textId="13F9989F"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Utrošena sredstva:</w:t>
            </w:r>
            <w:r w:rsidR="00371393" w:rsidRPr="000152CB">
              <w:rPr>
                <w:rFonts w:eastAsia="Times New Roman" w:cs="Calibri"/>
                <w:sz w:val="20"/>
                <w:szCs w:val="20"/>
                <w:lang w:eastAsia="sr-Latn-ME"/>
              </w:rPr>
              <w:t xml:space="preserve"> 5,000 eura</w:t>
            </w:r>
          </w:p>
        </w:tc>
        <w:tc>
          <w:tcPr>
            <w:tcW w:w="233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1CBCB"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color w:val="000000" w:themeColor="text1"/>
                <w:sz w:val="20"/>
                <w:szCs w:val="20"/>
                <w:lang w:eastAsia="sr-Latn-ME"/>
              </w:rPr>
              <w:lastRenderedPageBreak/>
              <w:t xml:space="preserve">Donacije, projekti </w:t>
            </w:r>
          </w:p>
        </w:tc>
        <w:tc>
          <w:tcPr>
            <w:tcW w:w="1534" w:type="dxa"/>
            <w:gridSpan w:val="5"/>
            <w:tcBorders>
              <w:top w:val="single" w:sz="4" w:space="0" w:color="000000"/>
              <w:left w:val="single" w:sz="4" w:space="0" w:color="000000"/>
              <w:bottom w:val="single" w:sz="4" w:space="0" w:color="000000"/>
              <w:right w:val="single" w:sz="4" w:space="0" w:color="000000"/>
            </w:tcBorders>
            <w:shd w:val="clear" w:color="auto" w:fill="auto"/>
          </w:tcPr>
          <w:p w14:paraId="24841C7D" w14:textId="77777777" w:rsidR="00FD6E82" w:rsidRPr="000152CB" w:rsidRDefault="00FD6E82" w:rsidP="00FD6E82">
            <w:pPr>
              <w:spacing w:after="0" w:line="240" w:lineRule="auto"/>
              <w:rPr>
                <w:rFonts w:eastAsia="Times New Roman" w:cs="Calibri"/>
                <w:sz w:val="20"/>
                <w:szCs w:val="20"/>
                <w:lang w:eastAsia="sr-Latn-ME"/>
              </w:rPr>
            </w:pPr>
          </w:p>
        </w:tc>
      </w:tr>
      <w:tr w:rsidR="00BB44DA" w:rsidRPr="000152CB" w14:paraId="686B9055" w14:textId="77777777" w:rsidTr="00E77388">
        <w:trPr>
          <w:trHeight w:val="1379"/>
          <w:jc w:val="center"/>
        </w:trPr>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C9783" w14:textId="21192B76" w:rsidR="00FD6E82" w:rsidRPr="000152CB" w:rsidRDefault="00FD6E82" w:rsidP="00FD6E82">
            <w:pPr>
              <w:spacing w:after="0" w:line="240" w:lineRule="auto"/>
              <w:rPr>
                <w:rFonts w:eastAsia="Times New Roman" w:cs="Calibri"/>
                <w:color w:val="000000"/>
                <w:sz w:val="20"/>
                <w:szCs w:val="20"/>
                <w:lang w:eastAsia="sr-Latn-ME"/>
              </w:rPr>
            </w:pPr>
            <w:r w:rsidRPr="000152CB">
              <w:rPr>
                <w:sz w:val="20"/>
                <w:szCs w:val="20"/>
              </w:rPr>
              <w:t>1.</w:t>
            </w:r>
            <w:r w:rsidR="00AE4B79" w:rsidRPr="000152CB">
              <w:rPr>
                <w:sz w:val="20"/>
                <w:szCs w:val="20"/>
              </w:rPr>
              <w:t>1</w:t>
            </w:r>
            <w:r w:rsidRPr="000152CB">
              <w:rPr>
                <w:sz w:val="20"/>
                <w:szCs w:val="20"/>
              </w:rPr>
              <w:t>.15. Jačanje institucionalnih kapaciteta za kontrolu privremene spriječenosti za rad i povreda na radu</w:t>
            </w:r>
          </w:p>
        </w:tc>
        <w:tc>
          <w:tcPr>
            <w:tcW w:w="19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9D4724" w14:textId="77777777" w:rsidR="00FD6E82" w:rsidRPr="000152CB" w:rsidRDefault="00FD6E82" w:rsidP="00FD6E82">
            <w:pPr>
              <w:spacing w:after="0" w:line="240" w:lineRule="auto"/>
              <w:rPr>
                <w:rFonts w:cstheme="minorHAnsi"/>
                <w:bCs/>
                <w:noProof/>
                <w:sz w:val="20"/>
                <w:szCs w:val="20"/>
              </w:rPr>
            </w:pPr>
            <w:r w:rsidRPr="000152CB">
              <w:rPr>
                <w:sz w:val="20"/>
                <w:szCs w:val="20"/>
              </w:rPr>
              <w:t>Broj sprovdenih obuka i izvještaji o sprovedenim kontrolama</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BF2604" w14:textId="77777777" w:rsidR="00FD6E82" w:rsidRPr="000152CB" w:rsidRDefault="00FD6E82" w:rsidP="00FD6E82">
            <w:pPr>
              <w:spacing w:after="0" w:line="240" w:lineRule="auto"/>
              <w:rPr>
                <w:rFonts w:eastAsia="Times New Roman" w:cs="Calibri"/>
                <w:color w:val="000000"/>
                <w:sz w:val="20"/>
                <w:szCs w:val="20"/>
                <w:lang w:eastAsia="sr-Latn-ME"/>
              </w:rPr>
            </w:pPr>
            <w:r w:rsidRPr="000152CB">
              <w:rPr>
                <w:sz w:val="20"/>
                <w:szCs w:val="20"/>
              </w:rPr>
              <w:t>MZ, IJZ, Centar za medicinu rada pri DZ, FZO</w:t>
            </w:r>
          </w:p>
        </w:tc>
        <w:tc>
          <w:tcPr>
            <w:tcW w:w="2508" w:type="dxa"/>
            <w:gridSpan w:val="5"/>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74223DB1" w14:textId="2C240371" w:rsidR="00FD6E82" w:rsidRPr="000152CB" w:rsidRDefault="00E94F6D" w:rsidP="00FD6E82">
            <w:pPr>
              <w:spacing w:after="0" w:line="240" w:lineRule="auto"/>
              <w:rPr>
                <w:rFonts w:eastAsia="Times New Roman" w:cs="Calibri"/>
                <w:color w:val="000000"/>
                <w:sz w:val="20"/>
                <w:szCs w:val="20"/>
                <w:lang w:eastAsia="sr-Latn-ME"/>
              </w:rPr>
            </w:pPr>
            <w:r w:rsidRPr="000152CB">
              <w:rPr>
                <w:rFonts w:eastAsia="Times New Roman" w:cs="Calibri"/>
                <w:color w:val="000000"/>
                <w:sz w:val="20"/>
                <w:szCs w:val="20"/>
                <w:lang w:eastAsia="sr-Latn-ME"/>
              </w:rPr>
              <w:t>Održane 2 obuke i sprovedene 33 kontrole</w:t>
            </w:r>
          </w:p>
        </w:tc>
        <w:tc>
          <w:tcPr>
            <w:tcW w:w="1962" w:type="dxa"/>
            <w:gridSpan w:val="5"/>
            <w:tcBorders>
              <w:top w:val="single" w:sz="4" w:space="0" w:color="000000"/>
              <w:left w:val="single" w:sz="4" w:space="0" w:color="000000"/>
              <w:bottom w:val="single" w:sz="4" w:space="0" w:color="000000"/>
              <w:right w:val="single" w:sz="4" w:space="0" w:color="000000"/>
            </w:tcBorders>
            <w:shd w:val="clear" w:color="auto" w:fill="auto"/>
          </w:tcPr>
          <w:p w14:paraId="60A5B220" w14:textId="77777777" w:rsidR="00FD6E82" w:rsidRPr="000152CB" w:rsidRDefault="00FD6E82" w:rsidP="00FD6E82">
            <w:pPr>
              <w:spacing w:after="0" w:line="240" w:lineRule="auto"/>
              <w:rPr>
                <w:rFonts w:eastAsia="Times New Roman" w:cs="Calibri"/>
                <w:color w:val="000000"/>
                <w:sz w:val="20"/>
                <w:szCs w:val="20"/>
                <w:lang w:eastAsia="sr-Latn-ME"/>
              </w:rPr>
            </w:pPr>
            <w:r w:rsidRPr="000152CB">
              <w:rPr>
                <w:rFonts w:eastAsia="Times New Roman" w:cs="Calibri"/>
                <w:color w:val="000000"/>
                <w:sz w:val="20"/>
                <w:szCs w:val="20"/>
                <w:lang w:eastAsia="sr-Latn-ME"/>
              </w:rPr>
              <w:t>IIQ2023-IVQ 2024</w:t>
            </w:r>
          </w:p>
        </w:tc>
        <w:tc>
          <w:tcPr>
            <w:tcW w:w="136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F5528" w14:textId="77777777" w:rsidR="00FD6E82" w:rsidRPr="000152CB" w:rsidRDefault="00FD6E82" w:rsidP="00FD6E82">
            <w:pPr>
              <w:spacing w:after="0" w:line="240" w:lineRule="auto"/>
              <w:rPr>
                <w:rFonts w:eastAsia="Times New Roman" w:cs="Calibri"/>
                <w:color w:val="000000"/>
                <w:sz w:val="20"/>
                <w:szCs w:val="20"/>
                <w:lang w:eastAsia="sr-Latn-ME"/>
              </w:rPr>
            </w:pPr>
            <w:r w:rsidRPr="000152CB">
              <w:rPr>
                <w:sz w:val="20"/>
                <w:szCs w:val="20"/>
              </w:rPr>
              <w:t>Tekuća sredstva</w:t>
            </w:r>
          </w:p>
        </w:tc>
        <w:tc>
          <w:tcPr>
            <w:tcW w:w="233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2D014" w14:textId="77777777" w:rsidR="00FD6E82" w:rsidRPr="000152CB" w:rsidRDefault="00FD6E82" w:rsidP="00FD6E82">
            <w:pPr>
              <w:spacing w:after="0" w:line="240" w:lineRule="auto"/>
              <w:rPr>
                <w:rFonts w:eastAsia="Times New Roman" w:cs="Calibri"/>
                <w:color w:val="000000" w:themeColor="text1"/>
                <w:sz w:val="20"/>
                <w:szCs w:val="20"/>
                <w:lang w:eastAsia="sr-Latn-ME"/>
              </w:rPr>
            </w:pPr>
            <w:r w:rsidRPr="000152CB">
              <w:rPr>
                <w:sz w:val="20"/>
                <w:szCs w:val="20"/>
              </w:rPr>
              <w:t>Budžet</w:t>
            </w:r>
          </w:p>
        </w:tc>
        <w:tc>
          <w:tcPr>
            <w:tcW w:w="1534" w:type="dxa"/>
            <w:gridSpan w:val="5"/>
            <w:tcBorders>
              <w:top w:val="single" w:sz="4" w:space="0" w:color="000000"/>
              <w:left w:val="single" w:sz="4" w:space="0" w:color="000000"/>
              <w:bottom w:val="single" w:sz="4" w:space="0" w:color="000000"/>
              <w:right w:val="single" w:sz="4" w:space="0" w:color="000000"/>
            </w:tcBorders>
            <w:shd w:val="clear" w:color="auto" w:fill="auto"/>
          </w:tcPr>
          <w:p w14:paraId="2DD53C00" w14:textId="77777777" w:rsidR="00FD6E82" w:rsidRPr="000152CB" w:rsidRDefault="00FD6E82" w:rsidP="00FD6E82">
            <w:pPr>
              <w:spacing w:after="0" w:line="240" w:lineRule="auto"/>
              <w:rPr>
                <w:rFonts w:eastAsia="Times New Roman" w:cs="Calibri"/>
                <w:color w:val="000000" w:themeColor="text1"/>
                <w:sz w:val="20"/>
                <w:szCs w:val="20"/>
                <w:lang w:eastAsia="sr-Latn-ME"/>
              </w:rPr>
            </w:pPr>
          </w:p>
        </w:tc>
      </w:tr>
      <w:tr w:rsidR="00BB44DA" w:rsidRPr="000152CB" w14:paraId="2097ABDE" w14:textId="77777777" w:rsidTr="00E77388">
        <w:trPr>
          <w:trHeight w:val="331"/>
          <w:jc w:val="center"/>
        </w:trPr>
        <w:tc>
          <w:tcPr>
            <w:tcW w:w="2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8CFFE6" w14:textId="77777777" w:rsidR="00FD6E82" w:rsidRPr="000152CB" w:rsidRDefault="00FD6E82" w:rsidP="00FD6E82">
            <w:pPr>
              <w:spacing w:line="240" w:lineRule="auto"/>
              <w:textAlignment w:val="baseline"/>
              <w:rPr>
                <w:rFonts w:eastAsia="Times New Roman" w:cs="Calibri"/>
                <w:color w:val="000000"/>
                <w:sz w:val="20"/>
                <w:szCs w:val="20"/>
                <w:lang w:eastAsia="sr-Latn-ME"/>
              </w:rPr>
            </w:pPr>
            <w:r w:rsidRPr="000152CB">
              <w:rPr>
                <w:rFonts w:eastAsia="Times New Roman" w:cs="Calibri"/>
                <w:color w:val="000000"/>
                <w:sz w:val="20"/>
                <w:szCs w:val="20"/>
                <w:lang w:eastAsia="sr-Latn-ME"/>
              </w:rPr>
              <w:t>1.1.16. Revizija ovlašćenja izabranih doktora za pružanje zdravstvene zaštite (diagnostičke usluge, propisivanje terapije)  na primarnom nivou</w:t>
            </w:r>
          </w:p>
        </w:tc>
        <w:tc>
          <w:tcPr>
            <w:tcW w:w="19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41C711"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Broj  upućivanja na specijalističke preglede</w:t>
            </w:r>
          </w:p>
          <w:p w14:paraId="0B7E869C" w14:textId="77777777" w:rsidR="00FD6E82" w:rsidRPr="000152CB" w:rsidRDefault="00FD6E82" w:rsidP="00FD6E82">
            <w:pPr>
              <w:spacing w:after="0" w:line="240" w:lineRule="auto"/>
              <w:ind w:left="270"/>
              <w:rPr>
                <w:rFonts w:eastAsia="Times New Roman" w:cs="Calibri"/>
                <w:sz w:val="20"/>
                <w:szCs w:val="20"/>
                <w:lang w:eastAsia="sr-Latn-ME"/>
              </w:rPr>
            </w:pPr>
          </w:p>
        </w:tc>
        <w:tc>
          <w:tcPr>
            <w:tcW w:w="1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FECCD4"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MZ, PZZ,FZO, Strukovno udruženje za porodičnu medicinu)</w:t>
            </w:r>
          </w:p>
        </w:tc>
        <w:tc>
          <w:tcPr>
            <w:tcW w:w="2508" w:type="dxa"/>
            <w:gridSpan w:val="5"/>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3D049B0C" w14:textId="58D7A6D1" w:rsidR="00FD6E82" w:rsidRPr="000152CB" w:rsidRDefault="00E94F6D"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 xml:space="preserve">Formirana Radna grupa. Izrada pravilnika u toku. Završena revizija. </w:t>
            </w:r>
          </w:p>
        </w:tc>
        <w:tc>
          <w:tcPr>
            <w:tcW w:w="1962" w:type="dxa"/>
            <w:gridSpan w:val="5"/>
            <w:tcBorders>
              <w:top w:val="single" w:sz="4" w:space="0" w:color="000000"/>
              <w:left w:val="single" w:sz="4" w:space="0" w:color="000000"/>
              <w:bottom w:val="single" w:sz="4" w:space="0" w:color="000000"/>
              <w:right w:val="single" w:sz="4" w:space="0" w:color="000000"/>
            </w:tcBorders>
          </w:tcPr>
          <w:p w14:paraId="74BCFC20"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II Q  2023-IV Q 2024</w:t>
            </w:r>
          </w:p>
        </w:tc>
        <w:tc>
          <w:tcPr>
            <w:tcW w:w="136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215B34"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Tekuća sredstva</w:t>
            </w:r>
          </w:p>
        </w:tc>
        <w:tc>
          <w:tcPr>
            <w:tcW w:w="2336"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B48BDE"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Budžet, donacije, SZO, projekti</w:t>
            </w:r>
          </w:p>
        </w:tc>
        <w:tc>
          <w:tcPr>
            <w:tcW w:w="1534" w:type="dxa"/>
            <w:gridSpan w:val="5"/>
            <w:tcBorders>
              <w:top w:val="single" w:sz="4" w:space="0" w:color="000000"/>
              <w:left w:val="single" w:sz="4" w:space="0" w:color="000000"/>
              <w:bottom w:val="single" w:sz="4" w:space="0" w:color="000000"/>
              <w:right w:val="single" w:sz="4" w:space="0" w:color="000000"/>
            </w:tcBorders>
          </w:tcPr>
          <w:p w14:paraId="7466A367" w14:textId="649F9302" w:rsidR="00FD6E82" w:rsidRPr="000152CB" w:rsidRDefault="009169E7"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Novi rok za realizaciju aktivnosti je IV kvartal 2025. godine</w:t>
            </w:r>
          </w:p>
        </w:tc>
      </w:tr>
      <w:tr w:rsidR="00BB44DA" w:rsidRPr="000152CB" w14:paraId="590B2A4B" w14:textId="77777777" w:rsidTr="00E77388">
        <w:trPr>
          <w:trHeight w:val="331"/>
          <w:jc w:val="center"/>
        </w:trPr>
        <w:tc>
          <w:tcPr>
            <w:tcW w:w="2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A92A74" w14:textId="77777777" w:rsidR="00FD6E82" w:rsidRPr="000152CB" w:rsidRDefault="00FD6E82" w:rsidP="00FD6E82">
            <w:pPr>
              <w:spacing w:line="240" w:lineRule="auto"/>
              <w:textAlignment w:val="baseline"/>
              <w:rPr>
                <w:rFonts w:eastAsia="Times New Roman" w:cs="Calibri"/>
                <w:color w:val="000000"/>
                <w:sz w:val="20"/>
                <w:szCs w:val="20"/>
                <w:lang w:eastAsia="sr-Latn-ME"/>
              </w:rPr>
            </w:pPr>
            <w:r w:rsidRPr="000152CB">
              <w:rPr>
                <w:rFonts w:eastAsia="Times New Roman" w:cs="Calibri"/>
                <w:color w:val="000000"/>
                <w:sz w:val="20"/>
                <w:szCs w:val="20"/>
                <w:lang w:eastAsia="sr-Latn-ME"/>
              </w:rPr>
              <w:t>1.1.17. Izrada modela kojim će se omogućiti veća ovlašćenja za farmaceute u pružanju zdravstvene zaštite</w:t>
            </w:r>
          </w:p>
        </w:tc>
        <w:tc>
          <w:tcPr>
            <w:tcW w:w="19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CE96EE"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Izrađen model</w:t>
            </w:r>
          </w:p>
        </w:tc>
        <w:tc>
          <w:tcPr>
            <w:tcW w:w="1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810CCB"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MZ, Farmaceutska komora</w:t>
            </w:r>
          </w:p>
        </w:tc>
        <w:tc>
          <w:tcPr>
            <w:tcW w:w="2508" w:type="dxa"/>
            <w:gridSpan w:val="5"/>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1ED4839E" w14:textId="6210C3D7" w:rsidR="00FD6E82" w:rsidRPr="000152CB" w:rsidRDefault="005B6ECD"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 xml:space="preserve">Sprovedeno u toku prve faze akcionog plana ugovora sa svjetskom bankom. Farmaceutima u apoteci </w:t>
            </w:r>
            <w:r w:rsidR="00BF646C" w:rsidRPr="000152CB">
              <w:rPr>
                <w:rFonts w:eastAsia="Times New Roman" w:cs="Calibri"/>
                <w:sz w:val="20"/>
                <w:szCs w:val="20"/>
                <w:lang w:eastAsia="sr-Latn-ME"/>
              </w:rPr>
              <w:t xml:space="preserve">je </w:t>
            </w:r>
            <w:r w:rsidRPr="000152CB">
              <w:rPr>
                <w:rFonts w:eastAsia="Times New Roman" w:cs="Calibri"/>
                <w:sz w:val="20"/>
                <w:szCs w:val="20"/>
                <w:lang w:eastAsia="sr-Latn-ME"/>
              </w:rPr>
              <w:t xml:space="preserve">omogućeno izdavanje ljekova istog INN-a, jačine i farmaceutskog oblika, od drugog proizvođača, ukoliko je lijek koji je propisan od strane ljekara trenutno nedostupan. Na ovaj način su omogućena veća ovlašćenja farmaceutima, a pacijentima je povećan pristup većem broju ljekova i na taj način obezbjeđena je sveobuhvatnija zdravstvena zaštita.  </w:t>
            </w:r>
          </w:p>
        </w:tc>
        <w:tc>
          <w:tcPr>
            <w:tcW w:w="1962" w:type="dxa"/>
            <w:gridSpan w:val="5"/>
            <w:tcBorders>
              <w:top w:val="single" w:sz="4" w:space="0" w:color="000000"/>
              <w:left w:val="single" w:sz="4" w:space="0" w:color="000000"/>
              <w:bottom w:val="single" w:sz="4" w:space="0" w:color="000000"/>
              <w:right w:val="single" w:sz="4" w:space="0" w:color="000000"/>
            </w:tcBorders>
          </w:tcPr>
          <w:p w14:paraId="59C9FCE5"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IIIQ 2023-IVQ 2014</w:t>
            </w:r>
          </w:p>
        </w:tc>
        <w:tc>
          <w:tcPr>
            <w:tcW w:w="136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F7B562" w14:textId="77777777" w:rsidR="00FD6E82" w:rsidRPr="000152CB" w:rsidRDefault="00FD6E82" w:rsidP="00FD6E82">
            <w:pPr>
              <w:spacing w:after="0" w:line="240" w:lineRule="auto"/>
              <w:rPr>
                <w:rFonts w:eastAsia="Times New Roman" w:cs="Calibri"/>
                <w:sz w:val="20"/>
                <w:szCs w:val="20"/>
                <w:lang w:eastAsia="sr-Latn-ME"/>
              </w:rPr>
            </w:pPr>
            <w:r w:rsidRPr="000152CB">
              <w:rPr>
                <w:sz w:val="20"/>
                <w:szCs w:val="20"/>
              </w:rPr>
              <w:t>Tekuća sredstva</w:t>
            </w:r>
          </w:p>
        </w:tc>
        <w:tc>
          <w:tcPr>
            <w:tcW w:w="2336"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F6426D" w14:textId="77777777" w:rsidR="00FD6E82" w:rsidRPr="000152CB" w:rsidRDefault="00FD6E82" w:rsidP="00FD6E82">
            <w:pPr>
              <w:spacing w:after="0" w:line="240" w:lineRule="auto"/>
              <w:rPr>
                <w:rFonts w:eastAsia="Times New Roman" w:cs="Calibri"/>
                <w:sz w:val="20"/>
                <w:szCs w:val="20"/>
                <w:lang w:eastAsia="sr-Latn-ME"/>
              </w:rPr>
            </w:pPr>
            <w:r w:rsidRPr="000152CB">
              <w:rPr>
                <w:sz w:val="20"/>
                <w:szCs w:val="20"/>
              </w:rPr>
              <w:t>Budžet</w:t>
            </w:r>
          </w:p>
        </w:tc>
        <w:tc>
          <w:tcPr>
            <w:tcW w:w="1534" w:type="dxa"/>
            <w:gridSpan w:val="5"/>
            <w:tcBorders>
              <w:top w:val="single" w:sz="4" w:space="0" w:color="000000"/>
              <w:left w:val="single" w:sz="4" w:space="0" w:color="000000"/>
              <w:bottom w:val="single" w:sz="4" w:space="0" w:color="000000"/>
              <w:right w:val="single" w:sz="4" w:space="0" w:color="000000"/>
            </w:tcBorders>
          </w:tcPr>
          <w:p w14:paraId="0B5F1090" w14:textId="77777777" w:rsidR="00FD6E82" w:rsidRPr="000152CB" w:rsidRDefault="00FD6E82" w:rsidP="00FD6E82">
            <w:pPr>
              <w:spacing w:after="0" w:line="240" w:lineRule="auto"/>
              <w:rPr>
                <w:rFonts w:eastAsia="Times New Roman" w:cs="Calibri"/>
                <w:sz w:val="20"/>
                <w:szCs w:val="20"/>
                <w:lang w:eastAsia="sr-Latn-ME"/>
              </w:rPr>
            </w:pPr>
          </w:p>
        </w:tc>
      </w:tr>
      <w:tr w:rsidR="00BB44DA" w:rsidRPr="000152CB" w14:paraId="674A4B32" w14:textId="77777777" w:rsidTr="00E77388">
        <w:trPr>
          <w:trHeight w:val="585"/>
          <w:jc w:val="center"/>
        </w:trPr>
        <w:tc>
          <w:tcPr>
            <w:tcW w:w="2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2721D" w14:textId="77777777" w:rsidR="00FD6E82" w:rsidRPr="000152CB" w:rsidRDefault="00FD6E82" w:rsidP="00FD6E82">
            <w:pPr>
              <w:spacing w:line="240" w:lineRule="auto"/>
              <w:textAlignment w:val="baseline"/>
              <w:rPr>
                <w:rFonts w:eastAsia="Times New Roman" w:cs="Calibri"/>
                <w:color w:val="000000"/>
                <w:sz w:val="20"/>
                <w:szCs w:val="20"/>
                <w:lang w:eastAsia="sr-Latn-ME"/>
              </w:rPr>
            </w:pPr>
            <w:r w:rsidRPr="000152CB">
              <w:rPr>
                <w:rFonts w:eastAsia="Times New Roman" w:cs="Calibri"/>
                <w:color w:val="000000"/>
                <w:sz w:val="20"/>
                <w:szCs w:val="20"/>
                <w:lang w:eastAsia="sr-Latn-ME"/>
              </w:rPr>
              <w:lastRenderedPageBreak/>
              <w:t>1.1.18. Definisati poslove i zadatke medicinskih sestara/tehničara u pravcu proširenja ovlašćenja sa preporukama definisanje njihovih koeficijenata, doedukacije</w:t>
            </w:r>
          </w:p>
        </w:tc>
        <w:tc>
          <w:tcPr>
            <w:tcW w:w="19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08779"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 xml:space="preserve">Izrađen pravilnik medicinkih sestara o pružanju usluga zdravstvene zaštite </w:t>
            </w:r>
          </w:p>
          <w:p w14:paraId="0019E4A2" w14:textId="77777777" w:rsidR="00FD6E82" w:rsidRPr="000152CB" w:rsidRDefault="00FD6E82" w:rsidP="00FD6E82">
            <w:pPr>
              <w:spacing w:after="0" w:line="240" w:lineRule="auto"/>
              <w:ind w:left="270"/>
              <w:rPr>
                <w:rFonts w:eastAsia="Times New Roman" w:cs="Calibri"/>
                <w:sz w:val="20"/>
                <w:szCs w:val="20"/>
                <w:lang w:eastAsia="sr-Latn-ME"/>
              </w:rPr>
            </w:pPr>
          </w:p>
          <w:p w14:paraId="7C64CCC0"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Broj pruženih usluga</w:t>
            </w:r>
          </w:p>
        </w:tc>
        <w:tc>
          <w:tcPr>
            <w:tcW w:w="1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0FE0E8"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MZ, Komora medicinskih sestara</w:t>
            </w:r>
          </w:p>
        </w:tc>
        <w:tc>
          <w:tcPr>
            <w:tcW w:w="2508" w:type="dxa"/>
            <w:gridSpan w:val="5"/>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7633EED5" w14:textId="267255B9" w:rsidR="00FD6E82" w:rsidRPr="000152CB" w:rsidRDefault="00BF646C"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U toku je izrada funkcionalne analize</w:t>
            </w:r>
            <w:r w:rsidR="004B3CAA" w:rsidRPr="000152CB">
              <w:rPr>
                <w:rFonts w:eastAsia="Times New Roman" w:cs="Calibri"/>
                <w:sz w:val="20"/>
                <w:szCs w:val="20"/>
                <w:lang w:eastAsia="sr-Latn-ME"/>
              </w:rPr>
              <w:t>, na osnovu koje će se pristupiti izradi pravilnika i pružanju usluga</w:t>
            </w:r>
          </w:p>
        </w:tc>
        <w:tc>
          <w:tcPr>
            <w:tcW w:w="1962" w:type="dxa"/>
            <w:gridSpan w:val="5"/>
            <w:tcBorders>
              <w:top w:val="single" w:sz="4" w:space="0" w:color="000000"/>
              <w:left w:val="single" w:sz="4" w:space="0" w:color="000000"/>
              <w:bottom w:val="single" w:sz="4" w:space="0" w:color="000000"/>
              <w:right w:val="single" w:sz="4" w:space="0" w:color="000000"/>
            </w:tcBorders>
          </w:tcPr>
          <w:p w14:paraId="415E5751"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II Q 2024-IV Q 2024</w:t>
            </w:r>
          </w:p>
        </w:tc>
        <w:tc>
          <w:tcPr>
            <w:tcW w:w="136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4894AB"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Tekuća sredstva</w:t>
            </w:r>
          </w:p>
        </w:tc>
        <w:tc>
          <w:tcPr>
            <w:tcW w:w="2336"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7C4096"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Budžet</w:t>
            </w:r>
          </w:p>
        </w:tc>
        <w:tc>
          <w:tcPr>
            <w:tcW w:w="1534" w:type="dxa"/>
            <w:gridSpan w:val="5"/>
            <w:tcBorders>
              <w:top w:val="single" w:sz="4" w:space="0" w:color="000000"/>
              <w:left w:val="single" w:sz="4" w:space="0" w:color="000000"/>
              <w:bottom w:val="single" w:sz="4" w:space="0" w:color="000000"/>
              <w:right w:val="single" w:sz="4" w:space="0" w:color="000000"/>
            </w:tcBorders>
          </w:tcPr>
          <w:p w14:paraId="5BC67383" w14:textId="213DF0F5" w:rsidR="00FD6E82" w:rsidRPr="000152CB" w:rsidRDefault="004B3CAA"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Novi rok za realizaciju aktivnosti je III kvartal 2025. godine</w:t>
            </w:r>
          </w:p>
        </w:tc>
      </w:tr>
      <w:tr w:rsidR="00BB44DA" w:rsidRPr="000152CB" w14:paraId="43808803" w14:textId="77777777" w:rsidTr="00E77388">
        <w:trPr>
          <w:trHeight w:val="585"/>
          <w:jc w:val="center"/>
        </w:trPr>
        <w:tc>
          <w:tcPr>
            <w:tcW w:w="2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339881" w14:textId="77777777" w:rsidR="00FD6E82" w:rsidRPr="000152CB" w:rsidRDefault="00FD6E82" w:rsidP="00FD6E82">
            <w:pPr>
              <w:spacing w:line="240" w:lineRule="auto"/>
              <w:textAlignment w:val="baseline"/>
              <w:rPr>
                <w:rFonts w:eastAsia="Times New Roman" w:cs="Calibri"/>
                <w:color w:val="000000"/>
                <w:sz w:val="20"/>
                <w:szCs w:val="20"/>
                <w:lang w:eastAsia="sr-Latn-ME"/>
              </w:rPr>
            </w:pPr>
            <w:r w:rsidRPr="000152CB">
              <w:rPr>
                <w:rFonts w:eastAsia="Times New Roman" w:cs="Calibri"/>
                <w:color w:val="000000"/>
                <w:sz w:val="20"/>
                <w:szCs w:val="20"/>
                <w:lang w:eastAsia="sr-Latn-ME"/>
              </w:rPr>
              <w:t>1.1.19. .Izrada modela za optimizaciju pružanja stomatoloških usluga u cilju unapređivanja dentalnog zdravlja sa fokusom na djecu</w:t>
            </w:r>
          </w:p>
        </w:tc>
        <w:tc>
          <w:tcPr>
            <w:tcW w:w="19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6E5072"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 xml:space="preserve">Izrađen model </w:t>
            </w:r>
            <w:r w:rsidRPr="000152CB">
              <w:rPr>
                <w:rFonts w:eastAsia="Times New Roman" w:cs="Calibri"/>
                <w:color w:val="000000"/>
                <w:sz w:val="20"/>
                <w:szCs w:val="20"/>
                <w:lang w:eastAsia="sr-Latn-ME"/>
              </w:rPr>
              <w:t>za optimizaciju pružanja stomatoloških usluga</w:t>
            </w:r>
          </w:p>
        </w:tc>
        <w:tc>
          <w:tcPr>
            <w:tcW w:w="1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11F79"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MZ, Stomatološka komora</w:t>
            </w:r>
          </w:p>
        </w:tc>
        <w:tc>
          <w:tcPr>
            <w:tcW w:w="2508" w:type="dxa"/>
            <w:gridSpan w:val="5"/>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30F13AAD" w14:textId="273615D6" w:rsidR="00FD6E82" w:rsidRPr="000152CB" w:rsidRDefault="0040792A"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 xml:space="preserve">Izrađen plan razvoja stomatološke zaštite </w:t>
            </w:r>
          </w:p>
        </w:tc>
        <w:tc>
          <w:tcPr>
            <w:tcW w:w="1962" w:type="dxa"/>
            <w:gridSpan w:val="5"/>
            <w:tcBorders>
              <w:top w:val="single" w:sz="4" w:space="0" w:color="000000"/>
              <w:left w:val="single" w:sz="4" w:space="0" w:color="000000"/>
              <w:bottom w:val="single" w:sz="4" w:space="0" w:color="000000"/>
              <w:right w:val="single" w:sz="4" w:space="0" w:color="000000"/>
            </w:tcBorders>
          </w:tcPr>
          <w:p w14:paraId="3164D0E5"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III Q 2023-II Q 2024</w:t>
            </w:r>
          </w:p>
        </w:tc>
        <w:tc>
          <w:tcPr>
            <w:tcW w:w="136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AEB710"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Tekuća sredstva</w:t>
            </w:r>
          </w:p>
        </w:tc>
        <w:tc>
          <w:tcPr>
            <w:tcW w:w="2336"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B19A6E"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Budžet</w:t>
            </w:r>
          </w:p>
        </w:tc>
        <w:tc>
          <w:tcPr>
            <w:tcW w:w="1534" w:type="dxa"/>
            <w:gridSpan w:val="5"/>
            <w:tcBorders>
              <w:top w:val="single" w:sz="4" w:space="0" w:color="000000"/>
              <w:left w:val="single" w:sz="4" w:space="0" w:color="000000"/>
              <w:bottom w:val="single" w:sz="4" w:space="0" w:color="000000"/>
              <w:right w:val="single" w:sz="4" w:space="0" w:color="000000"/>
            </w:tcBorders>
          </w:tcPr>
          <w:p w14:paraId="187E61F4" w14:textId="06978159" w:rsidR="00FD6E82" w:rsidRPr="000152CB" w:rsidRDefault="00656A9C"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Novi rok za realizaciju aktivnosti je I kvartal 2026. godine</w:t>
            </w:r>
          </w:p>
        </w:tc>
      </w:tr>
      <w:tr w:rsidR="00BB44DA" w:rsidRPr="000152CB" w14:paraId="392BB6B5" w14:textId="77777777" w:rsidTr="00E77388">
        <w:trPr>
          <w:trHeight w:val="826"/>
          <w:jc w:val="center"/>
        </w:trPr>
        <w:tc>
          <w:tcPr>
            <w:tcW w:w="2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EEA1AC" w14:textId="77777777" w:rsidR="00FD6E82" w:rsidRPr="000152CB" w:rsidRDefault="00FD6E82" w:rsidP="00FD6E82">
            <w:pPr>
              <w:spacing w:line="240" w:lineRule="auto"/>
              <w:textAlignment w:val="baseline"/>
              <w:rPr>
                <w:rFonts w:eastAsia="Times New Roman" w:cs="Calibri"/>
                <w:color w:val="000000"/>
                <w:sz w:val="20"/>
                <w:szCs w:val="20"/>
                <w:lang w:eastAsia="sr-Latn-ME"/>
              </w:rPr>
            </w:pPr>
            <w:r w:rsidRPr="000152CB">
              <w:rPr>
                <w:rFonts w:eastAsia="Times New Roman" w:cs="Calibri"/>
                <w:color w:val="000000"/>
                <w:sz w:val="20"/>
                <w:szCs w:val="20"/>
                <w:lang w:eastAsia="sr-Latn-ME"/>
              </w:rPr>
              <w:t xml:space="preserve">1.1.20. Definisati bliže uslove i procedure za mobilizaciju specijalista između ZU sa bolničkom zdravstvenom zaštitom na nacionalnom nivou, sa jasno definisanim vremenskim trajanjem, dijagnozama i indikatorima praćenja rezultata, a sve u cilju unapređivanja dostupnosti, kvaliteta i troškovne efikasnosti kroz reviziju protokola za upućivanje po </w:t>
            </w:r>
            <w:r w:rsidRPr="000152CB">
              <w:rPr>
                <w:rFonts w:eastAsia="Times New Roman" w:cs="Calibri"/>
                <w:color w:val="000000"/>
                <w:sz w:val="20"/>
                <w:szCs w:val="20"/>
                <w:lang w:eastAsia="sr-Latn-ME"/>
              </w:rPr>
              <w:lastRenderedPageBreak/>
              <w:t>nivoima zdravstvene zaštite</w:t>
            </w:r>
          </w:p>
          <w:p w14:paraId="41BD215F" w14:textId="77777777" w:rsidR="00FD6E82" w:rsidRPr="000152CB" w:rsidRDefault="00FD6E82" w:rsidP="00FD6E82">
            <w:pPr>
              <w:spacing w:line="240" w:lineRule="auto"/>
              <w:textAlignment w:val="baseline"/>
              <w:rPr>
                <w:rFonts w:eastAsia="Times New Roman" w:cs="Calibri"/>
                <w:color w:val="000000"/>
                <w:sz w:val="20"/>
                <w:szCs w:val="20"/>
                <w:lang w:eastAsia="sr-Latn-ME"/>
              </w:rPr>
            </w:pPr>
            <w:r w:rsidRPr="000152CB">
              <w:rPr>
                <w:rFonts w:eastAsia="Times New Roman" w:cs="Calibri"/>
                <w:color w:val="000000"/>
                <w:sz w:val="20"/>
                <w:szCs w:val="20"/>
                <w:lang w:eastAsia="sr-Latn-ME"/>
              </w:rPr>
              <w:t>Izrada analize upućivanja između i unutar nivoa zdravstene zaštite i transporta naročito za hitna medicinska stanja sa preporukama</w:t>
            </w:r>
          </w:p>
        </w:tc>
        <w:tc>
          <w:tcPr>
            <w:tcW w:w="19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B603D8"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lastRenderedPageBreak/>
              <w:t>Revidiran protokol</w:t>
            </w:r>
          </w:p>
        </w:tc>
        <w:tc>
          <w:tcPr>
            <w:tcW w:w="1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BE3023"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MZ, Fond</w:t>
            </w:r>
          </w:p>
        </w:tc>
        <w:tc>
          <w:tcPr>
            <w:tcW w:w="2508" w:type="dxa"/>
            <w:gridSpan w:val="5"/>
            <w:tcBorders>
              <w:top w:val="single" w:sz="4" w:space="0" w:color="000000"/>
              <w:left w:val="single" w:sz="4" w:space="0" w:color="000000"/>
              <w:bottom w:val="single" w:sz="4" w:space="0" w:color="000000"/>
              <w:right w:val="single" w:sz="4" w:space="0" w:color="000000"/>
            </w:tcBorders>
            <w:shd w:val="clear" w:color="auto" w:fill="FF0000"/>
            <w:tcMar>
              <w:top w:w="0" w:type="dxa"/>
              <w:left w:w="108" w:type="dxa"/>
              <w:bottom w:w="0" w:type="dxa"/>
              <w:right w:w="108" w:type="dxa"/>
            </w:tcMar>
          </w:tcPr>
          <w:p w14:paraId="1F49912C" w14:textId="76C513DC" w:rsidR="00FD6E82" w:rsidRPr="000152CB" w:rsidRDefault="00656A9C"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Aktivnost nije sprovedena u roku planiranom akcionim planom</w:t>
            </w:r>
          </w:p>
        </w:tc>
        <w:tc>
          <w:tcPr>
            <w:tcW w:w="1962" w:type="dxa"/>
            <w:gridSpan w:val="5"/>
            <w:tcBorders>
              <w:top w:val="single" w:sz="4" w:space="0" w:color="000000"/>
              <w:left w:val="single" w:sz="4" w:space="0" w:color="000000"/>
              <w:bottom w:val="single" w:sz="4" w:space="0" w:color="000000"/>
              <w:right w:val="single" w:sz="4" w:space="0" w:color="000000"/>
            </w:tcBorders>
          </w:tcPr>
          <w:p w14:paraId="64531262"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II Q 2023-II Q 2024</w:t>
            </w:r>
          </w:p>
        </w:tc>
        <w:tc>
          <w:tcPr>
            <w:tcW w:w="136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F52BCA"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Tekuća sredstva</w:t>
            </w:r>
          </w:p>
        </w:tc>
        <w:tc>
          <w:tcPr>
            <w:tcW w:w="2336"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9DDDB2"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Budžet</w:t>
            </w:r>
          </w:p>
        </w:tc>
        <w:tc>
          <w:tcPr>
            <w:tcW w:w="1534" w:type="dxa"/>
            <w:gridSpan w:val="5"/>
            <w:tcBorders>
              <w:top w:val="single" w:sz="4" w:space="0" w:color="000000"/>
              <w:left w:val="single" w:sz="4" w:space="0" w:color="000000"/>
              <w:bottom w:val="single" w:sz="4" w:space="0" w:color="000000"/>
              <w:right w:val="single" w:sz="4" w:space="0" w:color="000000"/>
            </w:tcBorders>
          </w:tcPr>
          <w:p w14:paraId="644EAC0F" w14:textId="77777777" w:rsidR="00FD6E82" w:rsidRPr="000152CB" w:rsidRDefault="00FD6E82" w:rsidP="00FD6E82">
            <w:pPr>
              <w:spacing w:after="0" w:line="240" w:lineRule="auto"/>
              <w:rPr>
                <w:rFonts w:eastAsia="Times New Roman" w:cs="Calibri"/>
                <w:sz w:val="20"/>
                <w:szCs w:val="20"/>
                <w:lang w:eastAsia="sr-Latn-ME"/>
              </w:rPr>
            </w:pPr>
          </w:p>
        </w:tc>
      </w:tr>
      <w:tr w:rsidR="00BB44DA" w:rsidRPr="000152CB" w14:paraId="4DA665D7" w14:textId="77777777" w:rsidTr="00E77388">
        <w:trPr>
          <w:trHeight w:val="964"/>
          <w:jc w:val="center"/>
        </w:trPr>
        <w:tc>
          <w:tcPr>
            <w:tcW w:w="2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0D0FE0" w14:textId="77777777" w:rsidR="00FD6E82" w:rsidRPr="000152CB" w:rsidRDefault="00FD6E82" w:rsidP="00FD6E82">
            <w:pPr>
              <w:spacing w:line="240" w:lineRule="auto"/>
              <w:textAlignment w:val="baseline"/>
              <w:rPr>
                <w:rFonts w:eastAsia="Times New Roman" w:cs="Calibri"/>
                <w:color w:val="000000"/>
                <w:sz w:val="20"/>
                <w:szCs w:val="20"/>
                <w:lang w:eastAsia="sr-Latn-ME"/>
              </w:rPr>
            </w:pPr>
            <w:r w:rsidRPr="000152CB">
              <w:rPr>
                <w:rFonts w:eastAsia="Times New Roman" w:cs="Calibri"/>
                <w:color w:val="000000"/>
                <w:sz w:val="20"/>
                <w:szCs w:val="20"/>
                <w:lang w:eastAsia="sr-Latn-ME"/>
              </w:rPr>
              <w:t>1.1.21. Izrada modela akreditacije zdravstvenih ustanova na primarnom nivou</w:t>
            </w:r>
          </w:p>
        </w:tc>
        <w:tc>
          <w:tcPr>
            <w:tcW w:w="19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26E136"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Izrađen model akreditacije</w:t>
            </w:r>
          </w:p>
        </w:tc>
        <w:tc>
          <w:tcPr>
            <w:tcW w:w="1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9AB07B"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MZ</w:t>
            </w:r>
          </w:p>
        </w:tc>
        <w:tc>
          <w:tcPr>
            <w:tcW w:w="2508" w:type="dxa"/>
            <w:gridSpan w:val="5"/>
            <w:tcBorders>
              <w:top w:val="single" w:sz="4" w:space="0" w:color="000000"/>
              <w:left w:val="single" w:sz="4" w:space="0" w:color="000000"/>
              <w:bottom w:val="single" w:sz="4" w:space="0" w:color="000000"/>
              <w:right w:val="single" w:sz="4" w:space="0" w:color="000000"/>
            </w:tcBorders>
            <w:shd w:val="clear" w:color="auto" w:fill="FF0000"/>
            <w:tcMar>
              <w:top w:w="0" w:type="dxa"/>
              <w:left w:w="108" w:type="dxa"/>
              <w:bottom w:w="0" w:type="dxa"/>
              <w:right w:w="108" w:type="dxa"/>
            </w:tcMar>
            <w:hideMark/>
          </w:tcPr>
          <w:p w14:paraId="20712CB0" w14:textId="634E22FB" w:rsidR="00FD6E82" w:rsidRPr="000152CB" w:rsidRDefault="0040792A"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Aktivnost zavisi od izmjena u Zakonu o zdrav</w:t>
            </w:r>
            <w:r w:rsidR="00B0176D" w:rsidRPr="000152CB">
              <w:rPr>
                <w:rFonts w:eastAsia="Times New Roman" w:cs="Calibri"/>
                <w:sz w:val="20"/>
                <w:szCs w:val="20"/>
                <w:lang w:eastAsia="sr-Latn-ME"/>
              </w:rPr>
              <w:t>s</w:t>
            </w:r>
            <w:r w:rsidRPr="000152CB">
              <w:rPr>
                <w:rFonts w:eastAsia="Times New Roman" w:cs="Calibri"/>
                <w:sz w:val="20"/>
                <w:szCs w:val="20"/>
                <w:lang w:eastAsia="sr-Latn-ME"/>
              </w:rPr>
              <w:t xml:space="preserve">tvenoj zaštiti </w:t>
            </w:r>
            <w:r w:rsidR="00B0176D" w:rsidRPr="000152CB">
              <w:rPr>
                <w:rFonts w:eastAsia="Times New Roman" w:cs="Calibri"/>
                <w:sz w:val="20"/>
                <w:szCs w:val="20"/>
                <w:lang w:eastAsia="sr-Latn-ME"/>
              </w:rPr>
              <w:t xml:space="preserve">i </w:t>
            </w:r>
            <w:r w:rsidRPr="000152CB">
              <w:rPr>
                <w:rFonts w:eastAsia="Times New Roman" w:cs="Calibri"/>
                <w:sz w:val="20"/>
                <w:szCs w:val="20"/>
                <w:lang w:eastAsia="sr-Latn-ME"/>
              </w:rPr>
              <w:t xml:space="preserve">od izmjene pravilnika o unutrašnjoj organizaciji i sistematizacije mzd. </w:t>
            </w:r>
          </w:p>
        </w:tc>
        <w:tc>
          <w:tcPr>
            <w:tcW w:w="1962" w:type="dxa"/>
            <w:gridSpan w:val="5"/>
            <w:tcBorders>
              <w:top w:val="single" w:sz="4" w:space="0" w:color="000000"/>
              <w:left w:val="single" w:sz="4" w:space="0" w:color="000000"/>
              <w:bottom w:val="single" w:sz="4" w:space="0" w:color="000000"/>
              <w:right w:val="single" w:sz="4" w:space="0" w:color="000000"/>
            </w:tcBorders>
          </w:tcPr>
          <w:p w14:paraId="30CC12C9"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III Q 2023-IV Q 2024</w:t>
            </w:r>
          </w:p>
        </w:tc>
        <w:tc>
          <w:tcPr>
            <w:tcW w:w="136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F9815D"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Tekuća sredstva</w:t>
            </w:r>
          </w:p>
        </w:tc>
        <w:tc>
          <w:tcPr>
            <w:tcW w:w="2336"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E4862E"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Budžet</w:t>
            </w:r>
          </w:p>
        </w:tc>
        <w:tc>
          <w:tcPr>
            <w:tcW w:w="1534" w:type="dxa"/>
            <w:gridSpan w:val="5"/>
            <w:tcBorders>
              <w:top w:val="single" w:sz="4" w:space="0" w:color="000000"/>
              <w:left w:val="single" w:sz="4" w:space="0" w:color="000000"/>
              <w:bottom w:val="single" w:sz="4" w:space="0" w:color="000000"/>
              <w:right w:val="single" w:sz="4" w:space="0" w:color="000000"/>
            </w:tcBorders>
          </w:tcPr>
          <w:p w14:paraId="76FC71CB" w14:textId="3733235D" w:rsidR="00FD6E82" w:rsidRPr="000152CB" w:rsidRDefault="00B0176D"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Novi rok za realizaciju aktivnosti je IV kvartal 202</w:t>
            </w:r>
            <w:r w:rsidR="004E4485" w:rsidRPr="000152CB">
              <w:rPr>
                <w:rFonts w:eastAsia="Times New Roman" w:cs="Calibri"/>
                <w:sz w:val="20"/>
                <w:szCs w:val="20"/>
                <w:lang w:eastAsia="sr-Latn-ME"/>
              </w:rPr>
              <w:t>7</w:t>
            </w:r>
            <w:r w:rsidRPr="000152CB">
              <w:rPr>
                <w:rFonts w:eastAsia="Times New Roman" w:cs="Calibri"/>
                <w:sz w:val="20"/>
                <w:szCs w:val="20"/>
                <w:lang w:eastAsia="sr-Latn-ME"/>
              </w:rPr>
              <w:t>. godine</w:t>
            </w:r>
          </w:p>
        </w:tc>
      </w:tr>
      <w:tr w:rsidR="00FD6E82" w:rsidRPr="000152CB" w14:paraId="34308CA4" w14:textId="77777777" w:rsidTr="00E77388">
        <w:trPr>
          <w:trHeight w:val="585"/>
          <w:jc w:val="center"/>
        </w:trPr>
        <w:tc>
          <w:tcPr>
            <w:tcW w:w="2091"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Mar>
              <w:top w:w="0" w:type="dxa"/>
              <w:left w:w="108" w:type="dxa"/>
              <w:bottom w:w="0" w:type="dxa"/>
              <w:right w:w="108" w:type="dxa"/>
            </w:tcMar>
            <w:vAlign w:val="center"/>
            <w:hideMark/>
          </w:tcPr>
          <w:p w14:paraId="039DD4EE" w14:textId="77777777" w:rsidR="00FD6E82" w:rsidRPr="000152CB" w:rsidRDefault="00FD6E82" w:rsidP="00FD6E82">
            <w:pPr>
              <w:spacing w:after="0" w:line="240" w:lineRule="auto"/>
              <w:ind w:left="270"/>
              <w:jc w:val="center"/>
              <w:rPr>
                <w:rFonts w:eastAsia="Times New Roman" w:cs="Calibri"/>
                <w:b/>
                <w:sz w:val="20"/>
                <w:szCs w:val="20"/>
                <w:lang w:eastAsia="sr-Latn-ME"/>
              </w:rPr>
            </w:pPr>
            <w:bookmarkStart w:id="18" w:name="_Hlk128467092"/>
            <w:bookmarkEnd w:id="17"/>
            <w:r w:rsidRPr="000152CB">
              <w:rPr>
                <w:rFonts w:eastAsia="Times New Roman" w:cs="Calibri"/>
                <w:b/>
                <w:color w:val="000000"/>
                <w:sz w:val="20"/>
                <w:szCs w:val="20"/>
                <w:lang w:eastAsia="sr-Latn-ME"/>
              </w:rPr>
              <w:t>OPERATIVNI CILJ 1.2</w:t>
            </w:r>
          </w:p>
        </w:tc>
        <w:tc>
          <w:tcPr>
            <w:tcW w:w="13474" w:type="dxa"/>
            <w:gridSpan w:val="28"/>
            <w:tcBorders>
              <w:top w:val="single" w:sz="4" w:space="0" w:color="000000"/>
              <w:left w:val="single" w:sz="4" w:space="0" w:color="000000"/>
              <w:bottom w:val="single" w:sz="4" w:space="0" w:color="auto"/>
              <w:right w:val="single" w:sz="4" w:space="0" w:color="000000"/>
            </w:tcBorders>
            <w:shd w:val="clear" w:color="auto" w:fill="8EAADB" w:themeFill="accent1" w:themeFillTint="99"/>
            <w:tcMar>
              <w:top w:w="0" w:type="dxa"/>
              <w:left w:w="108" w:type="dxa"/>
              <w:bottom w:w="0" w:type="dxa"/>
              <w:right w:w="108" w:type="dxa"/>
            </w:tcMar>
            <w:vAlign w:val="center"/>
            <w:hideMark/>
          </w:tcPr>
          <w:p w14:paraId="58FE708C" w14:textId="77777777" w:rsidR="00FD6E82" w:rsidRPr="000152CB" w:rsidRDefault="00FD6E82" w:rsidP="00FD6E82">
            <w:pPr>
              <w:spacing w:after="0" w:line="240" w:lineRule="auto"/>
              <w:ind w:left="270"/>
              <w:jc w:val="center"/>
              <w:rPr>
                <w:rFonts w:eastAsia="Times New Roman" w:cs="Calibri"/>
                <w:b/>
                <w:sz w:val="20"/>
                <w:szCs w:val="20"/>
                <w:lang w:eastAsia="sr-Latn-ME"/>
              </w:rPr>
            </w:pPr>
            <w:r w:rsidRPr="000152CB">
              <w:rPr>
                <w:rFonts w:eastAsia="Times New Roman" w:cs="Calibri"/>
                <w:b/>
                <w:sz w:val="20"/>
                <w:szCs w:val="20"/>
                <w:lang w:eastAsia="sr-Latn-ME"/>
              </w:rPr>
              <w:t>UNAPRIJEDITI NIVO FINANSIJSKE ZAŠTITE GRAĐANA KOD PRUŽANJA ZDRAVSTVENIH USLUGA</w:t>
            </w:r>
          </w:p>
        </w:tc>
      </w:tr>
      <w:tr w:rsidR="00A6629D" w:rsidRPr="000152CB" w14:paraId="532ADF62" w14:textId="77777777" w:rsidTr="00E77388">
        <w:trPr>
          <w:trHeight w:val="610"/>
          <w:jc w:val="center"/>
        </w:trPr>
        <w:tc>
          <w:tcPr>
            <w:tcW w:w="2091" w:type="dxa"/>
            <w:tcBorders>
              <w:top w:val="single" w:sz="4" w:space="0" w:color="000000"/>
              <w:left w:val="single" w:sz="4" w:space="0" w:color="000000"/>
              <w:bottom w:val="single" w:sz="4" w:space="0" w:color="000000"/>
              <w:right w:val="single" w:sz="4" w:space="0" w:color="auto"/>
            </w:tcBorders>
            <w:shd w:val="clear" w:color="auto" w:fill="B4C6E7" w:themeFill="accent1" w:themeFillTint="66"/>
            <w:tcMar>
              <w:top w:w="0" w:type="dxa"/>
              <w:left w:w="108" w:type="dxa"/>
              <w:bottom w:w="0" w:type="dxa"/>
              <w:right w:w="108" w:type="dxa"/>
            </w:tcMar>
            <w:vAlign w:val="center"/>
            <w:hideMark/>
          </w:tcPr>
          <w:p w14:paraId="45904AFE" w14:textId="77777777" w:rsidR="00FD6E82" w:rsidRPr="000152CB" w:rsidRDefault="00FD6E82" w:rsidP="00FD6E82">
            <w:pPr>
              <w:spacing w:after="0" w:line="240" w:lineRule="auto"/>
              <w:ind w:left="270"/>
              <w:jc w:val="center"/>
              <w:rPr>
                <w:rFonts w:eastAsia="Times New Roman" w:cs="Calibri"/>
                <w:b/>
                <w:color w:val="000000"/>
                <w:sz w:val="20"/>
                <w:szCs w:val="20"/>
                <w:lang w:eastAsia="sr-Latn-ME"/>
              </w:rPr>
            </w:pPr>
            <w:r w:rsidRPr="000152CB">
              <w:rPr>
                <w:rFonts w:eastAsia="Times New Roman" w:cs="Calibri"/>
                <w:b/>
                <w:color w:val="000000"/>
                <w:sz w:val="20"/>
                <w:szCs w:val="20"/>
                <w:lang w:eastAsia="sr-Latn-ME"/>
              </w:rPr>
              <w:t xml:space="preserve">INDIKATOR UČINKA 2.1: </w:t>
            </w:r>
          </w:p>
          <w:p w14:paraId="4B99BCD4" w14:textId="77777777" w:rsidR="00FD6E82" w:rsidRPr="000152CB" w:rsidRDefault="00FD6E82" w:rsidP="00FD6E82">
            <w:pPr>
              <w:spacing w:after="0" w:line="240" w:lineRule="auto"/>
              <w:ind w:left="270"/>
              <w:jc w:val="center"/>
              <w:rPr>
                <w:rFonts w:eastAsia="Times New Roman" w:cs="Calibri"/>
                <w:b/>
                <w:sz w:val="20"/>
                <w:szCs w:val="20"/>
                <w:lang w:eastAsia="sr-Latn-ME"/>
              </w:rPr>
            </w:pPr>
            <w:r w:rsidRPr="000152CB">
              <w:rPr>
                <w:rFonts w:eastAsia="Times New Roman" w:cs="Calibri"/>
                <w:b/>
                <w:color w:val="000000"/>
                <w:sz w:val="20"/>
                <w:szCs w:val="20"/>
                <w:lang w:eastAsia="sr-Latn-ME"/>
              </w:rPr>
              <w:t>Udio bolnica koji ne generiše godišnji finansnijski deficit</w:t>
            </w:r>
          </w:p>
        </w:tc>
        <w:tc>
          <w:tcPr>
            <w:tcW w:w="3766" w:type="dxa"/>
            <w:gridSpan w:val="3"/>
            <w:tcBorders>
              <w:top w:val="single" w:sz="4" w:space="0" w:color="auto"/>
              <w:left w:val="single" w:sz="4" w:space="0" w:color="auto"/>
              <w:bottom w:val="single" w:sz="4" w:space="0" w:color="auto"/>
              <w:right w:val="single" w:sz="4" w:space="0" w:color="auto"/>
            </w:tcBorders>
            <w:shd w:val="clear" w:color="auto" w:fill="B4C6E7" w:themeFill="accent1" w:themeFillTint="66"/>
            <w:tcMar>
              <w:top w:w="0" w:type="dxa"/>
              <w:left w:w="108" w:type="dxa"/>
              <w:bottom w:w="0" w:type="dxa"/>
              <w:right w:w="108" w:type="dxa"/>
            </w:tcMar>
            <w:hideMark/>
          </w:tcPr>
          <w:p w14:paraId="63EDE096" w14:textId="77777777" w:rsidR="00FD6E82" w:rsidRPr="000152CB" w:rsidRDefault="00FD6E82" w:rsidP="00FD6E82">
            <w:pPr>
              <w:spacing w:after="0" w:line="240" w:lineRule="auto"/>
              <w:ind w:left="270"/>
              <w:contextualSpacing/>
              <w:jc w:val="center"/>
              <w:rPr>
                <w:rFonts w:eastAsia="Times New Roman" w:cs="Calibri"/>
                <w:b/>
                <w:sz w:val="20"/>
                <w:szCs w:val="20"/>
                <w:lang w:eastAsia="sr-Latn-ME"/>
              </w:rPr>
            </w:pPr>
            <w:r w:rsidRPr="000152CB">
              <w:rPr>
                <w:rFonts w:eastAsia="Times New Roman" w:cs="Calibri"/>
                <w:b/>
                <w:color w:val="000000"/>
                <w:sz w:val="20"/>
                <w:szCs w:val="20"/>
                <w:lang w:eastAsia="sr-Latn-ME"/>
              </w:rPr>
              <w:t>Početna vrijednost:</w:t>
            </w:r>
          </w:p>
          <w:p w14:paraId="37CDD6F3" w14:textId="77777777" w:rsidR="00FD6E82" w:rsidRPr="000152CB" w:rsidRDefault="00FD6E82" w:rsidP="00FD6E82">
            <w:pPr>
              <w:spacing w:after="0" w:line="240" w:lineRule="auto"/>
              <w:ind w:left="270"/>
              <w:rPr>
                <w:rFonts w:eastAsia="Times New Roman" w:cs="Calibri"/>
                <w:b/>
                <w:color w:val="000000"/>
                <w:sz w:val="20"/>
                <w:szCs w:val="20"/>
                <w:lang w:eastAsia="sr-Latn-ME"/>
              </w:rPr>
            </w:pPr>
            <w:r w:rsidRPr="000152CB">
              <w:rPr>
                <w:rFonts w:eastAsia="Times New Roman" w:cs="Calibri"/>
                <w:b/>
                <w:color w:val="000000"/>
                <w:sz w:val="20"/>
                <w:szCs w:val="20"/>
                <w:lang w:eastAsia="sr-Latn-ME"/>
              </w:rPr>
              <w:t xml:space="preserve"> </w:t>
            </w:r>
          </w:p>
          <w:p w14:paraId="6EBBF6CD" w14:textId="77777777" w:rsidR="00FD6E82" w:rsidRPr="000152CB" w:rsidRDefault="00FD6E82" w:rsidP="00FD6E82">
            <w:pPr>
              <w:spacing w:after="0" w:line="240" w:lineRule="auto"/>
              <w:ind w:left="270"/>
              <w:rPr>
                <w:rFonts w:eastAsia="Times New Roman" w:cs="Calibri"/>
                <w:bCs/>
                <w:color w:val="000000"/>
                <w:sz w:val="20"/>
                <w:szCs w:val="20"/>
                <w:lang w:eastAsia="sr-Latn-ME"/>
              </w:rPr>
            </w:pPr>
            <w:r w:rsidRPr="000152CB">
              <w:rPr>
                <w:rFonts w:eastAsia="Times New Roman" w:cs="Calibri"/>
                <w:bCs/>
                <w:color w:val="000000"/>
                <w:sz w:val="20"/>
                <w:szCs w:val="20"/>
                <w:lang w:eastAsia="sr-Latn-ME"/>
              </w:rPr>
              <w:t>Trenutno ne postoji precizan podatak o novou finansijskog deficita koji generiše bolnički sistem u Crnoj Gori</w:t>
            </w:r>
          </w:p>
        </w:tc>
        <w:tc>
          <w:tcPr>
            <w:tcW w:w="4067" w:type="dxa"/>
            <w:gridSpan w:val="7"/>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BF7FE19" w14:textId="77777777" w:rsidR="00FD6E82" w:rsidRPr="000152CB" w:rsidRDefault="00FD6E82" w:rsidP="00FD6E82">
            <w:pPr>
              <w:spacing w:after="0" w:line="240" w:lineRule="auto"/>
              <w:ind w:left="270"/>
              <w:contextualSpacing/>
              <w:jc w:val="center"/>
              <w:rPr>
                <w:rFonts w:eastAsia="Times New Roman" w:cs="Calibri"/>
                <w:b/>
                <w:sz w:val="20"/>
                <w:szCs w:val="20"/>
                <w:lang w:eastAsia="sr-Latn-ME"/>
              </w:rPr>
            </w:pPr>
            <w:r w:rsidRPr="000152CB">
              <w:rPr>
                <w:rFonts w:eastAsia="Times New Roman" w:cs="Calibri"/>
                <w:b/>
                <w:color w:val="000000"/>
                <w:sz w:val="20"/>
                <w:szCs w:val="20"/>
                <w:lang w:eastAsia="sr-Latn-ME"/>
              </w:rPr>
              <w:t>Prelazna vrijednost:</w:t>
            </w:r>
          </w:p>
          <w:p w14:paraId="33DBE704" w14:textId="77777777" w:rsidR="00FD6E82" w:rsidRPr="000152CB" w:rsidRDefault="00FD6E82" w:rsidP="00FD6E82">
            <w:pPr>
              <w:spacing w:after="0" w:line="240" w:lineRule="auto"/>
              <w:ind w:left="270"/>
              <w:rPr>
                <w:rFonts w:eastAsia="Times New Roman" w:cs="Calibri"/>
                <w:b/>
                <w:color w:val="000000"/>
                <w:sz w:val="20"/>
                <w:szCs w:val="20"/>
                <w:lang w:eastAsia="sr-Latn-ME"/>
              </w:rPr>
            </w:pPr>
          </w:p>
          <w:p w14:paraId="163A4771" w14:textId="77777777" w:rsidR="00FD6E82" w:rsidRPr="000152CB" w:rsidRDefault="00FD6E82" w:rsidP="00FD6E82">
            <w:pPr>
              <w:spacing w:after="0" w:line="240" w:lineRule="auto"/>
              <w:ind w:left="270"/>
              <w:rPr>
                <w:rFonts w:eastAsia="Times New Roman" w:cs="Calibri"/>
                <w:bCs/>
                <w:color w:val="000000"/>
                <w:sz w:val="20"/>
                <w:szCs w:val="20"/>
                <w:lang w:eastAsia="sr-Latn-ME"/>
              </w:rPr>
            </w:pPr>
            <w:r w:rsidRPr="000152CB">
              <w:rPr>
                <w:rFonts w:eastAsia="Times New Roman" w:cs="Calibri"/>
                <w:bCs/>
                <w:color w:val="000000"/>
                <w:sz w:val="20"/>
                <w:szCs w:val="20"/>
                <w:lang w:eastAsia="sr-Latn-ME"/>
              </w:rPr>
              <w:t>Izrada analize finansijske održivosti bolničkoga sistema Crne Gore</w:t>
            </w:r>
          </w:p>
        </w:tc>
        <w:tc>
          <w:tcPr>
            <w:tcW w:w="5641" w:type="dxa"/>
            <w:gridSpan w:val="18"/>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4D37C5D" w14:textId="77777777" w:rsidR="00FD6E82" w:rsidRPr="000152CB" w:rsidRDefault="00FD6E82" w:rsidP="00FD6E82">
            <w:pPr>
              <w:spacing w:after="0" w:line="240" w:lineRule="auto"/>
              <w:ind w:left="270"/>
              <w:jc w:val="center"/>
              <w:rPr>
                <w:rFonts w:eastAsia="Times New Roman" w:cs="Calibri"/>
                <w:b/>
                <w:sz w:val="20"/>
                <w:szCs w:val="20"/>
                <w:lang w:eastAsia="sr-Latn-ME"/>
              </w:rPr>
            </w:pPr>
            <w:r w:rsidRPr="000152CB">
              <w:rPr>
                <w:rFonts w:eastAsia="Times New Roman" w:cs="Calibri"/>
                <w:b/>
                <w:sz w:val="20"/>
                <w:szCs w:val="20"/>
                <w:lang w:eastAsia="sr-Latn-ME"/>
              </w:rPr>
              <w:t>Ciljna vrijednost:</w:t>
            </w:r>
          </w:p>
          <w:p w14:paraId="5056CC1C" w14:textId="77777777" w:rsidR="00FD6E82" w:rsidRPr="000152CB" w:rsidRDefault="00FD6E82" w:rsidP="00FD6E82">
            <w:pPr>
              <w:spacing w:after="0" w:line="240" w:lineRule="auto"/>
              <w:ind w:left="270"/>
              <w:rPr>
                <w:rFonts w:eastAsia="Times New Roman" w:cs="Calibri"/>
                <w:b/>
                <w:sz w:val="20"/>
                <w:szCs w:val="20"/>
                <w:lang w:eastAsia="sr-Latn-ME"/>
              </w:rPr>
            </w:pPr>
          </w:p>
          <w:p w14:paraId="2CE11D39" w14:textId="77777777" w:rsidR="00FD6E82" w:rsidRPr="000152CB" w:rsidRDefault="00FD6E82" w:rsidP="00FD6E82">
            <w:pPr>
              <w:spacing w:after="0" w:line="240" w:lineRule="auto"/>
              <w:ind w:left="270"/>
              <w:rPr>
                <w:rFonts w:eastAsia="Times New Roman" w:cs="Calibri"/>
                <w:bCs/>
                <w:sz w:val="20"/>
                <w:szCs w:val="20"/>
                <w:lang w:eastAsia="sr-Latn-ME"/>
              </w:rPr>
            </w:pPr>
            <w:r w:rsidRPr="000152CB">
              <w:rPr>
                <w:rFonts w:eastAsia="Times New Roman" w:cs="Calibri"/>
                <w:bCs/>
                <w:sz w:val="20"/>
                <w:szCs w:val="20"/>
                <w:lang w:eastAsia="sr-Latn-ME"/>
              </w:rPr>
              <w:t>Udio bolnica sa godišnjim rashodom na nivou planiranih sredstava uz odstupanja od + 10%</w:t>
            </w:r>
          </w:p>
        </w:tc>
      </w:tr>
      <w:tr w:rsidR="00A6629D" w:rsidRPr="000152CB" w14:paraId="5CF6B406" w14:textId="77777777" w:rsidTr="00E77388">
        <w:trPr>
          <w:trHeight w:val="585"/>
          <w:jc w:val="center"/>
        </w:trPr>
        <w:tc>
          <w:tcPr>
            <w:tcW w:w="2091" w:type="dxa"/>
            <w:tcBorders>
              <w:top w:val="single" w:sz="4" w:space="0" w:color="000000"/>
              <w:left w:val="single" w:sz="4" w:space="0" w:color="000000"/>
              <w:bottom w:val="single" w:sz="4" w:space="0" w:color="000000"/>
              <w:right w:val="single" w:sz="4" w:space="0" w:color="auto"/>
            </w:tcBorders>
            <w:shd w:val="clear" w:color="auto" w:fill="B4C6E7" w:themeFill="accent1" w:themeFillTint="66"/>
            <w:vAlign w:val="center"/>
            <w:hideMark/>
          </w:tcPr>
          <w:p w14:paraId="2EC89DFA" w14:textId="77777777" w:rsidR="00FD6E82" w:rsidRPr="000152CB" w:rsidRDefault="00FD6E82" w:rsidP="00FD6E82">
            <w:pPr>
              <w:spacing w:after="0" w:line="240" w:lineRule="auto"/>
              <w:ind w:left="270"/>
              <w:jc w:val="center"/>
              <w:rPr>
                <w:rFonts w:eastAsia="Times New Roman" w:cs="Calibri"/>
                <w:b/>
                <w:color w:val="000000"/>
                <w:sz w:val="20"/>
                <w:szCs w:val="20"/>
                <w:lang w:eastAsia="sr-Latn-ME"/>
              </w:rPr>
            </w:pPr>
            <w:r w:rsidRPr="000152CB">
              <w:rPr>
                <w:rFonts w:eastAsia="Times New Roman" w:cs="Calibri"/>
                <w:b/>
                <w:color w:val="000000"/>
                <w:sz w:val="20"/>
                <w:szCs w:val="20"/>
                <w:lang w:eastAsia="sr-Latn-ME"/>
              </w:rPr>
              <w:t>INDIKATOR UČINKA 2.2:</w:t>
            </w:r>
          </w:p>
          <w:p w14:paraId="61613E75" w14:textId="77777777" w:rsidR="00FD6E82" w:rsidRPr="000152CB" w:rsidRDefault="00FD6E82" w:rsidP="00FD6E82">
            <w:pPr>
              <w:spacing w:after="0" w:line="240" w:lineRule="auto"/>
              <w:ind w:left="270"/>
              <w:jc w:val="center"/>
              <w:rPr>
                <w:rFonts w:eastAsia="Times New Roman" w:cs="Calibri"/>
                <w:b/>
                <w:sz w:val="20"/>
                <w:szCs w:val="20"/>
                <w:lang w:eastAsia="sr-Latn-ME"/>
              </w:rPr>
            </w:pPr>
            <w:r w:rsidRPr="000152CB">
              <w:rPr>
                <w:rFonts w:eastAsia="Times New Roman" w:cs="Calibri"/>
                <w:b/>
                <w:color w:val="000000"/>
                <w:sz w:val="20"/>
                <w:szCs w:val="20"/>
                <w:lang w:eastAsia="sr-Latn-ME"/>
              </w:rPr>
              <w:t>Udio privatnih plaćanja iz džepa (out of pocket payment)</w:t>
            </w:r>
          </w:p>
        </w:tc>
        <w:tc>
          <w:tcPr>
            <w:tcW w:w="3766" w:type="dxa"/>
            <w:gridSpan w:val="3"/>
            <w:tcBorders>
              <w:top w:val="single" w:sz="4" w:space="0" w:color="auto"/>
              <w:left w:val="single" w:sz="4" w:space="0" w:color="auto"/>
              <w:bottom w:val="single" w:sz="4" w:space="0" w:color="auto"/>
              <w:right w:val="single" w:sz="4" w:space="0" w:color="auto"/>
            </w:tcBorders>
            <w:shd w:val="clear" w:color="auto" w:fill="B4C6E7" w:themeFill="accent1" w:themeFillTint="66"/>
            <w:tcMar>
              <w:top w:w="0" w:type="dxa"/>
              <w:left w:w="108" w:type="dxa"/>
              <w:bottom w:w="0" w:type="dxa"/>
              <w:right w:w="108" w:type="dxa"/>
            </w:tcMar>
            <w:hideMark/>
          </w:tcPr>
          <w:p w14:paraId="6AA60902" w14:textId="77777777" w:rsidR="00FD6E82" w:rsidRPr="000152CB" w:rsidRDefault="00FD6E82" w:rsidP="00FD6E82">
            <w:pPr>
              <w:spacing w:after="0" w:line="240" w:lineRule="auto"/>
              <w:ind w:left="270"/>
              <w:contextualSpacing/>
              <w:jc w:val="center"/>
              <w:rPr>
                <w:rFonts w:eastAsia="Times New Roman" w:cs="Calibri"/>
                <w:b/>
                <w:sz w:val="20"/>
                <w:szCs w:val="20"/>
                <w:lang w:eastAsia="sr-Latn-ME"/>
              </w:rPr>
            </w:pPr>
            <w:r w:rsidRPr="000152CB">
              <w:rPr>
                <w:rFonts w:eastAsia="Times New Roman" w:cs="Calibri"/>
                <w:b/>
                <w:color w:val="000000"/>
                <w:sz w:val="20"/>
                <w:szCs w:val="20"/>
                <w:lang w:eastAsia="sr-Latn-ME"/>
              </w:rPr>
              <w:t>Početna vrijednost:</w:t>
            </w:r>
          </w:p>
          <w:p w14:paraId="7EB49140" w14:textId="77777777" w:rsidR="00FD6E82" w:rsidRPr="000152CB" w:rsidRDefault="00FD6E82" w:rsidP="00FD6E82">
            <w:pPr>
              <w:spacing w:after="0" w:line="240" w:lineRule="auto"/>
              <w:ind w:left="270"/>
              <w:rPr>
                <w:rFonts w:eastAsia="Times New Roman" w:cs="Calibri"/>
                <w:b/>
                <w:sz w:val="20"/>
                <w:szCs w:val="20"/>
                <w:lang w:eastAsia="sr-Latn-ME"/>
              </w:rPr>
            </w:pPr>
          </w:p>
          <w:p w14:paraId="70354A4B" w14:textId="77777777" w:rsidR="00FD6E82" w:rsidRPr="000152CB" w:rsidRDefault="00FD6E82" w:rsidP="00FD6E82">
            <w:pPr>
              <w:spacing w:after="0" w:line="240" w:lineRule="auto"/>
              <w:ind w:left="270"/>
              <w:rPr>
                <w:rFonts w:eastAsia="Times New Roman" w:cs="Calibri"/>
                <w:bCs/>
                <w:sz w:val="20"/>
                <w:szCs w:val="20"/>
                <w:lang w:eastAsia="sr-Latn-ME"/>
              </w:rPr>
            </w:pPr>
            <w:r w:rsidRPr="000152CB">
              <w:rPr>
                <w:rFonts w:eastAsia="Times New Roman" w:cs="Calibri"/>
                <w:bCs/>
                <w:sz w:val="20"/>
                <w:szCs w:val="20"/>
                <w:lang w:eastAsia="sr-Latn-ME"/>
              </w:rPr>
              <w:t>40% OOPs (privatna plaćanja iz džepa)</w:t>
            </w:r>
          </w:p>
        </w:tc>
        <w:tc>
          <w:tcPr>
            <w:tcW w:w="4067" w:type="dxa"/>
            <w:gridSpan w:val="7"/>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7701DCD" w14:textId="77777777" w:rsidR="00FD6E82" w:rsidRPr="000152CB" w:rsidRDefault="00FD6E82" w:rsidP="00FD6E82">
            <w:pPr>
              <w:spacing w:after="0" w:line="240" w:lineRule="auto"/>
              <w:ind w:left="270"/>
              <w:contextualSpacing/>
              <w:jc w:val="center"/>
              <w:rPr>
                <w:rFonts w:eastAsia="Times New Roman" w:cs="Calibri"/>
                <w:b/>
                <w:sz w:val="20"/>
                <w:szCs w:val="20"/>
                <w:lang w:eastAsia="sr-Latn-ME"/>
              </w:rPr>
            </w:pPr>
            <w:r w:rsidRPr="000152CB">
              <w:rPr>
                <w:rFonts w:eastAsia="Times New Roman" w:cs="Calibri"/>
                <w:b/>
                <w:color w:val="000000"/>
                <w:sz w:val="20"/>
                <w:szCs w:val="20"/>
                <w:lang w:eastAsia="sr-Latn-ME"/>
              </w:rPr>
              <w:t>Prelazna vrijednost:</w:t>
            </w:r>
          </w:p>
          <w:p w14:paraId="3334135F" w14:textId="77777777" w:rsidR="00FD6E82" w:rsidRPr="000152CB" w:rsidRDefault="00FD6E82" w:rsidP="00FD6E82">
            <w:pPr>
              <w:spacing w:after="0" w:line="240" w:lineRule="auto"/>
              <w:ind w:left="270"/>
              <w:rPr>
                <w:rFonts w:eastAsia="Times New Roman" w:cs="Calibri"/>
                <w:b/>
                <w:sz w:val="20"/>
                <w:szCs w:val="20"/>
                <w:lang w:eastAsia="sr-Latn-ME"/>
              </w:rPr>
            </w:pPr>
          </w:p>
          <w:p w14:paraId="6FD7EB71" w14:textId="77777777" w:rsidR="00FD6E82" w:rsidRPr="000152CB" w:rsidRDefault="00FD6E82" w:rsidP="00FD6E82">
            <w:pPr>
              <w:spacing w:after="0" w:line="240" w:lineRule="auto"/>
              <w:ind w:left="270"/>
              <w:rPr>
                <w:rFonts w:eastAsia="Times New Roman" w:cs="Calibri"/>
                <w:b/>
                <w:sz w:val="20"/>
                <w:szCs w:val="20"/>
                <w:highlight w:val="magenta"/>
                <w:lang w:eastAsia="sr-Latn-ME"/>
              </w:rPr>
            </w:pPr>
            <w:r w:rsidRPr="000152CB">
              <w:rPr>
                <w:rFonts w:eastAsia="Times New Roman" w:cs="Calibri"/>
                <w:b/>
                <w:sz w:val="20"/>
                <w:szCs w:val="20"/>
                <w:lang w:eastAsia="sr-Latn-ME"/>
              </w:rPr>
              <w:t>Smanjen procenat privantih plaćanja iz džepa na 35%</w:t>
            </w:r>
          </w:p>
        </w:tc>
        <w:tc>
          <w:tcPr>
            <w:tcW w:w="5641" w:type="dxa"/>
            <w:gridSpan w:val="18"/>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9703647" w14:textId="77777777" w:rsidR="00FD6E82" w:rsidRPr="000152CB" w:rsidRDefault="00FD6E82" w:rsidP="00FD6E82">
            <w:pPr>
              <w:spacing w:after="0" w:line="240" w:lineRule="auto"/>
              <w:ind w:left="270"/>
              <w:jc w:val="center"/>
              <w:rPr>
                <w:rFonts w:eastAsia="Times New Roman" w:cs="Calibri"/>
                <w:b/>
                <w:sz w:val="20"/>
                <w:szCs w:val="20"/>
                <w:lang w:eastAsia="sr-Latn-ME"/>
              </w:rPr>
            </w:pPr>
            <w:r w:rsidRPr="000152CB">
              <w:rPr>
                <w:rFonts w:eastAsia="Times New Roman" w:cs="Calibri"/>
                <w:b/>
                <w:sz w:val="20"/>
                <w:szCs w:val="20"/>
                <w:lang w:eastAsia="sr-Latn-ME"/>
              </w:rPr>
              <w:t>Ciljna vrijednost:</w:t>
            </w:r>
          </w:p>
          <w:p w14:paraId="70DF0EBE" w14:textId="77777777" w:rsidR="00FD6E82" w:rsidRPr="000152CB" w:rsidRDefault="00FD6E82" w:rsidP="00FD6E82">
            <w:pPr>
              <w:spacing w:after="0" w:line="240" w:lineRule="auto"/>
              <w:ind w:left="270"/>
              <w:rPr>
                <w:rFonts w:eastAsia="Times New Roman" w:cs="Calibri"/>
                <w:b/>
                <w:sz w:val="20"/>
                <w:szCs w:val="20"/>
                <w:lang w:eastAsia="sr-Latn-ME"/>
              </w:rPr>
            </w:pPr>
          </w:p>
          <w:p w14:paraId="38457DC5" w14:textId="77777777" w:rsidR="00FD6E82" w:rsidRPr="000152CB" w:rsidRDefault="00FD6E82" w:rsidP="00FD6E82">
            <w:pPr>
              <w:spacing w:after="0" w:line="240" w:lineRule="auto"/>
              <w:ind w:left="270"/>
              <w:rPr>
                <w:rFonts w:eastAsia="Times New Roman" w:cs="Calibri"/>
                <w:bCs/>
                <w:sz w:val="20"/>
                <w:szCs w:val="20"/>
                <w:lang w:eastAsia="sr-Latn-ME"/>
              </w:rPr>
            </w:pPr>
            <w:r w:rsidRPr="000152CB">
              <w:rPr>
                <w:rFonts w:eastAsia="Times New Roman" w:cs="Calibri"/>
                <w:bCs/>
                <w:sz w:val="20"/>
                <w:szCs w:val="20"/>
                <w:lang w:eastAsia="sr-Latn-ME"/>
              </w:rPr>
              <w:t>Smanjen procenat privatnih plaćanja iz džepa na 33%</w:t>
            </w:r>
          </w:p>
        </w:tc>
      </w:tr>
      <w:tr w:rsidR="00BB44DA" w:rsidRPr="000152CB" w14:paraId="06DE751B" w14:textId="77777777" w:rsidTr="00E77388">
        <w:trPr>
          <w:trHeight w:val="515"/>
          <w:jc w:val="center"/>
        </w:trPr>
        <w:tc>
          <w:tcPr>
            <w:tcW w:w="2091" w:type="dxa"/>
            <w:vMerge w:val="restart"/>
            <w:tcBorders>
              <w:top w:val="single" w:sz="4" w:space="0" w:color="000000"/>
              <w:left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hideMark/>
          </w:tcPr>
          <w:p w14:paraId="7F6532A0" w14:textId="77777777" w:rsidR="00FD6E82" w:rsidRPr="000152CB" w:rsidRDefault="00FD6E82" w:rsidP="00FD6E82">
            <w:pPr>
              <w:spacing w:after="0" w:line="240" w:lineRule="auto"/>
              <w:ind w:left="270"/>
              <w:jc w:val="center"/>
              <w:rPr>
                <w:rFonts w:eastAsia="Times New Roman" w:cs="Calibri"/>
                <w:b/>
                <w:sz w:val="20"/>
                <w:szCs w:val="20"/>
                <w:lang w:eastAsia="sr-Latn-ME"/>
              </w:rPr>
            </w:pPr>
            <w:r w:rsidRPr="000152CB">
              <w:rPr>
                <w:rFonts w:eastAsia="Times New Roman" w:cs="Calibri"/>
                <w:b/>
                <w:color w:val="000000"/>
                <w:sz w:val="20"/>
                <w:szCs w:val="20"/>
                <w:lang w:eastAsia="sr-Latn-ME"/>
              </w:rPr>
              <w:t>Aktivnost koja utiče na realizaciju Operativnog cilja</w:t>
            </w:r>
          </w:p>
        </w:tc>
        <w:tc>
          <w:tcPr>
            <w:tcW w:w="1970" w:type="dxa"/>
            <w:gridSpan w:val="2"/>
            <w:vMerge w:val="restart"/>
            <w:tcBorders>
              <w:top w:val="single" w:sz="4" w:space="0" w:color="auto"/>
              <w:left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hideMark/>
          </w:tcPr>
          <w:p w14:paraId="68542C44" w14:textId="77777777" w:rsidR="00FD6E82" w:rsidRPr="000152CB" w:rsidRDefault="00FD6E82" w:rsidP="00FD6E82">
            <w:pPr>
              <w:spacing w:after="0" w:line="240" w:lineRule="auto"/>
              <w:ind w:left="270"/>
              <w:jc w:val="center"/>
              <w:rPr>
                <w:rFonts w:eastAsia="Times New Roman" w:cs="Calibri"/>
                <w:b/>
                <w:sz w:val="20"/>
                <w:szCs w:val="20"/>
                <w:lang w:eastAsia="sr-Latn-ME"/>
              </w:rPr>
            </w:pPr>
            <w:r w:rsidRPr="000152CB">
              <w:rPr>
                <w:rFonts w:eastAsia="Times New Roman" w:cs="Calibri"/>
                <w:b/>
                <w:color w:val="000000"/>
                <w:sz w:val="20"/>
                <w:szCs w:val="20"/>
                <w:lang w:eastAsia="sr-Latn-ME"/>
              </w:rPr>
              <w:t>Indikator rezultata</w:t>
            </w:r>
          </w:p>
        </w:tc>
        <w:tc>
          <w:tcPr>
            <w:tcW w:w="1796" w:type="dxa"/>
            <w:vMerge w:val="restart"/>
            <w:tcBorders>
              <w:top w:val="single" w:sz="4" w:space="0" w:color="auto"/>
              <w:left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hideMark/>
          </w:tcPr>
          <w:p w14:paraId="00332E8F" w14:textId="77777777" w:rsidR="00FD6E82" w:rsidRPr="000152CB" w:rsidRDefault="00FD6E82" w:rsidP="00FD6E82">
            <w:pPr>
              <w:spacing w:after="0" w:line="240" w:lineRule="auto"/>
              <w:ind w:left="270"/>
              <w:jc w:val="center"/>
              <w:rPr>
                <w:rFonts w:eastAsia="Times New Roman" w:cs="Calibri"/>
                <w:b/>
                <w:sz w:val="20"/>
                <w:szCs w:val="20"/>
                <w:lang w:eastAsia="sr-Latn-ME"/>
              </w:rPr>
            </w:pPr>
            <w:r w:rsidRPr="000152CB">
              <w:rPr>
                <w:rFonts w:eastAsia="Times New Roman" w:cs="Calibri"/>
                <w:b/>
                <w:color w:val="000000"/>
                <w:sz w:val="20"/>
                <w:szCs w:val="20"/>
                <w:lang w:eastAsia="sr-Latn-ME"/>
              </w:rPr>
              <w:t>Nadležna institucija</w:t>
            </w:r>
          </w:p>
        </w:tc>
        <w:tc>
          <w:tcPr>
            <w:tcW w:w="2508" w:type="dxa"/>
            <w:gridSpan w:val="5"/>
            <w:tcBorders>
              <w:top w:val="single" w:sz="4" w:space="0" w:color="auto"/>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hideMark/>
          </w:tcPr>
          <w:p w14:paraId="468DCF1C" w14:textId="77777777" w:rsidR="00FD6E82" w:rsidRPr="000152CB" w:rsidRDefault="00FD6E82" w:rsidP="0040792A">
            <w:pPr>
              <w:spacing w:after="0" w:line="240" w:lineRule="auto"/>
              <w:rPr>
                <w:rFonts w:eastAsia="Times New Roman" w:cs="Calibri"/>
                <w:b/>
                <w:sz w:val="20"/>
                <w:szCs w:val="20"/>
                <w:lang w:eastAsia="sr-Latn-ME"/>
              </w:rPr>
            </w:pPr>
            <w:r w:rsidRPr="000152CB">
              <w:rPr>
                <w:rFonts w:eastAsia="Times New Roman" w:cs="Calibri"/>
                <w:b/>
                <w:color w:val="000000"/>
                <w:sz w:val="20"/>
                <w:szCs w:val="20"/>
                <w:lang w:eastAsia="sr-Latn-ME"/>
              </w:rPr>
              <w:t>STATUS REALIZACIJE AKTIVNOSTI</w:t>
            </w:r>
          </w:p>
        </w:tc>
        <w:tc>
          <w:tcPr>
            <w:tcW w:w="1962" w:type="dxa"/>
            <w:gridSpan w:val="5"/>
            <w:vMerge w:val="restart"/>
            <w:tcBorders>
              <w:top w:val="single" w:sz="4" w:space="0" w:color="auto"/>
              <w:left w:val="single" w:sz="4" w:space="0" w:color="000000"/>
              <w:right w:val="single" w:sz="4" w:space="0" w:color="000000"/>
            </w:tcBorders>
            <w:shd w:val="clear" w:color="auto" w:fill="D9E2F3" w:themeFill="accent1" w:themeFillTint="33"/>
            <w:vAlign w:val="center"/>
          </w:tcPr>
          <w:p w14:paraId="494F30A0" w14:textId="77777777" w:rsidR="00FD6E82" w:rsidRPr="000152CB" w:rsidRDefault="00FD6E82" w:rsidP="00FD6E82">
            <w:pPr>
              <w:spacing w:after="0" w:line="240" w:lineRule="auto"/>
              <w:ind w:left="270"/>
              <w:jc w:val="center"/>
              <w:rPr>
                <w:rFonts w:eastAsia="Times New Roman" w:cs="Calibri"/>
                <w:b/>
                <w:sz w:val="20"/>
                <w:szCs w:val="20"/>
                <w:lang w:eastAsia="sr-Latn-ME"/>
              </w:rPr>
            </w:pPr>
            <w:r w:rsidRPr="000152CB">
              <w:rPr>
                <w:rFonts w:eastAsia="Times New Roman" w:cs="Calibri"/>
                <w:b/>
                <w:color w:val="000000"/>
                <w:sz w:val="20"/>
                <w:szCs w:val="20"/>
                <w:lang w:eastAsia="sr-Latn-ME"/>
              </w:rPr>
              <w:t>Planirani rok završetka</w:t>
            </w:r>
          </w:p>
        </w:tc>
        <w:tc>
          <w:tcPr>
            <w:tcW w:w="1368" w:type="dxa"/>
            <w:gridSpan w:val="4"/>
            <w:vMerge w:val="restart"/>
            <w:tcBorders>
              <w:top w:val="single" w:sz="4" w:space="0" w:color="auto"/>
              <w:left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hideMark/>
          </w:tcPr>
          <w:p w14:paraId="7E094EFA" w14:textId="77777777" w:rsidR="00FD6E82" w:rsidRPr="000152CB" w:rsidRDefault="00FD6E82" w:rsidP="00FD6E82">
            <w:pPr>
              <w:spacing w:after="0" w:line="240" w:lineRule="auto"/>
              <w:ind w:left="270"/>
              <w:jc w:val="center"/>
              <w:rPr>
                <w:rFonts w:eastAsia="Times New Roman" w:cs="Calibri"/>
                <w:b/>
                <w:sz w:val="20"/>
                <w:szCs w:val="20"/>
                <w:lang w:eastAsia="sr-Latn-ME"/>
              </w:rPr>
            </w:pPr>
            <w:r w:rsidRPr="000152CB">
              <w:rPr>
                <w:rFonts w:eastAsia="Times New Roman" w:cs="Calibri"/>
                <w:b/>
                <w:color w:val="000000"/>
                <w:sz w:val="20"/>
                <w:szCs w:val="20"/>
                <w:lang w:eastAsia="sr-Latn-ME"/>
              </w:rPr>
              <w:t>Planirana i utrošena sredstva</w:t>
            </w:r>
          </w:p>
        </w:tc>
        <w:tc>
          <w:tcPr>
            <w:tcW w:w="2336" w:type="dxa"/>
            <w:gridSpan w:val="6"/>
            <w:vMerge w:val="restart"/>
            <w:tcBorders>
              <w:top w:val="single" w:sz="4" w:space="0" w:color="auto"/>
              <w:left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hideMark/>
          </w:tcPr>
          <w:p w14:paraId="4627B964" w14:textId="77777777" w:rsidR="00FD6E82" w:rsidRPr="000152CB" w:rsidRDefault="00FD6E82" w:rsidP="00FD6E82">
            <w:pPr>
              <w:spacing w:after="0" w:line="240" w:lineRule="auto"/>
              <w:ind w:left="270"/>
              <w:jc w:val="center"/>
              <w:rPr>
                <w:rFonts w:eastAsia="Times New Roman" w:cs="Calibri"/>
                <w:b/>
                <w:sz w:val="20"/>
                <w:szCs w:val="20"/>
                <w:lang w:eastAsia="sr-Latn-ME"/>
              </w:rPr>
            </w:pPr>
            <w:r w:rsidRPr="000152CB">
              <w:rPr>
                <w:rFonts w:eastAsia="Times New Roman" w:cs="Calibri"/>
                <w:b/>
                <w:color w:val="000000"/>
                <w:sz w:val="20"/>
                <w:szCs w:val="20"/>
                <w:lang w:eastAsia="sr-Latn-ME"/>
              </w:rPr>
              <w:t>Izvor finansiranja</w:t>
            </w:r>
          </w:p>
        </w:tc>
        <w:tc>
          <w:tcPr>
            <w:tcW w:w="1534" w:type="dxa"/>
            <w:gridSpan w:val="5"/>
            <w:vMerge w:val="restart"/>
            <w:tcBorders>
              <w:top w:val="single" w:sz="4" w:space="0" w:color="auto"/>
              <w:left w:val="single" w:sz="4" w:space="0" w:color="000000"/>
              <w:right w:val="single" w:sz="4" w:space="0" w:color="000000"/>
            </w:tcBorders>
            <w:shd w:val="clear" w:color="auto" w:fill="D9E2F3" w:themeFill="accent1" w:themeFillTint="33"/>
            <w:vAlign w:val="center"/>
          </w:tcPr>
          <w:p w14:paraId="7D0012CE" w14:textId="77777777" w:rsidR="00FD6E82" w:rsidRPr="000152CB" w:rsidRDefault="00FD6E82" w:rsidP="00FD6E82">
            <w:pPr>
              <w:spacing w:after="0" w:line="240" w:lineRule="auto"/>
              <w:ind w:left="270"/>
              <w:jc w:val="center"/>
              <w:rPr>
                <w:rFonts w:eastAsia="Times New Roman" w:cs="Calibri"/>
                <w:b/>
                <w:sz w:val="20"/>
                <w:szCs w:val="20"/>
                <w:lang w:eastAsia="sr-Latn-ME"/>
              </w:rPr>
            </w:pPr>
            <w:r w:rsidRPr="000152CB">
              <w:rPr>
                <w:rFonts w:eastAsia="Times New Roman" w:cs="Calibri"/>
                <w:b/>
                <w:sz w:val="20"/>
                <w:szCs w:val="20"/>
                <w:lang w:eastAsia="sr-Latn-ME"/>
              </w:rPr>
              <w:t>Preporuke</w:t>
            </w:r>
          </w:p>
        </w:tc>
      </w:tr>
      <w:tr w:rsidR="00CA0422" w:rsidRPr="000152CB" w14:paraId="54266730" w14:textId="77777777" w:rsidTr="00E77388">
        <w:trPr>
          <w:trHeight w:val="376"/>
          <w:jc w:val="center"/>
        </w:trPr>
        <w:tc>
          <w:tcPr>
            <w:tcW w:w="2091" w:type="dxa"/>
            <w:vMerge/>
            <w:tcBorders>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1F3F417C" w14:textId="77777777" w:rsidR="00FD6E82" w:rsidRPr="000152CB" w:rsidRDefault="00FD6E82" w:rsidP="00FD6E82">
            <w:pPr>
              <w:spacing w:after="0" w:line="240" w:lineRule="auto"/>
              <w:ind w:left="270"/>
              <w:jc w:val="center"/>
              <w:rPr>
                <w:rFonts w:eastAsia="Times New Roman" w:cs="Calibri"/>
                <w:b/>
                <w:color w:val="000000"/>
                <w:sz w:val="20"/>
                <w:szCs w:val="20"/>
                <w:lang w:eastAsia="sr-Latn-ME"/>
              </w:rPr>
            </w:pPr>
          </w:p>
        </w:tc>
        <w:tc>
          <w:tcPr>
            <w:tcW w:w="1970" w:type="dxa"/>
            <w:gridSpan w:val="2"/>
            <w:vMerge/>
            <w:tcBorders>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58C0001F" w14:textId="77777777" w:rsidR="00FD6E82" w:rsidRPr="000152CB" w:rsidRDefault="00FD6E82" w:rsidP="00FD6E82">
            <w:pPr>
              <w:spacing w:after="0" w:line="240" w:lineRule="auto"/>
              <w:ind w:left="270"/>
              <w:jc w:val="center"/>
              <w:rPr>
                <w:rFonts w:eastAsia="Times New Roman" w:cs="Calibri"/>
                <w:b/>
                <w:color w:val="000000"/>
                <w:sz w:val="20"/>
                <w:szCs w:val="20"/>
                <w:lang w:eastAsia="sr-Latn-ME"/>
              </w:rPr>
            </w:pPr>
          </w:p>
        </w:tc>
        <w:tc>
          <w:tcPr>
            <w:tcW w:w="1796" w:type="dxa"/>
            <w:vMerge/>
            <w:tcBorders>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58D18971" w14:textId="77777777" w:rsidR="00FD6E82" w:rsidRPr="000152CB" w:rsidRDefault="00FD6E82" w:rsidP="00FD6E82">
            <w:pPr>
              <w:spacing w:after="0" w:line="240" w:lineRule="auto"/>
              <w:ind w:left="270"/>
              <w:jc w:val="center"/>
              <w:rPr>
                <w:rFonts w:eastAsia="Times New Roman" w:cs="Calibri"/>
                <w:b/>
                <w:color w:val="000000"/>
                <w:sz w:val="20"/>
                <w:szCs w:val="20"/>
                <w:lang w:eastAsia="sr-Latn-ME"/>
              </w:rPr>
            </w:pPr>
          </w:p>
        </w:tc>
        <w:tc>
          <w:tcPr>
            <w:tcW w:w="798" w:type="dxa"/>
            <w:tcBorders>
              <w:top w:val="single" w:sz="4" w:space="0" w:color="auto"/>
              <w:left w:val="single" w:sz="4" w:space="0" w:color="000000"/>
              <w:bottom w:val="single" w:sz="4" w:space="0" w:color="000000"/>
              <w:right w:val="single" w:sz="4" w:space="0" w:color="000000"/>
            </w:tcBorders>
            <w:shd w:val="clear" w:color="auto" w:fill="FF0000"/>
            <w:tcMar>
              <w:top w:w="0" w:type="dxa"/>
              <w:left w:w="108" w:type="dxa"/>
              <w:bottom w:w="0" w:type="dxa"/>
              <w:right w:w="108" w:type="dxa"/>
            </w:tcMar>
            <w:vAlign w:val="center"/>
          </w:tcPr>
          <w:p w14:paraId="79928844" w14:textId="77777777" w:rsidR="00FD6E82" w:rsidRPr="000152CB" w:rsidRDefault="00FD6E82" w:rsidP="00FD6E82">
            <w:pPr>
              <w:spacing w:after="0" w:line="240" w:lineRule="auto"/>
              <w:ind w:left="270"/>
              <w:jc w:val="center"/>
              <w:rPr>
                <w:rFonts w:eastAsia="Times New Roman" w:cs="Calibri"/>
                <w:b/>
                <w:color w:val="000000"/>
                <w:sz w:val="20"/>
                <w:szCs w:val="20"/>
                <w:lang w:eastAsia="sr-Latn-ME"/>
              </w:rPr>
            </w:pPr>
          </w:p>
        </w:tc>
        <w:tc>
          <w:tcPr>
            <w:tcW w:w="900" w:type="dxa"/>
            <w:gridSpan w:val="3"/>
            <w:tcBorders>
              <w:top w:val="single" w:sz="4" w:space="0" w:color="auto"/>
              <w:left w:val="single" w:sz="4" w:space="0" w:color="000000"/>
              <w:bottom w:val="single" w:sz="4" w:space="0" w:color="000000"/>
              <w:right w:val="single" w:sz="4" w:space="0" w:color="000000"/>
            </w:tcBorders>
            <w:shd w:val="clear" w:color="auto" w:fill="FFFF00"/>
            <w:vAlign w:val="center"/>
          </w:tcPr>
          <w:p w14:paraId="05829F34" w14:textId="77777777" w:rsidR="00FD6E82" w:rsidRPr="000152CB" w:rsidRDefault="00FD6E82" w:rsidP="00FD6E82">
            <w:pPr>
              <w:spacing w:after="0" w:line="240" w:lineRule="auto"/>
              <w:ind w:left="270"/>
              <w:jc w:val="center"/>
              <w:rPr>
                <w:rFonts w:eastAsia="Times New Roman" w:cs="Calibri"/>
                <w:b/>
                <w:color w:val="000000"/>
                <w:sz w:val="20"/>
                <w:szCs w:val="20"/>
                <w:lang w:eastAsia="sr-Latn-ME"/>
              </w:rPr>
            </w:pPr>
          </w:p>
        </w:tc>
        <w:tc>
          <w:tcPr>
            <w:tcW w:w="810" w:type="dxa"/>
            <w:tcBorders>
              <w:top w:val="single" w:sz="4" w:space="0" w:color="auto"/>
              <w:left w:val="single" w:sz="4" w:space="0" w:color="000000"/>
              <w:bottom w:val="single" w:sz="4" w:space="0" w:color="000000"/>
              <w:right w:val="single" w:sz="4" w:space="0" w:color="000000"/>
            </w:tcBorders>
            <w:shd w:val="clear" w:color="auto" w:fill="92D050"/>
            <w:vAlign w:val="center"/>
          </w:tcPr>
          <w:p w14:paraId="7F224329" w14:textId="77777777" w:rsidR="00FD6E82" w:rsidRPr="000152CB" w:rsidRDefault="00FD6E82" w:rsidP="00FD6E82">
            <w:pPr>
              <w:spacing w:after="0" w:line="240" w:lineRule="auto"/>
              <w:ind w:left="270"/>
              <w:jc w:val="center"/>
              <w:rPr>
                <w:rFonts w:eastAsia="Times New Roman" w:cs="Calibri"/>
                <w:b/>
                <w:color w:val="000000"/>
                <w:sz w:val="20"/>
                <w:szCs w:val="20"/>
                <w:lang w:eastAsia="sr-Latn-ME"/>
              </w:rPr>
            </w:pPr>
          </w:p>
        </w:tc>
        <w:tc>
          <w:tcPr>
            <w:tcW w:w="1962" w:type="dxa"/>
            <w:gridSpan w:val="5"/>
            <w:vMerge/>
            <w:tcBorders>
              <w:left w:val="single" w:sz="4" w:space="0" w:color="000000"/>
              <w:bottom w:val="single" w:sz="4" w:space="0" w:color="000000"/>
              <w:right w:val="single" w:sz="4" w:space="0" w:color="000000"/>
            </w:tcBorders>
            <w:shd w:val="clear" w:color="auto" w:fill="D9E2F3" w:themeFill="accent1" w:themeFillTint="33"/>
            <w:vAlign w:val="center"/>
          </w:tcPr>
          <w:p w14:paraId="607781B7" w14:textId="77777777" w:rsidR="00FD6E82" w:rsidRPr="000152CB" w:rsidRDefault="00FD6E82" w:rsidP="00FD6E82">
            <w:pPr>
              <w:spacing w:after="0" w:line="240" w:lineRule="auto"/>
              <w:ind w:left="270"/>
              <w:jc w:val="center"/>
              <w:rPr>
                <w:rFonts w:eastAsia="Times New Roman" w:cs="Calibri"/>
                <w:b/>
                <w:color w:val="000000"/>
                <w:sz w:val="20"/>
                <w:szCs w:val="20"/>
                <w:lang w:eastAsia="sr-Latn-ME"/>
              </w:rPr>
            </w:pPr>
          </w:p>
        </w:tc>
        <w:tc>
          <w:tcPr>
            <w:tcW w:w="1368" w:type="dxa"/>
            <w:gridSpan w:val="4"/>
            <w:vMerge/>
            <w:tcBorders>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63B83334" w14:textId="77777777" w:rsidR="00FD6E82" w:rsidRPr="000152CB" w:rsidRDefault="00FD6E82" w:rsidP="00FD6E82">
            <w:pPr>
              <w:spacing w:after="0" w:line="240" w:lineRule="auto"/>
              <w:ind w:left="270"/>
              <w:jc w:val="center"/>
              <w:rPr>
                <w:rFonts w:eastAsia="Times New Roman" w:cs="Calibri"/>
                <w:b/>
                <w:color w:val="000000"/>
                <w:sz w:val="20"/>
                <w:szCs w:val="20"/>
                <w:lang w:eastAsia="sr-Latn-ME"/>
              </w:rPr>
            </w:pPr>
          </w:p>
        </w:tc>
        <w:tc>
          <w:tcPr>
            <w:tcW w:w="2336" w:type="dxa"/>
            <w:gridSpan w:val="6"/>
            <w:vMerge/>
            <w:tcBorders>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2C91370C" w14:textId="77777777" w:rsidR="00FD6E82" w:rsidRPr="000152CB" w:rsidRDefault="00FD6E82" w:rsidP="00FD6E82">
            <w:pPr>
              <w:spacing w:after="0" w:line="240" w:lineRule="auto"/>
              <w:ind w:left="270"/>
              <w:jc w:val="center"/>
              <w:rPr>
                <w:rFonts w:eastAsia="Times New Roman" w:cs="Calibri"/>
                <w:b/>
                <w:color w:val="000000"/>
                <w:sz w:val="20"/>
                <w:szCs w:val="20"/>
                <w:lang w:eastAsia="sr-Latn-ME"/>
              </w:rPr>
            </w:pPr>
          </w:p>
        </w:tc>
        <w:tc>
          <w:tcPr>
            <w:tcW w:w="1534" w:type="dxa"/>
            <w:gridSpan w:val="5"/>
            <w:vMerge/>
            <w:tcBorders>
              <w:left w:val="single" w:sz="4" w:space="0" w:color="000000"/>
              <w:bottom w:val="single" w:sz="4" w:space="0" w:color="000000"/>
              <w:right w:val="single" w:sz="4" w:space="0" w:color="000000"/>
            </w:tcBorders>
            <w:shd w:val="clear" w:color="auto" w:fill="D9E2F3" w:themeFill="accent1" w:themeFillTint="33"/>
            <w:vAlign w:val="center"/>
          </w:tcPr>
          <w:p w14:paraId="59F98313" w14:textId="77777777" w:rsidR="00FD6E82" w:rsidRPr="000152CB" w:rsidRDefault="00FD6E82" w:rsidP="00FD6E82">
            <w:pPr>
              <w:spacing w:after="0" w:line="240" w:lineRule="auto"/>
              <w:ind w:left="270"/>
              <w:jc w:val="center"/>
              <w:rPr>
                <w:rFonts w:eastAsia="Times New Roman" w:cs="Calibri"/>
                <w:b/>
                <w:sz w:val="20"/>
                <w:szCs w:val="20"/>
                <w:lang w:eastAsia="sr-Latn-ME"/>
              </w:rPr>
            </w:pPr>
          </w:p>
        </w:tc>
      </w:tr>
      <w:tr w:rsidR="00BB44DA" w:rsidRPr="000152CB" w14:paraId="54B00D49" w14:textId="77777777" w:rsidTr="00E77388">
        <w:trPr>
          <w:trHeight w:val="585"/>
          <w:jc w:val="center"/>
        </w:trPr>
        <w:tc>
          <w:tcPr>
            <w:tcW w:w="2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517CDE" w14:textId="77777777" w:rsidR="00FD6E82" w:rsidRPr="000152CB" w:rsidRDefault="00FD6E82" w:rsidP="00FD6E82">
            <w:pPr>
              <w:spacing w:line="240" w:lineRule="auto"/>
              <w:textAlignment w:val="baseline"/>
              <w:rPr>
                <w:rFonts w:eastAsia="Times New Roman" w:cs="Calibri"/>
                <w:color w:val="000000"/>
                <w:sz w:val="20"/>
                <w:szCs w:val="20"/>
                <w:lang w:eastAsia="sr-Latn-ME"/>
              </w:rPr>
            </w:pPr>
            <w:r w:rsidRPr="000152CB">
              <w:rPr>
                <w:rFonts w:eastAsia="Times New Roman" w:cs="Calibri"/>
                <w:color w:val="000000"/>
                <w:sz w:val="20"/>
                <w:szCs w:val="20"/>
                <w:lang w:eastAsia="sr-Latn-ME"/>
              </w:rPr>
              <w:t xml:space="preserve">1.2.1.Izrada funkcionalne analize </w:t>
            </w:r>
            <w:r w:rsidRPr="000152CB">
              <w:rPr>
                <w:rFonts w:eastAsia="Times New Roman" w:cs="Calibri"/>
                <w:color w:val="000000"/>
                <w:sz w:val="20"/>
                <w:szCs w:val="20"/>
                <w:lang w:eastAsia="sr-Latn-ME"/>
              </w:rPr>
              <w:lastRenderedPageBreak/>
              <w:t>uloga, poslova i zadataka Fonda za zdravstveno osiguranje</w:t>
            </w:r>
            <w:r w:rsidRPr="000152CB">
              <w:rPr>
                <w:rFonts w:eastAsia="Times New Roman" w:cs="Calibri"/>
                <w:b/>
                <w:color w:val="000000"/>
                <w:sz w:val="20"/>
                <w:szCs w:val="20"/>
                <w:lang w:eastAsia="sr-Latn-ME"/>
              </w:rPr>
              <w:t xml:space="preserve"> </w:t>
            </w:r>
            <w:r w:rsidRPr="000152CB">
              <w:rPr>
                <w:rFonts w:eastAsia="Times New Roman" w:cs="Calibri"/>
                <w:color w:val="000000"/>
                <w:sz w:val="20"/>
                <w:szCs w:val="20"/>
                <w:lang w:eastAsia="sr-Latn-ME"/>
              </w:rPr>
              <w:t>u pogledu zdravstvene zaštite i ostvarivanju prava iz obaveznog zdravstvenog osiguranja osiguranim licima</w:t>
            </w:r>
          </w:p>
        </w:tc>
        <w:tc>
          <w:tcPr>
            <w:tcW w:w="19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304816"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lastRenderedPageBreak/>
              <w:t>Urađena analiza</w:t>
            </w:r>
          </w:p>
        </w:tc>
        <w:tc>
          <w:tcPr>
            <w:tcW w:w="1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4A3C00"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MZ, FZO</w:t>
            </w:r>
          </w:p>
        </w:tc>
        <w:tc>
          <w:tcPr>
            <w:tcW w:w="2508" w:type="dxa"/>
            <w:gridSpan w:val="5"/>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4EEC94D4" w14:textId="79A7E4EC" w:rsidR="00FD6E82" w:rsidRPr="000152CB" w:rsidRDefault="004D65E9"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 xml:space="preserve">Analiza će biti urađena u II Q 2026 godine. Od januara </w:t>
            </w:r>
            <w:r w:rsidRPr="000152CB">
              <w:rPr>
                <w:rFonts w:eastAsia="Times New Roman" w:cs="Calibri"/>
                <w:sz w:val="20"/>
                <w:szCs w:val="20"/>
                <w:lang w:eastAsia="sr-Latn-ME"/>
              </w:rPr>
              <w:lastRenderedPageBreak/>
              <w:t xml:space="preserve">ove godine u Crnoj Gori se realizuje projekat razvoja Zdravstvenih računa, u okviru koga je angažovana konsultantkinja SZO. Projekat SZO finansira Evropska komisija, sa ciljem da Crna Gora uspostavi sistemsko redovno godišnje izveštavanje podataka iz Zdravstvenih računa prema Eurostatu i SZO u skladu sa EU regulativom. u cilju uspostavljanja sistemskog izvještavanja, prepoznati su odredjeni nedostaci koje je neophodno korigovati u cilju uspostavljanja stabilnog sistema izvještavanja i finansiranja. do kraja juna mjeseca, projekat se završava i bice dostavljen izvještaj gdje ce biti navedena funkcionalna šema finansiranja sistema zdravstva kao i memorandum sa navedenim obavezama institucija u cilju boljeg izvještavanja.  </w:t>
            </w:r>
          </w:p>
        </w:tc>
        <w:tc>
          <w:tcPr>
            <w:tcW w:w="1962" w:type="dxa"/>
            <w:gridSpan w:val="5"/>
            <w:tcBorders>
              <w:top w:val="single" w:sz="4" w:space="0" w:color="000000"/>
              <w:left w:val="single" w:sz="4" w:space="0" w:color="000000"/>
              <w:bottom w:val="single" w:sz="4" w:space="0" w:color="000000"/>
              <w:right w:val="single" w:sz="4" w:space="0" w:color="000000"/>
            </w:tcBorders>
          </w:tcPr>
          <w:p w14:paraId="65167822"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lastRenderedPageBreak/>
              <w:t>III Q 2023-IQ 2024</w:t>
            </w:r>
          </w:p>
        </w:tc>
        <w:tc>
          <w:tcPr>
            <w:tcW w:w="136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0B9881"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Tekuća sredstva</w:t>
            </w:r>
          </w:p>
        </w:tc>
        <w:tc>
          <w:tcPr>
            <w:tcW w:w="2336"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E652C6"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Budžet</w:t>
            </w:r>
          </w:p>
        </w:tc>
        <w:tc>
          <w:tcPr>
            <w:tcW w:w="1534" w:type="dxa"/>
            <w:gridSpan w:val="5"/>
            <w:tcBorders>
              <w:top w:val="single" w:sz="4" w:space="0" w:color="000000"/>
              <w:left w:val="single" w:sz="4" w:space="0" w:color="000000"/>
              <w:bottom w:val="single" w:sz="4" w:space="0" w:color="000000"/>
              <w:right w:val="single" w:sz="4" w:space="0" w:color="000000"/>
            </w:tcBorders>
          </w:tcPr>
          <w:p w14:paraId="34023B77" w14:textId="3B4231B9" w:rsidR="00FD6E82" w:rsidRPr="000152CB" w:rsidRDefault="004E4485"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 xml:space="preserve">Novi rok za realizaciju </w:t>
            </w:r>
            <w:r w:rsidRPr="000152CB">
              <w:rPr>
                <w:rFonts w:eastAsia="Times New Roman" w:cs="Calibri"/>
                <w:sz w:val="20"/>
                <w:szCs w:val="20"/>
                <w:lang w:eastAsia="sr-Latn-ME"/>
              </w:rPr>
              <w:lastRenderedPageBreak/>
              <w:t>aktivnosti je II kvartal 2026. godine</w:t>
            </w:r>
          </w:p>
        </w:tc>
      </w:tr>
      <w:tr w:rsidR="00BB44DA" w:rsidRPr="000152CB" w14:paraId="008C52CD" w14:textId="77777777" w:rsidTr="00E77388">
        <w:trPr>
          <w:trHeight w:val="268"/>
          <w:jc w:val="center"/>
        </w:trPr>
        <w:tc>
          <w:tcPr>
            <w:tcW w:w="2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FA872F" w14:textId="77777777" w:rsidR="00FD6E82" w:rsidRPr="000152CB" w:rsidRDefault="00FD6E82" w:rsidP="00FD6E82">
            <w:pPr>
              <w:spacing w:line="240" w:lineRule="auto"/>
              <w:textAlignment w:val="baseline"/>
              <w:rPr>
                <w:rFonts w:eastAsia="Times New Roman" w:cs="Calibri"/>
                <w:color w:val="000000"/>
                <w:sz w:val="20"/>
                <w:szCs w:val="20"/>
                <w:lang w:eastAsia="sr-Latn-ME"/>
              </w:rPr>
            </w:pPr>
            <w:r w:rsidRPr="000152CB">
              <w:rPr>
                <w:rFonts w:eastAsia="Times New Roman" w:cs="Calibri"/>
                <w:color w:val="000000"/>
                <w:sz w:val="20"/>
                <w:szCs w:val="20"/>
                <w:lang w:eastAsia="sr-Latn-ME"/>
              </w:rPr>
              <w:lastRenderedPageBreak/>
              <w:t xml:space="preserve">1.2.2.Izrada modela plaćanja za PZZ i SZZ </w:t>
            </w:r>
          </w:p>
        </w:tc>
        <w:tc>
          <w:tcPr>
            <w:tcW w:w="19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20CB80"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Izrađen model</w:t>
            </w:r>
          </w:p>
        </w:tc>
        <w:tc>
          <w:tcPr>
            <w:tcW w:w="1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2BB488"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MZ, FZO, PZZ</w:t>
            </w:r>
          </w:p>
        </w:tc>
        <w:tc>
          <w:tcPr>
            <w:tcW w:w="2508" w:type="dxa"/>
            <w:gridSpan w:val="5"/>
            <w:tcBorders>
              <w:top w:val="single" w:sz="4" w:space="0" w:color="000000"/>
              <w:left w:val="single" w:sz="4" w:space="0" w:color="000000"/>
              <w:bottom w:val="single" w:sz="4" w:space="0" w:color="000000"/>
              <w:right w:val="single" w:sz="4" w:space="0" w:color="000000"/>
            </w:tcBorders>
            <w:shd w:val="clear" w:color="auto" w:fill="FF0000"/>
            <w:tcMar>
              <w:top w:w="0" w:type="dxa"/>
              <w:left w:w="108" w:type="dxa"/>
              <w:bottom w:w="0" w:type="dxa"/>
              <w:right w:w="108" w:type="dxa"/>
            </w:tcMar>
          </w:tcPr>
          <w:p w14:paraId="4EB9B23D" w14:textId="60404E3C" w:rsidR="00FD6E82" w:rsidRPr="000152CB" w:rsidRDefault="00763F46"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U ovom trenutku nije moguće sprovesti analizu. S obzirom da je plaćanje po učinku ukinuto (kapitacija)</w:t>
            </w:r>
            <w:r w:rsidR="007310A2" w:rsidRPr="000152CB">
              <w:rPr>
                <w:rFonts w:eastAsia="Times New Roman" w:cs="Calibri"/>
                <w:sz w:val="20"/>
                <w:szCs w:val="20"/>
                <w:lang w:eastAsia="sr-Latn-ME"/>
              </w:rPr>
              <w:t xml:space="preserve">, ne postoje potrebni uslovi </w:t>
            </w:r>
            <w:r w:rsidR="007310A2" w:rsidRPr="000152CB">
              <w:rPr>
                <w:rFonts w:eastAsia="Times New Roman" w:cs="Calibri"/>
                <w:sz w:val="20"/>
                <w:szCs w:val="20"/>
                <w:lang w:eastAsia="sr-Latn-ME"/>
              </w:rPr>
              <w:lastRenderedPageBreak/>
              <w:t xml:space="preserve">za </w:t>
            </w:r>
            <w:r w:rsidR="00346347" w:rsidRPr="000152CB">
              <w:rPr>
                <w:rFonts w:eastAsia="Times New Roman" w:cs="Calibri"/>
                <w:sz w:val="20"/>
                <w:szCs w:val="20"/>
                <w:lang w:eastAsia="sr-Latn-ME"/>
              </w:rPr>
              <w:t>izradu planiranog modela plaćanja</w:t>
            </w:r>
          </w:p>
        </w:tc>
        <w:tc>
          <w:tcPr>
            <w:tcW w:w="1962" w:type="dxa"/>
            <w:gridSpan w:val="5"/>
            <w:tcBorders>
              <w:top w:val="single" w:sz="4" w:space="0" w:color="000000"/>
              <w:left w:val="single" w:sz="4" w:space="0" w:color="000000"/>
              <w:bottom w:val="single" w:sz="4" w:space="0" w:color="000000"/>
              <w:right w:val="single" w:sz="4" w:space="0" w:color="000000"/>
            </w:tcBorders>
          </w:tcPr>
          <w:p w14:paraId="44F7B4D0"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lastRenderedPageBreak/>
              <w:t>IIIQ 2023-IIQ 2024</w:t>
            </w:r>
          </w:p>
        </w:tc>
        <w:tc>
          <w:tcPr>
            <w:tcW w:w="136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0638E"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Tekuća sredstva</w:t>
            </w:r>
          </w:p>
        </w:tc>
        <w:tc>
          <w:tcPr>
            <w:tcW w:w="2336"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58302D"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Budžet</w:t>
            </w:r>
          </w:p>
        </w:tc>
        <w:tc>
          <w:tcPr>
            <w:tcW w:w="1534" w:type="dxa"/>
            <w:gridSpan w:val="5"/>
            <w:tcBorders>
              <w:top w:val="single" w:sz="4" w:space="0" w:color="000000"/>
              <w:left w:val="single" w:sz="4" w:space="0" w:color="000000"/>
              <w:bottom w:val="single" w:sz="4" w:space="0" w:color="000000"/>
              <w:right w:val="single" w:sz="4" w:space="0" w:color="000000"/>
            </w:tcBorders>
          </w:tcPr>
          <w:p w14:paraId="563D1646" w14:textId="7D2DA57F" w:rsidR="00FD6E82" w:rsidRPr="000152CB" w:rsidRDefault="007310A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Novi rok za realizaciju aktivnosti je IV kvartal 2027. godine</w:t>
            </w:r>
          </w:p>
        </w:tc>
      </w:tr>
      <w:tr w:rsidR="00BB44DA" w:rsidRPr="000152CB" w14:paraId="328A43B1" w14:textId="77777777" w:rsidTr="00E77388">
        <w:trPr>
          <w:trHeight w:val="268"/>
          <w:jc w:val="center"/>
        </w:trPr>
        <w:tc>
          <w:tcPr>
            <w:tcW w:w="2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512E02" w14:textId="77777777" w:rsidR="00FD6E82" w:rsidRPr="000152CB" w:rsidRDefault="00FD6E82" w:rsidP="00FD6E82">
            <w:pPr>
              <w:spacing w:line="240" w:lineRule="auto"/>
              <w:textAlignment w:val="baseline"/>
              <w:rPr>
                <w:rFonts w:eastAsia="Times New Roman" w:cs="Calibri"/>
                <w:color w:val="000000"/>
                <w:sz w:val="20"/>
                <w:szCs w:val="20"/>
                <w:lang w:eastAsia="sr-Latn-ME"/>
              </w:rPr>
            </w:pPr>
            <w:r w:rsidRPr="000152CB">
              <w:rPr>
                <w:rFonts w:eastAsia="Times New Roman" w:cs="Calibri"/>
                <w:color w:val="000000"/>
                <w:sz w:val="20"/>
                <w:szCs w:val="20"/>
                <w:lang w:eastAsia="sr-Latn-ME"/>
              </w:rPr>
              <w:t xml:space="preserve">1.2.3.Izrada studije troškovne isplativosti postojećih modela nabavki sa preporukama za optimizaciju, na primarnom i sekundarnom nivou koji bi se odnosio za medicinski i nemedicinski potrošni materijal, osim modela nabavki ljekova i medicinskih sredstava </w:t>
            </w:r>
          </w:p>
        </w:tc>
        <w:tc>
          <w:tcPr>
            <w:tcW w:w="19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5ECAA9"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Pripremljeni ugovori za nabavku 85%  potrošnog materijala</w:t>
            </w:r>
          </w:p>
        </w:tc>
        <w:tc>
          <w:tcPr>
            <w:tcW w:w="1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9182C3"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MZ, MF, FZO, Montefarm</w:t>
            </w:r>
          </w:p>
        </w:tc>
        <w:tc>
          <w:tcPr>
            <w:tcW w:w="2508" w:type="dxa"/>
            <w:gridSpan w:val="5"/>
            <w:tcBorders>
              <w:top w:val="single" w:sz="4" w:space="0" w:color="000000"/>
              <w:left w:val="single" w:sz="4" w:space="0" w:color="000000"/>
              <w:bottom w:val="single" w:sz="4" w:space="0" w:color="000000"/>
              <w:right w:val="single" w:sz="4" w:space="0" w:color="000000"/>
            </w:tcBorders>
            <w:shd w:val="clear" w:color="auto" w:fill="FF0000"/>
            <w:tcMar>
              <w:top w:w="0" w:type="dxa"/>
              <w:left w:w="108" w:type="dxa"/>
              <w:bottom w:w="0" w:type="dxa"/>
              <w:right w:w="108" w:type="dxa"/>
            </w:tcMar>
          </w:tcPr>
          <w:p w14:paraId="73522800" w14:textId="0F17E05F" w:rsidR="00FD6E82" w:rsidRPr="000152CB" w:rsidRDefault="00346347"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Aktivnost nije sprovedena u roku koji je predviđen</w:t>
            </w:r>
          </w:p>
        </w:tc>
        <w:tc>
          <w:tcPr>
            <w:tcW w:w="1962" w:type="dxa"/>
            <w:gridSpan w:val="5"/>
            <w:tcBorders>
              <w:top w:val="single" w:sz="4" w:space="0" w:color="000000"/>
              <w:left w:val="single" w:sz="4" w:space="0" w:color="000000"/>
              <w:bottom w:val="single" w:sz="4" w:space="0" w:color="000000"/>
              <w:right w:val="single" w:sz="4" w:space="0" w:color="000000"/>
            </w:tcBorders>
          </w:tcPr>
          <w:p w14:paraId="31D57030"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IIIQ 2023-IVQ 2024</w:t>
            </w:r>
          </w:p>
        </w:tc>
        <w:tc>
          <w:tcPr>
            <w:tcW w:w="136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3DBE1F"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N/A</w:t>
            </w:r>
          </w:p>
        </w:tc>
        <w:tc>
          <w:tcPr>
            <w:tcW w:w="2336"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B39F8D"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Budžet, donacije i projekti</w:t>
            </w:r>
          </w:p>
        </w:tc>
        <w:tc>
          <w:tcPr>
            <w:tcW w:w="1534" w:type="dxa"/>
            <w:gridSpan w:val="5"/>
            <w:tcBorders>
              <w:top w:val="single" w:sz="4" w:space="0" w:color="000000"/>
              <w:left w:val="single" w:sz="4" w:space="0" w:color="000000"/>
              <w:bottom w:val="single" w:sz="4" w:space="0" w:color="000000"/>
              <w:right w:val="single" w:sz="4" w:space="0" w:color="000000"/>
            </w:tcBorders>
          </w:tcPr>
          <w:p w14:paraId="18FCBA78" w14:textId="77777777" w:rsidR="00FD6E82" w:rsidRPr="000152CB" w:rsidRDefault="00FD6E82" w:rsidP="00FD6E82">
            <w:pPr>
              <w:spacing w:after="0" w:line="240" w:lineRule="auto"/>
              <w:rPr>
                <w:rFonts w:eastAsia="Times New Roman" w:cs="Calibri"/>
                <w:sz w:val="20"/>
                <w:szCs w:val="20"/>
                <w:lang w:eastAsia="sr-Latn-ME"/>
              </w:rPr>
            </w:pPr>
          </w:p>
        </w:tc>
      </w:tr>
      <w:tr w:rsidR="00BB44DA" w:rsidRPr="000152CB" w14:paraId="7495BF1A" w14:textId="77777777" w:rsidTr="00E77388">
        <w:trPr>
          <w:trHeight w:val="585"/>
          <w:jc w:val="center"/>
        </w:trPr>
        <w:tc>
          <w:tcPr>
            <w:tcW w:w="2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53BCAE" w14:textId="1634F120" w:rsidR="00FD6E82" w:rsidRPr="000152CB" w:rsidRDefault="00FD6E82" w:rsidP="00FD6E82">
            <w:pPr>
              <w:spacing w:line="240" w:lineRule="auto"/>
              <w:textAlignment w:val="baseline"/>
              <w:rPr>
                <w:rFonts w:eastAsia="Times New Roman" w:cs="Calibri"/>
                <w:color w:val="000000"/>
                <w:sz w:val="20"/>
                <w:szCs w:val="20"/>
                <w:lang w:eastAsia="sr-Latn-ME"/>
              </w:rPr>
            </w:pPr>
            <w:r w:rsidRPr="000152CB">
              <w:rPr>
                <w:rFonts w:eastAsia="Times New Roman" w:cs="Calibri"/>
                <w:color w:val="000000"/>
                <w:sz w:val="20"/>
                <w:szCs w:val="20"/>
                <w:lang w:eastAsia="sr-Latn-ME"/>
              </w:rPr>
              <w:t>1.2.4.</w:t>
            </w:r>
            <w:r w:rsidR="00470FA7" w:rsidRPr="000152CB">
              <w:rPr>
                <w:rFonts w:eastAsia="Times New Roman" w:cs="Calibri"/>
                <w:color w:val="000000"/>
                <w:sz w:val="20"/>
                <w:szCs w:val="20"/>
                <w:lang w:eastAsia="sr-Latn-ME"/>
              </w:rPr>
              <w:t xml:space="preserve"> </w:t>
            </w:r>
            <w:r w:rsidRPr="000152CB">
              <w:rPr>
                <w:rFonts w:eastAsia="Times New Roman" w:cs="Calibri"/>
                <w:color w:val="000000"/>
                <w:sz w:val="20"/>
                <w:szCs w:val="20"/>
                <w:lang w:eastAsia="sr-Latn-ME"/>
              </w:rPr>
              <w:t>Izrada modela dopunskog zdravstvenog osiguranja</w:t>
            </w:r>
          </w:p>
        </w:tc>
        <w:tc>
          <w:tcPr>
            <w:tcW w:w="19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7A682F"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Izrađen model</w:t>
            </w:r>
          </w:p>
        </w:tc>
        <w:tc>
          <w:tcPr>
            <w:tcW w:w="1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FB880C"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MF, FZO, MZ</w:t>
            </w:r>
          </w:p>
        </w:tc>
        <w:tc>
          <w:tcPr>
            <w:tcW w:w="2508" w:type="dxa"/>
            <w:gridSpan w:val="5"/>
            <w:tcBorders>
              <w:top w:val="single" w:sz="4" w:space="0" w:color="000000"/>
              <w:left w:val="single" w:sz="4" w:space="0" w:color="000000"/>
              <w:bottom w:val="single" w:sz="4" w:space="0" w:color="000000"/>
              <w:right w:val="single" w:sz="4" w:space="0" w:color="000000"/>
            </w:tcBorders>
            <w:shd w:val="clear" w:color="auto" w:fill="FF0000"/>
            <w:tcMar>
              <w:top w:w="0" w:type="dxa"/>
              <w:left w:w="108" w:type="dxa"/>
              <w:bottom w:w="0" w:type="dxa"/>
              <w:right w:w="108" w:type="dxa"/>
            </w:tcMar>
          </w:tcPr>
          <w:p w14:paraId="469F1E4F" w14:textId="02254153" w:rsidR="00763F46" w:rsidRPr="000152CB" w:rsidRDefault="00763F46" w:rsidP="00763F46">
            <w:pPr>
              <w:rPr>
                <w:rFonts w:eastAsia="Times New Roman" w:cs="Calibri"/>
                <w:sz w:val="20"/>
                <w:szCs w:val="20"/>
                <w:lang w:eastAsia="sr-Latn-ME"/>
              </w:rPr>
            </w:pPr>
            <w:r w:rsidRPr="000152CB">
              <w:rPr>
                <w:rFonts w:eastAsia="Times New Roman" w:cs="Calibri"/>
                <w:sz w:val="20"/>
                <w:szCs w:val="20"/>
                <w:lang w:eastAsia="sr-Latn-ME"/>
              </w:rPr>
              <w:t xml:space="preserve">Aktivnost će biti realizovana u narednom dokumentu </w:t>
            </w:r>
            <w:r w:rsidR="009E462F" w:rsidRPr="000152CB">
              <w:rPr>
                <w:rFonts w:eastAsia="Times New Roman" w:cs="Calibri"/>
                <w:sz w:val="20"/>
                <w:szCs w:val="20"/>
                <w:lang w:eastAsia="sr-Latn-ME"/>
              </w:rPr>
              <w:t>Nisu stvoreni potrebni zakonski osnovi za izradu  modela dopunskog zdravstvenog osiguranja</w:t>
            </w:r>
          </w:p>
        </w:tc>
        <w:tc>
          <w:tcPr>
            <w:tcW w:w="1962" w:type="dxa"/>
            <w:gridSpan w:val="5"/>
            <w:tcBorders>
              <w:top w:val="single" w:sz="4" w:space="0" w:color="000000"/>
              <w:left w:val="single" w:sz="4" w:space="0" w:color="000000"/>
              <w:bottom w:val="single" w:sz="4" w:space="0" w:color="000000"/>
              <w:right w:val="single" w:sz="4" w:space="0" w:color="000000"/>
            </w:tcBorders>
          </w:tcPr>
          <w:p w14:paraId="615A9064"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IQ 2024-IVQ 2024</w:t>
            </w:r>
          </w:p>
        </w:tc>
        <w:tc>
          <w:tcPr>
            <w:tcW w:w="136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624868"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N/A</w:t>
            </w:r>
          </w:p>
        </w:tc>
        <w:tc>
          <w:tcPr>
            <w:tcW w:w="2336"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80B631"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Budžet, donacije i projekti</w:t>
            </w:r>
          </w:p>
        </w:tc>
        <w:tc>
          <w:tcPr>
            <w:tcW w:w="1534" w:type="dxa"/>
            <w:gridSpan w:val="5"/>
            <w:tcBorders>
              <w:top w:val="single" w:sz="4" w:space="0" w:color="000000"/>
              <w:left w:val="single" w:sz="4" w:space="0" w:color="000000"/>
              <w:bottom w:val="single" w:sz="4" w:space="0" w:color="000000"/>
              <w:right w:val="single" w:sz="4" w:space="0" w:color="000000"/>
            </w:tcBorders>
          </w:tcPr>
          <w:p w14:paraId="7FDA4BAA" w14:textId="307852EA" w:rsidR="00FD6E82" w:rsidRPr="000152CB" w:rsidRDefault="009E462F"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Novi rok za realizaciju aktivnosti je IV kvartal 2026. godine</w:t>
            </w:r>
          </w:p>
        </w:tc>
      </w:tr>
      <w:tr w:rsidR="00BB44DA" w:rsidRPr="000152CB" w14:paraId="51F1C67F" w14:textId="77777777" w:rsidTr="00E77388">
        <w:trPr>
          <w:trHeight w:val="585"/>
          <w:jc w:val="center"/>
        </w:trPr>
        <w:tc>
          <w:tcPr>
            <w:tcW w:w="2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D13C83" w14:textId="73894BFA" w:rsidR="00FD6E82" w:rsidRPr="000152CB" w:rsidRDefault="00FD6E82" w:rsidP="00FD6E82">
            <w:pPr>
              <w:spacing w:line="240" w:lineRule="auto"/>
              <w:textAlignment w:val="baseline"/>
              <w:rPr>
                <w:rFonts w:eastAsia="Times New Roman" w:cs="Calibri"/>
                <w:color w:val="000000"/>
                <w:sz w:val="20"/>
                <w:szCs w:val="20"/>
                <w:lang w:eastAsia="sr-Latn-ME"/>
              </w:rPr>
            </w:pPr>
            <w:r w:rsidRPr="000152CB">
              <w:rPr>
                <w:rFonts w:eastAsia="Times New Roman" w:cs="Calibri"/>
                <w:color w:val="000000"/>
                <w:sz w:val="20"/>
                <w:szCs w:val="20"/>
                <w:lang w:eastAsia="sr-Latn-ME"/>
              </w:rPr>
              <w:t>1.2.5.</w:t>
            </w:r>
            <w:r w:rsidR="00470FA7" w:rsidRPr="000152CB">
              <w:rPr>
                <w:rFonts w:eastAsia="Times New Roman" w:cs="Calibri"/>
                <w:color w:val="000000"/>
                <w:sz w:val="20"/>
                <w:szCs w:val="20"/>
                <w:lang w:eastAsia="sr-Latn-ME"/>
              </w:rPr>
              <w:t xml:space="preserve"> </w:t>
            </w:r>
            <w:r w:rsidRPr="000152CB">
              <w:rPr>
                <w:rFonts w:eastAsia="Times New Roman" w:cs="Calibri"/>
                <w:color w:val="000000"/>
                <w:sz w:val="20"/>
                <w:szCs w:val="20"/>
                <w:lang w:eastAsia="sr-Latn-ME"/>
              </w:rPr>
              <w:t>Izrada preporuka za smanjenje nivoa privatnih plaćanja iz džepa</w:t>
            </w:r>
          </w:p>
        </w:tc>
        <w:tc>
          <w:tcPr>
            <w:tcW w:w="19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0B2F02"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Izrađene preporuke</w:t>
            </w:r>
          </w:p>
        </w:tc>
        <w:tc>
          <w:tcPr>
            <w:tcW w:w="1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1702CC"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MZ, FZO</w:t>
            </w:r>
          </w:p>
        </w:tc>
        <w:tc>
          <w:tcPr>
            <w:tcW w:w="2508" w:type="dxa"/>
            <w:gridSpan w:val="5"/>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46D2FFE2" w14:textId="08718A91" w:rsidR="00FD6E82" w:rsidRPr="000152CB" w:rsidRDefault="00664AAF"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Izrađen je izvještaj koji sadrži preporuke za smanjenje nivoa privatnih plaćanja iz džepa</w:t>
            </w:r>
          </w:p>
        </w:tc>
        <w:tc>
          <w:tcPr>
            <w:tcW w:w="1962" w:type="dxa"/>
            <w:gridSpan w:val="5"/>
            <w:tcBorders>
              <w:top w:val="single" w:sz="4" w:space="0" w:color="000000"/>
              <w:left w:val="single" w:sz="4" w:space="0" w:color="000000"/>
              <w:bottom w:val="single" w:sz="4" w:space="0" w:color="000000"/>
              <w:right w:val="single" w:sz="4" w:space="0" w:color="000000"/>
            </w:tcBorders>
          </w:tcPr>
          <w:p w14:paraId="27AF6EA6"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IIIQ 2023-IIQ 2024</w:t>
            </w:r>
          </w:p>
        </w:tc>
        <w:tc>
          <w:tcPr>
            <w:tcW w:w="136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349F37"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N/A</w:t>
            </w:r>
          </w:p>
        </w:tc>
        <w:tc>
          <w:tcPr>
            <w:tcW w:w="2336"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CAA57"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Budžet, donacije i projekti</w:t>
            </w:r>
          </w:p>
        </w:tc>
        <w:tc>
          <w:tcPr>
            <w:tcW w:w="1534" w:type="dxa"/>
            <w:gridSpan w:val="5"/>
            <w:tcBorders>
              <w:top w:val="single" w:sz="4" w:space="0" w:color="000000"/>
              <w:left w:val="single" w:sz="4" w:space="0" w:color="000000"/>
              <w:bottom w:val="single" w:sz="4" w:space="0" w:color="000000"/>
              <w:right w:val="single" w:sz="4" w:space="0" w:color="000000"/>
            </w:tcBorders>
          </w:tcPr>
          <w:p w14:paraId="3FAFAFA3" w14:textId="77777777" w:rsidR="00FD6E82" w:rsidRPr="000152CB" w:rsidRDefault="00FD6E82" w:rsidP="00FD6E82">
            <w:pPr>
              <w:spacing w:after="0" w:line="240" w:lineRule="auto"/>
              <w:rPr>
                <w:rFonts w:eastAsia="Times New Roman" w:cs="Calibri"/>
                <w:sz w:val="20"/>
                <w:szCs w:val="20"/>
                <w:lang w:eastAsia="sr-Latn-ME"/>
              </w:rPr>
            </w:pPr>
          </w:p>
        </w:tc>
      </w:tr>
      <w:tr w:rsidR="00BB44DA" w:rsidRPr="000152CB" w14:paraId="42B0A594" w14:textId="77777777" w:rsidTr="00E77388">
        <w:trPr>
          <w:trHeight w:val="585"/>
          <w:jc w:val="center"/>
        </w:trPr>
        <w:tc>
          <w:tcPr>
            <w:tcW w:w="2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58DE83" w14:textId="75349C2B" w:rsidR="00FD6E82" w:rsidRPr="000152CB" w:rsidRDefault="00FD6E82" w:rsidP="00FD6E82">
            <w:pPr>
              <w:spacing w:line="240" w:lineRule="auto"/>
              <w:textAlignment w:val="baseline"/>
              <w:rPr>
                <w:rFonts w:eastAsia="Times New Roman" w:cs="Calibri"/>
                <w:color w:val="000000"/>
                <w:sz w:val="20"/>
                <w:szCs w:val="20"/>
                <w:lang w:eastAsia="sr-Latn-ME"/>
              </w:rPr>
            </w:pPr>
            <w:r w:rsidRPr="000152CB">
              <w:rPr>
                <w:rFonts w:eastAsia="Times New Roman" w:cs="Calibri"/>
                <w:color w:val="000000"/>
                <w:sz w:val="20"/>
                <w:szCs w:val="20"/>
                <w:lang w:eastAsia="sr-Latn-ME"/>
              </w:rPr>
              <w:t>1.2.6</w:t>
            </w:r>
            <w:r w:rsidR="00470FA7" w:rsidRPr="000152CB">
              <w:rPr>
                <w:rFonts w:eastAsia="Times New Roman" w:cs="Calibri"/>
                <w:color w:val="000000"/>
                <w:sz w:val="20"/>
                <w:szCs w:val="20"/>
                <w:lang w:eastAsia="sr-Latn-ME"/>
              </w:rPr>
              <w:t xml:space="preserve"> </w:t>
            </w:r>
            <w:r w:rsidRPr="000152CB">
              <w:rPr>
                <w:rFonts w:eastAsia="Times New Roman" w:cs="Calibri"/>
                <w:color w:val="000000"/>
                <w:sz w:val="20"/>
                <w:szCs w:val="20"/>
                <w:lang w:eastAsia="sr-Latn-ME"/>
              </w:rPr>
              <w:t>.Izrada strateškog okvira za održivo finansiranje zdravstva</w:t>
            </w:r>
          </w:p>
        </w:tc>
        <w:tc>
          <w:tcPr>
            <w:tcW w:w="19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5D2267"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Usvojen strateški okvir za održivo finansiranje zdravstva</w:t>
            </w:r>
          </w:p>
        </w:tc>
        <w:tc>
          <w:tcPr>
            <w:tcW w:w="1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FDA8F3"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MZ,MF,FZO</w:t>
            </w:r>
          </w:p>
        </w:tc>
        <w:tc>
          <w:tcPr>
            <w:tcW w:w="2508" w:type="dxa"/>
            <w:gridSpan w:val="5"/>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2C4762D2" w14:textId="6FEE3C88" w:rsidR="00FD6E82" w:rsidRPr="000152CB" w:rsidRDefault="007418F1"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Tokom edukacije o Zdravstvenim računima predstavnika Crne Gore,  kursu o finansi</w:t>
            </w:r>
            <w:r w:rsidR="00CF2CE3" w:rsidRPr="000152CB">
              <w:rPr>
                <w:rFonts w:eastAsia="Times New Roman" w:cs="Calibri"/>
                <w:sz w:val="20"/>
                <w:szCs w:val="20"/>
                <w:lang w:eastAsia="sr-Latn-ME"/>
              </w:rPr>
              <w:t>r</w:t>
            </w:r>
            <w:r w:rsidRPr="000152CB">
              <w:rPr>
                <w:rFonts w:eastAsia="Times New Roman" w:cs="Calibri"/>
                <w:sz w:val="20"/>
                <w:szCs w:val="20"/>
                <w:lang w:eastAsia="sr-Latn-ME"/>
              </w:rPr>
              <w:t xml:space="preserve">anju u zdravstvu za univerzalnu zdravstvenu zaštitu koji se posebno organizovao  za zemlje Zapadnog Balkana u </w:t>
            </w:r>
            <w:r w:rsidRPr="000152CB">
              <w:rPr>
                <w:rFonts w:eastAsia="Times New Roman" w:cs="Calibri"/>
                <w:sz w:val="20"/>
                <w:szCs w:val="20"/>
                <w:lang w:eastAsia="sr-Latn-ME"/>
              </w:rPr>
              <w:lastRenderedPageBreak/>
              <w:t>periodu od 07-11.aprila ove godine u Barseloni,  uz podršku Kancelarije SZO u Barseloni, a u okviru projekta koji finansira DG NEAR za jačanje otpornosti zdravstvenih sistema na Zapadnom Balkanu, kome su prisustvovali  predstavnik Fonda za zdravstveno osiguranje, Ministarstva zdravlja, Ministarstva finansija,  dva skupštinska  poslanika (predstavnik Odbora za zdravstvo i predstavnik Odbora za borbu protiv korupcije), MONSTAT-a, i Instituta za javno zdravlje,  prikazana je prezentacija zemlje, rezultat obrade postojećeg stanja  gdje je model Plaćanja po uslugama, a ne po budžetskim linijama kao do sada  prepoznat kao jedini izlaz sa stabilno finansiranje zdravstvenog sistema, uzimajući u obzir postojeći sistem finansiranja i prepoznato od stane relevantnih internacionalnih organizacija  visoki iznos bu</w:t>
            </w:r>
            <w:r w:rsidR="00CF2CE3" w:rsidRPr="000152CB">
              <w:rPr>
                <w:rFonts w:eastAsia="Times New Roman" w:cs="Calibri"/>
                <w:sz w:val="20"/>
                <w:szCs w:val="20"/>
                <w:lang w:eastAsia="sr-Latn-ME"/>
              </w:rPr>
              <w:t>d</w:t>
            </w:r>
            <w:r w:rsidRPr="000152CB">
              <w:rPr>
                <w:rFonts w:eastAsia="Times New Roman" w:cs="Calibri"/>
                <w:sz w:val="20"/>
                <w:szCs w:val="20"/>
                <w:lang w:eastAsia="sr-Latn-ME"/>
              </w:rPr>
              <w:t xml:space="preserve">žeta koji Vlada Crne Gore izdvaja za zdravstvo kao  i novi način finansiranja zdravstvenog </w:t>
            </w:r>
            <w:r w:rsidRPr="000152CB">
              <w:rPr>
                <w:rFonts w:eastAsia="Times New Roman" w:cs="Calibri"/>
                <w:sz w:val="20"/>
                <w:szCs w:val="20"/>
                <w:lang w:eastAsia="sr-Latn-ME"/>
              </w:rPr>
              <w:lastRenderedPageBreak/>
              <w:t>sistema. Tako</w:t>
            </w:r>
            <w:r w:rsidR="00CF2CE3" w:rsidRPr="000152CB">
              <w:rPr>
                <w:rFonts w:eastAsia="Times New Roman" w:cs="Calibri"/>
                <w:sz w:val="20"/>
                <w:szCs w:val="20"/>
                <w:lang w:eastAsia="sr-Latn-ME"/>
              </w:rPr>
              <w:t>đ</w:t>
            </w:r>
            <w:r w:rsidRPr="000152CB">
              <w:rPr>
                <w:rFonts w:eastAsia="Times New Roman" w:cs="Calibri"/>
                <w:sz w:val="20"/>
                <w:szCs w:val="20"/>
                <w:lang w:eastAsia="sr-Latn-ME"/>
              </w:rPr>
              <w:t>e su definisane   preporuke o izm</w:t>
            </w:r>
            <w:r w:rsidR="00CF2CE3" w:rsidRPr="000152CB">
              <w:rPr>
                <w:rFonts w:eastAsia="Times New Roman" w:cs="Calibri"/>
                <w:sz w:val="20"/>
                <w:szCs w:val="20"/>
                <w:lang w:eastAsia="sr-Latn-ME"/>
              </w:rPr>
              <w:t>je</w:t>
            </w:r>
            <w:r w:rsidRPr="000152CB">
              <w:rPr>
                <w:rFonts w:eastAsia="Times New Roman" w:cs="Calibri"/>
                <w:sz w:val="20"/>
                <w:szCs w:val="20"/>
                <w:lang w:eastAsia="sr-Latn-ME"/>
              </w:rPr>
              <w:t xml:space="preserve">ni postojeće zakonske regulative  i donošenje nove u vezi cijena i vrste usluga.  </w:t>
            </w:r>
          </w:p>
        </w:tc>
        <w:tc>
          <w:tcPr>
            <w:tcW w:w="1962" w:type="dxa"/>
            <w:gridSpan w:val="5"/>
            <w:tcBorders>
              <w:top w:val="single" w:sz="4" w:space="0" w:color="000000"/>
              <w:left w:val="single" w:sz="4" w:space="0" w:color="000000"/>
              <w:bottom w:val="single" w:sz="4" w:space="0" w:color="000000"/>
              <w:right w:val="single" w:sz="4" w:space="0" w:color="000000"/>
            </w:tcBorders>
          </w:tcPr>
          <w:p w14:paraId="49A6E562"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lastRenderedPageBreak/>
              <w:t>IIIQ 2023-IIQ 2024</w:t>
            </w:r>
          </w:p>
        </w:tc>
        <w:tc>
          <w:tcPr>
            <w:tcW w:w="136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BACB4D"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N/A</w:t>
            </w:r>
          </w:p>
        </w:tc>
        <w:tc>
          <w:tcPr>
            <w:tcW w:w="2336"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16159F"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Budžet, donacije i projekti</w:t>
            </w:r>
          </w:p>
        </w:tc>
        <w:tc>
          <w:tcPr>
            <w:tcW w:w="1534" w:type="dxa"/>
            <w:gridSpan w:val="5"/>
            <w:tcBorders>
              <w:top w:val="single" w:sz="4" w:space="0" w:color="000000"/>
              <w:left w:val="single" w:sz="4" w:space="0" w:color="000000"/>
              <w:bottom w:val="single" w:sz="4" w:space="0" w:color="000000"/>
              <w:right w:val="single" w:sz="4" w:space="0" w:color="000000"/>
            </w:tcBorders>
          </w:tcPr>
          <w:p w14:paraId="31486DFF" w14:textId="77777777" w:rsidR="00FD6E82" w:rsidRPr="000152CB" w:rsidRDefault="00FD6E82" w:rsidP="00FD6E82">
            <w:pPr>
              <w:spacing w:after="0" w:line="240" w:lineRule="auto"/>
              <w:rPr>
                <w:rFonts w:eastAsia="Times New Roman" w:cs="Calibri"/>
                <w:sz w:val="20"/>
                <w:szCs w:val="20"/>
                <w:lang w:eastAsia="sr-Latn-ME"/>
              </w:rPr>
            </w:pPr>
          </w:p>
        </w:tc>
      </w:tr>
      <w:tr w:rsidR="00BB44DA" w:rsidRPr="000152CB" w14:paraId="47F9878E" w14:textId="77777777" w:rsidTr="00E77388">
        <w:trPr>
          <w:trHeight w:val="585"/>
          <w:jc w:val="center"/>
        </w:trPr>
        <w:tc>
          <w:tcPr>
            <w:tcW w:w="2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CD05B8" w14:textId="7E58229E" w:rsidR="00FD6E82" w:rsidRPr="000152CB" w:rsidRDefault="00FD6E82" w:rsidP="00FD6E82">
            <w:pPr>
              <w:spacing w:line="240" w:lineRule="auto"/>
              <w:textAlignment w:val="baseline"/>
              <w:rPr>
                <w:rFonts w:eastAsia="Times New Roman" w:cs="Calibri"/>
                <w:color w:val="000000"/>
                <w:sz w:val="20"/>
                <w:szCs w:val="20"/>
                <w:lang w:eastAsia="sr-Latn-ME"/>
              </w:rPr>
            </w:pPr>
            <w:r w:rsidRPr="000152CB">
              <w:rPr>
                <w:rFonts w:eastAsia="Times New Roman" w:cs="Calibri"/>
                <w:color w:val="000000"/>
                <w:sz w:val="20"/>
                <w:szCs w:val="20"/>
                <w:lang w:eastAsia="sr-Latn-ME"/>
              </w:rPr>
              <w:lastRenderedPageBreak/>
              <w:t>1.2.7.</w:t>
            </w:r>
            <w:r w:rsidR="00470FA7" w:rsidRPr="000152CB">
              <w:rPr>
                <w:rFonts w:eastAsia="Times New Roman" w:cs="Calibri"/>
                <w:color w:val="000000"/>
                <w:sz w:val="20"/>
                <w:szCs w:val="20"/>
                <w:lang w:eastAsia="sr-Latn-ME"/>
              </w:rPr>
              <w:t xml:space="preserve"> </w:t>
            </w:r>
            <w:r w:rsidRPr="000152CB">
              <w:rPr>
                <w:rFonts w:eastAsia="Times New Roman" w:cs="Calibri"/>
                <w:color w:val="000000"/>
                <w:sz w:val="20"/>
                <w:szCs w:val="20"/>
                <w:lang w:eastAsia="sr-Latn-ME"/>
              </w:rPr>
              <w:t>Revidirati spisak usluga i obim prava</w:t>
            </w:r>
            <w:r w:rsidRPr="000152CB">
              <w:rPr>
                <w:rFonts w:eastAsia="Times New Roman" w:cs="Calibri"/>
                <w:b/>
                <w:color w:val="000000"/>
                <w:sz w:val="20"/>
                <w:szCs w:val="20"/>
                <w:lang w:eastAsia="sr-Latn-ME"/>
              </w:rPr>
              <w:t xml:space="preserve"> </w:t>
            </w:r>
            <w:r w:rsidRPr="000152CB">
              <w:rPr>
                <w:rFonts w:eastAsia="Times New Roman" w:cs="Calibri"/>
                <w:color w:val="000000"/>
                <w:sz w:val="20"/>
                <w:szCs w:val="20"/>
                <w:lang w:eastAsia="sr-Latn-ME"/>
              </w:rPr>
              <w:t>iz zdravstvene zaštite</w:t>
            </w:r>
          </w:p>
        </w:tc>
        <w:tc>
          <w:tcPr>
            <w:tcW w:w="19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612D5A"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 xml:space="preserve">Usvojen novi spisak usluga sa redefinisanim obimom </w:t>
            </w:r>
          </w:p>
          <w:p w14:paraId="64159070" w14:textId="77777777" w:rsidR="00FD6E82" w:rsidRPr="000152CB" w:rsidRDefault="00FD6E82" w:rsidP="00FD6E82">
            <w:pPr>
              <w:spacing w:after="0" w:line="240" w:lineRule="auto"/>
              <w:ind w:left="270"/>
              <w:rPr>
                <w:rFonts w:eastAsia="Times New Roman" w:cs="Calibri"/>
                <w:sz w:val="20"/>
                <w:szCs w:val="20"/>
                <w:lang w:eastAsia="sr-Latn-ME"/>
              </w:rPr>
            </w:pPr>
          </w:p>
        </w:tc>
        <w:tc>
          <w:tcPr>
            <w:tcW w:w="1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53021D"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MZ, IJZ, FZO</w:t>
            </w:r>
          </w:p>
        </w:tc>
        <w:tc>
          <w:tcPr>
            <w:tcW w:w="2508" w:type="dxa"/>
            <w:gridSpan w:val="5"/>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4D84DBD1" w14:textId="540805EC" w:rsidR="00FD6E82" w:rsidRPr="000152CB" w:rsidRDefault="007418F1"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 xml:space="preserve">U toku je </w:t>
            </w:r>
            <w:r w:rsidR="004474C3" w:rsidRPr="000152CB">
              <w:rPr>
                <w:rFonts w:eastAsia="Times New Roman" w:cs="Calibri"/>
                <w:sz w:val="20"/>
                <w:szCs w:val="20"/>
                <w:lang w:eastAsia="sr-Latn-ME"/>
              </w:rPr>
              <w:t xml:space="preserve">proces izrade </w:t>
            </w:r>
            <w:r w:rsidRPr="000152CB">
              <w:rPr>
                <w:rFonts w:eastAsia="Times New Roman" w:cs="Calibri"/>
                <w:sz w:val="20"/>
                <w:szCs w:val="20"/>
                <w:lang w:eastAsia="sr-Latn-ME"/>
              </w:rPr>
              <w:t>završn</w:t>
            </w:r>
            <w:r w:rsidR="004474C3" w:rsidRPr="000152CB">
              <w:rPr>
                <w:rFonts w:eastAsia="Times New Roman" w:cs="Calibri"/>
                <w:sz w:val="20"/>
                <w:szCs w:val="20"/>
                <w:lang w:eastAsia="sr-Latn-ME"/>
              </w:rPr>
              <w:t>e</w:t>
            </w:r>
            <w:r w:rsidRPr="000152CB">
              <w:rPr>
                <w:rFonts w:eastAsia="Times New Roman" w:cs="Calibri"/>
                <w:sz w:val="20"/>
                <w:szCs w:val="20"/>
                <w:lang w:eastAsia="sr-Latn-ME"/>
              </w:rPr>
              <w:t xml:space="preserve"> analiz</w:t>
            </w:r>
            <w:r w:rsidR="004474C3" w:rsidRPr="000152CB">
              <w:rPr>
                <w:rFonts w:eastAsia="Times New Roman" w:cs="Calibri"/>
                <w:sz w:val="20"/>
                <w:szCs w:val="20"/>
                <w:lang w:eastAsia="sr-Latn-ME"/>
              </w:rPr>
              <w:t>e</w:t>
            </w:r>
            <w:r w:rsidRPr="000152CB">
              <w:rPr>
                <w:rFonts w:eastAsia="Times New Roman" w:cs="Calibri"/>
                <w:sz w:val="20"/>
                <w:szCs w:val="20"/>
                <w:lang w:eastAsia="sr-Latn-ME"/>
              </w:rPr>
              <w:t xml:space="preserve">. </w:t>
            </w:r>
          </w:p>
        </w:tc>
        <w:tc>
          <w:tcPr>
            <w:tcW w:w="1962" w:type="dxa"/>
            <w:gridSpan w:val="5"/>
            <w:tcBorders>
              <w:top w:val="single" w:sz="4" w:space="0" w:color="000000"/>
              <w:left w:val="single" w:sz="4" w:space="0" w:color="000000"/>
              <w:bottom w:val="single" w:sz="4" w:space="0" w:color="000000"/>
              <w:right w:val="single" w:sz="4" w:space="0" w:color="000000"/>
            </w:tcBorders>
          </w:tcPr>
          <w:p w14:paraId="7CF1AD20"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IIQ 2023-IVQ 2023</w:t>
            </w:r>
          </w:p>
        </w:tc>
        <w:tc>
          <w:tcPr>
            <w:tcW w:w="136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8B9A69"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Tekuća sredstva</w:t>
            </w:r>
          </w:p>
        </w:tc>
        <w:tc>
          <w:tcPr>
            <w:tcW w:w="2336"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AF9CAA"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Budžet</w:t>
            </w:r>
          </w:p>
        </w:tc>
        <w:tc>
          <w:tcPr>
            <w:tcW w:w="1534" w:type="dxa"/>
            <w:gridSpan w:val="5"/>
            <w:tcBorders>
              <w:top w:val="single" w:sz="4" w:space="0" w:color="000000"/>
              <w:left w:val="single" w:sz="4" w:space="0" w:color="000000"/>
              <w:bottom w:val="single" w:sz="4" w:space="0" w:color="000000"/>
              <w:right w:val="single" w:sz="4" w:space="0" w:color="000000"/>
            </w:tcBorders>
          </w:tcPr>
          <w:p w14:paraId="6819FC86" w14:textId="713CEF6A" w:rsidR="00FD6E82" w:rsidRPr="000152CB" w:rsidRDefault="006C08EC"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 xml:space="preserve">Novi rok za realizaciju aktivnosti I </w:t>
            </w:r>
            <w:r w:rsidR="004474C3" w:rsidRPr="000152CB">
              <w:rPr>
                <w:rFonts w:eastAsia="Times New Roman" w:cs="Calibri"/>
                <w:sz w:val="20"/>
                <w:szCs w:val="20"/>
                <w:lang w:eastAsia="sr-Latn-ME"/>
              </w:rPr>
              <w:t>kvartal 2026. godine</w:t>
            </w:r>
          </w:p>
        </w:tc>
      </w:tr>
      <w:bookmarkEnd w:id="18"/>
      <w:tr w:rsidR="00FD6E82" w:rsidRPr="000152CB" w14:paraId="4FBF3AA2" w14:textId="77777777" w:rsidTr="00E77388">
        <w:trPr>
          <w:trHeight w:val="585"/>
          <w:jc w:val="center"/>
        </w:trPr>
        <w:tc>
          <w:tcPr>
            <w:tcW w:w="2091"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Mar>
              <w:top w:w="0" w:type="dxa"/>
              <w:left w:w="108" w:type="dxa"/>
              <w:bottom w:w="0" w:type="dxa"/>
              <w:right w:w="108" w:type="dxa"/>
            </w:tcMar>
            <w:vAlign w:val="center"/>
            <w:hideMark/>
          </w:tcPr>
          <w:p w14:paraId="4AD23B7C" w14:textId="77777777" w:rsidR="00FD6E82" w:rsidRPr="000152CB" w:rsidRDefault="00FD6E82" w:rsidP="00FD6E82">
            <w:pPr>
              <w:spacing w:after="0" w:line="240" w:lineRule="auto"/>
              <w:ind w:left="270"/>
              <w:jc w:val="center"/>
              <w:rPr>
                <w:rFonts w:eastAsia="Times New Roman" w:cs="Calibri"/>
                <w:b/>
                <w:sz w:val="20"/>
                <w:szCs w:val="20"/>
                <w:lang w:eastAsia="sr-Latn-ME"/>
              </w:rPr>
            </w:pPr>
            <w:r w:rsidRPr="000152CB">
              <w:rPr>
                <w:rFonts w:eastAsia="Times New Roman" w:cs="Calibri"/>
                <w:b/>
                <w:color w:val="000000"/>
                <w:sz w:val="20"/>
                <w:szCs w:val="20"/>
                <w:lang w:eastAsia="sr-Latn-ME"/>
              </w:rPr>
              <w:t>OPERATIVNI CILJ 1.3.</w:t>
            </w:r>
          </w:p>
        </w:tc>
        <w:tc>
          <w:tcPr>
            <w:tcW w:w="13474" w:type="dxa"/>
            <w:gridSpan w:val="28"/>
            <w:tcBorders>
              <w:top w:val="single" w:sz="4" w:space="0" w:color="000000"/>
              <w:left w:val="single" w:sz="4" w:space="0" w:color="000000"/>
              <w:bottom w:val="single" w:sz="4" w:space="0" w:color="000000"/>
              <w:right w:val="single" w:sz="4" w:space="0" w:color="000000"/>
            </w:tcBorders>
            <w:shd w:val="clear" w:color="auto" w:fill="8EAADB" w:themeFill="accent1" w:themeFillTint="99"/>
            <w:tcMar>
              <w:top w:w="0" w:type="dxa"/>
              <w:left w:w="108" w:type="dxa"/>
              <w:bottom w:w="0" w:type="dxa"/>
              <w:right w:w="108" w:type="dxa"/>
            </w:tcMar>
            <w:vAlign w:val="center"/>
            <w:hideMark/>
          </w:tcPr>
          <w:p w14:paraId="7E40E946" w14:textId="77777777" w:rsidR="00FD6E82" w:rsidRPr="000152CB" w:rsidRDefault="00FD6E82" w:rsidP="00FD6E82">
            <w:pPr>
              <w:spacing w:after="0" w:line="240" w:lineRule="auto"/>
              <w:ind w:left="270"/>
              <w:jc w:val="center"/>
              <w:rPr>
                <w:b/>
              </w:rPr>
            </w:pPr>
            <w:r w:rsidRPr="000152CB">
              <w:rPr>
                <w:b/>
              </w:rPr>
              <w:t>UNAPRIJEDITI PROCESE FUNKCIONISANJA I UPRAVLJANJA ZDRAVSTVENIM SISTEMOM BAZIRANO NA DOKAZIMA SA FOKUSOM NA JAČANJE DIGITALNOG ZDRAVLJA</w:t>
            </w:r>
          </w:p>
          <w:p w14:paraId="1B420B7B" w14:textId="77777777" w:rsidR="00FD6E82" w:rsidRPr="000152CB" w:rsidRDefault="00FD6E82" w:rsidP="00FD6E82">
            <w:pPr>
              <w:spacing w:after="0" w:line="240" w:lineRule="auto"/>
              <w:ind w:left="270"/>
              <w:jc w:val="center"/>
              <w:rPr>
                <w:rFonts w:eastAsia="Times New Roman" w:cs="Calibri"/>
                <w:b/>
                <w:sz w:val="20"/>
                <w:szCs w:val="20"/>
                <w:lang w:eastAsia="sr-Latn-ME"/>
              </w:rPr>
            </w:pPr>
          </w:p>
        </w:tc>
      </w:tr>
      <w:tr w:rsidR="00A6629D" w:rsidRPr="000152CB" w14:paraId="6FF9DD0F" w14:textId="77777777" w:rsidTr="00E77388">
        <w:trPr>
          <w:trHeight w:val="610"/>
          <w:jc w:val="center"/>
        </w:trPr>
        <w:tc>
          <w:tcPr>
            <w:tcW w:w="2091"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top w:w="0" w:type="dxa"/>
              <w:left w:w="108" w:type="dxa"/>
              <w:bottom w:w="0" w:type="dxa"/>
              <w:right w:w="108" w:type="dxa"/>
            </w:tcMar>
            <w:vAlign w:val="center"/>
            <w:hideMark/>
          </w:tcPr>
          <w:p w14:paraId="76394798" w14:textId="77777777" w:rsidR="00FD6E82" w:rsidRPr="000152CB" w:rsidRDefault="00FD6E82" w:rsidP="00FD6E82">
            <w:pPr>
              <w:spacing w:after="0" w:line="240" w:lineRule="auto"/>
              <w:ind w:left="270"/>
              <w:jc w:val="center"/>
              <w:rPr>
                <w:rFonts w:eastAsia="Times New Roman" w:cs="Calibri"/>
                <w:b/>
                <w:color w:val="000000"/>
                <w:sz w:val="20"/>
                <w:szCs w:val="20"/>
                <w:lang w:eastAsia="sr-Latn-ME"/>
              </w:rPr>
            </w:pPr>
            <w:r w:rsidRPr="000152CB">
              <w:rPr>
                <w:rFonts w:eastAsia="Times New Roman" w:cs="Calibri"/>
                <w:b/>
                <w:color w:val="000000"/>
                <w:sz w:val="20"/>
                <w:szCs w:val="20"/>
                <w:lang w:eastAsia="sr-Latn-ME"/>
              </w:rPr>
              <w:t xml:space="preserve">INDIKATOR UČINKA 1: </w:t>
            </w:r>
          </w:p>
          <w:p w14:paraId="0E7C7DE5" w14:textId="77777777" w:rsidR="00FD6E82" w:rsidRPr="000152CB" w:rsidRDefault="00FD6E82" w:rsidP="00FD6E82">
            <w:pPr>
              <w:spacing w:after="0" w:line="240" w:lineRule="auto"/>
              <w:ind w:left="270"/>
              <w:jc w:val="center"/>
              <w:rPr>
                <w:rFonts w:eastAsia="Times New Roman" w:cs="Calibri"/>
                <w:b/>
                <w:sz w:val="20"/>
                <w:szCs w:val="20"/>
                <w:lang w:eastAsia="sr-Latn-ME"/>
              </w:rPr>
            </w:pPr>
            <w:r w:rsidRPr="000152CB">
              <w:rPr>
                <w:rFonts w:eastAsia="Times New Roman" w:cs="Calibri"/>
                <w:b/>
                <w:color w:val="000000"/>
                <w:sz w:val="20"/>
                <w:szCs w:val="20"/>
                <w:lang w:eastAsia="sr-Latn-ME"/>
              </w:rPr>
              <w:t>Udio vršilaca za poslove mrtvozornika koji je obučen za sertifikovanje smrtnih slučajeva</w:t>
            </w:r>
          </w:p>
        </w:tc>
        <w:tc>
          <w:tcPr>
            <w:tcW w:w="3766" w:type="dxa"/>
            <w:gridSpan w:val="3"/>
            <w:tcBorders>
              <w:top w:val="single" w:sz="4" w:space="0" w:color="000000"/>
              <w:left w:val="single" w:sz="4" w:space="0" w:color="000000"/>
              <w:bottom w:val="single" w:sz="4" w:space="0" w:color="auto"/>
              <w:right w:val="single" w:sz="4" w:space="0" w:color="000000"/>
            </w:tcBorders>
            <w:shd w:val="clear" w:color="auto" w:fill="B4C6E7" w:themeFill="accent1" w:themeFillTint="66"/>
            <w:tcMar>
              <w:top w:w="0" w:type="dxa"/>
              <w:left w:w="108" w:type="dxa"/>
              <w:bottom w:w="0" w:type="dxa"/>
              <w:right w:w="108" w:type="dxa"/>
            </w:tcMar>
            <w:hideMark/>
          </w:tcPr>
          <w:p w14:paraId="58F66E6A" w14:textId="77777777" w:rsidR="00FD6E82" w:rsidRPr="000152CB" w:rsidRDefault="00FD6E82" w:rsidP="00FD6E82">
            <w:pPr>
              <w:spacing w:after="0" w:line="240" w:lineRule="auto"/>
              <w:ind w:left="270"/>
              <w:contextualSpacing/>
              <w:jc w:val="center"/>
              <w:rPr>
                <w:rFonts w:eastAsia="Times New Roman" w:cs="Calibri"/>
                <w:b/>
                <w:color w:val="000000"/>
                <w:sz w:val="20"/>
                <w:szCs w:val="20"/>
                <w:lang w:eastAsia="sr-Latn-ME"/>
              </w:rPr>
            </w:pPr>
            <w:r w:rsidRPr="000152CB">
              <w:rPr>
                <w:rFonts w:eastAsia="Times New Roman" w:cs="Calibri"/>
                <w:b/>
                <w:color w:val="000000"/>
                <w:sz w:val="20"/>
                <w:szCs w:val="20"/>
                <w:lang w:eastAsia="sr-Latn-ME"/>
              </w:rPr>
              <w:t>Početna vrijednost:</w:t>
            </w:r>
          </w:p>
          <w:p w14:paraId="00F6C981" w14:textId="77777777" w:rsidR="00FD6E82" w:rsidRPr="000152CB" w:rsidRDefault="00FD6E82" w:rsidP="00FD6E82">
            <w:pPr>
              <w:spacing w:after="0" w:line="240" w:lineRule="auto"/>
              <w:ind w:left="270"/>
              <w:contextualSpacing/>
              <w:jc w:val="center"/>
              <w:rPr>
                <w:sz w:val="20"/>
                <w:szCs w:val="20"/>
              </w:rPr>
            </w:pPr>
          </w:p>
          <w:p w14:paraId="169D0A0C" w14:textId="77777777" w:rsidR="00FD6E82" w:rsidRPr="000152CB" w:rsidRDefault="00FD6E82" w:rsidP="00FD6E82">
            <w:pPr>
              <w:spacing w:after="0" w:line="240" w:lineRule="auto"/>
              <w:ind w:left="270"/>
              <w:contextualSpacing/>
              <w:jc w:val="center"/>
              <w:rPr>
                <w:rFonts w:eastAsia="Times New Roman" w:cs="Calibri"/>
                <w:b/>
                <w:sz w:val="20"/>
                <w:szCs w:val="20"/>
                <w:lang w:eastAsia="sr-Latn-ME"/>
              </w:rPr>
            </w:pPr>
            <w:r w:rsidRPr="000152CB">
              <w:rPr>
                <w:sz w:val="20"/>
                <w:szCs w:val="20"/>
              </w:rPr>
              <w:t>Trenutni broj vršilaca za poslove mrtvozornika koji je obučen za sertifikovanje smrtnih slučajeva je 0</w:t>
            </w:r>
          </w:p>
          <w:p w14:paraId="219719F9" w14:textId="77777777" w:rsidR="00FD6E82" w:rsidRPr="000152CB" w:rsidRDefault="00FD6E82" w:rsidP="00FD6E82">
            <w:pPr>
              <w:spacing w:after="0" w:line="240" w:lineRule="auto"/>
              <w:jc w:val="center"/>
              <w:rPr>
                <w:rFonts w:eastAsia="Times New Roman" w:cs="Calibri"/>
                <w:b/>
                <w:color w:val="000000"/>
                <w:sz w:val="20"/>
                <w:szCs w:val="20"/>
                <w:lang w:eastAsia="sr-Latn-ME"/>
              </w:rPr>
            </w:pPr>
          </w:p>
        </w:tc>
        <w:tc>
          <w:tcPr>
            <w:tcW w:w="4067" w:type="dxa"/>
            <w:gridSpan w:val="7"/>
            <w:tcBorders>
              <w:top w:val="single" w:sz="4" w:space="0" w:color="000000"/>
              <w:left w:val="single" w:sz="4" w:space="0" w:color="000000"/>
              <w:bottom w:val="single" w:sz="4" w:space="0" w:color="auto"/>
              <w:right w:val="single" w:sz="4" w:space="0" w:color="000000"/>
            </w:tcBorders>
            <w:shd w:val="clear" w:color="auto" w:fill="B4C6E7" w:themeFill="accent1" w:themeFillTint="66"/>
          </w:tcPr>
          <w:p w14:paraId="3CCC197F" w14:textId="77777777" w:rsidR="00FD6E82" w:rsidRPr="000152CB" w:rsidRDefault="00FD6E82" w:rsidP="00FD6E82">
            <w:pPr>
              <w:spacing w:after="0" w:line="240" w:lineRule="auto"/>
              <w:ind w:left="270"/>
              <w:contextualSpacing/>
              <w:jc w:val="center"/>
              <w:rPr>
                <w:rFonts w:eastAsia="Times New Roman" w:cs="Calibri"/>
                <w:b/>
                <w:color w:val="000000"/>
                <w:sz w:val="20"/>
                <w:szCs w:val="20"/>
                <w:lang w:eastAsia="sr-Latn-ME"/>
              </w:rPr>
            </w:pPr>
            <w:r w:rsidRPr="000152CB">
              <w:rPr>
                <w:rFonts w:eastAsia="Times New Roman" w:cs="Calibri"/>
                <w:b/>
                <w:color w:val="000000"/>
                <w:sz w:val="20"/>
                <w:szCs w:val="20"/>
                <w:lang w:eastAsia="sr-Latn-ME"/>
              </w:rPr>
              <w:t>Prelazna vrijednost:</w:t>
            </w:r>
          </w:p>
          <w:p w14:paraId="7CFAE986" w14:textId="77777777" w:rsidR="00FD6E82" w:rsidRPr="000152CB" w:rsidRDefault="00FD6E82" w:rsidP="00FD6E82">
            <w:pPr>
              <w:spacing w:after="0" w:line="240" w:lineRule="auto"/>
              <w:ind w:left="270"/>
              <w:contextualSpacing/>
              <w:jc w:val="center"/>
              <w:rPr>
                <w:rFonts w:eastAsia="Times New Roman" w:cs="Calibri"/>
                <w:b/>
                <w:color w:val="000000"/>
                <w:sz w:val="20"/>
                <w:szCs w:val="20"/>
                <w:lang w:eastAsia="sr-Latn-ME"/>
              </w:rPr>
            </w:pPr>
          </w:p>
          <w:p w14:paraId="40DDADAB" w14:textId="77777777" w:rsidR="00FD6E82" w:rsidRPr="000152CB" w:rsidRDefault="00FD6E82" w:rsidP="00FD6E82">
            <w:pPr>
              <w:spacing w:after="0" w:line="240" w:lineRule="auto"/>
              <w:ind w:left="270"/>
              <w:contextualSpacing/>
              <w:jc w:val="center"/>
              <w:rPr>
                <w:rFonts w:eastAsia="Times New Roman" w:cs="Calibri"/>
                <w:bCs/>
                <w:color w:val="000000"/>
                <w:sz w:val="20"/>
                <w:szCs w:val="20"/>
                <w:lang w:eastAsia="sr-Latn-ME"/>
              </w:rPr>
            </w:pPr>
            <w:r w:rsidRPr="000152CB">
              <w:rPr>
                <w:rFonts w:eastAsia="Times New Roman" w:cs="Calibri"/>
                <w:bCs/>
                <w:color w:val="000000"/>
                <w:sz w:val="20"/>
                <w:szCs w:val="20"/>
                <w:lang w:eastAsia="sr-Latn-ME"/>
              </w:rPr>
              <w:t>Min.50% vršilaca  za  poslove mrtvozornika obučeni za poslove sertifikacije smrtnih slučajeva</w:t>
            </w:r>
          </w:p>
        </w:tc>
        <w:tc>
          <w:tcPr>
            <w:tcW w:w="5641" w:type="dxa"/>
            <w:gridSpan w:val="18"/>
            <w:tcBorders>
              <w:top w:val="single" w:sz="4" w:space="0" w:color="000000"/>
              <w:left w:val="single" w:sz="4" w:space="0" w:color="000000"/>
              <w:bottom w:val="single" w:sz="4" w:space="0" w:color="auto"/>
              <w:right w:val="single" w:sz="4" w:space="0" w:color="000000"/>
            </w:tcBorders>
            <w:shd w:val="clear" w:color="auto" w:fill="B4C6E7" w:themeFill="accent1" w:themeFillTint="66"/>
          </w:tcPr>
          <w:p w14:paraId="135C59DB" w14:textId="77777777" w:rsidR="00FD6E82" w:rsidRPr="000152CB" w:rsidRDefault="00FD6E82" w:rsidP="00FD6E82">
            <w:pPr>
              <w:spacing w:after="0" w:line="240" w:lineRule="auto"/>
              <w:ind w:left="270"/>
              <w:jc w:val="center"/>
              <w:rPr>
                <w:rFonts w:eastAsia="Times New Roman" w:cs="Calibri"/>
                <w:b/>
                <w:color w:val="000000"/>
                <w:sz w:val="20"/>
                <w:szCs w:val="20"/>
                <w:lang w:eastAsia="sr-Latn-ME"/>
              </w:rPr>
            </w:pPr>
            <w:r w:rsidRPr="000152CB">
              <w:rPr>
                <w:rFonts w:eastAsia="Times New Roman" w:cs="Calibri"/>
                <w:b/>
                <w:color w:val="000000"/>
                <w:sz w:val="20"/>
                <w:szCs w:val="20"/>
                <w:lang w:eastAsia="sr-Latn-ME"/>
              </w:rPr>
              <w:t>Ciljna vrijednost:</w:t>
            </w:r>
          </w:p>
          <w:p w14:paraId="58EFED24" w14:textId="77777777" w:rsidR="00FD6E82" w:rsidRPr="000152CB" w:rsidRDefault="00FD6E82" w:rsidP="00FD6E82">
            <w:pPr>
              <w:spacing w:after="0" w:line="240" w:lineRule="auto"/>
              <w:ind w:left="270"/>
              <w:jc w:val="center"/>
              <w:rPr>
                <w:rFonts w:eastAsia="Times New Roman" w:cs="Calibri"/>
                <w:b/>
                <w:color w:val="000000"/>
                <w:sz w:val="20"/>
                <w:szCs w:val="20"/>
                <w:lang w:eastAsia="sr-Latn-ME"/>
              </w:rPr>
            </w:pPr>
          </w:p>
          <w:p w14:paraId="07695BF8" w14:textId="77777777" w:rsidR="00FD6E82" w:rsidRPr="000152CB" w:rsidRDefault="00FD6E82" w:rsidP="00FD6E82">
            <w:pPr>
              <w:spacing w:after="0" w:line="240" w:lineRule="auto"/>
              <w:ind w:left="270"/>
              <w:jc w:val="center"/>
              <w:rPr>
                <w:rFonts w:eastAsia="Times New Roman" w:cs="Calibri"/>
                <w:bCs/>
                <w:sz w:val="20"/>
                <w:szCs w:val="20"/>
                <w:lang w:eastAsia="sr-Latn-ME"/>
              </w:rPr>
            </w:pPr>
            <w:r w:rsidRPr="000152CB">
              <w:rPr>
                <w:rFonts w:eastAsia="Times New Roman" w:cs="Calibri"/>
                <w:bCs/>
                <w:color w:val="000000"/>
                <w:sz w:val="20"/>
                <w:szCs w:val="20"/>
                <w:lang w:eastAsia="sr-Latn-ME"/>
              </w:rPr>
              <w:t>100% vršilaca za poslove mrtvozornika obučenih za poslove sertifikacije smrtnih slučajeva</w:t>
            </w:r>
          </w:p>
        </w:tc>
      </w:tr>
      <w:tr w:rsidR="00A6629D" w:rsidRPr="000152CB" w14:paraId="70E7A011" w14:textId="77777777" w:rsidTr="00E77388">
        <w:trPr>
          <w:trHeight w:val="585"/>
          <w:jc w:val="center"/>
        </w:trPr>
        <w:tc>
          <w:tcPr>
            <w:tcW w:w="2091"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14:paraId="5FA2697B" w14:textId="77777777" w:rsidR="00FD6E82" w:rsidRPr="000152CB" w:rsidRDefault="00FD6E82" w:rsidP="00FD6E82">
            <w:pPr>
              <w:spacing w:after="0" w:line="240" w:lineRule="auto"/>
              <w:ind w:left="270"/>
              <w:jc w:val="center"/>
              <w:rPr>
                <w:rFonts w:eastAsia="Times New Roman" w:cs="Calibri"/>
                <w:b/>
                <w:color w:val="000000"/>
                <w:sz w:val="20"/>
                <w:szCs w:val="20"/>
                <w:lang w:eastAsia="sr-Latn-ME"/>
              </w:rPr>
            </w:pPr>
            <w:r w:rsidRPr="000152CB">
              <w:rPr>
                <w:rFonts w:eastAsia="Times New Roman" w:cs="Calibri"/>
                <w:b/>
                <w:color w:val="000000"/>
                <w:sz w:val="20"/>
                <w:szCs w:val="20"/>
                <w:lang w:eastAsia="sr-Latn-ME"/>
              </w:rPr>
              <w:t>INDIKATOR UČINKA 2:</w:t>
            </w:r>
          </w:p>
          <w:p w14:paraId="74B57636" w14:textId="77777777" w:rsidR="00FD6E82" w:rsidRPr="000152CB" w:rsidRDefault="00FD6E82" w:rsidP="00FD6E82">
            <w:pPr>
              <w:spacing w:after="0" w:line="240" w:lineRule="auto"/>
              <w:ind w:left="270"/>
              <w:jc w:val="center"/>
              <w:rPr>
                <w:rFonts w:eastAsia="Times New Roman" w:cs="Calibri"/>
                <w:b/>
                <w:sz w:val="20"/>
                <w:szCs w:val="20"/>
                <w:lang w:eastAsia="sr-Latn-ME"/>
              </w:rPr>
            </w:pPr>
            <w:r w:rsidRPr="000152CB">
              <w:rPr>
                <w:rFonts w:eastAsia="Times New Roman" w:cs="Calibri"/>
                <w:b/>
                <w:color w:val="000000"/>
                <w:sz w:val="20"/>
                <w:szCs w:val="20"/>
                <w:lang w:eastAsia="sr-Latn-ME"/>
              </w:rPr>
              <w:t>Uspostavljen informacioni sistem MZ</w:t>
            </w:r>
          </w:p>
        </w:tc>
        <w:tc>
          <w:tcPr>
            <w:tcW w:w="3766" w:type="dxa"/>
            <w:gridSpan w:val="3"/>
            <w:tcBorders>
              <w:top w:val="single" w:sz="4" w:space="0" w:color="auto"/>
              <w:left w:val="single" w:sz="4" w:space="0" w:color="000000"/>
              <w:bottom w:val="single" w:sz="4" w:space="0" w:color="000000"/>
              <w:right w:val="single" w:sz="4" w:space="0" w:color="000000"/>
            </w:tcBorders>
            <w:shd w:val="clear" w:color="auto" w:fill="B4C6E7" w:themeFill="accent1" w:themeFillTint="66"/>
            <w:tcMar>
              <w:top w:w="0" w:type="dxa"/>
              <w:left w:w="108" w:type="dxa"/>
              <w:bottom w:w="0" w:type="dxa"/>
              <w:right w:w="108" w:type="dxa"/>
            </w:tcMar>
            <w:hideMark/>
          </w:tcPr>
          <w:p w14:paraId="7084F059" w14:textId="77777777" w:rsidR="00FD6E82" w:rsidRPr="000152CB" w:rsidRDefault="00FD6E82" w:rsidP="00FD6E82">
            <w:pPr>
              <w:spacing w:after="0" w:line="240" w:lineRule="auto"/>
              <w:contextualSpacing/>
              <w:jc w:val="center"/>
              <w:rPr>
                <w:rFonts w:eastAsia="Times New Roman" w:cs="Calibri"/>
                <w:b/>
                <w:sz w:val="20"/>
                <w:szCs w:val="20"/>
                <w:lang w:eastAsia="sr-Latn-ME"/>
              </w:rPr>
            </w:pPr>
            <w:r w:rsidRPr="000152CB">
              <w:rPr>
                <w:rFonts w:eastAsia="Times New Roman" w:cs="Calibri"/>
                <w:b/>
                <w:color w:val="000000"/>
                <w:sz w:val="20"/>
                <w:szCs w:val="20"/>
                <w:lang w:eastAsia="sr-Latn-ME"/>
              </w:rPr>
              <w:t>Početna vrijednost:</w:t>
            </w:r>
          </w:p>
          <w:p w14:paraId="3705748D" w14:textId="77777777" w:rsidR="00FD6E82" w:rsidRPr="000152CB" w:rsidRDefault="00FD6E82" w:rsidP="00FD6E82">
            <w:pPr>
              <w:spacing w:after="0" w:line="240" w:lineRule="auto"/>
              <w:ind w:left="270"/>
              <w:jc w:val="center"/>
              <w:rPr>
                <w:rFonts w:eastAsia="Times New Roman" w:cs="Calibri"/>
                <w:b/>
                <w:color w:val="000000"/>
                <w:sz w:val="20"/>
                <w:szCs w:val="20"/>
                <w:lang w:eastAsia="sr-Latn-ME"/>
              </w:rPr>
            </w:pPr>
          </w:p>
          <w:p w14:paraId="6755268D" w14:textId="77777777" w:rsidR="00FD6E82" w:rsidRPr="000152CB" w:rsidRDefault="00FD6E82" w:rsidP="00FD6E82">
            <w:pPr>
              <w:spacing w:after="0" w:line="240" w:lineRule="auto"/>
              <w:ind w:left="270"/>
              <w:jc w:val="center"/>
              <w:rPr>
                <w:rFonts w:eastAsia="Times New Roman" w:cs="Calibri"/>
                <w:bCs/>
                <w:sz w:val="20"/>
                <w:szCs w:val="20"/>
                <w:lang w:eastAsia="sr-Latn-ME"/>
              </w:rPr>
            </w:pPr>
            <w:r w:rsidRPr="000152CB">
              <w:rPr>
                <w:rFonts w:eastAsia="Times New Roman" w:cs="Calibri"/>
                <w:bCs/>
                <w:color w:val="000000"/>
                <w:sz w:val="20"/>
                <w:szCs w:val="20"/>
                <w:lang w:eastAsia="sr-Latn-ME"/>
              </w:rPr>
              <w:t>Trenutno ne postoji softver za upravljanje podacima u MZ</w:t>
            </w:r>
          </w:p>
        </w:tc>
        <w:tc>
          <w:tcPr>
            <w:tcW w:w="4067" w:type="dxa"/>
            <w:gridSpan w:val="7"/>
            <w:tcBorders>
              <w:top w:val="single" w:sz="4" w:space="0" w:color="auto"/>
              <w:left w:val="single" w:sz="4" w:space="0" w:color="000000"/>
              <w:bottom w:val="single" w:sz="4" w:space="0" w:color="000000"/>
              <w:right w:val="single" w:sz="4" w:space="0" w:color="000000"/>
            </w:tcBorders>
            <w:shd w:val="clear" w:color="auto" w:fill="B4C6E7" w:themeFill="accent1" w:themeFillTint="66"/>
          </w:tcPr>
          <w:p w14:paraId="48B4ED8D" w14:textId="77777777" w:rsidR="00FD6E82" w:rsidRPr="000152CB" w:rsidRDefault="00FD6E82" w:rsidP="00FD6E82">
            <w:pPr>
              <w:spacing w:after="0" w:line="240" w:lineRule="auto"/>
              <w:ind w:left="270"/>
              <w:contextualSpacing/>
              <w:jc w:val="center"/>
              <w:rPr>
                <w:rFonts w:eastAsia="Times New Roman" w:cs="Calibri"/>
                <w:b/>
                <w:sz w:val="20"/>
                <w:szCs w:val="20"/>
                <w:lang w:eastAsia="sr-Latn-ME"/>
              </w:rPr>
            </w:pPr>
            <w:r w:rsidRPr="000152CB">
              <w:rPr>
                <w:rFonts w:eastAsia="Times New Roman" w:cs="Calibri"/>
                <w:b/>
                <w:color w:val="000000"/>
                <w:sz w:val="20"/>
                <w:szCs w:val="20"/>
                <w:lang w:eastAsia="sr-Latn-ME"/>
              </w:rPr>
              <w:t>Prelazna vrijednost:</w:t>
            </w:r>
          </w:p>
          <w:p w14:paraId="600A1D80" w14:textId="77777777" w:rsidR="00FD6E82" w:rsidRPr="000152CB" w:rsidRDefault="00FD6E82" w:rsidP="00FD6E82">
            <w:pPr>
              <w:spacing w:after="0" w:line="240" w:lineRule="auto"/>
              <w:ind w:left="270"/>
              <w:jc w:val="center"/>
              <w:rPr>
                <w:rFonts w:eastAsia="Times New Roman" w:cs="Calibri"/>
                <w:b/>
                <w:color w:val="000000"/>
                <w:sz w:val="20"/>
                <w:szCs w:val="20"/>
                <w:lang w:eastAsia="sr-Latn-ME"/>
              </w:rPr>
            </w:pPr>
          </w:p>
          <w:p w14:paraId="7F1AAB30" w14:textId="77777777" w:rsidR="00FD6E82" w:rsidRPr="000152CB" w:rsidRDefault="00FD6E82" w:rsidP="00FD6E82">
            <w:pPr>
              <w:spacing w:after="0" w:line="240" w:lineRule="auto"/>
              <w:ind w:left="270"/>
              <w:jc w:val="center"/>
              <w:rPr>
                <w:rFonts w:eastAsia="Times New Roman" w:cs="Calibri"/>
                <w:bCs/>
                <w:sz w:val="20"/>
                <w:szCs w:val="20"/>
                <w:lang w:eastAsia="sr-Latn-ME"/>
              </w:rPr>
            </w:pPr>
            <w:r w:rsidRPr="000152CB">
              <w:rPr>
                <w:rFonts w:eastAsia="Times New Roman" w:cs="Calibri"/>
                <w:bCs/>
                <w:color w:val="000000"/>
                <w:sz w:val="20"/>
                <w:szCs w:val="20"/>
                <w:lang w:eastAsia="sr-Latn-ME"/>
              </w:rPr>
              <w:t>Izrađeno idejno rješenje za softver</w:t>
            </w:r>
          </w:p>
        </w:tc>
        <w:tc>
          <w:tcPr>
            <w:tcW w:w="5641" w:type="dxa"/>
            <w:gridSpan w:val="18"/>
            <w:tcBorders>
              <w:top w:val="single" w:sz="4" w:space="0" w:color="auto"/>
              <w:left w:val="single" w:sz="4" w:space="0" w:color="000000"/>
              <w:bottom w:val="single" w:sz="4" w:space="0" w:color="000000"/>
              <w:right w:val="single" w:sz="4" w:space="0" w:color="000000"/>
            </w:tcBorders>
            <w:shd w:val="clear" w:color="auto" w:fill="B4C6E7" w:themeFill="accent1" w:themeFillTint="66"/>
          </w:tcPr>
          <w:p w14:paraId="3D263BA9" w14:textId="77777777" w:rsidR="00FD6E82" w:rsidRPr="000152CB" w:rsidRDefault="00FD6E82" w:rsidP="00FD6E82">
            <w:pPr>
              <w:spacing w:after="0" w:line="240" w:lineRule="auto"/>
              <w:ind w:left="270"/>
              <w:jc w:val="center"/>
              <w:rPr>
                <w:rFonts w:eastAsia="Times New Roman" w:cs="Calibri"/>
                <w:b/>
                <w:color w:val="000000"/>
                <w:sz w:val="20"/>
                <w:szCs w:val="20"/>
                <w:lang w:eastAsia="sr-Latn-ME"/>
              </w:rPr>
            </w:pPr>
            <w:r w:rsidRPr="000152CB">
              <w:rPr>
                <w:rFonts w:eastAsia="Times New Roman" w:cs="Calibri"/>
                <w:b/>
                <w:color w:val="000000"/>
                <w:sz w:val="20"/>
                <w:szCs w:val="20"/>
                <w:lang w:eastAsia="sr-Latn-ME"/>
              </w:rPr>
              <w:t>Ciljna vrijednost:</w:t>
            </w:r>
          </w:p>
          <w:p w14:paraId="7ECB9988" w14:textId="77777777" w:rsidR="00FD6E82" w:rsidRPr="000152CB" w:rsidRDefault="00FD6E82" w:rsidP="00FD6E82">
            <w:pPr>
              <w:spacing w:after="0" w:line="240" w:lineRule="auto"/>
              <w:ind w:left="270"/>
              <w:jc w:val="center"/>
              <w:rPr>
                <w:rFonts w:eastAsia="Times New Roman" w:cs="Calibri"/>
                <w:b/>
                <w:color w:val="000000"/>
                <w:sz w:val="20"/>
                <w:szCs w:val="20"/>
                <w:lang w:eastAsia="sr-Latn-ME"/>
              </w:rPr>
            </w:pPr>
          </w:p>
          <w:p w14:paraId="63CE001F" w14:textId="77777777" w:rsidR="00FD6E82" w:rsidRPr="000152CB" w:rsidRDefault="00FD6E82" w:rsidP="00FD6E82">
            <w:pPr>
              <w:spacing w:after="0" w:line="240" w:lineRule="auto"/>
              <w:ind w:left="270"/>
              <w:jc w:val="center"/>
              <w:rPr>
                <w:rFonts w:eastAsia="Times New Roman" w:cs="Calibri"/>
                <w:bCs/>
                <w:sz w:val="20"/>
                <w:szCs w:val="20"/>
                <w:lang w:eastAsia="sr-Latn-ME"/>
              </w:rPr>
            </w:pPr>
            <w:r w:rsidRPr="000152CB">
              <w:rPr>
                <w:rFonts w:eastAsia="Times New Roman" w:cs="Calibri"/>
                <w:bCs/>
                <w:color w:val="000000"/>
                <w:sz w:val="20"/>
                <w:szCs w:val="20"/>
                <w:lang w:eastAsia="sr-Latn-ME"/>
              </w:rPr>
              <w:t>Uspostavljen i funkcionalan informacioni sistem MZ</w:t>
            </w:r>
          </w:p>
        </w:tc>
      </w:tr>
      <w:tr w:rsidR="00BB44DA" w:rsidRPr="000152CB" w14:paraId="53419C15" w14:textId="77777777" w:rsidTr="00E77388">
        <w:trPr>
          <w:trHeight w:val="377"/>
          <w:jc w:val="center"/>
        </w:trPr>
        <w:tc>
          <w:tcPr>
            <w:tcW w:w="2091" w:type="dxa"/>
            <w:vMerge w:val="restart"/>
            <w:tcBorders>
              <w:top w:val="single" w:sz="4" w:space="0" w:color="000000"/>
              <w:left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hideMark/>
          </w:tcPr>
          <w:p w14:paraId="00F4A138" w14:textId="77777777" w:rsidR="00FD6E82" w:rsidRPr="000152CB" w:rsidRDefault="00FD6E82" w:rsidP="00FD6E82">
            <w:pPr>
              <w:spacing w:after="0" w:line="240" w:lineRule="auto"/>
              <w:ind w:left="270"/>
              <w:jc w:val="center"/>
              <w:rPr>
                <w:rFonts w:eastAsia="Times New Roman" w:cs="Calibri"/>
                <w:b/>
                <w:sz w:val="20"/>
                <w:szCs w:val="20"/>
                <w:lang w:eastAsia="sr-Latn-ME"/>
              </w:rPr>
            </w:pPr>
            <w:r w:rsidRPr="000152CB">
              <w:rPr>
                <w:rFonts w:eastAsia="Times New Roman" w:cs="Calibri"/>
                <w:b/>
                <w:color w:val="000000"/>
                <w:sz w:val="20"/>
                <w:szCs w:val="20"/>
                <w:lang w:eastAsia="sr-Latn-ME"/>
              </w:rPr>
              <w:t>Aktivnost koja utiče na realizaciju Operativnog cilja</w:t>
            </w:r>
          </w:p>
        </w:tc>
        <w:tc>
          <w:tcPr>
            <w:tcW w:w="1970" w:type="dxa"/>
            <w:gridSpan w:val="2"/>
            <w:vMerge w:val="restart"/>
            <w:tcBorders>
              <w:top w:val="single" w:sz="4" w:space="0" w:color="000000"/>
              <w:left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hideMark/>
          </w:tcPr>
          <w:p w14:paraId="43D98A54" w14:textId="77777777" w:rsidR="00FD6E82" w:rsidRPr="000152CB" w:rsidRDefault="00FD6E82" w:rsidP="00FD6E82">
            <w:pPr>
              <w:spacing w:after="0" w:line="240" w:lineRule="auto"/>
              <w:ind w:left="270"/>
              <w:jc w:val="center"/>
              <w:rPr>
                <w:rFonts w:eastAsia="Times New Roman" w:cs="Calibri"/>
                <w:b/>
                <w:sz w:val="20"/>
                <w:szCs w:val="20"/>
                <w:lang w:eastAsia="sr-Latn-ME"/>
              </w:rPr>
            </w:pPr>
            <w:r w:rsidRPr="000152CB">
              <w:rPr>
                <w:rFonts w:eastAsia="Times New Roman" w:cs="Calibri"/>
                <w:b/>
                <w:color w:val="000000"/>
                <w:sz w:val="20"/>
                <w:szCs w:val="20"/>
                <w:lang w:eastAsia="sr-Latn-ME"/>
              </w:rPr>
              <w:t>Indikator rezultata</w:t>
            </w:r>
          </w:p>
        </w:tc>
        <w:tc>
          <w:tcPr>
            <w:tcW w:w="1796" w:type="dxa"/>
            <w:vMerge w:val="restart"/>
            <w:tcBorders>
              <w:top w:val="single" w:sz="4" w:space="0" w:color="000000"/>
              <w:left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hideMark/>
          </w:tcPr>
          <w:p w14:paraId="0B9CA012" w14:textId="77777777" w:rsidR="00FD6E82" w:rsidRPr="000152CB" w:rsidRDefault="00FD6E82" w:rsidP="00FD6E82">
            <w:pPr>
              <w:spacing w:after="0" w:line="240" w:lineRule="auto"/>
              <w:ind w:left="270"/>
              <w:jc w:val="center"/>
              <w:rPr>
                <w:rFonts w:eastAsia="Times New Roman" w:cs="Calibri"/>
                <w:b/>
                <w:sz w:val="20"/>
                <w:szCs w:val="20"/>
                <w:lang w:eastAsia="sr-Latn-ME"/>
              </w:rPr>
            </w:pPr>
            <w:r w:rsidRPr="000152CB">
              <w:rPr>
                <w:rFonts w:eastAsia="Times New Roman" w:cs="Calibri"/>
                <w:b/>
                <w:color w:val="000000"/>
                <w:sz w:val="20"/>
                <w:szCs w:val="20"/>
                <w:lang w:eastAsia="sr-Latn-ME"/>
              </w:rPr>
              <w:t>Nadležna institucija</w:t>
            </w:r>
          </w:p>
        </w:tc>
        <w:tc>
          <w:tcPr>
            <w:tcW w:w="2508" w:type="dxa"/>
            <w:gridSpan w:val="5"/>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hideMark/>
          </w:tcPr>
          <w:p w14:paraId="12B59288" w14:textId="77777777" w:rsidR="00FD6E82" w:rsidRPr="000152CB" w:rsidRDefault="00FD6E82" w:rsidP="0099424C">
            <w:pPr>
              <w:spacing w:after="0" w:line="240" w:lineRule="auto"/>
              <w:rPr>
                <w:rFonts w:eastAsia="Times New Roman" w:cs="Calibri"/>
                <w:b/>
                <w:sz w:val="20"/>
                <w:szCs w:val="20"/>
                <w:lang w:eastAsia="sr-Latn-ME"/>
              </w:rPr>
            </w:pPr>
            <w:r w:rsidRPr="000152CB">
              <w:rPr>
                <w:rFonts w:eastAsia="Times New Roman" w:cs="Calibri"/>
                <w:b/>
                <w:color w:val="000000"/>
                <w:sz w:val="20"/>
                <w:szCs w:val="20"/>
                <w:lang w:eastAsia="sr-Latn-ME"/>
              </w:rPr>
              <w:t>STATUS REALIZACIJE AKTIVNOSTI</w:t>
            </w:r>
          </w:p>
        </w:tc>
        <w:tc>
          <w:tcPr>
            <w:tcW w:w="1962" w:type="dxa"/>
            <w:gridSpan w:val="5"/>
            <w:vMerge w:val="restart"/>
            <w:tcBorders>
              <w:top w:val="single" w:sz="4" w:space="0" w:color="000000"/>
              <w:left w:val="single" w:sz="4" w:space="0" w:color="000000"/>
              <w:right w:val="single" w:sz="4" w:space="0" w:color="000000"/>
            </w:tcBorders>
            <w:shd w:val="clear" w:color="auto" w:fill="D9E2F3" w:themeFill="accent1" w:themeFillTint="33"/>
            <w:vAlign w:val="center"/>
          </w:tcPr>
          <w:p w14:paraId="5AC32387" w14:textId="77777777" w:rsidR="00FD6E82" w:rsidRPr="000152CB" w:rsidRDefault="00FD6E82" w:rsidP="00FD6E82">
            <w:pPr>
              <w:spacing w:after="0" w:line="240" w:lineRule="auto"/>
              <w:ind w:left="270"/>
              <w:jc w:val="center"/>
              <w:rPr>
                <w:rFonts w:eastAsia="Times New Roman" w:cs="Calibri"/>
                <w:b/>
                <w:sz w:val="20"/>
                <w:szCs w:val="20"/>
                <w:lang w:eastAsia="sr-Latn-ME"/>
              </w:rPr>
            </w:pPr>
            <w:r w:rsidRPr="000152CB">
              <w:rPr>
                <w:rFonts w:eastAsia="Times New Roman" w:cs="Calibri"/>
                <w:b/>
                <w:color w:val="000000"/>
                <w:sz w:val="20"/>
                <w:szCs w:val="20"/>
                <w:lang w:eastAsia="sr-Latn-ME"/>
              </w:rPr>
              <w:t>Planirani rok završetka</w:t>
            </w:r>
          </w:p>
        </w:tc>
        <w:tc>
          <w:tcPr>
            <w:tcW w:w="1368" w:type="dxa"/>
            <w:gridSpan w:val="4"/>
            <w:vMerge w:val="restart"/>
            <w:tcBorders>
              <w:top w:val="single" w:sz="4" w:space="0" w:color="000000"/>
              <w:left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hideMark/>
          </w:tcPr>
          <w:p w14:paraId="0B36CDC2" w14:textId="77777777" w:rsidR="00FD6E82" w:rsidRPr="000152CB" w:rsidRDefault="00FD6E82" w:rsidP="00FD6E82">
            <w:pPr>
              <w:spacing w:after="0" w:line="240" w:lineRule="auto"/>
              <w:ind w:left="270"/>
              <w:jc w:val="center"/>
              <w:rPr>
                <w:rFonts w:eastAsia="Times New Roman" w:cs="Calibri"/>
                <w:b/>
                <w:sz w:val="20"/>
                <w:szCs w:val="20"/>
                <w:lang w:eastAsia="sr-Latn-ME"/>
              </w:rPr>
            </w:pPr>
            <w:r w:rsidRPr="000152CB">
              <w:rPr>
                <w:rFonts w:eastAsia="Times New Roman" w:cs="Calibri"/>
                <w:b/>
                <w:color w:val="000000"/>
                <w:sz w:val="20"/>
                <w:szCs w:val="20"/>
                <w:lang w:eastAsia="sr-Latn-ME"/>
              </w:rPr>
              <w:t>Planirana i utrošena sredstva</w:t>
            </w:r>
          </w:p>
        </w:tc>
        <w:tc>
          <w:tcPr>
            <w:tcW w:w="2179" w:type="dxa"/>
            <w:gridSpan w:val="4"/>
            <w:vMerge w:val="restart"/>
            <w:tcBorders>
              <w:top w:val="single" w:sz="4" w:space="0" w:color="000000"/>
              <w:left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hideMark/>
          </w:tcPr>
          <w:p w14:paraId="50804B8A" w14:textId="77777777" w:rsidR="00FD6E82" w:rsidRPr="000152CB" w:rsidRDefault="00FD6E82" w:rsidP="00FD6E82">
            <w:pPr>
              <w:spacing w:after="0" w:line="240" w:lineRule="auto"/>
              <w:ind w:left="270"/>
              <w:jc w:val="center"/>
              <w:rPr>
                <w:rFonts w:eastAsia="Times New Roman" w:cs="Calibri"/>
                <w:b/>
                <w:sz w:val="20"/>
                <w:szCs w:val="20"/>
                <w:lang w:eastAsia="sr-Latn-ME"/>
              </w:rPr>
            </w:pPr>
            <w:r w:rsidRPr="000152CB">
              <w:rPr>
                <w:rFonts w:eastAsia="Times New Roman" w:cs="Calibri"/>
                <w:b/>
                <w:color w:val="000000"/>
                <w:sz w:val="20"/>
                <w:szCs w:val="20"/>
                <w:lang w:eastAsia="sr-Latn-ME"/>
              </w:rPr>
              <w:t>Izvor finansiranja</w:t>
            </w:r>
          </w:p>
        </w:tc>
        <w:tc>
          <w:tcPr>
            <w:tcW w:w="1691" w:type="dxa"/>
            <w:gridSpan w:val="7"/>
            <w:vMerge w:val="restart"/>
            <w:tcBorders>
              <w:top w:val="single" w:sz="4" w:space="0" w:color="000000"/>
              <w:left w:val="single" w:sz="4" w:space="0" w:color="000000"/>
              <w:right w:val="single" w:sz="4" w:space="0" w:color="000000"/>
            </w:tcBorders>
            <w:shd w:val="clear" w:color="auto" w:fill="D9E2F3" w:themeFill="accent1" w:themeFillTint="33"/>
            <w:vAlign w:val="center"/>
          </w:tcPr>
          <w:p w14:paraId="64DED295" w14:textId="77777777" w:rsidR="00FD6E82" w:rsidRPr="000152CB" w:rsidRDefault="00FD6E82" w:rsidP="00FD6E82">
            <w:pPr>
              <w:spacing w:after="0" w:line="240" w:lineRule="auto"/>
              <w:ind w:left="270"/>
              <w:jc w:val="center"/>
              <w:rPr>
                <w:rFonts w:eastAsia="Times New Roman" w:cs="Calibri"/>
                <w:b/>
                <w:sz w:val="20"/>
                <w:szCs w:val="20"/>
                <w:lang w:eastAsia="sr-Latn-ME"/>
              </w:rPr>
            </w:pPr>
            <w:r w:rsidRPr="000152CB">
              <w:rPr>
                <w:rFonts w:eastAsia="Times New Roman" w:cs="Calibri"/>
                <w:b/>
                <w:sz w:val="20"/>
                <w:szCs w:val="20"/>
                <w:lang w:eastAsia="sr-Latn-ME"/>
              </w:rPr>
              <w:t>Preporuke</w:t>
            </w:r>
          </w:p>
        </w:tc>
      </w:tr>
      <w:tr w:rsidR="00CA0422" w:rsidRPr="000152CB" w14:paraId="5FF4AD1E" w14:textId="77777777" w:rsidTr="00E77388">
        <w:trPr>
          <w:trHeight w:val="376"/>
          <w:jc w:val="center"/>
        </w:trPr>
        <w:tc>
          <w:tcPr>
            <w:tcW w:w="2091" w:type="dxa"/>
            <w:vMerge/>
            <w:tcBorders>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170DB86F" w14:textId="77777777" w:rsidR="00FD6E82" w:rsidRPr="000152CB" w:rsidRDefault="00FD6E82" w:rsidP="00FD6E82">
            <w:pPr>
              <w:spacing w:after="0" w:line="240" w:lineRule="auto"/>
              <w:ind w:left="270"/>
              <w:jc w:val="center"/>
              <w:rPr>
                <w:rFonts w:eastAsia="Times New Roman" w:cs="Calibri"/>
                <w:b/>
                <w:color w:val="000000"/>
                <w:sz w:val="20"/>
                <w:szCs w:val="20"/>
                <w:lang w:eastAsia="sr-Latn-ME"/>
              </w:rPr>
            </w:pPr>
          </w:p>
        </w:tc>
        <w:tc>
          <w:tcPr>
            <w:tcW w:w="1970" w:type="dxa"/>
            <w:gridSpan w:val="2"/>
            <w:vMerge/>
            <w:tcBorders>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046935E5" w14:textId="77777777" w:rsidR="00FD6E82" w:rsidRPr="000152CB" w:rsidRDefault="00FD6E82" w:rsidP="00FD6E82">
            <w:pPr>
              <w:spacing w:after="0" w:line="240" w:lineRule="auto"/>
              <w:ind w:left="270"/>
              <w:jc w:val="center"/>
              <w:rPr>
                <w:rFonts w:eastAsia="Times New Roman" w:cs="Calibri"/>
                <w:b/>
                <w:color w:val="000000"/>
                <w:sz w:val="20"/>
                <w:szCs w:val="20"/>
                <w:lang w:eastAsia="sr-Latn-ME"/>
              </w:rPr>
            </w:pPr>
          </w:p>
        </w:tc>
        <w:tc>
          <w:tcPr>
            <w:tcW w:w="1796" w:type="dxa"/>
            <w:vMerge/>
            <w:tcBorders>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5345552D" w14:textId="77777777" w:rsidR="00FD6E82" w:rsidRPr="000152CB" w:rsidRDefault="00FD6E82" w:rsidP="00FD6E82">
            <w:pPr>
              <w:spacing w:after="0" w:line="240" w:lineRule="auto"/>
              <w:ind w:left="270"/>
              <w:jc w:val="center"/>
              <w:rPr>
                <w:rFonts w:eastAsia="Times New Roman" w:cs="Calibri"/>
                <w:b/>
                <w:color w:val="000000"/>
                <w:sz w:val="20"/>
                <w:szCs w:val="20"/>
                <w:lang w:eastAsia="sr-Latn-ME"/>
              </w:rPr>
            </w:pPr>
          </w:p>
        </w:tc>
        <w:tc>
          <w:tcPr>
            <w:tcW w:w="798"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vAlign w:val="center"/>
          </w:tcPr>
          <w:p w14:paraId="25E18806" w14:textId="77777777" w:rsidR="00FD6E82" w:rsidRPr="000152CB" w:rsidRDefault="00FD6E82" w:rsidP="00FD6E82">
            <w:pPr>
              <w:spacing w:after="0" w:line="240" w:lineRule="auto"/>
              <w:ind w:left="270"/>
              <w:jc w:val="center"/>
              <w:rPr>
                <w:rFonts w:eastAsia="Times New Roman" w:cs="Calibri"/>
                <w:b/>
                <w:color w:val="000000"/>
                <w:sz w:val="20"/>
                <w:szCs w:val="20"/>
                <w:lang w:eastAsia="sr-Latn-ME"/>
              </w:rPr>
            </w:pPr>
          </w:p>
        </w:tc>
        <w:tc>
          <w:tcPr>
            <w:tcW w:w="900" w:type="dxa"/>
            <w:gridSpan w:val="3"/>
            <w:tcBorders>
              <w:top w:val="single" w:sz="4" w:space="0" w:color="000000"/>
              <w:left w:val="single" w:sz="4" w:space="0" w:color="000000"/>
              <w:bottom w:val="single" w:sz="4" w:space="0" w:color="000000"/>
              <w:right w:val="single" w:sz="4" w:space="0" w:color="000000"/>
            </w:tcBorders>
            <w:shd w:val="clear" w:color="auto" w:fill="FFFF00"/>
            <w:vAlign w:val="center"/>
          </w:tcPr>
          <w:p w14:paraId="582C1E80" w14:textId="77777777" w:rsidR="00FD6E82" w:rsidRPr="000152CB" w:rsidRDefault="00FD6E82" w:rsidP="00FD6E82">
            <w:pPr>
              <w:spacing w:after="0" w:line="240" w:lineRule="auto"/>
              <w:ind w:left="270"/>
              <w:jc w:val="center"/>
              <w:rPr>
                <w:rFonts w:eastAsia="Times New Roman" w:cs="Calibri"/>
                <w:b/>
                <w:color w:val="000000"/>
                <w:sz w:val="20"/>
                <w:szCs w:val="20"/>
                <w:lang w:eastAsia="sr-Latn-ME"/>
              </w:rPr>
            </w:pPr>
          </w:p>
        </w:tc>
        <w:tc>
          <w:tcPr>
            <w:tcW w:w="810"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2F9B09EA" w14:textId="77777777" w:rsidR="00FD6E82" w:rsidRPr="000152CB" w:rsidRDefault="00FD6E82" w:rsidP="00FD6E82">
            <w:pPr>
              <w:spacing w:after="0" w:line="240" w:lineRule="auto"/>
              <w:ind w:left="270"/>
              <w:jc w:val="center"/>
              <w:rPr>
                <w:rFonts w:eastAsia="Times New Roman" w:cs="Calibri"/>
                <w:b/>
                <w:color w:val="000000"/>
                <w:sz w:val="20"/>
                <w:szCs w:val="20"/>
                <w:lang w:eastAsia="sr-Latn-ME"/>
              </w:rPr>
            </w:pPr>
          </w:p>
        </w:tc>
        <w:tc>
          <w:tcPr>
            <w:tcW w:w="1962" w:type="dxa"/>
            <w:gridSpan w:val="5"/>
            <w:vMerge/>
            <w:tcBorders>
              <w:left w:val="single" w:sz="4" w:space="0" w:color="000000"/>
              <w:bottom w:val="single" w:sz="4" w:space="0" w:color="000000"/>
              <w:right w:val="single" w:sz="4" w:space="0" w:color="000000"/>
            </w:tcBorders>
            <w:shd w:val="clear" w:color="auto" w:fill="D9E2F3" w:themeFill="accent1" w:themeFillTint="33"/>
            <w:vAlign w:val="center"/>
          </w:tcPr>
          <w:p w14:paraId="69D821AF" w14:textId="77777777" w:rsidR="00FD6E82" w:rsidRPr="000152CB" w:rsidRDefault="00FD6E82" w:rsidP="00FD6E82">
            <w:pPr>
              <w:spacing w:after="0" w:line="240" w:lineRule="auto"/>
              <w:ind w:left="270"/>
              <w:jc w:val="center"/>
              <w:rPr>
                <w:rFonts w:eastAsia="Times New Roman" w:cs="Calibri"/>
                <w:b/>
                <w:color w:val="000000"/>
                <w:sz w:val="20"/>
                <w:szCs w:val="20"/>
                <w:lang w:eastAsia="sr-Latn-ME"/>
              </w:rPr>
            </w:pPr>
          </w:p>
        </w:tc>
        <w:tc>
          <w:tcPr>
            <w:tcW w:w="1368" w:type="dxa"/>
            <w:gridSpan w:val="4"/>
            <w:vMerge/>
            <w:tcBorders>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239121F3" w14:textId="77777777" w:rsidR="00FD6E82" w:rsidRPr="000152CB" w:rsidRDefault="00FD6E82" w:rsidP="00FD6E82">
            <w:pPr>
              <w:spacing w:after="0" w:line="240" w:lineRule="auto"/>
              <w:ind w:left="270"/>
              <w:jc w:val="center"/>
              <w:rPr>
                <w:rFonts w:eastAsia="Times New Roman" w:cs="Calibri"/>
                <w:b/>
                <w:color w:val="000000"/>
                <w:sz w:val="20"/>
                <w:szCs w:val="20"/>
                <w:lang w:eastAsia="sr-Latn-ME"/>
              </w:rPr>
            </w:pPr>
          </w:p>
        </w:tc>
        <w:tc>
          <w:tcPr>
            <w:tcW w:w="2179" w:type="dxa"/>
            <w:gridSpan w:val="4"/>
            <w:vMerge/>
            <w:tcBorders>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11D025EC" w14:textId="77777777" w:rsidR="00FD6E82" w:rsidRPr="000152CB" w:rsidRDefault="00FD6E82" w:rsidP="00FD6E82">
            <w:pPr>
              <w:spacing w:after="0" w:line="240" w:lineRule="auto"/>
              <w:ind w:left="270"/>
              <w:jc w:val="center"/>
              <w:rPr>
                <w:rFonts w:eastAsia="Times New Roman" w:cs="Calibri"/>
                <w:b/>
                <w:color w:val="000000"/>
                <w:sz w:val="20"/>
                <w:szCs w:val="20"/>
                <w:lang w:eastAsia="sr-Latn-ME"/>
              </w:rPr>
            </w:pPr>
          </w:p>
        </w:tc>
        <w:tc>
          <w:tcPr>
            <w:tcW w:w="1691" w:type="dxa"/>
            <w:gridSpan w:val="7"/>
            <w:vMerge/>
            <w:tcBorders>
              <w:left w:val="single" w:sz="4" w:space="0" w:color="000000"/>
              <w:bottom w:val="single" w:sz="4" w:space="0" w:color="000000"/>
              <w:right w:val="single" w:sz="4" w:space="0" w:color="000000"/>
            </w:tcBorders>
            <w:shd w:val="clear" w:color="auto" w:fill="D9E2F3" w:themeFill="accent1" w:themeFillTint="33"/>
            <w:vAlign w:val="center"/>
          </w:tcPr>
          <w:p w14:paraId="794B7C83" w14:textId="77777777" w:rsidR="00FD6E82" w:rsidRPr="000152CB" w:rsidRDefault="00FD6E82" w:rsidP="00FD6E82">
            <w:pPr>
              <w:spacing w:after="0" w:line="240" w:lineRule="auto"/>
              <w:ind w:left="270"/>
              <w:jc w:val="center"/>
              <w:rPr>
                <w:rFonts w:eastAsia="Times New Roman" w:cs="Calibri"/>
                <w:b/>
                <w:color w:val="000000"/>
                <w:sz w:val="20"/>
                <w:szCs w:val="20"/>
                <w:lang w:eastAsia="sr-Latn-ME"/>
              </w:rPr>
            </w:pPr>
          </w:p>
        </w:tc>
      </w:tr>
      <w:tr w:rsidR="00BB44DA" w:rsidRPr="000152CB" w14:paraId="7FA6C8B7" w14:textId="77777777" w:rsidTr="00E77388">
        <w:trPr>
          <w:trHeight w:val="585"/>
          <w:jc w:val="center"/>
        </w:trPr>
        <w:tc>
          <w:tcPr>
            <w:tcW w:w="2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A237BB" w14:textId="77777777" w:rsidR="00FD6E82" w:rsidRPr="000152CB" w:rsidRDefault="00FD6E82" w:rsidP="00FD6E82">
            <w:pPr>
              <w:spacing w:line="240" w:lineRule="auto"/>
              <w:textAlignment w:val="baseline"/>
              <w:rPr>
                <w:rFonts w:eastAsia="Times New Roman" w:cs="Calibri"/>
                <w:color w:val="000000"/>
                <w:sz w:val="20"/>
                <w:szCs w:val="20"/>
                <w:lang w:eastAsia="sr-Latn-ME"/>
              </w:rPr>
            </w:pPr>
            <w:r w:rsidRPr="000152CB">
              <w:rPr>
                <w:rFonts w:eastAsia="Times New Roman" w:cs="Calibri"/>
                <w:color w:val="000000"/>
                <w:sz w:val="20"/>
                <w:szCs w:val="20"/>
                <w:lang w:eastAsia="sr-Latn-ME"/>
              </w:rPr>
              <w:t xml:space="preserve">1.3.1.Definisati institucionalni aranžman za trajno vođenje Nacionalnog zdravstvenog računa prema EU direktivama i izraditi godišnji izvještaj kroz </w:t>
            </w:r>
            <w:r w:rsidRPr="000152CB">
              <w:rPr>
                <w:rFonts w:eastAsia="Times New Roman" w:cs="Calibri"/>
                <w:color w:val="000000"/>
                <w:sz w:val="20"/>
                <w:szCs w:val="20"/>
                <w:lang w:eastAsia="sr-Latn-ME"/>
              </w:rPr>
              <w:lastRenderedPageBreak/>
              <w:t>mehanizam vođenja Nacionalnog zdravstvenog računa</w:t>
            </w:r>
          </w:p>
        </w:tc>
        <w:tc>
          <w:tcPr>
            <w:tcW w:w="19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40E6FD"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lastRenderedPageBreak/>
              <w:t>Usvojen institutcionalni aranžman</w:t>
            </w:r>
          </w:p>
          <w:p w14:paraId="5EEA3A85" w14:textId="77777777" w:rsidR="00FD6E82" w:rsidRPr="000152CB" w:rsidRDefault="00FD6E82" w:rsidP="00FD6E82">
            <w:pPr>
              <w:spacing w:after="0" w:line="240" w:lineRule="auto"/>
              <w:ind w:left="270"/>
              <w:rPr>
                <w:rFonts w:eastAsia="Times New Roman" w:cs="Calibri"/>
                <w:sz w:val="20"/>
                <w:szCs w:val="20"/>
                <w:lang w:eastAsia="sr-Latn-ME"/>
              </w:rPr>
            </w:pPr>
          </w:p>
          <w:p w14:paraId="5AD3EC83"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 xml:space="preserve">Objavljen izvještaj </w:t>
            </w:r>
          </w:p>
        </w:tc>
        <w:tc>
          <w:tcPr>
            <w:tcW w:w="1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254286"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Monstat, FZO, MZ</w:t>
            </w:r>
          </w:p>
        </w:tc>
        <w:tc>
          <w:tcPr>
            <w:tcW w:w="2508" w:type="dxa"/>
            <w:gridSpan w:val="5"/>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2375B57F" w14:textId="411BD599" w:rsidR="00FD6E82" w:rsidRPr="000152CB" w:rsidRDefault="004A3E05"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 xml:space="preserve">III kvartal  2026 godine,                                                   Obrazloženje: tokom rada na implementaciji i prikupljanju podataka, uočen je nezadovoljavajući   nivo saradnje sa institucijama koje su odgovorne za </w:t>
            </w:r>
            <w:r w:rsidRPr="000152CB">
              <w:rPr>
                <w:rFonts w:eastAsia="Times New Roman" w:cs="Calibri"/>
                <w:sz w:val="20"/>
                <w:szCs w:val="20"/>
                <w:lang w:eastAsia="sr-Latn-ME"/>
              </w:rPr>
              <w:lastRenderedPageBreak/>
              <w:t>implementaciju, kao i zdravstvenim ustanovama, koje su dostavile podatke koji strukturno nijesu adekvatno prikazani, ili nijesu dobro klasifikovani u skladu sa traženom metodologiiom,  ili ih nijesu uopšte dostavili, Zdrav</w:t>
            </w:r>
            <w:r w:rsidR="004474C3" w:rsidRPr="000152CB">
              <w:rPr>
                <w:rFonts w:eastAsia="Times New Roman" w:cs="Calibri"/>
                <w:sz w:val="20"/>
                <w:szCs w:val="20"/>
                <w:lang w:eastAsia="sr-Latn-ME"/>
              </w:rPr>
              <w:t>s</w:t>
            </w:r>
            <w:r w:rsidRPr="000152CB">
              <w:rPr>
                <w:rFonts w:eastAsia="Times New Roman" w:cs="Calibri"/>
                <w:sz w:val="20"/>
                <w:szCs w:val="20"/>
                <w:lang w:eastAsia="sr-Latn-ME"/>
              </w:rPr>
              <w:t>tvene ustanove je potrebno edukovati u cilju dostave relevantnih podataka, a tako</w:t>
            </w:r>
            <w:r w:rsidR="004474C3" w:rsidRPr="000152CB">
              <w:rPr>
                <w:rFonts w:eastAsia="Times New Roman" w:cs="Calibri"/>
                <w:sz w:val="20"/>
                <w:szCs w:val="20"/>
                <w:lang w:eastAsia="sr-Latn-ME"/>
              </w:rPr>
              <w:t>đ</w:t>
            </w:r>
            <w:r w:rsidRPr="000152CB">
              <w:rPr>
                <w:rFonts w:eastAsia="Times New Roman" w:cs="Calibri"/>
                <w:sz w:val="20"/>
                <w:szCs w:val="20"/>
                <w:lang w:eastAsia="sr-Latn-ME"/>
              </w:rPr>
              <w:t>e je potrebno ispoštovati princip da se podaci dobijaju iz institucija koje ih generišu.</w:t>
            </w:r>
          </w:p>
        </w:tc>
        <w:tc>
          <w:tcPr>
            <w:tcW w:w="1962" w:type="dxa"/>
            <w:gridSpan w:val="5"/>
            <w:tcBorders>
              <w:top w:val="single" w:sz="4" w:space="0" w:color="000000"/>
              <w:left w:val="single" w:sz="4" w:space="0" w:color="000000"/>
              <w:bottom w:val="single" w:sz="4" w:space="0" w:color="000000"/>
              <w:right w:val="single" w:sz="4" w:space="0" w:color="000000"/>
            </w:tcBorders>
          </w:tcPr>
          <w:p w14:paraId="75C0800E"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lastRenderedPageBreak/>
              <w:t>IIIQ 2023-IVQ 2024</w:t>
            </w:r>
          </w:p>
        </w:tc>
        <w:tc>
          <w:tcPr>
            <w:tcW w:w="136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FD9EC1"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Tekuća sredstva</w:t>
            </w:r>
          </w:p>
        </w:tc>
        <w:tc>
          <w:tcPr>
            <w:tcW w:w="217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C0541D"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Budžet</w:t>
            </w:r>
          </w:p>
        </w:tc>
        <w:tc>
          <w:tcPr>
            <w:tcW w:w="1691" w:type="dxa"/>
            <w:gridSpan w:val="7"/>
            <w:tcBorders>
              <w:top w:val="single" w:sz="4" w:space="0" w:color="000000"/>
              <w:left w:val="single" w:sz="4" w:space="0" w:color="000000"/>
              <w:bottom w:val="single" w:sz="4" w:space="0" w:color="000000"/>
              <w:right w:val="single" w:sz="4" w:space="0" w:color="000000"/>
            </w:tcBorders>
          </w:tcPr>
          <w:p w14:paraId="2D67BC12" w14:textId="09337A47" w:rsidR="00FD6E82" w:rsidRPr="000152CB" w:rsidRDefault="004474C3"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Novi rok za realizaciju aktivnosti III kvartal 2026. godine</w:t>
            </w:r>
          </w:p>
        </w:tc>
      </w:tr>
      <w:tr w:rsidR="00BB44DA" w:rsidRPr="000152CB" w14:paraId="49B32511" w14:textId="77777777" w:rsidTr="00E77388">
        <w:trPr>
          <w:trHeight w:val="585"/>
          <w:jc w:val="center"/>
        </w:trPr>
        <w:tc>
          <w:tcPr>
            <w:tcW w:w="2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6F0DF1" w14:textId="77777777" w:rsidR="00FD6E82" w:rsidRPr="000152CB" w:rsidRDefault="00FD6E82" w:rsidP="00FD6E82">
            <w:pPr>
              <w:spacing w:line="240" w:lineRule="auto"/>
              <w:textAlignment w:val="baseline"/>
              <w:rPr>
                <w:rFonts w:eastAsia="Times New Roman" w:cs="Calibri"/>
                <w:color w:val="000000"/>
                <w:sz w:val="20"/>
                <w:szCs w:val="20"/>
                <w:lang w:eastAsia="sr-Latn-ME"/>
              </w:rPr>
            </w:pPr>
            <w:r w:rsidRPr="000152CB">
              <w:rPr>
                <w:rFonts w:eastAsia="Times New Roman" w:cs="Calibri"/>
                <w:color w:val="000000"/>
                <w:sz w:val="20"/>
                <w:szCs w:val="20"/>
                <w:lang w:eastAsia="sr-Latn-ME"/>
              </w:rPr>
              <w:t>1.3.2.Uspostavljanje centralnog elektronskog zdravstvenog kartona</w:t>
            </w:r>
          </w:p>
        </w:tc>
        <w:tc>
          <w:tcPr>
            <w:tcW w:w="19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769AF7"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Uspostavljen i funkcionalan centralni elektronski zdravstveni karton</w:t>
            </w:r>
          </w:p>
        </w:tc>
        <w:tc>
          <w:tcPr>
            <w:tcW w:w="1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23A2FC"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MZ, FZO, IJZ, Zdravstvene ustanove, UNDP</w:t>
            </w:r>
          </w:p>
        </w:tc>
        <w:tc>
          <w:tcPr>
            <w:tcW w:w="2508" w:type="dxa"/>
            <w:gridSpan w:val="5"/>
            <w:tcBorders>
              <w:top w:val="single" w:sz="4" w:space="0" w:color="000000"/>
              <w:left w:val="single" w:sz="4" w:space="0" w:color="000000"/>
              <w:bottom w:val="single" w:sz="4" w:space="0" w:color="000000"/>
              <w:right w:val="single" w:sz="4" w:space="0" w:color="000000"/>
            </w:tcBorders>
            <w:shd w:val="clear" w:color="auto" w:fill="FF0000"/>
            <w:tcMar>
              <w:top w:w="0" w:type="dxa"/>
              <w:left w:w="108" w:type="dxa"/>
              <w:bottom w:w="0" w:type="dxa"/>
              <w:right w:w="108" w:type="dxa"/>
            </w:tcMar>
          </w:tcPr>
          <w:p w14:paraId="523092A9" w14:textId="24309DD2" w:rsidR="00FD6E82" w:rsidRPr="000152CB" w:rsidRDefault="004A3E05"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Q4 2027 (planirano je da se do kraja teku</w:t>
            </w:r>
            <w:r w:rsidR="002F54D6" w:rsidRPr="000152CB">
              <w:rPr>
                <w:rFonts w:eastAsia="Times New Roman" w:cs="Calibri"/>
                <w:sz w:val="20"/>
                <w:szCs w:val="20"/>
                <w:lang w:eastAsia="sr-Latn-ME"/>
              </w:rPr>
              <w:t>ć</w:t>
            </w:r>
            <w:r w:rsidRPr="000152CB">
              <w:rPr>
                <w:rFonts w:eastAsia="Times New Roman" w:cs="Calibri"/>
                <w:sz w:val="20"/>
                <w:szCs w:val="20"/>
                <w:lang w:eastAsia="sr-Latn-ME"/>
              </w:rPr>
              <w:t>e godine sprovede tender i potpiše ugovor za implementaciju EZK. Projekat bi se sprovodio fazno, a ukupno trajanje se procjenjuje na 2 godine). U  toku je izmjena zakona o zbirkama podataka u oblasti zdravstva, izrada nove sistemske arhitekture i standardizacije, nakon čega će se pristupiti tenderu za uspostavljanje EZK</w:t>
            </w:r>
          </w:p>
        </w:tc>
        <w:tc>
          <w:tcPr>
            <w:tcW w:w="1962" w:type="dxa"/>
            <w:gridSpan w:val="5"/>
            <w:tcBorders>
              <w:top w:val="single" w:sz="4" w:space="0" w:color="000000"/>
              <w:left w:val="single" w:sz="4" w:space="0" w:color="000000"/>
              <w:bottom w:val="single" w:sz="4" w:space="0" w:color="000000"/>
              <w:right w:val="single" w:sz="4" w:space="0" w:color="000000"/>
            </w:tcBorders>
          </w:tcPr>
          <w:p w14:paraId="2C773390"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IVQ 2023-IVQ 2024</w:t>
            </w:r>
          </w:p>
        </w:tc>
        <w:tc>
          <w:tcPr>
            <w:tcW w:w="136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01F0CE"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Planirana sredstva: 400.000€</w:t>
            </w:r>
          </w:p>
          <w:p w14:paraId="097FF258" w14:textId="77777777" w:rsidR="00FD6E82" w:rsidRPr="000152CB" w:rsidRDefault="00FD6E82" w:rsidP="00FD6E82">
            <w:pPr>
              <w:spacing w:after="0" w:line="240" w:lineRule="auto"/>
              <w:rPr>
                <w:rFonts w:eastAsia="Times New Roman" w:cs="Calibri"/>
                <w:sz w:val="20"/>
                <w:szCs w:val="20"/>
                <w:lang w:eastAsia="sr-Latn-ME"/>
              </w:rPr>
            </w:pPr>
          </w:p>
          <w:p w14:paraId="0C80D5D7"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Utrošena sredstva:</w:t>
            </w:r>
          </w:p>
          <w:p w14:paraId="4598519A" w14:textId="77777777" w:rsidR="00FD6E82" w:rsidRPr="000152CB" w:rsidRDefault="00FD6E82" w:rsidP="00FD6E82">
            <w:pPr>
              <w:spacing w:after="0" w:line="240" w:lineRule="auto"/>
              <w:rPr>
                <w:rFonts w:eastAsia="Times New Roman" w:cs="Calibri"/>
                <w:sz w:val="20"/>
                <w:szCs w:val="20"/>
                <w:lang w:eastAsia="sr-Latn-ME"/>
              </w:rPr>
            </w:pPr>
          </w:p>
          <w:p w14:paraId="7F7F5922" w14:textId="77777777" w:rsidR="00FD6E82" w:rsidRPr="000152CB" w:rsidRDefault="00FD6E82" w:rsidP="00FD6E82">
            <w:pPr>
              <w:spacing w:after="0" w:line="240" w:lineRule="auto"/>
              <w:rPr>
                <w:rFonts w:eastAsia="Times New Roman" w:cs="Calibri"/>
                <w:sz w:val="20"/>
                <w:szCs w:val="20"/>
                <w:lang w:eastAsia="sr-Latn-ME"/>
              </w:rPr>
            </w:pPr>
          </w:p>
        </w:tc>
        <w:tc>
          <w:tcPr>
            <w:tcW w:w="217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8B6589"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Budžet,donacije i projekti</w:t>
            </w:r>
          </w:p>
        </w:tc>
        <w:tc>
          <w:tcPr>
            <w:tcW w:w="1691" w:type="dxa"/>
            <w:gridSpan w:val="7"/>
            <w:tcBorders>
              <w:top w:val="single" w:sz="4" w:space="0" w:color="000000"/>
              <w:left w:val="single" w:sz="4" w:space="0" w:color="000000"/>
              <w:bottom w:val="single" w:sz="4" w:space="0" w:color="000000"/>
              <w:right w:val="single" w:sz="4" w:space="0" w:color="000000"/>
            </w:tcBorders>
          </w:tcPr>
          <w:p w14:paraId="25C32019" w14:textId="01A94B30" w:rsidR="00FD6E82" w:rsidRPr="000152CB" w:rsidRDefault="002F54D6"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Novi rok za realizaciju aktivnosti IV kvartal 2027. godine</w:t>
            </w:r>
          </w:p>
        </w:tc>
      </w:tr>
      <w:tr w:rsidR="00BB44DA" w:rsidRPr="000152CB" w14:paraId="737CAE1F" w14:textId="77777777" w:rsidTr="00E77388">
        <w:trPr>
          <w:trHeight w:val="585"/>
          <w:jc w:val="center"/>
        </w:trPr>
        <w:tc>
          <w:tcPr>
            <w:tcW w:w="2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A1C9AD" w14:textId="77777777" w:rsidR="00FD6E82" w:rsidRPr="000152CB" w:rsidRDefault="00FD6E82" w:rsidP="00FD6E82">
            <w:pPr>
              <w:tabs>
                <w:tab w:val="num" w:pos="160"/>
              </w:tabs>
              <w:spacing w:line="240" w:lineRule="auto"/>
              <w:textAlignment w:val="baseline"/>
              <w:rPr>
                <w:rFonts w:eastAsia="Times New Roman" w:cs="Calibri"/>
                <w:color w:val="000000"/>
                <w:sz w:val="20"/>
                <w:szCs w:val="20"/>
                <w:lang w:eastAsia="sr-Latn-ME"/>
              </w:rPr>
            </w:pPr>
            <w:r w:rsidRPr="000152CB">
              <w:rPr>
                <w:rFonts w:eastAsia="Times New Roman" w:cs="Calibri"/>
                <w:color w:val="000000"/>
                <w:sz w:val="20"/>
                <w:szCs w:val="20"/>
                <w:lang w:eastAsia="sr-Latn-ME"/>
              </w:rPr>
              <w:t xml:space="preserve">1.3.3.Uspostaviti operativni mehanizam za unapređivanje neometane razmjene </w:t>
            </w:r>
            <w:r w:rsidRPr="000152CB">
              <w:rPr>
                <w:rFonts w:eastAsia="Times New Roman" w:cs="Calibri"/>
                <w:color w:val="000000"/>
                <w:sz w:val="20"/>
                <w:szCs w:val="20"/>
                <w:lang w:eastAsia="sr-Latn-ME"/>
              </w:rPr>
              <w:lastRenderedPageBreak/>
              <w:t xml:space="preserve">relevantnih zdravstvenih podataka </w:t>
            </w:r>
          </w:p>
          <w:p w14:paraId="71C2DD24" w14:textId="77777777" w:rsidR="00FD6E82" w:rsidRPr="000152CB" w:rsidRDefault="00FD6E82" w:rsidP="00FD6E82">
            <w:pPr>
              <w:tabs>
                <w:tab w:val="num" w:pos="160"/>
              </w:tabs>
              <w:spacing w:line="240" w:lineRule="auto"/>
              <w:textAlignment w:val="baseline"/>
              <w:rPr>
                <w:rFonts w:eastAsia="Times New Roman" w:cs="Calibri"/>
                <w:color w:val="000000"/>
                <w:sz w:val="20"/>
                <w:szCs w:val="20"/>
                <w:lang w:eastAsia="sr-Latn-ME"/>
              </w:rPr>
            </w:pPr>
            <w:r w:rsidRPr="000152CB">
              <w:rPr>
                <w:rFonts w:eastAsia="Times New Roman" w:cs="Calibri"/>
                <w:sz w:val="20"/>
                <w:szCs w:val="20"/>
                <w:lang w:eastAsia="sr-Latn-ME"/>
              </w:rPr>
              <w:t xml:space="preserve">*Formiran međuinstitucionalni multidisciplinarni tim iz zdravstvenog sektora sa redovnim sastancima i urađenom analizom trenutnog stanja, predloženim planom mjera za unapređenje razmjene podataka i metodologijom monitoringa i evaluacije  </w:t>
            </w:r>
          </w:p>
          <w:p w14:paraId="5BAAB27A" w14:textId="77777777" w:rsidR="00FD6E82" w:rsidRPr="000152CB" w:rsidRDefault="00FD6E82" w:rsidP="00FD6E82">
            <w:pPr>
              <w:tabs>
                <w:tab w:val="num" w:pos="160"/>
              </w:tabs>
              <w:spacing w:line="240" w:lineRule="auto"/>
              <w:ind w:left="270"/>
              <w:textAlignment w:val="baseline"/>
              <w:rPr>
                <w:rFonts w:eastAsia="Times New Roman" w:cs="Calibri"/>
                <w:color w:val="000000"/>
                <w:sz w:val="20"/>
                <w:szCs w:val="20"/>
                <w:lang w:eastAsia="sr-Latn-ME"/>
              </w:rPr>
            </w:pPr>
          </w:p>
        </w:tc>
        <w:tc>
          <w:tcPr>
            <w:tcW w:w="19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8DCAA9"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lastRenderedPageBreak/>
              <w:t>Izvještaj sa setom preporuka za unapređenje razmjene podataka je izrađen</w:t>
            </w:r>
          </w:p>
          <w:p w14:paraId="60A49527" w14:textId="77777777" w:rsidR="00FD6E82" w:rsidRPr="000152CB" w:rsidRDefault="00FD6E82" w:rsidP="00FD6E82">
            <w:pPr>
              <w:spacing w:after="0" w:line="240" w:lineRule="auto"/>
              <w:ind w:left="270"/>
              <w:rPr>
                <w:rFonts w:eastAsia="Times New Roman" w:cs="Calibri"/>
                <w:sz w:val="20"/>
                <w:szCs w:val="20"/>
                <w:lang w:eastAsia="sr-Latn-ME"/>
              </w:rPr>
            </w:pPr>
          </w:p>
        </w:tc>
        <w:tc>
          <w:tcPr>
            <w:tcW w:w="1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FAD841"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lastRenderedPageBreak/>
              <w:t>MZ, IJZ, Zdravstvene ustanove, Medicinski fakultet</w:t>
            </w:r>
          </w:p>
        </w:tc>
        <w:tc>
          <w:tcPr>
            <w:tcW w:w="2508" w:type="dxa"/>
            <w:gridSpan w:val="5"/>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4646FC58" w14:textId="0DEBBB19" w:rsidR="00FD6E82" w:rsidRPr="000152CB" w:rsidRDefault="00121978"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Odrađena je analiza postojećih sistema. Sp</w:t>
            </w:r>
            <w:r w:rsidR="002F54D6" w:rsidRPr="000152CB">
              <w:rPr>
                <w:rFonts w:eastAsia="Times New Roman" w:cs="Calibri"/>
                <w:sz w:val="20"/>
                <w:szCs w:val="20"/>
                <w:lang w:eastAsia="sr-Latn-ME"/>
              </w:rPr>
              <w:t>r</w:t>
            </w:r>
            <w:r w:rsidRPr="000152CB">
              <w:rPr>
                <w:rFonts w:eastAsia="Times New Roman" w:cs="Calibri"/>
                <w:sz w:val="20"/>
                <w:szCs w:val="20"/>
                <w:lang w:eastAsia="sr-Latn-ME"/>
              </w:rPr>
              <w:t>ovedena j</w:t>
            </w:r>
            <w:r w:rsidR="002F54D6" w:rsidRPr="000152CB">
              <w:rPr>
                <w:rFonts w:eastAsia="Times New Roman" w:cs="Calibri"/>
                <w:sz w:val="20"/>
                <w:szCs w:val="20"/>
                <w:lang w:eastAsia="sr-Latn-ME"/>
              </w:rPr>
              <w:t>e i</w:t>
            </w:r>
            <w:r w:rsidRPr="000152CB">
              <w:rPr>
                <w:rFonts w:eastAsia="Times New Roman" w:cs="Calibri"/>
                <w:sz w:val="20"/>
                <w:szCs w:val="20"/>
                <w:lang w:eastAsia="sr-Latn-ME"/>
              </w:rPr>
              <w:t xml:space="preserve"> zavr</w:t>
            </w:r>
            <w:r w:rsidR="002F54D6" w:rsidRPr="000152CB">
              <w:rPr>
                <w:rFonts w:eastAsia="Times New Roman" w:cs="Calibri"/>
                <w:sz w:val="20"/>
                <w:szCs w:val="20"/>
                <w:lang w:eastAsia="sr-Latn-ME"/>
              </w:rPr>
              <w:t>š</w:t>
            </w:r>
            <w:r w:rsidRPr="000152CB">
              <w:rPr>
                <w:rFonts w:eastAsia="Times New Roman" w:cs="Calibri"/>
                <w:sz w:val="20"/>
                <w:szCs w:val="20"/>
                <w:lang w:eastAsia="sr-Latn-ME"/>
              </w:rPr>
              <w:t xml:space="preserve">ena nabavka za izrada nove sistemske arhitekture i </w:t>
            </w:r>
            <w:r w:rsidRPr="000152CB">
              <w:rPr>
                <w:rFonts w:eastAsia="Times New Roman" w:cs="Calibri"/>
                <w:sz w:val="20"/>
                <w:szCs w:val="20"/>
                <w:lang w:eastAsia="sr-Latn-ME"/>
              </w:rPr>
              <w:lastRenderedPageBreak/>
              <w:t xml:space="preserve">standardizacije koja je u toku i koja će dati konkretne smjernice i okvire interoperabilnosti) </w:t>
            </w:r>
          </w:p>
        </w:tc>
        <w:tc>
          <w:tcPr>
            <w:tcW w:w="1962" w:type="dxa"/>
            <w:gridSpan w:val="5"/>
            <w:tcBorders>
              <w:top w:val="single" w:sz="4" w:space="0" w:color="000000"/>
              <w:left w:val="single" w:sz="4" w:space="0" w:color="000000"/>
              <w:bottom w:val="single" w:sz="4" w:space="0" w:color="000000"/>
              <w:right w:val="single" w:sz="4" w:space="0" w:color="000000"/>
            </w:tcBorders>
          </w:tcPr>
          <w:p w14:paraId="2C4BA7CB"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lastRenderedPageBreak/>
              <w:t>IIIQ 2023-IIIQ 2024</w:t>
            </w:r>
          </w:p>
        </w:tc>
        <w:tc>
          <w:tcPr>
            <w:tcW w:w="136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70D8D5"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Tekuća sredstva</w:t>
            </w:r>
          </w:p>
        </w:tc>
        <w:tc>
          <w:tcPr>
            <w:tcW w:w="206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3B452A"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Budžet</w:t>
            </w:r>
          </w:p>
        </w:tc>
        <w:tc>
          <w:tcPr>
            <w:tcW w:w="1809" w:type="dxa"/>
            <w:gridSpan w:val="8"/>
            <w:tcBorders>
              <w:top w:val="single" w:sz="4" w:space="0" w:color="000000"/>
              <w:left w:val="single" w:sz="4" w:space="0" w:color="000000"/>
              <w:bottom w:val="single" w:sz="4" w:space="0" w:color="000000"/>
              <w:right w:val="single" w:sz="4" w:space="0" w:color="000000"/>
            </w:tcBorders>
          </w:tcPr>
          <w:p w14:paraId="05D91163" w14:textId="49988D2D" w:rsidR="00FD6E82" w:rsidRPr="000152CB" w:rsidRDefault="002F54D6"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Novi rok za realizaciju aktivnosti III kvartal 2025. godine</w:t>
            </w:r>
          </w:p>
        </w:tc>
      </w:tr>
      <w:tr w:rsidR="00BB44DA" w:rsidRPr="000152CB" w14:paraId="31B38601" w14:textId="77777777" w:rsidTr="00E77388">
        <w:trPr>
          <w:trHeight w:val="585"/>
          <w:jc w:val="center"/>
        </w:trPr>
        <w:tc>
          <w:tcPr>
            <w:tcW w:w="2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30CD15"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color w:val="000000"/>
                <w:sz w:val="20"/>
                <w:szCs w:val="20"/>
                <w:lang w:eastAsia="sr-Latn-ME"/>
              </w:rPr>
              <w:t>1.3.4.Razviti model upravljanja mortalitetnom statistikom sa definisanim profilom izvršilaca, mehanizam plaćanja i regulatornu normu</w:t>
            </w:r>
          </w:p>
        </w:tc>
        <w:tc>
          <w:tcPr>
            <w:tcW w:w="19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384ED0"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Uspostavljen sistem upravljanja mortalitetnom statistikom</w:t>
            </w:r>
          </w:p>
        </w:tc>
        <w:tc>
          <w:tcPr>
            <w:tcW w:w="1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342D2C"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MZ, IJZ, ZHMP</w:t>
            </w:r>
          </w:p>
        </w:tc>
        <w:tc>
          <w:tcPr>
            <w:tcW w:w="2508" w:type="dxa"/>
            <w:gridSpan w:val="5"/>
            <w:tcBorders>
              <w:top w:val="single" w:sz="4" w:space="0" w:color="000000"/>
              <w:left w:val="single" w:sz="4" w:space="0" w:color="000000"/>
              <w:bottom w:val="single" w:sz="4" w:space="0" w:color="000000"/>
              <w:right w:val="single" w:sz="4" w:space="0" w:color="000000"/>
            </w:tcBorders>
            <w:shd w:val="clear" w:color="auto" w:fill="FF0000"/>
            <w:tcMar>
              <w:top w:w="0" w:type="dxa"/>
              <w:left w:w="108" w:type="dxa"/>
              <w:bottom w:w="0" w:type="dxa"/>
              <w:right w:w="108" w:type="dxa"/>
            </w:tcMar>
          </w:tcPr>
          <w:p w14:paraId="10EF3481" w14:textId="743D4F3B" w:rsidR="003D4DCF" w:rsidRPr="000152CB" w:rsidRDefault="00CE0CFE" w:rsidP="003D4DCF">
            <w:pPr>
              <w:spacing w:after="0" w:line="240" w:lineRule="auto"/>
              <w:rPr>
                <w:rFonts w:eastAsia="Times New Roman" w:cs="Calibri"/>
                <w:sz w:val="20"/>
                <w:szCs w:val="20"/>
                <w:lang w:eastAsia="sr-Latn-ME"/>
              </w:rPr>
            </w:pPr>
            <w:r w:rsidRPr="00CE0CFE">
              <w:t>Multisektorska radna za unapređenje kvaliteta mortalitetne statistike u Crnoj Gori (oformljena u julu 2022. godine od strane Ministarstva zdravlja, a na predlog Instituta za javno zdravlje Crne Gore) usvojila je 2023. godine dokument Situaciona analiza mortalitetne statistike u Crnoj Gori i predlozi za njeno unapređenje.</w:t>
            </w:r>
            <w:r>
              <w:t xml:space="preserve"> Shodno </w:t>
            </w:r>
            <w:r w:rsidRPr="00D54A67">
              <w:t xml:space="preserve">kadrovskim promjenama koje su se dogodile u određenom </w:t>
            </w:r>
            <w:r w:rsidRPr="00D54A67">
              <w:lastRenderedPageBreak/>
              <w:t>broju ustanova čiji predstavnici učestvuju u radu Multisektorske radne grupe</w:t>
            </w:r>
            <w:r>
              <w:t>, potrebno je ažuriranje sastava radne grupe i nastavak aktivnosti na unapređenju kvaliteta mortalitetne statistike</w:t>
            </w:r>
            <w:r w:rsidRPr="00CE0CFE">
              <w:rPr>
                <w:rFonts w:eastAsia="Times New Roman" w:cs="Calibri"/>
                <w:sz w:val="20"/>
                <w:szCs w:val="20"/>
                <w:lang w:eastAsia="sr-Latn-ME"/>
              </w:rPr>
              <w:t xml:space="preserve"> </w:t>
            </w:r>
            <w:r w:rsidR="003D4DCF" w:rsidRPr="00CE0CFE">
              <w:rPr>
                <w:rFonts w:eastAsia="Times New Roman" w:cs="Calibri"/>
                <w:sz w:val="20"/>
                <w:szCs w:val="20"/>
                <w:lang w:eastAsia="sr-Latn-ME"/>
              </w:rPr>
              <w:t>"</w:t>
            </w:r>
            <w:r>
              <w:rPr>
                <w:rFonts w:eastAsia="Times New Roman" w:cs="Calibri"/>
                <w:sz w:val="20"/>
                <w:szCs w:val="20"/>
                <w:lang w:eastAsia="sr-Latn-ME"/>
              </w:rPr>
              <w:t>Takođe,</w:t>
            </w:r>
            <w:r w:rsidR="003D4DCF" w:rsidRPr="000152CB">
              <w:rPr>
                <w:rFonts w:eastAsia="Times New Roman" w:cs="Calibri"/>
                <w:sz w:val="20"/>
                <w:szCs w:val="20"/>
                <w:lang w:eastAsia="sr-Latn-ME"/>
              </w:rPr>
              <w:t xml:space="preserve"> unutar Instituta, planirana je reorganizacija dijela koji se odnosi na vođenje mortalitetne statistike. </w:t>
            </w:r>
          </w:p>
          <w:p w14:paraId="43BDE885" w14:textId="77777777" w:rsidR="003D4DCF" w:rsidRPr="000152CB" w:rsidRDefault="003D4DCF" w:rsidP="003D4DCF">
            <w:pPr>
              <w:spacing w:after="0" w:line="240" w:lineRule="auto"/>
              <w:rPr>
                <w:rFonts w:eastAsia="Times New Roman" w:cs="Calibri"/>
                <w:sz w:val="20"/>
                <w:szCs w:val="20"/>
                <w:lang w:eastAsia="sr-Latn-ME"/>
              </w:rPr>
            </w:pPr>
            <w:r w:rsidRPr="000152CB">
              <w:rPr>
                <w:rFonts w:eastAsia="Times New Roman" w:cs="Calibri"/>
                <w:sz w:val="20"/>
                <w:szCs w:val="20"/>
                <w:lang w:eastAsia="sr-Latn-ME"/>
              </w:rPr>
              <w:t>Cilj ove promjene je unaprijeđenje kvaliteta obrade podataka o smrtnosti, efikasnije upravljanje statističkim pokazateljima, kao i bolja koordinacija s ostalim segmentima koji se bave analizom i korištenjem zdravstvenih podataka iz oblasti mortalitetne statistike.</w:t>
            </w:r>
          </w:p>
          <w:p w14:paraId="43B5BFE2" w14:textId="7BB68221" w:rsidR="00FD6E82" w:rsidRPr="000152CB" w:rsidRDefault="003D4DCF" w:rsidP="003D4DCF">
            <w:pPr>
              <w:spacing w:after="0" w:line="240" w:lineRule="auto"/>
              <w:rPr>
                <w:rFonts w:eastAsia="Times New Roman" w:cs="Calibri"/>
                <w:sz w:val="20"/>
                <w:szCs w:val="20"/>
                <w:lang w:eastAsia="sr-Latn-ME"/>
              </w:rPr>
            </w:pPr>
            <w:r w:rsidRPr="000152CB">
              <w:rPr>
                <w:rFonts w:eastAsia="Times New Roman" w:cs="Calibri"/>
                <w:sz w:val="20"/>
                <w:szCs w:val="20"/>
                <w:lang w:eastAsia="sr-Latn-ME"/>
              </w:rPr>
              <w:t xml:space="preserve">U okviru ove reorganizacije, planirana je i dodatna edukacija </w:t>
            </w:r>
            <w:r w:rsidR="00675DBB" w:rsidRPr="000152CB">
              <w:rPr>
                <w:rFonts w:eastAsia="Times New Roman" w:cs="Calibri"/>
                <w:sz w:val="20"/>
                <w:szCs w:val="20"/>
                <w:lang w:eastAsia="sr-Latn-ME"/>
              </w:rPr>
              <w:t>zaposlen</w:t>
            </w:r>
            <w:r w:rsidR="00675DBB">
              <w:rPr>
                <w:rFonts w:eastAsia="Times New Roman" w:cs="Calibri"/>
                <w:sz w:val="20"/>
                <w:szCs w:val="20"/>
                <w:lang w:eastAsia="sr-Latn-ME"/>
              </w:rPr>
              <w:t>ih.</w:t>
            </w:r>
            <w:r w:rsidR="00675DBB" w:rsidRPr="000152CB">
              <w:rPr>
                <w:rFonts w:eastAsia="Times New Roman" w:cs="Calibri"/>
                <w:sz w:val="20"/>
                <w:szCs w:val="20"/>
                <w:lang w:eastAsia="sr-Latn-ME"/>
              </w:rPr>
              <w:t xml:space="preserve"> </w:t>
            </w:r>
            <w:r w:rsidRPr="000152CB">
              <w:rPr>
                <w:rFonts w:eastAsia="Times New Roman" w:cs="Calibri"/>
                <w:sz w:val="20"/>
                <w:szCs w:val="20"/>
                <w:lang w:eastAsia="sr-Latn-ME"/>
              </w:rPr>
              <w:t xml:space="preserve">Obuka će biti fokusirana na pravilno kodiranje uzroka smrti u skladu sa međunarodnim standardima, kao i na sticanje dodatnih kompetencija vezanih za </w:t>
            </w:r>
            <w:r w:rsidRPr="000152CB">
              <w:rPr>
                <w:rFonts w:eastAsia="Times New Roman" w:cs="Calibri"/>
                <w:sz w:val="20"/>
                <w:szCs w:val="20"/>
                <w:lang w:eastAsia="sr-Latn-ME"/>
              </w:rPr>
              <w:lastRenderedPageBreak/>
              <w:t>analizu i interpretaciju mortalitetne statistike</w:t>
            </w:r>
          </w:p>
        </w:tc>
        <w:tc>
          <w:tcPr>
            <w:tcW w:w="1962" w:type="dxa"/>
            <w:gridSpan w:val="5"/>
            <w:tcBorders>
              <w:top w:val="single" w:sz="4" w:space="0" w:color="000000"/>
              <w:left w:val="single" w:sz="4" w:space="0" w:color="000000"/>
              <w:bottom w:val="single" w:sz="4" w:space="0" w:color="000000"/>
              <w:right w:val="single" w:sz="4" w:space="0" w:color="000000"/>
            </w:tcBorders>
          </w:tcPr>
          <w:p w14:paraId="2E8F2535"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lastRenderedPageBreak/>
              <w:t>IIQ 2023-IVQ 2024</w:t>
            </w:r>
          </w:p>
        </w:tc>
        <w:tc>
          <w:tcPr>
            <w:tcW w:w="136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932F81"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Tekuća sredstva</w:t>
            </w:r>
          </w:p>
        </w:tc>
        <w:tc>
          <w:tcPr>
            <w:tcW w:w="206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924C1E"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Budžet</w:t>
            </w:r>
          </w:p>
        </w:tc>
        <w:tc>
          <w:tcPr>
            <w:tcW w:w="1809" w:type="dxa"/>
            <w:gridSpan w:val="8"/>
            <w:tcBorders>
              <w:top w:val="single" w:sz="4" w:space="0" w:color="000000"/>
              <w:left w:val="single" w:sz="4" w:space="0" w:color="000000"/>
              <w:bottom w:val="single" w:sz="4" w:space="0" w:color="000000"/>
              <w:right w:val="single" w:sz="4" w:space="0" w:color="000000"/>
            </w:tcBorders>
          </w:tcPr>
          <w:p w14:paraId="507EF616" w14:textId="6B47704B" w:rsidR="00FD6E82" w:rsidRPr="000152CB" w:rsidRDefault="00CB13A0"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Potrebno je napraviti procjenu održivosti i potrebe za realizacijom planirane aktivnosti</w:t>
            </w:r>
          </w:p>
        </w:tc>
      </w:tr>
      <w:tr w:rsidR="00FD6E82" w:rsidRPr="000152CB" w14:paraId="11E14CA5" w14:textId="77777777" w:rsidTr="00E77388">
        <w:trPr>
          <w:trHeight w:val="585"/>
          <w:jc w:val="center"/>
        </w:trPr>
        <w:tc>
          <w:tcPr>
            <w:tcW w:w="2091"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Mar>
              <w:top w:w="0" w:type="dxa"/>
              <w:left w:w="108" w:type="dxa"/>
              <w:bottom w:w="0" w:type="dxa"/>
              <w:right w:w="108" w:type="dxa"/>
            </w:tcMar>
            <w:vAlign w:val="center"/>
            <w:hideMark/>
          </w:tcPr>
          <w:p w14:paraId="4F28B04D" w14:textId="77777777" w:rsidR="00FD6E82" w:rsidRPr="000152CB" w:rsidRDefault="00FD6E82" w:rsidP="00FD6E82">
            <w:pPr>
              <w:spacing w:after="0" w:line="240" w:lineRule="auto"/>
              <w:ind w:left="270"/>
              <w:jc w:val="center"/>
              <w:rPr>
                <w:rFonts w:eastAsia="Times New Roman" w:cs="Calibri"/>
                <w:b/>
                <w:sz w:val="20"/>
                <w:szCs w:val="20"/>
                <w:lang w:eastAsia="sr-Latn-ME"/>
              </w:rPr>
            </w:pPr>
            <w:r w:rsidRPr="000152CB">
              <w:rPr>
                <w:rFonts w:eastAsia="Times New Roman" w:cs="Calibri"/>
                <w:b/>
                <w:color w:val="000000"/>
                <w:sz w:val="20"/>
                <w:szCs w:val="20"/>
                <w:lang w:eastAsia="sr-Latn-ME"/>
              </w:rPr>
              <w:lastRenderedPageBreak/>
              <w:t>OPERATIVNI CILJ 1.4.</w:t>
            </w:r>
          </w:p>
        </w:tc>
        <w:tc>
          <w:tcPr>
            <w:tcW w:w="13474" w:type="dxa"/>
            <w:gridSpan w:val="28"/>
            <w:tcBorders>
              <w:top w:val="single" w:sz="4" w:space="0" w:color="000000"/>
              <w:left w:val="single" w:sz="4" w:space="0" w:color="000000"/>
              <w:bottom w:val="single" w:sz="4" w:space="0" w:color="000000"/>
              <w:right w:val="single" w:sz="4" w:space="0" w:color="000000"/>
            </w:tcBorders>
            <w:shd w:val="clear" w:color="auto" w:fill="8EAADB" w:themeFill="accent1" w:themeFillTint="99"/>
            <w:tcMar>
              <w:top w:w="0" w:type="dxa"/>
              <w:left w:w="108" w:type="dxa"/>
              <w:bottom w:w="0" w:type="dxa"/>
              <w:right w:w="108" w:type="dxa"/>
            </w:tcMar>
            <w:vAlign w:val="center"/>
            <w:hideMark/>
          </w:tcPr>
          <w:p w14:paraId="67004EF0" w14:textId="77777777" w:rsidR="00FD6E82" w:rsidRPr="000152CB" w:rsidRDefault="00FD6E82" w:rsidP="00FD6E82">
            <w:pPr>
              <w:spacing w:after="0" w:line="240" w:lineRule="auto"/>
              <w:ind w:left="270"/>
              <w:jc w:val="center"/>
              <w:rPr>
                <w:rFonts w:eastAsia="Times New Roman" w:cs="Calibri"/>
                <w:b/>
                <w:sz w:val="20"/>
                <w:szCs w:val="20"/>
                <w:lang w:eastAsia="sr-Latn-ME"/>
              </w:rPr>
            </w:pPr>
            <w:r w:rsidRPr="000152CB">
              <w:rPr>
                <w:rFonts w:eastAsia="Times New Roman" w:cs="Calibri"/>
                <w:b/>
                <w:bCs/>
                <w:sz w:val="20"/>
                <w:szCs w:val="20"/>
                <w:lang w:eastAsia="sr-Latn-ME"/>
              </w:rPr>
              <w:t>OSNAŽITI LJUDSKE RESURSE U ZDRAVSTVU</w:t>
            </w:r>
            <w:r w:rsidRPr="000152CB">
              <w:rPr>
                <w:rFonts w:eastAsia="Times New Roman" w:cs="Calibri"/>
                <w:b/>
                <w:sz w:val="20"/>
                <w:szCs w:val="20"/>
                <w:lang w:eastAsia="sr-Latn-ME"/>
              </w:rPr>
              <w:t xml:space="preserve"> </w:t>
            </w:r>
          </w:p>
        </w:tc>
      </w:tr>
      <w:tr w:rsidR="00A6629D" w:rsidRPr="000152CB" w14:paraId="2B0EA410" w14:textId="77777777" w:rsidTr="00E77388">
        <w:trPr>
          <w:trHeight w:val="610"/>
          <w:jc w:val="center"/>
        </w:trPr>
        <w:tc>
          <w:tcPr>
            <w:tcW w:w="2091"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top w:w="0" w:type="dxa"/>
              <w:left w:w="108" w:type="dxa"/>
              <w:bottom w:w="0" w:type="dxa"/>
              <w:right w:w="108" w:type="dxa"/>
            </w:tcMar>
            <w:vAlign w:val="center"/>
            <w:hideMark/>
          </w:tcPr>
          <w:p w14:paraId="0B46084C" w14:textId="77777777" w:rsidR="00FD6E82" w:rsidRPr="000152CB" w:rsidRDefault="00FD6E82" w:rsidP="00FD6E82">
            <w:pPr>
              <w:spacing w:after="0" w:line="240" w:lineRule="auto"/>
              <w:ind w:left="270"/>
              <w:jc w:val="center"/>
              <w:rPr>
                <w:rFonts w:eastAsia="Times New Roman" w:cs="Calibri"/>
                <w:b/>
                <w:color w:val="000000"/>
                <w:sz w:val="20"/>
                <w:szCs w:val="20"/>
                <w:lang w:eastAsia="sr-Latn-ME"/>
              </w:rPr>
            </w:pPr>
            <w:r w:rsidRPr="000152CB">
              <w:rPr>
                <w:rFonts w:eastAsia="Times New Roman" w:cs="Calibri"/>
                <w:b/>
                <w:color w:val="000000"/>
                <w:sz w:val="20"/>
                <w:szCs w:val="20"/>
                <w:lang w:eastAsia="sr-Latn-ME"/>
              </w:rPr>
              <w:t xml:space="preserve">INDIKATOR UČINKA 1: </w:t>
            </w:r>
          </w:p>
          <w:p w14:paraId="18B9017C" w14:textId="77777777" w:rsidR="00FD6E82" w:rsidRPr="000152CB" w:rsidRDefault="00FD6E82" w:rsidP="00FD6E82">
            <w:pPr>
              <w:spacing w:after="0" w:line="240" w:lineRule="auto"/>
              <w:ind w:left="270"/>
              <w:jc w:val="center"/>
              <w:rPr>
                <w:rFonts w:eastAsia="Times New Roman" w:cs="Calibri"/>
                <w:b/>
                <w:color w:val="000000"/>
                <w:sz w:val="20"/>
                <w:szCs w:val="20"/>
                <w:lang w:eastAsia="sr-Latn-ME"/>
              </w:rPr>
            </w:pPr>
            <w:r w:rsidRPr="000152CB">
              <w:rPr>
                <w:rFonts w:eastAsia="Times New Roman" w:cs="Calibri"/>
                <w:b/>
                <w:color w:val="000000"/>
                <w:sz w:val="20"/>
                <w:szCs w:val="20"/>
                <w:lang w:eastAsia="sr-Latn-ME"/>
              </w:rPr>
              <w:t xml:space="preserve">Broj zdravstvenih radnika (doktora i medicinskih sestara/tehničara) na 1000 stanovnika </w:t>
            </w:r>
          </w:p>
          <w:p w14:paraId="0C7ABC87" w14:textId="77777777" w:rsidR="00FD6E82" w:rsidRPr="000152CB" w:rsidRDefault="00FD6E82" w:rsidP="00FD6E82">
            <w:pPr>
              <w:spacing w:after="0" w:line="240" w:lineRule="auto"/>
              <w:ind w:left="270"/>
              <w:jc w:val="center"/>
              <w:rPr>
                <w:rFonts w:eastAsia="Times New Roman" w:cs="Calibri"/>
                <w:b/>
                <w:sz w:val="20"/>
                <w:szCs w:val="20"/>
                <w:lang w:eastAsia="sr-Latn-ME"/>
              </w:rPr>
            </w:pPr>
          </w:p>
        </w:tc>
        <w:tc>
          <w:tcPr>
            <w:tcW w:w="3766" w:type="dxa"/>
            <w:gridSpan w:val="3"/>
            <w:tcBorders>
              <w:top w:val="single" w:sz="4" w:space="0" w:color="000000"/>
              <w:left w:val="single" w:sz="4" w:space="0" w:color="000000"/>
              <w:bottom w:val="single" w:sz="4" w:space="0" w:color="auto"/>
              <w:right w:val="single" w:sz="4" w:space="0" w:color="000000"/>
            </w:tcBorders>
            <w:shd w:val="clear" w:color="auto" w:fill="B4C6E7" w:themeFill="accent1" w:themeFillTint="66"/>
            <w:tcMar>
              <w:top w:w="0" w:type="dxa"/>
              <w:left w:w="108" w:type="dxa"/>
              <w:bottom w:w="0" w:type="dxa"/>
              <w:right w:w="108" w:type="dxa"/>
            </w:tcMar>
            <w:hideMark/>
          </w:tcPr>
          <w:p w14:paraId="5B9F4FA6" w14:textId="77777777" w:rsidR="00FD6E82" w:rsidRPr="000152CB" w:rsidRDefault="00FD6E82" w:rsidP="00FD6E82">
            <w:pPr>
              <w:spacing w:after="0" w:line="240" w:lineRule="auto"/>
              <w:ind w:left="270"/>
              <w:contextualSpacing/>
              <w:jc w:val="center"/>
              <w:rPr>
                <w:rFonts w:eastAsia="Times New Roman" w:cs="Calibri"/>
                <w:b/>
                <w:color w:val="000000"/>
                <w:sz w:val="20"/>
                <w:szCs w:val="20"/>
                <w:lang w:eastAsia="sr-Latn-ME"/>
              </w:rPr>
            </w:pPr>
            <w:r w:rsidRPr="000152CB">
              <w:rPr>
                <w:rFonts w:eastAsia="Times New Roman" w:cs="Calibri"/>
                <w:b/>
                <w:color w:val="000000"/>
                <w:sz w:val="20"/>
                <w:szCs w:val="20"/>
                <w:lang w:eastAsia="sr-Latn-ME"/>
              </w:rPr>
              <w:t>Početna vrijednost:</w:t>
            </w:r>
          </w:p>
          <w:p w14:paraId="09BF6D86" w14:textId="77777777" w:rsidR="00FD6E82" w:rsidRPr="000152CB" w:rsidRDefault="00FD6E82" w:rsidP="00FD6E82">
            <w:pPr>
              <w:spacing w:after="0" w:line="240" w:lineRule="auto"/>
              <w:ind w:left="270"/>
              <w:contextualSpacing/>
              <w:jc w:val="center"/>
              <w:rPr>
                <w:rFonts w:eastAsia="Times New Roman" w:cs="Calibri"/>
                <w:b/>
                <w:color w:val="000000"/>
                <w:sz w:val="20"/>
                <w:szCs w:val="20"/>
                <w:lang w:eastAsia="sr-Latn-ME"/>
              </w:rPr>
            </w:pPr>
          </w:p>
          <w:p w14:paraId="0FD95578" w14:textId="77777777" w:rsidR="00FD6E82" w:rsidRPr="000152CB" w:rsidRDefault="00FD6E82" w:rsidP="00FD6E82">
            <w:pPr>
              <w:spacing w:after="0" w:line="240" w:lineRule="auto"/>
              <w:ind w:left="270"/>
              <w:contextualSpacing/>
              <w:jc w:val="center"/>
              <w:rPr>
                <w:rFonts w:eastAsia="Times New Roman" w:cs="Calibri"/>
                <w:bCs/>
                <w:color w:val="000000"/>
                <w:sz w:val="20"/>
                <w:szCs w:val="20"/>
                <w:lang w:eastAsia="sr-Latn-ME"/>
              </w:rPr>
            </w:pPr>
            <w:r w:rsidRPr="000152CB">
              <w:rPr>
                <w:rFonts w:eastAsia="Times New Roman" w:cs="Calibri"/>
                <w:bCs/>
                <w:color w:val="000000"/>
                <w:sz w:val="20"/>
                <w:szCs w:val="20"/>
                <w:lang w:eastAsia="sr-Latn-ME"/>
              </w:rPr>
              <w:t xml:space="preserve">2,9 doktora na 1000 stanovnika </w:t>
            </w:r>
          </w:p>
          <w:p w14:paraId="1FB0A161" w14:textId="77777777" w:rsidR="00FD6E82" w:rsidRPr="000152CB" w:rsidRDefault="00FD6E82" w:rsidP="00FD6E82">
            <w:pPr>
              <w:spacing w:after="0" w:line="240" w:lineRule="auto"/>
              <w:ind w:left="270"/>
              <w:contextualSpacing/>
              <w:jc w:val="center"/>
              <w:rPr>
                <w:rFonts w:eastAsia="Times New Roman" w:cs="Calibri"/>
                <w:bCs/>
                <w:color w:val="000000"/>
                <w:sz w:val="20"/>
                <w:szCs w:val="20"/>
                <w:lang w:eastAsia="sr-Latn-ME"/>
              </w:rPr>
            </w:pPr>
            <w:r w:rsidRPr="000152CB">
              <w:rPr>
                <w:rFonts w:eastAsia="Times New Roman" w:cs="Calibri"/>
                <w:bCs/>
                <w:color w:val="000000"/>
                <w:sz w:val="20"/>
                <w:szCs w:val="20"/>
                <w:lang w:eastAsia="sr-Latn-ME"/>
              </w:rPr>
              <w:t xml:space="preserve">5,9 medicinskih sestara/tehničara na 1000 stanovnika </w:t>
            </w:r>
          </w:p>
          <w:p w14:paraId="562BD656" w14:textId="77777777" w:rsidR="00FD6E82" w:rsidRPr="000152CB" w:rsidRDefault="00FD6E82" w:rsidP="00FD6E82">
            <w:pPr>
              <w:spacing w:after="0" w:line="240" w:lineRule="auto"/>
              <w:ind w:left="270"/>
              <w:contextualSpacing/>
              <w:jc w:val="center"/>
              <w:rPr>
                <w:rFonts w:eastAsia="Times New Roman" w:cs="Calibri"/>
                <w:b/>
                <w:color w:val="000000"/>
                <w:sz w:val="20"/>
                <w:szCs w:val="20"/>
                <w:lang w:eastAsia="sr-Latn-ME"/>
              </w:rPr>
            </w:pPr>
          </w:p>
        </w:tc>
        <w:tc>
          <w:tcPr>
            <w:tcW w:w="4067" w:type="dxa"/>
            <w:gridSpan w:val="7"/>
            <w:tcBorders>
              <w:top w:val="single" w:sz="4" w:space="0" w:color="000000"/>
              <w:left w:val="single" w:sz="4" w:space="0" w:color="000000"/>
              <w:bottom w:val="single" w:sz="4" w:space="0" w:color="auto"/>
              <w:right w:val="single" w:sz="4" w:space="0" w:color="000000"/>
            </w:tcBorders>
            <w:shd w:val="clear" w:color="auto" w:fill="B4C6E7" w:themeFill="accent1" w:themeFillTint="66"/>
          </w:tcPr>
          <w:p w14:paraId="6ACA81BF" w14:textId="77777777" w:rsidR="00FD6E82" w:rsidRPr="000152CB" w:rsidRDefault="00FD6E82" w:rsidP="00FD6E82">
            <w:pPr>
              <w:spacing w:after="0" w:line="240" w:lineRule="auto"/>
              <w:ind w:left="270"/>
              <w:contextualSpacing/>
              <w:jc w:val="center"/>
              <w:rPr>
                <w:rFonts w:eastAsia="Times New Roman" w:cs="Calibri"/>
                <w:b/>
                <w:color w:val="000000"/>
                <w:sz w:val="20"/>
                <w:szCs w:val="20"/>
                <w:lang w:eastAsia="sr-Latn-ME"/>
              </w:rPr>
            </w:pPr>
            <w:r w:rsidRPr="000152CB">
              <w:rPr>
                <w:rFonts w:eastAsia="Times New Roman" w:cs="Calibri"/>
                <w:b/>
                <w:color w:val="000000"/>
                <w:sz w:val="20"/>
                <w:szCs w:val="20"/>
                <w:lang w:eastAsia="sr-Latn-ME"/>
              </w:rPr>
              <w:t>Prelazna vrijednost:</w:t>
            </w:r>
          </w:p>
          <w:p w14:paraId="75E07ACA" w14:textId="77777777" w:rsidR="00FD6E82" w:rsidRPr="000152CB" w:rsidRDefault="00FD6E82" w:rsidP="00FD6E82">
            <w:pPr>
              <w:spacing w:after="0" w:line="240" w:lineRule="auto"/>
              <w:ind w:left="270"/>
              <w:contextualSpacing/>
              <w:jc w:val="center"/>
              <w:rPr>
                <w:rFonts w:eastAsia="Times New Roman" w:cs="Calibri"/>
                <w:b/>
                <w:color w:val="000000"/>
                <w:sz w:val="20"/>
                <w:szCs w:val="20"/>
                <w:lang w:eastAsia="sr-Latn-ME"/>
              </w:rPr>
            </w:pPr>
          </w:p>
          <w:p w14:paraId="3FD381B5" w14:textId="77777777" w:rsidR="00FD6E82" w:rsidRPr="000152CB" w:rsidRDefault="00FD6E82" w:rsidP="00FD6E82">
            <w:pPr>
              <w:spacing w:after="0" w:line="240" w:lineRule="auto"/>
              <w:ind w:left="270"/>
              <w:contextualSpacing/>
              <w:jc w:val="center"/>
              <w:rPr>
                <w:rFonts w:eastAsia="Times New Roman" w:cs="Calibri"/>
                <w:bCs/>
                <w:color w:val="000000"/>
                <w:sz w:val="20"/>
                <w:szCs w:val="20"/>
                <w:lang w:eastAsia="sr-Latn-ME"/>
              </w:rPr>
            </w:pPr>
            <w:r w:rsidRPr="000152CB">
              <w:rPr>
                <w:rFonts w:eastAsia="Times New Roman" w:cs="Calibri"/>
                <w:bCs/>
                <w:color w:val="000000"/>
                <w:sz w:val="20"/>
                <w:szCs w:val="20"/>
                <w:lang w:eastAsia="sr-Latn-ME"/>
              </w:rPr>
              <w:t xml:space="preserve">3,2 doktora na 1000 stanovnika </w:t>
            </w:r>
          </w:p>
          <w:p w14:paraId="3023CD01" w14:textId="77777777" w:rsidR="00FD6E82" w:rsidRPr="000152CB" w:rsidRDefault="00FD6E82" w:rsidP="00FD6E82">
            <w:pPr>
              <w:spacing w:after="0" w:line="240" w:lineRule="auto"/>
              <w:ind w:left="270"/>
              <w:contextualSpacing/>
              <w:jc w:val="center"/>
              <w:rPr>
                <w:rFonts w:eastAsia="Times New Roman" w:cs="Calibri"/>
                <w:bCs/>
                <w:color w:val="000000"/>
                <w:sz w:val="20"/>
                <w:szCs w:val="20"/>
                <w:lang w:eastAsia="sr-Latn-ME"/>
              </w:rPr>
            </w:pPr>
          </w:p>
          <w:p w14:paraId="687C6771" w14:textId="77777777" w:rsidR="00FD6E82" w:rsidRPr="000152CB" w:rsidRDefault="00FD6E82" w:rsidP="00FD6E82">
            <w:pPr>
              <w:spacing w:after="0" w:line="240" w:lineRule="auto"/>
              <w:ind w:left="270"/>
              <w:contextualSpacing/>
              <w:jc w:val="center"/>
              <w:rPr>
                <w:rFonts w:eastAsia="Times New Roman" w:cs="Calibri"/>
                <w:bCs/>
                <w:color w:val="000000"/>
                <w:sz w:val="20"/>
                <w:szCs w:val="20"/>
                <w:lang w:eastAsia="sr-Latn-ME"/>
              </w:rPr>
            </w:pPr>
          </w:p>
          <w:p w14:paraId="07995037" w14:textId="77777777" w:rsidR="00FD6E82" w:rsidRPr="000152CB" w:rsidRDefault="00FD6E82" w:rsidP="00FD6E82">
            <w:pPr>
              <w:spacing w:after="0" w:line="240" w:lineRule="auto"/>
              <w:ind w:left="270"/>
              <w:contextualSpacing/>
              <w:jc w:val="center"/>
              <w:rPr>
                <w:rFonts w:eastAsia="Times New Roman" w:cs="Calibri"/>
                <w:bCs/>
                <w:color w:val="000000"/>
                <w:sz w:val="20"/>
                <w:szCs w:val="20"/>
                <w:lang w:eastAsia="sr-Latn-ME"/>
              </w:rPr>
            </w:pPr>
            <w:r w:rsidRPr="000152CB">
              <w:rPr>
                <w:rFonts w:eastAsia="Times New Roman" w:cs="Calibri"/>
                <w:bCs/>
                <w:color w:val="000000"/>
                <w:sz w:val="20"/>
                <w:szCs w:val="20"/>
                <w:lang w:eastAsia="sr-Latn-ME"/>
              </w:rPr>
              <w:t>6,5 medicinskih sestara/tehničara na 1000 stanovnika</w:t>
            </w:r>
          </w:p>
          <w:p w14:paraId="1FA7129E" w14:textId="77777777" w:rsidR="00FD6E82" w:rsidRPr="000152CB" w:rsidRDefault="00FD6E82" w:rsidP="00FD6E82">
            <w:pPr>
              <w:spacing w:after="0" w:line="240" w:lineRule="auto"/>
              <w:ind w:left="270"/>
              <w:contextualSpacing/>
              <w:jc w:val="center"/>
              <w:rPr>
                <w:rFonts w:eastAsia="Times New Roman" w:cs="Calibri"/>
                <w:b/>
                <w:color w:val="000000"/>
                <w:sz w:val="20"/>
                <w:szCs w:val="20"/>
                <w:lang w:eastAsia="sr-Latn-ME"/>
              </w:rPr>
            </w:pPr>
          </w:p>
        </w:tc>
        <w:tc>
          <w:tcPr>
            <w:tcW w:w="5641" w:type="dxa"/>
            <w:gridSpan w:val="18"/>
            <w:tcBorders>
              <w:top w:val="single" w:sz="4" w:space="0" w:color="000000"/>
              <w:left w:val="single" w:sz="4" w:space="0" w:color="000000"/>
              <w:bottom w:val="single" w:sz="4" w:space="0" w:color="auto"/>
              <w:right w:val="single" w:sz="4" w:space="0" w:color="000000"/>
            </w:tcBorders>
            <w:shd w:val="clear" w:color="auto" w:fill="B4C6E7" w:themeFill="accent1" w:themeFillTint="66"/>
          </w:tcPr>
          <w:p w14:paraId="6781F98F" w14:textId="77777777" w:rsidR="00FD6E82" w:rsidRPr="000152CB" w:rsidRDefault="00FD6E82" w:rsidP="00FD6E82">
            <w:pPr>
              <w:spacing w:after="0" w:line="240" w:lineRule="auto"/>
              <w:ind w:left="270"/>
              <w:jc w:val="center"/>
              <w:rPr>
                <w:rFonts w:eastAsia="Times New Roman" w:cs="Calibri"/>
                <w:b/>
                <w:color w:val="000000"/>
                <w:sz w:val="20"/>
                <w:szCs w:val="20"/>
                <w:lang w:eastAsia="sr-Latn-ME"/>
              </w:rPr>
            </w:pPr>
            <w:r w:rsidRPr="000152CB">
              <w:rPr>
                <w:rFonts w:eastAsia="Times New Roman" w:cs="Calibri"/>
                <w:b/>
                <w:color w:val="000000"/>
                <w:sz w:val="20"/>
                <w:szCs w:val="20"/>
                <w:lang w:eastAsia="sr-Latn-ME"/>
              </w:rPr>
              <w:t>Ciljna vrijednost:</w:t>
            </w:r>
          </w:p>
          <w:p w14:paraId="004FCBB4" w14:textId="77777777" w:rsidR="00FD6E82" w:rsidRPr="000152CB" w:rsidRDefault="00FD6E82" w:rsidP="00FD6E82">
            <w:pPr>
              <w:spacing w:after="0" w:line="240" w:lineRule="auto"/>
              <w:ind w:left="270"/>
              <w:jc w:val="center"/>
              <w:rPr>
                <w:rFonts w:eastAsia="Times New Roman" w:cs="Calibri"/>
                <w:b/>
                <w:color w:val="000000"/>
                <w:sz w:val="20"/>
                <w:szCs w:val="20"/>
                <w:lang w:eastAsia="sr-Latn-ME"/>
              </w:rPr>
            </w:pPr>
          </w:p>
          <w:p w14:paraId="10466952" w14:textId="77777777" w:rsidR="00FD6E82" w:rsidRPr="000152CB" w:rsidRDefault="00FD6E82" w:rsidP="00FD6E82">
            <w:pPr>
              <w:spacing w:after="0" w:line="240" w:lineRule="auto"/>
              <w:ind w:left="270"/>
              <w:jc w:val="center"/>
              <w:rPr>
                <w:rFonts w:eastAsia="Times New Roman" w:cs="Calibri"/>
                <w:bCs/>
                <w:color w:val="000000"/>
                <w:sz w:val="20"/>
                <w:szCs w:val="20"/>
                <w:lang w:eastAsia="sr-Latn-ME"/>
              </w:rPr>
            </w:pPr>
            <w:r w:rsidRPr="000152CB">
              <w:rPr>
                <w:rFonts w:eastAsia="Times New Roman" w:cs="Calibri"/>
                <w:bCs/>
                <w:color w:val="000000"/>
                <w:sz w:val="20"/>
                <w:szCs w:val="20"/>
                <w:lang w:eastAsia="sr-Latn-ME"/>
              </w:rPr>
              <w:t xml:space="preserve">3,5 doktora na 1000 stanovnika </w:t>
            </w:r>
          </w:p>
          <w:p w14:paraId="784339B7" w14:textId="77777777" w:rsidR="00FD6E82" w:rsidRPr="000152CB" w:rsidRDefault="00FD6E82" w:rsidP="00FD6E82">
            <w:pPr>
              <w:spacing w:after="0" w:line="240" w:lineRule="auto"/>
              <w:ind w:left="270"/>
              <w:jc w:val="center"/>
              <w:rPr>
                <w:rFonts w:eastAsia="Times New Roman" w:cs="Calibri"/>
                <w:bCs/>
                <w:color w:val="000000"/>
                <w:sz w:val="20"/>
                <w:szCs w:val="20"/>
                <w:lang w:eastAsia="sr-Latn-ME"/>
              </w:rPr>
            </w:pPr>
          </w:p>
          <w:p w14:paraId="460A2243" w14:textId="77777777" w:rsidR="00FD6E82" w:rsidRPr="000152CB" w:rsidRDefault="00FD6E82" w:rsidP="00FD6E82">
            <w:pPr>
              <w:spacing w:after="0" w:line="240" w:lineRule="auto"/>
              <w:ind w:left="270"/>
              <w:jc w:val="center"/>
              <w:rPr>
                <w:rFonts w:eastAsia="Times New Roman" w:cs="Calibri"/>
                <w:bCs/>
                <w:color w:val="000000"/>
                <w:sz w:val="20"/>
                <w:szCs w:val="20"/>
                <w:lang w:eastAsia="sr-Latn-ME"/>
              </w:rPr>
            </w:pPr>
          </w:p>
          <w:p w14:paraId="0DD14F44" w14:textId="77777777" w:rsidR="00FD6E82" w:rsidRPr="000152CB" w:rsidRDefault="00FD6E82" w:rsidP="00FD6E82">
            <w:pPr>
              <w:spacing w:after="0" w:line="240" w:lineRule="auto"/>
              <w:ind w:left="270"/>
              <w:jc w:val="center"/>
              <w:rPr>
                <w:rFonts w:eastAsia="Times New Roman" w:cs="Calibri"/>
                <w:bCs/>
                <w:color w:val="000000"/>
                <w:sz w:val="20"/>
                <w:szCs w:val="20"/>
                <w:lang w:eastAsia="sr-Latn-ME"/>
              </w:rPr>
            </w:pPr>
            <w:r w:rsidRPr="000152CB">
              <w:rPr>
                <w:rFonts w:eastAsia="Times New Roman" w:cs="Calibri"/>
                <w:bCs/>
                <w:color w:val="000000"/>
                <w:sz w:val="20"/>
                <w:szCs w:val="20"/>
                <w:lang w:eastAsia="sr-Latn-ME"/>
              </w:rPr>
              <w:t>7</w:t>
            </w:r>
            <w:r w:rsidRPr="000152CB">
              <w:rPr>
                <w:bCs/>
              </w:rPr>
              <w:t xml:space="preserve"> </w:t>
            </w:r>
            <w:r w:rsidRPr="000152CB">
              <w:rPr>
                <w:rFonts w:eastAsia="Times New Roman" w:cs="Calibri"/>
                <w:bCs/>
                <w:color w:val="000000"/>
                <w:sz w:val="20"/>
                <w:szCs w:val="20"/>
                <w:lang w:eastAsia="sr-Latn-ME"/>
              </w:rPr>
              <w:t>medicinskih sestara/tehničara na 1000 stanovnika</w:t>
            </w:r>
          </w:p>
          <w:p w14:paraId="31DA9EE6" w14:textId="77777777" w:rsidR="00FD6E82" w:rsidRPr="000152CB" w:rsidRDefault="00FD6E82" w:rsidP="00FD6E82">
            <w:pPr>
              <w:spacing w:after="0" w:line="240" w:lineRule="auto"/>
              <w:ind w:left="270"/>
              <w:jc w:val="center"/>
              <w:rPr>
                <w:rFonts w:eastAsia="Times New Roman" w:cs="Calibri"/>
                <w:b/>
                <w:sz w:val="20"/>
                <w:szCs w:val="20"/>
                <w:lang w:eastAsia="sr-Latn-ME"/>
              </w:rPr>
            </w:pPr>
          </w:p>
        </w:tc>
      </w:tr>
      <w:tr w:rsidR="00BB44DA" w:rsidRPr="000152CB" w14:paraId="280BF5E5" w14:textId="77777777" w:rsidTr="00E77388">
        <w:trPr>
          <w:trHeight w:val="515"/>
          <w:jc w:val="center"/>
        </w:trPr>
        <w:tc>
          <w:tcPr>
            <w:tcW w:w="2091" w:type="dxa"/>
            <w:vMerge w:val="restart"/>
            <w:tcBorders>
              <w:top w:val="single" w:sz="4" w:space="0" w:color="000000"/>
              <w:left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6BB8D0BA"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b/>
                <w:color w:val="000000"/>
                <w:sz w:val="20"/>
                <w:szCs w:val="20"/>
                <w:lang w:eastAsia="sr-Latn-ME"/>
              </w:rPr>
              <w:t>Aktivnost koja utiče na realizaciju Operativnog cilja</w:t>
            </w:r>
          </w:p>
        </w:tc>
        <w:tc>
          <w:tcPr>
            <w:tcW w:w="1970" w:type="dxa"/>
            <w:gridSpan w:val="2"/>
            <w:vMerge w:val="restart"/>
            <w:tcBorders>
              <w:top w:val="single" w:sz="4" w:space="0" w:color="000000"/>
              <w:left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2C2C6463"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b/>
                <w:color w:val="000000"/>
                <w:sz w:val="20"/>
                <w:szCs w:val="20"/>
                <w:lang w:eastAsia="sr-Latn-ME"/>
              </w:rPr>
              <w:t>Indikator rezultata</w:t>
            </w:r>
          </w:p>
        </w:tc>
        <w:tc>
          <w:tcPr>
            <w:tcW w:w="1796" w:type="dxa"/>
            <w:vMerge w:val="restart"/>
            <w:tcBorders>
              <w:top w:val="single" w:sz="4" w:space="0" w:color="000000"/>
              <w:left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3E13E456"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b/>
                <w:color w:val="000000"/>
                <w:sz w:val="20"/>
                <w:szCs w:val="20"/>
                <w:lang w:eastAsia="sr-Latn-ME"/>
              </w:rPr>
              <w:t>Nadležna institucija</w:t>
            </w:r>
          </w:p>
        </w:tc>
        <w:tc>
          <w:tcPr>
            <w:tcW w:w="2508" w:type="dxa"/>
            <w:gridSpan w:val="5"/>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0" w:type="dxa"/>
              <w:left w:w="108" w:type="dxa"/>
              <w:bottom w:w="0" w:type="dxa"/>
              <w:right w:w="108" w:type="dxa"/>
            </w:tcMar>
          </w:tcPr>
          <w:p w14:paraId="1C2B7DD4" w14:textId="77777777" w:rsidR="00FD6E82" w:rsidRPr="000152CB" w:rsidRDefault="00FD6E82" w:rsidP="00FD6E82">
            <w:pPr>
              <w:spacing w:after="0" w:line="240" w:lineRule="auto"/>
              <w:rPr>
                <w:rFonts w:eastAsia="Times New Roman" w:cs="Calibri"/>
                <w:b/>
                <w:bCs/>
                <w:sz w:val="20"/>
                <w:szCs w:val="20"/>
                <w:lang w:eastAsia="sr-Latn-ME"/>
              </w:rPr>
            </w:pPr>
            <w:r w:rsidRPr="000152CB">
              <w:rPr>
                <w:rFonts w:eastAsia="Times New Roman" w:cs="Calibri"/>
                <w:b/>
                <w:bCs/>
                <w:sz w:val="20"/>
                <w:szCs w:val="20"/>
                <w:lang w:eastAsia="sr-Latn-ME"/>
              </w:rPr>
              <w:t>STATUS REALIZACIJE AKTIVNOSTI</w:t>
            </w:r>
          </w:p>
        </w:tc>
        <w:tc>
          <w:tcPr>
            <w:tcW w:w="1962" w:type="dxa"/>
            <w:gridSpan w:val="5"/>
            <w:vMerge w:val="restart"/>
            <w:tcBorders>
              <w:top w:val="single" w:sz="4" w:space="0" w:color="000000"/>
              <w:left w:val="single" w:sz="4" w:space="0" w:color="000000"/>
              <w:right w:val="single" w:sz="4" w:space="0" w:color="000000"/>
            </w:tcBorders>
            <w:shd w:val="clear" w:color="auto" w:fill="D9E2F3" w:themeFill="accent1" w:themeFillTint="33"/>
            <w:vAlign w:val="center"/>
          </w:tcPr>
          <w:p w14:paraId="4B86E58A"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b/>
                <w:color w:val="000000"/>
                <w:sz w:val="20"/>
                <w:szCs w:val="20"/>
                <w:lang w:eastAsia="sr-Latn-ME"/>
              </w:rPr>
              <w:t>Planirani rok završetka</w:t>
            </w:r>
          </w:p>
        </w:tc>
        <w:tc>
          <w:tcPr>
            <w:tcW w:w="1368" w:type="dxa"/>
            <w:gridSpan w:val="4"/>
            <w:vMerge w:val="restart"/>
            <w:tcBorders>
              <w:top w:val="single" w:sz="4" w:space="0" w:color="000000"/>
              <w:left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1120A977"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b/>
                <w:color w:val="000000"/>
                <w:sz w:val="20"/>
                <w:szCs w:val="20"/>
                <w:lang w:eastAsia="sr-Latn-ME"/>
              </w:rPr>
              <w:t>Planirana i utrošena sredstva</w:t>
            </w:r>
          </w:p>
        </w:tc>
        <w:tc>
          <w:tcPr>
            <w:tcW w:w="2061" w:type="dxa"/>
            <w:gridSpan w:val="3"/>
            <w:vMerge w:val="restart"/>
            <w:tcBorders>
              <w:top w:val="single" w:sz="4" w:space="0" w:color="000000"/>
              <w:left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2D11F4E7"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b/>
                <w:color w:val="000000"/>
                <w:sz w:val="20"/>
                <w:szCs w:val="20"/>
                <w:lang w:eastAsia="sr-Latn-ME"/>
              </w:rPr>
              <w:t>Izvor finansiranja</w:t>
            </w:r>
          </w:p>
        </w:tc>
        <w:tc>
          <w:tcPr>
            <w:tcW w:w="1809" w:type="dxa"/>
            <w:gridSpan w:val="8"/>
            <w:vMerge w:val="restart"/>
            <w:tcBorders>
              <w:top w:val="single" w:sz="4" w:space="0" w:color="000000"/>
              <w:left w:val="single" w:sz="4" w:space="0" w:color="000000"/>
              <w:right w:val="single" w:sz="4" w:space="0" w:color="000000"/>
            </w:tcBorders>
            <w:shd w:val="clear" w:color="auto" w:fill="DEEAF6" w:themeFill="accent5" w:themeFillTint="33"/>
          </w:tcPr>
          <w:p w14:paraId="24ECFE03" w14:textId="77777777" w:rsidR="00FD6E82" w:rsidRPr="000152CB" w:rsidRDefault="00FD6E82" w:rsidP="00FD6E82">
            <w:pPr>
              <w:spacing w:after="0" w:line="240" w:lineRule="auto"/>
              <w:jc w:val="center"/>
              <w:rPr>
                <w:rFonts w:eastAsia="Times New Roman" w:cs="Calibri"/>
                <w:b/>
                <w:bCs/>
                <w:sz w:val="20"/>
                <w:szCs w:val="20"/>
                <w:lang w:eastAsia="sr-Latn-ME"/>
              </w:rPr>
            </w:pPr>
          </w:p>
          <w:p w14:paraId="32D9867E" w14:textId="77777777" w:rsidR="00FD6E82" w:rsidRPr="000152CB" w:rsidRDefault="00FD6E82" w:rsidP="00FD6E82">
            <w:pPr>
              <w:spacing w:after="0" w:line="240" w:lineRule="auto"/>
              <w:jc w:val="center"/>
              <w:rPr>
                <w:rFonts w:eastAsia="Times New Roman" w:cs="Calibri"/>
                <w:b/>
                <w:bCs/>
                <w:sz w:val="20"/>
                <w:szCs w:val="20"/>
                <w:lang w:eastAsia="sr-Latn-ME"/>
              </w:rPr>
            </w:pPr>
          </w:p>
          <w:p w14:paraId="5E095B99" w14:textId="77777777" w:rsidR="00FD6E82" w:rsidRPr="000152CB" w:rsidRDefault="00FD6E82" w:rsidP="00FD6E82">
            <w:pPr>
              <w:spacing w:after="0" w:line="240" w:lineRule="auto"/>
              <w:jc w:val="center"/>
              <w:rPr>
                <w:rFonts w:eastAsia="Times New Roman" w:cs="Calibri"/>
                <w:b/>
                <w:bCs/>
                <w:sz w:val="20"/>
                <w:szCs w:val="20"/>
                <w:lang w:eastAsia="sr-Latn-ME"/>
              </w:rPr>
            </w:pPr>
            <w:r w:rsidRPr="000152CB">
              <w:rPr>
                <w:rFonts w:eastAsia="Times New Roman" w:cs="Calibri"/>
                <w:b/>
                <w:bCs/>
                <w:sz w:val="20"/>
                <w:szCs w:val="20"/>
                <w:lang w:eastAsia="sr-Latn-ME"/>
              </w:rPr>
              <w:t>Preporuke</w:t>
            </w:r>
          </w:p>
        </w:tc>
      </w:tr>
      <w:tr w:rsidR="00CA0422" w:rsidRPr="000152CB" w14:paraId="71138FF3" w14:textId="77777777" w:rsidTr="00E77388">
        <w:trPr>
          <w:trHeight w:val="372"/>
          <w:jc w:val="center"/>
        </w:trPr>
        <w:tc>
          <w:tcPr>
            <w:tcW w:w="2091" w:type="dxa"/>
            <w:vMerge/>
            <w:tcBorders>
              <w:left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6DE50896" w14:textId="77777777" w:rsidR="00FD6E82" w:rsidRPr="000152CB" w:rsidRDefault="00FD6E82" w:rsidP="00FD6E82">
            <w:pPr>
              <w:spacing w:after="0" w:line="240" w:lineRule="auto"/>
              <w:rPr>
                <w:rFonts w:eastAsia="Times New Roman" w:cs="Calibri"/>
                <w:b/>
                <w:color w:val="000000"/>
                <w:sz w:val="20"/>
                <w:szCs w:val="20"/>
                <w:lang w:eastAsia="sr-Latn-ME"/>
              </w:rPr>
            </w:pPr>
          </w:p>
        </w:tc>
        <w:tc>
          <w:tcPr>
            <w:tcW w:w="1970" w:type="dxa"/>
            <w:gridSpan w:val="2"/>
            <w:vMerge/>
            <w:tcBorders>
              <w:left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06875DC1" w14:textId="77777777" w:rsidR="00FD6E82" w:rsidRPr="000152CB" w:rsidRDefault="00FD6E82" w:rsidP="00FD6E82">
            <w:pPr>
              <w:spacing w:after="0" w:line="240" w:lineRule="auto"/>
              <w:rPr>
                <w:rFonts w:eastAsia="Times New Roman" w:cs="Calibri"/>
                <w:b/>
                <w:color w:val="000000"/>
                <w:sz w:val="20"/>
                <w:szCs w:val="20"/>
                <w:lang w:eastAsia="sr-Latn-ME"/>
              </w:rPr>
            </w:pPr>
          </w:p>
        </w:tc>
        <w:tc>
          <w:tcPr>
            <w:tcW w:w="1796" w:type="dxa"/>
            <w:vMerge/>
            <w:tcBorders>
              <w:left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122460F3" w14:textId="77777777" w:rsidR="00FD6E82" w:rsidRPr="000152CB" w:rsidRDefault="00FD6E82" w:rsidP="00FD6E82">
            <w:pPr>
              <w:spacing w:after="0" w:line="240" w:lineRule="auto"/>
              <w:rPr>
                <w:rFonts w:eastAsia="Times New Roman" w:cs="Calibri"/>
                <w:b/>
                <w:color w:val="000000"/>
                <w:sz w:val="20"/>
                <w:szCs w:val="20"/>
                <w:lang w:eastAsia="sr-Latn-ME"/>
              </w:rPr>
            </w:pPr>
          </w:p>
        </w:tc>
        <w:tc>
          <w:tcPr>
            <w:tcW w:w="798" w:type="dxa"/>
            <w:tcBorders>
              <w:top w:val="single" w:sz="4" w:space="0" w:color="000000"/>
              <w:left w:val="single" w:sz="4" w:space="0" w:color="000000"/>
              <w:bottom w:val="single" w:sz="4" w:space="0" w:color="000000"/>
              <w:right w:val="single" w:sz="4" w:space="0" w:color="000000"/>
            </w:tcBorders>
            <w:shd w:val="clear" w:color="auto" w:fill="FF0000"/>
            <w:tcMar>
              <w:top w:w="0" w:type="dxa"/>
              <w:left w:w="108" w:type="dxa"/>
              <w:bottom w:w="0" w:type="dxa"/>
              <w:right w:w="108" w:type="dxa"/>
            </w:tcMar>
          </w:tcPr>
          <w:p w14:paraId="18A807B9" w14:textId="77777777" w:rsidR="00FD6E82" w:rsidRPr="000152CB" w:rsidRDefault="00FD6E82" w:rsidP="00FD6E82">
            <w:pPr>
              <w:spacing w:after="0" w:line="240" w:lineRule="auto"/>
              <w:rPr>
                <w:rFonts w:eastAsia="Times New Roman" w:cs="Calibri"/>
                <w:sz w:val="20"/>
                <w:szCs w:val="20"/>
                <w:lang w:eastAsia="sr-Latn-ME"/>
              </w:rPr>
            </w:pPr>
          </w:p>
        </w:tc>
        <w:tc>
          <w:tcPr>
            <w:tcW w:w="900" w:type="dxa"/>
            <w:gridSpan w:val="3"/>
            <w:tcBorders>
              <w:top w:val="single" w:sz="4" w:space="0" w:color="000000"/>
              <w:left w:val="single" w:sz="4" w:space="0" w:color="000000"/>
              <w:bottom w:val="single" w:sz="4" w:space="0" w:color="000000"/>
              <w:right w:val="single" w:sz="4" w:space="0" w:color="000000"/>
            </w:tcBorders>
            <w:shd w:val="clear" w:color="auto" w:fill="FFFF00"/>
          </w:tcPr>
          <w:p w14:paraId="013CF597" w14:textId="77777777" w:rsidR="00FD6E82" w:rsidRPr="000152CB" w:rsidRDefault="00FD6E82" w:rsidP="00FD6E82">
            <w:pPr>
              <w:spacing w:after="0" w:line="240" w:lineRule="auto"/>
              <w:rPr>
                <w:rFonts w:eastAsia="Times New Roman" w:cs="Calibri"/>
                <w:sz w:val="20"/>
                <w:szCs w:val="20"/>
                <w:lang w:eastAsia="sr-Latn-ME"/>
              </w:rPr>
            </w:pPr>
          </w:p>
        </w:tc>
        <w:tc>
          <w:tcPr>
            <w:tcW w:w="810" w:type="dxa"/>
            <w:tcBorders>
              <w:top w:val="single" w:sz="4" w:space="0" w:color="000000"/>
              <w:left w:val="single" w:sz="4" w:space="0" w:color="000000"/>
              <w:bottom w:val="single" w:sz="4" w:space="0" w:color="000000"/>
              <w:right w:val="single" w:sz="4" w:space="0" w:color="000000"/>
            </w:tcBorders>
            <w:shd w:val="clear" w:color="auto" w:fill="92D050"/>
          </w:tcPr>
          <w:p w14:paraId="1AA649DF" w14:textId="77777777" w:rsidR="00FD6E82" w:rsidRPr="000152CB" w:rsidRDefault="00FD6E82" w:rsidP="00FD6E82">
            <w:pPr>
              <w:spacing w:after="0" w:line="240" w:lineRule="auto"/>
              <w:rPr>
                <w:rFonts w:eastAsia="Times New Roman" w:cs="Calibri"/>
                <w:sz w:val="20"/>
                <w:szCs w:val="20"/>
                <w:lang w:eastAsia="sr-Latn-ME"/>
              </w:rPr>
            </w:pPr>
          </w:p>
        </w:tc>
        <w:tc>
          <w:tcPr>
            <w:tcW w:w="1962" w:type="dxa"/>
            <w:gridSpan w:val="5"/>
            <w:vMerge/>
            <w:tcBorders>
              <w:left w:val="single" w:sz="4" w:space="0" w:color="000000"/>
              <w:bottom w:val="single" w:sz="4" w:space="0" w:color="000000"/>
              <w:right w:val="single" w:sz="4" w:space="0" w:color="000000"/>
            </w:tcBorders>
          </w:tcPr>
          <w:p w14:paraId="786CA356" w14:textId="77777777" w:rsidR="00FD6E82" w:rsidRPr="000152CB" w:rsidRDefault="00FD6E82" w:rsidP="00FD6E82">
            <w:pPr>
              <w:spacing w:after="0" w:line="240" w:lineRule="auto"/>
              <w:rPr>
                <w:rFonts w:eastAsia="Times New Roman" w:cs="Calibri"/>
                <w:sz w:val="20"/>
                <w:szCs w:val="20"/>
                <w:lang w:eastAsia="sr-Latn-ME"/>
              </w:rPr>
            </w:pPr>
          </w:p>
        </w:tc>
        <w:tc>
          <w:tcPr>
            <w:tcW w:w="1368" w:type="dxa"/>
            <w:gridSpan w:val="4"/>
            <w:vMerge/>
            <w:tcBorders>
              <w:left w:val="single" w:sz="4" w:space="0" w:color="000000"/>
              <w:bottom w:val="single" w:sz="4" w:space="0" w:color="000000"/>
              <w:right w:val="single" w:sz="4" w:space="0" w:color="000000"/>
            </w:tcBorders>
            <w:tcMar>
              <w:top w:w="0" w:type="dxa"/>
              <w:left w:w="108" w:type="dxa"/>
              <w:bottom w:w="0" w:type="dxa"/>
              <w:right w:w="108" w:type="dxa"/>
            </w:tcMar>
          </w:tcPr>
          <w:p w14:paraId="7AC30FD7" w14:textId="77777777" w:rsidR="00FD6E82" w:rsidRPr="000152CB" w:rsidRDefault="00FD6E82" w:rsidP="00FD6E82">
            <w:pPr>
              <w:spacing w:after="0" w:line="240" w:lineRule="auto"/>
              <w:rPr>
                <w:rFonts w:eastAsia="Times New Roman" w:cs="Calibri"/>
                <w:sz w:val="20"/>
                <w:szCs w:val="20"/>
                <w:lang w:eastAsia="sr-Latn-ME"/>
              </w:rPr>
            </w:pPr>
          </w:p>
        </w:tc>
        <w:tc>
          <w:tcPr>
            <w:tcW w:w="2061" w:type="dxa"/>
            <w:gridSpan w:val="3"/>
            <w:vMerge/>
            <w:tcBorders>
              <w:left w:val="single" w:sz="4" w:space="0" w:color="000000"/>
              <w:bottom w:val="single" w:sz="4" w:space="0" w:color="000000"/>
              <w:right w:val="single" w:sz="4" w:space="0" w:color="000000"/>
            </w:tcBorders>
            <w:tcMar>
              <w:top w:w="0" w:type="dxa"/>
              <w:left w:w="108" w:type="dxa"/>
              <w:bottom w:w="0" w:type="dxa"/>
              <w:right w:w="108" w:type="dxa"/>
            </w:tcMar>
          </w:tcPr>
          <w:p w14:paraId="28439B6D" w14:textId="77777777" w:rsidR="00FD6E82" w:rsidRPr="000152CB" w:rsidRDefault="00FD6E82" w:rsidP="00FD6E82">
            <w:pPr>
              <w:spacing w:after="0" w:line="240" w:lineRule="auto"/>
              <w:rPr>
                <w:rFonts w:eastAsia="Times New Roman" w:cs="Calibri"/>
                <w:sz w:val="20"/>
                <w:szCs w:val="20"/>
                <w:lang w:eastAsia="sr-Latn-ME"/>
              </w:rPr>
            </w:pPr>
          </w:p>
        </w:tc>
        <w:tc>
          <w:tcPr>
            <w:tcW w:w="1809" w:type="dxa"/>
            <w:gridSpan w:val="8"/>
            <w:vMerge/>
            <w:tcBorders>
              <w:left w:val="single" w:sz="4" w:space="0" w:color="000000"/>
              <w:bottom w:val="single" w:sz="4" w:space="0" w:color="000000"/>
              <w:right w:val="single" w:sz="4" w:space="0" w:color="000000"/>
            </w:tcBorders>
            <w:shd w:val="clear" w:color="auto" w:fill="DEEAF6" w:themeFill="accent5" w:themeFillTint="33"/>
          </w:tcPr>
          <w:p w14:paraId="44AE62DD" w14:textId="77777777" w:rsidR="00FD6E82" w:rsidRPr="000152CB" w:rsidRDefault="00FD6E82" w:rsidP="00FD6E82">
            <w:pPr>
              <w:spacing w:after="0" w:line="240" w:lineRule="auto"/>
              <w:rPr>
                <w:rFonts w:eastAsia="Times New Roman" w:cs="Calibri"/>
                <w:sz w:val="20"/>
                <w:szCs w:val="20"/>
                <w:lang w:eastAsia="sr-Latn-ME"/>
              </w:rPr>
            </w:pPr>
          </w:p>
        </w:tc>
      </w:tr>
      <w:tr w:rsidR="00BB44DA" w:rsidRPr="000152CB" w14:paraId="3DF93170" w14:textId="77777777" w:rsidTr="00E77388">
        <w:trPr>
          <w:trHeight w:val="585"/>
          <w:jc w:val="center"/>
        </w:trPr>
        <w:tc>
          <w:tcPr>
            <w:tcW w:w="2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864B0D"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 xml:space="preserve">1.4.1.Definisati motivacione mjere za retenciju i rad na nivou primarne zdravstvene zaštite (dodjela priznanja za rad,stipendije i sl) </w:t>
            </w:r>
          </w:p>
        </w:tc>
        <w:tc>
          <w:tcPr>
            <w:tcW w:w="19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F9E93F"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Usvojena mjera za promociju retencije zdravstvenih radnika</w:t>
            </w:r>
          </w:p>
        </w:tc>
        <w:tc>
          <w:tcPr>
            <w:tcW w:w="1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75E037"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MZ,strukovna udruženja PZZ,ljekrska komora</w:t>
            </w:r>
          </w:p>
        </w:tc>
        <w:tc>
          <w:tcPr>
            <w:tcW w:w="2508" w:type="dxa"/>
            <w:gridSpan w:val="5"/>
            <w:tcBorders>
              <w:top w:val="single" w:sz="4" w:space="0" w:color="000000"/>
              <w:left w:val="single" w:sz="4" w:space="0" w:color="000000"/>
              <w:bottom w:val="single" w:sz="4" w:space="0" w:color="000000"/>
              <w:right w:val="single" w:sz="4" w:space="0" w:color="000000"/>
            </w:tcBorders>
            <w:shd w:val="clear" w:color="auto" w:fill="FF0000"/>
            <w:tcMar>
              <w:top w:w="0" w:type="dxa"/>
              <w:left w:w="108" w:type="dxa"/>
              <w:bottom w:w="0" w:type="dxa"/>
              <w:right w:w="108" w:type="dxa"/>
            </w:tcMar>
          </w:tcPr>
          <w:p w14:paraId="53277F03" w14:textId="43895766" w:rsidR="00FD6E82" w:rsidRPr="000152CB" w:rsidRDefault="005401CC"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 xml:space="preserve">Promjena Vlade i cekanje donosenja  Zakona o zdravstvenoj zaštiti i funkcionalna analiza primarne zaštite koja je u izradi. </w:t>
            </w:r>
          </w:p>
        </w:tc>
        <w:tc>
          <w:tcPr>
            <w:tcW w:w="1962" w:type="dxa"/>
            <w:gridSpan w:val="5"/>
            <w:tcBorders>
              <w:top w:val="single" w:sz="4" w:space="0" w:color="000000"/>
              <w:left w:val="single" w:sz="4" w:space="0" w:color="000000"/>
              <w:bottom w:val="single" w:sz="4" w:space="0" w:color="000000"/>
              <w:right w:val="single" w:sz="4" w:space="0" w:color="000000"/>
            </w:tcBorders>
          </w:tcPr>
          <w:p w14:paraId="2D40788C"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IIIQ 2023-IQ 2024</w:t>
            </w:r>
          </w:p>
        </w:tc>
        <w:tc>
          <w:tcPr>
            <w:tcW w:w="136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5D6043"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Tekuća sredstva</w:t>
            </w:r>
          </w:p>
        </w:tc>
        <w:tc>
          <w:tcPr>
            <w:tcW w:w="206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2B62B"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Budžet PZZ, Ljekarska komora</w:t>
            </w:r>
          </w:p>
        </w:tc>
        <w:tc>
          <w:tcPr>
            <w:tcW w:w="1809" w:type="dxa"/>
            <w:gridSpan w:val="8"/>
            <w:tcBorders>
              <w:top w:val="single" w:sz="4" w:space="0" w:color="000000"/>
              <w:left w:val="single" w:sz="4" w:space="0" w:color="000000"/>
              <w:bottom w:val="single" w:sz="4" w:space="0" w:color="000000"/>
              <w:right w:val="single" w:sz="4" w:space="0" w:color="000000"/>
            </w:tcBorders>
          </w:tcPr>
          <w:p w14:paraId="74536290" w14:textId="28FB160A" w:rsidR="00FD6E82" w:rsidRPr="000152CB" w:rsidRDefault="0040749B"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Novi rok za realizaciju aktivnosti III kvartal 2026. godine</w:t>
            </w:r>
          </w:p>
        </w:tc>
      </w:tr>
      <w:tr w:rsidR="00BB44DA" w:rsidRPr="000152CB" w14:paraId="13D5FABE" w14:textId="77777777" w:rsidTr="00E77388">
        <w:trPr>
          <w:trHeight w:val="585"/>
          <w:jc w:val="center"/>
        </w:trPr>
        <w:tc>
          <w:tcPr>
            <w:tcW w:w="2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EA6ABC" w14:textId="77777777" w:rsidR="00FD6E82" w:rsidRPr="000152CB" w:rsidRDefault="00FD6E82" w:rsidP="00FD6E82">
            <w:pPr>
              <w:spacing w:line="240" w:lineRule="auto"/>
              <w:textAlignment w:val="baseline"/>
              <w:rPr>
                <w:rFonts w:eastAsia="Times New Roman" w:cs="Calibri"/>
                <w:color w:val="000000"/>
                <w:sz w:val="20"/>
                <w:szCs w:val="20"/>
                <w:lang w:eastAsia="sr-Latn-ME"/>
              </w:rPr>
            </w:pPr>
            <w:r w:rsidRPr="000152CB">
              <w:rPr>
                <w:rFonts w:eastAsia="Times New Roman" w:cs="Calibri"/>
                <w:color w:val="000000"/>
                <w:sz w:val="20"/>
                <w:szCs w:val="20"/>
                <w:lang w:eastAsia="sr-Latn-ME"/>
              </w:rPr>
              <w:t>1.4.2.Izraditi novu metodologiju  planiranja KME sa kriterijumima, indikatorima procesa i učinka, kao i očekivanih rezultata sprovođenja KME u saradnji sa stručnim regulatornim tijelima (komorama)</w:t>
            </w:r>
          </w:p>
          <w:p w14:paraId="0B0D67FF" w14:textId="77777777" w:rsidR="00FD6E82" w:rsidRPr="000152CB" w:rsidRDefault="00FD6E82" w:rsidP="00FD6E82">
            <w:pPr>
              <w:spacing w:after="0" w:line="240" w:lineRule="auto"/>
              <w:ind w:left="270"/>
              <w:rPr>
                <w:rFonts w:eastAsia="Times New Roman" w:cs="Calibri"/>
                <w:sz w:val="20"/>
                <w:szCs w:val="20"/>
                <w:lang w:eastAsia="sr-Latn-ME"/>
              </w:rPr>
            </w:pPr>
          </w:p>
        </w:tc>
        <w:tc>
          <w:tcPr>
            <w:tcW w:w="19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5B4FDF"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Usvojena metodologija Plana i programa KME</w:t>
            </w:r>
          </w:p>
        </w:tc>
        <w:tc>
          <w:tcPr>
            <w:tcW w:w="1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13D442"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MZ, komore</w:t>
            </w:r>
          </w:p>
        </w:tc>
        <w:tc>
          <w:tcPr>
            <w:tcW w:w="2508" w:type="dxa"/>
            <w:gridSpan w:val="5"/>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71C2D54B" w14:textId="442B682A" w:rsidR="00FD6E82" w:rsidRPr="000152CB" w:rsidRDefault="0040749B"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Izrađena je metodologija  planiranja KME sa kriterijumima, indikatorima procesa i učinka, kao i očekivanih rezultata sprovođenja KME u saradnji sa stručnim regulatornim tijelima (komorama)</w:t>
            </w:r>
          </w:p>
        </w:tc>
        <w:tc>
          <w:tcPr>
            <w:tcW w:w="1962" w:type="dxa"/>
            <w:gridSpan w:val="5"/>
            <w:tcBorders>
              <w:top w:val="single" w:sz="4" w:space="0" w:color="000000"/>
              <w:left w:val="single" w:sz="4" w:space="0" w:color="000000"/>
              <w:bottom w:val="single" w:sz="4" w:space="0" w:color="000000"/>
              <w:right w:val="single" w:sz="4" w:space="0" w:color="000000"/>
            </w:tcBorders>
          </w:tcPr>
          <w:p w14:paraId="5A7D9F0C"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IVQ 2023-IIQ 2024</w:t>
            </w:r>
          </w:p>
        </w:tc>
        <w:tc>
          <w:tcPr>
            <w:tcW w:w="136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4B727E"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Tekuća sredstva</w:t>
            </w:r>
          </w:p>
        </w:tc>
        <w:tc>
          <w:tcPr>
            <w:tcW w:w="206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740B2B"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Budžet</w:t>
            </w:r>
          </w:p>
        </w:tc>
        <w:tc>
          <w:tcPr>
            <w:tcW w:w="1809" w:type="dxa"/>
            <w:gridSpan w:val="8"/>
            <w:tcBorders>
              <w:top w:val="single" w:sz="4" w:space="0" w:color="000000"/>
              <w:left w:val="single" w:sz="4" w:space="0" w:color="000000"/>
              <w:bottom w:val="single" w:sz="4" w:space="0" w:color="000000"/>
              <w:right w:val="single" w:sz="4" w:space="0" w:color="000000"/>
            </w:tcBorders>
          </w:tcPr>
          <w:p w14:paraId="43DD175C" w14:textId="77777777" w:rsidR="00FD6E82" w:rsidRPr="000152CB" w:rsidRDefault="00FD6E82" w:rsidP="00FD6E82">
            <w:pPr>
              <w:spacing w:after="0" w:line="240" w:lineRule="auto"/>
              <w:rPr>
                <w:rFonts w:eastAsia="Times New Roman" w:cs="Calibri"/>
                <w:sz w:val="20"/>
                <w:szCs w:val="20"/>
                <w:lang w:eastAsia="sr-Latn-ME"/>
              </w:rPr>
            </w:pPr>
          </w:p>
        </w:tc>
      </w:tr>
      <w:tr w:rsidR="00BB44DA" w:rsidRPr="000152CB" w14:paraId="404B6C83" w14:textId="77777777" w:rsidTr="00E77388">
        <w:trPr>
          <w:trHeight w:val="585"/>
          <w:jc w:val="center"/>
        </w:trPr>
        <w:tc>
          <w:tcPr>
            <w:tcW w:w="2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10818" w14:textId="77777777" w:rsidR="00FD6E82" w:rsidRPr="000152CB" w:rsidRDefault="00FD6E82" w:rsidP="00FD6E82">
            <w:pPr>
              <w:spacing w:line="240" w:lineRule="auto"/>
              <w:textAlignment w:val="baseline"/>
              <w:rPr>
                <w:rFonts w:eastAsia="Times New Roman" w:cs="Calibri"/>
                <w:color w:val="000000"/>
                <w:sz w:val="20"/>
                <w:szCs w:val="20"/>
                <w:lang w:eastAsia="sr-Latn-ME"/>
              </w:rPr>
            </w:pPr>
            <w:r w:rsidRPr="000152CB">
              <w:rPr>
                <w:rFonts w:eastAsia="Times New Roman" w:cs="Calibri"/>
                <w:color w:val="000000"/>
                <w:sz w:val="20"/>
                <w:szCs w:val="20"/>
                <w:lang w:eastAsia="sr-Latn-ME"/>
              </w:rPr>
              <w:lastRenderedPageBreak/>
              <w:t>1.4.3.Jačanje institucionalnih kapaciteta za potrebe planiranja KME po ustanovama</w:t>
            </w:r>
          </w:p>
          <w:p w14:paraId="29A0359F" w14:textId="77777777" w:rsidR="00FD6E82" w:rsidRPr="000152CB" w:rsidRDefault="00FD6E82" w:rsidP="00FD6E82">
            <w:pPr>
              <w:spacing w:line="240" w:lineRule="auto"/>
              <w:textAlignment w:val="baseline"/>
              <w:rPr>
                <w:rFonts w:eastAsia="Times New Roman" w:cs="Calibri"/>
                <w:color w:val="000000"/>
                <w:sz w:val="20"/>
                <w:szCs w:val="20"/>
                <w:lang w:eastAsia="sr-Latn-ME"/>
              </w:rPr>
            </w:pPr>
          </w:p>
        </w:tc>
        <w:tc>
          <w:tcPr>
            <w:tcW w:w="19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35D162"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Broj sprovedenih obuka po ustanovama</w:t>
            </w:r>
          </w:p>
        </w:tc>
        <w:tc>
          <w:tcPr>
            <w:tcW w:w="1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AE4E0D"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MZ, Medicinski fakultet,IJZ,Komora</w:t>
            </w:r>
          </w:p>
        </w:tc>
        <w:tc>
          <w:tcPr>
            <w:tcW w:w="2508" w:type="dxa"/>
            <w:gridSpan w:val="5"/>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6AF5446E" w14:textId="44A4F580" w:rsidR="00FD6E82" w:rsidRPr="000152CB" w:rsidRDefault="00AE354F"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Obuke su organizovane i sprovedene u zdravstvenim ustanovama</w:t>
            </w:r>
          </w:p>
        </w:tc>
        <w:tc>
          <w:tcPr>
            <w:tcW w:w="1962" w:type="dxa"/>
            <w:gridSpan w:val="5"/>
            <w:tcBorders>
              <w:top w:val="single" w:sz="4" w:space="0" w:color="000000"/>
              <w:left w:val="single" w:sz="4" w:space="0" w:color="000000"/>
              <w:bottom w:val="single" w:sz="4" w:space="0" w:color="000000"/>
              <w:right w:val="single" w:sz="4" w:space="0" w:color="000000"/>
            </w:tcBorders>
          </w:tcPr>
          <w:p w14:paraId="5E4F1C88"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 xml:space="preserve"> IQ2024-IVQ 2024</w:t>
            </w:r>
          </w:p>
        </w:tc>
        <w:tc>
          <w:tcPr>
            <w:tcW w:w="136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066EE4"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Tekuća sredstva</w:t>
            </w:r>
          </w:p>
        </w:tc>
        <w:tc>
          <w:tcPr>
            <w:tcW w:w="206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8E05E"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Budžet</w:t>
            </w:r>
          </w:p>
        </w:tc>
        <w:tc>
          <w:tcPr>
            <w:tcW w:w="1809" w:type="dxa"/>
            <w:gridSpan w:val="8"/>
            <w:tcBorders>
              <w:top w:val="single" w:sz="4" w:space="0" w:color="000000"/>
              <w:left w:val="single" w:sz="4" w:space="0" w:color="000000"/>
              <w:bottom w:val="single" w:sz="4" w:space="0" w:color="000000"/>
              <w:right w:val="single" w:sz="4" w:space="0" w:color="000000"/>
            </w:tcBorders>
          </w:tcPr>
          <w:p w14:paraId="44245130" w14:textId="77777777" w:rsidR="00FD6E82" w:rsidRPr="000152CB" w:rsidRDefault="00FD6E82" w:rsidP="00FD6E82">
            <w:pPr>
              <w:spacing w:after="0" w:line="240" w:lineRule="auto"/>
              <w:rPr>
                <w:rFonts w:eastAsia="Times New Roman" w:cs="Calibri"/>
                <w:sz w:val="20"/>
                <w:szCs w:val="20"/>
                <w:lang w:eastAsia="sr-Latn-ME"/>
              </w:rPr>
            </w:pPr>
          </w:p>
        </w:tc>
      </w:tr>
      <w:tr w:rsidR="00BB44DA" w:rsidRPr="000152CB" w14:paraId="0CFE3F30" w14:textId="77777777" w:rsidTr="00E77388">
        <w:trPr>
          <w:trHeight w:val="585"/>
          <w:jc w:val="center"/>
        </w:trPr>
        <w:tc>
          <w:tcPr>
            <w:tcW w:w="2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8EC1C5" w14:textId="77777777" w:rsidR="00FD6E82" w:rsidRPr="000152CB" w:rsidRDefault="00FD6E82" w:rsidP="00FD6E82">
            <w:pPr>
              <w:spacing w:line="240" w:lineRule="auto"/>
              <w:textAlignment w:val="baseline"/>
              <w:rPr>
                <w:rFonts w:eastAsia="Times New Roman" w:cs="Calibri"/>
                <w:color w:val="000000"/>
                <w:sz w:val="20"/>
                <w:szCs w:val="20"/>
                <w:lang w:eastAsia="sr-Latn-ME"/>
              </w:rPr>
            </w:pPr>
            <w:r w:rsidRPr="000152CB">
              <w:rPr>
                <w:rFonts w:eastAsia="Times New Roman" w:cs="Calibri"/>
                <w:color w:val="000000"/>
                <w:sz w:val="20"/>
                <w:szCs w:val="20"/>
                <w:lang w:eastAsia="sr-Latn-ME"/>
              </w:rPr>
              <w:t>1.4.4.Definisati bliže uslove i procedure za mobilizaciju specijalista između ZU sa bolničkom zdravstveno zaštitom na nacionalnom nivou, sa jasno definisanim vremenskim trajanjem, dijagnozama i indikatorima praćenja rezultata, a sve u cilju unapređivanja dostupnosti, kvaliteta i troškovne efikasnosti</w:t>
            </w:r>
          </w:p>
          <w:p w14:paraId="07AC76CA" w14:textId="77777777" w:rsidR="00FD6E82" w:rsidRPr="000152CB" w:rsidRDefault="00FD6E82" w:rsidP="00FD6E82">
            <w:pPr>
              <w:spacing w:line="240" w:lineRule="auto"/>
              <w:textAlignment w:val="baseline"/>
              <w:rPr>
                <w:rFonts w:eastAsia="Times New Roman" w:cs="Calibri"/>
                <w:color w:val="000000"/>
                <w:sz w:val="20"/>
                <w:szCs w:val="20"/>
                <w:lang w:eastAsia="sr-Latn-ME"/>
              </w:rPr>
            </w:pPr>
          </w:p>
        </w:tc>
        <w:tc>
          <w:tcPr>
            <w:tcW w:w="19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5DD26"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 xml:space="preserve">Broj i dužina trajanja supervizorskih posjeta,disagregirano po polu zdravstvenih radnika koji se šalju na ispomoć </w:t>
            </w:r>
          </w:p>
          <w:p w14:paraId="3F11FCBB" w14:textId="77777777" w:rsidR="00FD6E82" w:rsidRPr="000152CB" w:rsidRDefault="00FD6E82" w:rsidP="00FD6E82">
            <w:pPr>
              <w:spacing w:after="0" w:line="240" w:lineRule="auto"/>
              <w:ind w:left="270"/>
              <w:rPr>
                <w:rFonts w:eastAsia="Times New Roman" w:cs="Calibri"/>
                <w:sz w:val="20"/>
                <w:szCs w:val="20"/>
                <w:lang w:eastAsia="sr-Latn-ME"/>
              </w:rPr>
            </w:pPr>
          </w:p>
          <w:p w14:paraId="30196A93"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Broj zdravstvenih ustanova u kojima se realizuje supervizorska podrška</w:t>
            </w:r>
          </w:p>
          <w:p w14:paraId="5A1A5EAB" w14:textId="77777777" w:rsidR="00FD6E82" w:rsidRPr="000152CB" w:rsidRDefault="00FD6E82" w:rsidP="00FD6E82">
            <w:pPr>
              <w:spacing w:after="0" w:line="240" w:lineRule="auto"/>
              <w:ind w:left="270"/>
              <w:rPr>
                <w:rFonts w:eastAsia="Times New Roman" w:cs="Calibri"/>
                <w:sz w:val="20"/>
                <w:szCs w:val="20"/>
                <w:lang w:eastAsia="sr-Latn-ME"/>
              </w:rPr>
            </w:pPr>
          </w:p>
        </w:tc>
        <w:tc>
          <w:tcPr>
            <w:tcW w:w="1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AEBB16"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MZ, KCCG, IJZ, Dom zdravlja Podgorica</w:t>
            </w:r>
          </w:p>
        </w:tc>
        <w:tc>
          <w:tcPr>
            <w:tcW w:w="2508" w:type="dxa"/>
            <w:gridSpan w:val="5"/>
            <w:tcBorders>
              <w:top w:val="single" w:sz="4" w:space="0" w:color="000000"/>
              <w:left w:val="single" w:sz="4" w:space="0" w:color="000000"/>
              <w:bottom w:val="single" w:sz="4" w:space="0" w:color="000000"/>
              <w:right w:val="single" w:sz="4" w:space="0" w:color="000000"/>
            </w:tcBorders>
            <w:shd w:val="clear" w:color="auto" w:fill="FF0000"/>
            <w:tcMar>
              <w:top w:w="0" w:type="dxa"/>
              <w:left w:w="108" w:type="dxa"/>
              <w:bottom w:w="0" w:type="dxa"/>
              <w:right w:w="108" w:type="dxa"/>
            </w:tcMar>
          </w:tcPr>
          <w:p w14:paraId="0A4C033A" w14:textId="2B2FA16C" w:rsidR="00FD6E82" w:rsidRPr="000152CB" w:rsidRDefault="005401CC"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 xml:space="preserve">Aktivnost nije realizovana s obzirom </w:t>
            </w:r>
            <w:r w:rsidR="000B0887" w:rsidRPr="000152CB">
              <w:rPr>
                <w:rFonts w:eastAsia="Times New Roman" w:cs="Calibri"/>
                <w:sz w:val="20"/>
                <w:szCs w:val="20"/>
                <w:lang w:eastAsia="sr-Latn-ME"/>
              </w:rPr>
              <w:t>da nije utvrđena jasna logika i potreba za realizacijom ovog tipa aktivnosti</w:t>
            </w:r>
            <w:r w:rsidRPr="000152CB">
              <w:rPr>
                <w:rFonts w:eastAsia="Times New Roman" w:cs="Calibri"/>
                <w:sz w:val="20"/>
                <w:szCs w:val="20"/>
                <w:lang w:eastAsia="sr-Latn-ME"/>
              </w:rPr>
              <w:t xml:space="preserve"> </w:t>
            </w:r>
          </w:p>
        </w:tc>
        <w:tc>
          <w:tcPr>
            <w:tcW w:w="1962" w:type="dxa"/>
            <w:gridSpan w:val="5"/>
            <w:tcBorders>
              <w:top w:val="single" w:sz="4" w:space="0" w:color="000000"/>
              <w:left w:val="single" w:sz="4" w:space="0" w:color="000000"/>
              <w:bottom w:val="single" w:sz="4" w:space="0" w:color="000000"/>
              <w:right w:val="single" w:sz="4" w:space="0" w:color="000000"/>
            </w:tcBorders>
          </w:tcPr>
          <w:p w14:paraId="21247F72"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 xml:space="preserve"> IVQ 2023- IVQ2024</w:t>
            </w:r>
          </w:p>
        </w:tc>
        <w:tc>
          <w:tcPr>
            <w:tcW w:w="136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39F4CF"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Tekuća sredstva</w:t>
            </w:r>
          </w:p>
        </w:tc>
        <w:tc>
          <w:tcPr>
            <w:tcW w:w="206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716C1D"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Budžet</w:t>
            </w:r>
          </w:p>
        </w:tc>
        <w:tc>
          <w:tcPr>
            <w:tcW w:w="1809" w:type="dxa"/>
            <w:gridSpan w:val="8"/>
            <w:tcBorders>
              <w:top w:val="single" w:sz="4" w:space="0" w:color="000000"/>
              <w:left w:val="single" w:sz="4" w:space="0" w:color="000000"/>
              <w:bottom w:val="single" w:sz="4" w:space="0" w:color="000000"/>
              <w:right w:val="single" w:sz="4" w:space="0" w:color="000000"/>
            </w:tcBorders>
          </w:tcPr>
          <w:p w14:paraId="0C4D4FE2" w14:textId="41F3E1D6" w:rsidR="00FD6E82" w:rsidRPr="000152CB" w:rsidRDefault="000B0887"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Napraviti procjenu o potrebi za sprovođenjem predmetne aktivnosti u narednom periodu sprovođenja javne politike</w:t>
            </w:r>
          </w:p>
        </w:tc>
      </w:tr>
      <w:tr w:rsidR="00BB44DA" w:rsidRPr="000152CB" w14:paraId="6D8CC178" w14:textId="77777777" w:rsidTr="00E77388">
        <w:trPr>
          <w:trHeight w:val="585"/>
          <w:jc w:val="center"/>
        </w:trPr>
        <w:tc>
          <w:tcPr>
            <w:tcW w:w="2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CABCC1" w14:textId="77777777" w:rsidR="00FD6E82" w:rsidRPr="000152CB" w:rsidRDefault="00FD6E82" w:rsidP="00FD6E82">
            <w:pPr>
              <w:spacing w:line="240" w:lineRule="auto"/>
              <w:textAlignment w:val="baseline"/>
              <w:rPr>
                <w:rFonts w:eastAsia="Times New Roman" w:cs="Calibri"/>
                <w:color w:val="000000"/>
                <w:sz w:val="20"/>
                <w:szCs w:val="20"/>
                <w:lang w:eastAsia="sr-Latn-ME"/>
              </w:rPr>
            </w:pPr>
            <w:r w:rsidRPr="000152CB">
              <w:rPr>
                <w:rFonts w:eastAsia="Times New Roman" w:cs="Calibri"/>
                <w:color w:val="000000"/>
                <w:sz w:val="20"/>
                <w:szCs w:val="20"/>
                <w:lang w:eastAsia="sr-Latn-ME"/>
              </w:rPr>
              <w:t>1.4.5. Obrazovati multisektorski tim u cilju afirmacije  srednjoškolaca kako bi nastavili dalje školovanje u oblasti medicine</w:t>
            </w:r>
          </w:p>
        </w:tc>
        <w:tc>
          <w:tcPr>
            <w:tcW w:w="19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B7E0F3"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Obrazovan tim</w:t>
            </w:r>
          </w:p>
          <w:p w14:paraId="453DA3E4" w14:textId="77777777" w:rsidR="00FD6E82" w:rsidRPr="000152CB" w:rsidRDefault="00FD6E82" w:rsidP="00FD6E82">
            <w:pPr>
              <w:spacing w:after="0" w:line="240" w:lineRule="auto"/>
              <w:rPr>
                <w:rFonts w:eastAsia="Times New Roman" w:cs="Calibri"/>
                <w:sz w:val="20"/>
                <w:szCs w:val="20"/>
                <w:lang w:eastAsia="sr-Latn-ME"/>
              </w:rPr>
            </w:pPr>
          </w:p>
          <w:p w14:paraId="68C544F5"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Broj sastanaka</w:t>
            </w:r>
          </w:p>
        </w:tc>
        <w:tc>
          <w:tcPr>
            <w:tcW w:w="1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F350C1"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MZ, Ministarstvo prosvjete, Medininski fakultet</w:t>
            </w:r>
          </w:p>
        </w:tc>
        <w:tc>
          <w:tcPr>
            <w:tcW w:w="2508" w:type="dxa"/>
            <w:gridSpan w:val="5"/>
            <w:tcBorders>
              <w:top w:val="single" w:sz="4" w:space="0" w:color="000000"/>
              <w:left w:val="single" w:sz="4" w:space="0" w:color="000000"/>
              <w:bottom w:val="single" w:sz="4" w:space="0" w:color="000000"/>
              <w:right w:val="single" w:sz="4" w:space="0" w:color="000000"/>
            </w:tcBorders>
            <w:shd w:val="clear" w:color="auto" w:fill="FF0000"/>
            <w:tcMar>
              <w:top w:w="0" w:type="dxa"/>
              <w:left w:w="108" w:type="dxa"/>
              <w:bottom w:w="0" w:type="dxa"/>
              <w:right w:w="108" w:type="dxa"/>
            </w:tcMar>
          </w:tcPr>
          <w:p w14:paraId="7B6DEF93" w14:textId="26A84BB2" w:rsidR="00FD6E82" w:rsidRPr="000152CB" w:rsidRDefault="00D46490"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Nedostatak kadrovskih kapaciteta</w:t>
            </w:r>
            <w:r w:rsidR="00B775D7" w:rsidRPr="000152CB">
              <w:rPr>
                <w:rFonts w:eastAsia="Times New Roman" w:cs="Calibri"/>
                <w:sz w:val="20"/>
                <w:szCs w:val="20"/>
                <w:lang w:eastAsia="sr-Latn-ME"/>
              </w:rPr>
              <w:t xml:space="preserve"> je predstavljao presudni razlog za nesprovođenje predviđene aktivnosti</w:t>
            </w:r>
          </w:p>
        </w:tc>
        <w:tc>
          <w:tcPr>
            <w:tcW w:w="1962" w:type="dxa"/>
            <w:gridSpan w:val="5"/>
            <w:tcBorders>
              <w:top w:val="single" w:sz="4" w:space="0" w:color="000000"/>
              <w:left w:val="single" w:sz="4" w:space="0" w:color="000000"/>
              <w:bottom w:val="single" w:sz="4" w:space="0" w:color="000000"/>
              <w:right w:val="single" w:sz="4" w:space="0" w:color="000000"/>
            </w:tcBorders>
          </w:tcPr>
          <w:p w14:paraId="438CD728"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 xml:space="preserve">  IQ 2024-IVQ2024</w:t>
            </w:r>
          </w:p>
        </w:tc>
        <w:tc>
          <w:tcPr>
            <w:tcW w:w="136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270402"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Tekuća sredstva</w:t>
            </w:r>
          </w:p>
        </w:tc>
        <w:tc>
          <w:tcPr>
            <w:tcW w:w="206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D1787A"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Budžet</w:t>
            </w:r>
          </w:p>
        </w:tc>
        <w:tc>
          <w:tcPr>
            <w:tcW w:w="1809" w:type="dxa"/>
            <w:gridSpan w:val="8"/>
            <w:tcBorders>
              <w:top w:val="single" w:sz="4" w:space="0" w:color="000000"/>
              <w:left w:val="single" w:sz="4" w:space="0" w:color="000000"/>
              <w:bottom w:val="single" w:sz="4" w:space="0" w:color="000000"/>
              <w:right w:val="single" w:sz="4" w:space="0" w:color="000000"/>
            </w:tcBorders>
          </w:tcPr>
          <w:p w14:paraId="7B079930" w14:textId="350520E0" w:rsidR="00FD6E82" w:rsidRPr="000152CB" w:rsidRDefault="00B775D7" w:rsidP="00B775D7">
            <w:pPr>
              <w:spacing w:after="0" w:line="240" w:lineRule="auto"/>
              <w:rPr>
                <w:rFonts w:eastAsia="Times New Roman" w:cs="Calibri"/>
                <w:sz w:val="20"/>
                <w:szCs w:val="20"/>
                <w:lang w:eastAsia="sr-Latn-ME"/>
              </w:rPr>
            </w:pPr>
            <w:r w:rsidRPr="000152CB">
              <w:rPr>
                <w:rFonts w:eastAsia="Times New Roman" w:cs="Calibri"/>
                <w:sz w:val="20"/>
                <w:szCs w:val="20"/>
                <w:lang w:eastAsia="sr-Latn-ME"/>
              </w:rPr>
              <w:t>Novi rok za realizaciju aktivnosti I kvartal 2026. godine</w:t>
            </w:r>
          </w:p>
        </w:tc>
      </w:tr>
      <w:tr w:rsidR="00BB44DA" w:rsidRPr="000152CB" w14:paraId="71D9227E" w14:textId="77777777" w:rsidTr="00E77388">
        <w:trPr>
          <w:trHeight w:val="585"/>
          <w:jc w:val="center"/>
        </w:trPr>
        <w:tc>
          <w:tcPr>
            <w:tcW w:w="2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E6FC53" w14:textId="77777777" w:rsidR="00FD6E82" w:rsidRPr="000152CB" w:rsidRDefault="00FD6E82" w:rsidP="00FD6E82">
            <w:pPr>
              <w:spacing w:line="240" w:lineRule="auto"/>
              <w:textAlignment w:val="baseline"/>
              <w:rPr>
                <w:rFonts w:eastAsia="Times New Roman" w:cs="Calibri"/>
                <w:color w:val="000000"/>
                <w:sz w:val="20"/>
                <w:szCs w:val="20"/>
                <w:lang w:eastAsia="sr-Latn-ME"/>
              </w:rPr>
            </w:pPr>
            <w:r w:rsidRPr="000152CB">
              <w:rPr>
                <w:rFonts w:eastAsia="Times New Roman" w:cs="Calibri"/>
                <w:color w:val="000000"/>
                <w:sz w:val="20"/>
                <w:szCs w:val="20"/>
                <w:lang w:eastAsia="sr-Latn-ME"/>
              </w:rPr>
              <w:t xml:space="preserve">1.4.6.Izrada analize tržišta rada u sektoru zdravstva sa planom razvoja ljudskih </w:t>
            </w:r>
            <w:r w:rsidRPr="000152CB">
              <w:rPr>
                <w:rFonts w:eastAsia="Times New Roman" w:cs="Calibri"/>
                <w:color w:val="000000"/>
                <w:sz w:val="20"/>
                <w:szCs w:val="20"/>
                <w:lang w:eastAsia="sr-Latn-ME"/>
              </w:rPr>
              <w:lastRenderedPageBreak/>
              <w:t xml:space="preserve">resursa u cilju obezbjeđivanja jednake zdravstvene zaštite </w:t>
            </w:r>
          </w:p>
        </w:tc>
        <w:tc>
          <w:tcPr>
            <w:tcW w:w="19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6ACCFF"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lastRenderedPageBreak/>
              <w:t xml:space="preserve">Usvojen Plan razvoja ljudskih resursa u zdravstvu </w:t>
            </w:r>
          </w:p>
          <w:p w14:paraId="57475277" w14:textId="77777777" w:rsidR="00FD6E82" w:rsidRPr="000152CB" w:rsidRDefault="00FD6E82" w:rsidP="00FD6E82">
            <w:pPr>
              <w:spacing w:after="0" w:line="240" w:lineRule="auto"/>
              <w:rPr>
                <w:rFonts w:eastAsia="Times New Roman" w:cs="Calibri"/>
                <w:sz w:val="20"/>
                <w:szCs w:val="20"/>
                <w:lang w:eastAsia="sr-Latn-ME"/>
              </w:rPr>
            </w:pPr>
          </w:p>
          <w:p w14:paraId="66337492"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lastRenderedPageBreak/>
              <w:t>Procenat distribucije zdravstvenih radnika</w:t>
            </w:r>
          </w:p>
        </w:tc>
        <w:tc>
          <w:tcPr>
            <w:tcW w:w="1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0C00F8"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lastRenderedPageBreak/>
              <w:t>MZ,IJZ, Komora</w:t>
            </w:r>
          </w:p>
        </w:tc>
        <w:tc>
          <w:tcPr>
            <w:tcW w:w="2508" w:type="dxa"/>
            <w:gridSpan w:val="5"/>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6A8E1491" w14:textId="4F99F330" w:rsidR="00FD6E82" w:rsidRPr="000152CB" w:rsidRDefault="006F32D9"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Usvojen je Plan razvoja ljudskih resursa u zdravstvu u predviđenom roku</w:t>
            </w:r>
          </w:p>
        </w:tc>
        <w:tc>
          <w:tcPr>
            <w:tcW w:w="1962" w:type="dxa"/>
            <w:gridSpan w:val="5"/>
            <w:tcBorders>
              <w:top w:val="single" w:sz="4" w:space="0" w:color="000000"/>
              <w:left w:val="single" w:sz="4" w:space="0" w:color="000000"/>
              <w:bottom w:val="single" w:sz="4" w:space="0" w:color="000000"/>
              <w:right w:val="single" w:sz="4" w:space="0" w:color="000000"/>
            </w:tcBorders>
          </w:tcPr>
          <w:p w14:paraId="67B7DCC9"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 xml:space="preserve"> IQ 2024-IIQ2024</w:t>
            </w:r>
          </w:p>
        </w:tc>
        <w:tc>
          <w:tcPr>
            <w:tcW w:w="136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9DEA42"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Tekuća sredstva</w:t>
            </w:r>
          </w:p>
        </w:tc>
        <w:tc>
          <w:tcPr>
            <w:tcW w:w="206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309449"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Budžet</w:t>
            </w:r>
          </w:p>
        </w:tc>
        <w:tc>
          <w:tcPr>
            <w:tcW w:w="1809" w:type="dxa"/>
            <w:gridSpan w:val="8"/>
            <w:tcBorders>
              <w:top w:val="single" w:sz="4" w:space="0" w:color="000000"/>
              <w:left w:val="single" w:sz="4" w:space="0" w:color="000000"/>
              <w:bottom w:val="single" w:sz="4" w:space="0" w:color="000000"/>
              <w:right w:val="single" w:sz="4" w:space="0" w:color="000000"/>
            </w:tcBorders>
          </w:tcPr>
          <w:p w14:paraId="5EB571BC" w14:textId="77777777" w:rsidR="00FD6E82" w:rsidRPr="000152CB" w:rsidRDefault="00FD6E82" w:rsidP="00FD6E82">
            <w:pPr>
              <w:spacing w:after="0" w:line="240" w:lineRule="auto"/>
              <w:rPr>
                <w:rFonts w:eastAsia="Times New Roman" w:cs="Calibri"/>
                <w:sz w:val="20"/>
                <w:szCs w:val="20"/>
                <w:lang w:eastAsia="sr-Latn-ME"/>
              </w:rPr>
            </w:pPr>
          </w:p>
        </w:tc>
      </w:tr>
      <w:tr w:rsidR="00BB44DA" w:rsidRPr="000152CB" w14:paraId="34829573" w14:textId="77777777" w:rsidTr="00E77388">
        <w:trPr>
          <w:trHeight w:val="585"/>
          <w:jc w:val="center"/>
        </w:trPr>
        <w:tc>
          <w:tcPr>
            <w:tcW w:w="2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0D3CE0"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color w:val="000000"/>
                <w:sz w:val="20"/>
                <w:szCs w:val="20"/>
                <w:lang w:eastAsia="sr-Latn-ME"/>
              </w:rPr>
              <w:t>1.4.7.Razviti institucionalne kapacitete strukovnih regulatornih tijela za skupljanje i analizu podataka u svrhu obezbjeđivanje inputa za strateško planiranje ljudskih resursa</w:t>
            </w:r>
          </w:p>
        </w:tc>
        <w:tc>
          <w:tcPr>
            <w:tcW w:w="19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E53604" w14:textId="77777777" w:rsidR="00FD6E82" w:rsidRPr="000152CB" w:rsidRDefault="00FD6E82" w:rsidP="00FD6E82">
            <w:pPr>
              <w:rPr>
                <w:rFonts w:eastAsia="Times New Roman" w:cs="Calibri"/>
                <w:color w:val="000000"/>
                <w:sz w:val="20"/>
                <w:szCs w:val="20"/>
                <w:lang w:eastAsia="sr-Latn-ME"/>
              </w:rPr>
            </w:pPr>
            <w:r w:rsidRPr="000152CB">
              <w:rPr>
                <w:rFonts w:eastAsia="Times New Roman" w:cs="Calibri"/>
                <w:color w:val="000000"/>
                <w:sz w:val="20"/>
                <w:szCs w:val="20"/>
                <w:lang w:eastAsia="sr-Latn-ME"/>
              </w:rPr>
              <w:t>Uspostavljeni registri vođenja licenci</w:t>
            </w:r>
          </w:p>
          <w:p w14:paraId="34560CB9" w14:textId="77777777" w:rsidR="00FD6E82" w:rsidRPr="000152CB" w:rsidRDefault="00FD6E82" w:rsidP="00FD6E82">
            <w:pPr>
              <w:rPr>
                <w:rFonts w:eastAsia="Times New Roman" w:cs="Calibri"/>
                <w:color w:val="000000"/>
                <w:sz w:val="20"/>
                <w:szCs w:val="20"/>
                <w:lang w:eastAsia="sr-Latn-ME"/>
              </w:rPr>
            </w:pPr>
            <w:r w:rsidRPr="000152CB">
              <w:rPr>
                <w:rFonts w:eastAsia="Times New Roman" w:cs="Calibri"/>
                <w:color w:val="000000"/>
                <w:sz w:val="20"/>
                <w:szCs w:val="20"/>
                <w:lang w:eastAsia="sr-Latn-ME"/>
              </w:rPr>
              <w:t>Broj zdrav radnika registrovan kod strukovnih regulatornih tijela</w:t>
            </w:r>
          </w:p>
          <w:p w14:paraId="6432E3CE" w14:textId="77777777" w:rsidR="00FD6E82" w:rsidRPr="000152CB" w:rsidRDefault="00FD6E82" w:rsidP="00FD6E82">
            <w:pPr>
              <w:rPr>
                <w:rFonts w:eastAsia="Times New Roman" w:cs="Calibri"/>
                <w:color w:val="000000"/>
                <w:sz w:val="20"/>
                <w:szCs w:val="20"/>
                <w:lang w:eastAsia="sr-Latn-ME"/>
              </w:rPr>
            </w:pPr>
            <w:r w:rsidRPr="000152CB">
              <w:rPr>
                <w:rFonts w:eastAsia="Times New Roman" w:cs="Calibri"/>
                <w:color w:val="000000"/>
                <w:sz w:val="20"/>
                <w:szCs w:val="20"/>
                <w:lang w:eastAsia="sr-Latn-ME"/>
              </w:rPr>
              <w:t>Stopa zdravstvenih radnika angažovanih u „dvostrukoj praksi“ (ukupan broj zdravstvenih radnika sa dvostrukom praksom -ukupan broj zdravstvenih radnika)</w:t>
            </w:r>
          </w:p>
          <w:p w14:paraId="0F5A446F" w14:textId="77777777" w:rsidR="00FD6E82" w:rsidRPr="000152CB" w:rsidRDefault="00FD6E82" w:rsidP="00FD6E82">
            <w:pPr>
              <w:spacing w:after="0" w:line="240" w:lineRule="auto"/>
              <w:ind w:left="270"/>
              <w:rPr>
                <w:rFonts w:eastAsia="Times New Roman" w:cs="Calibri"/>
                <w:sz w:val="20"/>
                <w:szCs w:val="20"/>
                <w:lang w:eastAsia="sr-Latn-ME"/>
              </w:rPr>
            </w:pPr>
          </w:p>
        </w:tc>
        <w:tc>
          <w:tcPr>
            <w:tcW w:w="1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000DB3"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MZ, komore</w:t>
            </w:r>
          </w:p>
        </w:tc>
        <w:tc>
          <w:tcPr>
            <w:tcW w:w="2508" w:type="dxa"/>
            <w:gridSpan w:val="5"/>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43BBA698" w14:textId="77777777" w:rsidR="00FD6E82" w:rsidRPr="000152CB" w:rsidRDefault="006F32D9"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U predviđenom roku je u</w:t>
            </w:r>
            <w:r w:rsidR="00D46490" w:rsidRPr="000152CB">
              <w:rPr>
                <w:rFonts w:eastAsia="Times New Roman" w:cs="Calibri"/>
                <w:sz w:val="20"/>
                <w:szCs w:val="20"/>
                <w:lang w:eastAsia="sr-Latn-ME"/>
              </w:rPr>
              <w:t xml:space="preserve">spostavljen registar vođenja licenci </w:t>
            </w:r>
          </w:p>
          <w:p w14:paraId="5200AD2C" w14:textId="77777777" w:rsidR="006F32D9" w:rsidRPr="000152CB" w:rsidRDefault="006F32D9" w:rsidP="00FD6E82">
            <w:pPr>
              <w:spacing w:after="0" w:line="240" w:lineRule="auto"/>
              <w:rPr>
                <w:rFonts w:eastAsia="Times New Roman" w:cs="Calibri"/>
                <w:sz w:val="20"/>
                <w:szCs w:val="20"/>
                <w:lang w:eastAsia="sr-Latn-ME"/>
              </w:rPr>
            </w:pPr>
          </w:p>
          <w:p w14:paraId="3E1A486C" w14:textId="6A12A160" w:rsidR="006F32D9" w:rsidRPr="000152CB" w:rsidRDefault="006F32D9"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Ostali segmenti aktivnosti nisu realizovani u planiranom roku</w:t>
            </w:r>
          </w:p>
        </w:tc>
        <w:tc>
          <w:tcPr>
            <w:tcW w:w="1962" w:type="dxa"/>
            <w:gridSpan w:val="5"/>
            <w:tcBorders>
              <w:top w:val="single" w:sz="4" w:space="0" w:color="000000"/>
              <w:left w:val="single" w:sz="4" w:space="0" w:color="000000"/>
              <w:bottom w:val="single" w:sz="4" w:space="0" w:color="000000"/>
              <w:right w:val="single" w:sz="4" w:space="0" w:color="000000"/>
            </w:tcBorders>
          </w:tcPr>
          <w:p w14:paraId="11591A26"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 xml:space="preserve"> IIIQ 2023-IIQ 2024</w:t>
            </w:r>
          </w:p>
        </w:tc>
        <w:tc>
          <w:tcPr>
            <w:tcW w:w="136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CDF26"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Tekuća sredstva</w:t>
            </w:r>
          </w:p>
        </w:tc>
        <w:tc>
          <w:tcPr>
            <w:tcW w:w="206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19893F"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Budžet</w:t>
            </w:r>
          </w:p>
        </w:tc>
        <w:tc>
          <w:tcPr>
            <w:tcW w:w="1809" w:type="dxa"/>
            <w:gridSpan w:val="8"/>
            <w:tcBorders>
              <w:top w:val="single" w:sz="4" w:space="0" w:color="000000"/>
              <w:left w:val="single" w:sz="4" w:space="0" w:color="000000"/>
              <w:bottom w:val="single" w:sz="4" w:space="0" w:color="000000"/>
              <w:right w:val="single" w:sz="4" w:space="0" w:color="000000"/>
            </w:tcBorders>
          </w:tcPr>
          <w:p w14:paraId="40B32AED" w14:textId="1B2FDB26" w:rsidR="00FD6E82" w:rsidRPr="000152CB" w:rsidRDefault="006F32D9"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Novi rok za realizaciju aktivnosti je IV kvartal 2026. godine</w:t>
            </w:r>
          </w:p>
        </w:tc>
      </w:tr>
      <w:tr w:rsidR="00FD6E82" w:rsidRPr="000152CB" w14:paraId="2EC1FEE7" w14:textId="77777777" w:rsidTr="00E77388">
        <w:trPr>
          <w:trHeight w:val="585"/>
          <w:jc w:val="center"/>
        </w:trPr>
        <w:tc>
          <w:tcPr>
            <w:tcW w:w="2091"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Mar>
              <w:top w:w="0" w:type="dxa"/>
              <w:left w:w="108" w:type="dxa"/>
              <w:bottom w:w="0" w:type="dxa"/>
              <w:right w:w="108" w:type="dxa"/>
            </w:tcMar>
            <w:vAlign w:val="center"/>
            <w:hideMark/>
          </w:tcPr>
          <w:p w14:paraId="10AC1DF8" w14:textId="77777777" w:rsidR="00FD6E82" w:rsidRPr="000152CB" w:rsidRDefault="00FD6E82" w:rsidP="00FD6E82">
            <w:pPr>
              <w:spacing w:after="0" w:line="240" w:lineRule="auto"/>
              <w:jc w:val="center"/>
              <w:rPr>
                <w:rFonts w:eastAsia="Times New Roman" w:cs="Calibri"/>
                <w:b/>
                <w:sz w:val="20"/>
                <w:szCs w:val="20"/>
                <w:lang w:eastAsia="sr-Latn-ME"/>
              </w:rPr>
            </w:pPr>
            <w:r w:rsidRPr="000152CB">
              <w:rPr>
                <w:rFonts w:eastAsia="Times New Roman" w:cs="Calibri"/>
                <w:b/>
                <w:color w:val="000000"/>
                <w:sz w:val="20"/>
                <w:szCs w:val="20"/>
                <w:lang w:eastAsia="sr-Latn-ME"/>
              </w:rPr>
              <w:t>OPERATIVNI CILJ 1.5.</w:t>
            </w:r>
          </w:p>
        </w:tc>
        <w:tc>
          <w:tcPr>
            <w:tcW w:w="13474" w:type="dxa"/>
            <w:gridSpan w:val="28"/>
            <w:tcBorders>
              <w:top w:val="single" w:sz="4" w:space="0" w:color="000000"/>
              <w:left w:val="single" w:sz="4" w:space="0" w:color="000000"/>
              <w:bottom w:val="single" w:sz="4" w:space="0" w:color="000000"/>
              <w:right w:val="single" w:sz="4" w:space="0" w:color="000000"/>
            </w:tcBorders>
            <w:shd w:val="clear" w:color="auto" w:fill="8EAADB" w:themeFill="accent1" w:themeFillTint="99"/>
            <w:tcMar>
              <w:top w:w="0" w:type="dxa"/>
              <w:left w:w="108" w:type="dxa"/>
              <w:bottom w:w="0" w:type="dxa"/>
              <w:right w:w="108" w:type="dxa"/>
            </w:tcMar>
            <w:vAlign w:val="center"/>
            <w:hideMark/>
          </w:tcPr>
          <w:p w14:paraId="3606679F" w14:textId="77777777" w:rsidR="00FD6E82" w:rsidRPr="000152CB" w:rsidRDefault="00FD6E82" w:rsidP="00FD6E82">
            <w:pPr>
              <w:spacing w:after="0" w:line="240" w:lineRule="auto"/>
              <w:ind w:left="270"/>
              <w:jc w:val="center"/>
              <w:rPr>
                <w:rFonts w:eastAsia="Times New Roman" w:cs="Calibri"/>
                <w:b/>
                <w:sz w:val="20"/>
                <w:szCs w:val="20"/>
                <w:lang w:eastAsia="sr-Latn-ME"/>
              </w:rPr>
            </w:pPr>
            <w:r w:rsidRPr="000152CB">
              <w:rPr>
                <w:rFonts w:eastAsia="Times New Roman" w:cs="Calibri"/>
                <w:b/>
                <w:sz w:val="20"/>
                <w:szCs w:val="20"/>
                <w:lang w:eastAsia="sr-Latn-ME"/>
              </w:rPr>
              <w:t>UNAPRIJEĐEN REGULATORNI I INSTITUCIONALNI OKVIR ZA PRUŽANJE KVALITETNE I JEDNAKO DOSTUPNE ZDRAVSTVENE ZAŠTITE</w:t>
            </w:r>
          </w:p>
        </w:tc>
      </w:tr>
      <w:tr w:rsidR="00A6629D" w:rsidRPr="000152CB" w14:paraId="20FA759A" w14:textId="77777777" w:rsidTr="00E77388">
        <w:trPr>
          <w:trHeight w:val="585"/>
          <w:jc w:val="center"/>
        </w:trPr>
        <w:tc>
          <w:tcPr>
            <w:tcW w:w="2091"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Mar>
              <w:top w:w="0" w:type="dxa"/>
              <w:left w:w="108" w:type="dxa"/>
              <w:bottom w:w="0" w:type="dxa"/>
              <w:right w:w="108" w:type="dxa"/>
            </w:tcMar>
          </w:tcPr>
          <w:p w14:paraId="635CA9F9" w14:textId="77777777" w:rsidR="00FD6E82" w:rsidRPr="000152CB" w:rsidRDefault="00FD6E82" w:rsidP="00FD6E82">
            <w:pPr>
              <w:spacing w:after="0" w:line="240" w:lineRule="auto"/>
              <w:jc w:val="center"/>
              <w:rPr>
                <w:rFonts w:eastAsia="Times New Roman" w:cs="Calibri"/>
                <w:b/>
                <w:color w:val="000000"/>
                <w:sz w:val="20"/>
                <w:szCs w:val="20"/>
                <w:lang w:eastAsia="sr-Latn-ME"/>
              </w:rPr>
            </w:pPr>
            <w:r w:rsidRPr="000152CB">
              <w:rPr>
                <w:rFonts w:eastAsia="Times New Roman" w:cs="Calibri"/>
                <w:b/>
                <w:color w:val="000000"/>
                <w:sz w:val="20"/>
                <w:szCs w:val="20"/>
                <w:lang w:eastAsia="sr-Latn-ME"/>
              </w:rPr>
              <w:t>Indikator učinka 1:</w:t>
            </w:r>
          </w:p>
          <w:p w14:paraId="74F1AF4A" w14:textId="77777777" w:rsidR="00FD6E82" w:rsidRPr="000152CB" w:rsidRDefault="00FD6E82" w:rsidP="00FD6E82">
            <w:pPr>
              <w:spacing w:after="0" w:line="240" w:lineRule="auto"/>
              <w:jc w:val="center"/>
              <w:rPr>
                <w:rFonts w:eastAsia="Times New Roman" w:cs="Calibri"/>
                <w:b/>
                <w:color w:val="000000"/>
                <w:sz w:val="20"/>
                <w:szCs w:val="20"/>
                <w:lang w:eastAsia="sr-Latn-ME"/>
              </w:rPr>
            </w:pPr>
            <w:r w:rsidRPr="000152CB">
              <w:rPr>
                <w:rFonts w:eastAsia="Times New Roman" w:cs="Calibri"/>
                <w:b/>
                <w:color w:val="000000"/>
                <w:sz w:val="20"/>
                <w:szCs w:val="20"/>
                <w:lang w:eastAsia="sr-Latn-ME"/>
              </w:rPr>
              <w:t>Uspostavljen zakonski i strateški okvir</w:t>
            </w:r>
          </w:p>
          <w:p w14:paraId="76DE910E" w14:textId="77777777" w:rsidR="00FD6E82" w:rsidRPr="000152CB" w:rsidRDefault="00FD6E82" w:rsidP="00FD6E82">
            <w:pPr>
              <w:spacing w:after="0" w:line="240" w:lineRule="auto"/>
              <w:ind w:left="270"/>
              <w:jc w:val="center"/>
              <w:rPr>
                <w:rFonts w:eastAsia="Times New Roman" w:cs="Calibri"/>
                <w:b/>
                <w:color w:val="000000"/>
                <w:sz w:val="20"/>
                <w:szCs w:val="20"/>
                <w:lang w:eastAsia="sr-Latn-ME"/>
              </w:rPr>
            </w:pPr>
          </w:p>
        </w:tc>
        <w:tc>
          <w:tcPr>
            <w:tcW w:w="3766" w:type="dxa"/>
            <w:gridSpan w:val="3"/>
            <w:tcBorders>
              <w:top w:val="single" w:sz="4" w:space="0" w:color="000000"/>
              <w:left w:val="single" w:sz="4" w:space="0" w:color="000000"/>
              <w:bottom w:val="single" w:sz="4" w:space="0" w:color="000000"/>
              <w:right w:val="single" w:sz="4" w:space="0" w:color="auto"/>
            </w:tcBorders>
            <w:shd w:val="clear" w:color="auto" w:fill="8EAADB" w:themeFill="accent1" w:themeFillTint="99"/>
            <w:tcMar>
              <w:top w:w="0" w:type="dxa"/>
              <w:left w:w="108" w:type="dxa"/>
              <w:bottom w:w="0" w:type="dxa"/>
              <w:right w:w="108" w:type="dxa"/>
            </w:tcMar>
          </w:tcPr>
          <w:p w14:paraId="536FCAEF" w14:textId="77777777" w:rsidR="00FD6E82" w:rsidRPr="000152CB" w:rsidRDefault="00FD6E82" w:rsidP="00FD6E82">
            <w:pPr>
              <w:spacing w:after="0" w:line="240" w:lineRule="auto"/>
              <w:ind w:left="270"/>
              <w:jc w:val="center"/>
              <w:rPr>
                <w:rFonts w:eastAsia="Times New Roman" w:cs="Calibri"/>
                <w:b/>
                <w:sz w:val="20"/>
                <w:szCs w:val="20"/>
                <w:lang w:eastAsia="sr-Latn-ME"/>
              </w:rPr>
            </w:pPr>
            <w:r w:rsidRPr="000152CB">
              <w:rPr>
                <w:rFonts w:eastAsia="Times New Roman" w:cs="Calibri"/>
                <w:b/>
                <w:sz w:val="20"/>
                <w:szCs w:val="20"/>
                <w:lang w:eastAsia="sr-Latn-ME"/>
              </w:rPr>
              <w:t xml:space="preserve">Početna vrijednost: </w:t>
            </w:r>
          </w:p>
          <w:p w14:paraId="02C90E9E" w14:textId="77777777" w:rsidR="00FD6E82" w:rsidRPr="000152CB" w:rsidRDefault="00FD6E82" w:rsidP="00FD6E82">
            <w:pPr>
              <w:spacing w:after="0" w:line="240" w:lineRule="auto"/>
              <w:ind w:left="270"/>
              <w:jc w:val="center"/>
              <w:rPr>
                <w:rFonts w:eastAsia="Times New Roman" w:cs="Calibri"/>
                <w:b/>
                <w:sz w:val="20"/>
                <w:szCs w:val="20"/>
                <w:lang w:eastAsia="sr-Latn-ME"/>
              </w:rPr>
            </w:pPr>
          </w:p>
          <w:p w14:paraId="76426410" w14:textId="77777777" w:rsidR="00FD6E82" w:rsidRPr="000152CB" w:rsidRDefault="00FD6E82" w:rsidP="00FD6E82">
            <w:pPr>
              <w:spacing w:after="0" w:line="240" w:lineRule="auto"/>
              <w:ind w:left="270"/>
              <w:jc w:val="center"/>
              <w:rPr>
                <w:rFonts w:eastAsia="Times New Roman" w:cs="Calibri"/>
                <w:bCs/>
                <w:sz w:val="20"/>
                <w:szCs w:val="20"/>
                <w:lang w:eastAsia="sr-Latn-ME"/>
              </w:rPr>
            </w:pPr>
            <w:r w:rsidRPr="000152CB">
              <w:rPr>
                <w:rFonts w:eastAsia="Times New Roman" w:cs="Calibri"/>
                <w:bCs/>
                <w:sz w:val="20"/>
                <w:szCs w:val="20"/>
                <w:lang w:eastAsia="sr-Latn-ME"/>
              </w:rPr>
              <w:t>Strateška dokumenta i normativni akti koji uređuju cjelokupni sistem zdravstvene zaštite u Crnoj Gori su u fazi izrade</w:t>
            </w:r>
          </w:p>
        </w:tc>
        <w:tc>
          <w:tcPr>
            <w:tcW w:w="4319" w:type="dxa"/>
            <w:gridSpan w:val="8"/>
            <w:tcBorders>
              <w:top w:val="single" w:sz="4" w:space="0" w:color="000000"/>
              <w:left w:val="single" w:sz="4" w:space="0" w:color="auto"/>
              <w:bottom w:val="single" w:sz="4" w:space="0" w:color="000000"/>
              <w:right w:val="single" w:sz="4" w:space="0" w:color="auto"/>
            </w:tcBorders>
            <w:shd w:val="clear" w:color="auto" w:fill="8EAADB" w:themeFill="accent1" w:themeFillTint="99"/>
          </w:tcPr>
          <w:p w14:paraId="6C05C182" w14:textId="77777777" w:rsidR="00FD6E82" w:rsidRPr="000152CB" w:rsidRDefault="00FD6E82" w:rsidP="00FD6E82">
            <w:pPr>
              <w:spacing w:after="0" w:line="240" w:lineRule="auto"/>
              <w:ind w:left="270"/>
              <w:jc w:val="center"/>
              <w:rPr>
                <w:rFonts w:eastAsia="Times New Roman" w:cs="Calibri"/>
                <w:b/>
                <w:sz w:val="20"/>
                <w:szCs w:val="20"/>
                <w:lang w:eastAsia="sr-Latn-ME"/>
              </w:rPr>
            </w:pPr>
            <w:r w:rsidRPr="000152CB">
              <w:rPr>
                <w:rFonts w:eastAsia="Times New Roman" w:cs="Calibri"/>
                <w:b/>
                <w:sz w:val="20"/>
                <w:szCs w:val="20"/>
                <w:lang w:eastAsia="sr-Latn-ME"/>
              </w:rPr>
              <w:t xml:space="preserve">Prelazna vrijednost: </w:t>
            </w:r>
          </w:p>
          <w:p w14:paraId="33DD8732" w14:textId="77777777" w:rsidR="00FD6E82" w:rsidRPr="000152CB" w:rsidRDefault="00FD6E82" w:rsidP="00FD6E82">
            <w:pPr>
              <w:spacing w:after="0" w:line="240" w:lineRule="auto"/>
              <w:ind w:left="270"/>
              <w:jc w:val="center"/>
              <w:rPr>
                <w:rFonts w:eastAsia="Times New Roman" w:cs="Calibri"/>
                <w:b/>
                <w:sz w:val="20"/>
                <w:szCs w:val="20"/>
                <w:lang w:eastAsia="sr-Latn-ME"/>
              </w:rPr>
            </w:pPr>
          </w:p>
          <w:p w14:paraId="54986374" w14:textId="77777777" w:rsidR="00FD6E82" w:rsidRPr="000152CB" w:rsidRDefault="00FD6E82" w:rsidP="00FD6E82">
            <w:pPr>
              <w:spacing w:after="0" w:line="240" w:lineRule="auto"/>
              <w:ind w:left="270"/>
              <w:jc w:val="center"/>
              <w:rPr>
                <w:rFonts w:eastAsia="Times New Roman" w:cs="Calibri"/>
                <w:bCs/>
                <w:sz w:val="20"/>
                <w:szCs w:val="20"/>
                <w:lang w:eastAsia="sr-Latn-ME"/>
              </w:rPr>
            </w:pPr>
            <w:r w:rsidRPr="000152CB">
              <w:rPr>
                <w:rFonts w:eastAsia="Times New Roman" w:cs="Calibri"/>
                <w:bCs/>
                <w:sz w:val="20"/>
                <w:szCs w:val="20"/>
                <w:lang w:eastAsia="sr-Latn-ME"/>
              </w:rPr>
              <w:t>60% planiranih dokumenata je izrađeno i usvojeno do kraja 2025. godine</w:t>
            </w:r>
          </w:p>
        </w:tc>
        <w:tc>
          <w:tcPr>
            <w:tcW w:w="5389" w:type="dxa"/>
            <w:gridSpan w:val="17"/>
            <w:tcBorders>
              <w:top w:val="single" w:sz="4" w:space="0" w:color="000000"/>
              <w:left w:val="single" w:sz="4" w:space="0" w:color="auto"/>
              <w:bottom w:val="single" w:sz="4" w:space="0" w:color="000000"/>
              <w:right w:val="single" w:sz="4" w:space="0" w:color="000000"/>
            </w:tcBorders>
            <w:shd w:val="clear" w:color="auto" w:fill="8EAADB" w:themeFill="accent1" w:themeFillTint="99"/>
          </w:tcPr>
          <w:p w14:paraId="752C2E42" w14:textId="77777777" w:rsidR="00FD6E82" w:rsidRPr="000152CB" w:rsidRDefault="00FD6E82" w:rsidP="00FD6E82">
            <w:pPr>
              <w:spacing w:after="0" w:line="240" w:lineRule="auto"/>
              <w:ind w:left="270"/>
              <w:jc w:val="center"/>
              <w:rPr>
                <w:rFonts w:eastAsia="Times New Roman" w:cs="Calibri"/>
                <w:b/>
                <w:sz w:val="20"/>
                <w:szCs w:val="20"/>
                <w:lang w:eastAsia="sr-Latn-ME"/>
              </w:rPr>
            </w:pPr>
            <w:r w:rsidRPr="000152CB">
              <w:rPr>
                <w:rFonts w:eastAsia="Times New Roman" w:cs="Calibri"/>
                <w:b/>
                <w:sz w:val="20"/>
                <w:szCs w:val="20"/>
                <w:lang w:eastAsia="sr-Latn-ME"/>
              </w:rPr>
              <w:t xml:space="preserve">Ciljna vrijednost: </w:t>
            </w:r>
          </w:p>
          <w:p w14:paraId="3AF78101" w14:textId="77777777" w:rsidR="00FD6E82" w:rsidRPr="000152CB" w:rsidRDefault="00FD6E82" w:rsidP="00FD6E82">
            <w:pPr>
              <w:spacing w:after="0" w:line="240" w:lineRule="auto"/>
              <w:ind w:left="270"/>
              <w:jc w:val="center"/>
              <w:rPr>
                <w:rFonts w:eastAsia="Times New Roman" w:cs="Calibri"/>
                <w:b/>
                <w:sz w:val="20"/>
                <w:szCs w:val="20"/>
                <w:lang w:eastAsia="sr-Latn-ME"/>
              </w:rPr>
            </w:pPr>
          </w:p>
          <w:p w14:paraId="441CD3E9" w14:textId="77777777" w:rsidR="00FD6E82" w:rsidRPr="000152CB" w:rsidRDefault="00FD6E82" w:rsidP="00FD6E82">
            <w:pPr>
              <w:spacing w:after="0" w:line="240" w:lineRule="auto"/>
              <w:jc w:val="center"/>
              <w:rPr>
                <w:rFonts w:eastAsia="Times New Roman" w:cs="Calibri"/>
                <w:bCs/>
                <w:sz w:val="20"/>
                <w:szCs w:val="20"/>
                <w:lang w:eastAsia="sr-Latn-ME"/>
              </w:rPr>
            </w:pPr>
            <w:r w:rsidRPr="000152CB">
              <w:rPr>
                <w:rFonts w:eastAsia="Times New Roman" w:cs="Calibri"/>
                <w:bCs/>
                <w:sz w:val="20"/>
                <w:szCs w:val="20"/>
                <w:lang w:eastAsia="sr-Latn-ME"/>
              </w:rPr>
              <w:t>100% izrađenih dokumenata planiranih dokumenata je izrađeno i usvojeno do kraja 2025. godine</w:t>
            </w:r>
          </w:p>
        </w:tc>
      </w:tr>
      <w:tr w:rsidR="00BB44DA" w:rsidRPr="000152CB" w14:paraId="38762446" w14:textId="77777777" w:rsidTr="00E77388">
        <w:trPr>
          <w:trHeight w:val="488"/>
          <w:jc w:val="center"/>
        </w:trPr>
        <w:tc>
          <w:tcPr>
            <w:tcW w:w="2091" w:type="dxa"/>
            <w:vMerge w:val="restart"/>
            <w:tcBorders>
              <w:top w:val="single" w:sz="4" w:space="0" w:color="000000"/>
              <w:left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hideMark/>
          </w:tcPr>
          <w:p w14:paraId="437E5443" w14:textId="77777777" w:rsidR="00FD6E82" w:rsidRPr="000152CB" w:rsidRDefault="00FD6E82" w:rsidP="00FD6E82">
            <w:pPr>
              <w:spacing w:after="0" w:line="240" w:lineRule="auto"/>
              <w:ind w:left="270"/>
              <w:jc w:val="center"/>
              <w:rPr>
                <w:rFonts w:eastAsia="Times New Roman" w:cs="Calibri"/>
                <w:b/>
                <w:sz w:val="20"/>
                <w:szCs w:val="20"/>
                <w:lang w:eastAsia="sr-Latn-ME"/>
              </w:rPr>
            </w:pPr>
            <w:r w:rsidRPr="000152CB">
              <w:rPr>
                <w:rFonts w:eastAsia="Times New Roman" w:cs="Calibri"/>
                <w:b/>
                <w:color w:val="000000"/>
                <w:sz w:val="20"/>
                <w:szCs w:val="20"/>
                <w:lang w:eastAsia="sr-Latn-ME"/>
              </w:rPr>
              <w:t>Aktivnost koja utiče na realizaciju Operativnog cilja</w:t>
            </w:r>
          </w:p>
        </w:tc>
        <w:tc>
          <w:tcPr>
            <w:tcW w:w="1970" w:type="dxa"/>
            <w:gridSpan w:val="2"/>
            <w:vMerge w:val="restart"/>
            <w:tcBorders>
              <w:top w:val="single" w:sz="4" w:space="0" w:color="000000"/>
              <w:left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hideMark/>
          </w:tcPr>
          <w:p w14:paraId="60735479" w14:textId="77777777" w:rsidR="00FD6E82" w:rsidRPr="000152CB" w:rsidRDefault="00FD6E82" w:rsidP="00FD6E82">
            <w:pPr>
              <w:spacing w:after="0" w:line="240" w:lineRule="auto"/>
              <w:ind w:left="270"/>
              <w:jc w:val="center"/>
              <w:rPr>
                <w:rFonts w:eastAsia="Times New Roman" w:cs="Calibri"/>
                <w:b/>
                <w:sz w:val="20"/>
                <w:szCs w:val="20"/>
                <w:lang w:eastAsia="sr-Latn-ME"/>
              </w:rPr>
            </w:pPr>
            <w:r w:rsidRPr="000152CB">
              <w:rPr>
                <w:rFonts w:eastAsia="Times New Roman" w:cs="Calibri"/>
                <w:b/>
                <w:color w:val="000000"/>
                <w:sz w:val="20"/>
                <w:szCs w:val="20"/>
                <w:lang w:eastAsia="sr-Latn-ME"/>
              </w:rPr>
              <w:t>Indikator rezultata</w:t>
            </w:r>
          </w:p>
        </w:tc>
        <w:tc>
          <w:tcPr>
            <w:tcW w:w="1796" w:type="dxa"/>
            <w:vMerge w:val="restart"/>
            <w:tcBorders>
              <w:top w:val="single" w:sz="4" w:space="0" w:color="000000"/>
              <w:left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hideMark/>
          </w:tcPr>
          <w:p w14:paraId="437C8065" w14:textId="77777777" w:rsidR="00FD6E82" w:rsidRPr="000152CB" w:rsidRDefault="00FD6E82" w:rsidP="00FD6E82">
            <w:pPr>
              <w:spacing w:after="0" w:line="240" w:lineRule="auto"/>
              <w:ind w:left="270"/>
              <w:jc w:val="center"/>
              <w:rPr>
                <w:rFonts w:eastAsia="Times New Roman" w:cs="Calibri"/>
                <w:b/>
                <w:sz w:val="20"/>
                <w:szCs w:val="20"/>
                <w:lang w:eastAsia="sr-Latn-ME"/>
              </w:rPr>
            </w:pPr>
            <w:r w:rsidRPr="000152CB">
              <w:rPr>
                <w:rFonts w:eastAsia="Times New Roman" w:cs="Calibri"/>
                <w:b/>
                <w:color w:val="000000"/>
                <w:sz w:val="20"/>
                <w:szCs w:val="20"/>
                <w:lang w:eastAsia="sr-Latn-ME"/>
              </w:rPr>
              <w:t>Nadležna institucija</w:t>
            </w:r>
          </w:p>
        </w:tc>
        <w:tc>
          <w:tcPr>
            <w:tcW w:w="2508" w:type="dxa"/>
            <w:gridSpan w:val="5"/>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hideMark/>
          </w:tcPr>
          <w:p w14:paraId="1A5685C0" w14:textId="77777777" w:rsidR="00FD6E82" w:rsidRPr="000152CB" w:rsidRDefault="00FD6E82" w:rsidP="0090285C">
            <w:pPr>
              <w:spacing w:after="0" w:line="240" w:lineRule="auto"/>
              <w:rPr>
                <w:rFonts w:eastAsia="Times New Roman" w:cs="Calibri"/>
                <w:b/>
                <w:sz w:val="20"/>
                <w:szCs w:val="20"/>
                <w:lang w:eastAsia="sr-Latn-ME"/>
              </w:rPr>
            </w:pPr>
            <w:r w:rsidRPr="000152CB">
              <w:rPr>
                <w:rFonts w:eastAsia="Times New Roman" w:cs="Calibri"/>
                <w:b/>
                <w:sz w:val="20"/>
                <w:szCs w:val="20"/>
                <w:lang w:eastAsia="sr-Latn-ME"/>
              </w:rPr>
              <w:t>STATUS REALIZACIJE AKTIVNSOTI</w:t>
            </w:r>
          </w:p>
        </w:tc>
        <w:tc>
          <w:tcPr>
            <w:tcW w:w="1962" w:type="dxa"/>
            <w:gridSpan w:val="5"/>
            <w:vMerge w:val="restart"/>
            <w:tcBorders>
              <w:top w:val="single" w:sz="4" w:space="0" w:color="000000"/>
              <w:left w:val="single" w:sz="4" w:space="0" w:color="000000"/>
              <w:right w:val="single" w:sz="4" w:space="0" w:color="000000"/>
            </w:tcBorders>
            <w:shd w:val="clear" w:color="auto" w:fill="D9E2F3" w:themeFill="accent1" w:themeFillTint="33"/>
            <w:vAlign w:val="center"/>
          </w:tcPr>
          <w:p w14:paraId="0455CF2D" w14:textId="77777777" w:rsidR="00FD6E82" w:rsidRPr="000152CB" w:rsidRDefault="00FD6E82" w:rsidP="00FD6E82">
            <w:pPr>
              <w:spacing w:after="0" w:line="240" w:lineRule="auto"/>
              <w:ind w:left="270"/>
              <w:jc w:val="center"/>
              <w:rPr>
                <w:rFonts w:eastAsia="Times New Roman" w:cs="Calibri"/>
                <w:b/>
                <w:sz w:val="20"/>
                <w:szCs w:val="20"/>
                <w:lang w:eastAsia="sr-Latn-ME"/>
              </w:rPr>
            </w:pPr>
            <w:r w:rsidRPr="000152CB">
              <w:rPr>
                <w:rFonts w:eastAsia="Times New Roman" w:cs="Calibri"/>
                <w:b/>
                <w:color w:val="000000"/>
                <w:sz w:val="20"/>
                <w:szCs w:val="20"/>
                <w:lang w:eastAsia="sr-Latn-ME"/>
              </w:rPr>
              <w:t>Planirani rok završetka</w:t>
            </w:r>
          </w:p>
        </w:tc>
        <w:tc>
          <w:tcPr>
            <w:tcW w:w="1368" w:type="dxa"/>
            <w:gridSpan w:val="4"/>
            <w:vMerge w:val="restart"/>
            <w:tcBorders>
              <w:top w:val="single" w:sz="4" w:space="0" w:color="000000"/>
              <w:left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hideMark/>
          </w:tcPr>
          <w:p w14:paraId="6AF99C34" w14:textId="77777777" w:rsidR="00FD6E82" w:rsidRPr="000152CB" w:rsidRDefault="00FD6E82" w:rsidP="00FD6E82">
            <w:pPr>
              <w:spacing w:after="0" w:line="240" w:lineRule="auto"/>
              <w:ind w:left="270"/>
              <w:jc w:val="center"/>
              <w:rPr>
                <w:rFonts w:eastAsia="Times New Roman" w:cs="Calibri"/>
                <w:b/>
                <w:sz w:val="20"/>
                <w:szCs w:val="20"/>
                <w:lang w:eastAsia="sr-Latn-ME"/>
              </w:rPr>
            </w:pPr>
            <w:r w:rsidRPr="000152CB">
              <w:rPr>
                <w:rFonts w:eastAsia="Times New Roman" w:cs="Calibri"/>
                <w:b/>
                <w:color w:val="000000"/>
                <w:sz w:val="20"/>
                <w:szCs w:val="20"/>
                <w:lang w:eastAsia="sr-Latn-ME"/>
              </w:rPr>
              <w:t>Planirana i utrošena sredstva</w:t>
            </w:r>
          </w:p>
        </w:tc>
        <w:tc>
          <w:tcPr>
            <w:tcW w:w="2061" w:type="dxa"/>
            <w:gridSpan w:val="3"/>
            <w:vMerge w:val="restart"/>
            <w:tcBorders>
              <w:top w:val="single" w:sz="4" w:space="0" w:color="000000"/>
              <w:left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hideMark/>
          </w:tcPr>
          <w:p w14:paraId="04EA7333" w14:textId="77777777" w:rsidR="00FD6E82" w:rsidRPr="000152CB" w:rsidRDefault="00FD6E82" w:rsidP="00FD6E82">
            <w:pPr>
              <w:spacing w:after="0" w:line="240" w:lineRule="auto"/>
              <w:ind w:left="270"/>
              <w:jc w:val="center"/>
              <w:rPr>
                <w:rFonts w:eastAsia="Times New Roman" w:cs="Calibri"/>
                <w:b/>
                <w:sz w:val="20"/>
                <w:szCs w:val="20"/>
                <w:lang w:eastAsia="sr-Latn-ME"/>
              </w:rPr>
            </w:pPr>
            <w:r w:rsidRPr="000152CB">
              <w:rPr>
                <w:rFonts w:eastAsia="Times New Roman" w:cs="Calibri"/>
                <w:b/>
                <w:color w:val="000000"/>
                <w:sz w:val="20"/>
                <w:szCs w:val="20"/>
                <w:lang w:eastAsia="sr-Latn-ME"/>
              </w:rPr>
              <w:t>Izvor finansiranja</w:t>
            </w:r>
          </w:p>
        </w:tc>
        <w:tc>
          <w:tcPr>
            <w:tcW w:w="1809" w:type="dxa"/>
            <w:gridSpan w:val="8"/>
            <w:vMerge w:val="restart"/>
            <w:tcBorders>
              <w:top w:val="single" w:sz="4" w:space="0" w:color="000000"/>
              <w:left w:val="single" w:sz="4" w:space="0" w:color="000000"/>
              <w:right w:val="single" w:sz="4" w:space="0" w:color="000000"/>
            </w:tcBorders>
            <w:shd w:val="clear" w:color="auto" w:fill="D9E2F3" w:themeFill="accent1" w:themeFillTint="33"/>
            <w:vAlign w:val="center"/>
          </w:tcPr>
          <w:p w14:paraId="31522C31" w14:textId="77777777" w:rsidR="00FD6E82" w:rsidRPr="000152CB" w:rsidRDefault="00FD6E82" w:rsidP="00FD6E82">
            <w:pPr>
              <w:spacing w:after="0" w:line="240" w:lineRule="auto"/>
              <w:ind w:left="270"/>
              <w:jc w:val="center"/>
              <w:rPr>
                <w:rFonts w:eastAsia="Times New Roman" w:cs="Calibri"/>
                <w:b/>
                <w:sz w:val="20"/>
                <w:szCs w:val="20"/>
                <w:lang w:eastAsia="sr-Latn-ME"/>
              </w:rPr>
            </w:pPr>
            <w:r w:rsidRPr="000152CB">
              <w:rPr>
                <w:rFonts w:eastAsia="Times New Roman" w:cs="Calibri"/>
                <w:b/>
                <w:sz w:val="20"/>
                <w:szCs w:val="20"/>
                <w:lang w:eastAsia="sr-Latn-ME"/>
              </w:rPr>
              <w:t>Preporuke</w:t>
            </w:r>
          </w:p>
        </w:tc>
      </w:tr>
      <w:tr w:rsidR="00CA0422" w:rsidRPr="000152CB" w14:paraId="6D984FC0" w14:textId="77777777" w:rsidTr="00E77388">
        <w:trPr>
          <w:trHeight w:val="376"/>
          <w:jc w:val="center"/>
        </w:trPr>
        <w:tc>
          <w:tcPr>
            <w:tcW w:w="2091" w:type="dxa"/>
            <w:vMerge/>
            <w:tcBorders>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275A6E6B" w14:textId="77777777" w:rsidR="00FD6E82" w:rsidRPr="000152CB" w:rsidRDefault="00FD6E82" w:rsidP="00FD6E82">
            <w:pPr>
              <w:spacing w:after="0" w:line="240" w:lineRule="auto"/>
              <w:ind w:left="270"/>
              <w:jc w:val="center"/>
              <w:rPr>
                <w:rFonts w:eastAsia="Times New Roman" w:cs="Calibri"/>
                <w:b/>
                <w:color w:val="000000"/>
                <w:sz w:val="20"/>
                <w:szCs w:val="20"/>
                <w:lang w:eastAsia="sr-Latn-ME"/>
              </w:rPr>
            </w:pPr>
          </w:p>
        </w:tc>
        <w:tc>
          <w:tcPr>
            <w:tcW w:w="1970" w:type="dxa"/>
            <w:gridSpan w:val="2"/>
            <w:vMerge/>
            <w:tcBorders>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534AC24E" w14:textId="77777777" w:rsidR="00FD6E82" w:rsidRPr="000152CB" w:rsidRDefault="00FD6E82" w:rsidP="00FD6E82">
            <w:pPr>
              <w:spacing w:after="0" w:line="240" w:lineRule="auto"/>
              <w:ind w:left="270"/>
              <w:jc w:val="center"/>
              <w:rPr>
                <w:rFonts w:eastAsia="Times New Roman" w:cs="Calibri"/>
                <w:b/>
                <w:color w:val="000000"/>
                <w:sz w:val="20"/>
                <w:szCs w:val="20"/>
                <w:lang w:eastAsia="sr-Latn-ME"/>
              </w:rPr>
            </w:pPr>
          </w:p>
        </w:tc>
        <w:tc>
          <w:tcPr>
            <w:tcW w:w="1796" w:type="dxa"/>
            <w:vMerge/>
            <w:tcBorders>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760D1674" w14:textId="77777777" w:rsidR="00FD6E82" w:rsidRPr="000152CB" w:rsidRDefault="00FD6E82" w:rsidP="00FD6E82">
            <w:pPr>
              <w:spacing w:after="0" w:line="240" w:lineRule="auto"/>
              <w:ind w:left="270"/>
              <w:jc w:val="center"/>
              <w:rPr>
                <w:rFonts w:eastAsia="Times New Roman" w:cs="Calibri"/>
                <w:b/>
                <w:color w:val="000000"/>
                <w:sz w:val="20"/>
                <w:szCs w:val="20"/>
                <w:lang w:eastAsia="sr-Latn-ME"/>
              </w:rPr>
            </w:pPr>
          </w:p>
        </w:tc>
        <w:tc>
          <w:tcPr>
            <w:tcW w:w="798"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vAlign w:val="center"/>
          </w:tcPr>
          <w:p w14:paraId="6F236476" w14:textId="77777777" w:rsidR="00FD6E82" w:rsidRPr="000152CB" w:rsidRDefault="00FD6E82" w:rsidP="00FD6E82">
            <w:pPr>
              <w:spacing w:after="0" w:line="240" w:lineRule="auto"/>
              <w:ind w:left="270"/>
              <w:jc w:val="center"/>
              <w:rPr>
                <w:rFonts w:eastAsia="Times New Roman" w:cs="Calibri"/>
                <w:b/>
                <w:sz w:val="20"/>
                <w:szCs w:val="20"/>
                <w:lang w:eastAsia="sr-Latn-ME"/>
              </w:rPr>
            </w:pPr>
          </w:p>
        </w:tc>
        <w:tc>
          <w:tcPr>
            <w:tcW w:w="900" w:type="dxa"/>
            <w:gridSpan w:val="3"/>
            <w:tcBorders>
              <w:top w:val="single" w:sz="4" w:space="0" w:color="000000"/>
              <w:left w:val="single" w:sz="4" w:space="0" w:color="000000"/>
              <w:bottom w:val="single" w:sz="4" w:space="0" w:color="000000"/>
              <w:right w:val="single" w:sz="4" w:space="0" w:color="000000"/>
            </w:tcBorders>
            <w:shd w:val="clear" w:color="auto" w:fill="FFFF00"/>
            <w:vAlign w:val="center"/>
          </w:tcPr>
          <w:p w14:paraId="3BD1FAAE" w14:textId="77777777" w:rsidR="00FD6E82" w:rsidRPr="000152CB" w:rsidRDefault="00FD6E82" w:rsidP="00FD6E82">
            <w:pPr>
              <w:spacing w:after="0" w:line="240" w:lineRule="auto"/>
              <w:ind w:left="270"/>
              <w:jc w:val="center"/>
              <w:rPr>
                <w:rFonts w:eastAsia="Times New Roman" w:cs="Calibri"/>
                <w:b/>
                <w:sz w:val="20"/>
                <w:szCs w:val="20"/>
                <w:lang w:eastAsia="sr-Latn-ME"/>
              </w:rPr>
            </w:pPr>
          </w:p>
        </w:tc>
        <w:tc>
          <w:tcPr>
            <w:tcW w:w="810"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018AA9C6" w14:textId="77777777" w:rsidR="00FD6E82" w:rsidRPr="000152CB" w:rsidRDefault="00FD6E82" w:rsidP="00FD6E82">
            <w:pPr>
              <w:spacing w:after="0" w:line="240" w:lineRule="auto"/>
              <w:ind w:left="270"/>
              <w:jc w:val="center"/>
              <w:rPr>
                <w:rFonts w:eastAsia="Times New Roman" w:cs="Calibri"/>
                <w:b/>
                <w:sz w:val="20"/>
                <w:szCs w:val="20"/>
                <w:lang w:eastAsia="sr-Latn-ME"/>
              </w:rPr>
            </w:pPr>
          </w:p>
        </w:tc>
        <w:tc>
          <w:tcPr>
            <w:tcW w:w="1962" w:type="dxa"/>
            <w:gridSpan w:val="5"/>
            <w:vMerge/>
            <w:tcBorders>
              <w:left w:val="single" w:sz="4" w:space="0" w:color="000000"/>
              <w:bottom w:val="single" w:sz="4" w:space="0" w:color="000000"/>
              <w:right w:val="single" w:sz="4" w:space="0" w:color="000000"/>
            </w:tcBorders>
            <w:shd w:val="clear" w:color="auto" w:fill="D9E2F3" w:themeFill="accent1" w:themeFillTint="33"/>
            <w:vAlign w:val="center"/>
          </w:tcPr>
          <w:p w14:paraId="3F9FCC20" w14:textId="77777777" w:rsidR="00FD6E82" w:rsidRPr="000152CB" w:rsidRDefault="00FD6E82" w:rsidP="00FD6E82">
            <w:pPr>
              <w:spacing w:after="0" w:line="240" w:lineRule="auto"/>
              <w:ind w:left="270"/>
              <w:jc w:val="center"/>
              <w:rPr>
                <w:rFonts w:eastAsia="Times New Roman" w:cs="Calibri"/>
                <w:b/>
                <w:color w:val="000000"/>
                <w:sz w:val="20"/>
                <w:szCs w:val="20"/>
                <w:lang w:eastAsia="sr-Latn-ME"/>
              </w:rPr>
            </w:pPr>
          </w:p>
        </w:tc>
        <w:tc>
          <w:tcPr>
            <w:tcW w:w="1368" w:type="dxa"/>
            <w:gridSpan w:val="4"/>
            <w:vMerge/>
            <w:tcBorders>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7066AE22" w14:textId="77777777" w:rsidR="00FD6E82" w:rsidRPr="000152CB" w:rsidRDefault="00FD6E82" w:rsidP="00FD6E82">
            <w:pPr>
              <w:spacing w:after="0" w:line="240" w:lineRule="auto"/>
              <w:ind w:left="270"/>
              <w:jc w:val="center"/>
              <w:rPr>
                <w:rFonts w:eastAsia="Times New Roman" w:cs="Calibri"/>
                <w:b/>
                <w:color w:val="000000"/>
                <w:sz w:val="20"/>
                <w:szCs w:val="20"/>
                <w:lang w:eastAsia="sr-Latn-ME"/>
              </w:rPr>
            </w:pPr>
          </w:p>
        </w:tc>
        <w:tc>
          <w:tcPr>
            <w:tcW w:w="2061" w:type="dxa"/>
            <w:gridSpan w:val="3"/>
            <w:vMerge/>
            <w:tcBorders>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2E3330BC" w14:textId="77777777" w:rsidR="00FD6E82" w:rsidRPr="000152CB" w:rsidRDefault="00FD6E82" w:rsidP="00FD6E82">
            <w:pPr>
              <w:spacing w:after="0" w:line="240" w:lineRule="auto"/>
              <w:ind w:left="270"/>
              <w:jc w:val="center"/>
              <w:rPr>
                <w:rFonts w:eastAsia="Times New Roman" w:cs="Calibri"/>
                <w:b/>
                <w:color w:val="000000"/>
                <w:sz w:val="20"/>
                <w:szCs w:val="20"/>
                <w:lang w:eastAsia="sr-Latn-ME"/>
              </w:rPr>
            </w:pPr>
          </w:p>
        </w:tc>
        <w:tc>
          <w:tcPr>
            <w:tcW w:w="1809" w:type="dxa"/>
            <w:gridSpan w:val="8"/>
            <w:vMerge/>
            <w:tcBorders>
              <w:left w:val="single" w:sz="4" w:space="0" w:color="000000"/>
              <w:bottom w:val="single" w:sz="4" w:space="0" w:color="000000"/>
              <w:right w:val="single" w:sz="4" w:space="0" w:color="000000"/>
            </w:tcBorders>
            <w:shd w:val="clear" w:color="auto" w:fill="D9E2F3" w:themeFill="accent1" w:themeFillTint="33"/>
            <w:vAlign w:val="center"/>
          </w:tcPr>
          <w:p w14:paraId="7CE162CD" w14:textId="77777777" w:rsidR="00FD6E82" w:rsidRPr="000152CB" w:rsidRDefault="00FD6E82" w:rsidP="00FD6E82">
            <w:pPr>
              <w:spacing w:after="0" w:line="240" w:lineRule="auto"/>
              <w:ind w:left="270"/>
              <w:jc w:val="center"/>
              <w:rPr>
                <w:rFonts w:eastAsia="Times New Roman" w:cs="Calibri"/>
                <w:b/>
                <w:color w:val="000000"/>
                <w:sz w:val="20"/>
                <w:szCs w:val="20"/>
                <w:lang w:eastAsia="sr-Latn-ME"/>
              </w:rPr>
            </w:pPr>
          </w:p>
        </w:tc>
      </w:tr>
      <w:tr w:rsidR="00BB44DA" w:rsidRPr="000152CB" w14:paraId="3076E6A6" w14:textId="77777777" w:rsidTr="00E77388">
        <w:trPr>
          <w:trHeight w:val="585"/>
          <w:jc w:val="center"/>
        </w:trPr>
        <w:tc>
          <w:tcPr>
            <w:tcW w:w="2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386D91" w14:textId="77777777" w:rsidR="00FD6E82" w:rsidRPr="000152CB" w:rsidRDefault="00FD6E82" w:rsidP="00FD6E82">
            <w:pPr>
              <w:rPr>
                <w:rFonts w:eastAsia="Times New Roman" w:cs="Calibri"/>
                <w:color w:val="000000"/>
                <w:sz w:val="20"/>
                <w:szCs w:val="20"/>
                <w:lang w:eastAsia="sr-Latn-ME"/>
              </w:rPr>
            </w:pPr>
            <w:r w:rsidRPr="000152CB">
              <w:rPr>
                <w:rFonts w:eastAsia="Times New Roman" w:cs="Calibri"/>
                <w:color w:val="000000"/>
                <w:sz w:val="20"/>
                <w:szCs w:val="20"/>
                <w:lang w:eastAsia="sr-Latn-ME"/>
              </w:rPr>
              <w:lastRenderedPageBreak/>
              <w:t>1.5.1.Program kontrole upotrebe duvanskih proizvoda u Crnoj Gori sa Akcionim planom 2023-2025</w:t>
            </w:r>
          </w:p>
        </w:tc>
        <w:tc>
          <w:tcPr>
            <w:tcW w:w="19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D00E0C"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Usvojen dokument</w:t>
            </w:r>
          </w:p>
        </w:tc>
        <w:tc>
          <w:tcPr>
            <w:tcW w:w="1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B7A8F1"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Ministarstvo zdravlja,</w:t>
            </w:r>
          </w:p>
          <w:p w14:paraId="32D90370"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Zdravstvene ustanove</w:t>
            </w:r>
          </w:p>
          <w:p w14:paraId="4A65AA04"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Institut za javno zdravlje</w:t>
            </w:r>
          </w:p>
          <w:p w14:paraId="39383C7C"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Nacionalna komisija za kontrolu duvana,</w:t>
            </w:r>
          </w:p>
          <w:p w14:paraId="3D754381"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Ministarstvo prosvjete,</w:t>
            </w:r>
          </w:p>
          <w:p w14:paraId="56AB7943"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Uprava za inspekcijske poslove,</w:t>
            </w:r>
          </w:p>
          <w:p w14:paraId="0B57F189"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Uprava prihoda i carina</w:t>
            </w:r>
          </w:p>
        </w:tc>
        <w:tc>
          <w:tcPr>
            <w:tcW w:w="2508" w:type="dxa"/>
            <w:gridSpan w:val="5"/>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47D9C15A" w14:textId="09BA7382" w:rsidR="00FD6E82" w:rsidRPr="000152CB" w:rsidRDefault="00AD7493"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U 2023. godinu realizovano. Programom rada Vlade za 2025. godinu, predviđena je izrada Godišnjeg izvještaja o realizaciji Akcionog plana Programa kontrole upotrebe duvanskih proizvoda u Crnoj Gori 2023-2025, za 2024. godinu, za period od I do III kvartala ove godine. Navedeni dokumnent još nije izrađen, a njegova realizacija započeće se u julu mjesecu, tek nakon dobijenih informacija od nosioca aktivnosti. Novi rok za avgust 2025. godine</w:t>
            </w:r>
          </w:p>
        </w:tc>
        <w:tc>
          <w:tcPr>
            <w:tcW w:w="1962" w:type="dxa"/>
            <w:gridSpan w:val="5"/>
            <w:tcBorders>
              <w:top w:val="single" w:sz="4" w:space="0" w:color="000000"/>
              <w:left w:val="single" w:sz="4" w:space="0" w:color="000000"/>
              <w:bottom w:val="single" w:sz="4" w:space="0" w:color="000000"/>
              <w:right w:val="single" w:sz="4" w:space="0" w:color="000000"/>
            </w:tcBorders>
          </w:tcPr>
          <w:p w14:paraId="07DB7676"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 xml:space="preserve"> IIQ 2023-IVQ 2025</w:t>
            </w:r>
          </w:p>
        </w:tc>
        <w:tc>
          <w:tcPr>
            <w:tcW w:w="136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5C3B67"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Planirana sredstva: 816.000,00e</w:t>
            </w:r>
          </w:p>
          <w:p w14:paraId="325F8A2D" w14:textId="77777777" w:rsidR="00FD6E82" w:rsidRPr="000152CB" w:rsidRDefault="00FD6E82" w:rsidP="00FD6E82">
            <w:pPr>
              <w:spacing w:after="0" w:line="240" w:lineRule="auto"/>
              <w:rPr>
                <w:rFonts w:eastAsia="Times New Roman" w:cs="Calibri"/>
                <w:sz w:val="20"/>
                <w:szCs w:val="20"/>
                <w:lang w:eastAsia="sr-Latn-ME"/>
              </w:rPr>
            </w:pPr>
          </w:p>
          <w:p w14:paraId="1644BD30"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 xml:space="preserve">Utrošena sredstva: </w:t>
            </w:r>
          </w:p>
        </w:tc>
        <w:tc>
          <w:tcPr>
            <w:tcW w:w="206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1A8FEF"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Budžet, projekti i donacije</w:t>
            </w:r>
          </w:p>
        </w:tc>
        <w:tc>
          <w:tcPr>
            <w:tcW w:w="1809" w:type="dxa"/>
            <w:gridSpan w:val="8"/>
            <w:tcBorders>
              <w:top w:val="single" w:sz="4" w:space="0" w:color="000000"/>
              <w:left w:val="single" w:sz="4" w:space="0" w:color="000000"/>
              <w:bottom w:val="single" w:sz="4" w:space="0" w:color="000000"/>
              <w:right w:val="single" w:sz="4" w:space="0" w:color="000000"/>
            </w:tcBorders>
          </w:tcPr>
          <w:p w14:paraId="2410B831" w14:textId="77777777" w:rsidR="00FD6E82" w:rsidRPr="000152CB" w:rsidRDefault="00FD6E82" w:rsidP="00FD6E82">
            <w:pPr>
              <w:spacing w:after="0" w:line="240" w:lineRule="auto"/>
              <w:rPr>
                <w:rFonts w:eastAsia="Times New Roman" w:cs="Calibri"/>
                <w:sz w:val="20"/>
                <w:szCs w:val="20"/>
                <w:lang w:eastAsia="sr-Latn-ME"/>
              </w:rPr>
            </w:pPr>
          </w:p>
        </w:tc>
      </w:tr>
      <w:tr w:rsidR="00BB44DA" w:rsidRPr="000152CB" w14:paraId="00FDC503" w14:textId="77777777" w:rsidTr="00E77388">
        <w:trPr>
          <w:trHeight w:val="585"/>
          <w:jc w:val="center"/>
        </w:trPr>
        <w:tc>
          <w:tcPr>
            <w:tcW w:w="2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7B46A5" w14:textId="77777777" w:rsidR="00FD6E82" w:rsidRPr="000152CB" w:rsidRDefault="00FD6E82" w:rsidP="00FD6E82">
            <w:pPr>
              <w:rPr>
                <w:rFonts w:eastAsia="Times New Roman" w:cs="Calibri"/>
                <w:color w:val="000000"/>
                <w:sz w:val="20"/>
                <w:szCs w:val="20"/>
                <w:lang w:eastAsia="sr-Latn-ME"/>
              </w:rPr>
            </w:pPr>
            <w:r w:rsidRPr="000152CB">
              <w:rPr>
                <w:rFonts w:eastAsia="Times New Roman" w:cs="Calibri"/>
                <w:color w:val="000000"/>
                <w:sz w:val="20"/>
                <w:szCs w:val="20"/>
                <w:lang w:eastAsia="sr-Latn-ME"/>
              </w:rPr>
              <w:t>1.5.2.Program za nadzor i kontrolu vektora u Crnoj Gori 2023-2025 sa Akcionim planom 2023-2025</w:t>
            </w:r>
          </w:p>
        </w:tc>
        <w:tc>
          <w:tcPr>
            <w:tcW w:w="19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5207B4"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Usvojen dokument</w:t>
            </w:r>
          </w:p>
        </w:tc>
        <w:tc>
          <w:tcPr>
            <w:tcW w:w="1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FE3D1C"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Ministarstvo zdravlja,</w:t>
            </w:r>
          </w:p>
          <w:p w14:paraId="657B4844"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Zdravstvene ustanove</w:t>
            </w:r>
          </w:p>
          <w:p w14:paraId="459052E9"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Institut za javno zdravlje</w:t>
            </w:r>
          </w:p>
          <w:p w14:paraId="4CC9984C"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Biotehnički fakultet</w:t>
            </w:r>
          </w:p>
          <w:p w14:paraId="6CE48BC6"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Specijalistička veterinarska laboratorija,</w:t>
            </w:r>
          </w:p>
          <w:p w14:paraId="16D327EA"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Lokalne samouprave</w:t>
            </w:r>
          </w:p>
          <w:p w14:paraId="3DAEEE96"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DDD kompanije</w:t>
            </w:r>
          </w:p>
          <w:p w14:paraId="7B03BB44" w14:textId="77777777" w:rsidR="00FD6E82" w:rsidRPr="000152CB" w:rsidRDefault="00FD6E82" w:rsidP="00FD6E82">
            <w:pPr>
              <w:spacing w:after="0" w:line="240" w:lineRule="auto"/>
              <w:ind w:left="270"/>
              <w:rPr>
                <w:rFonts w:eastAsia="Times New Roman" w:cs="Calibri"/>
                <w:sz w:val="20"/>
                <w:szCs w:val="20"/>
                <w:lang w:eastAsia="sr-Latn-ME"/>
              </w:rPr>
            </w:pPr>
          </w:p>
          <w:p w14:paraId="59342A8B" w14:textId="77777777" w:rsidR="00FD6E82" w:rsidRPr="000152CB" w:rsidRDefault="00FD6E82" w:rsidP="00FD6E82">
            <w:pPr>
              <w:spacing w:after="0" w:line="240" w:lineRule="auto"/>
              <w:ind w:left="270"/>
              <w:rPr>
                <w:rFonts w:eastAsia="Times New Roman" w:cs="Calibri"/>
                <w:sz w:val="20"/>
                <w:szCs w:val="20"/>
                <w:lang w:eastAsia="sr-Latn-ME"/>
              </w:rPr>
            </w:pPr>
          </w:p>
        </w:tc>
        <w:tc>
          <w:tcPr>
            <w:tcW w:w="2508" w:type="dxa"/>
            <w:gridSpan w:val="5"/>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415106AA" w14:textId="025359C1" w:rsidR="00FD6E82" w:rsidRPr="000152CB" w:rsidRDefault="00AD7493"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U 2023. godinu realizovano. Programom rada Vlade za 2025. godinu, predviđena je izrada Godišnjeg izvještaja o realizaciji Akcionog plana Programa kontrole vektora 2023-2025, za 2024. godinu, za period od I do III kvartala ove godine. Navedeni dokumnent još nije izrađen, a njegova realizacija započeće se u julu mjesecu, tek nakon dobijenih informacija od nosioca aktivnosti. Novi rok za avgust 2025. godine</w:t>
            </w:r>
          </w:p>
        </w:tc>
        <w:tc>
          <w:tcPr>
            <w:tcW w:w="1962" w:type="dxa"/>
            <w:gridSpan w:val="5"/>
            <w:tcBorders>
              <w:top w:val="single" w:sz="4" w:space="0" w:color="000000"/>
              <w:left w:val="single" w:sz="4" w:space="0" w:color="000000"/>
              <w:bottom w:val="single" w:sz="4" w:space="0" w:color="000000"/>
              <w:right w:val="single" w:sz="4" w:space="0" w:color="000000"/>
            </w:tcBorders>
          </w:tcPr>
          <w:p w14:paraId="5C797E60"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 xml:space="preserve"> IIQ 2023-IIQ 2024</w:t>
            </w:r>
          </w:p>
        </w:tc>
        <w:tc>
          <w:tcPr>
            <w:tcW w:w="136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F201D1" w14:textId="790A57C0"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Planirana sredstva: 47</w:t>
            </w:r>
            <w:r w:rsidR="00D1501A" w:rsidRPr="000152CB">
              <w:rPr>
                <w:rFonts w:eastAsia="Times New Roman" w:cs="Calibri"/>
                <w:sz w:val="20"/>
                <w:szCs w:val="20"/>
                <w:lang w:eastAsia="sr-Latn-ME"/>
              </w:rPr>
              <w:t>,</w:t>
            </w:r>
            <w:r w:rsidRPr="000152CB">
              <w:rPr>
                <w:rFonts w:eastAsia="Times New Roman" w:cs="Calibri"/>
                <w:sz w:val="20"/>
                <w:szCs w:val="20"/>
                <w:lang w:eastAsia="sr-Latn-ME"/>
              </w:rPr>
              <w:t>700</w:t>
            </w:r>
            <w:r w:rsidR="00D1501A" w:rsidRPr="000152CB">
              <w:rPr>
                <w:rFonts w:eastAsia="Times New Roman" w:cs="Calibri"/>
                <w:sz w:val="20"/>
                <w:szCs w:val="20"/>
                <w:lang w:eastAsia="sr-Latn-ME"/>
              </w:rPr>
              <w:t xml:space="preserve"> eura</w:t>
            </w:r>
          </w:p>
          <w:p w14:paraId="4E3C79B4" w14:textId="77777777" w:rsidR="00FD6E82" w:rsidRPr="000152CB" w:rsidRDefault="00FD6E82" w:rsidP="00FD6E82">
            <w:pPr>
              <w:spacing w:after="0" w:line="240" w:lineRule="auto"/>
              <w:rPr>
                <w:rFonts w:eastAsia="Times New Roman" w:cs="Calibri"/>
                <w:sz w:val="20"/>
                <w:szCs w:val="20"/>
                <w:lang w:eastAsia="sr-Latn-ME"/>
              </w:rPr>
            </w:pPr>
          </w:p>
          <w:p w14:paraId="0115D2E0" w14:textId="077A8058"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Utrošena sredstva:</w:t>
            </w:r>
            <w:r w:rsidR="00D1501A" w:rsidRPr="000152CB">
              <w:rPr>
                <w:rFonts w:eastAsia="Times New Roman" w:cs="Calibri"/>
                <w:sz w:val="20"/>
                <w:szCs w:val="20"/>
                <w:lang w:eastAsia="sr-Latn-ME"/>
              </w:rPr>
              <w:t xml:space="preserve"> 7,000 eura</w:t>
            </w:r>
          </w:p>
        </w:tc>
        <w:tc>
          <w:tcPr>
            <w:tcW w:w="206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477EBE" w14:textId="3128FCBF" w:rsidR="00FD6E82" w:rsidRPr="000152CB" w:rsidRDefault="00F94946"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Budžet</w:t>
            </w:r>
          </w:p>
        </w:tc>
        <w:tc>
          <w:tcPr>
            <w:tcW w:w="1809" w:type="dxa"/>
            <w:gridSpan w:val="8"/>
            <w:tcBorders>
              <w:top w:val="single" w:sz="4" w:space="0" w:color="000000"/>
              <w:left w:val="single" w:sz="4" w:space="0" w:color="000000"/>
              <w:bottom w:val="single" w:sz="4" w:space="0" w:color="000000"/>
              <w:right w:val="single" w:sz="4" w:space="0" w:color="000000"/>
            </w:tcBorders>
          </w:tcPr>
          <w:p w14:paraId="7AD60EAC" w14:textId="77777777" w:rsidR="00FD6E82" w:rsidRPr="000152CB" w:rsidRDefault="00FD6E82" w:rsidP="00FD6E82">
            <w:pPr>
              <w:spacing w:after="0" w:line="240" w:lineRule="auto"/>
              <w:rPr>
                <w:rFonts w:eastAsia="Times New Roman" w:cs="Calibri"/>
                <w:sz w:val="20"/>
                <w:szCs w:val="20"/>
                <w:lang w:eastAsia="sr-Latn-ME"/>
              </w:rPr>
            </w:pPr>
          </w:p>
        </w:tc>
      </w:tr>
      <w:tr w:rsidR="00BB44DA" w:rsidRPr="000152CB" w14:paraId="1EF1DD0E" w14:textId="77777777" w:rsidTr="00E77388">
        <w:trPr>
          <w:trHeight w:val="585"/>
          <w:jc w:val="center"/>
        </w:trPr>
        <w:tc>
          <w:tcPr>
            <w:tcW w:w="2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BC68E" w14:textId="77777777" w:rsidR="00FD6E82" w:rsidRPr="000152CB" w:rsidRDefault="00FD6E82" w:rsidP="00FD6E82">
            <w:pPr>
              <w:rPr>
                <w:rFonts w:eastAsia="Times New Roman" w:cs="Calibri"/>
                <w:color w:val="000000"/>
                <w:sz w:val="20"/>
                <w:szCs w:val="20"/>
                <w:lang w:eastAsia="sr-Latn-ME"/>
              </w:rPr>
            </w:pPr>
            <w:r w:rsidRPr="000152CB">
              <w:rPr>
                <w:rFonts w:eastAsia="Times New Roman" w:cs="Calibri"/>
                <w:color w:val="000000"/>
                <w:sz w:val="20"/>
                <w:szCs w:val="20"/>
                <w:lang w:eastAsia="sr-Latn-ME"/>
              </w:rPr>
              <w:t xml:space="preserve">1.5.3.Nacionalna strategija za kontrolu i prevenciju hroničnih </w:t>
            </w:r>
            <w:r w:rsidRPr="000152CB">
              <w:rPr>
                <w:rFonts w:eastAsia="Times New Roman" w:cs="Calibri"/>
                <w:color w:val="000000"/>
                <w:sz w:val="20"/>
                <w:szCs w:val="20"/>
                <w:lang w:eastAsia="sr-Latn-ME"/>
              </w:rPr>
              <w:lastRenderedPageBreak/>
              <w:t>nezaraznih bolesti za period 2023-2030, sa Akcionim planom 2023-2025</w:t>
            </w:r>
          </w:p>
        </w:tc>
        <w:tc>
          <w:tcPr>
            <w:tcW w:w="19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7CED7D"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lastRenderedPageBreak/>
              <w:t>Usvojen dokument</w:t>
            </w:r>
          </w:p>
        </w:tc>
        <w:tc>
          <w:tcPr>
            <w:tcW w:w="1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AF805B"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Ministarstvo zdravlja,</w:t>
            </w:r>
          </w:p>
          <w:p w14:paraId="57DBFE22"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lastRenderedPageBreak/>
              <w:t>Zdravstvene ustanove</w:t>
            </w:r>
          </w:p>
          <w:p w14:paraId="2DB14E98"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Institut za javno zdravlje</w:t>
            </w:r>
          </w:p>
          <w:p w14:paraId="0620FACF"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Ministarstvo prosvete</w:t>
            </w:r>
          </w:p>
          <w:p w14:paraId="3A4285A8"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Ministarstvo sporta i mladih</w:t>
            </w:r>
          </w:p>
          <w:p w14:paraId="250E4930"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Ministarstvo kulture i medija</w:t>
            </w:r>
          </w:p>
          <w:p w14:paraId="301A7108"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NVO</w:t>
            </w:r>
          </w:p>
        </w:tc>
        <w:tc>
          <w:tcPr>
            <w:tcW w:w="2508" w:type="dxa"/>
            <w:gridSpan w:val="5"/>
            <w:tcBorders>
              <w:top w:val="single" w:sz="4" w:space="0" w:color="000000"/>
              <w:left w:val="single" w:sz="4" w:space="0" w:color="000000"/>
              <w:bottom w:val="single" w:sz="4" w:space="0" w:color="000000"/>
              <w:right w:val="single" w:sz="4" w:space="0" w:color="000000"/>
            </w:tcBorders>
            <w:shd w:val="clear" w:color="auto" w:fill="FF0000"/>
            <w:tcMar>
              <w:top w:w="0" w:type="dxa"/>
              <w:left w:w="108" w:type="dxa"/>
              <w:bottom w:w="0" w:type="dxa"/>
              <w:right w:w="108" w:type="dxa"/>
            </w:tcMar>
          </w:tcPr>
          <w:p w14:paraId="016F1B66" w14:textId="61C5AD65" w:rsidR="00FD6E82" w:rsidRPr="000152CB" w:rsidRDefault="00FC304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lastRenderedPageBreak/>
              <w:t xml:space="preserve">Aktivnost nije realizovana zbog </w:t>
            </w:r>
            <w:r w:rsidR="00E45F5E" w:rsidRPr="000152CB">
              <w:rPr>
                <w:rFonts w:eastAsia="Times New Roman" w:cs="Calibri"/>
                <w:sz w:val="20"/>
                <w:szCs w:val="20"/>
                <w:lang w:eastAsia="sr-Latn-ME"/>
              </w:rPr>
              <w:t xml:space="preserve">institucionalnih i </w:t>
            </w:r>
            <w:r w:rsidR="00E45F5E" w:rsidRPr="000152CB">
              <w:rPr>
                <w:rFonts w:eastAsia="Times New Roman" w:cs="Calibri"/>
                <w:sz w:val="20"/>
                <w:szCs w:val="20"/>
                <w:lang w:eastAsia="sr-Latn-ME"/>
              </w:rPr>
              <w:lastRenderedPageBreak/>
              <w:t>kadrovskih promjena u nadležnim organima</w:t>
            </w:r>
            <w:r w:rsidRPr="000152CB">
              <w:rPr>
                <w:rFonts w:eastAsia="Times New Roman" w:cs="Calibri"/>
                <w:sz w:val="20"/>
                <w:szCs w:val="20"/>
                <w:lang w:eastAsia="sr-Latn-ME"/>
              </w:rPr>
              <w:t xml:space="preserve"> </w:t>
            </w:r>
          </w:p>
        </w:tc>
        <w:tc>
          <w:tcPr>
            <w:tcW w:w="1962" w:type="dxa"/>
            <w:gridSpan w:val="5"/>
            <w:tcBorders>
              <w:top w:val="single" w:sz="4" w:space="0" w:color="000000"/>
              <w:left w:val="single" w:sz="4" w:space="0" w:color="000000"/>
              <w:bottom w:val="single" w:sz="4" w:space="0" w:color="000000"/>
              <w:right w:val="single" w:sz="4" w:space="0" w:color="000000"/>
            </w:tcBorders>
          </w:tcPr>
          <w:p w14:paraId="1E7AC337"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lastRenderedPageBreak/>
              <w:t>IIIQ 2023- IVQ 2030</w:t>
            </w:r>
          </w:p>
        </w:tc>
        <w:tc>
          <w:tcPr>
            <w:tcW w:w="136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9FE06F"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N/A</w:t>
            </w:r>
          </w:p>
        </w:tc>
        <w:tc>
          <w:tcPr>
            <w:tcW w:w="206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71E44C"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Budžet, projekti i donacije</w:t>
            </w:r>
          </w:p>
        </w:tc>
        <w:tc>
          <w:tcPr>
            <w:tcW w:w="1809" w:type="dxa"/>
            <w:gridSpan w:val="8"/>
            <w:tcBorders>
              <w:top w:val="single" w:sz="4" w:space="0" w:color="000000"/>
              <w:left w:val="single" w:sz="4" w:space="0" w:color="000000"/>
              <w:bottom w:val="single" w:sz="4" w:space="0" w:color="000000"/>
              <w:right w:val="single" w:sz="4" w:space="0" w:color="000000"/>
            </w:tcBorders>
          </w:tcPr>
          <w:p w14:paraId="124FEADD" w14:textId="72D59CFC" w:rsidR="00FD6E82" w:rsidRPr="000152CB" w:rsidRDefault="00E45F5E"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Novi rok za realizaciju aktivnosti je IV kvartal 2026. godine</w:t>
            </w:r>
          </w:p>
        </w:tc>
      </w:tr>
      <w:tr w:rsidR="00BB44DA" w:rsidRPr="000152CB" w14:paraId="09B876EB" w14:textId="77777777" w:rsidTr="00E77388">
        <w:trPr>
          <w:trHeight w:val="585"/>
          <w:jc w:val="center"/>
        </w:trPr>
        <w:tc>
          <w:tcPr>
            <w:tcW w:w="2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A217A" w14:textId="77777777" w:rsidR="00FD6E82" w:rsidRPr="000152CB" w:rsidRDefault="00FD6E82" w:rsidP="00FD6E82">
            <w:pPr>
              <w:rPr>
                <w:rFonts w:eastAsia="Times New Roman" w:cs="Calibri"/>
                <w:color w:val="000000"/>
                <w:sz w:val="20"/>
                <w:szCs w:val="20"/>
                <w:lang w:eastAsia="sr-Latn-ME"/>
              </w:rPr>
            </w:pPr>
            <w:r w:rsidRPr="000152CB">
              <w:rPr>
                <w:rFonts w:eastAsia="Times New Roman" w:cs="Calibri"/>
                <w:color w:val="000000"/>
                <w:sz w:val="20"/>
                <w:szCs w:val="20"/>
                <w:lang w:eastAsia="sr-Latn-ME"/>
              </w:rPr>
              <w:t>1.5.4.Program za borbu protiv HIV/AIDS -a za period od 2024. do 2026. sa Akcionim planom 2024. do 2026. godine</w:t>
            </w:r>
          </w:p>
        </w:tc>
        <w:tc>
          <w:tcPr>
            <w:tcW w:w="19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A3126B"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Usvojen Program</w:t>
            </w:r>
          </w:p>
        </w:tc>
        <w:tc>
          <w:tcPr>
            <w:tcW w:w="1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068F8E"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Ministarstvo zdravlja,</w:t>
            </w:r>
          </w:p>
          <w:p w14:paraId="07BDF7A8"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Zdravstvene ustanove</w:t>
            </w:r>
          </w:p>
          <w:p w14:paraId="1DD29CEF"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Institut za javno zdravlje</w:t>
            </w:r>
          </w:p>
          <w:p w14:paraId="33DB3971"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UIKS</w:t>
            </w:r>
          </w:p>
          <w:p w14:paraId="7C377BDD"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NVO</w:t>
            </w:r>
          </w:p>
        </w:tc>
        <w:tc>
          <w:tcPr>
            <w:tcW w:w="2508" w:type="dxa"/>
            <w:gridSpan w:val="5"/>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7797C8FD" w14:textId="30108719" w:rsidR="00FD6E82" w:rsidRPr="000152CB" w:rsidRDefault="00DC3968"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Ministarstvo zdravlja je usvojilo Program za borbu protiv HIV/AIDS</w:t>
            </w:r>
          </w:p>
        </w:tc>
        <w:tc>
          <w:tcPr>
            <w:tcW w:w="1962" w:type="dxa"/>
            <w:gridSpan w:val="5"/>
            <w:tcBorders>
              <w:top w:val="single" w:sz="4" w:space="0" w:color="000000"/>
              <w:left w:val="single" w:sz="4" w:space="0" w:color="000000"/>
              <w:bottom w:val="single" w:sz="4" w:space="0" w:color="000000"/>
              <w:right w:val="single" w:sz="4" w:space="0" w:color="000000"/>
            </w:tcBorders>
          </w:tcPr>
          <w:p w14:paraId="15068DEB"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 xml:space="preserve"> IIQ 2024-IVQ 2026</w:t>
            </w:r>
          </w:p>
        </w:tc>
        <w:tc>
          <w:tcPr>
            <w:tcW w:w="136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7F3B86"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N/A</w:t>
            </w:r>
          </w:p>
        </w:tc>
        <w:tc>
          <w:tcPr>
            <w:tcW w:w="206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1B64A4"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Budžet, projekti i donacije</w:t>
            </w:r>
          </w:p>
        </w:tc>
        <w:tc>
          <w:tcPr>
            <w:tcW w:w="1809" w:type="dxa"/>
            <w:gridSpan w:val="8"/>
            <w:tcBorders>
              <w:top w:val="single" w:sz="4" w:space="0" w:color="000000"/>
              <w:left w:val="single" w:sz="4" w:space="0" w:color="000000"/>
              <w:bottom w:val="single" w:sz="4" w:space="0" w:color="000000"/>
              <w:right w:val="single" w:sz="4" w:space="0" w:color="000000"/>
            </w:tcBorders>
          </w:tcPr>
          <w:p w14:paraId="60F09CB3" w14:textId="77777777" w:rsidR="00FD6E82" w:rsidRPr="000152CB" w:rsidRDefault="00FD6E82" w:rsidP="00FD6E82">
            <w:pPr>
              <w:spacing w:after="0" w:line="240" w:lineRule="auto"/>
              <w:rPr>
                <w:rFonts w:eastAsia="Times New Roman" w:cs="Calibri"/>
                <w:sz w:val="20"/>
                <w:szCs w:val="20"/>
                <w:lang w:eastAsia="sr-Latn-ME"/>
              </w:rPr>
            </w:pPr>
          </w:p>
        </w:tc>
      </w:tr>
      <w:tr w:rsidR="00BB44DA" w:rsidRPr="000152CB" w14:paraId="6EDD2E7E" w14:textId="77777777" w:rsidTr="00E77388">
        <w:trPr>
          <w:trHeight w:val="585"/>
          <w:jc w:val="center"/>
        </w:trPr>
        <w:tc>
          <w:tcPr>
            <w:tcW w:w="2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B6BA77" w14:textId="77777777" w:rsidR="00FD6E82" w:rsidRPr="000152CB" w:rsidRDefault="00FD6E82" w:rsidP="00FD6E82">
            <w:pPr>
              <w:rPr>
                <w:rFonts w:eastAsia="Times New Roman" w:cs="Calibri"/>
                <w:color w:val="000000"/>
                <w:sz w:val="20"/>
                <w:szCs w:val="20"/>
                <w:lang w:eastAsia="sr-Latn-ME"/>
              </w:rPr>
            </w:pPr>
            <w:r w:rsidRPr="000152CB">
              <w:rPr>
                <w:rFonts w:eastAsia="Times New Roman" w:cs="Calibri"/>
                <w:color w:val="000000"/>
                <w:sz w:val="20"/>
                <w:szCs w:val="20"/>
                <w:lang w:eastAsia="sr-Latn-ME"/>
              </w:rPr>
              <w:t>1.5.5.Program za unapređenje mentalnog zdravlja u Crnoj Gori 2024 – 2026 sa Akcionim planom 2024. do 2026. godine</w:t>
            </w:r>
          </w:p>
        </w:tc>
        <w:tc>
          <w:tcPr>
            <w:tcW w:w="19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C1755" w14:textId="77777777" w:rsidR="00FD6E82" w:rsidRPr="000152CB" w:rsidRDefault="00FD6E82" w:rsidP="00FD6E82">
            <w:pPr>
              <w:spacing w:after="0" w:line="240" w:lineRule="auto"/>
              <w:ind w:left="270"/>
              <w:rPr>
                <w:rFonts w:eastAsia="Times New Roman" w:cs="Calibri"/>
                <w:sz w:val="20"/>
                <w:szCs w:val="20"/>
                <w:lang w:eastAsia="sr-Latn-ME"/>
              </w:rPr>
            </w:pPr>
            <w:r w:rsidRPr="000152CB">
              <w:rPr>
                <w:rFonts w:eastAsia="Times New Roman" w:cs="Calibri"/>
                <w:sz w:val="20"/>
                <w:szCs w:val="20"/>
                <w:lang w:eastAsia="sr-Latn-ME"/>
              </w:rPr>
              <w:t>Usvojen Program</w:t>
            </w:r>
          </w:p>
        </w:tc>
        <w:tc>
          <w:tcPr>
            <w:tcW w:w="1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B8093E"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Ministarstvo zdravlja,</w:t>
            </w:r>
          </w:p>
          <w:p w14:paraId="784788FB"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Zdravstvene ustanove</w:t>
            </w:r>
          </w:p>
          <w:p w14:paraId="6B5EEFE1"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Institut za javno zdravlje</w:t>
            </w:r>
          </w:p>
          <w:p w14:paraId="34257DC1"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Ministarstvo prosvete</w:t>
            </w:r>
          </w:p>
          <w:p w14:paraId="1D562810"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NVO</w:t>
            </w:r>
          </w:p>
        </w:tc>
        <w:tc>
          <w:tcPr>
            <w:tcW w:w="2508" w:type="dxa"/>
            <w:gridSpan w:val="5"/>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0D4BA437" w14:textId="60DD145E" w:rsidR="00FD6E82" w:rsidRPr="000152CB" w:rsidRDefault="00F47121" w:rsidP="00F47121">
            <w:pPr>
              <w:spacing w:after="0" w:line="240" w:lineRule="auto"/>
              <w:rPr>
                <w:rFonts w:eastAsia="Times New Roman" w:cs="Calibri"/>
                <w:sz w:val="20"/>
                <w:szCs w:val="20"/>
                <w:lang w:eastAsia="sr-Latn-ME"/>
              </w:rPr>
            </w:pPr>
            <w:r w:rsidRPr="000152CB">
              <w:rPr>
                <w:rFonts w:eastAsia="Times New Roman" w:cs="Calibri"/>
                <w:sz w:val="20"/>
                <w:szCs w:val="20"/>
                <w:lang w:eastAsia="sr-Latn-ME"/>
              </w:rPr>
              <w:t>Usvojen dokument.u II kvartalu 2025 godine</w:t>
            </w:r>
          </w:p>
        </w:tc>
        <w:tc>
          <w:tcPr>
            <w:tcW w:w="1962" w:type="dxa"/>
            <w:gridSpan w:val="5"/>
            <w:tcBorders>
              <w:top w:val="single" w:sz="4" w:space="0" w:color="000000"/>
              <w:left w:val="single" w:sz="4" w:space="0" w:color="000000"/>
              <w:bottom w:val="single" w:sz="4" w:space="0" w:color="000000"/>
              <w:right w:val="single" w:sz="4" w:space="0" w:color="000000"/>
            </w:tcBorders>
          </w:tcPr>
          <w:p w14:paraId="29E78083"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 xml:space="preserve">IIQ 2024-IVQ </w:t>
            </w:r>
          </w:p>
          <w:p w14:paraId="3139F3B6" w14:textId="77777777" w:rsidR="00FD6E82" w:rsidRPr="000152CB" w:rsidRDefault="00FD6E82" w:rsidP="00FD6E82">
            <w:pPr>
              <w:spacing w:after="0" w:line="240" w:lineRule="auto"/>
              <w:ind w:left="270"/>
              <w:rPr>
                <w:rFonts w:eastAsia="Times New Roman" w:cs="Calibri"/>
                <w:sz w:val="20"/>
                <w:szCs w:val="20"/>
                <w:lang w:eastAsia="sr-Latn-ME"/>
              </w:rPr>
            </w:pPr>
            <w:r w:rsidRPr="000152CB">
              <w:rPr>
                <w:rFonts w:eastAsia="Times New Roman" w:cs="Calibri"/>
                <w:sz w:val="20"/>
                <w:szCs w:val="20"/>
                <w:lang w:eastAsia="sr-Latn-ME"/>
              </w:rPr>
              <w:t>2026</w:t>
            </w:r>
          </w:p>
        </w:tc>
        <w:tc>
          <w:tcPr>
            <w:tcW w:w="136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4769F5" w14:textId="77777777" w:rsidR="00FD6E82" w:rsidRPr="000152CB" w:rsidRDefault="00FD6E82" w:rsidP="00FD6E82">
            <w:pPr>
              <w:spacing w:after="0" w:line="240" w:lineRule="auto"/>
              <w:rPr>
                <w:rFonts w:eastAsia="Times New Roman" w:cs="Calibri"/>
                <w:sz w:val="20"/>
                <w:szCs w:val="20"/>
                <w:highlight w:val="yellow"/>
                <w:lang w:eastAsia="sr-Latn-ME"/>
              </w:rPr>
            </w:pPr>
            <w:r w:rsidRPr="000152CB">
              <w:rPr>
                <w:rFonts w:eastAsia="Times New Roman" w:cs="Calibri"/>
                <w:sz w:val="20"/>
                <w:szCs w:val="20"/>
                <w:lang w:eastAsia="sr-Latn-ME"/>
              </w:rPr>
              <w:t>N/A</w:t>
            </w:r>
          </w:p>
        </w:tc>
        <w:tc>
          <w:tcPr>
            <w:tcW w:w="206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B89181"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Budžet, projekti i donacije</w:t>
            </w:r>
          </w:p>
        </w:tc>
        <w:tc>
          <w:tcPr>
            <w:tcW w:w="1809" w:type="dxa"/>
            <w:gridSpan w:val="8"/>
            <w:tcBorders>
              <w:top w:val="single" w:sz="4" w:space="0" w:color="000000"/>
              <w:left w:val="single" w:sz="4" w:space="0" w:color="000000"/>
              <w:bottom w:val="single" w:sz="4" w:space="0" w:color="000000"/>
              <w:right w:val="single" w:sz="4" w:space="0" w:color="000000"/>
            </w:tcBorders>
          </w:tcPr>
          <w:p w14:paraId="28B2CFDE" w14:textId="77777777" w:rsidR="00FD6E82" w:rsidRPr="000152CB" w:rsidRDefault="00FD6E82" w:rsidP="00FD6E82">
            <w:pPr>
              <w:spacing w:after="0" w:line="240" w:lineRule="auto"/>
              <w:rPr>
                <w:rFonts w:eastAsia="Times New Roman" w:cs="Calibri"/>
                <w:sz w:val="20"/>
                <w:szCs w:val="20"/>
                <w:lang w:eastAsia="sr-Latn-ME"/>
              </w:rPr>
            </w:pPr>
          </w:p>
        </w:tc>
      </w:tr>
      <w:tr w:rsidR="00BB44DA" w:rsidRPr="000152CB" w14:paraId="5001C6BA" w14:textId="77777777" w:rsidTr="00E77388">
        <w:trPr>
          <w:trHeight w:val="585"/>
          <w:jc w:val="center"/>
        </w:trPr>
        <w:tc>
          <w:tcPr>
            <w:tcW w:w="2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4D967A" w14:textId="77777777" w:rsidR="00FD6E82" w:rsidRPr="000152CB" w:rsidRDefault="00FD6E82" w:rsidP="00FD6E82">
            <w:pPr>
              <w:rPr>
                <w:rFonts w:eastAsia="Times New Roman" w:cs="Calibri"/>
                <w:color w:val="000000"/>
                <w:sz w:val="20"/>
                <w:szCs w:val="20"/>
                <w:lang w:eastAsia="sr-Latn-ME"/>
              </w:rPr>
            </w:pPr>
            <w:r w:rsidRPr="000152CB">
              <w:rPr>
                <w:rFonts w:eastAsia="Times New Roman" w:cs="Calibri"/>
                <w:color w:val="000000"/>
                <w:sz w:val="20"/>
                <w:szCs w:val="20"/>
                <w:lang w:eastAsia="sr-Latn-ME"/>
              </w:rPr>
              <w:t>1.5.6.Priprema i usvajanje Strategije ranog razvoja djeteta 2023-2027</w:t>
            </w:r>
          </w:p>
        </w:tc>
        <w:tc>
          <w:tcPr>
            <w:tcW w:w="19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92A627"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Usvojena Strategija</w:t>
            </w:r>
          </w:p>
        </w:tc>
        <w:tc>
          <w:tcPr>
            <w:tcW w:w="1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FD0C38"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Ministarstvo zdravlja.</w:t>
            </w:r>
          </w:p>
          <w:p w14:paraId="2BCAA952"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Zdravstvene ustanove</w:t>
            </w:r>
          </w:p>
          <w:p w14:paraId="18CE74A0"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UNICEF</w:t>
            </w:r>
          </w:p>
        </w:tc>
        <w:tc>
          <w:tcPr>
            <w:tcW w:w="2508" w:type="dxa"/>
            <w:gridSpan w:val="5"/>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435CDCB1" w14:textId="01CD8E9B" w:rsidR="00FD6E82" w:rsidRPr="000152CB" w:rsidRDefault="00765C15"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Strategija usvojena IV Q 2023</w:t>
            </w:r>
          </w:p>
        </w:tc>
        <w:tc>
          <w:tcPr>
            <w:tcW w:w="1962" w:type="dxa"/>
            <w:gridSpan w:val="5"/>
            <w:tcBorders>
              <w:top w:val="single" w:sz="4" w:space="0" w:color="000000"/>
              <w:left w:val="single" w:sz="4" w:space="0" w:color="000000"/>
              <w:bottom w:val="single" w:sz="4" w:space="0" w:color="000000"/>
              <w:right w:val="single" w:sz="4" w:space="0" w:color="000000"/>
            </w:tcBorders>
          </w:tcPr>
          <w:p w14:paraId="5C8B3F7A"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 xml:space="preserve">  IIQ 2023-IIQ 2024</w:t>
            </w:r>
          </w:p>
        </w:tc>
        <w:tc>
          <w:tcPr>
            <w:tcW w:w="136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0F089B" w14:textId="77777777" w:rsidR="00FD6E82" w:rsidRPr="000152CB" w:rsidRDefault="00FD6E82" w:rsidP="00FD6E82">
            <w:pPr>
              <w:spacing w:after="0" w:line="240" w:lineRule="auto"/>
              <w:rPr>
                <w:rFonts w:eastAsia="Times New Roman" w:cs="Calibri"/>
                <w:sz w:val="20"/>
                <w:szCs w:val="20"/>
                <w:highlight w:val="yellow"/>
                <w:lang w:eastAsia="sr-Latn-ME"/>
              </w:rPr>
            </w:pPr>
            <w:r w:rsidRPr="000152CB">
              <w:rPr>
                <w:rFonts w:eastAsia="Times New Roman" w:cs="Calibri"/>
                <w:sz w:val="20"/>
                <w:szCs w:val="20"/>
                <w:lang w:eastAsia="sr-Latn-ME"/>
              </w:rPr>
              <w:t>N/A</w:t>
            </w:r>
          </w:p>
        </w:tc>
        <w:tc>
          <w:tcPr>
            <w:tcW w:w="206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CA019F"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Budžet,</w:t>
            </w:r>
          </w:p>
        </w:tc>
        <w:tc>
          <w:tcPr>
            <w:tcW w:w="1809" w:type="dxa"/>
            <w:gridSpan w:val="8"/>
            <w:tcBorders>
              <w:top w:val="single" w:sz="4" w:space="0" w:color="000000"/>
              <w:left w:val="single" w:sz="4" w:space="0" w:color="000000"/>
              <w:bottom w:val="single" w:sz="4" w:space="0" w:color="000000"/>
              <w:right w:val="single" w:sz="4" w:space="0" w:color="000000"/>
            </w:tcBorders>
          </w:tcPr>
          <w:p w14:paraId="3CACE609" w14:textId="051BA8B8" w:rsidR="00FD6E82" w:rsidRPr="000152CB" w:rsidRDefault="00FD6E82" w:rsidP="00FD6E82">
            <w:pPr>
              <w:spacing w:after="0" w:line="240" w:lineRule="auto"/>
              <w:rPr>
                <w:rFonts w:eastAsia="Times New Roman" w:cs="Calibri"/>
                <w:sz w:val="20"/>
                <w:szCs w:val="20"/>
                <w:lang w:eastAsia="sr-Latn-ME"/>
              </w:rPr>
            </w:pPr>
          </w:p>
        </w:tc>
      </w:tr>
      <w:tr w:rsidR="00BB44DA" w:rsidRPr="000152CB" w14:paraId="7019F4C1" w14:textId="77777777" w:rsidTr="00E77388">
        <w:trPr>
          <w:trHeight w:val="585"/>
          <w:jc w:val="center"/>
        </w:trPr>
        <w:tc>
          <w:tcPr>
            <w:tcW w:w="2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31B724" w14:textId="77777777" w:rsidR="00FD6E82" w:rsidRPr="000152CB" w:rsidRDefault="00FD6E82" w:rsidP="00FD6E82">
            <w:pPr>
              <w:rPr>
                <w:rFonts w:eastAsia="Times New Roman" w:cs="Calibri"/>
                <w:color w:val="000000"/>
                <w:sz w:val="20"/>
                <w:szCs w:val="20"/>
                <w:lang w:eastAsia="sr-Latn-ME"/>
              </w:rPr>
            </w:pPr>
            <w:r w:rsidRPr="000152CB">
              <w:rPr>
                <w:rFonts w:eastAsia="Times New Roman" w:cs="Calibri"/>
                <w:color w:val="000000"/>
                <w:sz w:val="20"/>
                <w:szCs w:val="20"/>
                <w:lang w:eastAsia="sr-Latn-ME"/>
              </w:rPr>
              <w:t xml:space="preserve">1.5.7.Izrada Strategije za sprečavanje zloupotreba droga za period od 2023-206. </w:t>
            </w:r>
            <w:r w:rsidRPr="000152CB">
              <w:rPr>
                <w:rFonts w:eastAsia="Times New Roman" w:cs="Calibri"/>
                <w:color w:val="000000"/>
                <w:sz w:val="20"/>
                <w:szCs w:val="20"/>
                <w:lang w:eastAsia="sr-Latn-ME"/>
              </w:rPr>
              <w:lastRenderedPageBreak/>
              <w:t>godine, sa Akcionim planom za 2023-2024. godinu</w:t>
            </w:r>
          </w:p>
        </w:tc>
        <w:tc>
          <w:tcPr>
            <w:tcW w:w="19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4BDDA8"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lastRenderedPageBreak/>
              <w:t>Usvojena Strategija</w:t>
            </w:r>
          </w:p>
        </w:tc>
        <w:tc>
          <w:tcPr>
            <w:tcW w:w="1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83605B"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Ministarsvo zdravlja</w:t>
            </w:r>
          </w:p>
          <w:p w14:paraId="6914533B"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Zdravstvene ustanove</w:t>
            </w:r>
          </w:p>
          <w:p w14:paraId="4BC9E5E9"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lastRenderedPageBreak/>
              <w:t>Ministarstvo unutrašnjih poslova-Uprava policije,</w:t>
            </w:r>
          </w:p>
          <w:p w14:paraId="1B85EF91"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Uprava prihoda i carina,</w:t>
            </w:r>
          </w:p>
          <w:p w14:paraId="7C4451EF"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Institut za ljekove i medicinska sredstva, NVO i dr.</w:t>
            </w:r>
          </w:p>
        </w:tc>
        <w:tc>
          <w:tcPr>
            <w:tcW w:w="2508" w:type="dxa"/>
            <w:gridSpan w:val="5"/>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640829DE" w14:textId="37F398C7" w:rsidR="00FD6E82" w:rsidRPr="000152CB" w:rsidRDefault="001F2B0F"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lastRenderedPageBreak/>
              <w:t xml:space="preserve">Aktivnost je realizovana u IV kvartalu 2024. godine. Realizacija nije bila moguća u predviđenim rokovima </w:t>
            </w:r>
            <w:r w:rsidRPr="000152CB">
              <w:rPr>
                <w:rFonts w:eastAsia="Times New Roman" w:cs="Calibri"/>
                <w:sz w:val="20"/>
                <w:szCs w:val="20"/>
                <w:lang w:eastAsia="sr-Latn-ME"/>
              </w:rPr>
              <w:lastRenderedPageBreak/>
              <w:t>usled smanjenih kapaciteta Odeljenja za monitoring droga i zavisnosti od droga.</w:t>
            </w:r>
          </w:p>
        </w:tc>
        <w:tc>
          <w:tcPr>
            <w:tcW w:w="1962" w:type="dxa"/>
            <w:gridSpan w:val="5"/>
            <w:tcBorders>
              <w:top w:val="single" w:sz="4" w:space="0" w:color="000000"/>
              <w:left w:val="single" w:sz="4" w:space="0" w:color="000000"/>
              <w:bottom w:val="single" w:sz="4" w:space="0" w:color="000000"/>
              <w:right w:val="single" w:sz="4" w:space="0" w:color="000000"/>
            </w:tcBorders>
          </w:tcPr>
          <w:p w14:paraId="283B2728"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lastRenderedPageBreak/>
              <w:t xml:space="preserve"> IQ 2023IIQ 2024</w:t>
            </w:r>
          </w:p>
        </w:tc>
        <w:tc>
          <w:tcPr>
            <w:tcW w:w="136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59E687" w14:textId="47D794D6" w:rsidR="00FD6E82" w:rsidRPr="000152CB" w:rsidRDefault="00210BD4"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Utrošena sredstva: 1,500 eura</w:t>
            </w:r>
          </w:p>
        </w:tc>
        <w:tc>
          <w:tcPr>
            <w:tcW w:w="206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ED76FA"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Budžet,</w:t>
            </w:r>
          </w:p>
        </w:tc>
        <w:tc>
          <w:tcPr>
            <w:tcW w:w="1809" w:type="dxa"/>
            <w:gridSpan w:val="8"/>
            <w:tcBorders>
              <w:top w:val="single" w:sz="4" w:space="0" w:color="000000"/>
              <w:left w:val="single" w:sz="4" w:space="0" w:color="000000"/>
              <w:bottom w:val="single" w:sz="4" w:space="0" w:color="000000"/>
              <w:right w:val="single" w:sz="4" w:space="0" w:color="000000"/>
            </w:tcBorders>
          </w:tcPr>
          <w:p w14:paraId="17FA1590" w14:textId="11245E22" w:rsidR="00FD6E82" w:rsidRPr="000152CB" w:rsidRDefault="00FD6E82" w:rsidP="00FD6E82">
            <w:pPr>
              <w:spacing w:after="0" w:line="240" w:lineRule="auto"/>
              <w:rPr>
                <w:rFonts w:eastAsia="Times New Roman" w:cs="Calibri"/>
                <w:sz w:val="20"/>
                <w:szCs w:val="20"/>
                <w:lang w:eastAsia="sr-Latn-ME"/>
              </w:rPr>
            </w:pPr>
          </w:p>
        </w:tc>
      </w:tr>
      <w:tr w:rsidR="00BB44DA" w:rsidRPr="000152CB" w14:paraId="5BC69603" w14:textId="77777777" w:rsidTr="00E77388">
        <w:trPr>
          <w:trHeight w:val="585"/>
          <w:jc w:val="center"/>
        </w:trPr>
        <w:tc>
          <w:tcPr>
            <w:tcW w:w="2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CF9265" w14:textId="77777777" w:rsidR="00FD6E82" w:rsidRPr="000152CB" w:rsidRDefault="00FD6E82" w:rsidP="00FD6E82">
            <w:pPr>
              <w:spacing w:line="240" w:lineRule="auto"/>
              <w:textAlignment w:val="baseline"/>
              <w:rPr>
                <w:rFonts w:eastAsia="Times New Roman" w:cs="Calibri"/>
                <w:color w:val="000000"/>
                <w:sz w:val="20"/>
                <w:szCs w:val="20"/>
                <w:lang w:eastAsia="sr-Latn-ME"/>
              </w:rPr>
            </w:pPr>
            <w:r w:rsidRPr="000152CB">
              <w:rPr>
                <w:rFonts w:eastAsia="Times New Roman" w:cs="Calibri"/>
                <w:color w:val="000000"/>
                <w:sz w:val="20"/>
                <w:szCs w:val="20"/>
                <w:lang w:eastAsia="sr-Latn-ME"/>
              </w:rPr>
              <w:t>1.5.8.Priprema i usvajanje Programa za rijetke bolesti 2022-2024. sa Akcionim planom 2022-2024</w:t>
            </w:r>
          </w:p>
        </w:tc>
        <w:tc>
          <w:tcPr>
            <w:tcW w:w="19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300986"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Usvojen Program</w:t>
            </w:r>
          </w:p>
        </w:tc>
        <w:tc>
          <w:tcPr>
            <w:tcW w:w="1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EA5BE9"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Ministarsvo zdravlja</w:t>
            </w:r>
          </w:p>
          <w:p w14:paraId="7ED4A16E"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Zdravstvene ustanove</w:t>
            </w:r>
          </w:p>
          <w:p w14:paraId="3E41E41C"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Fond za zdravstveno osiguranje Crne Gore</w:t>
            </w:r>
          </w:p>
        </w:tc>
        <w:tc>
          <w:tcPr>
            <w:tcW w:w="2508" w:type="dxa"/>
            <w:gridSpan w:val="5"/>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00D8D66D" w14:textId="2BD39CB6" w:rsidR="00FD6E82" w:rsidRPr="000152CB" w:rsidRDefault="00765C15"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Izrađen nacrt strategije za rijetke bolest. U toku je izrada akcionog plana. Rok III Q 2026</w:t>
            </w:r>
          </w:p>
        </w:tc>
        <w:tc>
          <w:tcPr>
            <w:tcW w:w="1962" w:type="dxa"/>
            <w:gridSpan w:val="5"/>
            <w:tcBorders>
              <w:top w:val="single" w:sz="4" w:space="0" w:color="000000"/>
              <w:left w:val="single" w:sz="4" w:space="0" w:color="000000"/>
              <w:bottom w:val="single" w:sz="4" w:space="0" w:color="000000"/>
              <w:right w:val="single" w:sz="4" w:space="0" w:color="000000"/>
            </w:tcBorders>
          </w:tcPr>
          <w:p w14:paraId="19A6B551"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 xml:space="preserve"> IIQ 2023-IIQ 2024</w:t>
            </w:r>
          </w:p>
        </w:tc>
        <w:tc>
          <w:tcPr>
            <w:tcW w:w="136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86B43A"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N/A</w:t>
            </w:r>
          </w:p>
        </w:tc>
        <w:tc>
          <w:tcPr>
            <w:tcW w:w="206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CE534"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Budžet,</w:t>
            </w:r>
          </w:p>
        </w:tc>
        <w:tc>
          <w:tcPr>
            <w:tcW w:w="1809" w:type="dxa"/>
            <w:gridSpan w:val="8"/>
            <w:tcBorders>
              <w:top w:val="single" w:sz="4" w:space="0" w:color="000000"/>
              <w:left w:val="single" w:sz="4" w:space="0" w:color="000000"/>
              <w:bottom w:val="single" w:sz="4" w:space="0" w:color="000000"/>
              <w:right w:val="single" w:sz="4" w:space="0" w:color="000000"/>
            </w:tcBorders>
          </w:tcPr>
          <w:p w14:paraId="0EB1F311" w14:textId="06AE6C52" w:rsidR="00FD6E82" w:rsidRPr="000152CB" w:rsidRDefault="00DC3968"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Novi rok za realizaciju aktivnosti je III kvartal 2026. godine</w:t>
            </w:r>
          </w:p>
        </w:tc>
      </w:tr>
      <w:tr w:rsidR="00BB44DA" w:rsidRPr="000152CB" w14:paraId="35D5404E" w14:textId="77777777" w:rsidTr="00E77388">
        <w:trPr>
          <w:trHeight w:val="585"/>
          <w:jc w:val="center"/>
        </w:trPr>
        <w:tc>
          <w:tcPr>
            <w:tcW w:w="2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75CBD3" w14:textId="77777777" w:rsidR="00FD6E82" w:rsidRPr="000152CB" w:rsidRDefault="00FD6E82" w:rsidP="00FD6E82">
            <w:pPr>
              <w:rPr>
                <w:rFonts w:eastAsia="Times New Roman" w:cs="Calibri"/>
                <w:color w:val="000000"/>
                <w:sz w:val="20"/>
                <w:szCs w:val="20"/>
                <w:lang w:eastAsia="sr-Latn-ME"/>
              </w:rPr>
            </w:pPr>
            <w:r w:rsidRPr="000152CB">
              <w:rPr>
                <w:rFonts w:eastAsia="Times New Roman" w:cs="Calibri"/>
                <w:color w:val="000000"/>
                <w:sz w:val="20"/>
                <w:szCs w:val="20"/>
                <w:lang w:eastAsia="sr-Latn-ME"/>
              </w:rPr>
              <w:t>1.5.9.Priprema i usvajanje Nacionalne Strategije razvoja digitalnog zdravlja u Crnoj Gori za period 2024-2029 godinu sa Akcionim planom za sprovođenje Strategije razvoja digitalnog zdravlja u Crnoj Gori za period 2024-2026</w:t>
            </w:r>
          </w:p>
        </w:tc>
        <w:tc>
          <w:tcPr>
            <w:tcW w:w="19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195C94"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Uvojena Nacionalna strategija</w:t>
            </w:r>
          </w:p>
        </w:tc>
        <w:tc>
          <w:tcPr>
            <w:tcW w:w="1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018E95"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Ministarsvo zdravlja</w:t>
            </w:r>
          </w:p>
          <w:p w14:paraId="0CC7A480"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Fond za zdravstveno osiguranje Crne Gore</w:t>
            </w:r>
          </w:p>
          <w:p w14:paraId="61FE8915"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Zdravstvene ustanove</w:t>
            </w:r>
          </w:p>
          <w:p w14:paraId="7CDDC883"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Ministarstvo javne uprave</w:t>
            </w:r>
          </w:p>
        </w:tc>
        <w:tc>
          <w:tcPr>
            <w:tcW w:w="2508" w:type="dxa"/>
            <w:gridSpan w:val="5"/>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63623A48" w14:textId="3D0C0BBA" w:rsidR="00FD6E82" w:rsidRPr="000152CB" w:rsidRDefault="004075D5"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Usvojena je Nacionalna Strategija razvoja digitalnog zdravlja u Crnoj Gori za period 2024-2029</w:t>
            </w:r>
          </w:p>
        </w:tc>
        <w:tc>
          <w:tcPr>
            <w:tcW w:w="1962" w:type="dxa"/>
            <w:gridSpan w:val="5"/>
            <w:tcBorders>
              <w:top w:val="single" w:sz="4" w:space="0" w:color="000000"/>
              <w:left w:val="single" w:sz="4" w:space="0" w:color="000000"/>
              <w:bottom w:val="single" w:sz="4" w:space="0" w:color="000000"/>
              <w:right w:val="single" w:sz="4" w:space="0" w:color="000000"/>
            </w:tcBorders>
          </w:tcPr>
          <w:p w14:paraId="4A62BD30"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 xml:space="preserve"> IVQ 2023IQ 2024</w:t>
            </w:r>
          </w:p>
        </w:tc>
        <w:tc>
          <w:tcPr>
            <w:tcW w:w="136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00BCE5" w14:textId="4AFCF44E" w:rsidR="00FD6E82" w:rsidRPr="000152CB" w:rsidRDefault="00210BD4"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Utrošena sredstva: 2,000 eura</w:t>
            </w:r>
          </w:p>
        </w:tc>
        <w:tc>
          <w:tcPr>
            <w:tcW w:w="206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5B6A98"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Budžet,</w:t>
            </w:r>
          </w:p>
        </w:tc>
        <w:tc>
          <w:tcPr>
            <w:tcW w:w="1809" w:type="dxa"/>
            <w:gridSpan w:val="8"/>
            <w:tcBorders>
              <w:top w:val="single" w:sz="4" w:space="0" w:color="000000"/>
              <w:left w:val="single" w:sz="4" w:space="0" w:color="000000"/>
              <w:bottom w:val="single" w:sz="4" w:space="0" w:color="000000"/>
              <w:right w:val="single" w:sz="4" w:space="0" w:color="000000"/>
            </w:tcBorders>
          </w:tcPr>
          <w:p w14:paraId="1A15150C" w14:textId="065FDC31" w:rsidR="00FD6E82" w:rsidRPr="000152CB" w:rsidRDefault="00FD6E82" w:rsidP="00FD6E82">
            <w:pPr>
              <w:spacing w:after="0" w:line="240" w:lineRule="auto"/>
              <w:rPr>
                <w:rFonts w:eastAsia="Times New Roman" w:cs="Calibri"/>
                <w:sz w:val="20"/>
                <w:szCs w:val="20"/>
                <w:lang w:eastAsia="sr-Latn-ME"/>
              </w:rPr>
            </w:pPr>
          </w:p>
        </w:tc>
      </w:tr>
      <w:tr w:rsidR="00BB44DA" w:rsidRPr="000152CB" w14:paraId="0886EB31" w14:textId="77777777" w:rsidTr="00E77388">
        <w:trPr>
          <w:trHeight w:val="585"/>
          <w:jc w:val="center"/>
        </w:trPr>
        <w:tc>
          <w:tcPr>
            <w:tcW w:w="2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10CD19" w14:textId="77777777" w:rsidR="00FD6E82" w:rsidRPr="000152CB" w:rsidRDefault="00FD6E82" w:rsidP="00FD6E82">
            <w:pPr>
              <w:rPr>
                <w:rFonts w:eastAsia="Times New Roman" w:cs="Calibri"/>
                <w:color w:val="000000"/>
                <w:sz w:val="20"/>
                <w:szCs w:val="20"/>
                <w:lang w:eastAsia="sr-Latn-ME"/>
              </w:rPr>
            </w:pPr>
            <w:r w:rsidRPr="000152CB">
              <w:rPr>
                <w:rFonts w:eastAsia="Times New Roman" w:cs="Calibri"/>
                <w:color w:val="000000"/>
                <w:sz w:val="20"/>
                <w:szCs w:val="20"/>
                <w:lang w:eastAsia="sr-Latn-ME"/>
              </w:rPr>
              <w:t>1.5.10.Zakon o Izmjenama i dopunama Zakona o ljekovima</w:t>
            </w:r>
          </w:p>
        </w:tc>
        <w:tc>
          <w:tcPr>
            <w:tcW w:w="19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990CFB"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Usvojena izmjena i dopuna</w:t>
            </w:r>
          </w:p>
        </w:tc>
        <w:tc>
          <w:tcPr>
            <w:tcW w:w="1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93A4F1"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Ministarstvo zdravlja</w:t>
            </w:r>
          </w:p>
          <w:p w14:paraId="492B8E63"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Institut za ljekove i medicinska sredstva</w:t>
            </w:r>
          </w:p>
        </w:tc>
        <w:tc>
          <w:tcPr>
            <w:tcW w:w="2508" w:type="dxa"/>
            <w:gridSpan w:val="5"/>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270247D4" w14:textId="122AC3E0" w:rsidR="00FD6E82" w:rsidRPr="000152CB" w:rsidRDefault="00AE6588"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 xml:space="preserve">Radna grupa za izradu Zakona je formirana sredinom 2024. godine. Na Zakonu se radi i plan je da nacrt Zakona o ljekovima bude završen do kraja maja 2025. godine nakon čega slijedi javna rasprava i </w:t>
            </w:r>
            <w:r w:rsidRPr="000152CB">
              <w:rPr>
                <w:rFonts w:eastAsia="Times New Roman" w:cs="Calibri"/>
                <w:sz w:val="20"/>
                <w:szCs w:val="20"/>
                <w:lang w:eastAsia="sr-Latn-ME"/>
              </w:rPr>
              <w:lastRenderedPageBreak/>
              <w:t xml:space="preserve">slanje nacrta Evropskoj komisiji na mišljenje. Uzimajući u obzir sve izmjene koje je potrebno implemntirati, radna grupa je zaključila da je potrebno izraditi novi Zakon o ljekovima, a ne izmjene i dopune postojećeg Zakona. Izrada Zakona je trajala duže od predviđenog zbog toga što je bilo potrebno izvršiti usklađivanje sa EU regulativom u oblasti humanih i vetrinarskih ljekova. Osim toga, Zakon je potrebno uskladiti i sa regulativom u oblasti kliničkih ispitivanja ljekova.  </w:t>
            </w:r>
          </w:p>
        </w:tc>
        <w:tc>
          <w:tcPr>
            <w:tcW w:w="1962" w:type="dxa"/>
            <w:gridSpan w:val="5"/>
            <w:tcBorders>
              <w:top w:val="single" w:sz="4" w:space="0" w:color="000000"/>
              <w:left w:val="single" w:sz="4" w:space="0" w:color="000000"/>
              <w:bottom w:val="single" w:sz="4" w:space="0" w:color="000000"/>
              <w:right w:val="single" w:sz="4" w:space="0" w:color="000000"/>
            </w:tcBorders>
          </w:tcPr>
          <w:p w14:paraId="1D8A5E05"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lastRenderedPageBreak/>
              <w:t xml:space="preserve"> IIQ 2024IVQ 2024</w:t>
            </w:r>
          </w:p>
        </w:tc>
        <w:tc>
          <w:tcPr>
            <w:tcW w:w="136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459CAA"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Tekuća sredstva</w:t>
            </w:r>
          </w:p>
        </w:tc>
        <w:tc>
          <w:tcPr>
            <w:tcW w:w="206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7FE19"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Budžet</w:t>
            </w:r>
          </w:p>
        </w:tc>
        <w:tc>
          <w:tcPr>
            <w:tcW w:w="1809" w:type="dxa"/>
            <w:gridSpan w:val="8"/>
            <w:tcBorders>
              <w:top w:val="single" w:sz="4" w:space="0" w:color="000000"/>
              <w:left w:val="single" w:sz="4" w:space="0" w:color="000000"/>
              <w:bottom w:val="single" w:sz="4" w:space="0" w:color="000000"/>
              <w:right w:val="single" w:sz="4" w:space="0" w:color="000000"/>
            </w:tcBorders>
          </w:tcPr>
          <w:p w14:paraId="06FBE4D8" w14:textId="73008EE2" w:rsidR="00FD6E82" w:rsidRPr="000152CB" w:rsidRDefault="004075D5" w:rsidP="004075D5">
            <w:pPr>
              <w:spacing w:after="0" w:line="240" w:lineRule="auto"/>
              <w:rPr>
                <w:rFonts w:eastAsia="Times New Roman" w:cs="Calibri"/>
                <w:sz w:val="20"/>
                <w:szCs w:val="20"/>
                <w:lang w:eastAsia="sr-Latn-ME"/>
              </w:rPr>
            </w:pPr>
            <w:r w:rsidRPr="000152CB">
              <w:rPr>
                <w:rFonts w:eastAsia="Times New Roman" w:cs="Calibri"/>
                <w:sz w:val="20"/>
                <w:szCs w:val="20"/>
                <w:lang w:eastAsia="sr-Latn-ME"/>
              </w:rPr>
              <w:t>Novi rok za realizaciju aktivnosti je III kvartal 202</w:t>
            </w:r>
            <w:r w:rsidR="00E602E7" w:rsidRPr="000152CB">
              <w:rPr>
                <w:rFonts w:eastAsia="Times New Roman" w:cs="Calibri"/>
                <w:sz w:val="20"/>
                <w:szCs w:val="20"/>
                <w:lang w:eastAsia="sr-Latn-ME"/>
              </w:rPr>
              <w:t>5</w:t>
            </w:r>
            <w:r w:rsidRPr="000152CB">
              <w:rPr>
                <w:rFonts w:eastAsia="Times New Roman" w:cs="Calibri"/>
                <w:sz w:val="20"/>
                <w:szCs w:val="20"/>
                <w:lang w:eastAsia="sr-Latn-ME"/>
              </w:rPr>
              <w:t>. godine</w:t>
            </w:r>
          </w:p>
        </w:tc>
      </w:tr>
      <w:tr w:rsidR="00BB44DA" w:rsidRPr="000152CB" w14:paraId="5EDF375A" w14:textId="77777777" w:rsidTr="00E77388">
        <w:trPr>
          <w:trHeight w:val="585"/>
          <w:jc w:val="center"/>
        </w:trPr>
        <w:tc>
          <w:tcPr>
            <w:tcW w:w="2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F97D89" w14:textId="77777777" w:rsidR="00FD6E82" w:rsidRPr="000152CB" w:rsidRDefault="00FD6E82" w:rsidP="00FD6E82">
            <w:pPr>
              <w:rPr>
                <w:rFonts w:eastAsia="Times New Roman" w:cs="Calibri"/>
                <w:color w:val="000000"/>
                <w:sz w:val="20"/>
                <w:szCs w:val="20"/>
                <w:lang w:eastAsia="sr-Latn-ME"/>
              </w:rPr>
            </w:pPr>
            <w:r w:rsidRPr="000152CB">
              <w:rPr>
                <w:rFonts w:eastAsia="Times New Roman" w:cs="Calibri"/>
                <w:color w:val="000000"/>
                <w:sz w:val="20"/>
                <w:szCs w:val="20"/>
                <w:lang w:eastAsia="sr-Latn-ME"/>
              </w:rPr>
              <w:t>1.5.11.Zakon o Izmjenama i dopunama Zakona o apotekarskoj djelatnosti</w:t>
            </w:r>
          </w:p>
        </w:tc>
        <w:tc>
          <w:tcPr>
            <w:tcW w:w="19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51B63B"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Usvojena izmjena i dopuna</w:t>
            </w:r>
          </w:p>
        </w:tc>
        <w:tc>
          <w:tcPr>
            <w:tcW w:w="1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C8B786"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Ministarstvo zdravlja</w:t>
            </w:r>
          </w:p>
          <w:p w14:paraId="14354B1A"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Montefarm</w:t>
            </w:r>
          </w:p>
          <w:p w14:paraId="5B8ED97E"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Institut za ljekove i medicinska sredstva</w:t>
            </w:r>
          </w:p>
          <w:p w14:paraId="123AA7B2" w14:textId="77777777" w:rsidR="00FD6E82" w:rsidRPr="000152CB" w:rsidRDefault="00FD6E82" w:rsidP="00FD6E82">
            <w:pPr>
              <w:spacing w:after="0" w:line="240" w:lineRule="auto"/>
              <w:ind w:left="270"/>
              <w:rPr>
                <w:rFonts w:eastAsia="Times New Roman" w:cs="Calibri"/>
                <w:sz w:val="20"/>
                <w:szCs w:val="20"/>
                <w:lang w:eastAsia="sr-Latn-ME"/>
              </w:rPr>
            </w:pPr>
          </w:p>
        </w:tc>
        <w:tc>
          <w:tcPr>
            <w:tcW w:w="2508" w:type="dxa"/>
            <w:gridSpan w:val="5"/>
            <w:tcBorders>
              <w:top w:val="single" w:sz="4" w:space="0" w:color="000000"/>
              <w:left w:val="single" w:sz="4" w:space="0" w:color="000000"/>
              <w:bottom w:val="single" w:sz="4" w:space="0" w:color="000000"/>
              <w:right w:val="single" w:sz="4" w:space="0" w:color="000000"/>
            </w:tcBorders>
            <w:shd w:val="clear" w:color="auto" w:fill="FF0000"/>
            <w:tcMar>
              <w:top w:w="0" w:type="dxa"/>
              <w:left w:w="108" w:type="dxa"/>
              <w:bottom w:w="0" w:type="dxa"/>
              <w:right w:w="108" w:type="dxa"/>
            </w:tcMar>
            <w:hideMark/>
          </w:tcPr>
          <w:p w14:paraId="6F4000DF" w14:textId="464ED5C6" w:rsidR="00FD6E82" w:rsidRPr="000152CB" w:rsidRDefault="002A0818" w:rsidP="002A0818">
            <w:pPr>
              <w:spacing w:after="0" w:line="240" w:lineRule="auto"/>
              <w:rPr>
                <w:rFonts w:eastAsia="Times New Roman" w:cs="Calibri"/>
                <w:sz w:val="20"/>
                <w:szCs w:val="20"/>
                <w:lang w:eastAsia="sr-Latn-ME"/>
              </w:rPr>
            </w:pPr>
            <w:r w:rsidRPr="000152CB">
              <w:rPr>
                <w:rFonts w:eastAsia="Times New Roman" w:cs="Calibri"/>
                <w:sz w:val="20"/>
                <w:szCs w:val="20"/>
                <w:lang w:eastAsia="sr-Latn-ME"/>
              </w:rPr>
              <w:t xml:space="preserve">Nacrt može da se radi tek kad se donesu Zakon o o zdravstvenoj zaštiti i Zakon o ljekovima. Izrada Nacrta Zakona o apotekarskoj djelatnosti može započeti tek nakon donošenja Zakona o zdravstvenoj zaštiti i Zakona o ljekovima. Kako je zakonom potrebno definisati i prepoznati nadležnosti apotekarskih ustanova, mogućnost izrade magistralnih i galenskih ljekova neophodno je donošenje krovnih zakona u oblasti zdravstva i farmacije. Osim toga, </w:t>
            </w:r>
            <w:r w:rsidRPr="000152CB">
              <w:rPr>
                <w:rFonts w:eastAsia="Times New Roman" w:cs="Calibri"/>
                <w:sz w:val="20"/>
                <w:szCs w:val="20"/>
                <w:lang w:eastAsia="sr-Latn-ME"/>
              </w:rPr>
              <w:lastRenderedPageBreak/>
              <w:t>nedostatak kadra u Ministarstvu zdravlja takođe uslovljava produžavanje rokova."</w:t>
            </w:r>
          </w:p>
        </w:tc>
        <w:tc>
          <w:tcPr>
            <w:tcW w:w="1962" w:type="dxa"/>
            <w:gridSpan w:val="5"/>
            <w:tcBorders>
              <w:top w:val="single" w:sz="4" w:space="0" w:color="000000"/>
              <w:left w:val="single" w:sz="4" w:space="0" w:color="000000"/>
              <w:bottom w:val="single" w:sz="4" w:space="0" w:color="000000"/>
              <w:right w:val="single" w:sz="4" w:space="0" w:color="000000"/>
            </w:tcBorders>
          </w:tcPr>
          <w:p w14:paraId="056E6779"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lastRenderedPageBreak/>
              <w:t xml:space="preserve"> IQ 2024IVQ 2024</w:t>
            </w:r>
          </w:p>
        </w:tc>
        <w:tc>
          <w:tcPr>
            <w:tcW w:w="136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843531"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Tekuća sredstva</w:t>
            </w:r>
          </w:p>
        </w:tc>
        <w:tc>
          <w:tcPr>
            <w:tcW w:w="206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F98766"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Budžet</w:t>
            </w:r>
          </w:p>
        </w:tc>
        <w:tc>
          <w:tcPr>
            <w:tcW w:w="1809" w:type="dxa"/>
            <w:gridSpan w:val="8"/>
            <w:tcBorders>
              <w:top w:val="single" w:sz="4" w:space="0" w:color="000000"/>
              <w:left w:val="single" w:sz="4" w:space="0" w:color="000000"/>
              <w:bottom w:val="single" w:sz="4" w:space="0" w:color="000000"/>
              <w:right w:val="single" w:sz="4" w:space="0" w:color="000000"/>
            </w:tcBorders>
          </w:tcPr>
          <w:p w14:paraId="70CC0B6D" w14:textId="14C4D753" w:rsidR="00FD6E82" w:rsidRPr="000152CB" w:rsidRDefault="00E602E7" w:rsidP="00E602E7">
            <w:pPr>
              <w:spacing w:after="0" w:line="240" w:lineRule="auto"/>
              <w:rPr>
                <w:rFonts w:eastAsia="Times New Roman" w:cs="Calibri"/>
                <w:sz w:val="20"/>
                <w:szCs w:val="20"/>
                <w:lang w:eastAsia="sr-Latn-ME"/>
              </w:rPr>
            </w:pPr>
            <w:r w:rsidRPr="000152CB">
              <w:rPr>
                <w:rFonts w:eastAsia="Times New Roman" w:cs="Calibri"/>
                <w:sz w:val="20"/>
                <w:szCs w:val="20"/>
                <w:lang w:eastAsia="sr-Latn-ME"/>
              </w:rPr>
              <w:t>Novi rok za realizaciju aktivnosti je III kvartal 2026. godine</w:t>
            </w:r>
          </w:p>
        </w:tc>
      </w:tr>
      <w:tr w:rsidR="00BB44DA" w:rsidRPr="000152CB" w14:paraId="17806243" w14:textId="77777777" w:rsidTr="00E77388">
        <w:trPr>
          <w:trHeight w:val="585"/>
          <w:jc w:val="center"/>
        </w:trPr>
        <w:tc>
          <w:tcPr>
            <w:tcW w:w="2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5B611F" w14:textId="77777777" w:rsidR="00FD6E82" w:rsidRPr="000152CB" w:rsidRDefault="00FD6E82" w:rsidP="00FD6E82">
            <w:pPr>
              <w:rPr>
                <w:rFonts w:eastAsia="Times New Roman" w:cs="Calibri"/>
                <w:color w:val="000000"/>
                <w:sz w:val="20"/>
                <w:szCs w:val="20"/>
                <w:lang w:eastAsia="sr-Latn-ME"/>
              </w:rPr>
            </w:pPr>
            <w:r w:rsidRPr="000152CB">
              <w:rPr>
                <w:rFonts w:eastAsia="Times New Roman" w:cs="Calibri"/>
                <w:color w:val="000000"/>
                <w:sz w:val="20"/>
                <w:szCs w:val="20"/>
                <w:lang w:eastAsia="sr-Latn-ME"/>
              </w:rPr>
              <w:t>1.5.12.Zakon o Izmjenama i dopunama Zakona o obaveznom zdravstvenom osiguranju</w:t>
            </w:r>
          </w:p>
        </w:tc>
        <w:tc>
          <w:tcPr>
            <w:tcW w:w="19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A9AB8B" w14:textId="0097C921"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 xml:space="preserve">Usvojena izmjena </w:t>
            </w:r>
            <w:r w:rsidRPr="000152CB">
              <w:rPr>
                <w:rFonts w:eastAsia="Times New Roman" w:cs="Calibri"/>
                <w:color w:val="000000"/>
                <w:sz w:val="20"/>
                <w:szCs w:val="20"/>
                <w:lang w:eastAsia="sr-Latn-ME"/>
              </w:rPr>
              <w:t>i</w:t>
            </w:r>
            <w:r w:rsidR="007710A7" w:rsidRPr="000152CB">
              <w:rPr>
                <w:rFonts w:eastAsia="Times New Roman" w:cs="Calibri"/>
                <w:color w:val="000000"/>
                <w:sz w:val="20"/>
                <w:szCs w:val="20"/>
                <w:lang w:eastAsia="sr-Latn-ME"/>
              </w:rPr>
              <w:t xml:space="preserve"> </w:t>
            </w:r>
            <w:r w:rsidRPr="000152CB">
              <w:rPr>
                <w:rFonts w:eastAsia="Times New Roman" w:cs="Calibri"/>
                <w:color w:val="000000"/>
                <w:sz w:val="20"/>
                <w:szCs w:val="20"/>
                <w:lang w:eastAsia="sr-Latn-ME"/>
              </w:rPr>
              <w:t>dopuna</w:t>
            </w:r>
          </w:p>
        </w:tc>
        <w:tc>
          <w:tcPr>
            <w:tcW w:w="1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26BFB2"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Ministarstvo zdravlja,</w:t>
            </w:r>
          </w:p>
          <w:p w14:paraId="01950575"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Fond za zdravstveno osiguranje Crne Gore</w:t>
            </w:r>
          </w:p>
        </w:tc>
        <w:tc>
          <w:tcPr>
            <w:tcW w:w="2508" w:type="dxa"/>
            <w:gridSpan w:val="5"/>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4CFEFB4C" w14:textId="220F59D1" w:rsidR="00FD6E82" w:rsidRPr="000152CB" w:rsidRDefault="007710A7"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Usvojene su izmjene i dopune Zakona o obaveznom zdravstvenom osiguranju</w:t>
            </w:r>
          </w:p>
        </w:tc>
        <w:tc>
          <w:tcPr>
            <w:tcW w:w="1962" w:type="dxa"/>
            <w:gridSpan w:val="5"/>
            <w:tcBorders>
              <w:top w:val="single" w:sz="4" w:space="0" w:color="000000"/>
              <w:left w:val="single" w:sz="4" w:space="0" w:color="000000"/>
              <w:bottom w:val="single" w:sz="4" w:space="0" w:color="000000"/>
              <w:right w:val="single" w:sz="4" w:space="0" w:color="000000"/>
            </w:tcBorders>
          </w:tcPr>
          <w:p w14:paraId="6CFB6960"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 xml:space="preserve"> IVQ 2023IVQ 2024</w:t>
            </w:r>
          </w:p>
        </w:tc>
        <w:tc>
          <w:tcPr>
            <w:tcW w:w="136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067A38"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Tekuća sredstva</w:t>
            </w:r>
          </w:p>
        </w:tc>
        <w:tc>
          <w:tcPr>
            <w:tcW w:w="206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8B7104"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Budžet</w:t>
            </w:r>
          </w:p>
        </w:tc>
        <w:tc>
          <w:tcPr>
            <w:tcW w:w="1809" w:type="dxa"/>
            <w:gridSpan w:val="8"/>
            <w:tcBorders>
              <w:top w:val="single" w:sz="4" w:space="0" w:color="000000"/>
              <w:left w:val="single" w:sz="4" w:space="0" w:color="000000"/>
              <w:bottom w:val="single" w:sz="4" w:space="0" w:color="000000"/>
              <w:right w:val="single" w:sz="4" w:space="0" w:color="000000"/>
            </w:tcBorders>
          </w:tcPr>
          <w:p w14:paraId="0B7B628D" w14:textId="77777777" w:rsidR="00FD6E82" w:rsidRPr="000152CB" w:rsidRDefault="00FD6E82" w:rsidP="00FD6E82">
            <w:pPr>
              <w:spacing w:after="0" w:line="240" w:lineRule="auto"/>
              <w:ind w:left="270"/>
              <w:rPr>
                <w:rFonts w:eastAsia="Times New Roman" w:cs="Calibri"/>
                <w:sz w:val="20"/>
                <w:szCs w:val="20"/>
                <w:lang w:eastAsia="sr-Latn-ME"/>
              </w:rPr>
            </w:pPr>
          </w:p>
        </w:tc>
      </w:tr>
      <w:tr w:rsidR="00BB44DA" w:rsidRPr="000152CB" w14:paraId="7920B18D" w14:textId="77777777" w:rsidTr="00E77388">
        <w:trPr>
          <w:trHeight w:val="828"/>
          <w:jc w:val="center"/>
        </w:trPr>
        <w:tc>
          <w:tcPr>
            <w:tcW w:w="2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46702B" w14:textId="77777777" w:rsidR="00FD6E82" w:rsidRPr="000152CB" w:rsidRDefault="00FD6E82" w:rsidP="00FD6E82">
            <w:pPr>
              <w:rPr>
                <w:rFonts w:eastAsia="Times New Roman" w:cs="Calibri"/>
                <w:color w:val="000000"/>
                <w:sz w:val="20"/>
                <w:szCs w:val="20"/>
                <w:lang w:eastAsia="sr-Latn-ME"/>
              </w:rPr>
            </w:pPr>
            <w:r w:rsidRPr="000152CB">
              <w:rPr>
                <w:rFonts w:eastAsia="Times New Roman" w:cs="Calibri"/>
                <w:color w:val="000000"/>
                <w:sz w:val="20"/>
                <w:szCs w:val="20"/>
                <w:lang w:eastAsia="sr-Latn-ME"/>
              </w:rPr>
              <w:t>1.5.13.Zakon o izmjenama i dopunama Zakona o ograničavanju upotrebe duvanskih proizvoda</w:t>
            </w:r>
          </w:p>
        </w:tc>
        <w:tc>
          <w:tcPr>
            <w:tcW w:w="19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49F491"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 xml:space="preserve">Usvojene izmjene i dopune </w:t>
            </w:r>
          </w:p>
        </w:tc>
        <w:tc>
          <w:tcPr>
            <w:tcW w:w="1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83B70"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Ministarstvo zdravlja,</w:t>
            </w:r>
          </w:p>
          <w:p w14:paraId="284D0C95"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Zdravstvene ustanove</w:t>
            </w:r>
          </w:p>
          <w:p w14:paraId="2EE88240" w14:textId="77777777" w:rsidR="00FD6E82" w:rsidRPr="000152CB" w:rsidRDefault="00FD6E82" w:rsidP="00FD6E82">
            <w:pPr>
              <w:spacing w:after="0" w:line="240" w:lineRule="auto"/>
              <w:ind w:left="270"/>
              <w:rPr>
                <w:rFonts w:eastAsia="Times New Roman" w:cs="Calibri"/>
                <w:sz w:val="20"/>
                <w:szCs w:val="20"/>
                <w:lang w:eastAsia="sr-Latn-ME"/>
              </w:rPr>
            </w:pPr>
          </w:p>
        </w:tc>
        <w:tc>
          <w:tcPr>
            <w:tcW w:w="2508" w:type="dxa"/>
            <w:gridSpan w:val="5"/>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28D9AE17" w14:textId="13C304B1" w:rsidR="00FD6E82" w:rsidRPr="000152CB" w:rsidRDefault="007E60AA"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 xml:space="preserve">Radna grupa </w:t>
            </w:r>
            <w:r w:rsidR="00585E0D" w:rsidRPr="000152CB">
              <w:rPr>
                <w:rFonts w:eastAsia="Times New Roman" w:cs="Calibri"/>
                <w:sz w:val="20"/>
                <w:szCs w:val="20"/>
                <w:lang w:eastAsia="sr-Latn-ME"/>
              </w:rPr>
              <w:t>za izradu zakona je formirana i započela je sa radom</w:t>
            </w:r>
          </w:p>
        </w:tc>
        <w:tc>
          <w:tcPr>
            <w:tcW w:w="1962" w:type="dxa"/>
            <w:gridSpan w:val="5"/>
            <w:tcBorders>
              <w:top w:val="single" w:sz="4" w:space="0" w:color="000000"/>
              <w:left w:val="single" w:sz="4" w:space="0" w:color="000000"/>
              <w:bottom w:val="single" w:sz="4" w:space="0" w:color="000000"/>
              <w:right w:val="single" w:sz="4" w:space="0" w:color="000000"/>
            </w:tcBorders>
          </w:tcPr>
          <w:p w14:paraId="41F85DDB"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 xml:space="preserve"> IIIQ 2023IIIQ 2024</w:t>
            </w:r>
          </w:p>
        </w:tc>
        <w:tc>
          <w:tcPr>
            <w:tcW w:w="136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35688E"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Tekuća sredstva</w:t>
            </w:r>
          </w:p>
        </w:tc>
        <w:tc>
          <w:tcPr>
            <w:tcW w:w="206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F91329"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Budžet</w:t>
            </w:r>
          </w:p>
        </w:tc>
        <w:tc>
          <w:tcPr>
            <w:tcW w:w="1809" w:type="dxa"/>
            <w:gridSpan w:val="8"/>
            <w:tcBorders>
              <w:top w:val="single" w:sz="4" w:space="0" w:color="000000"/>
              <w:left w:val="single" w:sz="4" w:space="0" w:color="000000"/>
              <w:bottom w:val="single" w:sz="4" w:space="0" w:color="000000"/>
              <w:right w:val="single" w:sz="4" w:space="0" w:color="000000"/>
            </w:tcBorders>
          </w:tcPr>
          <w:p w14:paraId="2D60E43D" w14:textId="3892DDB4" w:rsidR="00FD6E82" w:rsidRPr="000152CB" w:rsidRDefault="00585E0D" w:rsidP="00585E0D">
            <w:pPr>
              <w:spacing w:after="0" w:line="240" w:lineRule="auto"/>
              <w:rPr>
                <w:rFonts w:eastAsia="Times New Roman" w:cs="Calibri"/>
                <w:sz w:val="20"/>
                <w:szCs w:val="20"/>
                <w:lang w:eastAsia="sr-Latn-ME"/>
              </w:rPr>
            </w:pPr>
            <w:r w:rsidRPr="000152CB">
              <w:rPr>
                <w:rFonts w:eastAsia="Times New Roman" w:cs="Calibri"/>
                <w:sz w:val="20"/>
                <w:szCs w:val="20"/>
                <w:lang w:eastAsia="sr-Latn-ME"/>
              </w:rPr>
              <w:t>Novi rok za realizaciju aktivnosti je IV kvartal 2025. godine</w:t>
            </w:r>
          </w:p>
        </w:tc>
      </w:tr>
      <w:tr w:rsidR="00BB44DA" w:rsidRPr="000152CB" w14:paraId="56B2B19C" w14:textId="77777777" w:rsidTr="00E77388">
        <w:trPr>
          <w:trHeight w:val="585"/>
          <w:jc w:val="center"/>
        </w:trPr>
        <w:tc>
          <w:tcPr>
            <w:tcW w:w="2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4873AB" w14:textId="77777777" w:rsidR="00FD6E82" w:rsidRPr="000152CB" w:rsidRDefault="00FD6E82" w:rsidP="00FD6E82">
            <w:pPr>
              <w:rPr>
                <w:rFonts w:eastAsia="Times New Roman" w:cs="Calibri"/>
                <w:color w:val="000000"/>
                <w:sz w:val="20"/>
                <w:szCs w:val="20"/>
                <w:lang w:eastAsia="sr-Latn-ME"/>
              </w:rPr>
            </w:pPr>
            <w:r w:rsidRPr="000152CB">
              <w:rPr>
                <w:rFonts w:eastAsia="Times New Roman" w:cs="Calibri"/>
                <w:color w:val="000000"/>
                <w:sz w:val="20"/>
                <w:szCs w:val="20"/>
                <w:lang w:eastAsia="sr-Latn-ME"/>
              </w:rPr>
              <w:t>1.5.14.Zakon o izmjenama i dopunama Zakona uzimanju i presađivanju ljudskih organa u svrhu liječenja</w:t>
            </w:r>
          </w:p>
          <w:p w14:paraId="548A544A" w14:textId="77777777" w:rsidR="00FD6E82" w:rsidRPr="000152CB" w:rsidRDefault="00FD6E82" w:rsidP="00FD6E82">
            <w:pPr>
              <w:ind w:left="270"/>
              <w:rPr>
                <w:rFonts w:eastAsia="Times New Roman" w:cs="Calibri"/>
                <w:color w:val="000000"/>
                <w:sz w:val="20"/>
                <w:szCs w:val="20"/>
                <w:lang w:eastAsia="sr-Latn-ME"/>
              </w:rPr>
            </w:pPr>
          </w:p>
        </w:tc>
        <w:tc>
          <w:tcPr>
            <w:tcW w:w="19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D08DBF"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 xml:space="preserve">Usvojene izmjene i dopune </w:t>
            </w:r>
          </w:p>
        </w:tc>
        <w:tc>
          <w:tcPr>
            <w:tcW w:w="1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DAC3AF"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Ministarstvo zdravlja,</w:t>
            </w:r>
          </w:p>
          <w:p w14:paraId="5391EE9C"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Zdravstvene ustanove</w:t>
            </w:r>
          </w:p>
          <w:p w14:paraId="207BAEF1" w14:textId="77777777" w:rsidR="00FD6E82" w:rsidRPr="000152CB" w:rsidRDefault="00FD6E82" w:rsidP="00FD6E82">
            <w:pPr>
              <w:spacing w:after="0" w:line="240" w:lineRule="auto"/>
              <w:ind w:left="270"/>
              <w:rPr>
                <w:rFonts w:eastAsia="Times New Roman" w:cs="Calibri"/>
                <w:sz w:val="20"/>
                <w:szCs w:val="20"/>
                <w:lang w:eastAsia="sr-Latn-ME"/>
              </w:rPr>
            </w:pPr>
          </w:p>
        </w:tc>
        <w:tc>
          <w:tcPr>
            <w:tcW w:w="2508" w:type="dxa"/>
            <w:gridSpan w:val="5"/>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43F305FA" w14:textId="1C711C26" w:rsidR="00FD6E82" w:rsidRPr="000152CB" w:rsidRDefault="007E60AA"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Usvojen predlog zakona na Vladi. Zakon je u skupštinskoj proceduri.</w:t>
            </w:r>
          </w:p>
        </w:tc>
        <w:tc>
          <w:tcPr>
            <w:tcW w:w="1962" w:type="dxa"/>
            <w:gridSpan w:val="5"/>
            <w:tcBorders>
              <w:top w:val="single" w:sz="4" w:space="0" w:color="000000"/>
              <w:left w:val="single" w:sz="4" w:space="0" w:color="000000"/>
              <w:bottom w:val="single" w:sz="4" w:space="0" w:color="000000"/>
              <w:right w:val="single" w:sz="4" w:space="0" w:color="000000"/>
            </w:tcBorders>
          </w:tcPr>
          <w:p w14:paraId="5D392B06"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 xml:space="preserve"> IVQ 2023IVQ 2024</w:t>
            </w:r>
          </w:p>
        </w:tc>
        <w:tc>
          <w:tcPr>
            <w:tcW w:w="136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3471E6"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Tekuća sredstva</w:t>
            </w:r>
          </w:p>
        </w:tc>
        <w:tc>
          <w:tcPr>
            <w:tcW w:w="206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0273E5"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Budžet</w:t>
            </w:r>
          </w:p>
        </w:tc>
        <w:tc>
          <w:tcPr>
            <w:tcW w:w="1809" w:type="dxa"/>
            <w:gridSpan w:val="8"/>
            <w:tcBorders>
              <w:top w:val="single" w:sz="4" w:space="0" w:color="000000"/>
              <w:left w:val="single" w:sz="4" w:space="0" w:color="000000"/>
              <w:bottom w:val="single" w:sz="4" w:space="0" w:color="000000"/>
              <w:right w:val="single" w:sz="4" w:space="0" w:color="000000"/>
            </w:tcBorders>
          </w:tcPr>
          <w:p w14:paraId="11251566" w14:textId="77777777" w:rsidR="00FD6E82" w:rsidRPr="000152CB" w:rsidRDefault="00FD6E82" w:rsidP="00FD6E82">
            <w:pPr>
              <w:spacing w:after="0" w:line="240" w:lineRule="auto"/>
              <w:ind w:left="270"/>
              <w:rPr>
                <w:rFonts w:eastAsia="Times New Roman" w:cs="Calibri"/>
                <w:sz w:val="20"/>
                <w:szCs w:val="20"/>
                <w:lang w:eastAsia="sr-Latn-ME"/>
              </w:rPr>
            </w:pPr>
          </w:p>
        </w:tc>
      </w:tr>
      <w:tr w:rsidR="00BB44DA" w:rsidRPr="000152CB" w14:paraId="3D631D6C" w14:textId="77777777" w:rsidTr="00E77388">
        <w:trPr>
          <w:trHeight w:val="585"/>
          <w:jc w:val="center"/>
        </w:trPr>
        <w:tc>
          <w:tcPr>
            <w:tcW w:w="2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54996C" w14:textId="77777777" w:rsidR="00FD6E82" w:rsidRPr="000152CB" w:rsidRDefault="00FD6E82" w:rsidP="00FD6E82">
            <w:pPr>
              <w:rPr>
                <w:rFonts w:eastAsia="Times New Roman" w:cs="Calibri"/>
                <w:color w:val="000000"/>
                <w:sz w:val="20"/>
                <w:szCs w:val="20"/>
                <w:lang w:eastAsia="sr-Latn-ME"/>
              </w:rPr>
            </w:pPr>
            <w:r w:rsidRPr="000152CB">
              <w:rPr>
                <w:rFonts w:eastAsia="Times New Roman" w:cs="Calibri"/>
                <w:color w:val="000000"/>
                <w:sz w:val="20"/>
                <w:szCs w:val="20"/>
                <w:lang w:eastAsia="sr-Latn-ME"/>
              </w:rPr>
              <w:t>1.5.15.Zakon o izmjenama i dopunama Zakona uzimanju i presađivanju ljudskih tkiva i ćelija u svrhu liječenja</w:t>
            </w:r>
          </w:p>
        </w:tc>
        <w:tc>
          <w:tcPr>
            <w:tcW w:w="19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8E7F5A" w14:textId="77777777" w:rsidR="00FD6E82" w:rsidRPr="000152CB" w:rsidRDefault="00FD6E82" w:rsidP="00FD6E82">
            <w:pPr>
              <w:rPr>
                <w:rFonts w:eastAsia="Times New Roman" w:cs="Calibri"/>
                <w:color w:val="000000"/>
                <w:sz w:val="20"/>
                <w:szCs w:val="20"/>
                <w:lang w:eastAsia="sr-Latn-ME"/>
              </w:rPr>
            </w:pPr>
            <w:r w:rsidRPr="000152CB">
              <w:rPr>
                <w:rFonts w:eastAsia="Times New Roman" w:cs="Calibri"/>
                <w:sz w:val="20"/>
                <w:szCs w:val="20"/>
                <w:lang w:eastAsia="sr-Latn-ME"/>
              </w:rPr>
              <w:t xml:space="preserve">Usvojene izmjene i dopune </w:t>
            </w:r>
          </w:p>
          <w:p w14:paraId="3DB88599" w14:textId="77777777" w:rsidR="00FD6E82" w:rsidRPr="000152CB" w:rsidRDefault="00FD6E82" w:rsidP="00FD6E82">
            <w:pPr>
              <w:spacing w:after="0" w:line="240" w:lineRule="auto"/>
              <w:ind w:left="270"/>
              <w:rPr>
                <w:rFonts w:eastAsia="Times New Roman" w:cs="Calibri"/>
                <w:sz w:val="20"/>
                <w:szCs w:val="20"/>
                <w:lang w:eastAsia="sr-Latn-ME"/>
              </w:rPr>
            </w:pPr>
          </w:p>
        </w:tc>
        <w:tc>
          <w:tcPr>
            <w:tcW w:w="1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A199E"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Ministarstvo zdravlja,</w:t>
            </w:r>
          </w:p>
          <w:p w14:paraId="31E5B6D7"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Zdravstvene ustanove</w:t>
            </w:r>
          </w:p>
          <w:p w14:paraId="54A41412" w14:textId="77777777" w:rsidR="00FD6E82" w:rsidRPr="000152CB" w:rsidRDefault="00FD6E82" w:rsidP="00FD6E82">
            <w:pPr>
              <w:spacing w:after="0" w:line="240" w:lineRule="auto"/>
              <w:ind w:left="270"/>
              <w:rPr>
                <w:rFonts w:eastAsia="Times New Roman" w:cs="Calibri"/>
                <w:sz w:val="20"/>
                <w:szCs w:val="20"/>
                <w:lang w:eastAsia="sr-Latn-ME"/>
              </w:rPr>
            </w:pPr>
          </w:p>
        </w:tc>
        <w:tc>
          <w:tcPr>
            <w:tcW w:w="2508" w:type="dxa"/>
            <w:gridSpan w:val="5"/>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35A2D8B2" w14:textId="1BE65D2D" w:rsidR="00FD6E82" w:rsidRPr="000152CB" w:rsidRDefault="00D45CAD" w:rsidP="00FD6E82">
            <w:pPr>
              <w:spacing w:after="0" w:line="240" w:lineRule="auto"/>
              <w:rPr>
                <w:rFonts w:eastAsia="Times New Roman" w:cstheme="minorHAnsi"/>
                <w:sz w:val="20"/>
                <w:szCs w:val="20"/>
                <w:lang w:eastAsia="sr-Latn-ME"/>
              </w:rPr>
            </w:pPr>
            <w:r w:rsidRPr="000152CB">
              <w:rPr>
                <w:rFonts w:eastAsia="Times New Roman" w:cstheme="minorHAnsi"/>
                <w:sz w:val="20"/>
                <w:szCs w:val="20"/>
                <w:lang w:eastAsia="sr-Latn-ME"/>
              </w:rPr>
              <w:t xml:space="preserve">U proceduri donošenja. Zakon je dostavljen </w:t>
            </w:r>
            <w:r w:rsidR="006704FC" w:rsidRPr="000152CB">
              <w:rPr>
                <w:rFonts w:eastAsia="Times New Roman" w:cstheme="minorHAnsi"/>
                <w:sz w:val="20"/>
                <w:szCs w:val="20"/>
                <w:lang w:eastAsia="sr-Latn-ME"/>
              </w:rPr>
              <w:t xml:space="preserve">Sekretarijatu za </w:t>
            </w:r>
            <w:r w:rsidRPr="000152CB">
              <w:rPr>
                <w:rFonts w:eastAsia="Times New Roman" w:cstheme="minorHAnsi"/>
                <w:sz w:val="20"/>
                <w:szCs w:val="20"/>
                <w:lang w:eastAsia="sr-Latn-ME"/>
              </w:rPr>
              <w:t>zakonodavstv</w:t>
            </w:r>
            <w:r w:rsidR="006704FC" w:rsidRPr="000152CB">
              <w:rPr>
                <w:rFonts w:eastAsia="Times New Roman" w:cstheme="minorHAnsi"/>
                <w:sz w:val="20"/>
                <w:szCs w:val="20"/>
                <w:lang w:eastAsia="sr-Latn-ME"/>
              </w:rPr>
              <w:t>o na mišljenje</w:t>
            </w:r>
            <w:r w:rsidRPr="000152CB">
              <w:rPr>
                <w:rFonts w:eastAsia="Times New Roman" w:cstheme="minorHAnsi"/>
                <w:sz w:val="20"/>
                <w:szCs w:val="20"/>
                <w:lang w:eastAsia="sr-Latn-ME"/>
              </w:rPr>
              <w:t xml:space="preserve"> </w:t>
            </w:r>
          </w:p>
        </w:tc>
        <w:tc>
          <w:tcPr>
            <w:tcW w:w="1962" w:type="dxa"/>
            <w:gridSpan w:val="5"/>
            <w:tcBorders>
              <w:top w:val="single" w:sz="4" w:space="0" w:color="000000"/>
              <w:left w:val="single" w:sz="4" w:space="0" w:color="000000"/>
              <w:bottom w:val="single" w:sz="4" w:space="0" w:color="000000"/>
              <w:right w:val="single" w:sz="4" w:space="0" w:color="000000"/>
            </w:tcBorders>
          </w:tcPr>
          <w:p w14:paraId="435FFC8E" w14:textId="77777777" w:rsidR="00FD6E82" w:rsidRPr="000152CB" w:rsidRDefault="00FD6E82" w:rsidP="00FD6E82">
            <w:pPr>
              <w:spacing w:after="0" w:line="240" w:lineRule="auto"/>
              <w:rPr>
                <w:rFonts w:eastAsia="Times New Roman" w:cstheme="minorHAnsi"/>
                <w:sz w:val="20"/>
                <w:szCs w:val="20"/>
                <w:lang w:eastAsia="sr-Latn-ME"/>
              </w:rPr>
            </w:pPr>
            <w:r w:rsidRPr="000152CB">
              <w:rPr>
                <w:rFonts w:cstheme="minorHAnsi"/>
                <w:sz w:val="20"/>
                <w:szCs w:val="20"/>
              </w:rPr>
              <w:t xml:space="preserve">  IVQ 2023-IVQ 2024</w:t>
            </w:r>
          </w:p>
        </w:tc>
        <w:tc>
          <w:tcPr>
            <w:tcW w:w="136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68AFE6" w14:textId="77777777" w:rsidR="00FD6E82" w:rsidRPr="000152CB" w:rsidRDefault="00FD6E82" w:rsidP="00FD6E82">
            <w:pPr>
              <w:spacing w:after="0" w:line="240" w:lineRule="auto"/>
              <w:rPr>
                <w:rFonts w:eastAsia="Times New Roman" w:cstheme="minorHAnsi"/>
                <w:sz w:val="20"/>
                <w:szCs w:val="20"/>
                <w:lang w:eastAsia="sr-Latn-ME"/>
              </w:rPr>
            </w:pPr>
            <w:r w:rsidRPr="000152CB">
              <w:rPr>
                <w:rFonts w:eastAsia="Times New Roman" w:cs="Calibri"/>
                <w:sz w:val="20"/>
                <w:szCs w:val="20"/>
                <w:lang w:eastAsia="sr-Latn-ME"/>
              </w:rPr>
              <w:t>Tekuća sredstva</w:t>
            </w:r>
          </w:p>
        </w:tc>
        <w:tc>
          <w:tcPr>
            <w:tcW w:w="206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30DC00"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Budžet</w:t>
            </w:r>
          </w:p>
        </w:tc>
        <w:tc>
          <w:tcPr>
            <w:tcW w:w="1809" w:type="dxa"/>
            <w:gridSpan w:val="8"/>
            <w:tcBorders>
              <w:top w:val="single" w:sz="4" w:space="0" w:color="000000"/>
              <w:left w:val="single" w:sz="4" w:space="0" w:color="000000"/>
              <w:bottom w:val="single" w:sz="4" w:space="0" w:color="000000"/>
              <w:right w:val="single" w:sz="4" w:space="0" w:color="000000"/>
            </w:tcBorders>
          </w:tcPr>
          <w:p w14:paraId="2074D6DA" w14:textId="3AA70713" w:rsidR="00FD6E82" w:rsidRPr="000152CB" w:rsidRDefault="002353F2" w:rsidP="002353F2">
            <w:pPr>
              <w:spacing w:after="0" w:line="240" w:lineRule="auto"/>
              <w:rPr>
                <w:rFonts w:eastAsia="Times New Roman" w:cstheme="minorHAnsi"/>
                <w:sz w:val="20"/>
                <w:szCs w:val="20"/>
                <w:lang w:eastAsia="sr-Latn-ME"/>
              </w:rPr>
            </w:pPr>
            <w:r w:rsidRPr="000152CB">
              <w:rPr>
                <w:rFonts w:eastAsia="Times New Roman" w:cstheme="minorHAnsi"/>
                <w:sz w:val="20"/>
                <w:szCs w:val="20"/>
                <w:lang w:eastAsia="sr-Latn-ME"/>
              </w:rPr>
              <w:t>Novi rok za realizaciju aktivnosti je III kvartal 2025. godine</w:t>
            </w:r>
          </w:p>
        </w:tc>
      </w:tr>
      <w:tr w:rsidR="00BB44DA" w:rsidRPr="000152CB" w14:paraId="5DCCBB2D" w14:textId="77777777" w:rsidTr="00E77388">
        <w:trPr>
          <w:trHeight w:val="585"/>
          <w:jc w:val="center"/>
        </w:trPr>
        <w:tc>
          <w:tcPr>
            <w:tcW w:w="2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6C82DE" w14:textId="77777777" w:rsidR="00FD6E82" w:rsidRPr="000152CB" w:rsidRDefault="00FD6E82" w:rsidP="00FD6E82">
            <w:pPr>
              <w:rPr>
                <w:rFonts w:eastAsia="Times New Roman" w:cs="Calibri"/>
                <w:color w:val="000000"/>
                <w:sz w:val="20"/>
                <w:szCs w:val="20"/>
                <w:lang w:eastAsia="sr-Latn-ME"/>
              </w:rPr>
            </w:pPr>
            <w:r w:rsidRPr="000152CB">
              <w:rPr>
                <w:rFonts w:eastAsia="Times New Roman" w:cs="Calibri"/>
                <w:color w:val="000000"/>
                <w:sz w:val="20"/>
                <w:szCs w:val="20"/>
                <w:lang w:eastAsia="sr-Latn-ME"/>
              </w:rPr>
              <w:lastRenderedPageBreak/>
              <w:t>1.5.16.Zakon o izmjenama i dopunama Zakona o zbirkama podataka u oblasti zdravstva</w:t>
            </w:r>
          </w:p>
        </w:tc>
        <w:tc>
          <w:tcPr>
            <w:tcW w:w="19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E52ED4" w14:textId="77777777" w:rsidR="00FD6E82" w:rsidRPr="000152CB" w:rsidRDefault="00FD6E82" w:rsidP="00FD6E82">
            <w:pPr>
              <w:rPr>
                <w:rFonts w:eastAsia="Times New Roman" w:cs="Calibri"/>
                <w:sz w:val="20"/>
                <w:szCs w:val="20"/>
                <w:lang w:eastAsia="sr-Latn-ME"/>
              </w:rPr>
            </w:pPr>
            <w:r w:rsidRPr="000152CB">
              <w:rPr>
                <w:rFonts w:eastAsia="Times New Roman" w:cs="Calibri"/>
                <w:sz w:val="20"/>
                <w:szCs w:val="20"/>
                <w:lang w:eastAsia="sr-Latn-ME"/>
              </w:rPr>
              <w:t xml:space="preserve">Usvojene izmjene i dopune </w:t>
            </w:r>
          </w:p>
        </w:tc>
        <w:tc>
          <w:tcPr>
            <w:tcW w:w="1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424CFD"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MZ, Fond, IJZ</w:t>
            </w:r>
          </w:p>
        </w:tc>
        <w:tc>
          <w:tcPr>
            <w:tcW w:w="2508" w:type="dxa"/>
            <w:gridSpan w:val="5"/>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6C9054CF" w14:textId="0BD4ABC1" w:rsidR="00FD6E82" w:rsidRPr="000152CB" w:rsidRDefault="00DF40B5" w:rsidP="00FD6E82">
            <w:pPr>
              <w:spacing w:after="0" w:line="240" w:lineRule="auto"/>
              <w:rPr>
                <w:rFonts w:eastAsia="Times New Roman" w:cstheme="minorHAnsi"/>
                <w:sz w:val="20"/>
                <w:szCs w:val="20"/>
                <w:lang w:eastAsia="sr-Latn-ME"/>
              </w:rPr>
            </w:pPr>
            <w:r w:rsidRPr="000152CB">
              <w:rPr>
                <w:rFonts w:eastAsia="Times New Roman" w:cstheme="minorHAnsi"/>
                <w:sz w:val="20"/>
                <w:szCs w:val="20"/>
                <w:lang w:eastAsia="sr-Latn-ME"/>
              </w:rPr>
              <w:t>Izmjena Zakona je uvr</w:t>
            </w:r>
            <w:r w:rsidR="006704FC" w:rsidRPr="000152CB">
              <w:rPr>
                <w:rFonts w:eastAsia="Times New Roman" w:cstheme="minorHAnsi"/>
                <w:sz w:val="20"/>
                <w:szCs w:val="20"/>
                <w:lang w:eastAsia="sr-Latn-ME"/>
              </w:rPr>
              <w:t>š</w:t>
            </w:r>
            <w:r w:rsidRPr="000152CB">
              <w:rPr>
                <w:rFonts w:eastAsia="Times New Roman" w:cstheme="minorHAnsi"/>
                <w:sz w:val="20"/>
                <w:szCs w:val="20"/>
                <w:lang w:eastAsia="sr-Latn-ME"/>
              </w:rPr>
              <w:t>tena u Program rada Vlade za 2025 godinu, po planu rada Vlade planirana za Q3, Konsultacije sa uklju</w:t>
            </w:r>
            <w:r w:rsidR="006704FC" w:rsidRPr="000152CB">
              <w:rPr>
                <w:rFonts w:eastAsia="Times New Roman" w:cstheme="minorHAnsi"/>
                <w:sz w:val="20"/>
                <w:szCs w:val="20"/>
                <w:lang w:eastAsia="sr-Latn-ME"/>
              </w:rPr>
              <w:t>č</w:t>
            </w:r>
            <w:r w:rsidRPr="000152CB">
              <w:rPr>
                <w:rFonts w:eastAsia="Times New Roman" w:cstheme="minorHAnsi"/>
                <w:sz w:val="20"/>
                <w:szCs w:val="20"/>
                <w:lang w:eastAsia="sr-Latn-ME"/>
              </w:rPr>
              <w:t>enim institucijama se sprovode I izrada Zakona je u toku</w:t>
            </w:r>
          </w:p>
        </w:tc>
        <w:tc>
          <w:tcPr>
            <w:tcW w:w="1962" w:type="dxa"/>
            <w:gridSpan w:val="5"/>
            <w:tcBorders>
              <w:top w:val="single" w:sz="4" w:space="0" w:color="000000"/>
              <w:left w:val="single" w:sz="4" w:space="0" w:color="000000"/>
              <w:bottom w:val="single" w:sz="4" w:space="0" w:color="000000"/>
              <w:right w:val="single" w:sz="4" w:space="0" w:color="000000"/>
            </w:tcBorders>
          </w:tcPr>
          <w:p w14:paraId="78126D4D" w14:textId="77777777" w:rsidR="00FD6E82" w:rsidRPr="000152CB" w:rsidRDefault="00FD6E82" w:rsidP="00FD6E82">
            <w:pPr>
              <w:spacing w:after="0" w:line="240" w:lineRule="auto"/>
              <w:rPr>
                <w:rFonts w:cstheme="minorHAnsi"/>
                <w:sz w:val="20"/>
                <w:szCs w:val="20"/>
              </w:rPr>
            </w:pPr>
            <w:r w:rsidRPr="000152CB">
              <w:rPr>
                <w:rFonts w:cstheme="minorHAnsi"/>
                <w:sz w:val="20"/>
                <w:szCs w:val="20"/>
              </w:rPr>
              <w:t>IIIQ 2023-IVQ 2024</w:t>
            </w:r>
          </w:p>
        </w:tc>
        <w:tc>
          <w:tcPr>
            <w:tcW w:w="136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F81696" w14:textId="1B11034E" w:rsidR="00FD6E82" w:rsidRPr="000152CB" w:rsidRDefault="00A733AD"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Utrošena sredstva: 5,000 eura</w:t>
            </w:r>
          </w:p>
        </w:tc>
        <w:tc>
          <w:tcPr>
            <w:tcW w:w="206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875CD2"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Budžet</w:t>
            </w:r>
          </w:p>
        </w:tc>
        <w:tc>
          <w:tcPr>
            <w:tcW w:w="1809" w:type="dxa"/>
            <w:gridSpan w:val="8"/>
            <w:tcBorders>
              <w:top w:val="single" w:sz="4" w:space="0" w:color="000000"/>
              <w:left w:val="single" w:sz="4" w:space="0" w:color="000000"/>
              <w:bottom w:val="single" w:sz="4" w:space="0" w:color="000000"/>
              <w:right w:val="single" w:sz="4" w:space="0" w:color="000000"/>
            </w:tcBorders>
          </w:tcPr>
          <w:p w14:paraId="6900C685" w14:textId="1050B67E" w:rsidR="00FD6E82" w:rsidRPr="000152CB" w:rsidRDefault="006704FC"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Novi rok za realizaciju aktivnosti je III kvartal 2025. godine</w:t>
            </w:r>
          </w:p>
        </w:tc>
      </w:tr>
      <w:tr w:rsidR="00BB44DA" w:rsidRPr="000152CB" w14:paraId="5D6BD66F" w14:textId="77777777" w:rsidTr="00E77388">
        <w:trPr>
          <w:trHeight w:val="585"/>
          <w:jc w:val="center"/>
        </w:trPr>
        <w:tc>
          <w:tcPr>
            <w:tcW w:w="2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5858B" w14:textId="77777777" w:rsidR="00FD6E82" w:rsidRPr="000152CB" w:rsidRDefault="00FD6E82" w:rsidP="00FD6E82">
            <w:pPr>
              <w:rPr>
                <w:rFonts w:eastAsia="Times New Roman" w:cs="Calibri"/>
                <w:color w:val="000000"/>
                <w:sz w:val="20"/>
                <w:szCs w:val="20"/>
                <w:lang w:eastAsia="sr-Latn-ME"/>
              </w:rPr>
            </w:pPr>
            <w:r w:rsidRPr="000152CB">
              <w:rPr>
                <w:rFonts w:eastAsia="Times New Roman" w:cs="Calibri"/>
                <w:color w:val="000000"/>
                <w:sz w:val="20"/>
                <w:szCs w:val="20"/>
                <w:lang w:eastAsia="sr-Latn-ME"/>
              </w:rPr>
              <w:t>1.5.17. Zakon o izmjenama i dopunama Zakona o hitnoj medicinskoj pomoći</w:t>
            </w:r>
          </w:p>
        </w:tc>
        <w:tc>
          <w:tcPr>
            <w:tcW w:w="19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50D0F5" w14:textId="77777777" w:rsidR="00FD6E82" w:rsidRPr="000152CB" w:rsidRDefault="00FD6E82" w:rsidP="00FD6E82">
            <w:pPr>
              <w:rPr>
                <w:rFonts w:eastAsia="Times New Roman" w:cs="Calibri"/>
                <w:sz w:val="20"/>
                <w:szCs w:val="20"/>
                <w:lang w:eastAsia="sr-Latn-ME"/>
              </w:rPr>
            </w:pPr>
            <w:r w:rsidRPr="000152CB">
              <w:rPr>
                <w:rFonts w:eastAsia="Times New Roman" w:cs="Calibri"/>
                <w:sz w:val="20"/>
                <w:szCs w:val="20"/>
                <w:lang w:eastAsia="sr-Latn-ME"/>
              </w:rPr>
              <w:t>Započeta izrada izmjena i dopuna</w:t>
            </w:r>
          </w:p>
        </w:tc>
        <w:tc>
          <w:tcPr>
            <w:tcW w:w="1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6D07F7"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Ministarstvo zdravlja,</w:t>
            </w:r>
          </w:p>
          <w:p w14:paraId="66D77B13"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Zavod za hitnu medicinsku pomoć,</w:t>
            </w:r>
          </w:p>
          <w:p w14:paraId="73997AEA"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Fond za zdravstveno osiguranje Crne Gore</w:t>
            </w:r>
          </w:p>
        </w:tc>
        <w:tc>
          <w:tcPr>
            <w:tcW w:w="2508" w:type="dxa"/>
            <w:gridSpan w:val="5"/>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620D5C3D" w14:textId="5BB18F9D" w:rsidR="00FD6E82" w:rsidRPr="000152CB" w:rsidRDefault="006704FC" w:rsidP="00FD6E82">
            <w:pPr>
              <w:spacing w:after="0" w:line="240" w:lineRule="auto"/>
              <w:rPr>
                <w:rFonts w:eastAsia="Times New Roman" w:cstheme="minorHAnsi"/>
                <w:sz w:val="20"/>
                <w:szCs w:val="20"/>
                <w:lang w:eastAsia="sr-Latn-ME"/>
              </w:rPr>
            </w:pPr>
            <w:r w:rsidRPr="000152CB">
              <w:rPr>
                <w:rFonts w:eastAsia="Times New Roman" w:cstheme="minorHAnsi"/>
                <w:sz w:val="20"/>
                <w:szCs w:val="20"/>
                <w:lang w:eastAsia="sr-Latn-ME"/>
              </w:rPr>
              <w:t>Usvojene su izmjene i dopune Zakona o hitnoj medicinskoj pomoći</w:t>
            </w:r>
          </w:p>
        </w:tc>
        <w:tc>
          <w:tcPr>
            <w:tcW w:w="1962" w:type="dxa"/>
            <w:gridSpan w:val="5"/>
            <w:tcBorders>
              <w:top w:val="single" w:sz="4" w:space="0" w:color="000000"/>
              <w:left w:val="single" w:sz="4" w:space="0" w:color="000000"/>
              <w:bottom w:val="single" w:sz="4" w:space="0" w:color="000000"/>
              <w:right w:val="single" w:sz="4" w:space="0" w:color="000000"/>
            </w:tcBorders>
          </w:tcPr>
          <w:p w14:paraId="35988C78" w14:textId="77777777" w:rsidR="00FD6E82" w:rsidRPr="000152CB" w:rsidRDefault="00FD6E82" w:rsidP="00FD6E82">
            <w:pPr>
              <w:spacing w:after="0" w:line="240" w:lineRule="auto"/>
              <w:rPr>
                <w:rFonts w:cstheme="minorHAnsi"/>
                <w:sz w:val="20"/>
                <w:szCs w:val="20"/>
              </w:rPr>
            </w:pPr>
            <w:r w:rsidRPr="000152CB">
              <w:rPr>
                <w:rFonts w:cstheme="minorHAnsi"/>
                <w:sz w:val="20"/>
                <w:szCs w:val="20"/>
              </w:rPr>
              <w:t xml:space="preserve"> IVQ 2024-IVQ2025</w:t>
            </w:r>
          </w:p>
        </w:tc>
        <w:tc>
          <w:tcPr>
            <w:tcW w:w="136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51982F"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Tekuća sredstva</w:t>
            </w:r>
          </w:p>
        </w:tc>
        <w:tc>
          <w:tcPr>
            <w:tcW w:w="206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480C95"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Budžet</w:t>
            </w:r>
          </w:p>
        </w:tc>
        <w:tc>
          <w:tcPr>
            <w:tcW w:w="1809" w:type="dxa"/>
            <w:gridSpan w:val="8"/>
            <w:tcBorders>
              <w:top w:val="single" w:sz="4" w:space="0" w:color="000000"/>
              <w:left w:val="single" w:sz="4" w:space="0" w:color="000000"/>
              <w:bottom w:val="single" w:sz="4" w:space="0" w:color="000000"/>
              <w:right w:val="single" w:sz="4" w:space="0" w:color="000000"/>
            </w:tcBorders>
          </w:tcPr>
          <w:p w14:paraId="40176ADF" w14:textId="77777777" w:rsidR="00FD6E82" w:rsidRPr="000152CB" w:rsidRDefault="00FD6E82" w:rsidP="00FD6E82">
            <w:pPr>
              <w:spacing w:after="0" w:line="240" w:lineRule="auto"/>
              <w:rPr>
                <w:rFonts w:eastAsia="Times New Roman" w:cs="Calibri"/>
                <w:sz w:val="20"/>
                <w:szCs w:val="20"/>
                <w:lang w:eastAsia="sr-Latn-ME"/>
              </w:rPr>
            </w:pPr>
          </w:p>
        </w:tc>
      </w:tr>
      <w:tr w:rsidR="008F7FD8" w:rsidRPr="000152CB" w14:paraId="5F266746" w14:textId="77777777" w:rsidTr="00E77388">
        <w:trPr>
          <w:trHeight w:val="585"/>
          <w:jc w:val="center"/>
        </w:trPr>
        <w:tc>
          <w:tcPr>
            <w:tcW w:w="2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9EC92E" w14:textId="43D6510C" w:rsidR="008F7FD8" w:rsidRPr="000152CB" w:rsidRDefault="0089730E" w:rsidP="00FD6E82">
            <w:pPr>
              <w:rPr>
                <w:rFonts w:eastAsia="Times New Roman" w:cs="Calibri"/>
                <w:color w:val="000000"/>
                <w:sz w:val="20"/>
                <w:szCs w:val="20"/>
                <w:lang w:eastAsia="sr-Latn-ME"/>
              </w:rPr>
            </w:pPr>
            <w:r w:rsidRPr="000152CB">
              <w:rPr>
                <w:rFonts w:eastAsia="Times New Roman" w:cs="Calibri"/>
                <w:color w:val="000000"/>
                <w:sz w:val="20"/>
                <w:szCs w:val="20"/>
                <w:lang w:eastAsia="sr-Latn-ME"/>
              </w:rPr>
              <w:t>1.5.18 Zakon o dojenju</w:t>
            </w:r>
          </w:p>
        </w:tc>
        <w:tc>
          <w:tcPr>
            <w:tcW w:w="19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98AFC5" w14:textId="6ABFAF35" w:rsidR="008F7FD8" w:rsidRPr="000152CB" w:rsidRDefault="0089730E" w:rsidP="00FD6E82">
            <w:pPr>
              <w:rPr>
                <w:rFonts w:eastAsia="Times New Roman" w:cs="Calibri"/>
                <w:sz w:val="20"/>
                <w:szCs w:val="20"/>
                <w:lang w:eastAsia="sr-Latn-ME"/>
              </w:rPr>
            </w:pPr>
            <w:r w:rsidRPr="000152CB">
              <w:rPr>
                <w:rFonts w:eastAsia="Times New Roman" w:cs="Calibri"/>
                <w:sz w:val="20"/>
                <w:szCs w:val="20"/>
                <w:lang w:eastAsia="sr-Latn-ME"/>
              </w:rPr>
              <w:t>Usvojen zakon</w:t>
            </w:r>
          </w:p>
        </w:tc>
        <w:tc>
          <w:tcPr>
            <w:tcW w:w="1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9BEC0A" w14:textId="1AD63549" w:rsidR="008F7FD8" w:rsidRPr="000152CB" w:rsidRDefault="0089730E"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Ministarstvo zdravlja</w:t>
            </w:r>
          </w:p>
        </w:tc>
        <w:tc>
          <w:tcPr>
            <w:tcW w:w="2508" w:type="dxa"/>
            <w:gridSpan w:val="5"/>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49BAFC72" w14:textId="3061A029" w:rsidR="008F7FD8" w:rsidRPr="000152CB" w:rsidRDefault="00074AD6" w:rsidP="00FD6E82">
            <w:pPr>
              <w:spacing w:after="0" w:line="240" w:lineRule="auto"/>
              <w:rPr>
                <w:rFonts w:eastAsia="Times New Roman" w:cstheme="minorHAnsi"/>
                <w:sz w:val="20"/>
                <w:szCs w:val="20"/>
                <w:lang w:eastAsia="sr-Latn-ME"/>
              </w:rPr>
            </w:pPr>
            <w:r w:rsidRPr="000152CB">
              <w:rPr>
                <w:rFonts w:eastAsia="Times New Roman" w:cstheme="minorHAnsi"/>
                <w:sz w:val="20"/>
                <w:szCs w:val="20"/>
                <w:lang w:eastAsia="sr-Latn-ME"/>
              </w:rPr>
              <w:t>U vezi odredbi koje se tiču dojenja  iste su unijete u Zakonu o zdravstvenoj zaštiti</w:t>
            </w:r>
            <w:r w:rsidR="006704FC" w:rsidRPr="000152CB">
              <w:rPr>
                <w:rFonts w:eastAsia="Times New Roman" w:cstheme="minorHAnsi"/>
                <w:sz w:val="20"/>
                <w:szCs w:val="20"/>
                <w:lang w:eastAsia="sr-Latn-ME"/>
              </w:rPr>
              <w:t xml:space="preserve"> </w:t>
            </w:r>
            <w:r w:rsidRPr="000152CB">
              <w:rPr>
                <w:rFonts w:eastAsia="Times New Roman" w:cstheme="minorHAnsi"/>
                <w:sz w:val="20"/>
                <w:szCs w:val="20"/>
                <w:lang w:eastAsia="sr-Latn-ME"/>
              </w:rPr>
              <w:t xml:space="preserve">.Zakon se nalazi u Evropskoj komisiji na mišljenje. </w:t>
            </w:r>
          </w:p>
        </w:tc>
        <w:tc>
          <w:tcPr>
            <w:tcW w:w="1962" w:type="dxa"/>
            <w:gridSpan w:val="5"/>
            <w:tcBorders>
              <w:top w:val="single" w:sz="4" w:space="0" w:color="000000"/>
              <w:left w:val="single" w:sz="4" w:space="0" w:color="000000"/>
              <w:bottom w:val="single" w:sz="4" w:space="0" w:color="000000"/>
              <w:right w:val="single" w:sz="4" w:space="0" w:color="000000"/>
            </w:tcBorders>
          </w:tcPr>
          <w:p w14:paraId="25737FD3" w14:textId="10DBAB2E" w:rsidR="008F7FD8" w:rsidRPr="000152CB" w:rsidRDefault="0089730E" w:rsidP="00FD6E82">
            <w:pPr>
              <w:spacing w:after="0" w:line="240" w:lineRule="auto"/>
              <w:rPr>
                <w:rFonts w:cstheme="minorHAnsi"/>
                <w:sz w:val="20"/>
                <w:szCs w:val="20"/>
              </w:rPr>
            </w:pPr>
            <w:r w:rsidRPr="000152CB">
              <w:rPr>
                <w:rFonts w:cstheme="minorHAnsi"/>
                <w:sz w:val="20"/>
                <w:szCs w:val="20"/>
              </w:rPr>
              <w:t>IVQ 2023-IIQ 2024</w:t>
            </w:r>
          </w:p>
        </w:tc>
        <w:tc>
          <w:tcPr>
            <w:tcW w:w="136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FB9665" w14:textId="27D9CFE8" w:rsidR="008F7FD8" w:rsidRPr="000152CB" w:rsidRDefault="0089730E"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Tekuća sredstva</w:t>
            </w:r>
          </w:p>
        </w:tc>
        <w:tc>
          <w:tcPr>
            <w:tcW w:w="206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C58B3E" w14:textId="60805B7B" w:rsidR="008F7FD8" w:rsidRPr="000152CB" w:rsidRDefault="0089730E"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Budžet</w:t>
            </w:r>
          </w:p>
        </w:tc>
        <w:tc>
          <w:tcPr>
            <w:tcW w:w="1809" w:type="dxa"/>
            <w:gridSpan w:val="8"/>
            <w:tcBorders>
              <w:top w:val="single" w:sz="4" w:space="0" w:color="000000"/>
              <w:left w:val="single" w:sz="4" w:space="0" w:color="000000"/>
              <w:bottom w:val="single" w:sz="4" w:space="0" w:color="000000"/>
              <w:right w:val="single" w:sz="4" w:space="0" w:color="000000"/>
            </w:tcBorders>
          </w:tcPr>
          <w:p w14:paraId="357B883D" w14:textId="687A957E" w:rsidR="008F7FD8" w:rsidRPr="000152CB" w:rsidRDefault="006704FC"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Novi rok za realizaciju aktivnosti je IV kvartal 2025. godine</w:t>
            </w:r>
          </w:p>
        </w:tc>
      </w:tr>
      <w:tr w:rsidR="00BB44DA" w:rsidRPr="000152CB" w14:paraId="26D4BC87" w14:textId="77777777" w:rsidTr="00E77388">
        <w:trPr>
          <w:trHeight w:val="585"/>
          <w:jc w:val="center"/>
        </w:trPr>
        <w:tc>
          <w:tcPr>
            <w:tcW w:w="2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0E4FF9" w14:textId="2124E281" w:rsidR="00FD6E82" w:rsidRPr="000152CB" w:rsidRDefault="00FD6E82" w:rsidP="00FD6E82">
            <w:pPr>
              <w:rPr>
                <w:rFonts w:eastAsia="Times New Roman" w:cs="Calibri"/>
                <w:color w:val="000000"/>
                <w:sz w:val="20"/>
                <w:szCs w:val="20"/>
                <w:lang w:eastAsia="sr-Latn-ME"/>
              </w:rPr>
            </w:pPr>
            <w:r w:rsidRPr="000152CB">
              <w:rPr>
                <w:rFonts w:eastAsia="Times New Roman" w:cs="Calibri"/>
                <w:color w:val="000000"/>
                <w:sz w:val="20"/>
                <w:szCs w:val="20"/>
                <w:lang w:eastAsia="sr-Latn-ME"/>
              </w:rPr>
              <w:t>1.5.1</w:t>
            </w:r>
            <w:r w:rsidR="00074AD6" w:rsidRPr="000152CB">
              <w:rPr>
                <w:rFonts w:eastAsia="Times New Roman" w:cs="Calibri"/>
                <w:color w:val="000000"/>
                <w:sz w:val="20"/>
                <w:szCs w:val="20"/>
                <w:lang w:eastAsia="sr-Latn-ME"/>
              </w:rPr>
              <w:t>9</w:t>
            </w:r>
            <w:r w:rsidRPr="000152CB">
              <w:rPr>
                <w:rFonts w:eastAsia="Times New Roman" w:cs="Calibri"/>
                <w:color w:val="000000"/>
                <w:sz w:val="20"/>
                <w:szCs w:val="20"/>
                <w:lang w:eastAsia="sr-Latn-ME"/>
              </w:rPr>
              <w:t>. Izmjena Uredbe o obimu prava i standardima zdravstvene zaštite iz obaveznog zdravstvenog osiguranja</w:t>
            </w:r>
          </w:p>
        </w:tc>
        <w:tc>
          <w:tcPr>
            <w:tcW w:w="19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1EA94B"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Usvojena Uredba</w:t>
            </w:r>
          </w:p>
        </w:tc>
        <w:tc>
          <w:tcPr>
            <w:tcW w:w="1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519809"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Ministarstvo zdravlja</w:t>
            </w:r>
          </w:p>
          <w:p w14:paraId="5D42596D"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Fond za zdravstveno osiguranje Crne Gore</w:t>
            </w:r>
          </w:p>
          <w:p w14:paraId="556D815D"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Klinički centar Crne Gore</w:t>
            </w:r>
          </w:p>
          <w:p w14:paraId="6508B3A9"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Institut za javno zdravlje</w:t>
            </w:r>
          </w:p>
        </w:tc>
        <w:tc>
          <w:tcPr>
            <w:tcW w:w="2508" w:type="dxa"/>
            <w:gridSpan w:val="5"/>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19E1434C" w14:textId="6350EB0A" w:rsidR="00FD6E82" w:rsidRPr="000152CB" w:rsidRDefault="00074AD6"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 xml:space="preserve">Predstavnici Instituta i FZO sa predstavnicima KCCG, OB Cetinje, ZZTK usaglasili i pripremili Spisak i sadržaj usluga za sekundarni i tercijarni nivo zdravstvene zaštite za potrebe pripreme Uredbe. Dokument dostavljen MZ u maju 2023, pa zatim ponovo u maju 2024. godine. </w:t>
            </w:r>
          </w:p>
        </w:tc>
        <w:tc>
          <w:tcPr>
            <w:tcW w:w="1962" w:type="dxa"/>
            <w:gridSpan w:val="5"/>
            <w:tcBorders>
              <w:top w:val="single" w:sz="4" w:space="0" w:color="000000"/>
              <w:left w:val="single" w:sz="4" w:space="0" w:color="000000"/>
              <w:bottom w:val="single" w:sz="4" w:space="0" w:color="000000"/>
              <w:right w:val="single" w:sz="4" w:space="0" w:color="000000"/>
            </w:tcBorders>
          </w:tcPr>
          <w:p w14:paraId="71DF7979"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 xml:space="preserve"> IIQ 2023IVQ 2024</w:t>
            </w:r>
          </w:p>
        </w:tc>
        <w:tc>
          <w:tcPr>
            <w:tcW w:w="136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440002"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Tekuća sredstva</w:t>
            </w:r>
          </w:p>
        </w:tc>
        <w:tc>
          <w:tcPr>
            <w:tcW w:w="206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C119AE"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Budžet</w:t>
            </w:r>
          </w:p>
        </w:tc>
        <w:tc>
          <w:tcPr>
            <w:tcW w:w="1809" w:type="dxa"/>
            <w:gridSpan w:val="8"/>
            <w:tcBorders>
              <w:top w:val="single" w:sz="4" w:space="0" w:color="000000"/>
              <w:left w:val="single" w:sz="4" w:space="0" w:color="000000"/>
              <w:bottom w:val="single" w:sz="4" w:space="0" w:color="000000"/>
              <w:right w:val="single" w:sz="4" w:space="0" w:color="000000"/>
            </w:tcBorders>
          </w:tcPr>
          <w:p w14:paraId="5702F097" w14:textId="77777777" w:rsidR="00FD6E82" w:rsidRPr="000152CB" w:rsidRDefault="00FD6E82" w:rsidP="00FD6E82">
            <w:pPr>
              <w:spacing w:after="0" w:line="240" w:lineRule="auto"/>
              <w:ind w:left="270"/>
              <w:rPr>
                <w:rFonts w:eastAsia="Times New Roman" w:cs="Calibri"/>
                <w:sz w:val="20"/>
                <w:szCs w:val="20"/>
                <w:lang w:eastAsia="sr-Latn-ME"/>
              </w:rPr>
            </w:pPr>
          </w:p>
        </w:tc>
      </w:tr>
      <w:tr w:rsidR="00BB44DA" w:rsidRPr="000152CB" w14:paraId="5E4E95DE" w14:textId="77777777" w:rsidTr="00E77388">
        <w:trPr>
          <w:trHeight w:val="585"/>
          <w:jc w:val="center"/>
        </w:trPr>
        <w:tc>
          <w:tcPr>
            <w:tcW w:w="2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51618E" w14:textId="7475B545" w:rsidR="00FD6E82" w:rsidRPr="000152CB" w:rsidRDefault="00FD6E82" w:rsidP="00FD6E82">
            <w:pPr>
              <w:rPr>
                <w:rFonts w:eastAsia="Times New Roman" w:cs="Calibri"/>
                <w:color w:val="000000"/>
                <w:sz w:val="20"/>
                <w:szCs w:val="20"/>
                <w:lang w:eastAsia="sr-Latn-ME"/>
              </w:rPr>
            </w:pPr>
            <w:r w:rsidRPr="000152CB">
              <w:rPr>
                <w:rFonts w:eastAsia="Times New Roman" w:cs="Calibri"/>
                <w:color w:val="000000"/>
                <w:sz w:val="20"/>
                <w:szCs w:val="20"/>
                <w:lang w:eastAsia="sr-Latn-ME"/>
              </w:rPr>
              <w:t>1.5.</w:t>
            </w:r>
            <w:r w:rsidR="00074AD6" w:rsidRPr="000152CB">
              <w:rPr>
                <w:rFonts w:eastAsia="Times New Roman" w:cs="Calibri"/>
                <w:color w:val="000000"/>
                <w:sz w:val="20"/>
                <w:szCs w:val="20"/>
                <w:lang w:eastAsia="sr-Latn-ME"/>
              </w:rPr>
              <w:t>20</w:t>
            </w:r>
            <w:r w:rsidRPr="000152CB">
              <w:rPr>
                <w:rFonts w:eastAsia="Times New Roman" w:cs="Calibri"/>
                <w:color w:val="000000"/>
                <w:sz w:val="20"/>
                <w:szCs w:val="20"/>
                <w:lang w:eastAsia="sr-Latn-ME"/>
              </w:rPr>
              <w:t>.</w:t>
            </w:r>
            <w:r w:rsidRPr="000152CB">
              <w:t xml:space="preserve"> </w:t>
            </w:r>
            <w:r w:rsidRPr="000152CB">
              <w:rPr>
                <w:rFonts w:eastAsia="Times New Roman" w:cs="Calibri"/>
                <w:color w:val="000000"/>
                <w:sz w:val="20"/>
                <w:szCs w:val="20"/>
                <w:lang w:eastAsia="sr-Latn-ME"/>
              </w:rPr>
              <w:t xml:space="preserve">Uredba o obimu prava i standardima zdravstvene zaštite iz obaveznog </w:t>
            </w:r>
            <w:r w:rsidRPr="000152CB">
              <w:rPr>
                <w:rFonts w:eastAsia="Times New Roman" w:cs="Calibri"/>
                <w:color w:val="000000"/>
                <w:sz w:val="20"/>
                <w:szCs w:val="20"/>
                <w:lang w:eastAsia="sr-Latn-ME"/>
              </w:rPr>
              <w:lastRenderedPageBreak/>
              <w:t>zdravstvenog osiguranja na sekundarnom i tercijarnom nivou zdravstvene zaštite</w:t>
            </w:r>
          </w:p>
        </w:tc>
        <w:tc>
          <w:tcPr>
            <w:tcW w:w="19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186E9C"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lastRenderedPageBreak/>
              <w:t>Usvojena Uredba</w:t>
            </w:r>
          </w:p>
        </w:tc>
        <w:tc>
          <w:tcPr>
            <w:tcW w:w="1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583156"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Ministarstvo zdravlja</w:t>
            </w:r>
          </w:p>
          <w:p w14:paraId="6D6981D6"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 xml:space="preserve">Fond za zdravstveno </w:t>
            </w:r>
            <w:r w:rsidRPr="000152CB">
              <w:rPr>
                <w:rFonts w:eastAsia="Times New Roman" w:cs="Calibri"/>
                <w:sz w:val="20"/>
                <w:szCs w:val="20"/>
                <w:lang w:eastAsia="sr-Latn-ME"/>
              </w:rPr>
              <w:lastRenderedPageBreak/>
              <w:t>osiguranje Crne Gore</w:t>
            </w:r>
          </w:p>
          <w:p w14:paraId="03A6E788"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Klinički centar Crne Gore</w:t>
            </w:r>
          </w:p>
          <w:p w14:paraId="350CF864"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Institut za javno zdravlje</w:t>
            </w:r>
          </w:p>
        </w:tc>
        <w:tc>
          <w:tcPr>
            <w:tcW w:w="2508" w:type="dxa"/>
            <w:gridSpan w:val="5"/>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4DA1DFB5" w14:textId="5CBF5906" w:rsidR="00FD6E82" w:rsidRPr="000152CB" w:rsidRDefault="002E5B3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lastRenderedPageBreak/>
              <w:t xml:space="preserve">U toku je izrada spiska zdravstvenih usluga koji su preduslov za izradu Uredbe. </w:t>
            </w:r>
          </w:p>
        </w:tc>
        <w:tc>
          <w:tcPr>
            <w:tcW w:w="1962" w:type="dxa"/>
            <w:gridSpan w:val="5"/>
            <w:tcBorders>
              <w:top w:val="single" w:sz="4" w:space="0" w:color="000000"/>
              <w:left w:val="single" w:sz="4" w:space="0" w:color="000000"/>
              <w:bottom w:val="single" w:sz="4" w:space="0" w:color="000000"/>
              <w:right w:val="single" w:sz="4" w:space="0" w:color="000000"/>
            </w:tcBorders>
          </w:tcPr>
          <w:p w14:paraId="560FF240"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 xml:space="preserve">  IIQ 2023-IVQ 2024</w:t>
            </w:r>
          </w:p>
        </w:tc>
        <w:tc>
          <w:tcPr>
            <w:tcW w:w="136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CD76BD" w14:textId="77777777" w:rsidR="00FD6E82" w:rsidRPr="000152CB" w:rsidRDefault="00FD6E82" w:rsidP="00FD6E82">
            <w:pPr>
              <w:spacing w:after="0" w:line="240" w:lineRule="auto"/>
              <w:rPr>
                <w:rFonts w:eastAsia="Times New Roman" w:cs="Calibri"/>
                <w:sz w:val="20"/>
                <w:szCs w:val="20"/>
                <w:lang w:eastAsia="sr-Latn-ME"/>
              </w:rPr>
            </w:pPr>
            <w:r w:rsidRPr="000152CB">
              <w:rPr>
                <w:sz w:val="20"/>
                <w:szCs w:val="20"/>
              </w:rPr>
              <w:t>Tekuća sredstva</w:t>
            </w:r>
          </w:p>
        </w:tc>
        <w:tc>
          <w:tcPr>
            <w:tcW w:w="206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51034F" w14:textId="77777777" w:rsidR="00FD6E82" w:rsidRPr="000152CB" w:rsidRDefault="00FD6E82" w:rsidP="00FD6E82">
            <w:pPr>
              <w:spacing w:after="0" w:line="240" w:lineRule="auto"/>
              <w:rPr>
                <w:rFonts w:eastAsia="Times New Roman" w:cs="Calibri"/>
                <w:sz w:val="20"/>
                <w:szCs w:val="20"/>
                <w:lang w:eastAsia="sr-Latn-ME"/>
              </w:rPr>
            </w:pPr>
            <w:r w:rsidRPr="000152CB">
              <w:rPr>
                <w:sz w:val="20"/>
                <w:szCs w:val="20"/>
              </w:rPr>
              <w:t>Budžet</w:t>
            </w:r>
          </w:p>
        </w:tc>
        <w:tc>
          <w:tcPr>
            <w:tcW w:w="1809" w:type="dxa"/>
            <w:gridSpan w:val="8"/>
            <w:tcBorders>
              <w:top w:val="single" w:sz="4" w:space="0" w:color="000000"/>
              <w:left w:val="single" w:sz="4" w:space="0" w:color="000000"/>
              <w:bottom w:val="single" w:sz="4" w:space="0" w:color="000000"/>
              <w:right w:val="single" w:sz="4" w:space="0" w:color="000000"/>
            </w:tcBorders>
          </w:tcPr>
          <w:p w14:paraId="0BF8AE97" w14:textId="2E03A435" w:rsidR="00FD6E82" w:rsidRPr="000152CB" w:rsidRDefault="006704FC"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Novi rok za realizaciju aktivnosti je IIkvartal 2027. godine</w:t>
            </w:r>
          </w:p>
        </w:tc>
      </w:tr>
      <w:tr w:rsidR="00BB44DA" w:rsidRPr="000152CB" w14:paraId="10ACD1B1" w14:textId="77777777" w:rsidTr="00E77388">
        <w:trPr>
          <w:trHeight w:val="585"/>
          <w:jc w:val="center"/>
        </w:trPr>
        <w:tc>
          <w:tcPr>
            <w:tcW w:w="2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D85CA3" w14:textId="49DE73F4" w:rsidR="00FD6E82" w:rsidRPr="000152CB" w:rsidRDefault="00FD6E82" w:rsidP="00FD6E82">
            <w:pPr>
              <w:rPr>
                <w:rFonts w:eastAsia="Times New Roman" w:cs="Calibri"/>
                <w:color w:val="000000"/>
                <w:sz w:val="20"/>
                <w:szCs w:val="20"/>
                <w:highlight w:val="yellow"/>
                <w:lang w:eastAsia="sr-Latn-ME"/>
              </w:rPr>
            </w:pPr>
            <w:r w:rsidRPr="000152CB">
              <w:rPr>
                <w:rFonts w:eastAsia="Times New Roman" w:cs="Calibri"/>
                <w:color w:val="000000"/>
                <w:sz w:val="20"/>
                <w:szCs w:val="20"/>
                <w:lang w:eastAsia="sr-Latn-ME"/>
              </w:rPr>
              <w:t>1.5.2</w:t>
            </w:r>
            <w:r w:rsidR="00074AD6" w:rsidRPr="000152CB">
              <w:rPr>
                <w:rFonts w:eastAsia="Times New Roman" w:cs="Calibri"/>
                <w:color w:val="000000"/>
                <w:sz w:val="20"/>
                <w:szCs w:val="20"/>
                <w:lang w:eastAsia="sr-Latn-ME"/>
              </w:rPr>
              <w:t>1</w:t>
            </w:r>
            <w:r w:rsidRPr="000152CB">
              <w:rPr>
                <w:rFonts w:eastAsia="Times New Roman" w:cs="Calibri"/>
                <w:color w:val="000000"/>
                <w:sz w:val="20"/>
                <w:szCs w:val="20"/>
                <w:lang w:eastAsia="sr-Latn-ME"/>
              </w:rPr>
              <w:t xml:space="preserve">. </w:t>
            </w:r>
            <w:r w:rsidRPr="000152CB">
              <w:rPr>
                <w:rFonts w:eastAsia="Times New Roman" w:cs="Calibri"/>
                <w:color w:val="000000" w:themeColor="text1"/>
                <w:sz w:val="20"/>
                <w:szCs w:val="20"/>
                <w:lang w:eastAsia="sr-Latn-ME"/>
              </w:rPr>
              <w:t>Izrada Programa o ispunjenosti uslova za pružanje usluga u oblasti zdravstvenog turizma</w:t>
            </w:r>
          </w:p>
        </w:tc>
        <w:tc>
          <w:tcPr>
            <w:tcW w:w="19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69DC7"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color w:val="000000" w:themeColor="text1"/>
                <w:sz w:val="20"/>
                <w:szCs w:val="20"/>
                <w:lang w:eastAsia="sr-Latn-ME"/>
              </w:rPr>
              <w:t>Izrada Pravilnika/Programa razvoja zdravstvenog turizma za 2024-2027 god</w:t>
            </w:r>
          </w:p>
        </w:tc>
        <w:tc>
          <w:tcPr>
            <w:tcW w:w="1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BF967D"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MZ, Ministarstvo ekonomskog razvoja i turizma</w:t>
            </w:r>
          </w:p>
        </w:tc>
        <w:tc>
          <w:tcPr>
            <w:tcW w:w="2508" w:type="dxa"/>
            <w:gridSpan w:val="5"/>
            <w:tcBorders>
              <w:top w:val="single" w:sz="4" w:space="0" w:color="000000"/>
              <w:left w:val="single" w:sz="4" w:space="0" w:color="000000"/>
              <w:bottom w:val="single" w:sz="4" w:space="0" w:color="000000"/>
              <w:right w:val="single" w:sz="4" w:space="0" w:color="000000"/>
            </w:tcBorders>
            <w:shd w:val="clear" w:color="auto" w:fill="FF0000"/>
            <w:tcMar>
              <w:top w:w="0" w:type="dxa"/>
              <w:left w:w="108" w:type="dxa"/>
              <w:bottom w:w="0" w:type="dxa"/>
              <w:right w:w="108" w:type="dxa"/>
            </w:tcMar>
          </w:tcPr>
          <w:p w14:paraId="21FCFFEB" w14:textId="15AB850B" w:rsidR="00FD6E82" w:rsidRPr="000152CB" w:rsidRDefault="00E20658"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 xml:space="preserve">Program će biti izrađen nakon </w:t>
            </w:r>
            <w:r w:rsidR="002E5B32" w:rsidRPr="000152CB">
              <w:rPr>
                <w:rFonts w:eastAsia="Times New Roman" w:cs="Calibri"/>
                <w:sz w:val="20"/>
                <w:szCs w:val="20"/>
                <w:lang w:eastAsia="sr-Latn-ME"/>
              </w:rPr>
              <w:t xml:space="preserve"> usvajanja Zakona o zdravstvenoj zaštiti. </w:t>
            </w:r>
          </w:p>
        </w:tc>
        <w:tc>
          <w:tcPr>
            <w:tcW w:w="1962" w:type="dxa"/>
            <w:gridSpan w:val="5"/>
            <w:tcBorders>
              <w:top w:val="single" w:sz="4" w:space="0" w:color="000000"/>
              <w:left w:val="single" w:sz="4" w:space="0" w:color="000000"/>
              <w:bottom w:val="single" w:sz="4" w:space="0" w:color="000000"/>
              <w:right w:val="single" w:sz="4" w:space="0" w:color="000000"/>
            </w:tcBorders>
          </w:tcPr>
          <w:p w14:paraId="01F2B14B"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 xml:space="preserve"> IIIQ 2023-IIQ 2024</w:t>
            </w:r>
          </w:p>
        </w:tc>
        <w:tc>
          <w:tcPr>
            <w:tcW w:w="136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83255"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Tekući budžet</w:t>
            </w:r>
          </w:p>
        </w:tc>
        <w:tc>
          <w:tcPr>
            <w:tcW w:w="206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FFC78A"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Budžet</w:t>
            </w:r>
          </w:p>
        </w:tc>
        <w:tc>
          <w:tcPr>
            <w:tcW w:w="1809" w:type="dxa"/>
            <w:gridSpan w:val="8"/>
            <w:tcBorders>
              <w:top w:val="single" w:sz="4" w:space="0" w:color="000000"/>
              <w:left w:val="single" w:sz="4" w:space="0" w:color="000000"/>
              <w:bottom w:val="single" w:sz="4" w:space="0" w:color="000000"/>
              <w:right w:val="single" w:sz="4" w:space="0" w:color="000000"/>
            </w:tcBorders>
          </w:tcPr>
          <w:p w14:paraId="0C96CFC1" w14:textId="4916DCB2" w:rsidR="00FD6E82" w:rsidRPr="000152CB" w:rsidRDefault="00E20658"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Novi rok za realizaciju aktivnosti je III kvartal 2027. godine</w:t>
            </w:r>
          </w:p>
        </w:tc>
      </w:tr>
      <w:tr w:rsidR="00BB44DA" w:rsidRPr="000152CB" w14:paraId="5DFA3AB4" w14:textId="77777777" w:rsidTr="00E77388">
        <w:trPr>
          <w:trHeight w:val="272"/>
          <w:jc w:val="center"/>
        </w:trPr>
        <w:tc>
          <w:tcPr>
            <w:tcW w:w="2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F53E14" w14:textId="59C2A8D4" w:rsidR="00FD6E82" w:rsidRPr="000152CB" w:rsidRDefault="00FD6E82" w:rsidP="00FD6E82">
            <w:pPr>
              <w:spacing w:line="240" w:lineRule="auto"/>
              <w:textAlignment w:val="baseline"/>
              <w:rPr>
                <w:rFonts w:eastAsia="Times New Roman" w:cs="Calibri"/>
                <w:color w:val="000000"/>
                <w:sz w:val="20"/>
                <w:szCs w:val="20"/>
                <w:lang w:eastAsia="sr-Latn-ME"/>
              </w:rPr>
            </w:pPr>
            <w:r w:rsidRPr="000152CB">
              <w:rPr>
                <w:rFonts w:eastAsia="Times New Roman" w:cs="Calibri"/>
                <w:color w:val="000000"/>
                <w:sz w:val="20"/>
                <w:szCs w:val="20"/>
                <w:lang w:eastAsia="sr-Latn-ME"/>
              </w:rPr>
              <w:t>1.5.2</w:t>
            </w:r>
            <w:r w:rsidR="00074AD6" w:rsidRPr="000152CB">
              <w:rPr>
                <w:rFonts w:eastAsia="Times New Roman" w:cs="Calibri"/>
                <w:color w:val="000000"/>
                <w:sz w:val="20"/>
                <w:szCs w:val="20"/>
                <w:lang w:eastAsia="sr-Latn-ME"/>
              </w:rPr>
              <w:t>2</w:t>
            </w:r>
            <w:r w:rsidRPr="000152CB">
              <w:rPr>
                <w:rFonts w:eastAsia="Times New Roman" w:cs="Calibri"/>
                <w:color w:val="000000"/>
                <w:sz w:val="20"/>
                <w:szCs w:val="20"/>
                <w:lang w:eastAsia="sr-Latn-ME"/>
              </w:rPr>
              <w:t>. Uspostavljanje jedinstvenog operativnog registra svih zdravstvenih ustanova u Crnoj Gori</w:t>
            </w:r>
          </w:p>
        </w:tc>
        <w:tc>
          <w:tcPr>
            <w:tcW w:w="19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5B69BE"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 xml:space="preserve">Bliže definisani uslovi o načinu vođenja registra </w:t>
            </w:r>
          </w:p>
        </w:tc>
        <w:tc>
          <w:tcPr>
            <w:tcW w:w="1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F48E1E"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MZ</w:t>
            </w:r>
          </w:p>
        </w:tc>
        <w:tc>
          <w:tcPr>
            <w:tcW w:w="2508" w:type="dxa"/>
            <w:gridSpan w:val="5"/>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3CFCE48C" w14:textId="08B0205D" w:rsidR="00FD6E82" w:rsidRPr="000152CB" w:rsidRDefault="00CA042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 xml:space="preserve">U toku je izrada softverskog rješenja i popunjavanje podataka o zdravstvenim ustanovama. </w:t>
            </w:r>
          </w:p>
        </w:tc>
        <w:tc>
          <w:tcPr>
            <w:tcW w:w="1962" w:type="dxa"/>
            <w:gridSpan w:val="5"/>
            <w:tcBorders>
              <w:top w:val="single" w:sz="4" w:space="0" w:color="000000"/>
              <w:left w:val="single" w:sz="4" w:space="0" w:color="000000"/>
              <w:bottom w:val="single" w:sz="4" w:space="0" w:color="000000"/>
              <w:right w:val="single" w:sz="4" w:space="0" w:color="000000"/>
            </w:tcBorders>
          </w:tcPr>
          <w:p w14:paraId="4CD8ABEB"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 xml:space="preserve">  IIIQ 2023-IVQ 2024</w:t>
            </w:r>
          </w:p>
        </w:tc>
        <w:tc>
          <w:tcPr>
            <w:tcW w:w="136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484724"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Tekući budžet</w:t>
            </w:r>
          </w:p>
        </w:tc>
        <w:tc>
          <w:tcPr>
            <w:tcW w:w="206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DDF1B8"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Budžet</w:t>
            </w:r>
          </w:p>
        </w:tc>
        <w:tc>
          <w:tcPr>
            <w:tcW w:w="1809" w:type="dxa"/>
            <w:gridSpan w:val="8"/>
            <w:tcBorders>
              <w:top w:val="single" w:sz="4" w:space="0" w:color="000000"/>
              <w:left w:val="single" w:sz="4" w:space="0" w:color="000000"/>
              <w:bottom w:val="single" w:sz="4" w:space="0" w:color="000000"/>
              <w:right w:val="single" w:sz="4" w:space="0" w:color="000000"/>
            </w:tcBorders>
          </w:tcPr>
          <w:p w14:paraId="178ED7D1" w14:textId="7DD5A88D" w:rsidR="00FD6E82" w:rsidRPr="000152CB" w:rsidRDefault="00591FDC"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Novi rok za realizaciju aktivnosti je I kvartal 2026. godine</w:t>
            </w:r>
          </w:p>
        </w:tc>
      </w:tr>
      <w:bookmarkEnd w:id="16"/>
      <w:tr w:rsidR="00FD6E82" w:rsidRPr="000152CB" w14:paraId="6FFDAC8D" w14:textId="77777777" w:rsidTr="00E77388">
        <w:trPr>
          <w:trHeight w:val="710"/>
          <w:jc w:val="center"/>
        </w:trPr>
        <w:tc>
          <w:tcPr>
            <w:tcW w:w="2404" w:type="dxa"/>
            <w:gridSpan w:val="2"/>
            <w:tcBorders>
              <w:top w:val="single" w:sz="4" w:space="0" w:color="000000"/>
              <w:left w:val="single" w:sz="4" w:space="0" w:color="000000"/>
              <w:bottom w:val="single" w:sz="4" w:space="0" w:color="000000"/>
              <w:right w:val="single" w:sz="4" w:space="0" w:color="000000"/>
            </w:tcBorders>
            <w:shd w:val="clear" w:color="auto" w:fill="8EAADB" w:themeFill="accent1" w:themeFillTint="99"/>
            <w:tcMar>
              <w:top w:w="0" w:type="dxa"/>
              <w:left w:w="108" w:type="dxa"/>
              <w:bottom w:w="0" w:type="dxa"/>
              <w:right w:w="108" w:type="dxa"/>
            </w:tcMar>
            <w:vAlign w:val="center"/>
            <w:hideMark/>
          </w:tcPr>
          <w:p w14:paraId="63AAEAB3" w14:textId="77777777" w:rsidR="00FD6E82" w:rsidRPr="000152CB" w:rsidRDefault="00FD6E82" w:rsidP="00FD6E82">
            <w:pPr>
              <w:spacing w:after="0" w:line="240" w:lineRule="auto"/>
              <w:ind w:left="270"/>
              <w:jc w:val="center"/>
              <w:rPr>
                <w:rFonts w:eastAsia="Times New Roman" w:cs="Calibri"/>
                <w:b/>
                <w:sz w:val="20"/>
                <w:szCs w:val="20"/>
                <w:lang w:eastAsia="sr-Latn-ME"/>
              </w:rPr>
            </w:pPr>
            <w:r w:rsidRPr="000152CB">
              <w:rPr>
                <w:rFonts w:eastAsia="Times New Roman" w:cs="Calibri"/>
                <w:b/>
                <w:color w:val="000000"/>
                <w:sz w:val="20"/>
                <w:szCs w:val="20"/>
                <w:lang w:eastAsia="sr-Latn-ME"/>
              </w:rPr>
              <w:t>STRATEŠKI CILJ 2</w:t>
            </w:r>
          </w:p>
        </w:tc>
        <w:tc>
          <w:tcPr>
            <w:tcW w:w="13161" w:type="dxa"/>
            <w:gridSpan w:val="27"/>
            <w:tcBorders>
              <w:top w:val="single" w:sz="4" w:space="0" w:color="000000"/>
              <w:left w:val="single" w:sz="4" w:space="0" w:color="000000"/>
              <w:bottom w:val="single" w:sz="4" w:space="0" w:color="000000"/>
              <w:right w:val="single" w:sz="4" w:space="0" w:color="000000"/>
            </w:tcBorders>
            <w:shd w:val="clear" w:color="auto" w:fill="8EAADB" w:themeFill="accent1" w:themeFillTint="99"/>
            <w:tcMar>
              <w:top w:w="0" w:type="dxa"/>
              <w:left w:w="108" w:type="dxa"/>
              <w:bottom w:w="0" w:type="dxa"/>
              <w:right w:w="108" w:type="dxa"/>
            </w:tcMar>
            <w:vAlign w:val="center"/>
            <w:hideMark/>
          </w:tcPr>
          <w:p w14:paraId="2EFAB0AA" w14:textId="77777777" w:rsidR="00FD6E82" w:rsidRPr="000152CB" w:rsidRDefault="00FD6E82" w:rsidP="00FD6E82">
            <w:pPr>
              <w:spacing w:after="60" w:line="240" w:lineRule="auto"/>
              <w:jc w:val="center"/>
              <w:rPr>
                <w:rFonts w:eastAsia="Times New Roman" w:cs="Calibri"/>
                <w:b/>
                <w:sz w:val="20"/>
                <w:szCs w:val="20"/>
                <w:lang w:eastAsia="sr-Latn-ME"/>
              </w:rPr>
            </w:pPr>
            <w:r w:rsidRPr="000152CB">
              <w:rPr>
                <w:rFonts w:eastAsia="Times New Roman" w:cs="Calibri"/>
                <w:b/>
                <w:sz w:val="20"/>
                <w:szCs w:val="20"/>
                <w:lang w:eastAsia="sr-Latn-ME"/>
              </w:rPr>
              <w:t>EFIKASNA PROMOCIJA ZDRAVLJA I PREVENCIJA BOLESTI KROZ KONTROLU FAKTORA RIZIKA, UNAPREĐENJE MULTISEKTORSKE SARADNJE I ANGAŽMAN CIJELOG DRUŠTVA</w:t>
            </w:r>
          </w:p>
          <w:p w14:paraId="62584937" w14:textId="77777777" w:rsidR="00FD6E82" w:rsidRPr="000152CB" w:rsidRDefault="00FD6E82" w:rsidP="00FD6E82">
            <w:pPr>
              <w:spacing w:after="60" w:line="240" w:lineRule="auto"/>
              <w:jc w:val="center"/>
              <w:rPr>
                <w:rFonts w:eastAsia="Times New Roman" w:cs="Calibri"/>
                <w:b/>
                <w:sz w:val="20"/>
                <w:szCs w:val="20"/>
                <w:lang w:eastAsia="sr-Latn-ME"/>
              </w:rPr>
            </w:pPr>
          </w:p>
        </w:tc>
      </w:tr>
      <w:tr w:rsidR="00FD6E82" w:rsidRPr="000152CB" w14:paraId="7655265B" w14:textId="77777777" w:rsidTr="00E77388">
        <w:trPr>
          <w:trHeight w:val="585"/>
          <w:jc w:val="center"/>
        </w:trPr>
        <w:tc>
          <w:tcPr>
            <w:tcW w:w="2404" w:type="dxa"/>
            <w:gridSpan w:val="2"/>
            <w:tcBorders>
              <w:top w:val="single" w:sz="4" w:space="0" w:color="000000"/>
              <w:left w:val="single" w:sz="4" w:space="0" w:color="000000"/>
              <w:bottom w:val="single" w:sz="4" w:space="0" w:color="000000"/>
              <w:right w:val="single" w:sz="4" w:space="0" w:color="000000"/>
            </w:tcBorders>
            <w:shd w:val="clear" w:color="auto" w:fill="8EAADB" w:themeFill="accent1" w:themeFillTint="99"/>
            <w:tcMar>
              <w:top w:w="0" w:type="dxa"/>
              <w:left w:w="108" w:type="dxa"/>
              <w:bottom w:w="0" w:type="dxa"/>
              <w:right w:w="108" w:type="dxa"/>
            </w:tcMar>
            <w:vAlign w:val="center"/>
            <w:hideMark/>
          </w:tcPr>
          <w:p w14:paraId="71D19ACD" w14:textId="77777777" w:rsidR="00FD6E82" w:rsidRPr="000152CB" w:rsidRDefault="00FD6E82" w:rsidP="00FD6E82">
            <w:pPr>
              <w:spacing w:after="0" w:line="240" w:lineRule="auto"/>
              <w:ind w:left="270"/>
              <w:jc w:val="center"/>
              <w:rPr>
                <w:rFonts w:eastAsia="Times New Roman" w:cs="Calibri"/>
                <w:b/>
                <w:sz w:val="20"/>
                <w:szCs w:val="20"/>
                <w:lang w:eastAsia="sr-Latn-ME"/>
              </w:rPr>
            </w:pPr>
            <w:r w:rsidRPr="000152CB">
              <w:rPr>
                <w:rFonts w:eastAsia="Times New Roman" w:cs="Calibri"/>
                <w:b/>
                <w:color w:val="000000"/>
                <w:sz w:val="20"/>
                <w:szCs w:val="20"/>
                <w:lang w:eastAsia="sr-Latn-ME"/>
              </w:rPr>
              <w:t>OPERATIVNI CILJ 2.1.</w:t>
            </w:r>
          </w:p>
        </w:tc>
        <w:tc>
          <w:tcPr>
            <w:tcW w:w="13161" w:type="dxa"/>
            <w:gridSpan w:val="27"/>
            <w:tcBorders>
              <w:top w:val="single" w:sz="4" w:space="0" w:color="000000"/>
              <w:left w:val="single" w:sz="4" w:space="0" w:color="000000"/>
              <w:bottom w:val="single" w:sz="4" w:space="0" w:color="000000"/>
              <w:right w:val="single" w:sz="4" w:space="0" w:color="000000"/>
            </w:tcBorders>
            <w:shd w:val="clear" w:color="auto" w:fill="8EAADB" w:themeFill="accent1" w:themeFillTint="99"/>
            <w:tcMar>
              <w:top w:w="0" w:type="dxa"/>
              <w:left w:w="108" w:type="dxa"/>
              <w:bottom w:w="0" w:type="dxa"/>
              <w:right w:w="108" w:type="dxa"/>
            </w:tcMar>
            <w:vAlign w:val="center"/>
            <w:hideMark/>
          </w:tcPr>
          <w:p w14:paraId="112C94CD" w14:textId="77777777" w:rsidR="00FD6E82" w:rsidRPr="000152CB" w:rsidRDefault="00FD6E82" w:rsidP="00FD6E82">
            <w:pPr>
              <w:spacing w:after="0" w:line="240" w:lineRule="auto"/>
              <w:ind w:left="270"/>
              <w:jc w:val="center"/>
              <w:rPr>
                <w:rFonts w:eastAsia="Times New Roman" w:cs="Calibri"/>
                <w:b/>
                <w:sz w:val="20"/>
                <w:szCs w:val="20"/>
                <w:lang w:eastAsia="sr-Latn-ME"/>
              </w:rPr>
            </w:pPr>
            <w:r w:rsidRPr="000152CB">
              <w:rPr>
                <w:rFonts w:eastAsia="Times New Roman" w:cs="Calibri"/>
                <w:b/>
                <w:sz w:val="20"/>
                <w:szCs w:val="20"/>
                <w:lang w:eastAsia="sr-Latn-ME"/>
              </w:rPr>
              <w:t xml:space="preserve">OJAČATI JAVNOZDRAVSTVENE KAPACITETE SA KOMPETENCIJAMA POTREBNIM ZA RAZVIJANJE, IMPLEMENTACIJU I MONITORING JAVNOZDRAVSTVENIH POLITIKA </w:t>
            </w:r>
          </w:p>
        </w:tc>
      </w:tr>
      <w:tr w:rsidR="00FD6E82" w:rsidRPr="000152CB" w14:paraId="46753A20" w14:textId="77777777" w:rsidTr="00E77388">
        <w:trPr>
          <w:trHeight w:val="610"/>
          <w:jc w:val="center"/>
        </w:trPr>
        <w:tc>
          <w:tcPr>
            <w:tcW w:w="2404" w:type="dxa"/>
            <w:gridSpan w:val="2"/>
            <w:tcBorders>
              <w:top w:val="single" w:sz="4" w:space="0" w:color="000000"/>
              <w:left w:val="single" w:sz="4" w:space="0" w:color="000000"/>
              <w:bottom w:val="single" w:sz="4" w:space="0" w:color="000000"/>
              <w:right w:val="single" w:sz="4" w:space="0" w:color="000000"/>
            </w:tcBorders>
            <w:shd w:val="clear" w:color="auto" w:fill="B4C6E7" w:themeFill="accent1" w:themeFillTint="66"/>
            <w:tcMar>
              <w:top w:w="0" w:type="dxa"/>
              <w:left w:w="108" w:type="dxa"/>
              <w:bottom w:w="0" w:type="dxa"/>
              <w:right w:w="108" w:type="dxa"/>
            </w:tcMar>
            <w:hideMark/>
          </w:tcPr>
          <w:p w14:paraId="3BAD5F81" w14:textId="77777777" w:rsidR="00FD6E82" w:rsidRPr="000152CB" w:rsidRDefault="00FD6E82" w:rsidP="00FD6E82">
            <w:pPr>
              <w:spacing w:after="0" w:line="240" w:lineRule="auto"/>
              <w:ind w:left="270"/>
              <w:jc w:val="center"/>
              <w:rPr>
                <w:rFonts w:eastAsia="Times New Roman" w:cs="Calibri"/>
                <w:b/>
                <w:color w:val="000000"/>
                <w:sz w:val="20"/>
                <w:szCs w:val="20"/>
                <w:lang w:eastAsia="sr-Latn-ME"/>
              </w:rPr>
            </w:pPr>
            <w:r w:rsidRPr="000152CB">
              <w:rPr>
                <w:rFonts w:eastAsia="Times New Roman" w:cs="Calibri"/>
                <w:b/>
                <w:color w:val="000000"/>
                <w:sz w:val="20"/>
                <w:szCs w:val="20"/>
                <w:lang w:eastAsia="sr-Latn-ME"/>
              </w:rPr>
              <w:t>INDIKATOR UČINKA 1:</w:t>
            </w:r>
          </w:p>
          <w:p w14:paraId="0535A7D1" w14:textId="77777777" w:rsidR="00FD6E82" w:rsidRPr="000152CB" w:rsidRDefault="00FD6E82" w:rsidP="00FD6E82">
            <w:pPr>
              <w:spacing w:after="0" w:line="240" w:lineRule="auto"/>
              <w:ind w:left="270"/>
              <w:contextualSpacing/>
              <w:jc w:val="center"/>
              <w:rPr>
                <w:rFonts w:eastAsia="Times New Roman" w:cs="Calibri"/>
                <w:b/>
                <w:sz w:val="20"/>
                <w:szCs w:val="20"/>
                <w:lang w:eastAsia="sr-Latn-ME"/>
              </w:rPr>
            </w:pPr>
            <w:r w:rsidRPr="000152CB">
              <w:rPr>
                <w:rFonts w:eastAsia="Times New Roman" w:cs="Calibri"/>
                <w:b/>
                <w:sz w:val="20"/>
                <w:szCs w:val="20"/>
                <w:lang w:eastAsia="sr-Latn-ME"/>
              </w:rPr>
              <w:t>Procenat polaznika naprednog trening programa iz oblasti terenske epidemiologije koji je uspješno završio dvogodišnju obuku</w:t>
            </w:r>
          </w:p>
          <w:p w14:paraId="7673A921" w14:textId="77777777" w:rsidR="00FD6E82" w:rsidRPr="000152CB" w:rsidRDefault="00FD6E82" w:rsidP="00FD6E82">
            <w:pPr>
              <w:spacing w:after="0" w:line="240" w:lineRule="auto"/>
              <w:ind w:left="270"/>
              <w:jc w:val="center"/>
              <w:rPr>
                <w:rFonts w:eastAsia="Times New Roman" w:cs="Calibri"/>
                <w:b/>
                <w:sz w:val="20"/>
                <w:szCs w:val="20"/>
                <w:lang w:eastAsia="sr-Latn-ME"/>
              </w:rPr>
            </w:pPr>
          </w:p>
        </w:tc>
        <w:tc>
          <w:tcPr>
            <w:tcW w:w="4970" w:type="dxa"/>
            <w:gridSpan w:val="4"/>
            <w:tcBorders>
              <w:top w:val="single" w:sz="4" w:space="0" w:color="000000"/>
              <w:left w:val="single" w:sz="4" w:space="0" w:color="000000"/>
              <w:bottom w:val="single" w:sz="4" w:space="0" w:color="000000"/>
              <w:right w:val="single" w:sz="4" w:space="0" w:color="000000"/>
            </w:tcBorders>
            <w:shd w:val="clear" w:color="auto" w:fill="B4C6E7" w:themeFill="accent1" w:themeFillTint="66"/>
            <w:tcMar>
              <w:top w:w="0" w:type="dxa"/>
              <w:left w:w="108" w:type="dxa"/>
              <w:bottom w:w="0" w:type="dxa"/>
              <w:right w:w="108" w:type="dxa"/>
            </w:tcMar>
            <w:hideMark/>
          </w:tcPr>
          <w:p w14:paraId="4E2C5DA2" w14:textId="77777777" w:rsidR="00FD6E82" w:rsidRPr="000152CB" w:rsidRDefault="00FD6E82" w:rsidP="00FD6E82">
            <w:pPr>
              <w:spacing w:after="0" w:line="240" w:lineRule="auto"/>
              <w:ind w:left="270"/>
              <w:contextualSpacing/>
              <w:jc w:val="center"/>
              <w:rPr>
                <w:rFonts w:eastAsia="Times New Roman" w:cs="Calibri"/>
                <w:b/>
                <w:color w:val="000000"/>
                <w:sz w:val="20"/>
                <w:szCs w:val="20"/>
                <w:lang w:eastAsia="sr-Latn-ME"/>
              </w:rPr>
            </w:pPr>
            <w:r w:rsidRPr="000152CB">
              <w:rPr>
                <w:rFonts w:eastAsia="Times New Roman" w:cs="Calibri"/>
                <w:b/>
                <w:color w:val="000000"/>
                <w:sz w:val="20"/>
                <w:szCs w:val="20"/>
                <w:lang w:eastAsia="sr-Latn-ME"/>
              </w:rPr>
              <w:t>Početna vrijednost:</w:t>
            </w:r>
          </w:p>
          <w:p w14:paraId="1710F96E" w14:textId="77777777" w:rsidR="00FD6E82" w:rsidRPr="000152CB" w:rsidRDefault="00FD6E82" w:rsidP="00FD6E82">
            <w:pPr>
              <w:spacing w:after="0" w:line="240" w:lineRule="auto"/>
              <w:ind w:left="270"/>
              <w:contextualSpacing/>
              <w:jc w:val="center"/>
              <w:rPr>
                <w:rFonts w:eastAsia="Times New Roman" w:cs="Calibri"/>
                <w:b/>
                <w:color w:val="000000"/>
                <w:sz w:val="20"/>
                <w:szCs w:val="20"/>
                <w:lang w:eastAsia="sr-Latn-ME"/>
              </w:rPr>
            </w:pPr>
          </w:p>
          <w:p w14:paraId="013DA1D1" w14:textId="77777777" w:rsidR="00FD6E82" w:rsidRPr="000152CB" w:rsidRDefault="00FD6E82" w:rsidP="00FD6E82">
            <w:pPr>
              <w:spacing w:after="0" w:line="240" w:lineRule="auto"/>
              <w:ind w:left="270"/>
              <w:contextualSpacing/>
              <w:jc w:val="center"/>
              <w:rPr>
                <w:rFonts w:eastAsia="Times New Roman" w:cs="Calibri"/>
                <w:bCs/>
                <w:color w:val="000000"/>
                <w:sz w:val="20"/>
                <w:szCs w:val="20"/>
                <w:lang w:eastAsia="sr-Latn-ME"/>
              </w:rPr>
            </w:pPr>
            <w:r w:rsidRPr="000152CB">
              <w:rPr>
                <w:rFonts w:eastAsia="Times New Roman" w:cs="Calibri"/>
                <w:bCs/>
                <w:color w:val="000000"/>
                <w:sz w:val="20"/>
                <w:szCs w:val="20"/>
                <w:lang w:eastAsia="sr-Latn-ME"/>
              </w:rPr>
              <w:t>0%</w:t>
            </w:r>
          </w:p>
          <w:p w14:paraId="347592E3" w14:textId="77777777" w:rsidR="00FD6E82" w:rsidRPr="000152CB" w:rsidRDefault="00FD6E82" w:rsidP="00FD6E82">
            <w:pPr>
              <w:spacing w:after="0" w:line="240" w:lineRule="auto"/>
              <w:ind w:left="270"/>
              <w:contextualSpacing/>
              <w:jc w:val="center"/>
              <w:rPr>
                <w:rFonts w:eastAsia="Times New Roman" w:cs="Calibri"/>
                <w:b/>
                <w:sz w:val="20"/>
                <w:szCs w:val="20"/>
                <w:lang w:eastAsia="sr-Latn-ME"/>
              </w:rPr>
            </w:pPr>
          </w:p>
        </w:tc>
        <w:tc>
          <w:tcPr>
            <w:tcW w:w="3123" w:type="dxa"/>
            <w:gridSpan w:val="9"/>
            <w:tcBorders>
              <w:top w:val="single" w:sz="4" w:space="0" w:color="000000"/>
              <w:left w:val="single" w:sz="4" w:space="0" w:color="000000"/>
              <w:bottom w:val="single" w:sz="4" w:space="0" w:color="000000"/>
              <w:right w:val="single" w:sz="4" w:space="0" w:color="auto"/>
            </w:tcBorders>
            <w:shd w:val="clear" w:color="auto" w:fill="B4C6E7" w:themeFill="accent1" w:themeFillTint="66"/>
          </w:tcPr>
          <w:p w14:paraId="1D90DEA4" w14:textId="77777777" w:rsidR="00FD6E82" w:rsidRPr="000152CB" w:rsidRDefault="00FD6E82" w:rsidP="00FD6E82">
            <w:pPr>
              <w:spacing w:after="0" w:line="240" w:lineRule="auto"/>
              <w:ind w:left="270"/>
              <w:jc w:val="center"/>
              <w:rPr>
                <w:rFonts w:eastAsia="Times New Roman" w:cs="Calibri"/>
                <w:b/>
                <w:color w:val="000000"/>
                <w:sz w:val="20"/>
                <w:szCs w:val="20"/>
                <w:lang w:eastAsia="sr-Latn-ME"/>
              </w:rPr>
            </w:pPr>
            <w:r w:rsidRPr="000152CB">
              <w:rPr>
                <w:rFonts w:eastAsia="Times New Roman" w:cs="Calibri"/>
                <w:b/>
                <w:color w:val="000000"/>
                <w:sz w:val="20"/>
                <w:szCs w:val="20"/>
                <w:lang w:eastAsia="sr-Latn-ME"/>
              </w:rPr>
              <w:t>Prelazna vrijednost:</w:t>
            </w:r>
          </w:p>
          <w:p w14:paraId="59BA0631" w14:textId="77777777" w:rsidR="00FD6E82" w:rsidRPr="000152CB" w:rsidRDefault="00FD6E82" w:rsidP="00FD6E82">
            <w:pPr>
              <w:spacing w:after="0" w:line="240" w:lineRule="auto"/>
              <w:ind w:left="270"/>
              <w:jc w:val="center"/>
              <w:rPr>
                <w:rFonts w:eastAsia="Times New Roman" w:cs="Calibri"/>
                <w:b/>
                <w:sz w:val="20"/>
                <w:szCs w:val="20"/>
                <w:lang w:eastAsia="sr-Latn-ME"/>
              </w:rPr>
            </w:pPr>
          </w:p>
          <w:p w14:paraId="508C685E" w14:textId="77777777" w:rsidR="00FD6E82" w:rsidRPr="000152CB" w:rsidRDefault="00FD6E82" w:rsidP="00FD6E82">
            <w:pPr>
              <w:spacing w:after="0" w:line="240" w:lineRule="auto"/>
              <w:ind w:left="270"/>
              <w:jc w:val="center"/>
              <w:rPr>
                <w:rFonts w:eastAsia="Times New Roman" w:cs="Calibri"/>
                <w:bCs/>
                <w:sz w:val="20"/>
                <w:szCs w:val="20"/>
                <w:lang w:eastAsia="sr-Latn-ME"/>
              </w:rPr>
            </w:pPr>
            <w:r w:rsidRPr="000152CB">
              <w:rPr>
                <w:rFonts w:eastAsia="Times New Roman" w:cs="Calibri"/>
                <w:bCs/>
                <w:sz w:val="20"/>
                <w:szCs w:val="20"/>
                <w:lang w:eastAsia="sr-Latn-ME"/>
              </w:rPr>
              <w:t xml:space="preserve">Minimu 45% polaznika je uspješno završilo dvogodišnju obuku </w:t>
            </w:r>
          </w:p>
        </w:tc>
        <w:tc>
          <w:tcPr>
            <w:tcW w:w="5068" w:type="dxa"/>
            <w:gridSpan w:val="14"/>
            <w:tcBorders>
              <w:top w:val="single" w:sz="4" w:space="0" w:color="000000"/>
              <w:left w:val="single" w:sz="4" w:space="0" w:color="auto"/>
              <w:bottom w:val="single" w:sz="4" w:space="0" w:color="000000"/>
              <w:right w:val="single" w:sz="4" w:space="0" w:color="000000"/>
            </w:tcBorders>
            <w:shd w:val="clear" w:color="auto" w:fill="B4C6E7" w:themeFill="accent1" w:themeFillTint="66"/>
          </w:tcPr>
          <w:p w14:paraId="358CC926" w14:textId="77777777" w:rsidR="00FD6E82" w:rsidRPr="000152CB" w:rsidRDefault="00FD6E82" w:rsidP="00FD6E82">
            <w:pPr>
              <w:spacing w:after="0" w:line="240" w:lineRule="auto"/>
              <w:jc w:val="center"/>
              <w:rPr>
                <w:rFonts w:eastAsia="Times New Roman" w:cs="Calibri"/>
                <w:b/>
                <w:color w:val="000000"/>
                <w:sz w:val="20"/>
                <w:szCs w:val="20"/>
                <w:lang w:eastAsia="sr-Latn-ME"/>
              </w:rPr>
            </w:pPr>
            <w:r w:rsidRPr="000152CB">
              <w:rPr>
                <w:rFonts w:eastAsia="Times New Roman" w:cs="Calibri"/>
                <w:b/>
                <w:color w:val="000000"/>
                <w:sz w:val="20"/>
                <w:szCs w:val="20"/>
                <w:lang w:eastAsia="sr-Latn-ME"/>
              </w:rPr>
              <w:t>Ciljna vrijednost:</w:t>
            </w:r>
          </w:p>
          <w:p w14:paraId="750D78F7" w14:textId="77777777" w:rsidR="00FD6E82" w:rsidRPr="000152CB" w:rsidRDefault="00FD6E82" w:rsidP="00FD6E82">
            <w:pPr>
              <w:spacing w:after="0" w:line="240" w:lineRule="auto"/>
              <w:ind w:left="270"/>
              <w:jc w:val="center"/>
              <w:rPr>
                <w:rFonts w:eastAsia="Times New Roman" w:cs="Calibri"/>
                <w:b/>
                <w:sz w:val="20"/>
                <w:szCs w:val="20"/>
                <w:lang w:eastAsia="sr-Latn-ME"/>
              </w:rPr>
            </w:pPr>
          </w:p>
          <w:p w14:paraId="20E6847C" w14:textId="77777777" w:rsidR="00FD6E82" w:rsidRPr="000152CB" w:rsidRDefault="00FD6E82" w:rsidP="00FD6E82">
            <w:pPr>
              <w:spacing w:after="0" w:line="240" w:lineRule="auto"/>
              <w:ind w:left="270"/>
              <w:jc w:val="center"/>
              <w:rPr>
                <w:rFonts w:eastAsia="Times New Roman" w:cs="Calibri"/>
                <w:bCs/>
                <w:sz w:val="20"/>
                <w:szCs w:val="20"/>
                <w:lang w:eastAsia="sr-Latn-ME"/>
              </w:rPr>
            </w:pPr>
            <w:r w:rsidRPr="000152CB">
              <w:rPr>
                <w:rFonts w:eastAsia="Times New Roman" w:cs="Calibri"/>
                <w:bCs/>
                <w:sz w:val="20"/>
                <w:szCs w:val="20"/>
                <w:lang w:eastAsia="sr-Latn-ME"/>
              </w:rPr>
              <w:t>Minimum 70% polaznika je uspješno završilo dvogodišnju obuku</w:t>
            </w:r>
          </w:p>
        </w:tc>
      </w:tr>
      <w:tr w:rsidR="00BB44DA" w:rsidRPr="000152CB" w14:paraId="0A14E2E5" w14:textId="77777777" w:rsidTr="00E77388">
        <w:trPr>
          <w:trHeight w:val="377"/>
          <w:jc w:val="center"/>
        </w:trPr>
        <w:tc>
          <w:tcPr>
            <w:tcW w:w="2404" w:type="dxa"/>
            <w:gridSpan w:val="2"/>
            <w:vMerge w:val="restart"/>
            <w:tcBorders>
              <w:top w:val="single" w:sz="4" w:space="0" w:color="000000"/>
              <w:left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hideMark/>
          </w:tcPr>
          <w:p w14:paraId="1A43B67E" w14:textId="77777777" w:rsidR="00FD6E82" w:rsidRPr="000152CB" w:rsidRDefault="00FD6E82" w:rsidP="00FD6E82">
            <w:pPr>
              <w:spacing w:after="0" w:line="240" w:lineRule="auto"/>
              <w:ind w:left="270"/>
              <w:jc w:val="center"/>
              <w:rPr>
                <w:rFonts w:eastAsia="Times New Roman" w:cs="Calibri"/>
                <w:b/>
                <w:sz w:val="20"/>
                <w:szCs w:val="20"/>
                <w:lang w:eastAsia="sr-Latn-ME"/>
              </w:rPr>
            </w:pPr>
            <w:r w:rsidRPr="000152CB">
              <w:rPr>
                <w:rFonts w:eastAsia="Times New Roman" w:cs="Calibri"/>
                <w:b/>
                <w:color w:val="000000"/>
                <w:sz w:val="20"/>
                <w:szCs w:val="20"/>
                <w:lang w:eastAsia="sr-Latn-ME"/>
              </w:rPr>
              <w:t xml:space="preserve">Aktivnost koja utiče na realizaciju Operativnog cilja </w:t>
            </w:r>
          </w:p>
        </w:tc>
        <w:tc>
          <w:tcPr>
            <w:tcW w:w="3453" w:type="dxa"/>
            <w:gridSpan w:val="2"/>
            <w:vMerge w:val="restart"/>
            <w:tcBorders>
              <w:top w:val="single" w:sz="4" w:space="0" w:color="000000"/>
              <w:left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hideMark/>
          </w:tcPr>
          <w:p w14:paraId="32BCC396" w14:textId="77777777" w:rsidR="00FD6E82" w:rsidRPr="000152CB" w:rsidRDefault="00FD6E82" w:rsidP="00FD6E82">
            <w:pPr>
              <w:spacing w:after="0" w:line="240" w:lineRule="auto"/>
              <w:ind w:left="270"/>
              <w:jc w:val="center"/>
              <w:rPr>
                <w:rFonts w:eastAsia="Times New Roman" w:cs="Calibri"/>
                <w:b/>
                <w:sz w:val="20"/>
                <w:szCs w:val="20"/>
                <w:lang w:eastAsia="sr-Latn-ME"/>
              </w:rPr>
            </w:pPr>
            <w:r w:rsidRPr="000152CB">
              <w:rPr>
                <w:rFonts w:eastAsia="Times New Roman" w:cs="Calibri"/>
                <w:b/>
                <w:color w:val="000000"/>
                <w:sz w:val="20"/>
                <w:szCs w:val="20"/>
                <w:lang w:eastAsia="sr-Latn-ME"/>
              </w:rPr>
              <w:t>Indikator rezultata</w:t>
            </w:r>
          </w:p>
        </w:tc>
        <w:tc>
          <w:tcPr>
            <w:tcW w:w="1583" w:type="dxa"/>
            <w:gridSpan w:val="3"/>
            <w:vMerge w:val="restart"/>
            <w:tcBorders>
              <w:top w:val="single" w:sz="4" w:space="0" w:color="000000"/>
              <w:left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hideMark/>
          </w:tcPr>
          <w:p w14:paraId="0EA813BB" w14:textId="77777777" w:rsidR="00FD6E82" w:rsidRPr="000152CB" w:rsidRDefault="00FD6E82" w:rsidP="00BB44DA">
            <w:pPr>
              <w:spacing w:after="0" w:line="240" w:lineRule="auto"/>
              <w:rPr>
                <w:rFonts w:eastAsia="Times New Roman" w:cs="Calibri"/>
                <w:b/>
                <w:sz w:val="20"/>
                <w:szCs w:val="20"/>
                <w:lang w:eastAsia="sr-Latn-ME"/>
              </w:rPr>
            </w:pPr>
            <w:r w:rsidRPr="000152CB">
              <w:rPr>
                <w:rFonts w:eastAsia="Times New Roman" w:cs="Calibri"/>
                <w:b/>
                <w:color w:val="000000"/>
                <w:sz w:val="20"/>
                <w:szCs w:val="20"/>
                <w:lang w:eastAsia="sr-Latn-ME"/>
              </w:rPr>
              <w:t>Nadležna institucija</w:t>
            </w:r>
          </w:p>
        </w:tc>
        <w:tc>
          <w:tcPr>
            <w:tcW w:w="2768" w:type="dxa"/>
            <w:gridSpan w:val="6"/>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hideMark/>
          </w:tcPr>
          <w:p w14:paraId="6109B649" w14:textId="77777777" w:rsidR="00FD6E82" w:rsidRPr="000152CB" w:rsidRDefault="00FD6E82" w:rsidP="00CA0422">
            <w:pPr>
              <w:spacing w:after="0" w:line="240" w:lineRule="auto"/>
              <w:rPr>
                <w:rFonts w:eastAsia="Times New Roman" w:cs="Calibri"/>
                <w:b/>
                <w:sz w:val="20"/>
                <w:szCs w:val="20"/>
                <w:lang w:eastAsia="sr-Latn-ME"/>
              </w:rPr>
            </w:pPr>
            <w:r w:rsidRPr="000152CB">
              <w:rPr>
                <w:rFonts w:eastAsia="Times New Roman" w:cs="Calibri"/>
                <w:b/>
                <w:sz w:val="20"/>
                <w:szCs w:val="20"/>
                <w:lang w:eastAsia="sr-Latn-ME"/>
              </w:rPr>
              <w:t>STATUS REALIZACIJE AKTIVNOSTI</w:t>
            </w:r>
          </w:p>
        </w:tc>
        <w:tc>
          <w:tcPr>
            <w:tcW w:w="1097" w:type="dxa"/>
            <w:gridSpan w:val="3"/>
            <w:vMerge w:val="restart"/>
            <w:tcBorders>
              <w:top w:val="single" w:sz="4" w:space="0" w:color="000000"/>
              <w:left w:val="single" w:sz="4" w:space="0" w:color="000000"/>
              <w:right w:val="single" w:sz="4" w:space="0" w:color="000000"/>
            </w:tcBorders>
            <w:shd w:val="clear" w:color="auto" w:fill="D9E2F3" w:themeFill="accent1" w:themeFillTint="33"/>
            <w:vAlign w:val="center"/>
          </w:tcPr>
          <w:p w14:paraId="4CA3080E" w14:textId="77777777" w:rsidR="00FD6E82" w:rsidRPr="000152CB" w:rsidRDefault="00FD6E82" w:rsidP="00FD6E82">
            <w:pPr>
              <w:spacing w:after="0" w:line="240" w:lineRule="auto"/>
              <w:ind w:left="270"/>
              <w:jc w:val="center"/>
              <w:rPr>
                <w:rFonts w:eastAsia="Times New Roman" w:cs="Calibri"/>
                <w:b/>
                <w:sz w:val="20"/>
                <w:szCs w:val="20"/>
                <w:lang w:eastAsia="sr-Latn-ME"/>
              </w:rPr>
            </w:pPr>
            <w:r w:rsidRPr="000152CB">
              <w:rPr>
                <w:rFonts w:eastAsia="Times New Roman" w:cs="Calibri"/>
                <w:b/>
                <w:color w:val="000000"/>
                <w:sz w:val="20"/>
                <w:szCs w:val="20"/>
                <w:lang w:eastAsia="sr-Latn-ME"/>
              </w:rPr>
              <w:t>Planirani rok završetka</w:t>
            </w:r>
          </w:p>
        </w:tc>
        <w:tc>
          <w:tcPr>
            <w:tcW w:w="1287" w:type="dxa"/>
            <w:gridSpan w:val="4"/>
            <w:vMerge w:val="restart"/>
            <w:tcBorders>
              <w:top w:val="single" w:sz="4" w:space="0" w:color="000000"/>
              <w:left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hideMark/>
          </w:tcPr>
          <w:p w14:paraId="2578CC64" w14:textId="77777777" w:rsidR="00FD6E82" w:rsidRPr="000152CB" w:rsidRDefault="00FD6E82" w:rsidP="00FD6E82">
            <w:pPr>
              <w:spacing w:after="0" w:line="240" w:lineRule="auto"/>
              <w:ind w:left="270"/>
              <w:jc w:val="center"/>
              <w:rPr>
                <w:rFonts w:eastAsia="Times New Roman" w:cs="Calibri"/>
                <w:b/>
                <w:sz w:val="20"/>
                <w:szCs w:val="20"/>
                <w:lang w:eastAsia="sr-Latn-ME"/>
              </w:rPr>
            </w:pPr>
            <w:r w:rsidRPr="000152CB">
              <w:rPr>
                <w:rFonts w:eastAsia="Times New Roman" w:cs="Calibri"/>
                <w:b/>
                <w:color w:val="000000"/>
                <w:sz w:val="20"/>
                <w:szCs w:val="20"/>
                <w:lang w:eastAsia="sr-Latn-ME"/>
              </w:rPr>
              <w:t>Planirana i utrošena sredstva</w:t>
            </w:r>
          </w:p>
        </w:tc>
        <w:tc>
          <w:tcPr>
            <w:tcW w:w="1580" w:type="dxa"/>
            <w:gridSpan w:val="8"/>
            <w:vMerge w:val="restart"/>
            <w:tcBorders>
              <w:top w:val="single" w:sz="4" w:space="0" w:color="000000"/>
              <w:left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hideMark/>
          </w:tcPr>
          <w:p w14:paraId="2645E0DC" w14:textId="77777777" w:rsidR="00FD6E82" w:rsidRPr="000152CB" w:rsidRDefault="00FD6E82" w:rsidP="00FD6E82">
            <w:pPr>
              <w:spacing w:after="0" w:line="240" w:lineRule="auto"/>
              <w:ind w:left="270"/>
              <w:jc w:val="center"/>
              <w:rPr>
                <w:rFonts w:eastAsia="Times New Roman" w:cs="Calibri"/>
                <w:b/>
                <w:sz w:val="20"/>
                <w:szCs w:val="20"/>
                <w:lang w:eastAsia="sr-Latn-ME"/>
              </w:rPr>
            </w:pPr>
            <w:r w:rsidRPr="000152CB">
              <w:rPr>
                <w:rFonts w:eastAsia="Times New Roman" w:cs="Calibri"/>
                <w:b/>
                <w:color w:val="000000"/>
                <w:sz w:val="20"/>
                <w:szCs w:val="20"/>
                <w:lang w:eastAsia="sr-Latn-ME"/>
              </w:rPr>
              <w:t>Izvor finansiranja</w:t>
            </w:r>
          </w:p>
        </w:tc>
        <w:tc>
          <w:tcPr>
            <w:tcW w:w="1393" w:type="dxa"/>
            <w:vMerge w:val="restart"/>
            <w:tcBorders>
              <w:top w:val="single" w:sz="4" w:space="0" w:color="000000"/>
              <w:left w:val="single" w:sz="4" w:space="0" w:color="000000"/>
              <w:right w:val="single" w:sz="4" w:space="0" w:color="000000"/>
            </w:tcBorders>
            <w:shd w:val="clear" w:color="auto" w:fill="D9E2F3" w:themeFill="accent1" w:themeFillTint="33"/>
            <w:vAlign w:val="center"/>
          </w:tcPr>
          <w:p w14:paraId="61D02B2A" w14:textId="77777777" w:rsidR="00FD6E82" w:rsidRPr="000152CB" w:rsidRDefault="00FD6E82" w:rsidP="00FD6E82">
            <w:pPr>
              <w:spacing w:after="0" w:line="240" w:lineRule="auto"/>
              <w:rPr>
                <w:rFonts w:eastAsia="Times New Roman" w:cs="Calibri"/>
                <w:b/>
                <w:sz w:val="20"/>
                <w:szCs w:val="20"/>
                <w:lang w:eastAsia="sr-Latn-ME"/>
              </w:rPr>
            </w:pPr>
            <w:r w:rsidRPr="000152CB">
              <w:rPr>
                <w:rFonts w:eastAsia="Times New Roman" w:cs="Calibri"/>
                <w:b/>
                <w:sz w:val="20"/>
                <w:szCs w:val="20"/>
                <w:lang w:eastAsia="sr-Latn-ME"/>
              </w:rPr>
              <w:t>Preporuke</w:t>
            </w:r>
          </w:p>
        </w:tc>
      </w:tr>
      <w:tr w:rsidR="00BB44DA" w:rsidRPr="000152CB" w14:paraId="64F17048" w14:textId="77777777" w:rsidTr="00E77388">
        <w:trPr>
          <w:trHeight w:val="376"/>
          <w:jc w:val="center"/>
        </w:trPr>
        <w:tc>
          <w:tcPr>
            <w:tcW w:w="2404" w:type="dxa"/>
            <w:gridSpan w:val="2"/>
            <w:vMerge/>
            <w:tcBorders>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5E512F99" w14:textId="77777777" w:rsidR="00FD6E82" w:rsidRPr="000152CB" w:rsidRDefault="00FD6E82" w:rsidP="00FD6E82">
            <w:pPr>
              <w:spacing w:after="0" w:line="240" w:lineRule="auto"/>
              <w:ind w:left="270"/>
              <w:jc w:val="center"/>
              <w:rPr>
                <w:rFonts w:eastAsia="Times New Roman" w:cs="Calibri"/>
                <w:b/>
                <w:color w:val="000000"/>
                <w:sz w:val="20"/>
                <w:szCs w:val="20"/>
                <w:lang w:eastAsia="sr-Latn-ME"/>
              </w:rPr>
            </w:pPr>
          </w:p>
        </w:tc>
        <w:tc>
          <w:tcPr>
            <w:tcW w:w="3453" w:type="dxa"/>
            <w:gridSpan w:val="2"/>
            <w:vMerge/>
            <w:tcBorders>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6B9BFA90" w14:textId="77777777" w:rsidR="00FD6E82" w:rsidRPr="000152CB" w:rsidRDefault="00FD6E82" w:rsidP="00FD6E82">
            <w:pPr>
              <w:spacing w:after="0" w:line="240" w:lineRule="auto"/>
              <w:ind w:left="270"/>
              <w:jc w:val="center"/>
              <w:rPr>
                <w:rFonts w:eastAsia="Times New Roman" w:cs="Calibri"/>
                <w:b/>
                <w:color w:val="000000"/>
                <w:sz w:val="20"/>
                <w:szCs w:val="20"/>
                <w:lang w:eastAsia="sr-Latn-ME"/>
              </w:rPr>
            </w:pPr>
          </w:p>
        </w:tc>
        <w:tc>
          <w:tcPr>
            <w:tcW w:w="1583" w:type="dxa"/>
            <w:gridSpan w:val="3"/>
            <w:vMerge/>
            <w:tcBorders>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59E85B6D" w14:textId="77777777" w:rsidR="00FD6E82" w:rsidRPr="000152CB" w:rsidRDefault="00FD6E82" w:rsidP="00FD6E82">
            <w:pPr>
              <w:spacing w:after="0" w:line="240" w:lineRule="auto"/>
              <w:ind w:left="270"/>
              <w:jc w:val="center"/>
              <w:rPr>
                <w:rFonts w:eastAsia="Times New Roman" w:cs="Calibri"/>
                <w:b/>
                <w:color w:val="000000"/>
                <w:sz w:val="20"/>
                <w:szCs w:val="20"/>
                <w:lang w:eastAsia="sr-Latn-ME"/>
              </w:rPr>
            </w:pP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vAlign w:val="center"/>
          </w:tcPr>
          <w:p w14:paraId="42083AD7" w14:textId="77777777" w:rsidR="00FD6E82" w:rsidRPr="000152CB" w:rsidRDefault="00FD6E82" w:rsidP="00FD6E82">
            <w:pPr>
              <w:spacing w:after="0" w:line="240" w:lineRule="auto"/>
              <w:ind w:left="270"/>
              <w:jc w:val="center"/>
              <w:rPr>
                <w:rFonts w:eastAsia="Times New Roman" w:cs="Calibri"/>
                <w:b/>
                <w:sz w:val="20"/>
                <w:szCs w:val="20"/>
                <w:lang w:eastAsia="sr-Latn-ME"/>
              </w:rPr>
            </w:pPr>
          </w:p>
        </w:tc>
        <w:tc>
          <w:tcPr>
            <w:tcW w:w="96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50C62691" w14:textId="77777777" w:rsidR="00FD6E82" w:rsidRPr="000152CB" w:rsidRDefault="00FD6E82" w:rsidP="00FD6E82">
            <w:pPr>
              <w:spacing w:after="0" w:line="240" w:lineRule="auto"/>
              <w:ind w:left="270"/>
              <w:jc w:val="center"/>
              <w:rPr>
                <w:rFonts w:eastAsia="Times New Roman" w:cs="Calibri"/>
                <w:b/>
                <w:sz w:val="20"/>
                <w:szCs w:val="20"/>
                <w:lang w:eastAsia="sr-Latn-ME"/>
              </w:rPr>
            </w:pPr>
          </w:p>
        </w:tc>
        <w:tc>
          <w:tcPr>
            <w:tcW w:w="876" w:type="dxa"/>
            <w:gridSpan w:val="3"/>
            <w:tcBorders>
              <w:top w:val="single" w:sz="4" w:space="0" w:color="000000"/>
              <w:left w:val="single" w:sz="4" w:space="0" w:color="000000"/>
              <w:bottom w:val="single" w:sz="4" w:space="0" w:color="000000"/>
              <w:right w:val="single" w:sz="4" w:space="0" w:color="000000"/>
            </w:tcBorders>
            <w:shd w:val="clear" w:color="auto" w:fill="FF0000"/>
            <w:vAlign w:val="center"/>
          </w:tcPr>
          <w:p w14:paraId="5CC2680F" w14:textId="77777777" w:rsidR="00FD6E82" w:rsidRPr="000152CB" w:rsidRDefault="00FD6E82" w:rsidP="00FD6E82">
            <w:pPr>
              <w:spacing w:after="0" w:line="240" w:lineRule="auto"/>
              <w:ind w:left="270"/>
              <w:jc w:val="center"/>
              <w:rPr>
                <w:rFonts w:eastAsia="Times New Roman" w:cs="Calibri"/>
                <w:b/>
                <w:sz w:val="20"/>
                <w:szCs w:val="20"/>
                <w:lang w:eastAsia="sr-Latn-ME"/>
              </w:rPr>
            </w:pPr>
          </w:p>
        </w:tc>
        <w:tc>
          <w:tcPr>
            <w:tcW w:w="1097" w:type="dxa"/>
            <w:gridSpan w:val="3"/>
            <w:vMerge/>
            <w:tcBorders>
              <w:left w:val="single" w:sz="4" w:space="0" w:color="000000"/>
              <w:bottom w:val="single" w:sz="4" w:space="0" w:color="000000"/>
              <w:right w:val="single" w:sz="4" w:space="0" w:color="000000"/>
            </w:tcBorders>
            <w:shd w:val="clear" w:color="auto" w:fill="D9E2F3" w:themeFill="accent1" w:themeFillTint="33"/>
            <w:vAlign w:val="center"/>
          </w:tcPr>
          <w:p w14:paraId="291EEA0E" w14:textId="77777777" w:rsidR="00FD6E82" w:rsidRPr="000152CB" w:rsidRDefault="00FD6E82" w:rsidP="00FD6E82">
            <w:pPr>
              <w:spacing w:after="0" w:line="240" w:lineRule="auto"/>
              <w:ind w:left="270"/>
              <w:jc w:val="center"/>
              <w:rPr>
                <w:rFonts w:eastAsia="Times New Roman" w:cs="Calibri"/>
                <w:b/>
                <w:color w:val="000000"/>
                <w:sz w:val="20"/>
                <w:szCs w:val="20"/>
                <w:lang w:eastAsia="sr-Latn-ME"/>
              </w:rPr>
            </w:pPr>
          </w:p>
        </w:tc>
        <w:tc>
          <w:tcPr>
            <w:tcW w:w="1287" w:type="dxa"/>
            <w:gridSpan w:val="4"/>
            <w:vMerge/>
            <w:tcBorders>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2205F66D" w14:textId="77777777" w:rsidR="00FD6E82" w:rsidRPr="000152CB" w:rsidRDefault="00FD6E82" w:rsidP="00FD6E82">
            <w:pPr>
              <w:spacing w:after="0" w:line="240" w:lineRule="auto"/>
              <w:ind w:left="270"/>
              <w:jc w:val="center"/>
              <w:rPr>
                <w:rFonts w:eastAsia="Times New Roman" w:cs="Calibri"/>
                <w:b/>
                <w:color w:val="000000"/>
                <w:sz w:val="20"/>
                <w:szCs w:val="20"/>
                <w:lang w:eastAsia="sr-Latn-ME"/>
              </w:rPr>
            </w:pPr>
          </w:p>
        </w:tc>
        <w:tc>
          <w:tcPr>
            <w:tcW w:w="1580" w:type="dxa"/>
            <w:gridSpan w:val="8"/>
            <w:vMerge/>
            <w:tcBorders>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59CB772F" w14:textId="77777777" w:rsidR="00FD6E82" w:rsidRPr="000152CB" w:rsidRDefault="00FD6E82" w:rsidP="00FD6E82">
            <w:pPr>
              <w:spacing w:after="0" w:line="240" w:lineRule="auto"/>
              <w:ind w:left="270"/>
              <w:jc w:val="center"/>
              <w:rPr>
                <w:rFonts w:eastAsia="Times New Roman" w:cs="Calibri"/>
                <w:b/>
                <w:color w:val="000000"/>
                <w:sz w:val="20"/>
                <w:szCs w:val="20"/>
                <w:lang w:eastAsia="sr-Latn-ME"/>
              </w:rPr>
            </w:pPr>
          </w:p>
        </w:tc>
        <w:tc>
          <w:tcPr>
            <w:tcW w:w="1393" w:type="dxa"/>
            <w:vMerge/>
            <w:tcBorders>
              <w:left w:val="single" w:sz="4" w:space="0" w:color="000000"/>
              <w:bottom w:val="single" w:sz="4" w:space="0" w:color="000000"/>
              <w:right w:val="single" w:sz="4" w:space="0" w:color="000000"/>
            </w:tcBorders>
            <w:shd w:val="clear" w:color="auto" w:fill="D9E2F3" w:themeFill="accent1" w:themeFillTint="33"/>
            <w:vAlign w:val="center"/>
          </w:tcPr>
          <w:p w14:paraId="6DA819C4" w14:textId="77777777" w:rsidR="00FD6E82" w:rsidRPr="000152CB" w:rsidRDefault="00FD6E82" w:rsidP="00FD6E82">
            <w:pPr>
              <w:spacing w:after="0" w:line="240" w:lineRule="auto"/>
              <w:ind w:left="270"/>
              <w:jc w:val="center"/>
              <w:rPr>
                <w:rFonts w:eastAsia="Times New Roman" w:cs="Calibri"/>
                <w:b/>
                <w:color w:val="000000"/>
                <w:sz w:val="20"/>
                <w:szCs w:val="20"/>
                <w:lang w:eastAsia="sr-Latn-ME"/>
              </w:rPr>
            </w:pPr>
          </w:p>
        </w:tc>
      </w:tr>
      <w:tr w:rsidR="00BB44DA" w:rsidRPr="000152CB" w14:paraId="78F7F7B0" w14:textId="77777777" w:rsidTr="00E77388">
        <w:trPr>
          <w:trHeight w:val="585"/>
          <w:jc w:val="center"/>
        </w:trPr>
        <w:tc>
          <w:tcPr>
            <w:tcW w:w="24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D7292" w14:textId="77777777" w:rsidR="00FD6E82" w:rsidRPr="000152CB" w:rsidRDefault="00FD6E82" w:rsidP="00FD6E82">
            <w:pPr>
              <w:spacing w:after="0" w:line="240" w:lineRule="auto"/>
              <w:rPr>
                <w:rFonts w:eastAsia="Times New Roman" w:cs="Calibri"/>
                <w:color w:val="000000"/>
                <w:sz w:val="20"/>
                <w:szCs w:val="20"/>
                <w:lang w:eastAsia="sr-Latn-ME"/>
              </w:rPr>
            </w:pPr>
            <w:r w:rsidRPr="000152CB">
              <w:rPr>
                <w:rFonts w:cstheme="minorHAnsi"/>
                <w:bCs/>
                <w:noProof/>
                <w:color w:val="000000" w:themeColor="text1"/>
                <w:sz w:val="20"/>
                <w:szCs w:val="20"/>
              </w:rPr>
              <w:lastRenderedPageBreak/>
              <w:t>2.1.1. Izrada plana strateškog razvoja Instituta za javno zdravlje</w:t>
            </w:r>
          </w:p>
        </w:tc>
        <w:tc>
          <w:tcPr>
            <w:tcW w:w="34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D0FA8C" w14:textId="77777777" w:rsidR="00FD6E82" w:rsidRPr="000152CB" w:rsidRDefault="00FD6E82" w:rsidP="00FD6E82">
            <w:pPr>
              <w:spacing w:after="0" w:line="240" w:lineRule="auto"/>
              <w:rPr>
                <w:rFonts w:eastAsia="Times New Roman" w:cs="Calibri"/>
                <w:color w:val="000000"/>
                <w:sz w:val="20"/>
                <w:szCs w:val="20"/>
                <w:lang w:eastAsia="sr-Latn-ME"/>
              </w:rPr>
            </w:pPr>
            <w:r w:rsidRPr="000152CB">
              <w:rPr>
                <w:rFonts w:eastAsia="Times New Roman" w:cs="Calibri"/>
                <w:color w:val="000000"/>
                <w:sz w:val="20"/>
                <w:szCs w:val="20"/>
                <w:lang w:eastAsia="sr-Latn-ME"/>
              </w:rPr>
              <w:t>Izrađen plan/strategija razvoja</w:t>
            </w:r>
          </w:p>
        </w:tc>
        <w:tc>
          <w:tcPr>
            <w:tcW w:w="15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28867C" w14:textId="77777777" w:rsidR="00FD6E82" w:rsidRPr="000152CB" w:rsidRDefault="00FD6E82" w:rsidP="00FD6E82">
            <w:pPr>
              <w:spacing w:after="0" w:line="240" w:lineRule="auto"/>
              <w:rPr>
                <w:rFonts w:eastAsia="Times New Roman" w:cs="Calibri"/>
                <w:color w:val="000000"/>
                <w:sz w:val="20"/>
                <w:szCs w:val="20"/>
                <w:lang w:eastAsia="sr-Latn-ME"/>
              </w:rPr>
            </w:pPr>
            <w:r w:rsidRPr="000152CB">
              <w:rPr>
                <w:rFonts w:eastAsia="Times New Roman" w:cs="Calibri"/>
                <w:color w:val="000000"/>
                <w:sz w:val="20"/>
                <w:szCs w:val="20"/>
                <w:lang w:eastAsia="sr-Latn-ME"/>
              </w:rPr>
              <w:t>MZ, IJZ</w:t>
            </w:r>
          </w:p>
        </w:tc>
        <w:tc>
          <w:tcPr>
            <w:tcW w:w="2768" w:type="dxa"/>
            <w:gridSpan w:val="6"/>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43BBEA4F" w14:textId="2AC5306E" w:rsidR="00FD6E82" w:rsidRPr="000152CB" w:rsidRDefault="00BB44DA" w:rsidP="00FD6E82">
            <w:pPr>
              <w:spacing w:after="0" w:line="240" w:lineRule="auto"/>
              <w:rPr>
                <w:rFonts w:eastAsia="Times New Roman" w:cs="Calibri"/>
                <w:color w:val="000000"/>
                <w:sz w:val="20"/>
                <w:szCs w:val="20"/>
                <w:lang w:eastAsia="sr-Latn-ME"/>
              </w:rPr>
            </w:pPr>
            <w:r w:rsidRPr="000152CB">
              <w:rPr>
                <w:rFonts w:eastAsia="Times New Roman" w:cs="Calibri"/>
                <w:color w:val="000000"/>
                <w:sz w:val="20"/>
                <w:szCs w:val="20"/>
                <w:lang w:eastAsia="sr-Latn-ME"/>
              </w:rPr>
              <w:t>Definisani ciljevi poslovanja Instituta za javno zdravlje na godišnjem nivou u okviru IMS-a</w:t>
            </w:r>
            <w:r w:rsidR="00591FDC" w:rsidRPr="000152CB">
              <w:rPr>
                <w:rFonts w:eastAsia="Times New Roman" w:cs="Calibri"/>
                <w:color w:val="000000"/>
                <w:sz w:val="20"/>
                <w:szCs w:val="20"/>
                <w:lang w:eastAsia="sr-Latn-ME"/>
              </w:rPr>
              <w:t>.</w:t>
            </w:r>
          </w:p>
        </w:tc>
        <w:tc>
          <w:tcPr>
            <w:tcW w:w="1097" w:type="dxa"/>
            <w:gridSpan w:val="3"/>
            <w:tcBorders>
              <w:top w:val="single" w:sz="4" w:space="0" w:color="000000"/>
              <w:left w:val="single" w:sz="4" w:space="0" w:color="000000"/>
              <w:bottom w:val="single" w:sz="4" w:space="0" w:color="000000"/>
              <w:right w:val="single" w:sz="4" w:space="0" w:color="000000"/>
            </w:tcBorders>
            <w:shd w:val="clear" w:color="auto" w:fill="auto"/>
          </w:tcPr>
          <w:p w14:paraId="1B18B96F" w14:textId="77777777" w:rsidR="00FD6E82" w:rsidRPr="000152CB" w:rsidRDefault="00FD6E82" w:rsidP="00FD6E82">
            <w:pPr>
              <w:spacing w:after="0" w:line="240" w:lineRule="auto"/>
              <w:rPr>
                <w:rFonts w:eastAsia="Times New Roman" w:cs="Calibri"/>
                <w:color w:val="000000"/>
                <w:sz w:val="20"/>
                <w:szCs w:val="20"/>
                <w:lang w:eastAsia="sr-Latn-ME"/>
              </w:rPr>
            </w:pPr>
            <w:r w:rsidRPr="000152CB">
              <w:rPr>
                <w:rFonts w:eastAsia="Times New Roman" w:cs="Calibri"/>
                <w:color w:val="000000"/>
                <w:sz w:val="20"/>
                <w:szCs w:val="20"/>
                <w:lang w:eastAsia="sr-Latn-ME"/>
              </w:rPr>
              <w:t xml:space="preserve">  IIIQ 2023 -IVQ 2024</w:t>
            </w:r>
          </w:p>
        </w:tc>
        <w:tc>
          <w:tcPr>
            <w:tcW w:w="128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E9DE9" w14:textId="77777777" w:rsidR="00FD6E82" w:rsidRPr="000152CB" w:rsidRDefault="00FD6E82" w:rsidP="00FD6E82">
            <w:pPr>
              <w:spacing w:after="0" w:line="240" w:lineRule="auto"/>
              <w:rPr>
                <w:rFonts w:eastAsia="Times New Roman" w:cs="Calibri"/>
                <w:color w:val="000000"/>
                <w:sz w:val="20"/>
                <w:szCs w:val="20"/>
                <w:lang w:eastAsia="sr-Latn-ME"/>
              </w:rPr>
            </w:pPr>
            <w:r w:rsidRPr="000152CB">
              <w:rPr>
                <w:rFonts w:eastAsia="Times New Roman" w:cs="Calibri"/>
                <w:color w:val="000000"/>
                <w:sz w:val="20"/>
                <w:szCs w:val="20"/>
                <w:lang w:eastAsia="sr-Latn-ME"/>
              </w:rPr>
              <w:t>Planirana sredstva: 10,000-12,000€</w:t>
            </w:r>
          </w:p>
          <w:p w14:paraId="604CAB2A" w14:textId="77777777" w:rsidR="00FD6E82" w:rsidRPr="000152CB" w:rsidRDefault="00FD6E82" w:rsidP="00FD6E82">
            <w:pPr>
              <w:spacing w:after="0" w:line="240" w:lineRule="auto"/>
              <w:rPr>
                <w:rFonts w:eastAsia="Times New Roman" w:cs="Calibri"/>
                <w:color w:val="000000"/>
                <w:sz w:val="20"/>
                <w:szCs w:val="20"/>
                <w:lang w:eastAsia="sr-Latn-ME"/>
              </w:rPr>
            </w:pPr>
          </w:p>
          <w:p w14:paraId="784F5AF2"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Utrošena sredstva:</w:t>
            </w:r>
          </w:p>
          <w:p w14:paraId="1760FD50" w14:textId="77777777" w:rsidR="00FD6E82" w:rsidRPr="000152CB" w:rsidRDefault="00FD6E82" w:rsidP="00FD6E82">
            <w:pPr>
              <w:spacing w:after="0" w:line="240" w:lineRule="auto"/>
              <w:rPr>
                <w:rFonts w:eastAsia="Times New Roman" w:cs="Calibri"/>
                <w:color w:val="000000"/>
                <w:sz w:val="20"/>
                <w:szCs w:val="20"/>
                <w:lang w:eastAsia="sr-Latn-ME"/>
              </w:rPr>
            </w:pPr>
          </w:p>
        </w:tc>
        <w:tc>
          <w:tcPr>
            <w:tcW w:w="1580"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2A23A" w14:textId="77777777" w:rsidR="00FD6E82" w:rsidRPr="000152CB" w:rsidRDefault="00FD6E82" w:rsidP="00FD6E82">
            <w:pPr>
              <w:spacing w:after="0" w:line="240" w:lineRule="auto"/>
              <w:rPr>
                <w:rFonts w:eastAsia="Times New Roman" w:cs="Calibri"/>
                <w:color w:val="000000"/>
                <w:sz w:val="20"/>
                <w:szCs w:val="20"/>
                <w:lang w:eastAsia="sr-Latn-ME"/>
              </w:rPr>
            </w:pPr>
            <w:r w:rsidRPr="000152CB">
              <w:rPr>
                <w:rFonts w:eastAsia="Times New Roman" w:cs="Calibri"/>
                <w:color w:val="000000"/>
                <w:sz w:val="20"/>
                <w:szCs w:val="20"/>
                <w:lang w:eastAsia="sr-Latn-ME"/>
              </w:rPr>
              <w:t>Budžet Instituta za javno zdravlje</w:t>
            </w:r>
          </w:p>
        </w:tc>
        <w:tc>
          <w:tcPr>
            <w:tcW w:w="1393" w:type="dxa"/>
            <w:tcBorders>
              <w:top w:val="single" w:sz="4" w:space="0" w:color="000000"/>
              <w:left w:val="single" w:sz="4" w:space="0" w:color="000000"/>
              <w:bottom w:val="single" w:sz="4" w:space="0" w:color="000000"/>
              <w:right w:val="single" w:sz="4" w:space="0" w:color="000000"/>
            </w:tcBorders>
            <w:shd w:val="clear" w:color="auto" w:fill="auto"/>
          </w:tcPr>
          <w:p w14:paraId="577685CD" w14:textId="077218AC" w:rsidR="00FD6E82" w:rsidRPr="000152CB" w:rsidRDefault="00591FDC" w:rsidP="00FD6E82">
            <w:pPr>
              <w:spacing w:after="0" w:line="240" w:lineRule="auto"/>
              <w:rPr>
                <w:rFonts w:eastAsia="Times New Roman" w:cs="Calibri"/>
                <w:color w:val="000000"/>
                <w:sz w:val="20"/>
                <w:szCs w:val="20"/>
                <w:lang w:eastAsia="sr-Latn-ME"/>
              </w:rPr>
            </w:pPr>
            <w:r w:rsidRPr="000152CB">
              <w:rPr>
                <w:rFonts w:eastAsia="Times New Roman" w:cs="Calibri"/>
                <w:color w:val="000000"/>
                <w:sz w:val="20"/>
                <w:szCs w:val="20"/>
                <w:lang w:eastAsia="sr-Latn-ME"/>
              </w:rPr>
              <w:t>Novi rok za realizaciju aktivnosti je II kvartal 2027. godine</w:t>
            </w:r>
          </w:p>
        </w:tc>
      </w:tr>
      <w:tr w:rsidR="00BB44DA" w:rsidRPr="000152CB" w14:paraId="34D9456B" w14:textId="77777777" w:rsidTr="00E77388">
        <w:trPr>
          <w:trHeight w:val="585"/>
          <w:jc w:val="center"/>
        </w:trPr>
        <w:tc>
          <w:tcPr>
            <w:tcW w:w="24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6228E" w14:textId="0093F2E8" w:rsidR="00FD6E82" w:rsidRPr="000152CB" w:rsidRDefault="00FD6E82" w:rsidP="00FD6E82">
            <w:pPr>
              <w:spacing w:after="0" w:line="240" w:lineRule="auto"/>
              <w:jc w:val="both"/>
              <w:rPr>
                <w:rFonts w:cstheme="minorHAnsi"/>
                <w:b/>
                <w:bCs/>
                <w:noProof/>
                <w:color w:val="FF0000"/>
                <w:sz w:val="20"/>
                <w:szCs w:val="20"/>
              </w:rPr>
            </w:pPr>
            <w:bookmarkStart w:id="19" w:name="_Hlk129342519"/>
            <w:r w:rsidRPr="000152CB">
              <w:rPr>
                <w:rFonts w:eastAsia="Times New Roman" w:cs="Calibri"/>
                <w:color w:val="000000"/>
                <w:sz w:val="20"/>
                <w:szCs w:val="20"/>
                <w:lang w:eastAsia="sr-Latn-ME"/>
              </w:rPr>
              <w:t>2.1.2. Sprovesti obuke u cilju jačanja instituticonalnih kapaciteta za upravljanje zdravstvenim podacima iz prioritetne oblasti sa fokusom na izradu analiza (procjena uticaja na zdravlje) i identifikovanje relevantnih nacionalnih indikatora za praćenje zdravstvenog stanja i sprovođenja politika</w:t>
            </w:r>
            <w:bookmarkEnd w:id="19"/>
          </w:p>
        </w:tc>
        <w:tc>
          <w:tcPr>
            <w:tcW w:w="34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89919" w14:textId="77777777" w:rsidR="00FD6E82" w:rsidRPr="000152CB" w:rsidRDefault="00FD6E82" w:rsidP="00FD6E82">
            <w:pPr>
              <w:spacing w:after="0" w:line="240" w:lineRule="auto"/>
              <w:rPr>
                <w:rFonts w:eastAsia="Times New Roman" w:cs="Calibri"/>
                <w:b/>
                <w:color w:val="000000"/>
                <w:sz w:val="20"/>
                <w:szCs w:val="20"/>
                <w:lang w:eastAsia="sr-Latn-ME"/>
              </w:rPr>
            </w:pPr>
            <w:r w:rsidRPr="000152CB">
              <w:rPr>
                <w:rFonts w:eastAsia="Times New Roman" w:cs="Calibri"/>
                <w:sz w:val="20"/>
                <w:szCs w:val="20"/>
                <w:lang w:eastAsia="sr-Latn-ME"/>
              </w:rPr>
              <w:t>Izrađena pilot analiza za odabranu prioritetnu oblast</w:t>
            </w:r>
          </w:p>
        </w:tc>
        <w:tc>
          <w:tcPr>
            <w:tcW w:w="15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6230E" w14:textId="77777777" w:rsidR="00FD6E82" w:rsidRPr="000152CB" w:rsidRDefault="00FD6E82" w:rsidP="00FD6E82">
            <w:pPr>
              <w:spacing w:after="0" w:line="240" w:lineRule="auto"/>
              <w:rPr>
                <w:rFonts w:eastAsia="Times New Roman" w:cs="Calibri"/>
                <w:color w:val="000000"/>
                <w:sz w:val="20"/>
                <w:szCs w:val="20"/>
                <w:lang w:eastAsia="sr-Latn-ME"/>
              </w:rPr>
            </w:pPr>
            <w:r w:rsidRPr="000152CB">
              <w:rPr>
                <w:rFonts w:eastAsia="Times New Roman" w:cs="Calibri"/>
                <w:color w:val="000000"/>
                <w:sz w:val="20"/>
                <w:szCs w:val="20"/>
                <w:lang w:eastAsia="sr-Latn-ME"/>
              </w:rPr>
              <w:t>IJZ, FZO</w:t>
            </w:r>
          </w:p>
        </w:tc>
        <w:tc>
          <w:tcPr>
            <w:tcW w:w="2768" w:type="dxa"/>
            <w:gridSpan w:val="6"/>
            <w:tcBorders>
              <w:top w:val="single" w:sz="4" w:space="0" w:color="000000"/>
              <w:left w:val="single" w:sz="4" w:space="0" w:color="000000"/>
              <w:bottom w:val="single" w:sz="4" w:space="0" w:color="000000"/>
              <w:right w:val="single" w:sz="4" w:space="0" w:color="000000"/>
            </w:tcBorders>
            <w:shd w:val="clear" w:color="auto" w:fill="FF0000"/>
            <w:tcMar>
              <w:top w:w="0" w:type="dxa"/>
              <w:left w:w="108" w:type="dxa"/>
              <w:bottom w:w="0" w:type="dxa"/>
              <w:right w:w="108" w:type="dxa"/>
            </w:tcMar>
          </w:tcPr>
          <w:p w14:paraId="189BBB29" w14:textId="2EA8CA09" w:rsidR="00FD6E82" w:rsidRPr="000152CB" w:rsidRDefault="00C9039F" w:rsidP="00FD6E82">
            <w:pPr>
              <w:spacing w:after="0" w:line="240" w:lineRule="auto"/>
              <w:rPr>
                <w:rFonts w:eastAsia="Times New Roman" w:cs="Calibri"/>
                <w:color w:val="000000"/>
                <w:sz w:val="20"/>
                <w:szCs w:val="20"/>
                <w:lang w:eastAsia="sr-Latn-ME"/>
              </w:rPr>
            </w:pPr>
            <w:r w:rsidRPr="000152CB">
              <w:rPr>
                <w:rFonts w:eastAsia="Times New Roman" w:cs="Calibri"/>
                <w:color w:val="000000"/>
                <w:sz w:val="20"/>
                <w:szCs w:val="20"/>
                <w:lang w:eastAsia="sr-Latn-ME"/>
              </w:rPr>
              <w:t>Aktivnost nije sprovedena u predviđenom roku</w:t>
            </w:r>
          </w:p>
        </w:tc>
        <w:tc>
          <w:tcPr>
            <w:tcW w:w="1097" w:type="dxa"/>
            <w:gridSpan w:val="3"/>
            <w:tcBorders>
              <w:top w:val="single" w:sz="4" w:space="0" w:color="000000"/>
              <w:left w:val="single" w:sz="4" w:space="0" w:color="000000"/>
              <w:bottom w:val="single" w:sz="4" w:space="0" w:color="000000"/>
              <w:right w:val="single" w:sz="4" w:space="0" w:color="000000"/>
            </w:tcBorders>
            <w:shd w:val="clear" w:color="auto" w:fill="auto"/>
          </w:tcPr>
          <w:p w14:paraId="2967DD1A" w14:textId="77777777" w:rsidR="00FD6E82" w:rsidRPr="000152CB" w:rsidRDefault="00FD6E82" w:rsidP="00FD6E82">
            <w:pPr>
              <w:spacing w:after="0" w:line="240" w:lineRule="auto"/>
              <w:rPr>
                <w:rFonts w:eastAsia="Times New Roman" w:cs="Calibri"/>
                <w:color w:val="000000"/>
                <w:sz w:val="20"/>
                <w:szCs w:val="20"/>
                <w:lang w:eastAsia="sr-Latn-ME"/>
              </w:rPr>
            </w:pPr>
            <w:r w:rsidRPr="000152CB">
              <w:rPr>
                <w:rFonts w:eastAsia="Times New Roman" w:cs="Calibri"/>
                <w:color w:val="000000"/>
                <w:sz w:val="20"/>
                <w:szCs w:val="20"/>
                <w:lang w:eastAsia="sr-Latn-ME"/>
              </w:rPr>
              <w:t xml:space="preserve"> IIIQ 2023-IVQ 2024</w:t>
            </w:r>
          </w:p>
        </w:tc>
        <w:tc>
          <w:tcPr>
            <w:tcW w:w="128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9F3AF" w14:textId="77777777" w:rsidR="00FD6E82" w:rsidRPr="000152CB" w:rsidRDefault="00FD6E82" w:rsidP="00FD6E82">
            <w:pPr>
              <w:spacing w:after="0" w:line="240" w:lineRule="auto"/>
              <w:rPr>
                <w:rFonts w:eastAsia="Times New Roman" w:cs="Calibri"/>
                <w:color w:val="000000"/>
                <w:sz w:val="20"/>
                <w:szCs w:val="20"/>
                <w:lang w:eastAsia="sr-Latn-ME"/>
              </w:rPr>
            </w:pPr>
            <w:r w:rsidRPr="000152CB">
              <w:rPr>
                <w:rFonts w:eastAsia="Times New Roman" w:cs="Calibri"/>
                <w:color w:val="000000"/>
                <w:sz w:val="20"/>
                <w:szCs w:val="20"/>
                <w:lang w:eastAsia="sr-Latn-ME"/>
              </w:rPr>
              <w:t>Tekuća sredstva</w:t>
            </w:r>
          </w:p>
        </w:tc>
        <w:tc>
          <w:tcPr>
            <w:tcW w:w="1580"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62DC1" w14:textId="77777777" w:rsidR="00FD6E82" w:rsidRPr="000152CB" w:rsidRDefault="00FD6E82" w:rsidP="00FD6E82">
            <w:pPr>
              <w:spacing w:after="0" w:line="240" w:lineRule="auto"/>
              <w:rPr>
                <w:rFonts w:eastAsia="Times New Roman" w:cs="Calibri"/>
                <w:color w:val="000000"/>
                <w:sz w:val="20"/>
                <w:szCs w:val="20"/>
                <w:lang w:eastAsia="sr-Latn-ME"/>
              </w:rPr>
            </w:pPr>
            <w:r w:rsidRPr="000152CB">
              <w:rPr>
                <w:rFonts w:eastAsia="Times New Roman" w:cs="Calibri"/>
                <w:color w:val="000000"/>
                <w:sz w:val="20"/>
                <w:szCs w:val="20"/>
                <w:lang w:eastAsia="sr-Latn-ME"/>
              </w:rPr>
              <w:t>Budžet Instituta za javno zdravlje</w:t>
            </w:r>
          </w:p>
        </w:tc>
        <w:tc>
          <w:tcPr>
            <w:tcW w:w="1393" w:type="dxa"/>
            <w:tcBorders>
              <w:top w:val="single" w:sz="4" w:space="0" w:color="000000"/>
              <w:left w:val="single" w:sz="4" w:space="0" w:color="000000"/>
              <w:bottom w:val="single" w:sz="4" w:space="0" w:color="000000"/>
              <w:right w:val="single" w:sz="4" w:space="0" w:color="000000"/>
            </w:tcBorders>
            <w:shd w:val="clear" w:color="auto" w:fill="auto"/>
          </w:tcPr>
          <w:p w14:paraId="3CB63342" w14:textId="51FDD885" w:rsidR="00FD6E82" w:rsidRPr="000152CB" w:rsidRDefault="00C9039F" w:rsidP="00FD6E82">
            <w:pPr>
              <w:spacing w:after="0" w:line="240" w:lineRule="auto"/>
              <w:rPr>
                <w:rFonts w:eastAsia="Times New Roman" w:cs="Calibri"/>
                <w:color w:val="000000"/>
                <w:sz w:val="20"/>
                <w:szCs w:val="20"/>
                <w:lang w:eastAsia="sr-Latn-ME"/>
              </w:rPr>
            </w:pPr>
            <w:r w:rsidRPr="000152CB">
              <w:rPr>
                <w:rFonts w:eastAsia="Times New Roman" w:cs="Calibri"/>
                <w:color w:val="000000"/>
                <w:sz w:val="20"/>
                <w:szCs w:val="20"/>
                <w:lang w:eastAsia="sr-Latn-ME"/>
              </w:rPr>
              <w:t>Novi rok za realizaciju aktivnosti je II kvartal 2027. godine</w:t>
            </w:r>
          </w:p>
        </w:tc>
      </w:tr>
      <w:tr w:rsidR="00BB44DA" w:rsidRPr="000152CB" w14:paraId="1EA2FDD2" w14:textId="77777777" w:rsidTr="00E77388">
        <w:trPr>
          <w:trHeight w:val="585"/>
          <w:jc w:val="center"/>
        </w:trPr>
        <w:tc>
          <w:tcPr>
            <w:tcW w:w="24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8D691" w14:textId="77777777" w:rsidR="00FD6E82" w:rsidRPr="000152CB" w:rsidRDefault="00FD6E82" w:rsidP="00FD6E82">
            <w:pPr>
              <w:spacing w:after="0" w:line="240" w:lineRule="auto"/>
              <w:rPr>
                <w:rFonts w:eastAsia="Times New Roman" w:cs="Calibri"/>
                <w:color w:val="000000"/>
                <w:sz w:val="20"/>
                <w:szCs w:val="20"/>
                <w:lang w:eastAsia="sr-Latn-ME"/>
              </w:rPr>
            </w:pPr>
            <w:r w:rsidRPr="000152CB">
              <w:rPr>
                <w:rFonts w:eastAsia="Times New Roman" w:cs="Calibri"/>
                <w:bCs/>
                <w:color w:val="000000"/>
                <w:sz w:val="20"/>
                <w:szCs w:val="20"/>
                <w:lang w:eastAsia="sr-Latn-ME"/>
              </w:rPr>
              <w:t>2.1.3. Sprovođenje nacionalnog istraživanja o nivou zdravlja i učestalosti rizikofaktora sa antropometrijskim mjerenjima</w:t>
            </w:r>
          </w:p>
        </w:tc>
        <w:tc>
          <w:tcPr>
            <w:tcW w:w="34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C3119"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Izvršeno nacionalno istraživanje, dostupni rezultati</w:t>
            </w:r>
          </w:p>
        </w:tc>
        <w:tc>
          <w:tcPr>
            <w:tcW w:w="15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45D4E" w14:textId="77777777" w:rsidR="00FD6E82" w:rsidRPr="000152CB" w:rsidRDefault="00FD6E82" w:rsidP="00FD6E82">
            <w:pPr>
              <w:spacing w:after="0" w:line="240" w:lineRule="auto"/>
              <w:rPr>
                <w:rFonts w:eastAsia="Times New Roman" w:cs="Calibri"/>
                <w:color w:val="000000"/>
                <w:sz w:val="20"/>
                <w:szCs w:val="20"/>
                <w:lang w:eastAsia="sr-Latn-ME"/>
              </w:rPr>
            </w:pPr>
            <w:r w:rsidRPr="000152CB">
              <w:rPr>
                <w:rFonts w:eastAsia="Times New Roman" w:cs="Calibri"/>
                <w:color w:val="000000"/>
                <w:sz w:val="20"/>
                <w:szCs w:val="20"/>
                <w:lang w:eastAsia="sr-Latn-ME"/>
              </w:rPr>
              <w:t>IJZ</w:t>
            </w:r>
          </w:p>
        </w:tc>
        <w:tc>
          <w:tcPr>
            <w:tcW w:w="2768" w:type="dxa"/>
            <w:gridSpan w:val="6"/>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0E87A92E" w14:textId="77777777" w:rsidR="00BF07BB" w:rsidRPr="000152CB" w:rsidRDefault="00BF07BB" w:rsidP="00BF07BB">
            <w:pPr>
              <w:spacing w:after="0" w:line="240" w:lineRule="auto"/>
              <w:rPr>
                <w:rFonts w:eastAsia="Times New Roman" w:cs="Calibri"/>
                <w:color w:val="000000"/>
                <w:sz w:val="20"/>
                <w:szCs w:val="20"/>
                <w:lang w:eastAsia="sr-Latn-ME"/>
              </w:rPr>
            </w:pPr>
            <w:r w:rsidRPr="000152CB">
              <w:rPr>
                <w:rFonts w:eastAsia="Times New Roman" w:cs="Calibri"/>
                <w:color w:val="000000"/>
                <w:sz w:val="20"/>
                <w:szCs w:val="20"/>
                <w:lang w:eastAsia="sr-Latn-ME"/>
              </w:rPr>
              <w:t xml:space="preserve">"Planirana sredstva od 450 000€ (Svjetska banka) nisu obezbjeđena za </w:t>
            </w:r>
          </w:p>
          <w:p w14:paraId="057215B1" w14:textId="77777777" w:rsidR="00BF07BB" w:rsidRPr="000152CB" w:rsidRDefault="00BF07BB" w:rsidP="00BF07BB">
            <w:pPr>
              <w:spacing w:after="0" w:line="240" w:lineRule="auto"/>
              <w:rPr>
                <w:rFonts w:eastAsia="Times New Roman" w:cs="Calibri"/>
                <w:color w:val="000000"/>
                <w:sz w:val="20"/>
                <w:szCs w:val="20"/>
                <w:lang w:eastAsia="sr-Latn-ME"/>
              </w:rPr>
            </w:pPr>
            <w:r w:rsidRPr="000152CB">
              <w:rPr>
                <w:rFonts w:eastAsia="Times New Roman" w:cs="Calibri"/>
                <w:color w:val="000000"/>
                <w:sz w:val="20"/>
                <w:szCs w:val="20"/>
                <w:lang w:eastAsia="sr-Latn-ME"/>
              </w:rPr>
              <w:t>nacionalno istraživanje o nivou zdravlja sa antropometrijskim mjerenjima.</w:t>
            </w:r>
          </w:p>
          <w:p w14:paraId="04B6E1D3" w14:textId="77777777" w:rsidR="00BF07BB" w:rsidRPr="000152CB" w:rsidRDefault="00BF07BB" w:rsidP="00BF07BB">
            <w:pPr>
              <w:spacing w:after="0" w:line="240" w:lineRule="auto"/>
              <w:rPr>
                <w:rFonts w:eastAsia="Times New Roman" w:cs="Calibri"/>
                <w:color w:val="000000"/>
                <w:sz w:val="20"/>
                <w:szCs w:val="20"/>
                <w:lang w:eastAsia="sr-Latn-ME"/>
              </w:rPr>
            </w:pPr>
            <w:r w:rsidRPr="000152CB">
              <w:rPr>
                <w:rFonts w:eastAsia="Times New Roman" w:cs="Calibri"/>
                <w:color w:val="000000"/>
                <w:sz w:val="20"/>
                <w:szCs w:val="20"/>
                <w:lang w:eastAsia="sr-Latn-ME"/>
              </w:rPr>
              <w:t xml:space="preserve">Sredstva za istraživanje Procjene zdravlja djece do 5 godina su obijezbeđena </w:t>
            </w:r>
          </w:p>
          <w:p w14:paraId="30C8D881" w14:textId="77777777" w:rsidR="00FD6E82" w:rsidRPr="000152CB" w:rsidRDefault="00BF07BB" w:rsidP="00BF07BB">
            <w:pPr>
              <w:spacing w:after="0" w:line="240" w:lineRule="auto"/>
              <w:rPr>
                <w:rFonts w:eastAsia="Times New Roman" w:cs="Calibri"/>
                <w:color w:val="000000"/>
                <w:sz w:val="20"/>
                <w:szCs w:val="20"/>
                <w:lang w:eastAsia="sr-Latn-ME"/>
              </w:rPr>
            </w:pPr>
            <w:r w:rsidRPr="000152CB">
              <w:rPr>
                <w:rFonts w:eastAsia="Times New Roman" w:cs="Calibri"/>
                <w:color w:val="000000"/>
                <w:sz w:val="20"/>
                <w:szCs w:val="20"/>
                <w:lang w:eastAsia="sr-Latn-ME"/>
              </w:rPr>
              <w:t xml:space="preserve">iz IPA II - Collaborative grant scheme for innovative project ideas - EuropeAID/162457/ID/ACT/ME prije 2023. godine. </w:t>
            </w:r>
          </w:p>
          <w:p w14:paraId="7649C1ED" w14:textId="77777777" w:rsidR="00BF07BB" w:rsidRPr="000152CB" w:rsidRDefault="00BF07BB" w:rsidP="00BF07BB">
            <w:pPr>
              <w:spacing w:after="0" w:line="240" w:lineRule="auto"/>
              <w:rPr>
                <w:rFonts w:eastAsia="Times New Roman" w:cs="Calibri"/>
                <w:color w:val="000000"/>
                <w:sz w:val="20"/>
                <w:szCs w:val="20"/>
                <w:lang w:eastAsia="sr-Latn-ME"/>
              </w:rPr>
            </w:pPr>
          </w:p>
          <w:p w14:paraId="0566E652" w14:textId="74982867" w:rsidR="00BF07BB" w:rsidRPr="000152CB" w:rsidRDefault="00BF07BB" w:rsidP="00BF07BB">
            <w:pPr>
              <w:spacing w:after="0" w:line="240" w:lineRule="auto"/>
              <w:rPr>
                <w:rFonts w:eastAsia="Times New Roman" w:cs="Calibri"/>
                <w:color w:val="000000"/>
                <w:sz w:val="20"/>
                <w:szCs w:val="20"/>
                <w:lang w:eastAsia="sr-Latn-ME"/>
              </w:rPr>
            </w:pPr>
            <w:r w:rsidRPr="000152CB">
              <w:rPr>
                <w:rFonts w:eastAsia="Times New Roman" w:cs="Calibri"/>
                <w:color w:val="000000"/>
                <w:sz w:val="20"/>
                <w:szCs w:val="20"/>
                <w:lang w:eastAsia="sr-Latn-ME"/>
              </w:rPr>
              <w:lastRenderedPageBreak/>
              <w:t xml:space="preserve"> U 2023. godini je realizovano istraživanje: Procjena zdravlja djece do pet godina pomoću antropometrijskih indikatora, </w:t>
            </w:r>
          </w:p>
          <w:p w14:paraId="000C4F48" w14:textId="579E984D" w:rsidR="00BF07BB" w:rsidRPr="000152CB" w:rsidRDefault="00BF07BB" w:rsidP="00BF07BB">
            <w:pPr>
              <w:spacing w:after="0" w:line="240" w:lineRule="auto"/>
              <w:rPr>
                <w:rFonts w:eastAsia="Times New Roman" w:cs="Calibri"/>
                <w:color w:val="000000"/>
                <w:sz w:val="20"/>
                <w:szCs w:val="20"/>
                <w:lang w:eastAsia="sr-Latn-ME"/>
              </w:rPr>
            </w:pPr>
            <w:r w:rsidRPr="000152CB">
              <w:rPr>
                <w:rFonts w:eastAsia="Times New Roman" w:cs="Calibri"/>
                <w:color w:val="000000"/>
                <w:sz w:val="20"/>
                <w:szCs w:val="20"/>
                <w:lang w:eastAsia="sr-Latn-ME"/>
              </w:rPr>
              <w:t>koje je za rezultat imalo formiranje grafikona rasta za djecu do pet godina u Crnoj Gori."</w:t>
            </w:r>
          </w:p>
        </w:tc>
        <w:tc>
          <w:tcPr>
            <w:tcW w:w="1097" w:type="dxa"/>
            <w:gridSpan w:val="3"/>
            <w:tcBorders>
              <w:top w:val="single" w:sz="4" w:space="0" w:color="000000"/>
              <w:left w:val="single" w:sz="4" w:space="0" w:color="000000"/>
              <w:bottom w:val="single" w:sz="4" w:space="0" w:color="000000"/>
              <w:right w:val="single" w:sz="4" w:space="0" w:color="000000"/>
            </w:tcBorders>
            <w:shd w:val="clear" w:color="auto" w:fill="auto"/>
          </w:tcPr>
          <w:p w14:paraId="734A3DBE" w14:textId="77777777" w:rsidR="00FD6E82" w:rsidRPr="000152CB" w:rsidRDefault="00FD6E82" w:rsidP="00FD6E82">
            <w:pPr>
              <w:spacing w:after="0" w:line="240" w:lineRule="auto"/>
              <w:rPr>
                <w:rFonts w:eastAsia="Times New Roman" w:cs="Calibri"/>
                <w:color w:val="000000"/>
                <w:sz w:val="20"/>
                <w:szCs w:val="20"/>
                <w:lang w:eastAsia="sr-Latn-ME"/>
              </w:rPr>
            </w:pPr>
            <w:r w:rsidRPr="000152CB">
              <w:rPr>
                <w:rFonts w:eastAsia="Times New Roman" w:cs="Calibri"/>
                <w:color w:val="000000"/>
                <w:sz w:val="20"/>
                <w:szCs w:val="20"/>
                <w:lang w:eastAsia="sr-Latn-ME"/>
              </w:rPr>
              <w:lastRenderedPageBreak/>
              <w:t xml:space="preserve"> IIIQ2023- IVQ2024</w:t>
            </w:r>
          </w:p>
        </w:tc>
        <w:tc>
          <w:tcPr>
            <w:tcW w:w="128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F91E6" w14:textId="77777777" w:rsidR="00FD6E82" w:rsidRPr="000152CB" w:rsidRDefault="00FD6E82" w:rsidP="00FD6E82">
            <w:pPr>
              <w:spacing w:after="0" w:line="240" w:lineRule="auto"/>
              <w:rPr>
                <w:sz w:val="20"/>
                <w:szCs w:val="20"/>
              </w:rPr>
            </w:pPr>
            <w:r w:rsidRPr="000152CB">
              <w:rPr>
                <w:sz w:val="20"/>
                <w:szCs w:val="20"/>
              </w:rPr>
              <w:t>Planirana sredstva: 450,000€</w:t>
            </w:r>
          </w:p>
          <w:p w14:paraId="75FCC6A5" w14:textId="77777777" w:rsidR="00FD6E82" w:rsidRPr="000152CB" w:rsidRDefault="00FD6E82" w:rsidP="00FD6E82">
            <w:pPr>
              <w:spacing w:after="0" w:line="240" w:lineRule="auto"/>
              <w:rPr>
                <w:color w:val="000000"/>
                <w:sz w:val="20"/>
                <w:szCs w:val="20"/>
              </w:rPr>
            </w:pPr>
          </w:p>
          <w:p w14:paraId="7D5D9A95" w14:textId="4B30B72F" w:rsidR="00FD6E82" w:rsidRPr="000152CB" w:rsidRDefault="00FD6E82" w:rsidP="00FD6E82">
            <w:pPr>
              <w:spacing w:after="0" w:line="240" w:lineRule="auto"/>
              <w:rPr>
                <w:rFonts w:eastAsia="Times New Roman" w:cs="Calibri"/>
                <w:color w:val="000000"/>
                <w:sz w:val="20"/>
                <w:szCs w:val="20"/>
                <w:lang w:eastAsia="sr-Latn-ME"/>
              </w:rPr>
            </w:pPr>
            <w:r w:rsidRPr="000152CB">
              <w:rPr>
                <w:color w:val="000000"/>
                <w:sz w:val="20"/>
                <w:szCs w:val="20"/>
              </w:rPr>
              <w:t xml:space="preserve">Utrošena sredstva: </w:t>
            </w:r>
            <w:r w:rsidR="004A644E" w:rsidRPr="000152CB">
              <w:rPr>
                <w:color w:val="000000"/>
                <w:sz w:val="20"/>
                <w:szCs w:val="20"/>
              </w:rPr>
              <w:t>55,206 eura</w:t>
            </w:r>
          </w:p>
        </w:tc>
        <w:tc>
          <w:tcPr>
            <w:tcW w:w="1580"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0339A" w14:textId="77777777" w:rsidR="00FD6E82" w:rsidRPr="000152CB" w:rsidRDefault="00FD6E82" w:rsidP="00FD6E82">
            <w:pPr>
              <w:spacing w:after="0" w:line="240" w:lineRule="auto"/>
              <w:rPr>
                <w:sz w:val="20"/>
                <w:szCs w:val="20"/>
              </w:rPr>
            </w:pPr>
            <w:r w:rsidRPr="000152CB">
              <w:rPr>
                <w:sz w:val="20"/>
                <w:szCs w:val="20"/>
              </w:rPr>
              <w:t xml:space="preserve">Svjetska banka </w:t>
            </w:r>
          </w:p>
        </w:tc>
        <w:tc>
          <w:tcPr>
            <w:tcW w:w="1393" w:type="dxa"/>
            <w:tcBorders>
              <w:top w:val="single" w:sz="4" w:space="0" w:color="000000"/>
              <w:left w:val="single" w:sz="4" w:space="0" w:color="000000"/>
              <w:bottom w:val="single" w:sz="4" w:space="0" w:color="000000"/>
              <w:right w:val="single" w:sz="4" w:space="0" w:color="000000"/>
            </w:tcBorders>
            <w:shd w:val="clear" w:color="auto" w:fill="auto"/>
          </w:tcPr>
          <w:p w14:paraId="21C85CF6" w14:textId="77777777" w:rsidR="00FD6E82" w:rsidRPr="000152CB" w:rsidRDefault="00FD6E82" w:rsidP="00FD6E82">
            <w:pPr>
              <w:spacing w:after="0" w:line="240" w:lineRule="auto"/>
              <w:ind w:left="270"/>
              <w:jc w:val="center"/>
              <w:rPr>
                <w:rFonts w:eastAsia="Times New Roman" w:cs="Calibri"/>
                <w:color w:val="000000"/>
                <w:sz w:val="20"/>
                <w:szCs w:val="20"/>
                <w:lang w:eastAsia="sr-Latn-ME"/>
              </w:rPr>
            </w:pPr>
          </w:p>
        </w:tc>
      </w:tr>
      <w:tr w:rsidR="00BB44DA" w:rsidRPr="000152CB" w14:paraId="50456C2B" w14:textId="77777777" w:rsidTr="00E77388">
        <w:trPr>
          <w:trHeight w:val="331"/>
          <w:jc w:val="center"/>
        </w:trPr>
        <w:tc>
          <w:tcPr>
            <w:tcW w:w="24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01A75" w14:textId="77777777" w:rsidR="00FD6E82" w:rsidRPr="000152CB" w:rsidRDefault="00FD6E82" w:rsidP="00FD6E82">
            <w:pPr>
              <w:spacing w:line="240" w:lineRule="auto"/>
              <w:textAlignment w:val="baseline"/>
              <w:rPr>
                <w:rFonts w:eastAsia="Times New Roman" w:cs="Calibri"/>
                <w:color w:val="000000"/>
                <w:sz w:val="20"/>
                <w:szCs w:val="20"/>
                <w:lang w:eastAsia="sr-Latn-ME"/>
              </w:rPr>
            </w:pPr>
            <w:r w:rsidRPr="000152CB">
              <w:rPr>
                <w:rFonts w:eastAsia="Times New Roman" w:cs="Calibri"/>
                <w:color w:val="000000"/>
                <w:sz w:val="20"/>
                <w:szCs w:val="20"/>
                <w:lang w:eastAsia="sr-Latn-ME"/>
              </w:rPr>
              <w:t xml:space="preserve">2.1.4. Redefinisanje i obezbjeđivanje funkcionalnog seta naprednih znanja i vještina za interventnu terensku epidemiologiju </w:t>
            </w:r>
          </w:p>
        </w:tc>
        <w:tc>
          <w:tcPr>
            <w:tcW w:w="34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33EB0C"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Sproveden napredni trening</w:t>
            </w:r>
          </w:p>
          <w:p w14:paraId="75CCFE9A"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Set naprednih znanja i vještina prepoznat u standardizovanim aktima o unutrašnjoj organizaciji i sistematizaciji zdravstvenih ustanova</w:t>
            </w:r>
          </w:p>
        </w:tc>
        <w:tc>
          <w:tcPr>
            <w:tcW w:w="158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505294" w14:textId="77777777" w:rsidR="00FD6E82" w:rsidRPr="000152CB" w:rsidRDefault="00FD6E82" w:rsidP="00FD6E82">
            <w:pPr>
              <w:spacing w:after="0" w:line="240" w:lineRule="auto"/>
              <w:rPr>
                <w:rFonts w:eastAsia="Times New Roman" w:cs="Calibri"/>
                <w:sz w:val="20"/>
                <w:szCs w:val="20"/>
                <w:lang w:eastAsia="sr-Latn-ME"/>
              </w:rPr>
            </w:pPr>
            <w:r w:rsidRPr="000152CB">
              <w:t>IJZ</w:t>
            </w:r>
          </w:p>
        </w:tc>
        <w:tc>
          <w:tcPr>
            <w:tcW w:w="2768" w:type="dxa"/>
            <w:gridSpan w:val="6"/>
            <w:tcBorders>
              <w:top w:val="single" w:sz="4" w:space="0" w:color="000000"/>
              <w:left w:val="single" w:sz="4" w:space="0" w:color="000000"/>
              <w:bottom w:val="single" w:sz="4" w:space="0" w:color="000000"/>
              <w:right w:val="single" w:sz="4" w:space="0" w:color="000000"/>
            </w:tcBorders>
            <w:shd w:val="clear" w:color="auto" w:fill="FF0000"/>
            <w:tcMar>
              <w:top w:w="0" w:type="dxa"/>
              <w:left w:w="108" w:type="dxa"/>
              <w:bottom w:w="0" w:type="dxa"/>
              <w:right w:w="108" w:type="dxa"/>
            </w:tcMar>
          </w:tcPr>
          <w:p w14:paraId="287CE2B1" w14:textId="610AD660" w:rsidR="00FD6E82" w:rsidRPr="000152CB" w:rsidRDefault="00A33861"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 xml:space="preserve">Aplikacija za projekat Pandemic Fund, pripremljena u saradnji sa Robert Koh Institutom, nije </w:t>
            </w:r>
            <w:r w:rsidR="00C9039F" w:rsidRPr="000152CB">
              <w:rPr>
                <w:rFonts w:eastAsia="Times New Roman" w:cs="Calibri"/>
                <w:sz w:val="20"/>
                <w:szCs w:val="20"/>
                <w:lang w:eastAsia="sr-Latn-ME"/>
              </w:rPr>
              <w:t>prihvaćena</w:t>
            </w:r>
          </w:p>
        </w:tc>
        <w:tc>
          <w:tcPr>
            <w:tcW w:w="1097" w:type="dxa"/>
            <w:gridSpan w:val="3"/>
            <w:tcBorders>
              <w:top w:val="single" w:sz="4" w:space="0" w:color="000000"/>
              <w:left w:val="single" w:sz="4" w:space="0" w:color="000000"/>
              <w:bottom w:val="single" w:sz="4" w:space="0" w:color="000000"/>
              <w:right w:val="single" w:sz="4" w:space="0" w:color="000000"/>
            </w:tcBorders>
          </w:tcPr>
          <w:p w14:paraId="5A115B7E" w14:textId="77777777" w:rsidR="00FD6E82" w:rsidRPr="000152CB" w:rsidRDefault="00FD6E82" w:rsidP="00FD6E82">
            <w:pPr>
              <w:spacing w:after="0" w:line="240" w:lineRule="auto"/>
              <w:rPr>
                <w:rFonts w:eastAsia="Times New Roman" w:cs="Calibri"/>
                <w:sz w:val="20"/>
                <w:szCs w:val="20"/>
                <w:lang w:eastAsia="sr-Latn-ME"/>
              </w:rPr>
            </w:pPr>
            <w:r w:rsidRPr="000152CB">
              <w:t xml:space="preserve"> IIIQ2023-IVQ 2028</w:t>
            </w:r>
          </w:p>
        </w:tc>
        <w:tc>
          <w:tcPr>
            <w:tcW w:w="128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EFDDA4"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N/A</w:t>
            </w:r>
          </w:p>
        </w:tc>
        <w:tc>
          <w:tcPr>
            <w:tcW w:w="1580"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16D9DC"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Pandemic Fond</w:t>
            </w:r>
          </w:p>
        </w:tc>
        <w:tc>
          <w:tcPr>
            <w:tcW w:w="1393" w:type="dxa"/>
            <w:tcBorders>
              <w:top w:val="single" w:sz="4" w:space="0" w:color="000000"/>
              <w:left w:val="single" w:sz="4" w:space="0" w:color="000000"/>
              <w:bottom w:val="single" w:sz="4" w:space="0" w:color="000000"/>
              <w:right w:val="single" w:sz="4" w:space="0" w:color="000000"/>
            </w:tcBorders>
          </w:tcPr>
          <w:p w14:paraId="56B09B5F" w14:textId="7FC24113" w:rsidR="00FD6E82" w:rsidRPr="000152CB" w:rsidRDefault="00C9039F"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Napraviti procjenu mogućnosti da aktivnost bude sastavni dio novog akcionog plana</w:t>
            </w:r>
          </w:p>
        </w:tc>
      </w:tr>
      <w:tr w:rsidR="00BB44DA" w:rsidRPr="000152CB" w14:paraId="1AFEEE50" w14:textId="77777777" w:rsidTr="00E77388">
        <w:trPr>
          <w:trHeight w:val="585"/>
          <w:jc w:val="center"/>
        </w:trPr>
        <w:tc>
          <w:tcPr>
            <w:tcW w:w="24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3939A" w14:textId="77777777" w:rsidR="00FD6E82" w:rsidRPr="000152CB" w:rsidRDefault="00FD6E82" w:rsidP="00FD6E82">
            <w:pPr>
              <w:spacing w:after="0" w:line="240" w:lineRule="auto"/>
              <w:rPr>
                <w:rFonts w:cstheme="minorHAnsi"/>
                <w:bCs/>
                <w:noProof/>
                <w:sz w:val="20"/>
                <w:szCs w:val="20"/>
              </w:rPr>
            </w:pPr>
            <w:r w:rsidRPr="000152CB">
              <w:rPr>
                <w:rFonts w:eastAsia="Times New Roman" w:cs="Calibri"/>
                <w:color w:val="000000"/>
                <w:sz w:val="20"/>
                <w:szCs w:val="20"/>
                <w:lang w:eastAsia="sr-Latn-ME"/>
              </w:rPr>
              <w:t xml:space="preserve">2.1.5. </w:t>
            </w:r>
            <w:r w:rsidRPr="000152CB">
              <w:rPr>
                <w:rFonts w:cstheme="minorHAnsi"/>
                <w:bCs/>
                <w:noProof/>
                <w:sz w:val="20"/>
                <w:szCs w:val="20"/>
              </w:rPr>
              <w:t>Sprovođenje situacione analize o zdravstvenim potrebama I nejednakostima u populaciji osoba sa invaliditetom,sa preporukama za smanjivanje nejednakosti mjereno kroz veci obuhvat, nivo zaštite u slučaju vanredne situacije, unaprieđenje inkluzivnosti preventivnim servisima (imunizacija ) i sl.</w:t>
            </w:r>
          </w:p>
          <w:p w14:paraId="2B523697" w14:textId="77777777" w:rsidR="00FD6E82" w:rsidRPr="000152CB" w:rsidRDefault="00FD6E82" w:rsidP="00FD6E82">
            <w:pPr>
              <w:spacing w:after="0" w:line="240" w:lineRule="auto"/>
              <w:rPr>
                <w:rFonts w:cstheme="minorHAnsi"/>
                <w:bCs/>
                <w:noProof/>
                <w:sz w:val="20"/>
                <w:szCs w:val="20"/>
              </w:rPr>
            </w:pPr>
            <w:r w:rsidRPr="000152CB">
              <w:rPr>
                <w:rFonts w:cstheme="minorHAnsi"/>
                <w:bCs/>
                <w:noProof/>
                <w:sz w:val="20"/>
                <w:szCs w:val="20"/>
              </w:rPr>
              <w:t>Izrada preporuka za unapređenje dostupnosti/pristupačnost zdravstvenoj zaštiti lica sa invalidetitom</w:t>
            </w:r>
          </w:p>
        </w:tc>
        <w:tc>
          <w:tcPr>
            <w:tcW w:w="34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0508D0" w14:textId="77777777" w:rsidR="00FD6E82" w:rsidRPr="000152CB" w:rsidRDefault="00FD6E82" w:rsidP="00FD6E82">
            <w:pPr>
              <w:spacing w:after="0" w:line="240" w:lineRule="auto"/>
              <w:rPr>
                <w:rFonts w:eastAsia="Times New Roman" w:cs="Calibri"/>
                <w:color w:val="000000"/>
                <w:sz w:val="20"/>
                <w:szCs w:val="20"/>
                <w:lang w:eastAsia="sr-Latn-ME"/>
              </w:rPr>
            </w:pPr>
            <w:r w:rsidRPr="000152CB">
              <w:rPr>
                <w:rFonts w:eastAsia="Times New Roman" w:cs="Calibri"/>
                <w:color w:val="000000"/>
                <w:sz w:val="20"/>
                <w:szCs w:val="20"/>
                <w:lang w:eastAsia="sr-Latn-ME"/>
              </w:rPr>
              <w:t>Izrađena situaciona analiza s preporukama</w:t>
            </w:r>
          </w:p>
        </w:tc>
        <w:tc>
          <w:tcPr>
            <w:tcW w:w="15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FD1C1" w14:textId="77777777" w:rsidR="00FD6E82" w:rsidRPr="000152CB" w:rsidRDefault="00FD6E82" w:rsidP="00FD6E82">
            <w:pPr>
              <w:spacing w:after="0" w:line="240" w:lineRule="auto"/>
              <w:rPr>
                <w:rFonts w:eastAsia="Times New Roman" w:cs="Calibri"/>
                <w:color w:val="000000"/>
                <w:sz w:val="20"/>
                <w:szCs w:val="20"/>
                <w:lang w:eastAsia="sr-Latn-ME"/>
              </w:rPr>
            </w:pPr>
            <w:r w:rsidRPr="000152CB">
              <w:rPr>
                <w:rFonts w:eastAsia="Times New Roman" w:cs="Calibri"/>
                <w:color w:val="000000"/>
                <w:sz w:val="20"/>
                <w:szCs w:val="20"/>
                <w:lang w:eastAsia="sr-Latn-ME"/>
              </w:rPr>
              <w:t>MZ, IJZ, MRSS</w:t>
            </w:r>
          </w:p>
        </w:tc>
        <w:tc>
          <w:tcPr>
            <w:tcW w:w="2768" w:type="dxa"/>
            <w:gridSpan w:val="6"/>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1D8EA9D0" w14:textId="5297C83E" w:rsidR="00FD6E82" w:rsidRPr="000152CB" w:rsidRDefault="00A33861" w:rsidP="00FD6E82">
            <w:pPr>
              <w:spacing w:after="0" w:line="240" w:lineRule="auto"/>
              <w:rPr>
                <w:rFonts w:eastAsia="Times New Roman" w:cs="Calibri"/>
                <w:color w:val="000000"/>
                <w:sz w:val="20"/>
                <w:szCs w:val="20"/>
                <w:lang w:eastAsia="sr-Latn-ME"/>
              </w:rPr>
            </w:pPr>
            <w:r w:rsidRPr="000152CB">
              <w:rPr>
                <w:rFonts w:eastAsia="Times New Roman" w:cs="Calibri"/>
                <w:color w:val="000000"/>
                <w:sz w:val="20"/>
                <w:szCs w:val="20"/>
                <w:lang w:eastAsia="sr-Latn-ME"/>
              </w:rPr>
              <w:t xml:space="preserve">Analiza </w:t>
            </w:r>
            <w:r w:rsidR="00C9039F" w:rsidRPr="000152CB">
              <w:rPr>
                <w:rFonts w:eastAsia="Times New Roman" w:cs="Calibri"/>
                <w:color w:val="000000"/>
                <w:sz w:val="20"/>
                <w:szCs w:val="20"/>
                <w:lang w:eastAsia="sr-Latn-ME"/>
              </w:rPr>
              <w:t xml:space="preserve">je izrađena. Akcioni plan </w:t>
            </w:r>
            <w:r w:rsidR="00704ED2" w:rsidRPr="000152CB">
              <w:rPr>
                <w:rFonts w:eastAsia="Times New Roman" w:cs="Calibri"/>
                <w:color w:val="000000"/>
                <w:sz w:val="20"/>
                <w:szCs w:val="20"/>
                <w:lang w:eastAsia="sr-Latn-ME"/>
              </w:rPr>
              <w:t>treba da bude usvojen od strane Vlade u narednom periodu</w:t>
            </w:r>
            <w:r w:rsidRPr="000152CB">
              <w:rPr>
                <w:rFonts w:eastAsia="Times New Roman" w:cs="Calibri"/>
                <w:color w:val="000000"/>
                <w:sz w:val="20"/>
                <w:szCs w:val="20"/>
                <w:lang w:eastAsia="sr-Latn-ME"/>
              </w:rPr>
              <w:t xml:space="preserve"> </w:t>
            </w:r>
          </w:p>
        </w:tc>
        <w:tc>
          <w:tcPr>
            <w:tcW w:w="1097" w:type="dxa"/>
            <w:gridSpan w:val="3"/>
            <w:tcBorders>
              <w:top w:val="single" w:sz="4" w:space="0" w:color="000000"/>
              <w:left w:val="single" w:sz="4" w:space="0" w:color="000000"/>
              <w:bottom w:val="single" w:sz="4" w:space="0" w:color="000000"/>
              <w:right w:val="single" w:sz="4" w:space="0" w:color="000000"/>
            </w:tcBorders>
            <w:shd w:val="clear" w:color="auto" w:fill="auto"/>
          </w:tcPr>
          <w:p w14:paraId="05155C18" w14:textId="77777777" w:rsidR="00FD6E82" w:rsidRPr="000152CB" w:rsidRDefault="00FD6E82" w:rsidP="00FD6E82">
            <w:pPr>
              <w:spacing w:after="0" w:line="240" w:lineRule="auto"/>
              <w:rPr>
                <w:rFonts w:eastAsia="Times New Roman" w:cs="Calibri"/>
                <w:color w:val="000000"/>
                <w:sz w:val="20"/>
                <w:szCs w:val="20"/>
                <w:lang w:eastAsia="sr-Latn-ME"/>
              </w:rPr>
            </w:pPr>
            <w:r w:rsidRPr="000152CB">
              <w:rPr>
                <w:rFonts w:eastAsia="Times New Roman" w:cs="Calibri"/>
                <w:color w:val="000000"/>
                <w:sz w:val="20"/>
                <w:szCs w:val="20"/>
                <w:lang w:eastAsia="sr-Latn-ME"/>
              </w:rPr>
              <w:t xml:space="preserve"> IIIQ2023-IIIQ2024</w:t>
            </w:r>
          </w:p>
        </w:tc>
        <w:tc>
          <w:tcPr>
            <w:tcW w:w="128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ABBCB" w14:textId="77777777" w:rsidR="00FD6E82" w:rsidRPr="000152CB" w:rsidRDefault="00FD6E82" w:rsidP="00FD6E82">
            <w:pPr>
              <w:spacing w:after="0" w:line="240" w:lineRule="auto"/>
              <w:rPr>
                <w:rFonts w:eastAsia="Times New Roman" w:cs="Calibri"/>
                <w:color w:val="000000"/>
                <w:sz w:val="20"/>
                <w:szCs w:val="20"/>
                <w:lang w:eastAsia="sr-Latn-ME"/>
              </w:rPr>
            </w:pPr>
            <w:r w:rsidRPr="000152CB">
              <w:rPr>
                <w:rFonts w:eastAsia="Times New Roman" w:cs="Calibri"/>
                <w:color w:val="000000"/>
                <w:sz w:val="20"/>
                <w:szCs w:val="20"/>
                <w:lang w:eastAsia="sr-Latn-ME"/>
              </w:rPr>
              <w:t>N/A</w:t>
            </w:r>
          </w:p>
        </w:tc>
        <w:tc>
          <w:tcPr>
            <w:tcW w:w="153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321A1" w14:textId="77777777" w:rsidR="00FD6E82" w:rsidRPr="000152CB" w:rsidRDefault="00FD6E82" w:rsidP="00FD6E82">
            <w:pPr>
              <w:spacing w:after="0" w:line="240" w:lineRule="auto"/>
              <w:rPr>
                <w:rFonts w:eastAsia="Times New Roman" w:cs="Calibri"/>
                <w:color w:val="000000"/>
                <w:sz w:val="20"/>
                <w:szCs w:val="20"/>
                <w:lang w:eastAsia="sr-Latn-ME"/>
              </w:rPr>
            </w:pPr>
            <w:r w:rsidRPr="000152CB">
              <w:rPr>
                <w:rFonts w:eastAsia="Times New Roman" w:cs="Calibri"/>
                <w:color w:val="000000"/>
                <w:sz w:val="20"/>
                <w:szCs w:val="20"/>
                <w:lang w:eastAsia="sr-Latn-ME"/>
              </w:rPr>
              <w:t>Budžet, projekti i donacije</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auto"/>
          </w:tcPr>
          <w:p w14:paraId="3BADF0E2" w14:textId="77777777" w:rsidR="00FD6E82" w:rsidRPr="000152CB" w:rsidRDefault="00FD6E82" w:rsidP="00FD6E82">
            <w:pPr>
              <w:spacing w:after="0" w:line="240" w:lineRule="auto"/>
              <w:rPr>
                <w:rFonts w:eastAsia="Times New Roman" w:cs="Calibri"/>
                <w:color w:val="000000"/>
                <w:sz w:val="20"/>
                <w:szCs w:val="20"/>
                <w:lang w:eastAsia="sr-Latn-ME"/>
              </w:rPr>
            </w:pPr>
          </w:p>
        </w:tc>
      </w:tr>
      <w:tr w:rsidR="00BB44DA" w:rsidRPr="000152CB" w14:paraId="24F54BDB" w14:textId="77777777" w:rsidTr="00E77388">
        <w:trPr>
          <w:trHeight w:val="585"/>
          <w:jc w:val="center"/>
        </w:trPr>
        <w:tc>
          <w:tcPr>
            <w:tcW w:w="24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92F3B" w14:textId="77777777" w:rsidR="00FD6E82" w:rsidRPr="000152CB" w:rsidRDefault="00FD6E82" w:rsidP="00FD6E82">
            <w:pPr>
              <w:spacing w:after="0" w:line="240" w:lineRule="auto"/>
              <w:rPr>
                <w:rFonts w:cstheme="minorHAnsi"/>
                <w:bCs/>
                <w:noProof/>
                <w:sz w:val="20"/>
                <w:szCs w:val="20"/>
              </w:rPr>
            </w:pPr>
            <w:r w:rsidRPr="000152CB">
              <w:rPr>
                <w:rFonts w:eastAsia="Times New Roman" w:cs="Calibri"/>
                <w:color w:val="000000"/>
                <w:sz w:val="20"/>
                <w:szCs w:val="20"/>
                <w:lang w:eastAsia="sr-Latn-ME"/>
              </w:rPr>
              <w:t xml:space="preserve">2.1.6. </w:t>
            </w:r>
            <w:r w:rsidRPr="000152CB">
              <w:rPr>
                <w:rFonts w:cstheme="minorHAnsi"/>
                <w:bCs/>
                <w:noProof/>
                <w:sz w:val="20"/>
                <w:szCs w:val="20"/>
              </w:rPr>
              <w:t xml:space="preserve">Izrada analize postojećeg modela upravljanja medicinskim </w:t>
            </w:r>
            <w:r w:rsidRPr="000152CB">
              <w:rPr>
                <w:rFonts w:cstheme="minorHAnsi"/>
                <w:bCs/>
                <w:noProof/>
                <w:sz w:val="20"/>
                <w:szCs w:val="20"/>
              </w:rPr>
              <w:lastRenderedPageBreak/>
              <w:t>otpadom sa  preporukama za unapređivanje troškovne isplativosti i efikasnosti</w:t>
            </w:r>
          </w:p>
        </w:tc>
        <w:tc>
          <w:tcPr>
            <w:tcW w:w="34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5BECE" w14:textId="77777777" w:rsidR="00FD6E82" w:rsidRPr="000152CB" w:rsidRDefault="00FD6E82" w:rsidP="00FD6E82">
            <w:pPr>
              <w:spacing w:after="0" w:line="240" w:lineRule="auto"/>
              <w:rPr>
                <w:rFonts w:eastAsia="Times New Roman" w:cs="Calibri"/>
                <w:color w:val="000000"/>
                <w:sz w:val="20"/>
                <w:szCs w:val="20"/>
                <w:lang w:eastAsia="sr-Latn-ME"/>
              </w:rPr>
            </w:pPr>
            <w:r w:rsidRPr="000152CB">
              <w:rPr>
                <w:rFonts w:eastAsia="Times New Roman" w:cs="Calibri"/>
                <w:sz w:val="20"/>
                <w:szCs w:val="20"/>
                <w:lang w:eastAsia="sr-Latn-ME"/>
              </w:rPr>
              <w:lastRenderedPageBreak/>
              <w:t>Izrađena analiza sa odgovarajućim preporukama</w:t>
            </w:r>
          </w:p>
        </w:tc>
        <w:tc>
          <w:tcPr>
            <w:tcW w:w="15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5AC8C" w14:textId="77777777" w:rsidR="00FD6E82" w:rsidRPr="000152CB" w:rsidRDefault="00FD6E82" w:rsidP="00FD6E82">
            <w:pPr>
              <w:spacing w:after="0" w:line="240" w:lineRule="auto"/>
              <w:rPr>
                <w:rFonts w:eastAsia="Times New Roman" w:cs="Calibri"/>
                <w:color w:val="000000"/>
                <w:sz w:val="20"/>
                <w:szCs w:val="20"/>
                <w:lang w:eastAsia="sr-Latn-ME"/>
              </w:rPr>
            </w:pPr>
            <w:r w:rsidRPr="000152CB">
              <w:rPr>
                <w:rFonts w:eastAsia="Times New Roman" w:cs="Calibri"/>
                <w:color w:val="000000"/>
                <w:sz w:val="20"/>
                <w:szCs w:val="20"/>
                <w:lang w:eastAsia="sr-Latn-ME"/>
              </w:rPr>
              <w:t>MZ, Fond, KCCG, MF</w:t>
            </w:r>
          </w:p>
        </w:tc>
        <w:tc>
          <w:tcPr>
            <w:tcW w:w="2768" w:type="dxa"/>
            <w:gridSpan w:val="6"/>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7BC923D0" w14:textId="2A45649E" w:rsidR="00FD6E82" w:rsidRPr="000152CB" w:rsidRDefault="00A6629D" w:rsidP="00FD6E82">
            <w:pPr>
              <w:spacing w:after="0" w:line="240" w:lineRule="auto"/>
              <w:rPr>
                <w:rFonts w:eastAsia="Times New Roman" w:cs="Calibri"/>
                <w:color w:val="000000"/>
                <w:sz w:val="20"/>
                <w:szCs w:val="20"/>
                <w:lang w:eastAsia="sr-Latn-ME"/>
              </w:rPr>
            </w:pPr>
            <w:r w:rsidRPr="000152CB">
              <w:rPr>
                <w:rFonts w:eastAsia="Times New Roman" w:cs="Calibri"/>
                <w:color w:val="000000"/>
                <w:sz w:val="20"/>
                <w:szCs w:val="20"/>
                <w:lang w:eastAsia="sr-Latn-ME"/>
              </w:rPr>
              <w:t>Realizovano od strane DRI</w:t>
            </w:r>
          </w:p>
        </w:tc>
        <w:tc>
          <w:tcPr>
            <w:tcW w:w="1097" w:type="dxa"/>
            <w:gridSpan w:val="3"/>
            <w:tcBorders>
              <w:top w:val="single" w:sz="4" w:space="0" w:color="000000"/>
              <w:left w:val="single" w:sz="4" w:space="0" w:color="000000"/>
              <w:bottom w:val="single" w:sz="4" w:space="0" w:color="000000"/>
              <w:right w:val="single" w:sz="4" w:space="0" w:color="000000"/>
            </w:tcBorders>
            <w:shd w:val="clear" w:color="auto" w:fill="auto"/>
          </w:tcPr>
          <w:p w14:paraId="6E6FE22A" w14:textId="77777777" w:rsidR="00FD6E82" w:rsidRPr="000152CB" w:rsidRDefault="00FD6E82" w:rsidP="00FD6E82">
            <w:pPr>
              <w:spacing w:after="0" w:line="240" w:lineRule="auto"/>
              <w:rPr>
                <w:rFonts w:eastAsia="Times New Roman" w:cs="Calibri"/>
                <w:color w:val="000000"/>
                <w:sz w:val="20"/>
                <w:szCs w:val="20"/>
                <w:lang w:eastAsia="sr-Latn-ME"/>
              </w:rPr>
            </w:pPr>
            <w:r w:rsidRPr="000152CB">
              <w:rPr>
                <w:rFonts w:eastAsia="Times New Roman" w:cs="Calibri"/>
                <w:color w:val="000000"/>
                <w:sz w:val="20"/>
                <w:szCs w:val="20"/>
                <w:lang w:eastAsia="sr-Latn-ME"/>
              </w:rPr>
              <w:t>IIIQ2023-IV Q 2023</w:t>
            </w:r>
          </w:p>
        </w:tc>
        <w:tc>
          <w:tcPr>
            <w:tcW w:w="128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44BFC" w14:textId="77777777" w:rsidR="00FD6E82" w:rsidRPr="000152CB" w:rsidRDefault="00FD6E82" w:rsidP="00FD6E82">
            <w:pPr>
              <w:spacing w:after="0" w:line="240" w:lineRule="auto"/>
              <w:rPr>
                <w:rFonts w:eastAsia="Times New Roman" w:cs="Calibri"/>
                <w:color w:val="000000"/>
                <w:sz w:val="20"/>
                <w:szCs w:val="20"/>
                <w:lang w:eastAsia="sr-Latn-ME"/>
              </w:rPr>
            </w:pPr>
            <w:r w:rsidRPr="000152CB">
              <w:rPr>
                <w:rFonts w:eastAsia="Times New Roman" w:cs="Calibri"/>
                <w:color w:val="000000"/>
                <w:sz w:val="20"/>
                <w:szCs w:val="20"/>
                <w:lang w:eastAsia="sr-Latn-ME"/>
              </w:rPr>
              <w:t>Tekuća sredstva</w:t>
            </w:r>
          </w:p>
        </w:tc>
        <w:tc>
          <w:tcPr>
            <w:tcW w:w="153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3DD96" w14:textId="77777777" w:rsidR="00FD6E82" w:rsidRPr="000152CB" w:rsidRDefault="00FD6E82" w:rsidP="00FD6E82">
            <w:pPr>
              <w:spacing w:after="0" w:line="240" w:lineRule="auto"/>
              <w:rPr>
                <w:rFonts w:eastAsia="Times New Roman" w:cs="Calibri"/>
                <w:color w:val="000000"/>
                <w:sz w:val="20"/>
                <w:szCs w:val="20"/>
                <w:lang w:eastAsia="sr-Latn-ME"/>
              </w:rPr>
            </w:pPr>
            <w:r w:rsidRPr="000152CB">
              <w:rPr>
                <w:rFonts w:eastAsia="Times New Roman" w:cs="Calibri"/>
                <w:color w:val="000000"/>
                <w:sz w:val="20"/>
                <w:szCs w:val="20"/>
                <w:lang w:eastAsia="sr-Latn-ME"/>
              </w:rPr>
              <w:t>Budžet</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auto"/>
          </w:tcPr>
          <w:p w14:paraId="52F89191" w14:textId="77777777" w:rsidR="00FD6E82" w:rsidRPr="000152CB" w:rsidRDefault="00FD6E82" w:rsidP="00FD6E82">
            <w:pPr>
              <w:spacing w:after="0" w:line="240" w:lineRule="auto"/>
              <w:rPr>
                <w:rFonts w:eastAsia="Times New Roman" w:cs="Calibri"/>
                <w:color w:val="000000"/>
                <w:sz w:val="20"/>
                <w:szCs w:val="20"/>
                <w:lang w:eastAsia="sr-Latn-ME"/>
              </w:rPr>
            </w:pPr>
          </w:p>
        </w:tc>
      </w:tr>
      <w:tr w:rsidR="00FD6E82" w:rsidRPr="000152CB" w14:paraId="2115DF3D" w14:textId="77777777" w:rsidTr="00E77388">
        <w:trPr>
          <w:trHeight w:val="585"/>
          <w:jc w:val="center"/>
        </w:trPr>
        <w:tc>
          <w:tcPr>
            <w:tcW w:w="2404" w:type="dxa"/>
            <w:gridSpan w:val="2"/>
            <w:tcBorders>
              <w:top w:val="single" w:sz="4" w:space="0" w:color="000000"/>
              <w:left w:val="single" w:sz="4" w:space="0" w:color="000000"/>
              <w:bottom w:val="single" w:sz="4" w:space="0" w:color="000000"/>
              <w:right w:val="single" w:sz="4" w:space="0" w:color="000000"/>
            </w:tcBorders>
            <w:shd w:val="clear" w:color="auto" w:fill="8EAADB" w:themeFill="accent1" w:themeFillTint="99"/>
            <w:tcMar>
              <w:top w:w="0" w:type="dxa"/>
              <w:left w:w="108" w:type="dxa"/>
              <w:bottom w:w="0" w:type="dxa"/>
              <w:right w:w="108" w:type="dxa"/>
            </w:tcMar>
            <w:vAlign w:val="center"/>
            <w:hideMark/>
          </w:tcPr>
          <w:p w14:paraId="716BE4C6" w14:textId="77777777" w:rsidR="00FD6E82" w:rsidRPr="000152CB" w:rsidRDefault="00FD6E82" w:rsidP="00FD6E82">
            <w:pPr>
              <w:spacing w:after="0" w:line="240" w:lineRule="auto"/>
              <w:jc w:val="center"/>
              <w:rPr>
                <w:rFonts w:eastAsia="Times New Roman" w:cs="Calibri"/>
                <w:b/>
                <w:sz w:val="20"/>
                <w:szCs w:val="20"/>
                <w:lang w:eastAsia="sr-Latn-ME"/>
              </w:rPr>
            </w:pPr>
            <w:r w:rsidRPr="000152CB">
              <w:rPr>
                <w:rFonts w:eastAsia="Times New Roman" w:cs="Calibri"/>
                <w:b/>
                <w:color w:val="000000"/>
                <w:sz w:val="20"/>
                <w:szCs w:val="20"/>
                <w:lang w:eastAsia="sr-Latn-ME"/>
              </w:rPr>
              <w:t>OPERATIVNI CILJ 2.2.</w:t>
            </w:r>
          </w:p>
        </w:tc>
        <w:tc>
          <w:tcPr>
            <w:tcW w:w="13161" w:type="dxa"/>
            <w:gridSpan w:val="27"/>
            <w:tcBorders>
              <w:top w:val="single" w:sz="4" w:space="0" w:color="000000"/>
              <w:left w:val="single" w:sz="4" w:space="0" w:color="000000"/>
              <w:bottom w:val="single" w:sz="4" w:space="0" w:color="000000"/>
              <w:right w:val="single" w:sz="4" w:space="0" w:color="000000"/>
            </w:tcBorders>
            <w:shd w:val="clear" w:color="auto" w:fill="8EAADB" w:themeFill="accent1" w:themeFillTint="99"/>
            <w:tcMar>
              <w:top w:w="0" w:type="dxa"/>
              <w:left w:w="108" w:type="dxa"/>
              <w:bottom w:w="0" w:type="dxa"/>
              <w:right w:w="108" w:type="dxa"/>
            </w:tcMar>
            <w:vAlign w:val="center"/>
            <w:hideMark/>
          </w:tcPr>
          <w:p w14:paraId="5334866D" w14:textId="77777777" w:rsidR="00FD6E82" w:rsidRPr="000152CB" w:rsidRDefault="00FD6E82" w:rsidP="00FD6E82">
            <w:pPr>
              <w:spacing w:after="0" w:line="240" w:lineRule="auto"/>
              <w:ind w:left="270"/>
              <w:jc w:val="center"/>
              <w:rPr>
                <w:rFonts w:eastAsia="Times New Roman" w:cs="Calibri"/>
                <w:b/>
                <w:sz w:val="20"/>
                <w:szCs w:val="20"/>
                <w:lang w:eastAsia="sr-Latn-ME"/>
              </w:rPr>
            </w:pPr>
            <w:r w:rsidRPr="000152CB">
              <w:rPr>
                <w:rFonts w:eastAsia="Times New Roman" w:cs="Calibri"/>
                <w:b/>
                <w:sz w:val="20"/>
                <w:szCs w:val="20"/>
                <w:lang w:eastAsia="sr-Latn-ME"/>
              </w:rPr>
              <w:t>OSNAŽIVANJE KAPACITETA GRAĐANA I ZAJEDNICA ZA EFIKASNO UPRAVLJANJE ZDRAVLJEM</w:t>
            </w:r>
          </w:p>
        </w:tc>
      </w:tr>
      <w:tr w:rsidR="00FD6E82" w:rsidRPr="000152CB" w14:paraId="2610CFA5" w14:textId="77777777" w:rsidTr="00E77388">
        <w:trPr>
          <w:trHeight w:val="610"/>
          <w:jc w:val="center"/>
        </w:trPr>
        <w:tc>
          <w:tcPr>
            <w:tcW w:w="2404" w:type="dxa"/>
            <w:gridSpan w:val="2"/>
            <w:tcBorders>
              <w:top w:val="single" w:sz="4" w:space="0" w:color="000000"/>
              <w:left w:val="single" w:sz="4" w:space="0" w:color="000000"/>
              <w:bottom w:val="single" w:sz="4" w:space="0" w:color="000000"/>
              <w:right w:val="single" w:sz="4" w:space="0" w:color="000000"/>
            </w:tcBorders>
            <w:shd w:val="clear" w:color="auto" w:fill="B4C6E7" w:themeFill="accent1" w:themeFillTint="66"/>
            <w:tcMar>
              <w:top w:w="0" w:type="dxa"/>
              <w:left w:w="108" w:type="dxa"/>
              <w:bottom w:w="0" w:type="dxa"/>
              <w:right w:w="108" w:type="dxa"/>
            </w:tcMar>
            <w:vAlign w:val="center"/>
            <w:hideMark/>
          </w:tcPr>
          <w:p w14:paraId="5F21E041" w14:textId="77777777" w:rsidR="00FD6E82" w:rsidRPr="000152CB" w:rsidRDefault="00FD6E82" w:rsidP="00FD6E82">
            <w:pPr>
              <w:spacing w:after="0" w:line="240" w:lineRule="auto"/>
              <w:ind w:left="270"/>
              <w:jc w:val="center"/>
              <w:rPr>
                <w:rFonts w:eastAsia="Times New Roman" w:cstheme="minorHAnsi"/>
                <w:b/>
                <w:color w:val="000000"/>
                <w:sz w:val="20"/>
                <w:szCs w:val="20"/>
                <w:lang w:eastAsia="sr-Latn-ME"/>
              </w:rPr>
            </w:pPr>
            <w:r w:rsidRPr="000152CB">
              <w:rPr>
                <w:rFonts w:eastAsia="Times New Roman" w:cstheme="minorHAnsi"/>
                <w:b/>
                <w:color w:val="000000"/>
                <w:sz w:val="20"/>
                <w:szCs w:val="20"/>
                <w:lang w:eastAsia="sr-Latn-ME"/>
              </w:rPr>
              <w:t>INDIKATOR UČINKA 1:</w:t>
            </w:r>
          </w:p>
          <w:p w14:paraId="31A50730" w14:textId="77777777" w:rsidR="00FD6E82" w:rsidRPr="000152CB" w:rsidRDefault="00FD6E82" w:rsidP="00FD6E82">
            <w:pPr>
              <w:spacing w:after="0" w:line="240" w:lineRule="auto"/>
              <w:ind w:left="270"/>
              <w:jc w:val="center"/>
              <w:rPr>
                <w:rFonts w:eastAsia="Times New Roman" w:cs="Calibri"/>
                <w:b/>
                <w:sz w:val="20"/>
                <w:szCs w:val="20"/>
                <w:lang w:eastAsia="sr-Latn-ME"/>
              </w:rPr>
            </w:pPr>
            <w:r w:rsidRPr="000152CB">
              <w:rPr>
                <w:rFonts w:eastAsia="Times New Roman" w:cstheme="minorHAnsi"/>
                <w:b/>
                <w:color w:val="000000" w:themeColor="text1"/>
                <w:sz w:val="20"/>
                <w:szCs w:val="20"/>
                <w:lang w:eastAsia="sr-Latn-ME"/>
              </w:rPr>
              <w:t>Broj korisnika usluga savjetovališta je zadovoljno kvalitetom pruženih usluga</w:t>
            </w:r>
          </w:p>
        </w:tc>
        <w:tc>
          <w:tcPr>
            <w:tcW w:w="4970" w:type="dxa"/>
            <w:gridSpan w:val="4"/>
            <w:tcBorders>
              <w:top w:val="single" w:sz="4" w:space="0" w:color="000000"/>
              <w:left w:val="single" w:sz="4" w:space="0" w:color="000000"/>
              <w:bottom w:val="single" w:sz="4" w:space="0" w:color="000000"/>
              <w:right w:val="single" w:sz="4" w:space="0" w:color="000000"/>
            </w:tcBorders>
            <w:shd w:val="clear" w:color="auto" w:fill="B4C6E7" w:themeFill="accent1" w:themeFillTint="66"/>
            <w:tcMar>
              <w:top w:w="0" w:type="dxa"/>
              <w:left w:w="108" w:type="dxa"/>
              <w:bottom w:w="0" w:type="dxa"/>
              <w:right w:w="108" w:type="dxa"/>
            </w:tcMar>
            <w:hideMark/>
          </w:tcPr>
          <w:p w14:paraId="231193A8" w14:textId="77777777" w:rsidR="00FD6E82" w:rsidRPr="000152CB" w:rsidRDefault="00FD6E82" w:rsidP="00FD6E82">
            <w:pPr>
              <w:spacing w:after="0" w:line="240" w:lineRule="auto"/>
              <w:ind w:left="270"/>
              <w:contextualSpacing/>
              <w:jc w:val="center"/>
              <w:rPr>
                <w:rFonts w:eastAsia="Times New Roman" w:cs="Calibri"/>
                <w:b/>
                <w:color w:val="000000"/>
                <w:sz w:val="20"/>
                <w:szCs w:val="20"/>
                <w:lang w:eastAsia="sr-Latn-ME"/>
              </w:rPr>
            </w:pPr>
            <w:r w:rsidRPr="000152CB">
              <w:rPr>
                <w:rFonts w:eastAsia="Times New Roman" w:cs="Calibri"/>
                <w:b/>
                <w:color w:val="000000"/>
                <w:sz w:val="20"/>
                <w:szCs w:val="20"/>
                <w:lang w:eastAsia="sr-Latn-ME"/>
              </w:rPr>
              <w:t>Početna vrijednost:</w:t>
            </w:r>
          </w:p>
          <w:p w14:paraId="745A57FD" w14:textId="77777777" w:rsidR="00FD6E82" w:rsidRPr="000152CB" w:rsidRDefault="00FD6E82" w:rsidP="00FD6E82">
            <w:pPr>
              <w:spacing w:after="0" w:line="240" w:lineRule="auto"/>
              <w:ind w:left="270"/>
              <w:contextualSpacing/>
              <w:jc w:val="center"/>
              <w:rPr>
                <w:rFonts w:eastAsia="Times New Roman" w:cs="Calibri"/>
                <w:b/>
                <w:sz w:val="20"/>
                <w:szCs w:val="20"/>
                <w:lang w:eastAsia="sr-Latn-ME"/>
              </w:rPr>
            </w:pPr>
          </w:p>
          <w:p w14:paraId="48EE7B72" w14:textId="77777777" w:rsidR="00FD6E82" w:rsidRPr="000152CB" w:rsidRDefault="00FD6E82" w:rsidP="00FD6E82">
            <w:pPr>
              <w:spacing w:after="0" w:line="240" w:lineRule="auto"/>
              <w:ind w:left="270"/>
              <w:contextualSpacing/>
              <w:jc w:val="center"/>
              <w:rPr>
                <w:rFonts w:eastAsia="Times New Roman" w:cs="Calibri"/>
                <w:bCs/>
                <w:sz w:val="20"/>
                <w:szCs w:val="20"/>
                <w:lang w:eastAsia="sr-Latn-ME"/>
              </w:rPr>
            </w:pPr>
            <w:r w:rsidRPr="000152CB">
              <w:rPr>
                <w:rFonts w:eastAsia="Times New Roman" w:cs="Calibri"/>
                <w:bCs/>
                <w:sz w:val="20"/>
                <w:szCs w:val="20"/>
                <w:lang w:eastAsia="sr-Latn-ME"/>
              </w:rPr>
              <w:t>Nema podataka o trenutnom nivou zadovoljstva korisnika kvalitetom pruženih usluga zdravstvenog sistema</w:t>
            </w:r>
          </w:p>
          <w:p w14:paraId="0002AC0B" w14:textId="77777777" w:rsidR="00FD6E82" w:rsidRPr="000152CB" w:rsidRDefault="00FD6E82" w:rsidP="00FD6E82">
            <w:pPr>
              <w:spacing w:after="0" w:line="240" w:lineRule="auto"/>
              <w:ind w:left="270"/>
              <w:jc w:val="center"/>
              <w:rPr>
                <w:rFonts w:eastAsia="Times New Roman" w:cs="Calibri"/>
                <w:b/>
                <w:sz w:val="20"/>
                <w:szCs w:val="20"/>
                <w:lang w:eastAsia="sr-Latn-ME"/>
              </w:rPr>
            </w:pPr>
          </w:p>
        </w:tc>
        <w:tc>
          <w:tcPr>
            <w:tcW w:w="4742" w:type="dxa"/>
            <w:gridSpan w:val="13"/>
            <w:tcBorders>
              <w:top w:val="single" w:sz="4" w:space="0" w:color="000000"/>
              <w:left w:val="single" w:sz="4" w:space="0" w:color="000000"/>
              <w:bottom w:val="single" w:sz="4" w:space="0" w:color="000000"/>
              <w:right w:val="single" w:sz="4" w:space="0" w:color="auto"/>
            </w:tcBorders>
            <w:shd w:val="clear" w:color="auto" w:fill="B4C6E7" w:themeFill="accent1" w:themeFillTint="66"/>
          </w:tcPr>
          <w:p w14:paraId="018EDD7E" w14:textId="77777777" w:rsidR="00FD6E82" w:rsidRPr="000152CB" w:rsidRDefault="00FD6E82" w:rsidP="00FD6E82">
            <w:pPr>
              <w:spacing w:after="0" w:line="240" w:lineRule="auto"/>
              <w:ind w:left="270"/>
              <w:jc w:val="center"/>
              <w:rPr>
                <w:rFonts w:eastAsia="Times New Roman" w:cs="Calibri"/>
                <w:b/>
                <w:color w:val="000000"/>
                <w:sz w:val="20"/>
                <w:szCs w:val="20"/>
                <w:lang w:eastAsia="sr-Latn-ME"/>
              </w:rPr>
            </w:pPr>
            <w:r w:rsidRPr="000152CB">
              <w:rPr>
                <w:rFonts w:eastAsia="Times New Roman" w:cs="Calibri"/>
                <w:b/>
                <w:color w:val="000000"/>
                <w:sz w:val="20"/>
                <w:szCs w:val="20"/>
                <w:lang w:eastAsia="sr-Latn-ME"/>
              </w:rPr>
              <w:t>Prelazna vrijednost:</w:t>
            </w:r>
          </w:p>
          <w:p w14:paraId="60D3E6CA" w14:textId="77777777" w:rsidR="00FD6E82" w:rsidRPr="000152CB" w:rsidRDefault="00FD6E82" w:rsidP="00FD6E82">
            <w:pPr>
              <w:spacing w:after="0" w:line="240" w:lineRule="auto"/>
              <w:ind w:left="270"/>
              <w:jc w:val="center"/>
              <w:rPr>
                <w:rFonts w:eastAsia="Times New Roman" w:cs="Calibri"/>
                <w:b/>
                <w:color w:val="000000"/>
                <w:sz w:val="20"/>
                <w:szCs w:val="20"/>
                <w:lang w:eastAsia="sr-Latn-ME"/>
              </w:rPr>
            </w:pPr>
          </w:p>
          <w:p w14:paraId="3C49CE04" w14:textId="77777777" w:rsidR="00FD6E82" w:rsidRPr="000152CB" w:rsidRDefault="00FD6E82" w:rsidP="00FD6E82">
            <w:pPr>
              <w:spacing w:after="0" w:line="240" w:lineRule="auto"/>
              <w:ind w:left="270"/>
              <w:jc w:val="center"/>
              <w:rPr>
                <w:rFonts w:eastAsia="Times New Roman" w:cs="Calibri"/>
                <w:bCs/>
                <w:color w:val="000000"/>
                <w:sz w:val="20"/>
                <w:szCs w:val="20"/>
                <w:lang w:eastAsia="sr-Latn-ME"/>
              </w:rPr>
            </w:pPr>
            <w:r w:rsidRPr="000152CB">
              <w:rPr>
                <w:rFonts w:eastAsia="Times New Roman" w:cs="Calibri"/>
                <w:bCs/>
                <w:color w:val="000000"/>
                <w:sz w:val="20"/>
                <w:szCs w:val="20"/>
                <w:lang w:eastAsia="sr-Latn-ME"/>
              </w:rPr>
              <w:t>Izrađena analiza o niovu zadovoljstva korisnika kvalitetom pruženih usluga zdravstvenog sistema/</w:t>
            </w:r>
          </w:p>
          <w:p w14:paraId="7671344F" w14:textId="77777777" w:rsidR="00FD6E82" w:rsidRPr="000152CB" w:rsidRDefault="00FD6E82" w:rsidP="00FD6E82">
            <w:pPr>
              <w:spacing w:after="0" w:line="240" w:lineRule="auto"/>
              <w:ind w:left="270"/>
              <w:jc w:val="center"/>
              <w:rPr>
                <w:rFonts w:eastAsia="Times New Roman" w:cs="Calibri"/>
                <w:bCs/>
                <w:color w:val="000000"/>
                <w:sz w:val="20"/>
                <w:szCs w:val="20"/>
                <w:lang w:eastAsia="sr-Latn-ME"/>
              </w:rPr>
            </w:pPr>
          </w:p>
          <w:p w14:paraId="6FF0B820" w14:textId="77777777" w:rsidR="00FD6E82" w:rsidRPr="000152CB" w:rsidRDefault="00FD6E82" w:rsidP="00FD6E82">
            <w:pPr>
              <w:spacing w:after="0" w:line="240" w:lineRule="auto"/>
              <w:ind w:left="270"/>
              <w:jc w:val="center"/>
              <w:rPr>
                <w:rFonts w:eastAsia="Times New Roman" w:cs="Calibri"/>
                <w:bCs/>
                <w:color w:val="000000"/>
                <w:sz w:val="20"/>
                <w:szCs w:val="20"/>
                <w:lang w:eastAsia="sr-Latn-ME"/>
              </w:rPr>
            </w:pPr>
            <w:r w:rsidRPr="000152CB">
              <w:rPr>
                <w:rFonts w:eastAsia="Times New Roman" w:cs="Calibri"/>
                <w:bCs/>
                <w:color w:val="000000"/>
                <w:sz w:val="20"/>
                <w:szCs w:val="20"/>
                <w:lang w:eastAsia="sr-Latn-ME"/>
              </w:rPr>
              <w:t>50% korisnika usluga zdravstvenog sistema Crne Gore je zadovoljno pruženim uslugama</w:t>
            </w:r>
          </w:p>
          <w:p w14:paraId="00D4A687" w14:textId="77777777" w:rsidR="00FD6E82" w:rsidRPr="000152CB" w:rsidRDefault="00FD6E82" w:rsidP="00FD6E82">
            <w:pPr>
              <w:spacing w:after="0" w:line="240" w:lineRule="auto"/>
              <w:ind w:left="270"/>
              <w:jc w:val="center"/>
              <w:rPr>
                <w:rFonts w:eastAsia="Times New Roman" w:cs="Calibri"/>
                <w:b/>
                <w:sz w:val="20"/>
                <w:szCs w:val="20"/>
                <w:lang w:eastAsia="sr-Latn-ME"/>
              </w:rPr>
            </w:pPr>
          </w:p>
        </w:tc>
        <w:tc>
          <w:tcPr>
            <w:tcW w:w="3449" w:type="dxa"/>
            <w:gridSpan w:val="10"/>
            <w:tcBorders>
              <w:top w:val="single" w:sz="4" w:space="0" w:color="000000"/>
              <w:left w:val="single" w:sz="4" w:space="0" w:color="auto"/>
              <w:bottom w:val="single" w:sz="4" w:space="0" w:color="000000"/>
              <w:right w:val="single" w:sz="4" w:space="0" w:color="000000"/>
            </w:tcBorders>
            <w:shd w:val="clear" w:color="auto" w:fill="B4C6E7" w:themeFill="accent1" w:themeFillTint="66"/>
          </w:tcPr>
          <w:p w14:paraId="7905491A" w14:textId="77777777" w:rsidR="00FD6E82" w:rsidRPr="000152CB" w:rsidRDefault="00FD6E82" w:rsidP="00FD6E82">
            <w:pPr>
              <w:spacing w:after="0" w:line="240" w:lineRule="auto"/>
              <w:jc w:val="center"/>
              <w:rPr>
                <w:rFonts w:eastAsia="Times New Roman" w:cs="Calibri"/>
                <w:b/>
                <w:color w:val="000000"/>
                <w:sz w:val="20"/>
                <w:szCs w:val="20"/>
                <w:lang w:eastAsia="sr-Latn-ME"/>
              </w:rPr>
            </w:pPr>
            <w:r w:rsidRPr="000152CB">
              <w:rPr>
                <w:rFonts w:eastAsia="Times New Roman" w:cs="Calibri"/>
                <w:b/>
                <w:color w:val="000000"/>
                <w:sz w:val="20"/>
                <w:szCs w:val="20"/>
                <w:lang w:eastAsia="sr-Latn-ME"/>
              </w:rPr>
              <w:t>Ciljna vrijednost:</w:t>
            </w:r>
          </w:p>
          <w:p w14:paraId="5AD27643" w14:textId="77777777" w:rsidR="00FD6E82" w:rsidRPr="000152CB" w:rsidRDefault="00FD6E82" w:rsidP="00FD6E82">
            <w:pPr>
              <w:spacing w:after="0" w:line="240" w:lineRule="auto"/>
              <w:jc w:val="center"/>
              <w:rPr>
                <w:rFonts w:eastAsia="Times New Roman" w:cs="Calibri"/>
                <w:b/>
                <w:color w:val="000000"/>
                <w:sz w:val="20"/>
                <w:szCs w:val="20"/>
                <w:lang w:eastAsia="sr-Latn-ME"/>
              </w:rPr>
            </w:pPr>
          </w:p>
          <w:p w14:paraId="570FCB78" w14:textId="77777777" w:rsidR="00FD6E82" w:rsidRPr="000152CB" w:rsidRDefault="00FD6E82" w:rsidP="00FD6E82">
            <w:pPr>
              <w:spacing w:after="0" w:line="240" w:lineRule="auto"/>
              <w:jc w:val="center"/>
              <w:rPr>
                <w:rFonts w:eastAsia="Times New Roman" w:cs="Calibri"/>
                <w:b/>
                <w:color w:val="000000"/>
                <w:sz w:val="20"/>
                <w:szCs w:val="20"/>
                <w:lang w:eastAsia="sr-Latn-ME"/>
              </w:rPr>
            </w:pPr>
          </w:p>
          <w:p w14:paraId="13FDA059" w14:textId="77777777" w:rsidR="00FD6E82" w:rsidRPr="000152CB" w:rsidRDefault="00FD6E82" w:rsidP="00FD6E82">
            <w:pPr>
              <w:spacing w:after="0" w:line="240" w:lineRule="auto"/>
              <w:jc w:val="center"/>
              <w:rPr>
                <w:rFonts w:eastAsia="Times New Roman" w:cs="Calibri"/>
                <w:bCs/>
                <w:color w:val="000000"/>
                <w:sz w:val="20"/>
                <w:szCs w:val="20"/>
                <w:lang w:eastAsia="sr-Latn-ME"/>
              </w:rPr>
            </w:pPr>
            <w:r w:rsidRPr="000152CB">
              <w:rPr>
                <w:rFonts w:eastAsia="Times New Roman" w:cs="Calibri"/>
                <w:bCs/>
                <w:color w:val="000000"/>
                <w:sz w:val="20"/>
                <w:szCs w:val="20"/>
                <w:lang w:eastAsia="sr-Latn-ME"/>
              </w:rPr>
              <w:t>70% korisnika usluga zdravstvenog sistema Crne Gore je zadovoljno pruženim uslugama</w:t>
            </w:r>
          </w:p>
          <w:p w14:paraId="03FD4370" w14:textId="77777777" w:rsidR="00FD6E82" w:rsidRPr="000152CB" w:rsidRDefault="00FD6E82" w:rsidP="00FD6E82">
            <w:pPr>
              <w:spacing w:after="0" w:line="240" w:lineRule="auto"/>
              <w:ind w:left="270"/>
              <w:jc w:val="center"/>
              <w:rPr>
                <w:rFonts w:eastAsia="Times New Roman" w:cs="Calibri"/>
                <w:b/>
                <w:sz w:val="20"/>
                <w:szCs w:val="20"/>
                <w:lang w:eastAsia="sr-Latn-ME"/>
              </w:rPr>
            </w:pPr>
          </w:p>
        </w:tc>
      </w:tr>
      <w:tr w:rsidR="00BB44DA" w:rsidRPr="000152CB" w14:paraId="6ED35625" w14:textId="77777777" w:rsidTr="00E77388">
        <w:trPr>
          <w:trHeight w:val="377"/>
          <w:jc w:val="center"/>
        </w:trPr>
        <w:tc>
          <w:tcPr>
            <w:tcW w:w="2404" w:type="dxa"/>
            <w:gridSpan w:val="2"/>
            <w:vMerge w:val="restart"/>
            <w:tcBorders>
              <w:top w:val="single" w:sz="4" w:space="0" w:color="000000"/>
              <w:left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hideMark/>
          </w:tcPr>
          <w:p w14:paraId="6DFAAA01" w14:textId="77777777" w:rsidR="00FD6E82" w:rsidRPr="000152CB" w:rsidRDefault="00FD6E82" w:rsidP="00FD6E82">
            <w:pPr>
              <w:spacing w:after="0" w:line="240" w:lineRule="auto"/>
              <w:ind w:left="270"/>
              <w:jc w:val="center"/>
              <w:rPr>
                <w:rFonts w:eastAsia="Times New Roman" w:cs="Calibri"/>
                <w:b/>
                <w:sz w:val="20"/>
                <w:szCs w:val="20"/>
                <w:lang w:eastAsia="sr-Latn-ME"/>
              </w:rPr>
            </w:pPr>
            <w:r w:rsidRPr="000152CB">
              <w:rPr>
                <w:rFonts w:eastAsia="Times New Roman" w:cs="Calibri"/>
                <w:b/>
                <w:color w:val="000000"/>
                <w:sz w:val="20"/>
                <w:szCs w:val="20"/>
                <w:lang w:eastAsia="sr-Latn-ME"/>
              </w:rPr>
              <w:t>Aktivnost koja utiče na realizaciju Operativnog cilja</w:t>
            </w:r>
          </w:p>
        </w:tc>
        <w:tc>
          <w:tcPr>
            <w:tcW w:w="3453" w:type="dxa"/>
            <w:gridSpan w:val="2"/>
            <w:vMerge w:val="restart"/>
            <w:tcBorders>
              <w:top w:val="single" w:sz="4" w:space="0" w:color="000000"/>
              <w:left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hideMark/>
          </w:tcPr>
          <w:p w14:paraId="4458E9FD" w14:textId="77777777" w:rsidR="00FD6E82" w:rsidRPr="000152CB" w:rsidRDefault="00FD6E82" w:rsidP="00FD6E82">
            <w:pPr>
              <w:spacing w:after="0" w:line="240" w:lineRule="auto"/>
              <w:ind w:left="270"/>
              <w:jc w:val="center"/>
              <w:rPr>
                <w:rFonts w:eastAsia="Times New Roman" w:cs="Calibri"/>
                <w:b/>
                <w:sz w:val="20"/>
                <w:szCs w:val="20"/>
                <w:lang w:eastAsia="sr-Latn-ME"/>
              </w:rPr>
            </w:pPr>
            <w:r w:rsidRPr="000152CB">
              <w:rPr>
                <w:rFonts w:eastAsia="Times New Roman" w:cs="Calibri"/>
                <w:b/>
                <w:color w:val="000000"/>
                <w:sz w:val="20"/>
                <w:szCs w:val="20"/>
                <w:lang w:eastAsia="sr-Latn-ME"/>
              </w:rPr>
              <w:t>Indikator rezultata</w:t>
            </w:r>
          </w:p>
        </w:tc>
        <w:tc>
          <w:tcPr>
            <w:tcW w:w="1583" w:type="dxa"/>
            <w:gridSpan w:val="3"/>
            <w:vMerge w:val="restart"/>
            <w:tcBorders>
              <w:top w:val="single" w:sz="4" w:space="0" w:color="000000"/>
              <w:left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hideMark/>
          </w:tcPr>
          <w:p w14:paraId="2215720B" w14:textId="77777777" w:rsidR="00FD6E82" w:rsidRPr="000152CB" w:rsidRDefault="00FD6E82" w:rsidP="00FD6E82">
            <w:pPr>
              <w:spacing w:after="0" w:line="240" w:lineRule="auto"/>
              <w:ind w:left="270"/>
              <w:jc w:val="center"/>
              <w:rPr>
                <w:rFonts w:eastAsia="Times New Roman" w:cs="Calibri"/>
                <w:b/>
                <w:sz w:val="20"/>
                <w:szCs w:val="20"/>
                <w:lang w:eastAsia="sr-Latn-ME"/>
              </w:rPr>
            </w:pPr>
            <w:r w:rsidRPr="000152CB">
              <w:rPr>
                <w:rFonts w:eastAsia="Times New Roman" w:cs="Calibri"/>
                <w:b/>
                <w:color w:val="000000"/>
                <w:sz w:val="20"/>
                <w:szCs w:val="20"/>
                <w:lang w:eastAsia="sr-Latn-ME"/>
              </w:rPr>
              <w:t>Nadležna institucija</w:t>
            </w:r>
          </w:p>
        </w:tc>
        <w:tc>
          <w:tcPr>
            <w:tcW w:w="2768" w:type="dxa"/>
            <w:gridSpan w:val="6"/>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hideMark/>
          </w:tcPr>
          <w:p w14:paraId="2BC4CF63" w14:textId="77777777" w:rsidR="00FD6E82" w:rsidRPr="000152CB" w:rsidRDefault="00FD6E82" w:rsidP="00FD6E82">
            <w:pPr>
              <w:spacing w:after="0" w:line="240" w:lineRule="auto"/>
              <w:ind w:left="270"/>
              <w:jc w:val="center"/>
              <w:rPr>
                <w:rFonts w:eastAsia="Times New Roman" w:cs="Calibri"/>
                <w:b/>
                <w:sz w:val="20"/>
                <w:szCs w:val="20"/>
                <w:lang w:eastAsia="sr-Latn-ME"/>
              </w:rPr>
            </w:pPr>
            <w:r w:rsidRPr="000152CB">
              <w:rPr>
                <w:rFonts w:eastAsia="Times New Roman" w:cs="Calibri"/>
                <w:b/>
                <w:sz w:val="20"/>
                <w:szCs w:val="20"/>
                <w:lang w:eastAsia="sr-Latn-ME"/>
              </w:rPr>
              <w:t>STATUS REALIZACIJE AKTIVNOSTI</w:t>
            </w:r>
          </w:p>
        </w:tc>
        <w:tc>
          <w:tcPr>
            <w:tcW w:w="1097" w:type="dxa"/>
            <w:gridSpan w:val="3"/>
            <w:vMerge w:val="restart"/>
            <w:tcBorders>
              <w:top w:val="single" w:sz="4" w:space="0" w:color="000000"/>
              <w:left w:val="single" w:sz="4" w:space="0" w:color="000000"/>
              <w:right w:val="single" w:sz="4" w:space="0" w:color="000000"/>
            </w:tcBorders>
            <w:shd w:val="clear" w:color="auto" w:fill="D9E2F3" w:themeFill="accent1" w:themeFillTint="33"/>
            <w:vAlign w:val="center"/>
          </w:tcPr>
          <w:p w14:paraId="3854D611" w14:textId="77777777" w:rsidR="00FD6E82" w:rsidRPr="000152CB" w:rsidRDefault="00FD6E82" w:rsidP="00FD6E82">
            <w:pPr>
              <w:spacing w:after="0" w:line="240" w:lineRule="auto"/>
              <w:ind w:left="270"/>
              <w:jc w:val="center"/>
              <w:rPr>
                <w:rFonts w:eastAsia="Times New Roman" w:cs="Calibri"/>
                <w:b/>
                <w:sz w:val="20"/>
                <w:szCs w:val="20"/>
                <w:lang w:eastAsia="sr-Latn-ME"/>
              </w:rPr>
            </w:pPr>
            <w:r w:rsidRPr="000152CB">
              <w:rPr>
                <w:rFonts w:eastAsia="Times New Roman" w:cs="Calibri"/>
                <w:b/>
                <w:color w:val="000000"/>
                <w:sz w:val="20"/>
                <w:szCs w:val="20"/>
                <w:lang w:eastAsia="sr-Latn-ME"/>
              </w:rPr>
              <w:t>Planirani rok završetka</w:t>
            </w:r>
          </w:p>
        </w:tc>
        <w:tc>
          <w:tcPr>
            <w:tcW w:w="1287" w:type="dxa"/>
            <w:gridSpan w:val="4"/>
            <w:vMerge w:val="restart"/>
            <w:tcBorders>
              <w:top w:val="single" w:sz="4" w:space="0" w:color="000000"/>
              <w:left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hideMark/>
          </w:tcPr>
          <w:p w14:paraId="29A5207F" w14:textId="77777777" w:rsidR="00FD6E82" w:rsidRPr="000152CB" w:rsidRDefault="00FD6E82" w:rsidP="00FD6E82">
            <w:pPr>
              <w:spacing w:after="0" w:line="240" w:lineRule="auto"/>
              <w:ind w:left="270"/>
              <w:jc w:val="center"/>
              <w:rPr>
                <w:rFonts w:eastAsia="Times New Roman" w:cs="Calibri"/>
                <w:b/>
                <w:sz w:val="20"/>
                <w:szCs w:val="20"/>
                <w:lang w:eastAsia="sr-Latn-ME"/>
              </w:rPr>
            </w:pPr>
            <w:r w:rsidRPr="000152CB">
              <w:rPr>
                <w:rFonts w:eastAsia="Times New Roman" w:cs="Calibri"/>
                <w:b/>
                <w:color w:val="000000"/>
                <w:sz w:val="20"/>
                <w:szCs w:val="20"/>
                <w:lang w:eastAsia="sr-Latn-ME"/>
              </w:rPr>
              <w:t>Planirana i utrošena sredstva</w:t>
            </w:r>
          </w:p>
        </w:tc>
        <w:tc>
          <w:tcPr>
            <w:tcW w:w="1513" w:type="dxa"/>
            <w:gridSpan w:val="6"/>
            <w:vMerge w:val="restart"/>
            <w:tcBorders>
              <w:top w:val="single" w:sz="4" w:space="0" w:color="000000"/>
              <w:left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hideMark/>
          </w:tcPr>
          <w:p w14:paraId="3EDC6534" w14:textId="77777777" w:rsidR="00FD6E82" w:rsidRPr="000152CB" w:rsidRDefault="00FD6E82" w:rsidP="00FD6E82">
            <w:pPr>
              <w:spacing w:after="0" w:line="240" w:lineRule="auto"/>
              <w:ind w:left="270"/>
              <w:jc w:val="center"/>
              <w:rPr>
                <w:rFonts w:eastAsia="Times New Roman" w:cs="Calibri"/>
                <w:b/>
                <w:sz w:val="20"/>
                <w:szCs w:val="20"/>
                <w:lang w:eastAsia="sr-Latn-ME"/>
              </w:rPr>
            </w:pPr>
            <w:r w:rsidRPr="000152CB">
              <w:rPr>
                <w:rFonts w:eastAsia="Times New Roman" w:cs="Calibri"/>
                <w:b/>
                <w:color w:val="000000"/>
                <w:sz w:val="20"/>
                <w:szCs w:val="20"/>
                <w:lang w:eastAsia="sr-Latn-ME"/>
              </w:rPr>
              <w:t>Izvor finansiranja</w:t>
            </w:r>
          </w:p>
        </w:tc>
        <w:tc>
          <w:tcPr>
            <w:tcW w:w="1460" w:type="dxa"/>
            <w:gridSpan w:val="3"/>
            <w:vMerge w:val="restart"/>
            <w:tcBorders>
              <w:top w:val="single" w:sz="4" w:space="0" w:color="000000"/>
              <w:left w:val="single" w:sz="4" w:space="0" w:color="000000"/>
              <w:right w:val="single" w:sz="4" w:space="0" w:color="000000"/>
            </w:tcBorders>
            <w:shd w:val="clear" w:color="auto" w:fill="D9E2F3" w:themeFill="accent1" w:themeFillTint="33"/>
            <w:vAlign w:val="center"/>
          </w:tcPr>
          <w:p w14:paraId="28235728" w14:textId="77777777" w:rsidR="00FD6E82" w:rsidRPr="000152CB" w:rsidRDefault="00FD6E82" w:rsidP="00FD6E82">
            <w:pPr>
              <w:spacing w:after="0" w:line="240" w:lineRule="auto"/>
              <w:ind w:left="270"/>
              <w:jc w:val="center"/>
              <w:rPr>
                <w:rFonts w:eastAsia="Times New Roman" w:cs="Calibri"/>
                <w:b/>
                <w:sz w:val="20"/>
                <w:szCs w:val="20"/>
                <w:lang w:eastAsia="sr-Latn-ME"/>
              </w:rPr>
            </w:pPr>
            <w:r w:rsidRPr="000152CB">
              <w:rPr>
                <w:rFonts w:eastAsia="Times New Roman" w:cs="Calibri"/>
                <w:b/>
                <w:sz w:val="20"/>
                <w:szCs w:val="20"/>
                <w:lang w:eastAsia="sr-Latn-ME"/>
              </w:rPr>
              <w:t>Preporuke</w:t>
            </w:r>
          </w:p>
        </w:tc>
      </w:tr>
      <w:tr w:rsidR="00BB44DA" w:rsidRPr="000152CB" w14:paraId="20D462EC" w14:textId="77777777" w:rsidTr="00E77388">
        <w:trPr>
          <w:trHeight w:val="376"/>
          <w:jc w:val="center"/>
        </w:trPr>
        <w:tc>
          <w:tcPr>
            <w:tcW w:w="2404" w:type="dxa"/>
            <w:gridSpan w:val="2"/>
            <w:vMerge/>
            <w:tcBorders>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3C9CC79F" w14:textId="77777777" w:rsidR="00FD6E82" w:rsidRPr="000152CB" w:rsidRDefault="00FD6E82" w:rsidP="00FD6E82">
            <w:pPr>
              <w:spacing w:after="0" w:line="240" w:lineRule="auto"/>
              <w:ind w:left="270"/>
              <w:jc w:val="center"/>
              <w:rPr>
                <w:rFonts w:eastAsia="Times New Roman" w:cs="Calibri"/>
                <w:b/>
                <w:color w:val="000000"/>
                <w:sz w:val="20"/>
                <w:szCs w:val="20"/>
                <w:lang w:eastAsia="sr-Latn-ME"/>
              </w:rPr>
            </w:pPr>
          </w:p>
        </w:tc>
        <w:tc>
          <w:tcPr>
            <w:tcW w:w="3453" w:type="dxa"/>
            <w:gridSpan w:val="2"/>
            <w:vMerge/>
            <w:tcBorders>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65A2F41A" w14:textId="77777777" w:rsidR="00FD6E82" w:rsidRPr="000152CB" w:rsidRDefault="00FD6E82" w:rsidP="00FD6E82">
            <w:pPr>
              <w:spacing w:after="0" w:line="240" w:lineRule="auto"/>
              <w:ind w:left="270"/>
              <w:jc w:val="center"/>
              <w:rPr>
                <w:rFonts w:eastAsia="Times New Roman" w:cs="Calibri"/>
                <w:b/>
                <w:color w:val="000000"/>
                <w:sz w:val="20"/>
                <w:szCs w:val="20"/>
                <w:lang w:eastAsia="sr-Latn-ME"/>
              </w:rPr>
            </w:pPr>
          </w:p>
        </w:tc>
        <w:tc>
          <w:tcPr>
            <w:tcW w:w="1583" w:type="dxa"/>
            <w:gridSpan w:val="3"/>
            <w:vMerge/>
            <w:tcBorders>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377B8561" w14:textId="77777777" w:rsidR="00FD6E82" w:rsidRPr="000152CB" w:rsidRDefault="00FD6E82" w:rsidP="00FD6E82">
            <w:pPr>
              <w:spacing w:after="0" w:line="240" w:lineRule="auto"/>
              <w:ind w:left="270"/>
              <w:jc w:val="center"/>
              <w:rPr>
                <w:rFonts w:eastAsia="Times New Roman" w:cs="Calibri"/>
                <w:b/>
                <w:color w:val="000000"/>
                <w:sz w:val="20"/>
                <w:szCs w:val="20"/>
                <w:lang w:eastAsia="sr-Latn-ME"/>
              </w:rPr>
            </w:pP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vAlign w:val="center"/>
          </w:tcPr>
          <w:p w14:paraId="18B89E5A" w14:textId="77777777" w:rsidR="00FD6E82" w:rsidRPr="000152CB" w:rsidRDefault="00FD6E82" w:rsidP="00FD6E82">
            <w:pPr>
              <w:spacing w:after="0" w:line="240" w:lineRule="auto"/>
              <w:ind w:left="270"/>
              <w:jc w:val="center"/>
              <w:rPr>
                <w:rFonts w:eastAsia="Times New Roman" w:cs="Calibri"/>
                <w:b/>
                <w:sz w:val="20"/>
                <w:szCs w:val="20"/>
                <w:lang w:eastAsia="sr-Latn-ME"/>
              </w:rPr>
            </w:pPr>
          </w:p>
        </w:tc>
        <w:tc>
          <w:tcPr>
            <w:tcW w:w="96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D9F9A70" w14:textId="77777777" w:rsidR="00FD6E82" w:rsidRPr="000152CB" w:rsidRDefault="00FD6E82" w:rsidP="00FD6E82">
            <w:pPr>
              <w:spacing w:after="0" w:line="240" w:lineRule="auto"/>
              <w:ind w:left="270"/>
              <w:jc w:val="center"/>
              <w:rPr>
                <w:rFonts w:eastAsia="Times New Roman" w:cs="Calibri"/>
                <w:b/>
                <w:sz w:val="20"/>
                <w:szCs w:val="20"/>
                <w:lang w:eastAsia="sr-Latn-ME"/>
              </w:rPr>
            </w:pPr>
          </w:p>
        </w:tc>
        <w:tc>
          <w:tcPr>
            <w:tcW w:w="876" w:type="dxa"/>
            <w:gridSpan w:val="3"/>
            <w:tcBorders>
              <w:top w:val="single" w:sz="4" w:space="0" w:color="000000"/>
              <w:left w:val="single" w:sz="4" w:space="0" w:color="000000"/>
              <w:bottom w:val="single" w:sz="4" w:space="0" w:color="000000"/>
              <w:right w:val="single" w:sz="4" w:space="0" w:color="000000"/>
            </w:tcBorders>
            <w:shd w:val="clear" w:color="auto" w:fill="FF0000"/>
            <w:vAlign w:val="center"/>
          </w:tcPr>
          <w:p w14:paraId="6EF4C048" w14:textId="77777777" w:rsidR="00FD6E82" w:rsidRPr="000152CB" w:rsidRDefault="00FD6E82" w:rsidP="00FD6E82">
            <w:pPr>
              <w:spacing w:after="0" w:line="240" w:lineRule="auto"/>
              <w:ind w:left="270"/>
              <w:jc w:val="center"/>
              <w:rPr>
                <w:rFonts w:eastAsia="Times New Roman" w:cs="Calibri"/>
                <w:b/>
                <w:sz w:val="20"/>
                <w:szCs w:val="20"/>
                <w:lang w:eastAsia="sr-Latn-ME"/>
              </w:rPr>
            </w:pPr>
          </w:p>
        </w:tc>
        <w:tc>
          <w:tcPr>
            <w:tcW w:w="1097" w:type="dxa"/>
            <w:gridSpan w:val="3"/>
            <w:vMerge/>
            <w:tcBorders>
              <w:left w:val="single" w:sz="4" w:space="0" w:color="000000"/>
              <w:bottom w:val="single" w:sz="4" w:space="0" w:color="000000"/>
              <w:right w:val="single" w:sz="4" w:space="0" w:color="000000"/>
            </w:tcBorders>
            <w:shd w:val="clear" w:color="auto" w:fill="D9E2F3" w:themeFill="accent1" w:themeFillTint="33"/>
            <w:vAlign w:val="center"/>
          </w:tcPr>
          <w:p w14:paraId="3E818544" w14:textId="77777777" w:rsidR="00FD6E82" w:rsidRPr="000152CB" w:rsidRDefault="00FD6E82" w:rsidP="00FD6E82">
            <w:pPr>
              <w:spacing w:after="0" w:line="240" w:lineRule="auto"/>
              <w:ind w:left="270"/>
              <w:jc w:val="center"/>
              <w:rPr>
                <w:rFonts w:eastAsia="Times New Roman" w:cs="Calibri"/>
                <w:b/>
                <w:color w:val="000000"/>
                <w:sz w:val="20"/>
                <w:szCs w:val="20"/>
                <w:lang w:eastAsia="sr-Latn-ME"/>
              </w:rPr>
            </w:pPr>
          </w:p>
        </w:tc>
        <w:tc>
          <w:tcPr>
            <w:tcW w:w="1287" w:type="dxa"/>
            <w:gridSpan w:val="4"/>
            <w:vMerge/>
            <w:tcBorders>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09E245F7" w14:textId="77777777" w:rsidR="00FD6E82" w:rsidRPr="000152CB" w:rsidRDefault="00FD6E82" w:rsidP="00FD6E82">
            <w:pPr>
              <w:spacing w:after="0" w:line="240" w:lineRule="auto"/>
              <w:ind w:left="270"/>
              <w:jc w:val="center"/>
              <w:rPr>
                <w:rFonts w:eastAsia="Times New Roman" w:cs="Calibri"/>
                <w:b/>
                <w:color w:val="000000"/>
                <w:sz w:val="20"/>
                <w:szCs w:val="20"/>
                <w:lang w:eastAsia="sr-Latn-ME"/>
              </w:rPr>
            </w:pPr>
          </w:p>
        </w:tc>
        <w:tc>
          <w:tcPr>
            <w:tcW w:w="1513" w:type="dxa"/>
            <w:gridSpan w:val="6"/>
            <w:vMerge/>
            <w:tcBorders>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48A2DA6A" w14:textId="77777777" w:rsidR="00FD6E82" w:rsidRPr="000152CB" w:rsidRDefault="00FD6E82" w:rsidP="00FD6E82">
            <w:pPr>
              <w:spacing w:after="0" w:line="240" w:lineRule="auto"/>
              <w:ind w:left="270"/>
              <w:jc w:val="center"/>
              <w:rPr>
                <w:rFonts w:eastAsia="Times New Roman" w:cs="Calibri"/>
                <w:b/>
                <w:color w:val="000000"/>
                <w:sz w:val="20"/>
                <w:szCs w:val="20"/>
                <w:lang w:eastAsia="sr-Latn-ME"/>
              </w:rPr>
            </w:pPr>
          </w:p>
        </w:tc>
        <w:tc>
          <w:tcPr>
            <w:tcW w:w="1460" w:type="dxa"/>
            <w:gridSpan w:val="3"/>
            <w:vMerge/>
            <w:tcBorders>
              <w:left w:val="single" w:sz="4" w:space="0" w:color="000000"/>
              <w:bottom w:val="single" w:sz="4" w:space="0" w:color="000000"/>
              <w:right w:val="single" w:sz="4" w:space="0" w:color="000000"/>
            </w:tcBorders>
            <w:shd w:val="clear" w:color="auto" w:fill="D9E2F3" w:themeFill="accent1" w:themeFillTint="33"/>
            <w:vAlign w:val="center"/>
          </w:tcPr>
          <w:p w14:paraId="2AA1EB80" w14:textId="77777777" w:rsidR="00FD6E82" w:rsidRPr="000152CB" w:rsidRDefault="00FD6E82" w:rsidP="00FD6E82">
            <w:pPr>
              <w:spacing w:after="0" w:line="240" w:lineRule="auto"/>
              <w:ind w:left="270"/>
              <w:jc w:val="center"/>
              <w:rPr>
                <w:rFonts w:eastAsia="Times New Roman" w:cs="Calibri"/>
                <w:b/>
                <w:color w:val="000000"/>
                <w:sz w:val="20"/>
                <w:szCs w:val="20"/>
                <w:lang w:eastAsia="sr-Latn-ME"/>
              </w:rPr>
            </w:pPr>
          </w:p>
        </w:tc>
      </w:tr>
      <w:tr w:rsidR="00C65392" w:rsidRPr="000152CB" w14:paraId="6085521B" w14:textId="77777777" w:rsidTr="00E77388">
        <w:trPr>
          <w:trHeight w:val="585"/>
          <w:jc w:val="center"/>
        </w:trPr>
        <w:tc>
          <w:tcPr>
            <w:tcW w:w="24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E3ADE9" w14:textId="77777777" w:rsidR="00C65392" w:rsidRPr="000152CB" w:rsidRDefault="00C65392" w:rsidP="00C65392">
            <w:pPr>
              <w:spacing w:line="240" w:lineRule="auto"/>
              <w:textAlignment w:val="baseline"/>
              <w:rPr>
                <w:color w:val="000000" w:themeColor="text1"/>
                <w:sz w:val="20"/>
                <w:szCs w:val="20"/>
              </w:rPr>
            </w:pPr>
            <w:r w:rsidRPr="000152CB">
              <w:rPr>
                <w:rFonts w:eastAsia="Times New Roman" w:cs="Calibri"/>
                <w:bCs/>
                <w:color w:val="000000" w:themeColor="text1"/>
                <w:sz w:val="20"/>
                <w:szCs w:val="20"/>
                <w:lang w:eastAsia="sr-Latn-ME"/>
              </w:rPr>
              <w:t>2.2.1.</w:t>
            </w:r>
            <w:r w:rsidRPr="000152CB">
              <w:rPr>
                <w:rFonts w:ascii="Cambria" w:eastAsia="Times New Roman" w:hAnsi="Cambria" w:cs="Calibri"/>
                <w:color w:val="000000" w:themeColor="text1"/>
                <w:sz w:val="20"/>
                <w:szCs w:val="20"/>
                <w:lang w:eastAsia="sr-Latn-ME"/>
              </w:rPr>
              <w:t xml:space="preserve"> Izrada analize rada savjetovališta sa preporukama za optimizaciju rada savjetovališta u centrima za podršku pri domovima zdravlja</w:t>
            </w:r>
          </w:p>
        </w:tc>
        <w:tc>
          <w:tcPr>
            <w:tcW w:w="34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9383A2" w14:textId="77777777" w:rsidR="00C65392" w:rsidRPr="000152CB" w:rsidRDefault="00C65392" w:rsidP="00C65392">
            <w:pPr>
              <w:spacing w:after="0" w:line="240" w:lineRule="auto"/>
              <w:rPr>
                <w:rFonts w:eastAsia="Times New Roman" w:cs="Calibri"/>
                <w:sz w:val="20"/>
                <w:szCs w:val="20"/>
                <w:lang w:eastAsia="sr-Latn-ME"/>
              </w:rPr>
            </w:pPr>
            <w:r w:rsidRPr="000152CB">
              <w:rPr>
                <w:sz w:val="20"/>
                <w:szCs w:val="20"/>
              </w:rPr>
              <w:t>Mapirana savjetovališta sa preporukama za optimizaciju rada savjetovališta</w:t>
            </w:r>
          </w:p>
        </w:tc>
        <w:tc>
          <w:tcPr>
            <w:tcW w:w="158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2DBC55" w14:textId="77777777" w:rsidR="00C65392" w:rsidRPr="000152CB" w:rsidRDefault="00C65392" w:rsidP="00C65392">
            <w:pPr>
              <w:spacing w:after="0" w:line="240" w:lineRule="auto"/>
              <w:rPr>
                <w:rFonts w:eastAsia="Times New Roman" w:cs="Calibri"/>
                <w:sz w:val="20"/>
                <w:szCs w:val="20"/>
                <w:lang w:eastAsia="sr-Latn-ME"/>
              </w:rPr>
            </w:pPr>
            <w:r w:rsidRPr="000152CB">
              <w:rPr>
                <w:sz w:val="20"/>
                <w:szCs w:val="20"/>
              </w:rPr>
              <w:t>MZ, IJZCG, FZO PZZ</w:t>
            </w:r>
          </w:p>
        </w:tc>
        <w:tc>
          <w:tcPr>
            <w:tcW w:w="2768" w:type="dxa"/>
            <w:gridSpan w:val="6"/>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1A9F0AF5" w14:textId="73978369" w:rsidR="00C65392" w:rsidRPr="000152CB" w:rsidRDefault="00C65392" w:rsidP="00C65392">
            <w:pPr>
              <w:spacing w:after="0" w:line="240" w:lineRule="auto"/>
              <w:rPr>
                <w:rFonts w:eastAsia="Times New Roman" w:cs="Calibri"/>
                <w:sz w:val="20"/>
                <w:szCs w:val="20"/>
                <w:lang w:eastAsia="sr-Latn-ME"/>
              </w:rPr>
            </w:pPr>
            <w:r w:rsidRPr="000152CB">
              <w:rPr>
                <w:rFonts w:eastAsia="Times New Roman" w:cs="Calibri"/>
                <w:sz w:val="20"/>
                <w:szCs w:val="20"/>
                <w:lang w:eastAsia="sr-Latn-ME"/>
              </w:rPr>
              <w:t xml:space="preserve">Urađena analiza rada svih savjetovališta za mlade u centrima za prevenciju sa zaključcima i preporukama. Prvi kvartal 2026. analiza podataka i evaluacija iz pilot programa unapređenja mentalnog zdravlja </w:t>
            </w:r>
          </w:p>
        </w:tc>
        <w:tc>
          <w:tcPr>
            <w:tcW w:w="1097" w:type="dxa"/>
            <w:gridSpan w:val="3"/>
            <w:tcBorders>
              <w:top w:val="single" w:sz="4" w:space="0" w:color="000000"/>
              <w:left w:val="single" w:sz="4" w:space="0" w:color="000000"/>
              <w:bottom w:val="single" w:sz="4" w:space="0" w:color="000000"/>
              <w:right w:val="single" w:sz="4" w:space="0" w:color="000000"/>
            </w:tcBorders>
          </w:tcPr>
          <w:p w14:paraId="62741911" w14:textId="77777777" w:rsidR="00C65392" w:rsidRPr="000152CB" w:rsidRDefault="00C65392" w:rsidP="00C65392">
            <w:pPr>
              <w:spacing w:after="0" w:line="240" w:lineRule="auto"/>
              <w:rPr>
                <w:rFonts w:eastAsia="Times New Roman" w:cs="Calibri"/>
                <w:sz w:val="20"/>
                <w:szCs w:val="20"/>
                <w:lang w:eastAsia="sr-Latn-ME"/>
              </w:rPr>
            </w:pPr>
            <w:r w:rsidRPr="000152CB">
              <w:rPr>
                <w:sz w:val="20"/>
                <w:szCs w:val="20"/>
              </w:rPr>
              <w:t xml:space="preserve"> IIIQ2023-IVQ2023</w:t>
            </w:r>
          </w:p>
        </w:tc>
        <w:tc>
          <w:tcPr>
            <w:tcW w:w="128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F286A2" w14:textId="77777777" w:rsidR="00C65392" w:rsidRPr="000152CB" w:rsidRDefault="00C65392" w:rsidP="00C65392">
            <w:pPr>
              <w:spacing w:after="0" w:line="240" w:lineRule="auto"/>
              <w:rPr>
                <w:rFonts w:eastAsia="Times New Roman" w:cs="Calibri"/>
                <w:sz w:val="20"/>
                <w:szCs w:val="20"/>
                <w:lang w:eastAsia="sr-Latn-ME"/>
              </w:rPr>
            </w:pPr>
            <w:r w:rsidRPr="000152CB">
              <w:rPr>
                <w:rFonts w:eastAsia="Times New Roman" w:cs="Calibri"/>
                <w:sz w:val="20"/>
                <w:szCs w:val="20"/>
                <w:lang w:eastAsia="sr-Latn-ME"/>
              </w:rPr>
              <w:t>Tekuća sredstva</w:t>
            </w:r>
          </w:p>
        </w:tc>
        <w:tc>
          <w:tcPr>
            <w:tcW w:w="146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23A614" w14:textId="77777777" w:rsidR="00C65392" w:rsidRPr="000152CB" w:rsidRDefault="00C65392" w:rsidP="00C65392">
            <w:pPr>
              <w:spacing w:after="0" w:line="240" w:lineRule="auto"/>
              <w:rPr>
                <w:rFonts w:eastAsia="Times New Roman" w:cs="Calibri"/>
                <w:sz w:val="20"/>
                <w:szCs w:val="20"/>
                <w:lang w:eastAsia="sr-Latn-ME"/>
              </w:rPr>
            </w:pPr>
            <w:r w:rsidRPr="000152CB">
              <w:rPr>
                <w:sz w:val="20"/>
                <w:szCs w:val="20"/>
              </w:rPr>
              <w:t>Budžet</w:t>
            </w:r>
          </w:p>
        </w:tc>
        <w:tc>
          <w:tcPr>
            <w:tcW w:w="1505" w:type="dxa"/>
            <w:gridSpan w:val="4"/>
            <w:tcBorders>
              <w:top w:val="single" w:sz="4" w:space="0" w:color="000000"/>
              <w:left w:val="single" w:sz="4" w:space="0" w:color="000000"/>
              <w:bottom w:val="single" w:sz="4" w:space="0" w:color="000000"/>
              <w:right w:val="single" w:sz="4" w:space="0" w:color="000000"/>
            </w:tcBorders>
          </w:tcPr>
          <w:p w14:paraId="23A73412" w14:textId="3082DC93" w:rsidR="00C65392" w:rsidRPr="000152CB" w:rsidRDefault="00AA1350" w:rsidP="00C65392">
            <w:pPr>
              <w:spacing w:after="0" w:line="240" w:lineRule="auto"/>
              <w:rPr>
                <w:rFonts w:eastAsia="Times New Roman" w:cs="Calibri"/>
                <w:sz w:val="20"/>
                <w:szCs w:val="20"/>
                <w:lang w:eastAsia="sr-Latn-ME"/>
              </w:rPr>
            </w:pPr>
            <w:r w:rsidRPr="000152CB">
              <w:rPr>
                <w:rFonts w:eastAsia="Times New Roman" w:cs="Calibri"/>
                <w:sz w:val="20"/>
                <w:szCs w:val="20"/>
                <w:lang w:eastAsia="sr-Latn-ME"/>
              </w:rPr>
              <w:t>Novi rok za realizaciju aktivnosti je I kvartal 2026. godine</w:t>
            </w:r>
          </w:p>
        </w:tc>
      </w:tr>
      <w:tr w:rsidR="00C65392" w:rsidRPr="000152CB" w14:paraId="2772EC13" w14:textId="77777777" w:rsidTr="00E77388">
        <w:trPr>
          <w:trHeight w:val="585"/>
          <w:jc w:val="center"/>
        </w:trPr>
        <w:tc>
          <w:tcPr>
            <w:tcW w:w="24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ABBF28" w14:textId="77777777" w:rsidR="00C65392" w:rsidRPr="000152CB" w:rsidRDefault="00C65392" w:rsidP="00C65392">
            <w:pPr>
              <w:spacing w:line="240" w:lineRule="auto"/>
              <w:textAlignment w:val="baseline"/>
              <w:rPr>
                <w:rFonts w:eastAsia="Times New Roman" w:cs="Calibri"/>
                <w:color w:val="000000" w:themeColor="text1"/>
                <w:sz w:val="20"/>
                <w:szCs w:val="20"/>
                <w:lang w:eastAsia="sr-Latn-ME"/>
              </w:rPr>
            </w:pPr>
            <w:r w:rsidRPr="000152CB">
              <w:rPr>
                <w:rFonts w:eastAsia="Times New Roman" w:cs="Calibri"/>
                <w:bCs/>
                <w:color w:val="000000" w:themeColor="text1"/>
                <w:sz w:val="20"/>
                <w:szCs w:val="20"/>
                <w:lang w:eastAsia="sr-Latn-ME"/>
              </w:rPr>
              <w:t>2.2.2.</w:t>
            </w:r>
            <w:r w:rsidRPr="000152CB">
              <w:rPr>
                <w:rFonts w:ascii="Cambria" w:eastAsia="Times New Roman" w:hAnsi="Cambria" w:cs="Calibri"/>
                <w:color w:val="000000" w:themeColor="text1"/>
                <w:sz w:val="20"/>
                <w:szCs w:val="20"/>
                <w:lang w:eastAsia="sr-Latn-ME"/>
              </w:rPr>
              <w:t xml:space="preserve"> Izrada savremenog programa za rad  savjetovališta u centrima za podršku pri domovima zdravlja, uključujući</w:t>
            </w:r>
            <w:r w:rsidRPr="000152CB">
              <w:rPr>
                <w:color w:val="000000" w:themeColor="text1"/>
                <w:sz w:val="20"/>
                <w:szCs w:val="20"/>
              </w:rPr>
              <w:t xml:space="preserve"> osnaživanje kapaciteta pacijenata da na efikasan način  usvoje I  praktikuju zdrave stilove  ponašanje</w:t>
            </w:r>
          </w:p>
        </w:tc>
        <w:tc>
          <w:tcPr>
            <w:tcW w:w="34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D14A34" w14:textId="77777777" w:rsidR="00C65392" w:rsidRPr="000152CB" w:rsidRDefault="00C65392" w:rsidP="00C65392">
            <w:pPr>
              <w:spacing w:after="0" w:line="240" w:lineRule="auto"/>
              <w:rPr>
                <w:rFonts w:eastAsia="Times New Roman" w:cs="Calibri"/>
                <w:sz w:val="20"/>
                <w:szCs w:val="20"/>
                <w:lang w:eastAsia="sr-Latn-ME"/>
              </w:rPr>
            </w:pPr>
            <w:r w:rsidRPr="000152CB">
              <w:rPr>
                <w:sz w:val="20"/>
                <w:szCs w:val="20"/>
              </w:rPr>
              <w:t>Izrađena metodološka uputstva sa definisanim tematskim paketima i smjernicama za sprovođenje zdravstveno vaspitnog rada u  Savjetovalištima na nivou PZZ</w:t>
            </w:r>
          </w:p>
        </w:tc>
        <w:tc>
          <w:tcPr>
            <w:tcW w:w="158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18A3A6" w14:textId="77777777" w:rsidR="00C65392" w:rsidRPr="000152CB" w:rsidRDefault="00C65392" w:rsidP="00C65392">
            <w:pPr>
              <w:spacing w:after="0" w:line="240" w:lineRule="auto"/>
              <w:rPr>
                <w:rFonts w:eastAsia="Times New Roman" w:cs="Calibri"/>
                <w:sz w:val="20"/>
                <w:szCs w:val="20"/>
                <w:lang w:eastAsia="sr-Latn-ME"/>
              </w:rPr>
            </w:pPr>
            <w:r w:rsidRPr="000152CB">
              <w:rPr>
                <w:sz w:val="20"/>
                <w:szCs w:val="20"/>
              </w:rPr>
              <w:t>MZ, IJZCG, PZZ</w:t>
            </w:r>
          </w:p>
        </w:tc>
        <w:tc>
          <w:tcPr>
            <w:tcW w:w="2768" w:type="dxa"/>
            <w:gridSpan w:val="6"/>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7C4B13AF" w14:textId="3C285D7E" w:rsidR="00C65392" w:rsidRPr="000152CB" w:rsidRDefault="00C65392" w:rsidP="00C65392">
            <w:pPr>
              <w:spacing w:after="0" w:line="240" w:lineRule="auto"/>
              <w:rPr>
                <w:rFonts w:eastAsia="Times New Roman" w:cs="Calibri"/>
                <w:sz w:val="20"/>
                <w:szCs w:val="20"/>
                <w:lang w:eastAsia="sr-Latn-ME"/>
              </w:rPr>
            </w:pPr>
            <w:r w:rsidRPr="000152CB">
              <w:rPr>
                <w:rFonts w:eastAsia="Times New Roman" w:cs="Calibri"/>
                <w:sz w:val="20"/>
                <w:szCs w:val="20"/>
                <w:lang w:eastAsia="sr-Latn-ME"/>
              </w:rPr>
              <w:t xml:space="preserve">U toku izrada programa unapređenja mentalnog zdravlja za savjetovališta na PZZ . Pilot implementacija programa dok kraja 2025. godine  </w:t>
            </w:r>
          </w:p>
        </w:tc>
        <w:tc>
          <w:tcPr>
            <w:tcW w:w="1097" w:type="dxa"/>
            <w:gridSpan w:val="3"/>
            <w:tcBorders>
              <w:top w:val="single" w:sz="4" w:space="0" w:color="000000"/>
              <w:left w:val="single" w:sz="4" w:space="0" w:color="000000"/>
              <w:bottom w:val="single" w:sz="4" w:space="0" w:color="000000"/>
              <w:right w:val="single" w:sz="4" w:space="0" w:color="000000"/>
            </w:tcBorders>
          </w:tcPr>
          <w:p w14:paraId="673F0E7E" w14:textId="77777777" w:rsidR="00C65392" w:rsidRPr="000152CB" w:rsidRDefault="00C65392" w:rsidP="00C65392">
            <w:pPr>
              <w:spacing w:after="0" w:line="240" w:lineRule="auto"/>
              <w:rPr>
                <w:rFonts w:eastAsia="Times New Roman" w:cs="Calibri"/>
                <w:sz w:val="20"/>
                <w:szCs w:val="20"/>
                <w:lang w:eastAsia="sr-Latn-ME"/>
              </w:rPr>
            </w:pPr>
            <w:r w:rsidRPr="000152CB">
              <w:rPr>
                <w:sz w:val="20"/>
                <w:szCs w:val="20"/>
              </w:rPr>
              <w:t xml:space="preserve"> IIIQ2023- IVQ 2024</w:t>
            </w:r>
          </w:p>
        </w:tc>
        <w:tc>
          <w:tcPr>
            <w:tcW w:w="128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1BE398" w14:textId="77777777" w:rsidR="00C65392" w:rsidRPr="000152CB" w:rsidRDefault="00C65392" w:rsidP="00C65392">
            <w:pPr>
              <w:spacing w:after="0" w:line="240" w:lineRule="auto"/>
              <w:rPr>
                <w:rFonts w:eastAsia="Times New Roman" w:cs="Calibri"/>
                <w:sz w:val="20"/>
                <w:szCs w:val="20"/>
                <w:lang w:eastAsia="sr-Latn-ME"/>
              </w:rPr>
            </w:pPr>
            <w:r w:rsidRPr="000152CB">
              <w:rPr>
                <w:rFonts w:eastAsia="Times New Roman" w:cs="Calibri"/>
                <w:sz w:val="20"/>
                <w:szCs w:val="20"/>
                <w:lang w:eastAsia="sr-Latn-ME"/>
              </w:rPr>
              <w:t>Tekuća sredstva</w:t>
            </w:r>
          </w:p>
        </w:tc>
        <w:tc>
          <w:tcPr>
            <w:tcW w:w="146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F726AB" w14:textId="77777777" w:rsidR="00C65392" w:rsidRPr="000152CB" w:rsidRDefault="00C65392" w:rsidP="00C65392">
            <w:pPr>
              <w:spacing w:after="0" w:line="240" w:lineRule="auto"/>
              <w:rPr>
                <w:rFonts w:eastAsia="Times New Roman" w:cs="Calibri"/>
                <w:sz w:val="20"/>
                <w:szCs w:val="20"/>
                <w:lang w:eastAsia="sr-Latn-ME"/>
              </w:rPr>
            </w:pPr>
            <w:r w:rsidRPr="000152CB">
              <w:rPr>
                <w:sz w:val="20"/>
                <w:szCs w:val="20"/>
              </w:rPr>
              <w:t>Budžet</w:t>
            </w:r>
          </w:p>
        </w:tc>
        <w:tc>
          <w:tcPr>
            <w:tcW w:w="1505" w:type="dxa"/>
            <w:gridSpan w:val="4"/>
            <w:tcBorders>
              <w:top w:val="single" w:sz="4" w:space="0" w:color="000000"/>
              <w:left w:val="single" w:sz="4" w:space="0" w:color="000000"/>
              <w:bottom w:val="single" w:sz="4" w:space="0" w:color="000000"/>
              <w:right w:val="single" w:sz="4" w:space="0" w:color="000000"/>
            </w:tcBorders>
          </w:tcPr>
          <w:p w14:paraId="4D93500D" w14:textId="7A56CF2B" w:rsidR="00C65392" w:rsidRPr="000152CB" w:rsidRDefault="00AA1350" w:rsidP="00C65392">
            <w:pPr>
              <w:spacing w:after="0" w:line="240" w:lineRule="auto"/>
              <w:rPr>
                <w:rFonts w:eastAsia="Times New Roman" w:cs="Calibri"/>
                <w:sz w:val="20"/>
                <w:szCs w:val="20"/>
                <w:lang w:eastAsia="sr-Latn-ME"/>
              </w:rPr>
            </w:pPr>
            <w:r w:rsidRPr="000152CB">
              <w:rPr>
                <w:rFonts w:eastAsia="Times New Roman" w:cs="Calibri"/>
                <w:sz w:val="20"/>
                <w:szCs w:val="20"/>
                <w:lang w:eastAsia="sr-Latn-ME"/>
              </w:rPr>
              <w:t>Novi rok za realizaciju aktivnosti je IV kvartal 2025. godine</w:t>
            </w:r>
          </w:p>
        </w:tc>
      </w:tr>
      <w:tr w:rsidR="00C65392" w:rsidRPr="000152CB" w14:paraId="2A216A3F" w14:textId="77777777" w:rsidTr="00E77388">
        <w:trPr>
          <w:trHeight w:val="585"/>
          <w:jc w:val="center"/>
        </w:trPr>
        <w:tc>
          <w:tcPr>
            <w:tcW w:w="24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D75736" w14:textId="77777777" w:rsidR="00C65392" w:rsidRPr="000152CB" w:rsidRDefault="00C65392" w:rsidP="00C65392">
            <w:pPr>
              <w:spacing w:line="240" w:lineRule="auto"/>
              <w:textAlignment w:val="baseline"/>
              <w:rPr>
                <w:sz w:val="20"/>
                <w:szCs w:val="20"/>
              </w:rPr>
            </w:pPr>
            <w:r w:rsidRPr="000152CB">
              <w:rPr>
                <w:rFonts w:eastAsia="Times New Roman" w:cs="Calibri"/>
                <w:bCs/>
                <w:color w:val="000000"/>
                <w:sz w:val="20"/>
                <w:szCs w:val="20"/>
                <w:lang w:eastAsia="sr-Latn-ME"/>
              </w:rPr>
              <w:lastRenderedPageBreak/>
              <w:t xml:space="preserve">2.2.3. </w:t>
            </w:r>
            <w:r w:rsidRPr="000152CB">
              <w:rPr>
                <w:sz w:val="20"/>
                <w:szCs w:val="20"/>
              </w:rPr>
              <w:t>Procjena i sprovođenje zdravstvene pismenosti o prevenciji i kontroli HNB</w:t>
            </w:r>
          </w:p>
        </w:tc>
        <w:tc>
          <w:tcPr>
            <w:tcW w:w="34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39A94E" w14:textId="77777777" w:rsidR="00C65392" w:rsidRPr="000152CB" w:rsidRDefault="00C65392" w:rsidP="00C65392">
            <w:pPr>
              <w:spacing w:after="0" w:line="240" w:lineRule="auto"/>
              <w:rPr>
                <w:rFonts w:eastAsia="Times New Roman" w:cs="Calibri"/>
                <w:sz w:val="20"/>
                <w:szCs w:val="20"/>
                <w:lang w:eastAsia="sr-Latn-ME"/>
              </w:rPr>
            </w:pPr>
            <w:r w:rsidRPr="000152CB">
              <w:rPr>
                <w:rFonts w:eastAsia="Times New Roman" w:cs="Calibri"/>
                <w:sz w:val="20"/>
                <w:szCs w:val="20"/>
                <w:lang w:eastAsia="sr-Latn-ME"/>
              </w:rPr>
              <w:t>Sprovedeno istraživanje sa preporukama</w:t>
            </w:r>
          </w:p>
          <w:p w14:paraId="0D20E464" w14:textId="77777777" w:rsidR="00C65392" w:rsidRPr="000152CB" w:rsidRDefault="00C65392" w:rsidP="00C65392">
            <w:pPr>
              <w:spacing w:after="0" w:line="240" w:lineRule="auto"/>
              <w:rPr>
                <w:rFonts w:eastAsia="Times New Roman" w:cs="Calibri"/>
                <w:sz w:val="20"/>
                <w:szCs w:val="20"/>
                <w:lang w:eastAsia="sr-Latn-ME"/>
              </w:rPr>
            </w:pPr>
            <w:r w:rsidRPr="000152CB">
              <w:rPr>
                <w:rFonts w:eastAsia="Times New Roman" w:cs="Calibri"/>
                <w:sz w:val="20"/>
                <w:szCs w:val="20"/>
                <w:lang w:eastAsia="sr-Latn-ME"/>
              </w:rPr>
              <w:t>Broj medijskih kampanja (Medijska propraćenost)</w:t>
            </w:r>
          </w:p>
        </w:tc>
        <w:tc>
          <w:tcPr>
            <w:tcW w:w="158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E675A5" w14:textId="77777777" w:rsidR="00C65392" w:rsidRPr="000152CB" w:rsidRDefault="00C65392" w:rsidP="00C65392">
            <w:pPr>
              <w:spacing w:after="0" w:line="240" w:lineRule="auto"/>
              <w:rPr>
                <w:rFonts w:eastAsia="Times New Roman" w:cs="Calibri"/>
                <w:sz w:val="20"/>
                <w:szCs w:val="20"/>
                <w:lang w:eastAsia="sr-Latn-ME"/>
              </w:rPr>
            </w:pPr>
            <w:r w:rsidRPr="000152CB">
              <w:rPr>
                <w:rFonts w:eastAsia="Times New Roman" w:cs="Calibri"/>
                <w:sz w:val="20"/>
                <w:szCs w:val="20"/>
                <w:lang w:eastAsia="sr-Latn-ME"/>
              </w:rPr>
              <w:t>IJZ</w:t>
            </w:r>
          </w:p>
        </w:tc>
        <w:tc>
          <w:tcPr>
            <w:tcW w:w="2768" w:type="dxa"/>
            <w:gridSpan w:val="6"/>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2BC9533F" w14:textId="77777777" w:rsidR="00C65392" w:rsidRPr="000152CB" w:rsidRDefault="00C65392" w:rsidP="00C65392">
            <w:pPr>
              <w:spacing w:after="0" w:line="240" w:lineRule="auto"/>
              <w:rPr>
                <w:rFonts w:eastAsia="Times New Roman" w:cs="Calibri"/>
                <w:color w:val="000000" w:themeColor="text1"/>
                <w:sz w:val="20"/>
                <w:szCs w:val="20"/>
                <w:lang w:eastAsia="sr-Latn-ME"/>
              </w:rPr>
            </w:pPr>
            <w:r w:rsidRPr="000152CB">
              <w:rPr>
                <w:rFonts w:eastAsia="Times New Roman" w:cs="Calibri"/>
                <w:color w:val="000000" w:themeColor="text1"/>
                <w:sz w:val="20"/>
                <w:szCs w:val="20"/>
                <w:lang w:eastAsia="sr-Latn-ME"/>
              </w:rPr>
              <w:t>"Realizovano u dijelu promotivnih aktivnosti</w:t>
            </w:r>
          </w:p>
          <w:p w14:paraId="658B66C9" w14:textId="77777777" w:rsidR="00C65392" w:rsidRPr="000152CB" w:rsidRDefault="00C65392" w:rsidP="00C65392">
            <w:pPr>
              <w:spacing w:after="0" w:line="240" w:lineRule="auto"/>
              <w:rPr>
                <w:rFonts w:eastAsia="Times New Roman" w:cs="Calibri"/>
                <w:color w:val="000000" w:themeColor="text1"/>
                <w:sz w:val="20"/>
                <w:szCs w:val="20"/>
                <w:lang w:eastAsia="sr-Latn-ME"/>
              </w:rPr>
            </w:pPr>
            <w:r w:rsidRPr="000152CB">
              <w:rPr>
                <w:rFonts w:eastAsia="Times New Roman" w:cs="Calibri"/>
                <w:color w:val="000000" w:themeColor="text1"/>
                <w:sz w:val="20"/>
                <w:szCs w:val="20"/>
                <w:lang w:eastAsia="sr-Latn-ME"/>
              </w:rPr>
              <w:t>U cilju podizanja zdravstvene pismenosti o prevenciji i kontroli nezaraznih bolesti, tokom 2024.godine su sprovedene sljedeće aktivnosti:</w:t>
            </w:r>
          </w:p>
          <w:p w14:paraId="2FF31120" w14:textId="77777777" w:rsidR="00C65392" w:rsidRPr="000152CB" w:rsidRDefault="00C65392" w:rsidP="00C65392">
            <w:pPr>
              <w:spacing w:after="0" w:line="240" w:lineRule="auto"/>
              <w:rPr>
                <w:rFonts w:eastAsia="Times New Roman" w:cs="Calibri"/>
                <w:color w:val="000000" w:themeColor="text1"/>
                <w:sz w:val="20"/>
                <w:szCs w:val="20"/>
                <w:lang w:eastAsia="sr-Latn-ME"/>
              </w:rPr>
            </w:pPr>
            <w:r w:rsidRPr="000152CB">
              <w:rPr>
                <w:rFonts w:eastAsia="Times New Roman" w:cs="Calibri"/>
                <w:color w:val="000000" w:themeColor="text1"/>
                <w:sz w:val="20"/>
                <w:szCs w:val="20"/>
                <w:lang w:eastAsia="sr-Latn-ME"/>
              </w:rPr>
              <w:t>1. Ukupno je realizovano 20 medijskih događaja na temu unapređenja zdravstvene pismenosti o prevenciji i komntroli HNB.</w:t>
            </w:r>
          </w:p>
          <w:p w14:paraId="1AE4C5E1" w14:textId="77777777" w:rsidR="00C65392" w:rsidRPr="000152CB" w:rsidRDefault="00C65392" w:rsidP="00C65392">
            <w:pPr>
              <w:spacing w:after="0" w:line="240" w:lineRule="auto"/>
              <w:rPr>
                <w:rFonts w:eastAsia="Times New Roman" w:cs="Calibri"/>
                <w:color w:val="000000" w:themeColor="text1"/>
                <w:sz w:val="20"/>
                <w:szCs w:val="20"/>
                <w:lang w:eastAsia="sr-Latn-ME"/>
              </w:rPr>
            </w:pPr>
            <w:r w:rsidRPr="000152CB">
              <w:rPr>
                <w:rFonts w:eastAsia="Times New Roman" w:cs="Calibri"/>
                <w:color w:val="000000" w:themeColor="text1"/>
                <w:sz w:val="20"/>
                <w:szCs w:val="20"/>
                <w:lang w:eastAsia="sr-Latn-ME"/>
              </w:rPr>
              <w:t>2. Povodom Svjetskog dana srca 29. septembra je pripremljeno pisano saopštenje za javnost i promotivni materijali za društvene mreže Instituta za javno zdravlje Crne Gore. U prostorijama Crvenog krsta Crne Gore na Koniku je održano edukativno predavanje i radionica na temu očuvanja zdravlja srca i tom prilikom je mjeren krvni pristisak i šećer pripadnicama romske i egipćanske populacije.</w:t>
            </w:r>
          </w:p>
          <w:p w14:paraId="558806A1" w14:textId="77777777" w:rsidR="00C65392" w:rsidRPr="000152CB" w:rsidRDefault="00C65392" w:rsidP="00C65392">
            <w:pPr>
              <w:spacing w:after="0" w:line="240" w:lineRule="auto"/>
              <w:rPr>
                <w:rFonts w:eastAsia="Times New Roman" w:cs="Calibri"/>
                <w:color w:val="000000" w:themeColor="text1"/>
                <w:sz w:val="20"/>
                <w:szCs w:val="20"/>
                <w:lang w:eastAsia="sr-Latn-ME"/>
              </w:rPr>
            </w:pPr>
            <w:r w:rsidRPr="000152CB">
              <w:rPr>
                <w:rFonts w:eastAsia="Times New Roman" w:cs="Calibri"/>
                <w:color w:val="000000" w:themeColor="text1"/>
                <w:sz w:val="20"/>
                <w:szCs w:val="20"/>
                <w:lang w:eastAsia="sr-Latn-ME"/>
              </w:rPr>
              <w:t xml:space="preserve">3. Uspješno je realizovana aplikacija softvera godišnjeg sistematskog pregleda oboljelih od dijabetesa u formatu za Savjetovalište za dijabetes i formatu za ljekare domova zdravlja i bolnica  (Softver Protokola nadzora nad dijabetesom i faktorima rizika </w:t>
            </w:r>
            <w:r w:rsidRPr="000152CB">
              <w:rPr>
                <w:rFonts w:eastAsia="Times New Roman" w:cs="Calibri"/>
                <w:color w:val="000000" w:themeColor="text1"/>
                <w:sz w:val="20"/>
                <w:szCs w:val="20"/>
                <w:lang w:eastAsia="sr-Latn-ME"/>
              </w:rPr>
              <w:lastRenderedPageBreak/>
              <w:t>u savjetovalištima za dijabetes domova zdravlja).</w:t>
            </w:r>
          </w:p>
          <w:p w14:paraId="5E7329AD" w14:textId="77777777" w:rsidR="00C65392" w:rsidRPr="000152CB" w:rsidRDefault="00C65392" w:rsidP="00C65392">
            <w:pPr>
              <w:spacing w:after="0" w:line="240" w:lineRule="auto"/>
              <w:rPr>
                <w:rFonts w:eastAsia="Times New Roman" w:cs="Calibri"/>
                <w:color w:val="000000" w:themeColor="text1"/>
                <w:sz w:val="20"/>
                <w:szCs w:val="20"/>
                <w:lang w:eastAsia="sr-Latn-ME"/>
              </w:rPr>
            </w:pPr>
            <w:r w:rsidRPr="000152CB">
              <w:rPr>
                <w:rFonts w:eastAsia="Times New Roman" w:cs="Calibri"/>
                <w:color w:val="000000" w:themeColor="text1"/>
                <w:sz w:val="20"/>
                <w:szCs w:val="20"/>
                <w:lang w:eastAsia="sr-Latn-ME"/>
              </w:rPr>
              <w:t xml:space="preserve">4. Organizovanje edukacija nosilaca skrining programa, medicinskih radnika o značaju sprovođenja skrining programa raka debelog crijeva, održana predavanja u Udruženju penzionera Podgorica, Domu starih Podgorica, u saradnji sa onkolozima KCCG održan događaj ispred Instituta za onkologiju u cilju obilježavanja kraja martovske kampanje o podizanju svijesti raka debelog crijeva u Crnoj Gori, organizovanje događaja u zajednici u saradnji sa domom zdravlja Glavnog grada gdje su pružane informacije o značaju skrining pregleda debelog crijeva a ujedno se vršilo i zakazivanje skrining pregleda kao i izrada postera i infografika za skrining program raka debelog crijeva. </w:t>
            </w:r>
          </w:p>
          <w:p w14:paraId="0312ADDD" w14:textId="77777777" w:rsidR="00C65392" w:rsidRPr="000152CB" w:rsidRDefault="00C65392" w:rsidP="00C65392">
            <w:pPr>
              <w:spacing w:after="0" w:line="240" w:lineRule="auto"/>
              <w:rPr>
                <w:rFonts w:eastAsia="Times New Roman" w:cs="Calibri"/>
                <w:color w:val="000000" w:themeColor="text1"/>
                <w:sz w:val="20"/>
                <w:szCs w:val="20"/>
                <w:lang w:eastAsia="sr-Latn-ME"/>
              </w:rPr>
            </w:pPr>
            <w:r w:rsidRPr="000152CB">
              <w:rPr>
                <w:rFonts w:eastAsia="Times New Roman" w:cs="Calibri"/>
                <w:color w:val="000000" w:themeColor="text1"/>
                <w:sz w:val="20"/>
                <w:szCs w:val="20"/>
                <w:lang w:eastAsia="sr-Latn-ME"/>
              </w:rPr>
              <w:t xml:space="preserve">5. Aktivno učešće u promociji skrininga raka dojke (medijska gostovanja, obilježavanja mjeseca prevencije raka dojke) - organizovanje događaja u zajednici u saradnji sa domom zdravlja Glavnog grada gdje su pružane informacije o značaju preventivnih pregleda a ujedno se vršilo i zakazivanje skrining pregleda. </w:t>
            </w:r>
          </w:p>
          <w:p w14:paraId="7EA4ACDB" w14:textId="77777777" w:rsidR="00C65392" w:rsidRPr="000152CB" w:rsidRDefault="00C65392" w:rsidP="00C65392">
            <w:pPr>
              <w:spacing w:after="0" w:line="240" w:lineRule="auto"/>
              <w:rPr>
                <w:rFonts w:eastAsia="Times New Roman" w:cs="Calibri"/>
                <w:color w:val="000000" w:themeColor="text1"/>
                <w:sz w:val="20"/>
                <w:szCs w:val="20"/>
                <w:lang w:eastAsia="sr-Latn-ME"/>
              </w:rPr>
            </w:pPr>
            <w:r w:rsidRPr="000152CB">
              <w:rPr>
                <w:rFonts w:eastAsia="Times New Roman" w:cs="Calibri"/>
                <w:color w:val="000000" w:themeColor="text1"/>
                <w:sz w:val="20"/>
                <w:szCs w:val="20"/>
                <w:lang w:eastAsia="sr-Latn-ME"/>
              </w:rPr>
              <w:lastRenderedPageBreak/>
              <w:t>U saradnji sa NVO Brini o sebi, učešće u događaju Race for the cure u cilju promocije ranog otkrivanja raka dojke. Učešće u panel diskusiji povodom “Ružičastog oktobra” u organizaciji kancelarije za rodnu ravnopravnost u sklopu Sekretarijata za socijalno staranje - Glavni grad Podgorica.</w:t>
            </w:r>
          </w:p>
          <w:p w14:paraId="0E8848E5" w14:textId="77777777" w:rsidR="00C65392" w:rsidRPr="000152CB" w:rsidRDefault="00C65392" w:rsidP="00C65392">
            <w:pPr>
              <w:spacing w:after="0" w:line="240" w:lineRule="auto"/>
              <w:rPr>
                <w:rFonts w:eastAsia="Times New Roman" w:cs="Calibri"/>
                <w:color w:val="000000" w:themeColor="text1"/>
                <w:sz w:val="20"/>
                <w:szCs w:val="20"/>
                <w:lang w:eastAsia="sr-Latn-ME"/>
              </w:rPr>
            </w:pPr>
            <w:r w:rsidRPr="000152CB">
              <w:rPr>
                <w:rFonts w:eastAsia="Times New Roman" w:cs="Calibri"/>
                <w:color w:val="000000" w:themeColor="text1"/>
                <w:sz w:val="20"/>
                <w:szCs w:val="20"/>
                <w:lang w:eastAsia="sr-Latn-ME"/>
              </w:rPr>
              <w:t>Izrada promotivno edukativnog materijala (lifleta i infografika) za skrining program raka dojke.</w:t>
            </w:r>
          </w:p>
          <w:p w14:paraId="413BFFF3" w14:textId="1D614300" w:rsidR="00C65392" w:rsidRPr="000152CB" w:rsidRDefault="00C65392" w:rsidP="00C65392">
            <w:pPr>
              <w:spacing w:after="0" w:line="240" w:lineRule="auto"/>
              <w:rPr>
                <w:rFonts w:eastAsia="Times New Roman" w:cs="Calibri"/>
                <w:sz w:val="20"/>
                <w:szCs w:val="20"/>
                <w:lang w:eastAsia="sr-Latn-ME"/>
              </w:rPr>
            </w:pPr>
            <w:r w:rsidRPr="000152CB">
              <w:rPr>
                <w:rFonts w:eastAsia="Times New Roman" w:cs="Calibri"/>
                <w:color w:val="000000" w:themeColor="text1"/>
                <w:sz w:val="20"/>
                <w:szCs w:val="20"/>
                <w:lang w:eastAsia="sr-Latn-ME"/>
              </w:rPr>
              <w:t>6. Organizovanje edukacija nosilaca skrining programa raka grlića materice, kao i medicinskih radnika koji učestvuju u sprovođenju skrining programa, izrada promotivno edukativnog materijala skrininga raka grlića materice (brošure, posteri, vodič razumijevanja skrining testa)."</w:t>
            </w:r>
          </w:p>
        </w:tc>
        <w:tc>
          <w:tcPr>
            <w:tcW w:w="1097" w:type="dxa"/>
            <w:gridSpan w:val="3"/>
            <w:tcBorders>
              <w:top w:val="single" w:sz="4" w:space="0" w:color="000000"/>
              <w:left w:val="single" w:sz="4" w:space="0" w:color="000000"/>
              <w:bottom w:val="single" w:sz="4" w:space="0" w:color="000000"/>
              <w:right w:val="single" w:sz="4" w:space="0" w:color="000000"/>
            </w:tcBorders>
          </w:tcPr>
          <w:p w14:paraId="35D6F248" w14:textId="77777777" w:rsidR="00C65392" w:rsidRPr="000152CB" w:rsidRDefault="00C65392" w:rsidP="00C65392">
            <w:pPr>
              <w:spacing w:after="0" w:line="240" w:lineRule="auto"/>
              <w:rPr>
                <w:rFonts w:eastAsia="Times New Roman" w:cs="Calibri"/>
                <w:sz w:val="20"/>
                <w:szCs w:val="20"/>
                <w:lang w:eastAsia="sr-Latn-ME"/>
              </w:rPr>
            </w:pPr>
            <w:r w:rsidRPr="000152CB">
              <w:rPr>
                <w:sz w:val="20"/>
                <w:szCs w:val="20"/>
              </w:rPr>
              <w:lastRenderedPageBreak/>
              <w:t xml:space="preserve">  IIIQ2023-IVQ 2024</w:t>
            </w:r>
          </w:p>
        </w:tc>
        <w:tc>
          <w:tcPr>
            <w:tcW w:w="128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19884E" w14:textId="77777777" w:rsidR="00C65392" w:rsidRPr="000152CB" w:rsidRDefault="00C65392" w:rsidP="00C65392">
            <w:pPr>
              <w:spacing w:after="0" w:line="240" w:lineRule="auto"/>
              <w:rPr>
                <w:rFonts w:eastAsia="Times New Roman" w:cs="Calibri"/>
                <w:sz w:val="20"/>
                <w:szCs w:val="20"/>
                <w:lang w:eastAsia="sr-Latn-ME"/>
              </w:rPr>
            </w:pPr>
            <w:r w:rsidRPr="000152CB">
              <w:rPr>
                <w:sz w:val="20"/>
                <w:szCs w:val="20"/>
              </w:rPr>
              <w:t>Tekuća sredstva</w:t>
            </w:r>
          </w:p>
        </w:tc>
        <w:tc>
          <w:tcPr>
            <w:tcW w:w="146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8ECB22" w14:textId="77777777" w:rsidR="00C65392" w:rsidRPr="000152CB" w:rsidRDefault="00C65392" w:rsidP="00C65392">
            <w:pPr>
              <w:spacing w:after="0" w:line="240" w:lineRule="auto"/>
              <w:rPr>
                <w:rFonts w:eastAsia="Times New Roman" w:cs="Calibri"/>
                <w:sz w:val="20"/>
                <w:szCs w:val="20"/>
                <w:lang w:eastAsia="sr-Latn-ME"/>
              </w:rPr>
            </w:pPr>
            <w:r w:rsidRPr="000152CB">
              <w:rPr>
                <w:sz w:val="20"/>
                <w:szCs w:val="20"/>
              </w:rPr>
              <w:t>Budžet</w:t>
            </w:r>
          </w:p>
        </w:tc>
        <w:tc>
          <w:tcPr>
            <w:tcW w:w="1505" w:type="dxa"/>
            <w:gridSpan w:val="4"/>
            <w:tcBorders>
              <w:top w:val="single" w:sz="4" w:space="0" w:color="000000"/>
              <w:left w:val="single" w:sz="4" w:space="0" w:color="000000"/>
              <w:bottom w:val="single" w:sz="4" w:space="0" w:color="000000"/>
              <w:right w:val="single" w:sz="4" w:space="0" w:color="000000"/>
            </w:tcBorders>
          </w:tcPr>
          <w:p w14:paraId="1913DD67" w14:textId="5D5532D7" w:rsidR="00C65392" w:rsidRPr="000152CB" w:rsidRDefault="000810FF" w:rsidP="00C65392">
            <w:pPr>
              <w:spacing w:after="0" w:line="240" w:lineRule="auto"/>
              <w:rPr>
                <w:rFonts w:eastAsia="Times New Roman" w:cs="Calibri"/>
                <w:sz w:val="20"/>
                <w:szCs w:val="20"/>
                <w:lang w:eastAsia="sr-Latn-ME"/>
              </w:rPr>
            </w:pPr>
            <w:r w:rsidRPr="000152CB">
              <w:rPr>
                <w:rFonts w:eastAsia="Times New Roman" w:cs="Calibri"/>
                <w:sz w:val="20"/>
                <w:szCs w:val="20"/>
                <w:lang w:eastAsia="sr-Latn-ME"/>
              </w:rPr>
              <w:t>Nastaviti sa sprovođenjem aktivnosti u narednom periodu</w:t>
            </w:r>
          </w:p>
        </w:tc>
      </w:tr>
      <w:tr w:rsidR="00FD6E82" w:rsidRPr="000152CB" w14:paraId="264F5A9D" w14:textId="77777777" w:rsidTr="00E77388">
        <w:trPr>
          <w:trHeight w:val="585"/>
          <w:jc w:val="center"/>
        </w:trPr>
        <w:tc>
          <w:tcPr>
            <w:tcW w:w="2404" w:type="dxa"/>
            <w:gridSpan w:val="2"/>
            <w:tcBorders>
              <w:top w:val="single" w:sz="4" w:space="0" w:color="000000"/>
              <w:left w:val="single" w:sz="4" w:space="0" w:color="000000"/>
              <w:bottom w:val="single" w:sz="4" w:space="0" w:color="000000"/>
              <w:right w:val="single" w:sz="4" w:space="0" w:color="000000"/>
            </w:tcBorders>
            <w:shd w:val="clear" w:color="auto" w:fill="8EAADB" w:themeFill="accent1" w:themeFillTint="99"/>
            <w:tcMar>
              <w:top w:w="0" w:type="dxa"/>
              <w:left w:w="108" w:type="dxa"/>
              <w:bottom w:w="0" w:type="dxa"/>
              <w:right w:w="108" w:type="dxa"/>
            </w:tcMar>
            <w:vAlign w:val="center"/>
            <w:hideMark/>
          </w:tcPr>
          <w:p w14:paraId="5EF5C4B5" w14:textId="77777777" w:rsidR="00FD6E82" w:rsidRPr="000152CB" w:rsidRDefault="00FD6E82" w:rsidP="00FD6E82">
            <w:pPr>
              <w:spacing w:after="0" w:line="240" w:lineRule="auto"/>
              <w:ind w:left="270"/>
              <w:jc w:val="center"/>
              <w:rPr>
                <w:rFonts w:eastAsia="Times New Roman" w:cs="Calibri"/>
                <w:b/>
                <w:sz w:val="20"/>
                <w:szCs w:val="20"/>
                <w:lang w:eastAsia="sr-Latn-ME"/>
              </w:rPr>
            </w:pPr>
            <w:r w:rsidRPr="000152CB">
              <w:rPr>
                <w:rFonts w:eastAsia="Times New Roman" w:cs="Calibri"/>
                <w:b/>
                <w:color w:val="000000"/>
                <w:sz w:val="20"/>
                <w:szCs w:val="20"/>
                <w:lang w:eastAsia="sr-Latn-ME"/>
              </w:rPr>
              <w:lastRenderedPageBreak/>
              <w:t>OPERATIVNI CILJ 2.3.</w:t>
            </w:r>
          </w:p>
        </w:tc>
        <w:tc>
          <w:tcPr>
            <w:tcW w:w="13161" w:type="dxa"/>
            <w:gridSpan w:val="27"/>
            <w:tcBorders>
              <w:top w:val="single" w:sz="4" w:space="0" w:color="000000"/>
              <w:left w:val="single" w:sz="4" w:space="0" w:color="000000"/>
              <w:bottom w:val="single" w:sz="4" w:space="0" w:color="000000"/>
              <w:right w:val="single" w:sz="4" w:space="0" w:color="000000"/>
            </w:tcBorders>
            <w:shd w:val="clear" w:color="auto" w:fill="8EAADB" w:themeFill="accent1" w:themeFillTint="99"/>
            <w:tcMar>
              <w:top w:w="0" w:type="dxa"/>
              <w:left w:w="108" w:type="dxa"/>
              <w:bottom w:w="0" w:type="dxa"/>
              <w:right w:w="108" w:type="dxa"/>
            </w:tcMar>
            <w:vAlign w:val="center"/>
            <w:hideMark/>
          </w:tcPr>
          <w:p w14:paraId="15883B15" w14:textId="77777777" w:rsidR="00FD6E82" w:rsidRPr="000152CB" w:rsidRDefault="00FD6E82" w:rsidP="00FD6E82">
            <w:pPr>
              <w:spacing w:after="0" w:line="240" w:lineRule="auto"/>
              <w:ind w:left="270"/>
              <w:jc w:val="center"/>
              <w:rPr>
                <w:rFonts w:eastAsia="Times New Roman" w:cs="Calibri"/>
                <w:b/>
                <w:sz w:val="20"/>
                <w:szCs w:val="20"/>
                <w:lang w:eastAsia="sr-Latn-ME"/>
              </w:rPr>
            </w:pPr>
            <w:r w:rsidRPr="000152CB">
              <w:rPr>
                <w:rFonts w:eastAsia="Times New Roman" w:cs="Calibri"/>
                <w:b/>
                <w:sz w:val="20"/>
                <w:szCs w:val="20"/>
                <w:lang w:eastAsia="sr-Latn-ME"/>
              </w:rPr>
              <w:t xml:space="preserve">KONTROLA ANTIMIKROBNE REZISTENCIJE KROZ INTERVENCIJE UTEMELJENE NA DOKAZIMA I DOBROJ PRAKSI </w:t>
            </w:r>
          </w:p>
        </w:tc>
      </w:tr>
      <w:tr w:rsidR="00FD6E82" w:rsidRPr="000152CB" w14:paraId="768B2340" w14:textId="77777777" w:rsidTr="00E77388">
        <w:trPr>
          <w:trHeight w:val="610"/>
          <w:jc w:val="center"/>
        </w:trPr>
        <w:tc>
          <w:tcPr>
            <w:tcW w:w="2404" w:type="dxa"/>
            <w:gridSpan w:val="2"/>
            <w:tcBorders>
              <w:top w:val="single" w:sz="4" w:space="0" w:color="000000"/>
              <w:left w:val="single" w:sz="4" w:space="0" w:color="000000"/>
              <w:bottom w:val="single" w:sz="4" w:space="0" w:color="000000"/>
              <w:right w:val="single" w:sz="4" w:space="0" w:color="000000"/>
            </w:tcBorders>
            <w:shd w:val="clear" w:color="auto" w:fill="B4C6E7" w:themeFill="accent1" w:themeFillTint="66"/>
            <w:tcMar>
              <w:top w:w="0" w:type="dxa"/>
              <w:left w:w="108" w:type="dxa"/>
              <w:bottom w:w="0" w:type="dxa"/>
              <w:right w:w="108" w:type="dxa"/>
            </w:tcMar>
            <w:hideMark/>
          </w:tcPr>
          <w:p w14:paraId="4D540589" w14:textId="77777777" w:rsidR="00FD6E82" w:rsidRPr="000152CB" w:rsidRDefault="00FD6E82" w:rsidP="00FD6E82">
            <w:pPr>
              <w:spacing w:after="0" w:line="240" w:lineRule="auto"/>
              <w:ind w:left="270"/>
              <w:jc w:val="center"/>
              <w:rPr>
                <w:rFonts w:eastAsia="Times New Roman" w:cstheme="minorHAnsi"/>
                <w:b/>
                <w:color w:val="000000" w:themeColor="text1"/>
                <w:sz w:val="20"/>
                <w:szCs w:val="20"/>
                <w:lang w:eastAsia="sr-Latn-ME"/>
              </w:rPr>
            </w:pPr>
            <w:r w:rsidRPr="000152CB">
              <w:rPr>
                <w:rFonts w:eastAsia="Times New Roman" w:cstheme="minorHAnsi"/>
                <w:b/>
                <w:color w:val="000000" w:themeColor="text1"/>
                <w:sz w:val="20"/>
                <w:szCs w:val="20"/>
                <w:lang w:eastAsia="sr-Latn-ME"/>
              </w:rPr>
              <w:t>INDIKATOR UČINKA 1:</w:t>
            </w:r>
          </w:p>
          <w:p w14:paraId="2B654412" w14:textId="77777777" w:rsidR="00FD6E82" w:rsidRPr="000152CB" w:rsidRDefault="00FD6E82" w:rsidP="00FD6E82">
            <w:pPr>
              <w:spacing w:after="0" w:line="240" w:lineRule="auto"/>
              <w:ind w:left="270"/>
              <w:jc w:val="center"/>
              <w:rPr>
                <w:rFonts w:eastAsia="Times New Roman" w:cstheme="minorHAnsi"/>
                <w:b/>
                <w:color w:val="000000" w:themeColor="text1"/>
                <w:sz w:val="20"/>
                <w:szCs w:val="20"/>
                <w:lang w:eastAsia="sr-Latn-ME"/>
              </w:rPr>
            </w:pPr>
            <w:r w:rsidRPr="000152CB">
              <w:rPr>
                <w:rFonts w:eastAsia="Times New Roman" w:cstheme="minorHAnsi"/>
                <w:b/>
                <w:color w:val="000000" w:themeColor="text1"/>
                <w:sz w:val="20"/>
                <w:szCs w:val="20"/>
                <w:lang w:eastAsia="sr-Latn-ME"/>
              </w:rPr>
              <w:t>Potrošnja antibiotika u DDD/1000st/dan</w:t>
            </w:r>
          </w:p>
        </w:tc>
        <w:tc>
          <w:tcPr>
            <w:tcW w:w="4970" w:type="dxa"/>
            <w:gridSpan w:val="4"/>
            <w:tcBorders>
              <w:top w:val="single" w:sz="4" w:space="0" w:color="000000"/>
              <w:left w:val="single" w:sz="4" w:space="0" w:color="000000"/>
              <w:bottom w:val="single" w:sz="4" w:space="0" w:color="000000"/>
              <w:right w:val="single" w:sz="4" w:space="0" w:color="000000"/>
            </w:tcBorders>
            <w:shd w:val="clear" w:color="auto" w:fill="B4C6E7" w:themeFill="accent1" w:themeFillTint="66"/>
            <w:tcMar>
              <w:top w:w="0" w:type="dxa"/>
              <w:left w:w="108" w:type="dxa"/>
              <w:bottom w:w="0" w:type="dxa"/>
              <w:right w:w="108" w:type="dxa"/>
            </w:tcMar>
            <w:hideMark/>
          </w:tcPr>
          <w:p w14:paraId="66F11E35" w14:textId="77777777" w:rsidR="00FD6E82" w:rsidRPr="000152CB" w:rsidRDefault="00FD6E82" w:rsidP="00FD6E82">
            <w:pPr>
              <w:spacing w:after="0" w:line="240" w:lineRule="auto"/>
              <w:ind w:left="270"/>
              <w:contextualSpacing/>
              <w:jc w:val="center"/>
              <w:rPr>
                <w:rFonts w:eastAsia="Times New Roman" w:cstheme="minorHAnsi"/>
                <w:b/>
                <w:color w:val="000000" w:themeColor="text1"/>
                <w:sz w:val="20"/>
                <w:szCs w:val="20"/>
                <w:lang w:eastAsia="sr-Latn-ME"/>
              </w:rPr>
            </w:pPr>
            <w:r w:rsidRPr="000152CB">
              <w:rPr>
                <w:rFonts w:eastAsia="Times New Roman" w:cstheme="minorHAnsi"/>
                <w:b/>
                <w:color w:val="000000" w:themeColor="text1"/>
                <w:sz w:val="20"/>
                <w:szCs w:val="20"/>
                <w:lang w:eastAsia="sr-Latn-ME"/>
              </w:rPr>
              <w:t>Početna vrijednost:</w:t>
            </w:r>
          </w:p>
          <w:p w14:paraId="4B20D5E2" w14:textId="77777777" w:rsidR="00FD6E82" w:rsidRPr="000152CB" w:rsidRDefault="00FD6E82" w:rsidP="00FD6E82">
            <w:pPr>
              <w:spacing w:after="0" w:line="240" w:lineRule="auto"/>
              <w:ind w:left="270"/>
              <w:jc w:val="center"/>
              <w:rPr>
                <w:rFonts w:eastAsia="Times New Roman" w:cstheme="minorHAnsi"/>
                <w:b/>
                <w:color w:val="000000" w:themeColor="text1"/>
                <w:sz w:val="20"/>
                <w:szCs w:val="20"/>
                <w:lang w:eastAsia="sr-Latn-ME"/>
              </w:rPr>
            </w:pPr>
          </w:p>
          <w:p w14:paraId="45BA17E4" w14:textId="77777777" w:rsidR="00FD6E82" w:rsidRPr="000152CB" w:rsidRDefault="00FD6E82" w:rsidP="00FD6E82">
            <w:pPr>
              <w:spacing w:after="0" w:line="240" w:lineRule="auto"/>
              <w:ind w:left="270"/>
              <w:jc w:val="center"/>
              <w:rPr>
                <w:rFonts w:eastAsia="Times New Roman" w:cstheme="minorHAnsi"/>
                <w:bCs/>
                <w:color w:val="000000" w:themeColor="text1"/>
                <w:sz w:val="20"/>
                <w:szCs w:val="20"/>
                <w:lang w:eastAsia="sr-Latn-ME"/>
              </w:rPr>
            </w:pPr>
            <w:r w:rsidRPr="000152CB">
              <w:rPr>
                <w:rFonts w:eastAsia="Times New Roman" w:cstheme="minorHAnsi"/>
                <w:bCs/>
                <w:color w:val="000000" w:themeColor="text1"/>
                <w:sz w:val="20"/>
                <w:szCs w:val="20"/>
                <w:lang w:eastAsia="sr-Latn-ME"/>
              </w:rPr>
              <w:t>26.6 DDD/1000 st/dan</w:t>
            </w:r>
          </w:p>
        </w:tc>
        <w:tc>
          <w:tcPr>
            <w:tcW w:w="3942" w:type="dxa"/>
            <w:gridSpan w:val="11"/>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0F336909" w14:textId="77777777" w:rsidR="00FD6E82" w:rsidRPr="000152CB" w:rsidRDefault="00FD6E82" w:rsidP="00FD6E82">
            <w:pPr>
              <w:spacing w:after="0" w:line="240" w:lineRule="auto"/>
              <w:ind w:left="270"/>
              <w:jc w:val="center"/>
              <w:rPr>
                <w:rFonts w:eastAsia="Times New Roman" w:cstheme="minorHAnsi"/>
                <w:b/>
                <w:color w:val="000000" w:themeColor="text1"/>
                <w:sz w:val="20"/>
                <w:szCs w:val="20"/>
                <w:lang w:eastAsia="sr-Latn-ME"/>
              </w:rPr>
            </w:pPr>
            <w:r w:rsidRPr="000152CB">
              <w:rPr>
                <w:rFonts w:eastAsia="Times New Roman" w:cstheme="minorHAnsi"/>
                <w:b/>
                <w:color w:val="000000" w:themeColor="text1"/>
                <w:sz w:val="20"/>
                <w:szCs w:val="20"/>
                <w:lang w:eastAsia="sr-Latn-ME"/>
              </w:rPr>
              <w:t>Prelazna vrijednost:</w:t>
            </w:r>
          </w:p>
          <w:p w14:paraId="425144A1" w14:textId="77777777" w:rsidR="00FD6E82" w:rsidRPr="000152CB" w:rsidRDefault="00FD6E82" w:rsidP="00FD6E82">
            <w:pPr>
              <w:spacing w:after="0" w:line="240" w:lineRule="auto"/>
              <w:ind w:left="270"/>
              <w:jc w:val="center"/>
              <w:rPr>
                <w:rFonts w:eastAsia="Times New Roman" w:cstheme="minorHAnsi"/>
                <w:b/>
                <w:color w:val="000000" w:themeColor="text1"/>
                <w:sz w:val="20"/>
                <w:szCs w:val="20"/>
                <w:lang w:eastAsia="sr-Latn-ME"/>
              </w:rPr>
            </w:pPr>
          </w:p>
          <w:p w14:paraId="42C29D78" w14:textId="77777777" w:rsidR="00FD6E82" w:rsidRPr="000152CB" w:rsidRDefault="00FD6E82" w:rsidP="00FD6E82">
            <w:pPr>
              <w:spacing w:after="0" w:line="240" w:lineRule="auto"/>
              <w:ind w:left="270"/>
              <w:jc w:val="center"/>
              <w:rPr>
                <w:rFonts w:eastAsia="Times New Roman" w:cstheme="minorHAnsi"/>
                <w:bCs/>
                <w:color w:val="000000" w:themeColor="text1"/>
                <w:sz w:val="20"/>
                <w:szCs w:val="20"/>
                <w:lang w:eastAsia="sr-Latn-ME"/>
              </w:rPr>
            </w:pPr>
            <w:r w:rsidRPr="000152CB">
              <w:rPr>
                <w:rFonts w:eastAsia="Times New Roman" w:cstheme="minorHAnsi"/>
                <w:bCs/>
                <w:color w:val="000000" w:themeColor="text1"/>
                <w:sz w:val="20"/>
                <w:szCs w:val="20"/>
                <w:lang w:eastAsia="sr-Latn-ME"/>
              </w:rPr>
              <w:t>25.6 DDD/1000 st/dan</w:t>
            </w:r>
          </w:p>
        </w:tc>
        <w:tc>
          <w:tcPr>
            <w:tcW w:w="4249" w:type="dxa"/>
            <w:gridSpan w:val="12"/>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3F1FDB49" w14:textId="77777777" w:rsidR="00FD6E82" w:rsidRPr="000152CB" w:rsidRDefault="00FD6E82" w:rsidP="00FD6E82">
            <w:pPr>
              <w:spacing w:after="0" w:line="240" w:lineRule="auto"/>
              <w:ind w:left="270"/>
              <w:jc w:val="center"/>
              <w:rPr>
                <w:rFonts w:eastAsia="Times New Roman" w:cstheme="minorHAnsi"/>
                <w:b/>
                <w:color w:val="000000" w:themeColor="text1"/>
                <w:sz w:val="20"/>
                <w:szCs w:val="20"/>
                <w:lang w:eastAsia="sr-Latn-ME"/>
              </w:rPr>
            </w:pPr>
            <w:r w:rsidRPr="000152CB">
              <w:rPr>
                <w:rFonts w:eastAsia="Times New Roman" w:cstheme="minorHAnsi"/>
                <w:b/>
                <w:color w:val="000000" w:themeColor="text1"/>
                <w:sz w:val="20"/>
                <w:szCs w:val="20"/>
                <w:lang w:eastAsia="sr-Latn-ME"/>
              </w:rPr>
              <w:t>Ciljna vrijednost:</w:t>
            </w:r>
          </w:p>
          <w:p w14:paraId="442C5F6E" w14:textId="77777777" w:rsidR="00FD6E82" w:rsidRPr="000152CB" w:rsidRDefault="00FD6E82" w:rsidP="00FD6E82">
            <w:pPr>
              <w:spacing w:after="0" w:line="240" w:lineRule="auto"/>
              <w:ind w:left="270"/>
              <w:jc w:val="center"/>
              <w:rPr>
                <w:rFonts w:eastAsia="Times New Roman" w:cstheme="minorHAnsi"/>
                <w:b/>
                <w:color w:val="000000" w:themeColor="text1"/>
                <w:sz w:val="20"/>
                <w:szCs w:val="20"/>
                <w:lang w:eastAsia="sr-Latn-ME"/>
              </w:rPr>
            </w:pPr>
          </w:p>
          <w:p w14:paraId="7555C59E" w14:textId="77777777" w:rsidR="00FD6E82" w:rsidRPr="000152CB" w:rsidRDefault="00FD6E82" w:rsidP="00FD6E82">
            <w:pPr>
              <w:spacing w:after="0" w:line="240" w:lineRule="auto"/>
              <w:ind w:left="270"/>
              <w:jc w:val="center"/>
              <w:rPr>
                <w:rFonts w:eastAsia="Times New Roman" w:cstheme="minorHAnsi"/>
                <w:bCs/>
                <w:color w:val="000000" w:themeColor="text1"/>
                <w:sz w:val="20"/>
                <w:szCs w:val="20"/>
                <w:lang w:eastAsia="sr-Latn-ME"/>
              </w:rPr>
            </w:pPr>
            <w:r w:rsidRPr="000152CB">
              <w:rPr>
                <w:rFonts w:eastAsia="Times New Roman" w:cstheme="minorHAnsi"/>
                <w:bCs/>
                <w:color w:val="000000" w:themeColor="text1"/>
                <w:sz w:val="20"/>
                <w:szCs w:val="20"/>
                <w:lang w:eastAsia="sr-Latn-ME"/>
              </w:rPr>
              <w:t>24.6 DDD/1000 st/dan</w:t>
            </w:r>
          </w:p>
        </w:tc>
      </w:tr>
      <w:tr w:rsidR="00BB44DA" w:rsidRPr="000152CB" w14:paraId="06CC44DE" w14:textId="77777777" w:rsidTr="00E77388">
        <w:trPr>
          <w:trHeight w:val="506"/>
          <w:jc w:val="center"/>
        </w:trPr>
        <w:tc>
          <w:tcPr>
            <w:tcW w:w="2404" w:type="dxa"/>
            <w:gridSpan w:val="2"/>
            <w:vMerge w:val="restart"/>
            <w:tcBorders>
              <w:top w:val="single" w:sz="4" w:space="0" w:color="000000"/>
              <w:left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hideMark/>
          </w:tcPr>
          <w:p w14:paraId="52D43AF8" w14:textId="77777777" w:rsidR="00FD6E82" w:rsidRPr="000152CB" w:rsidRDefault="00FD6E82" w:rsidP="00FD6E82">
            <w:pPr>
              <w:spacing w:after="0" w:line="240" w:lineRule="auto"/>
              <w:ind w:left="270"/>
              <w:jc w:val="center"/>
              <w:rPr>
                <w:rFonts w:eastAsia="Times New Roman" w:cs="Calibri"/>
                <w:b/>
                <w:sz w:val="20"/>
                <w:szCs w:val="20"/>
                <w:lang w:eastAsia="sr-Latn-ME"/>
              </w:rPr>
            </w:pPr>
            <w:r w:rsidRPr="000152CB">
              <w:rPr>
                <w:rFonts w:eastAsia="Times New Roman" w:cs="Calibri"/>
                <w:b/>
                <w:color w:val="000000"/>
                <w:sz w:val="20"/>
                <w:szCs w:val="20"/>
                <w:lang w:eastAsia="sr-Latn-ME"/>
              </w:rPr>
              <w:t>Aktivnost koja utiče na realizaciju Operativnog cilja</w:t>
            </w:r>
          </w:p>
        </w:tc>
        <w:tc>
          <w:tcPr>
            <w:tcW w:w="3453" w:type="dxa"/>
            <w:gridSpan w:val="2"/>
            <w:vMerge w:val="restart"/>
            <w:tcBorders>
              <w:top w:val="single" w:sz="4" w:space="0" w:color="000000"/>
              <w:left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hideMark/>
          </w:tcPr>
          <w:p w14:paraId="32E72B83" w14:textId="77777777" w:rsidR="00FD6E82" w:rsidRPr="000152CB" w:rsidRDefault="00FD6E82" w:rsidP="00FD6E82">
            <w:pPr>
              <w:spacing w:after="0" w:line="240" w:lineRule="auto"/>
              <w:ind w:left="270"/>
              <w:jc w:val="center"/>
              <w:rPr>
                <w:rFonts w:eastAsia="Times New Roman" w:cs="Calibri"/>
                <w:b/>
                <w:sz w:val="20"/>
                <w:szCs w:val="20"/>
                <w:lang w:eastAsia="sr-Latn-ME"/>
              </w:rPr>
            </w:pPr>
            <w:r w:rsidRPr="000152CB">
              <w:rPr>
                <w:rFonts w:eastAsia="Times New Roman" w:cs="Calibri"/>
                <w:b/>
                <w:color w:val="000000"/>
                <w:sz w:val="20"/>
                <w:szCs w:val="20"/>
                <w:lang w:eastAsia="sr-Latn-ME"/>
              </w:rPr>
              <w:t>Indikator rezultata</w:t>
            </w:r>
          </w:p>
        </w:tc>
        <w:tc>
          <w:tcPr>
            <w:tcW w:w="1583" w:type="dxa"/>
            <w:gridSpan w:val="3"/>
            <w:vMerge w:val="restart"/>
            <w:tcBorders>
              <w:top w:val="single" w:sz="4" w:space="0" w:color="000000"/>
              <w:left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hideMark/>
          </w:tcPr>
          <w:p w14:paraId="697D1E3F" w14:textId="77777777" w:rsidR="00FD6E82" w:rsidRPr="000152CB" w:rsidRDefault="00FD6E82" w:rsidP="00FD6E82">
            <w:pPr>
              <w:spacing w:after="0" w:line="240" w:lineRule="auto"/>
              <w:ind w:left="270"/>
              <w:jc w:val="center"/>
              <w:rPr>
                <w:rFonts w:eastAsia="Times New Roman" w:cs="Calibri"/>
                <w:b/>
                <w:sz w:val="20"/>
                <w:szCs w:val="20"/>
                <w:lang w:eastAsia="sr-Latn-ME"/>
              </w:rPr>
            </w:pPr>
            <w:r w:rsidRPr="000152CB">
              <w:rPr>
                <w:rFonts w:eastAsia="Times New Roman" w:cs="Calibri"/>
                <w:b/>
                <w:color w:val="000000"/>
                <w:sz w:val="20"/>
                <w:szCs w:val="20"/>
                <w:lang w:eastAsia="sr-Latn-ME"/>
              </w:rPr>
              <w:t>Nadležna institucija</w:t>
            </w:r>
          </w:p>
        </w:tc>
        <w:tc>
          <w:tcPr>
            <w:tcW w:w="2768" w:type="dxa"/>
            <w:gridSpan w:val="6"/>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hideMark/>
          </w:tcPr>
          <w:p w14:paraId="7FFE5909" w14:textId="77777777" w:rsidR="00FD6E82" w:rsidRPr="000152CB" w:rsidRDefault="00FD6E82" w:rsidP="00FD6E82">
            <w:pPr>
              <w:spacing w:after="0" w:line="240" w:lineRule="auto"/>
              <w:ind w:left="270"/>
              <w:jc w:val="center"/>
              <w:rPr>
                <w:rFonts w:eastAsia="Times New Roman" w:cs="Calibri"/>
                <w:b/>
                <w:sz w:val="20"/>
                <w:szCs w:val="20"/>
                <w:lang w:eastAsia="sr-Latn-ME"/>
              </w:rPr>
            </w:pPr>
            <w:r w:rsidRPr="000152CB">
              <w:rPr>
                <w:rFonts w:eastAsia="Times New Roman" w:cs="Calibri"/>
                <w:b/>
                <w:sz w:val="20"/>
                <w:szCs w:val="20"/>
                <w:lang w:eastAsia="sr-Latn-ME"/>
              </w:rPr>
              <w:t>STATUS REALIZACIJE AKTIVNOSTI</w:t>
            </w:r>
          </w:p>
        </w:tc>
        <w:tc>
          <w:tcPr>
            <w:tcW w:w="1097" w:type="dxa"/>
            <w:gridSpan w:val="3"/>
            <w:vMerge w:val="restart"/>
            <w:tcBorders>
              <w:top w:val="single" w:sz="4" w:space="0" w:color="000000"/>
              <w:left w:val="single" w:sz="4" w:space="0" w:color="000000"/>
              <w:right w:val="single" w:sz="4" w:space="0" w:color="000000"/>
            </w:tcBorders>
            <w:shd w:val="clear" w:color="auto" w:fill="D9E2F3" w:themeFill="accent1" w:themeFillTint="33"/>
            <w:vAlign w:val="center"/>
          </w:tcPr>
          <w:p w14:paraId="5BAA9BAA" w14:textId="77777777" w:rsidR="00FD6E82" w:rsidRPr="000152CB" w:rsidRDefault="00FD6E82" w:rsidP="00FD6E82">
            <w:pPr>
              <w:spacing w:after="0" w:line="240" w:lineRule="auto"/>
              <w:ind w:left="270"/>
              <w:jc w:val="center"/>
              <w:rPr>
                <w:rFonts w:eastAsia="Times New Roman" w:cs="Calibri"/>
                <w:b/>
                <w:sz w:val="20"/>
                <w:szCs w:val="20"/>
                <w:lang w:eastAsia="sr-Latn-ME"/>
              </w:rPr>
            </w:pPr>
            <w:r w:rsidRPr="000152CB">
              <w:rPr>
                <w:rFonts w:eastAsia="Times New Roman" w:cs="Calibri"/>
                <w:b/>
                <w:color w:val="000000"/>
                <w:sz w:val="20"/>
                <w:szCs w:val="20"/>
                <w:lang w:eastAsia="sr-Latn-ME"/>
              </w:rPr>
              <w:t>Planirani rok završetka</w:t>
            </w:r>
          </w:p>
        </w:tc>
        <w:tc>
          <w:tcPr>
            <w:tcW w:w="1287" w:type="dxa"/>
            <w:gridSpan w:val="4"/>
            <w:vMerge w:val="restart"/>
            <w:tcBorders>
              <w:top w:val="single" w:sz="4" w:space="0" w:color="000000"/>
              <w:left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hideMark/>
          </w:tcPr>
          <w:p w14:paraId="3B22AA17" w14:textId="77777777" w:rsidR="00FD6E82" w:rsidRPr="000152CB" w:rsidRDefault="00FD6E82" w:rsidP="00FD6E82">
            <w:pPr>
              <w:spacing w:after="0" w:line="240" w:lineRule="auto"/>
              <w:ind w:left="270"/>
              <w:jc w:val="center"/>
              <w:rPr>
                <w:rFonts w:eastAsia="Times New Roman" w:cs="Calibri"/>
                <w:b/>
                <w:sz w:val="20"/>
                <w:szCs w:val="20"/>
                <w:lang w:eastAsia="sr-Latn-ME"/>
              </w:rPr>
            </w:pPr>
            <w:r w:rsidRPr="000152CB">
              <w:rPr>
                <w:rFonts w:eastAsia="Times New Roman" w:cs="Calibri"/>
                <w:b/>
                <w:color w:val="000000"/>
                <w:sz w:val="20"/>
                <w:szCs w:val="20"/>
                <w:lang w:eastAsia="sr-Latn-ME"/>
              </w:rPr>
              <w:t>Planirana i utrošena sredstva</w:t>
            </w:r>
          </w:p>
        </w:tc>
        <w:tc>
          <w:tcPr>
            <w:tcW w:w="1468" w:type="dxa"/>
            <w:gridSpan w:val="5"/>
            <w:vMerge w:val="restart"/>
            <w:tcBorders>
              <w:top w:val="single" w:sz="4" w:space="0" w:color="000000"/>
              <w:left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hideMark/>
          </w:tcPr>
          <w:p w14:paraId="3BE40C52" w14:textId="77777777" w:rsidR="00FD6E82" w:rsidRPr="000152CB" w:rsidRDefault="00FD6E82" w:rsidP="00FD6E82">
            <w:pPr>
              <w:spacing w:after="0" w:line="240" w:lineRule="auto"/>
              <w:ind w:left="270"/>
              <w:jc w:val="center"/>
              <w:rPr>
                <w:rFonts w:eastAsia="Times New Roman" w:cs="Calibri"/>
                <w:b/>
                <w:sz w:val="20"/>
                <w:szCs w:val="20"/>
                <w:lang w:eastAsia="sr-Latn-ME"/>
              </w:rPr>
            </w:pPr>
            <w:r w:rsidRPr="000152CB">
              <w:rPr>
                <w:rFonts w:eastAsia="Times New Roman" w:cs="Calibri"/>
                <w:b/>
                <w:color w:val="000000"/>
                <w:sz w:val="20"/>
                <w:szCs w:val="20"/>
                <w:lang w:eastAsia="sr-Latn-ME"/>
              </w:rPr>
              <w:t>Izvor finansiranja</w:t>
            </w:r>
          </w:p>
        </w:tc>
        <w:tc>
          <w:tcPr>
            <w:tcW w:w="1505" w:type="dxa"/>
            <w:gridSpan w:val="4"/>
            <w:vMerge w:val="restart"/>
            <w:tcBorders>
              <w:top w:val="single" w:sz="4" w:space="0" w:color="000000"/>
              <w:left w:val="single" w:sz="4" w:space="0" w:color="000000"/>
              <w:right w:val="single" w:sz="4" w:space="0" w:color="000000"/>
            </w:tcBorders>
            <w:shd w:val="clear" w:color="auto" w:fill="D9E2F3" w:themeFill="accent1" w:themeFillTint="33"/>
            <w:vAlign w:val="center"/>
          </w:tcPr>
          <w:p w14:paraId="36B98912" w14:textId="77777777" w:rsidR="00FD6E82" w:rsidRPr="000152CB" w:rsidRDefault="00FD6E82" w:rsidP="00FD6E82">
            <w:pPr>
              <w:spacing w:after="0" w:line="240" w:lineRule="auto"/>
              <w:ind w:left="270"/>
              <w:jc w:val="center"/>
              <w:rPr>
                <w:rFonts w:eastAsia="Times New Roman" w:cs="Calibri"/>
                <w:b/>
                <w:sz w:val="20"/>
                <w:szCs w:val="20"/>
                <w:lang w:eastAsia="sr-Latn-ME"/>
              </w:rPr>
            </w:pPr>
            <w:r w:rsidRPr="000152CB">
              <w:rPr>
                <w:rFonts w:eastAsia="Times New Roman" w:cs="Calibri"/>
                <w:b/>
                <w:sz w:val="20"/>
                <w:szCs w:val="20"/>
                <w:lang w:eastAsia="sr-Latn-ME"/>
              </w:rPr>
              <w:t>Preporuke</w:t>
            </w:r>
          </w:p>
        </w:tc>
      </w:tr>
      <w:tr w:rsidR="00BB44DA" w:rsidRPr="000152CB" w14:paraId="06DEED64" w14:textId="77777777" w:rsidTr="00E77388">
        <w:trPr>
          <w:trHeight w:val="376"/>
          <w:jc w:val="center"/>
        </w:trPr>
        <w:tc>
          <w:tcPr>
            <w:tcW w:w="2404" w:type="dxa"/>
            <w:gridSpan w:val="2"/>
            <w:vMerge/>
            <w:tcBorders>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657ABD81" w14:textId="77777777" w:rsidR="00FD6E82" w:rsidRPr="000152CB" w:rsidRDefault="00FD6E82" w:rsidP="00FD6E82">
            <w:pPr>
              <w:spacing w:after="0" w:line="240" w:lineRule="auto"/>
              <w:ind w:left="270"/>
              <w:jc w:val="center"/>
              <w:rPr>
                <w:rFonts w:eastAsia="Times New Roman" w:cs="Calibri"/>
                <w:b/>
                <w:color w:val="000000"/>
                <w:sz w:val="20"/>
                <w:szCs w:val="20"/>
                <w:lang w:eastAsia="sr-Latn-ME"/>
              </w:rPr>
            </w:pPr>
          </w:p>
        </w:tc>
        <w:tc>
          <w:tcPr>
            <w:tcW w:w="3453" w:type="dxa"/>
            <w:gridSpan w:val="2"/>
            <w:vMerge/>
            <w:tcBorders>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30C4FB4B" w14:textId="77777777" w:rsidR="00FD6E82" w:rsidRPr="000152CB" w:rsidRDefault="00FD6E82" w:rsidP="00FD6E82">
            <w:pPr>
              <w:spacing w:after="0" w:line="240" w:lineRule="auto"/>
              <w:ind w:left="270"/>
              <w:jc w:val="center"/>
              <w:rPr>
                <w:rFonts w:eastAsia="Times New Roman" w:cs="Calibri"/>
                <w:b/>
                <w:color w:val="000000"/>
                <w:sz w:val="20"/>
                <w:szCs w:val="20"/>
                <w:lang w:eastAsia="sr-Latn-ME"/>
              </w:rPr>
            </w:pPr>
          </w:p>
        </w:tc>
        <w:tc>
          <w:tcPr>
            <w:tcW w:w="1583" w:type="dxa"/>
            <w:gridSpan w:val="3"/>
            <w:vMerge/>
            <w:tcBorders>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0FE948A3" w14:textId="77777777" w:rsidR="00FD6E82" w:rsidRPr="000152CB" w:rsidRDefault="00FD6E82" w:rsidP="00FD6E82">
            <w:pPr>
              <w:spacing w:after="0" w:line="240" w:lineRule="auto"/>
              <w:ind w:left="270"/>
              <w:jc w:val="center"/>
              <w:rPr>
                <w:rFonts w:eastAsia="Times New Roman" w:cs="Calibri"/>
                <w:b/>
                <w:color w:val="000000"/>
                <w:sz w:val="20"/>
                <w:szCs w:val="20"/>
                <w:lang w:eastAsia="sr-Latn-ME"/>
              </w:rPr>
            </w:pPr>
          </w:p>
        </w:tc>
        <w:tc>
          <w:tcPr>
            <w:tcW w:w="925" w:type="dxa"/>
            <w:gridSpan w:val="2"/>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vAlign w:val="center"/>
          </w:tcPr>
          <w:p w14:paraId="03944745" w14:textId="77777777" w:rsidR="00FD6E82" w:rsidRPr="000152CB" w:rsidRDefault="00FD6E82" w:rsidP="00FD6E82">
            <w:pPr>
              <w:spacing w:after="0" w:line="240" w:lineRule="auto"/>
              <w:ind w:left="270"/>
              <w:jc w:val="center"/>
              <w:rPr>
                <w:rFonts w:eastAsia="Times New Roman" w:cs="Calibri"/>
                <w:b/>
                <w:sz w:val="20"/>
                <w:szCs w:val="20"/>
                <w:lang w:eastAsia="sr-Latn-ME"/>
              </w:rPr>
            </w:pPr>
          </w:p>
        </w:tc>
        <w:tc>
          <w:tcPr>
            <w:tcW w:w="96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6A7EE26D" w14:textId="77777777" w:rsidR="00FD6E82" w:rsidRPr="000152CB" w:rsidRDefault="00FD6E82" w:rsidP="00FD6E82">
            <w:pPr>
              <w:spacing w:after="0" w:line="240" w:lineRule="auto"/>
              <w:ind w:left="270"/>
              <w:jc w:val="center"/>
              <w:rPr>
                <w:rFonts w:eastAsia="Times New Roman" w:cs="Calibri"/>
                <w:b/>
                <w:sz w:val="20"/>
                <w:szCs w:val="20"/>
                <w:lang w:eastAsia="sr-Latn-ME"/>
              </w:rPr>
            </w:pPr>
          </w:p>
        </w:tc>
        <w:tc>
          <w:tcPr>
            <w:tcW w:w="876" w:type="dxa"/>
            <w:gridSpan w:val="3"/>
            <w:tcBorders>
              <w:top w:val="single" w:sz="4" w:space="0" w:color="000000"/>
              <w:left w:val="single" w:sz="4" w:space="0" w:color="000000"/>
              <w:bottom w:val="single" w:sz="4" w:space="0" w:color="000000"/>
              <w:right w:val="single" w:sz="4" w:space="0" w:color="000000"/>
            </w:tcBorders>
            <w:shd w:val="clear" w:color="auto" w:fill="FF0000"/>
            <w:vAlign w:val="center"/>
          </w:tcPr>
          <w:p w14:paraId="20C170ED" w14:textId="77777777" w:rsidR="00FD6E82" w:rsidRPr="000152CB" w:rsidRDefault="00FD6E82" w:rsidP="00FD6E82">
            <w:pPr>
              <w:spacing w:after="0" w:line="240" w:lineRule="auto"/>
              <w:ind w:left="270"/>
              <w:jc w:val="center"/>
              <w:rPr>
                <w:rFonts w:eastAsia="Times New Roman" w:cs="Calibri"/>
                <w:b/>
                <w:sz w:val="20"/>
                <w:szCs w:val="20"/>
                <w:lang w:eastAsia="sr-Latn-ME"/>
              </w:rPr>
            </w:pPr>
          </w:p>
        </w:tc>
        <w:tc>
          <w:tcPr>
            <w:tcW w:w="1097" w:type="dxa"/>
            <w:gridSpan w:val="3"/>
            <w:vMerge/>
            <w:tcBorders>
              <w:left w:val="single" w:sz="4" w:space="0" w:color="000000"/>
              <w:bottom w:val="single" w:sz="4" w:space="0" w:color="000000"/>
              <w:right w:val="single" w:sz="4" w:space="0" w:color="000000"/>
            </w:tcBorders>
            <w:shd w:val="clear" w:color="auto" w:fill="D9E2F3" w:themeFill="accent1" w:themeFillTint="33"/>
            <w:vAlign w:val="center"/>
          </w:tcPr>
          <w:p w14:paraId="3815FB35" w14:textId="77777777" w:rsidR="00FD6E82" w:rsidRPr="000152CB" w:rsidRDefault="00FD6E82" w:rsidP="00FD6E82">
            <w:pPr>
              <w:spacing w:after="0" w:line="240" w:lineRule="auto"/>
              <w:ind w:left="270"/>
              <w:jc w:val="center"/>
              <w:rPr>
                <w:rFonts w:eastAsia="Times New Roman" w:cs="Calibri"/>
                <w:b/>
                <w:color w:val="000000"/>
                <w:sz w:val="20"/>
                <w:szCs w:val="20"/>
                <w:lang w:eastAsia="sr-Latn-ME"/>
              </w:rPr>
            </w:pPr>
          </w:p>
        </w:tc>
        <w:tc>
          <w:tcPr>
            <w:tcW w:w="1287" w:type="dxa"/>
            <w:gridSpan w:val="4"/>
            <w:vMerge/>
            <w:tcBorders>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3E52E231" w14:textId="77777777" w:rsidR="00FD6E82" w:rsidRPr="000152CB" w:rsidRDefault="00FD6E82" w:rsidP="00FD6E82">
            <w:pPr>
              <w:spacing w:after="0" w:line="240" w:lineRule="auto"/>
              <w:ind w:left="270"/>
              <w:jc w:val="center"/>
              <w:rPr>
                <w:rFonts w:eastAsia="Times New Roman" w:cs="Calibri"/>
                <w:b/>
                <w:color w:val="000000"/>
                <w:sz w:val="20"/>
                <w:szCs w:val="20"/>
                <w:lang w:eastAsia="sr-Latn-ME"/>
              </w:rPr>
            </w:pPr>
          </w:p>
        </w:tc>
        <w:tc>
          <w:tcPr>
            <w:tcW w:w="1468" w:type="dxa"/>
            <w:gridSpan w:val="5"/>
            <w:vMerge/>
            <w:tcBorders>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0CBC45A6" w14:textId="77777777" w:rsidR="00FD6E82" w:rsidRPr="000152CB" w:rsidRDefault="00FD6E82" w:rsidP="00FD6E82">
            <w:pPr>
              <w:spacing w:after="0" w:line="240" w:lineRule="auto"/>
              <w:ind w:left="270"/>
              <w:jc w:val="center"/>
              <w:rPr>
                <w:rFonts w:eastAsia="Times New Roman" w:cs="Calibri"/>
                <w:b/>
                <w:color w:val="000000"/>
                <w:sz w:val="20"/>
                <w:szCs w:val="20"/>
                <w:lang w:eastAsia="sr-Latn-ME"/>
              </w:rPr>
            </w:pPr>
          </w:p>
        </w:tc>
        <w:tc>
          <w:tcPr>
            <w:tcW w:w="1505" w:type="dxa"/>
            <w:gridSpan w:val="4"/>
            <w:vMerge/>
            <w:tcBorders>
              <w:left w:val="single" w:sz="4" w:space="0" w:color="000000"/>
              <w:bottom w:val="single" w:sz="4" w:space="0" w:color="000000"/>
              <w:right w:val="single" w:sz="4" w:space="0" w:color="000000"/>
            </w:tcBorders>
            <w:shd w:val="clear" w:color="auto" w:fill="D9E2F3" w:themeFill="accent1" w:themeFillTint="33"/>
            <w:vAlign w:val="center"/>
          </w:tcPr>
          <w:p w14:paraId="2DC8AE99" w14:textId="77777777" w:rsidR="00FD6E82" w:rsidRPr="000152CB" w:rsidRDefault="00FD6E82" w:rsidP="00FD6E82">
            <w:pPr>
              <w:spacing w:after="0" w:line="240" w:lineRule="auto"/>
              <w:ind w:left="270"/>
              <w:jc w:val="center"/>
              <w:rPr>
                <w:rFonts w:eastAsia="Times New Roman" w:cs="Calibri"/>
                <w:b/>
                <w:color w:val="000000"/>
                <w:sz w:val="20"/>
                <w:szCs w:val="20"/>
                <w:lang w:eastAsia="sr-Latn-ME"/>
              </w:rPr>
            </w:pPr>
          </w:p>
        </w:tc>
      </w:tr>
      <w:tr w:rsidR="00BB44DA" w:rsidRPr="000152CB" w14:paraId="0D3C2AB0" w14:textId="77777777" w:rsidTr="00E77388">
        <w:trPr>
          <w:trHeight w:val="585"/>
          <w:jc w:val="center"/>
        </w:trPr>
        <w:tc>
          <w:tcPr>
            <w:tcW w:w="24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45C595" w14:textId="5ADB5F82" w:rsidR="00FD6E82" w:rsidRPr="000152CB" w:rsidRDefault="00FD6E82" w:rsidP="00FD6E82">
            <w:pPr>
              <w:spacing w:line="240" w:lineRule="auto"/>
              <w:textAlignment w:val="baseline"/>
              <w:rPr>
                <w:sz w:val="20"/>
                <w:szCs w:val="20"/>
              </w:rPr>
            </w:pPr>
            <w:bookmarkStart w:id="20" w:name="_Hlk134186743"/>
            <w:r w:rsidRPr="000152CB">
              <w:rPr>
                <w:sz w:val="20"/>
                <w:szCs w:val="20"/>
              </w:rPr>
              <w:t>2.3.1.</w:t>
            </w:r>
            <w:bookmarkEnd w:id="20"/>
            <w:r w:rsidRPr="000152CB">
              <w:rPr>
                <w:sz w:val="20"/>
                <w:szCs w:val="20"/>
              </w:rPr>
              <w:t xml:space="preserve"> Sprovesti procjenu prevalencije bolničkih </w:t>
            </w:r>
            <w:r w:rsidRPr="000152CB">
              <w:rPr>
                <w:sz w:val="20"/>
                <w:szCs w:val="20"/>
              </w:rPr>
              <w:lastRenderedPageBreak/>
              <w:t>infekcija i racionalne upotrebe antibiotika</w:t>
            </w:r>
          </w:p>
        </w:tc>
        <w:tc>
          <w:tcPr>
            <w:tcW w:w="34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9BE11"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lastRenderedPageBreak/>
              <w:t>Objavljen izvještaj</w:t>
            </w:r>
          </w:p>
        </w:tc>
        <w:tc>
          <w:tcPr>
            <w:tcW w:w="158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D8351"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MZ, IJZ,zdravstvene ustanove, SZO</w:t>
            </w:r>
          </w:p>
        </w:tc>
        <w:tc>
          <w:tcPr>
            <w:tcW w:w="2768" w:type="dxa"/>
            <w:gridSpan w:val="6"/>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6D639EE7" w14:textId="2E1205E4" w:rsidR="00FD6E82" w:rsidRPr="000152CB" w:rsidRDefault="00BD2FC5"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 xml:space="preserve">Institut sproveo istraživanje i izradio izvještaj. </w:t>
            </w:r>
          </w:p>
        </w:tc>
        <w:tc>
          <w:tcPr>
            <w:tcW w:w="1097" w:type="dxa"/>
            <w:gridSpan w:val="3"/>
            <w:tcBorders>
              <w:top w:val="single" w:sz="4" w:space="0" w:color="000000"/>
              <w:left w:val="single" w:sz="4" w:space="0" w:color="000000"/>
              <w:bottom w:val="single" w:sz="4" w:space="0" w:color="000000"/>
              <w:right w:val="single" w:sz="4" w:space="0" w:color="000000"/>
            </w:tcBorders>
          </w:tcPr>
          <w:p w14:paraId="21D3F403"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 xml:space="preserve">  IIIQ2023-IQ 2024</w:t>
            </w:r>
          </w:p>
        </w:tc>
        <w:tc>
          <w:tcPr>
            <w:tcW w:w="128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44E6BD"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Planirana sredstva: 20,000€</w:t>
            </w:r>
          </w:p>
          <w:p w14:paraId="7D54BDB8" w14:textId="77777777" w:rsidR="00FD6E82" w:rsidRPr="000152CB" w:rsidRDefault="00FD6E82" w:rsidP="00FD6E82">
            <w:pPr>
              <w:spacing w:after="0" w:line="240" w:lineRule="auto"/>
              <w:rPr>
                <w:rFonts w:eastAsia="Times New Roman" w:cs="Calibri"/>
                <w:sz w:val="20"/>
                <w:szCs w:val="20"/>
                <w:lang w:eastAsia="sr-Latn-ME"/>
              </w:rPr>
            </w:pPr>
          </w:p>
          <w:p w14:paraId="36FF2C9D" w14:textId="6A77F0D5"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Utrošena sredstva:</w:t>
            </w:r>
            <w:r w:rsidR="004A644E" w:rsidRPr="000152CB">
              <w:rPr>
                <w:rFonts w:eastAsia="Times New Roman" w:cs="Calibri"/>
                <w:sz w:val="20"/>
                <w:szCs w:val="20"/>
                <w:lang w:eastAsia="sr-Latn-ME"/>
              </w:rPr>
              <w:t xml:space="preserve"> 5,480 eura</w:t>
            </w:r>
          </w:p>
          <w:p w14:paraId="765F44BF" w14:textId="77777777" w:rsidR="00FD6E82" w:rsidRPr="000152CB" w:rsidRDefault="00FD6E82" w:rsidP="00FD6E82">
            <w:pPr>
              <w:spacing w:after="0" w:line="240" w:lineRule="auto"/>
              <w:rPr>
                <w:rFonts w:eastAsia="Times New Roman" w:cs="Calibri"/>
                <w:sz w:val="20"/>
                <w:szCs w:val="20"/>
                <w:lang w:eastAsia="sr-Latn-ME"/>
              </w:rPr>
            </w:pPr>
          </w:p>
        </w:tc>
        <w:tc>
          <w:tcPr>
            <w:tcW w:w="142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DD38B1"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lastRenderedPageBreak/>
              <w:t>SZO</w:t>
            </w:r>
          </w:p>
        </w:tc>
        <w:tc>
          <w:tcPr>
            <w:tcW w:w="1551" w:type="dxa"/>
            <w:gridSpan w:val="6"/>
            <w:tcBorders>
              <w:top w:val="single" w:sz="4" w:space="0" w:color="000000"/>
              <w:left w:val="single" w:sz="4" w:space="0" w:color="000000"/>
              <w:bottom w:val="single" w:sz="4" w:space="0" w:color="000000"/>
              <w:right w:val="single" w:sz="4" w:space="0" w:color="000000"/>
            </w:tcBorders>
          </w:tcPr>
          <w:p w14:paraId="24D4A7F5" w14:textId="77777777" w:rsidR="00FD6E82" w:rsidRPr="000152CB" w:rsidRDefault="00FD6E82" w:rsidP="00FD6E82">
            <w:pPr>
              <w:spacing w:after="0" w:line="240" w:lineRule="auto"/>
              <w:rPr>
                <w:rFonts w:eastAsia="Times New Roman" w:cs="Calibri"/>
                <w:sz w:val="20"/>
                <w:szCs w:val="20"/>
                <w:lang w:eastAsia="sr-Latn-ME"/>
              </w:rPr>
            </w:pPr>
          </w:p>
        </w:tc>
      </w:tr>
      <w:tr w:rsidR="00BB44DA" w:rsidRPr="000152CB" w14:paraId="02EFB0D8" w14:textId="77777777" w:rsidTr="00E77388">
        <w:trPr>
          <w:trHeight w:val="585"/>
          <w:jc w:val="center"/>
        </w:trPr>
        <w:tc>
          <w:tcPr>
            <w:tcW w:w="24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3E5CC1" w14:textId="77777777" w:rsidR="00FD6E82" w:rsidRPr="000152CB" w:rsidRDefault="00FD6E82" w:rsidP="00FD6E82">
            <w:pPr>
              <w:spacing w:line="240" w:lineRule="auto"/>
              <w:textAlignment w:val="baseline"/>
              <w:rPr>
                <w:sz w:val="20"/>
                <w:szCs w:val="20"/>
              </w:rPr>
            </w:pPr>
            <w:r w:rsidRPr="000152CB">
              <w:rPr>
                <w:sz w:val="20"/>
                <w:szCs w:val="20"/>
              </w:rPr>
              <w:t xml:space="preserve">2.3.2. Unapređenje operativnog sistema praćenja rezistencije bakterija na antibiotike </w:t>
            </w:r>
          </w:p>
        </w:tc>
        <w:tc>
          <w:tcPr>
            <w:tcW w:w="34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794881" w14:textId="77777777" w:rsidR="00FD6E82" w:rsidRPr="000152CB" w:rsidRDefault="00FD6E82" w:rsidP="00FD6E82">
            <w:pPr>
              <w:spacing w:after="0" w:line="240" w:lineRule="auto"/>
              <w:ind w:right="-100"/>
              <w:rPr>
                <w:rFonts w:eastAsia="Times New Roman" w:cs="Calibri"/>
                <w:sz w:val="20"/>
                <w:szCs w:val="20"/>
                <w:lang w:eastAsia="sr-Latn-ME"/>
              </w:rPr>
            </w:pPr>
            <w:r w:rsidRPr="000152CB">
              <w:rPr>
                <w:rFonts w:eastAsia="Times New Roman" w:cs="Calibri"/>
                <w:sz w:val="20"/>
                <w:szCs w:val="20"/>
                <w:lang w:eastAsia="sr-Latn-ME"/>
              </w:rPr>
              <w:t xml:space="preserve">Broj urađenih hemokultura na 1000 bolničkih dana/ broj dostavljenih izolata </w:t>
            </w:r>
          </w:p>
          <w:p w14:paraId="26DF6863" w14:textId="77777777" w:rsidR="00FD6E82" w:rsidRPr="000152CB" w:rsidRDefault="00FD6E82" w:rsidP="00FD6E82">
            <w:pPr>
              <w:spacing w:after="0" w:line="240" w:lineRule="auto"/>
              <w:ind w:right="-100" w:firstLine="80"/>
              <w:rPr>
                <w:rFonts w:eastAsia="Times New Roman" w:cs="Calibri"/>
                <w:sz w:val="20"/>
                <w:szCs w:val="20"/>
                <w:lang w:eastAsia="sr-Latn-ME"/>
              </w:rPr>
            </w:pPr>
          </w:p>
          <w:p w14:paraId="63B46A9D"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Izvještaj o značaju mehanizmima rezistencije sa preporukama (za izmjenu/dopunu smjernica i prevenciju infekcija)</w:t>
            </w:r>
          </w:p>
        </w:tc>
        <w:tc>
          <w:tcPr>
            <w:tcW w:w="158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6B0246"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IJZ</w:t>
            </w:r>
          </w:p>
        </w:tc>
        <w:tc>
          <w:tcPr>
            <w:tcW w:w="2768" w:type="dxa"/>
            <w:gridSpan w:val="6"/>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7E7613F3" w14:textId="77777777" w:rsidR="008338CB" w:rsidRPr="000152CB" w:rsidRDefault="008338CB" w:rsidP="008338CB">
            <w:pPr>
              <w:spacing w:after="0" w:line="240" w:lineRule="auto"/>
              <w:rPr>
                <w:rFonts w:eastAsia="Times New Roman" w:cs="Calibri"/>
                <w:sz w:val="20"/>
                <w:szCs w:val="20"/>
                <w:lang w:eastAsia="sr-Latn-ME"/>
              </w:rPr>
            </w:pPr>
            <w:r w:rsidRPr="000152CB">
              <w:rPr>
                <w:rFonts w:eastAsia="Times New Roman" w:cs="Calibri"/>
                <w:sz w:val="20"/>
                <w:szCs w:val="20"/>
                <w:lang w:eastAsia="sr-Latn-ME"/>
              </w:rPr>
              <w:t>"djelimično realizovano                                             1. Broj setova hemokultura/1000 bolničkih dana za 2023. godinu bio je 5 (2-24), a broj invazivnih izolata značajnih patogena</w:t>
            </w:r>
          </w:p>
          <w:p w14:paraId="12E84F76" w14:textId="77777777" w:rsidR="008338CB" w:rsidRPr="000152CB" w:rsidRDefault="008338CB" w:rsidP="008338CB">
            <w:pPr>
              <w:spacing w:after="0" w:line="240" w:lineRule="auto"/>
              <w:rPr>
                <w:rFonts w:eastAsia="Times New Roman" w:cs="Calibri"/>
                <w:sz w:val="20"/>
                <w:szCs w:val="20"/>
                <w:lang w:eastAsia="sr-Latn-ME"/>
              </w:rPr>
            </w:pPr>
            <w:r w:rsidRPr="000152CB">
              <w:rPr>
                <w:rFonts w:eastAsia="Times New Roman" w:cs="Calibri"/>
                <w:sz w:val="20"/>
                <w:szCs w:val="20"/>
                <w:lang w:eastAsia="sr-Latn-ME"/>
              </w:rPr>
              <w:t xml:space="preserve"> (prvi izolat/pacijentu) prema CAESAR metodologiji bio je 223. Izvještaj je dostavljen Ministarstvu zdravlja. </w:t>
            </w:r>
          </w:p>
          <w:p w14:paraId="753D10D8" w14:textId="77777777" w:rsidR="008338CB" w:rsidRPr="000152CB" w:rsidRDefault="008338CB" w:rsidP="008338CB">
            <w:pPr>
              <w:spacing w:after="0" w:line="240" w:lineRule="auto"/>
              <w:rPr>
                <w:rFonts w:eastAsia="Times New Roman" w:cs="Calibri"/>
                <w:sz w:val="20"/>
                <w:szCs w:val="20"/>
                <w:lang w:eastAsia="sr-Latn-ME"/>
              </w:rPr>
            </w:pPr>
            <w:r w:rsidRPr="000152CB">
              <w:rPr>
                <w:rFonts w:eastAsia="Times New Roman" w:cs="Calibri"/>
                <w:sz w:val="20"/>
                <w:szCs w:val="20"/>
                <w:lang w:eastAsia="sr-Latn-ME"/>
              </w:rPr>
              <w:t xml:space="preserve">2. Nacionalna referentna laboratorija za praćenje rezistencije na antimikrobne lijekove (NRL) od 2024. godine započela je </w:t>
            </w:r>
          </w:p>
          <w:p w14:paraId="42BC2A66" w14:textId="77777777" w:rsidR="008338CB" w:rsidRPr="000152CB" w:rsidRDefault="008338CB" w:rsidP="008338CB">
            <w:pPr>
              <w:spacing w:after="0" w:line="240" w:lineRule="auto"/>
              <w:rPr>
                <w:rFonts w:eastAsia="Times New Roman" w:cs="Calibri"/>
                <w:sz w:val="20"/>
                <w:szCs w:val="20"/>
                <w:lang w:eastAsia="sr-Latn-ME"/>
              </w:rPr>
            </w:pPr>
            <w:r w:rsidRPr="000152CB">
              <w:rPr>
                <w:rFonts w:eastAsia="Times New Roman" w:cs="Calibri"/>
                <w:sz w:val="20"/>
                <w:szCs w:val="20"/>
                <w:lang w:eastAsia="sr-Latn-ME"/>
              </w:rPr>
              <w:t xml:space="preserve">nadzor i praćenje sojeva bakterija iz reda Enterobacterales koji luče karbapenemaze  i prema Proceduri za nadzor i praćenje </w:t>
            </w:r>
          </w:p>
          <w:p w14:paraId="47B375AD" w14:textId="77777777" w:rsidR="008338CB" w:rsidRPr="000152CB" w:rsidRDefault="008338CB" w:rsidP="008338CB">
            <w:pPr>
              <w:spacing w:after="0" w:line="240" w:lineRule="auto"/>
              <w:rPr>
                <w:rFonts w:eastAsia="Times New Roman" w:cs="Calibri"/>
                <w:sz w:val="20"/>
                <w:szCs w:val="20"/>
                <w:lang w:eastAsia="sr-Latn-ME"/>
              </w:rPr>
            </w:pPr>
            <w:r w:rsidRPr="000152CB">
              <w:rPr>
                <w:rFonts w:eastAsia="Times New Roman" w:cs="Calibri"/>
                <w:sz w:val="20"/>
                <w:szCs w:val="20"/>
                <w:lang w:eastAsia="sr-Latn-ME"/>
              </w:rPr>
              <w:t xml:space="preserve">bakterijskih sojeva iz reda Enterobacterales koji produkuju karbapenemaze, NRL vodi elektronsku evidenciju. </w:t>
            </w:r>
          </w:p>
          <w:p w14:paraId="7342E6DB" w14:textId="4AB659E5" w:rsidR="00FD6E82" w:rsidRPr="000152CB" w:rsidRDefault="008338CB" w:rsidP="008338CB">
            <w:pPr>
              <w:spacing w:after="0" w:line="240" w:lineRule="auto"/>
              <w:rPr>
                <w:rFonts w:eastAsia="Times New Roman" w:cs="Calibri"/>
                <w:sz w:val="20"/>
                <w:szCs w:val="20"/>
                <w:lang w:eastAsia="sr-Latn-ME"/>
              </w:rPr>
            </w:pPr>
            <w:r w:rsidRPr="000152CB">
              <w:rPr>
                <w:rFonts w:eastAsia="Times New Roman" w:cs="Calibri"/>
                <w:sz w:val="20"/>
                <w:szCs w:val="20"/>
                <w:lang w:eastAsia="sr-Latn-ME"/>
              </w:rPr>
              <w:t xml:space="preserve"> "</w:t>
            </w:r>
          </w:p>
        </w:tc>
        <w:tc>
          <w:tcPr>
            <w:tcW w:w="1097" w:type="dxa"/>
            <w:gridSpan w:val="3"/>
            <w:tcBorders>
              <w:top w:val="single" w:sz="4" w:space="0" w:color="000000"/>
              <w:left w:val="single" w:sz="4" w:space="0" w:color="000000"/>
              <w:bottom w:val="single" w:sz="4" w:space="0" w:color="000000"/>
              <w:right w:val="single" w:sz="4" w:space="0" w:color="000000"/>
            </w:tcBorders>
          </w:tcPr>
          <w:p w14:paraId="689F5EEF"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 xml:space="preserve"> IIIQ2023-IVQ 2024</w:t>
            </w:r>
          </w:p>
        </w:tc>
        <w:tc>
          <w:tcPr>
            <w:tcW w:w="128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09EEEF"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Tekuća sredstva</w:t>
            </w:r>
          </w:p>
        </w:tc>
        <w:tc>
          <w:tcPr>
            <w:tcW w:w="142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0272F"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Budžet</w:t>
            </w:r>
          </w:p>
        </w:tc>
        <w:tc>
          <w:tcPr>
            <w:tcW w:w="1551" w:type="dxa"/>
            <w:gridSpan w:val="6"/>
            <w:tcBorders>
              <w:top w:val="single" w:sz="4" w:space="0" w:color="000000"/>
              <w:left w:val="single" w:sz="4" w:space="0" w:color="000000"/>
              <w:bottom w:val="single" w:sz="4" w:space="0" w:color="000000"/>
              <w:right w:val="single" w:sz="4" w:space="0" w:color="000000"/>
            </w:tcBorders>
          </w:tcPr>
          <w:p w14:paraId="518C002D" w14:textId="77777777" w:rsidR="00FD6E82" w:rsidRPr="000152CB" w:rsidRDefault="00FD6E82" w:rsidP="00FD6E82">
            <w:pPr>
              <w:spacing w:after="0" w:line="240" w:lineRule="auto"/>
              <w:rPr>
                <w:rFonts w:eastAsia="Times New Roman" w:cs="Calibri"/>
                <w:sz w:val="20"/>
                <w:szCs w:val="20"/>
                <w:lang w:eastAsia="sr-Latn-ME"/>
              </w:rPr>
            </w:pPr>
          </w:p>
        </w:tc>
      </w:tr>
      <w:tr w:rsidR="00BB44DA" w:rsidRPr="000152CB" w14:paraId="78AC8AC1" w14:textId="77777777" w:rsidTr="00E77388">
        <w:trPr>
          <w:trHeight w:val="585"/>
          <w:jc w:val="center"/>
        </w:trPr>
        <w:tc>
          <w:tcPr>
            <w:tcW w:w="24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5FF090" w14:textId="77777777" w:rsidR="00FD6E82" w:rsidRPr="000152CB" w:rsidRDefault="00FD6E82" w:rsidP="00FD6E82">
            <w:pPr>
              <w:spacing w:line="240" w:lineRule="auto"/>
              <w:textAlignment w:val="baseline"/>
              <w:rPr>
                <w:sz w:val="20"/>
                <w:szCs w:val="20"/>
              </w:rPr>
            </w:pPr>
            <w:r w:rsidRPr="000152CB">
              <w:rPr>
                <w:sz w:val="20"/>
                <w:szCs w:val="20"/>
              </w:rPr>
              <w:t>2.3.3. Izraditi Plan za prevenciju i kontrolu bolničkih infekcija</w:t>
            </w:r>
          </w:p>
        </w:tc>
        <w:tc>
          <w:tcPr>
            <w:tcW w:w="34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9C9098" w14:textId="77777777" w:rsidR="00FD6E82" w:rsidRPr="000152CB" w:rsidRDefault="00FD6E82" w:rsidP="00FD6E82">
            <w:pPr>
              <w:spacing w:after="0" w:line="240" w:lineRule="auto"/>
              <w:ind w:left="80"/>
              <w:rPr>
                <w:rFonts w:eastAsia="Times New Roman" w:cs="Calibri"/>
                <w:sz w:val="20"/>
                <w:szCs w:val="20"/>
                <w:lang w:eastAsia="sr-Latn-ME"/>
              </w:rPr>
            </w:pPr>
            <w:r w:rsidRPr="000152CB">
              <w:rPr>
                <w:rFonts w:eastAsia="Times New Roman" w:cs="Calibri"/>
                <w:sz w:val="20"/>
                <w:szCs w:val="20"/>
                <w:lang w:eastAsia="sr-Latn-ME"/>
              </w:rPr>
              <w:t>Usvojen plan</w:t>
            </w:r>
          </w:p>
          <w:p w14:paraId="0063DE41" w14:textId="77777777" w:rsidR="00FD6E82" w:rsidRPr="000152CB" w:rsidRDefault="00FD6E82" w:rsidP="00FD6E82">
            <w:pPr>
              <w:spacing w:after="0" w:line="240" w:lineRule="auto"/>
              <w:rPr>
                <w:rFonts w:eastAsia="Times New Roman" w:cs="Calibri"/>
                <w:sz w:val="20"/>
                <w:szCs w:val="20"/>
                <w:lang w:eastAsia="sr-Latn-ME"/>
              </w:rPr>
            </w:pPr>
          </w:p>
          <w:p w14:paraId="12521E96" w14:textId="77777777" w:rsidR="00FD6E82" w:rsidRPr="000152CB" w:rsidRDefault="00FD6E82" w:rsidP="00FD6E82">
            <w:pPr>
              <w:spacing w:after="0" w:line="240" w:lineRule="auto"/>
              <w:ind w:left="80"/>
              <w:rPr>
                <w:rFonts w:eastAsia="Times New Roman" w:cs="Calibri"/>
                <w:sz w:val="20"/>
                <w:szCs w:val="20"/>
                <w:lang w:eastAsia="sr-Latn-ME"/>
              </w:rPr>
            </w:pPr>
            <w:r w:rsidRPr="000152CB">
              <w:rPr>
                <w:rFonts w:eastAsia="Times New Roman" w:cs="Calibri"/>
                <w:sz w:val="20"/>
                <w:szCs w:val="20"/>
                <w:lang w:eastAsia="sr-Latn-ME"/>
              </w:rPr>
              <w:t xml:space="preserve">Broj propisanih, ciljanih AB </w:t>
            </w:r>
          </w:p>
        </w:tc>
        <w:tc>
          <w:tcPr>
            <w:tcW w:w="158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6C1218" w14:textId="77777777" w:rsidR="00FD6E82" w:rsidRPr="000152CB" w:rsidRDefault="00FD6E82" w:rsidP="00FD6E82">
            <w:pPr>
              <w:spacing w:after="0" w:line="240" w:lineRule="auto"/>
              <w:rPr>
                <w:rFonts w:eastAsia="Times New Roman" w:cs="Calibri"/>
                <w:color w:val="000000" w:themeColor="text1"/>
                <w:sz w:val="20"/>
                <w:szCs w:val="20"/>
                <w:lang w:eastAsia="sr-Latn-ME"/>
              </w:rPr>
            </w:pPr>
            <w:r w:rsidRPr="000152CB">
              <w:rPr>
                <w:rFonts w:eastAsia="Times New Roman" w:cs="Calibri"/>
                <w:color w:val="000000" w:themeColor="text1"/>
                <w:sz w:val="20"/>
                <w:szCs w:val="20"/>
                <w:lang w:eastAsia="sr-Latn-ME"/>
              </w:rPr>
              <w:t xml:space="preserve">IJZ </w:t>
            </w:r>
          </w:p>
        </w:tc>
        <w:tc>
          <w:tcPr>
            <w:tcW w:w="2768" w:type="dxa"/>
            <w:gridSpan w:val="6"/>
            <w:tcBorders>
              <w:top w:val="single" w:sz="4" w:space="0" w:color="000000"/>
              <w:left w:val="single" w:sz="4" w:space="0" w:color="000000"/>
              <w:bottom w:val="single" w:sz="4" w:space="0" w:color="000000"/>
              <w:right w:val="single" w:sz="4" w:space="0" w:color="000000"/>
            </w:tcBorders>
            <w:shd w:val="clear" w:color="auto" w:fill="FF0000"/>
            <w:tcMar>
              <w:top w:w="0" w:type="dxa"/>
              <w:left w:w="108" w:type="dxa"/>
              <w:bottom w:w="0" w:type="dxa"/>
              <w:right w:w="108" w:type="dxa"/>
            </w:tcMar>
          </w:tcPr>
          <w:p w14:paraId="13FF145F" w14:textId="6204EEDF" w:rsidR="00FD6E82" w:rsidRPr="000152CB" w:rsidRDefault="008338CB" w:rsidP="00737ACD">
            <w:pPr>
              <w:spacing w:after="0" w:line="240" w:lineRule="auto"/>
              <w:rPr>
                <w:rFonts w:eastAsia="Times New Roman" w:cs="Calibri"/>
                <w:color w:val="000000" w:themeColor="text1"/>
                <w:sz w:val="20"/>
                <w:szCs w:val="20"/>
                <w:lang w:eastAsia="sr-Latn-ME"/>
              </w:rPr>
            </w:pPr>
            <w:r w:rsidRPr="000152CB">
              <w:rPr>
                <w:rFonts w:eastAsia="Times New Roman" w:cs="Calibri"/>
                <w:color w:val="000000" w:themeColor="text1"/>
                <w:sz w:val="20"/>
                <w:szCs w:val="20"/>
                <w:lang w:eastAsia="sr-Latn-ME"/>
              </w:rPr>
              <w:t xml:space="preserve">Nacionalna komisija za nadzor nad bolničkim infekcijama, koja funcioniše u okviru Ministarstva zdravlja je postavila cilj da se u narednom </w:t>
            </w:r>
            <w:r w:rsidRPr="000152CB">
              <w:rPr>
                <w:rFonts w:eastAsia="Times New Roman" w:cs="Calibri"/>
                <w:color w:val="000000" w:themeColor="text1"/>
                <w:sz w:val="20"/>
                <w:szCs w:val="20"/>
                <w:lang w:eastAsia="sr-Latn-ME"/>
              </w:rPr>
              <w:lastRenderedPageBreak/>
              <w:t>periodu izradi ovaj plan u okviru radne grupe koju će činiti predstavnici različitih oblasti. Rok usaglasiti sa članovima Nacionalne komisije za nadzor nad bolničkim infekcijama i MZ.</w:t>
            </w:r>
          </w:p>
        </w:tc>
        <w:tc>
          <w:tcPr>
            <w:tcW w:w="1097" w:type="dxa"/>
            <w:gridSpan w:val="3"/>
            <w:tcBorders>
              <w:top w:val="single" w:sz="4" w:space="0" w:color="000000"/>
              <w:left w:val="single" w:sz="4" w:space="0" w:color="000000"/>
              <w:bottom w:val="single" w:sz="4" w:space="0" w:color="000000"/>
              <w:right w:val="single" w:sz="4" w:space="0" w:color="000000"/>
            </w:tcBorders>
          </w:tcPr>
          <w:p w14:paraId="3BBD2A8C"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lastRenderedPageBreak/>
              <w:t xml:space="preserve"> IIIQ2023- IVQ2024</w:t>
            </w:r>
          </w:p>
        </w:tc>
        <w:tc>
          <w:tcPr>
            <w:tcW w:w="128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1612E0"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Tekuća sredstva</w:t>
            </w:r>
          </w:p>
        </w:tc>
        <w:tc>
          <w:tcPr>
            <w:tcW w:w="142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DF094B"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Budžet</w:t>
            </w:r>
          </w:p>
        </w:tc>
        <w:tc>
          <w:tcPr>
            <w:tcW w:w="1551" w:type="dxa"/>
            <w:gridSpan w:val="6"/>
            <w:tcBorders>
              <w:top w:val="single" w:sz="4" w:space="0" w:color="000000"/>
              <w:left w:val="single" w:sz="4" w:space="0" w:color="000000"/>
              <w:bottom w:val="single" w:sz="4" w:space="0" w:color="000000"/>
              <w:right w:val="single" w:sz="4" w:space="0" w:color="000000"/>
            </w:tcBorders>
          </w:tcPr>
          <w:p w14:paraId="67746DFE" w14:textId="2696E0E1" w:rsidR="00FD6E82" w:rsidRPr="000152CB" w:rsidRDefault="00BD4E6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Novi rok za realizaciju aktivnosti je IV kvartal 2026. godine</w:t>
            </w:r>
          </w:p>
        </w:tc>
      </w:tr>
      <w:tr w:rsidR="00BB44DA" w:rsidRPr="000152CB" w14:paraId="3EC60A54" w14:textId="77777777" w:rsidTr="00E77388">
        <w:trPr>
          <w:trHeight w:val="585"/>
          <w:jc w:val="center"/>
        </w:trPr>
        <w:tc>
          <w:tcPr>
            <w:tcW w:w="24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53F405" w14:textId="77777777" w:rsidR="00FD6E82" w:rsidRPr="000152CB" w:rsidRDefault="00FD6E82" w:rsidP="00FD6E82">
            <w:pPr>
              <w:spacing w:line="240" w:lineRule="auto"/>
              <w:textAlignment w:val="baseline"/>
              <w:rPr>
                <w:sz w:val="20"/>
                <w:szCs w:val="20"/>
              </w:rPr>
            </w:pPr>
            <w:r w:rsidRPr="000152CB">
              <w:rPr>
                <w:sz w:val="20"/>
                <w:szCs w:val="20"/>
              </w:rPr>
              <w:t xml:space="preserve">2.3.4. </w:t>
            </w:r>
            <w:r w:rsidRPr="000152CB">
              <w:rPr>
                <w:rFonts w:eastAsia="Times New Roman" w:cs="Calibri"/>
                <w:color w:val="000000"/>
                <w:sz w:val="20"/>
                <w:szCs w:val="20"/>
                <w:lang w:eastAsia="sr-Latn-ME"/>
              </w:rPr>
              <w:t>Izrada mikroplana za podizanje nivoa obuhvata prioritetnih imunizacija (MMR, HPV) sa posebnim fokusom na RAE grupu</w:t>
            </w:r>
          </w:p>
        </w:tc>
        <w:tc>
          <w:tcPr>
            <w:tcW w:w="34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C5187E" w14:textId="77777777" w:rsidR="00FD6E82" w:rsidRPr="000152CB" w:rsidRDefault="00FD6E82" w:rsidP="00FD6E82">
            <w:pPr>
              <w:spacing w:after="0" w:line="240" w:lineRule="auto"/>
              <w:ind w:left="80"/>
              <w:rPr>
                <w:rFonts w:eastAsia="Times New Roman" w:cs="Calibri"/>
                <w:sz w:val="20"/>
                <w:szCs w:val="20"/>
                <w:lang w:eastAsia="sr-Latn-ME"/>
              </w:rPr>
            </w:pPr>
            <w:r w:rsidRPr="000152CB">
              <w:rPr>
                <w:sz w:val="20"/>
                <w:szCs w:val="20"/>
              </w:rPr>
              <w:t>Izrađen plan</w:t>
            </w:r>
          </w:p>
        </w:tc>
        <w:tc>
          <w:tcPr>
            <w:tcW w:w="158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4967DA" w14:textId="77777777" w:rsidR="00FD6E82" w:rsidRPr="000152CB" w:rsidRDefault="00FD6E82" w:rsidP="00FD6E82">
            <w:pPr>
              <w:spacing w:after="0" w:line="240" w:lineRule="auto"/>
              <w:rPr>
                <w:rFonts w:eastAsia="Times New Roman" w:cs="Calibri"/>
                <w:color w:val="FF0000"/>
                <w:sz w:val="20"/>
                <w:szCs w:val="20"/>
                <w:lang w:eastAsia="sr-Latn-ME"/>
              </w:rPr>
            </w:pPr>
            <w:r w:rsidRPr="000152CB">
              <w:rPr>
                <w:sz w:val="20"/>
                <w:szCs w:val="20"/>
              </w:rPr>
              <w:t>IJZ</w:t>
            </w:r>
          </w:p>
        </w:tc>
        <w:tc>
          <w:tcPr>
            <w:tcW w:w="2768" w:type="dxa"/>
            <w:gridSpan w:val="6"/>
            <w:tcBorders>
              <w:top w:val="single" w:sz="4" w:space="0" w:color="000000"/>
              <w:left w:val="single" w:sz="4" w:space="0" w:color="000000"/>
              <w:bottom w:val="single" w:sz="4" w:space="0" w:color="000000"/>
              <w:right w:val="single" w:sz="4" w:space="0" w:color="000000"/>
            </w:tcBorders>
            <w:shd w:val="clear" w:color="auto" w:fill="FF0000"/>
            <w:tcMar>
              <w:top w:w="0" w:type="dxa"/>
              <w:left w:w="108" w:type="dxa"/>
              <w:bottom w:w="0" w:type="dxa"/>
              <w:right w:w="108" w:type="dxa"/>
            </w:tcMar>
          </w:tcPr>
          <w:p w14:paraId="5C21D402" w14:textId="3685CCCB" w:rsidR="00FD6E82" w:rsidRPr="000152CB" w:rsidRDefault="00BB7184" w:rsidP="00BB7184">
            <w:pPr>
              <w:spacing w:after="0" w:line="240" w:lineRule="auto"/>
              <w:rPr>
                <w:rFonts w:eastAsia="Times New Roman" w:cs="Calibri"/>
                <w:color w:val="FF0000"/>
                <w:sz w:val="20"/>
                <w:szCs w:val="20"/>
                <w:lang w:eastAsia="sr-Latn-ME"/>
              </w:rPr>
            </w:pPr>
            <w:r w:rsidRPr="000152CB">
              <w:rPr>
                <w:rFonts w:eastAsia="Times New Roman" w:cs="Calibri"/>
                <w:color w:val="000000" w:themeColor="text1"/>
                <w:sz w:val="20"/>
                <w:szCs w:val="20"/>
                <w:lang w:eastAsia="sr-Latn-ME"/>
              </w:rPr>
              <w:t>Prema Pravilniku o uslovima i načinu sprovođenja obavezne imunoprofilakse i hemioprofilakse protiv određenih zaraznih bolesti izrada planova sprovođenja imunizacije je u nadležnosti lokalnih domova zdravlja (koordinatora imunizacija i direktora ustanove) uz saradnji sa IJZCG koji treba da pruža podršku, monitoring i superviziju. Novi rok za mikroplanove koji su sastavni dio planova je Q1 2026 uz ažuriranje tokom Q1 svake godine.</w:t>
            </w:r>
          </w:p>
        </w:tc>
        <w:tc>
          <w:tcPr>
            <w:tcW w:w="1097" w:type="dxa"/>
            <w:gridSpan w:val="3"/>
            <w:tcBorders>
              <w:top w:val="single" w:sz="4" w:space="0" w:color="000000"/>
              <w:left w:val="single" w:sz="4" w:space="0" w:color="000000"/>
              <w:bottom w:val="single" w:sz="4" w:space="0" w:color="000000"/>
              <w:right w:val="single" w:sz="4" w:space="0" w:color="000000"/>
            </w:tcBorders>
          </w:tcPr>
          <w:p w14:paraId="18CF4B50" w14:textId="77777777" w:rsidR="00FD6E82" w:rsidRPr="000152CB" w:rsidRDefault="00FD6E82" w:rsidP="00FD6E82">
            <w:pPr>
              <w:spacing w:after="0" w:line="240" w:lineRule="auto"/>
              <w:rPr>
                <w:rFonts w:eastAsia="Times New Roman" w:cs="Calibri"/>
                <w:sz w:val="20"/>
                <w:szCs w:val="20"/>
                <w:lang w:eastAsia="sr-Latn-ME"/>
              </w:rPr>
            </w:pPr>
            <w:r w:rsidRPr="000152CB">
              <w:rPr>
                <w:sz w:val="20"/>
                <w:szCs w:val="20"/>
              </w:rPr>
              <w:t xml:space="preserve"> IQ 2024-IIQ 2024</w:t>
            </w:r>
          </w:p>
        </w:tc>
        <w:tc>
          <w:tcPr>
            <w:tcW w:w="128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88F5D5" w14:textId="77777777" w:rsidR="00FD6E82" w:rsidRPr="000152CB" w:rsidRDefault="00FD6E82" w:rsidP="00FD6E82">
            <w:pPr>
              <w:spacing w:after="0" w:line="240" w:lineRule="auto"/>
              <w:rPr>
                <w:rFonts w:eastAsia="Times New Roman" w:cs="Calibri"/>
                <w:sz w:val="20"/>
                <w:szCs w:val="20"/>
                <w:lang w:eastAsia="sr-Latn-ME"/>
              </w:rPr>
            </w:pPr>
            <w:r w:rsidRPr="000152CB">
              <w:rPr>
                <w:sz w:val="20"/>
                <w:szCs w:val="20"/>
              </w:rPr>
              <w:t>Tekuća sredstva</w:t>
            </w:r>
          </w:p>
        </w:tc>
        <w:tc>
          <w:tcPr>
            <w:tcW w:w="142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4BC7F2" w14:textId="77777777" w:rsidR="00FD6E82" w:rsidRPr="000152CB" w:rsidRDefault="00FD6E82" w:rsidP="00FD6E82">
            <w:pPr>
              <w:spacing w:after="0" w:line="240" w:lineRule="auto"/>
              <w:rPr>
                <w:rFonts w:eastAsia="Times New Roman" w:cs="Calibri"/>
                <w:sz w:val="20"/>
                <w:szCs w:val="20"/>
                <w:lang w:eastAsia="sr-Latn-ME"/>
              </w:rPr>
            </w:pPr>
            <w:r w:rsidRPr="000152CB">
              <w:rPr>
                <w:sz w:val="20"/>
                <w:szCs w:val="20"/>
              </w:rPr>
              <w:t>Budžet</w:t>
            </w:r>
          </w:p>
        </w:tc>
        <w:tc>
          <w:tcPr>
            <w:tcW w:w="1551" w:type="dxa"/>
            <w:gridSpan w:val="6"/>
            <w:tcBorders>
              <w:top w:val="single" w:sz="4" w:space="0" w:color="000000"/>
              <w:left w:val="single" w:sz="4" w:space="0" w:color="000000"/>
              <w:bottom w:val="single" w:sz="4" w:space="0" w:color="000000"/>
              <w:right w:val="single" w:sz="4" w:space="0" w:color="000000"/>
            </w:tcBorders>
          </w:tcPr>
          <w:p w14:paraId="2E42410B" w14:textId="272F8B49" w:rsidR="00FD6E82" w:rsidRPr="000152CB" w:rsidRDefault="000810FF"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Novi rok za realizaciju aktivnosti je I kvartal 2026. godine</w:t>
            </w:r>
          </w:p>
        </w:tc>
      </w:tr>
    </w:tbl>
    <w:p w14:paraId="4E870F5B" w14:textId="77777777" w:rsidR="00FD6E82" w:rsidRPr="000152CB" w:rsidRDefault="00FD6E82" w:rsidP="00FD6E82">
      <w:pPr>
        <w:rPr>
          <w:sz w:val="20"/>
          <w:szCs w:val="20"/>
        </w:rPr>
      </w:pPr>
    </w:p>
    <w:tbl>
      <w:tblPr>
        <w:tblW w:w="15295" w:type="dxa"/>
        <w:jc w:val="center"/>
        <w:tblCellMar>
          <w:top w:w="15" w:type="dxa"/>
          <w:left w:w="15" w:type="dxa"/>
          <w:bottom w:w="15" w:type="dxa"/>
          <w:right w:w="15" w:type="dxa"/>
        </w:tblCellMar>
        <w:tblLook w:val="04A0" w:firstRow="1" w:lastRow="0" w:firstColumn="1" w:lastColumn="0" w:noHBand="0" w:noVBand="1"/>
      </w:tblPr>
      <w:tblGrid>
        <w:gridCol w:w="3324"/>
        <w:gridCol w:w="2069"/>
        <w:gridCol w:w="1440"/>
        <w:gridCol w:w="783"/>
        <w:gridCol w:w="839"/>
        <w:gridCol w:w="764"/>
        <w:gridCol w:w="1357"/>
        <w:gridCol w:w="543"/>
        <w:gridCol w:w="844"/>
        <w:gridCol w:w="1468"/>
        <w:gridCol w:w="1864"/>
      </w:tblGrid>
      <w:tr w:rsidR="00FD6E82" w:rsidRPr="000152CB" w14:paraId="463C2744" w14:textId="77777777" w:rsidTr="00BB7184">
        <w:trPr>
          <w:trHeight w:val="710"/>
          <w:jc w:val="center"/>
        </w:trPr>
        <w:tc>
          <w:tcPr>
            <w:tcW w:w="3324"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Mar>
              <w:top w:w="0" w:type="dxa"/>
              <w:left w:w="108" w:type="dxa"/>
              <w:bottom w:w="0" w:type="dxa"/>
              <w:right w:w="108" w:type="dxa"/>
            </w:tcMar>
            <w:vAlign w:val="center"/>
            <w:hideMark/>
          </w:tcPr>
          <w:p w14:paraId="2E6503E8" w14:textId="77777777" w:rsidR="00FD6E82" w:rsidRPr="000152CB" w:rsidRDefault="00FD6E82" w:rsidP="00FD6E82">
            <w:pPr>
              <w:spacing w:after="0" w:line="240" w:lineRule="auto"/>
              <w:ind w:left="270"/>
              <w:jc w:val="center"/>
              <w:rPr>
                <w:rFonts w:eastAsia="Times New Roman" w:cs="Calibri"/>
                <w:b/>
                <w:sz w:val="20"/>
                <w:szCs w:val="20"/>
                <w:lang w:eastAsia="sr-Latn-ME"/>
              </w:rPr>
            </w:pPr>
            <w:r w:rsidRPr="000152CB">
              <w:rPr>
                <w:rFonts w:eastAsia="Times New Roman" w:cs="Calibri"/>
                <w:b/>
                <w:color w:val="000000"/>
                <w:sz w:val="20"/>
                <w:szCs w:val="20"/>
                <w:lang w:eastAsia="sr-Latn-ME"/>
              </w:rPr>
              <w:t>STRATEŠKI CILJ 3</w:t>
            </w:r>
          </w:p>
        </w:tc>
        <w:tc>
          <w:tcPr>
            <w:tcW w:w="11971" w:type="dxa"/>
            <w:gridSpan w:val="10"/>
            <w:tcBorders>
              <w:top w:val="single" w:sz="4" w:space="0" w:color="000000"/>
              <w:left w:val="single" w:sz="4" w:space="0" w:color="000000"/>
              <w:bottom w:val="single" w:sz="4" w:space="0" w:color="000000"/>
              <w:right w:val="single" w:sz="4" w:space="0" w:color="000000"/>
            </w:tcBorders>
            <w:shd w:val="clear" w:color="auto" w:fill="8EAADB" w:themeFill="accent1" w:themeFillTint="99"/>
            <w:tcMar>
              <w:top w:w="0" w:type="dxa"/>
              <w:left w:w="108" w:type="dxa"/>
              <w:bottom w:w="0" w:type="dxa"/>
              <w:right w:w="108" w:type="dxa"/>
            </w:tcMar>
            <w:vAlign w:val="center"/>
            <w:hideMark/>
          </w:tcPr>
          <w:p w14:paraId="745399B2" w14:textId="77777777" w:rsidR="00FD6E82" w:rsidRPr="000152CB" w:rsidRDefault="00FD6E82" w:rsidP="00FD6E82">
            <w:pPr>
              <w:spacing w:after="60" w:line="240" w:lineRule="auto"/>
              <w:ind w:left="270"/>
              <w:rPr>
                <w:rFonts w:eastAsia="Times New Roman" w:cs="Calibri"/>
                <w:b/>
                <w:sz w:val="20"/>
                <w:szCs w:val="20"/>
                <w:lang w:eastAsia="sr-Latn-ME"/>
              </w:rPr>
            </w:pPr>
            <w:r w:rsidRPr="000152CB">
              <w:rPr>
                <w:rFonts w:eastAsia="Times New Roman" w:cs="Calibri"/>
                <w:b/>
                <w:sz w:val="20"/>
                <w:szCs w:val="20"/>
                <w:lang w:eastAsia="sr-Latn-ME"/>
              </w:rPr>
              <w:t xml:space="preserve">OJAČANI KAPACITET ZA PRIPREMLJENOST I ODGOVOR ZDRAVSTVENOG SISTEMA NA ZDRAVSTVENE VANREDNE SITUACIJE  </w:t>
            </w:r>
          </w:p>
        </w:tc>
      </w:tr>
      <w:tr w:rsidR="00FD6E82" w:rsidRPr="000152CB" w14:paraId="67F6BCF4" w14:textId="77777777" w:rsidTr="00BB7184">
        <w:trPr>
          <w:trHeight w:val="585"/>
          <w:jc w:val="center"/>
        </w:trPr>
        <w:tc>
          <w:tcPr>
            <w:tcW w:w="3324"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Mar>
              <w:top w:w="0" w:type="dxa"/>
              <w:left w:w="108" w:type="dxa"/>
              <w:bottom w:w="0" w:type="dxa"/>
              <w:right w:w="108" w:type="dxa"/>
            </w:tcMar>
            <w:vAlign w:val="center"/>
            <w:hideMark/>
          </w:tcPr>
          <w:p w14:paraId="0CBB413C" w14:textId="77777777" w:rsidR="00FD6E82" w:rsidRPr="000152CB" w:rsidRDefault="00FD6E82" w:rsidP="00FD6E82">
            <w:pPr>
              <w:spacing w:after="0" w:line="240" w:lineRule="auto"/>
              <w:ind w:left="270"/>
              <w:jc w:val="center"/>
              <w:rPr>
                <w:rFonts w:eastAsia="Times New Roman" w:cs="Calibri"/>
                <w:b/>
                <w:sz w:val="20"/>
                <w:szCs w:val="20"/>
                <w:lang w:eastAsia="sr-Latn-ME"/>
              </w:rPr>
            </w:pPr>
            <w:r w:rsidRPr="000152CB">
              <w:rPr>
                <w:rFonts w:eastAsia="Times New Roman" w:cs="Calibri"/>
                <w:b/>
                <w:color w:val="000000"/>
                <w:sz w:val="20"/>
                <w:szCs w:val="20"/>
                <w:lang w:eastAsia="sr-Latn-ME"/>
              </w:rPr>
              <w:t>OPERATIVNI CILJ 3.1.</w:t>
            </w:r>
          </w:p>
        </w:tc>
        <w:tc>
          <w:tcPr>
            <w:tcW w:w="11971" w:type="dxa"/>
            <w:gridSpan w:val="10"/>
            <w:tcBorders>
              <w:top w:val="single" w:sz="4" w:space="0" w:color="000000"/>
              <w:left w:val="single" w:sz="4" w:space="0" w:color="000000"/>
              <w:bottom w:val="single" w:sz="4" w:space="0" w:color="000000"/>
              <w:right w:val="single" w:sz="4" w:space="0" w:color="000000"/>
            </w:tcBorders>
            <w:shd w:val="clear" w:color="auto" w:fill="8EAADB" w:themeFill="accent1" w:themeFillTint="99"/>
            <w:tcMar>
              <w:top w:w="0" w:type="dxa"/>
              <w:left w:w="108" w:type="dxa"/>
              <w:bottom w:w="0" w:type="dxa"/>
              <w:right w:w="108" w:type="dxa"/>
            </w:tcMar>
            <w:vAlign w:val="center"/>
            <w:hideMark/>
          </w:tcPr>
          <w:p w14:paraId="06C252FF" w14:textId="77777777" w:rsidR="00FD6E82" w:rsidRPr="000152CB" w:rsidRDefault="00FD6E82" w:rsidP="00FD6E82">
            <w:pPr>
              <w:spacing w:after="0" w:line="240" w:lineRule="auto"/>
              <w:ind w:left="270"/>
              <w:jc w:val="center"/>
              <w:rPr>
                <w:rFonts w:eastAsia="Times New Roman" w:cs="Calibri"/>
                <w:b/>
                <w:sz w:val="20"/>
                <w:szCs w:val="20"/>
                <w:lang w:eastAsia="sr-Latn-ME"/>
              </w:rPr>
            </w:pPr>
            <w:r w:rsidRPr="000152CB">
              <w:rPr>
                <w:rFonts w:eastAsia="Times New Roman" w:cs="Calibri"/>
                <w:b/>
                <w:sz w:val="20"/>
                <w:szCs w:val="20"/>
                <w:lang w:eastAsia="sr-Latn-ME"/>
              </w:rPr>
              <w:t xml:space="preserve">OBEZBIJEDITI USLOVE ZA EFIKASNU KOMUNIKACIJU I I KOORDINACIJU RESURSA ZA UPRAVLJANJE ZDRAVSTVENIM VANREDNIM SITUACIJAMA </w:t>
            </w:r>
          </w:p>
        </w:tc>
      </w:tr>
      <w:tr w:rsidR="00FD6E82" w:rsidRPr="000152CB" w14:paraId="440DEF4D" w14:textId="77777777" w:rsidTr="00BB7184">
        <w:trPr>
          <w:trHeight w:val="610"/>
          <w:jc w:val="center"/>
        </w:trPr>
        <w:tc>
          <w:tcPr>
            <w:tcW w:w="3324"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top w:w="0" w:type="dxa"/>
              <w:left w:w="108" w:type="dxa"/>
              <w:bottom w:w="0" w:type="dxa"/>
              <w:right w:w="108" w:type="dxa"/>
            </w:tcMar>
            <w:hideMark/>
          </w:tcPr>
          <w:p w14:paraId="7FBBBEF1" w14:textId="77777777" w:rsidR="00FD6E82" w:rsidRPr="000152CB" w:rsidRDefault="00FD6E82" w:rsidP="00FD6E82">
            <w:pPr>
              <w:spacing w:after="0" w:line="240" w:lineRule="auto"/>
              <w:ind w:left="270"/>
              <w:jc w:val="center"/>
              <w:rPr>
                <w:rFonts w:eastAsia="Times New Roman" w:cs="Calibri"/>
                <w:b/>
                <w:sz w:val="20"/>
                <w:szCs w:val="20"/>
                <w:lang w:eastAsia="sr-Latn-ME"/>
              </w:rPr>
            </w:pPr>
            <w:r w:rsidRPr="000152CB">
              <w:rPr>
                <w:rFonts w:eastAsia="Times New Roman" w:cs="Calibri"/>
                <w:b/>
                <w:color w:val="000000"/>
                <w:sz w:val="20"/>
                <w:szCs w:val="20"/>
                <w:lang w:eastAsia="sr-Latn-ME"/>
              </w:rPr>
              <w:t>INDIKATOR UČINKA 1:</w:t>
            </w:r>
            <w:r w:rsidRPr="000152CB">
              <w:rPr>
                <w:sz w:val="20"/>
                <w:szCs w:val="20"/>
              </w:rPr>
              <w:t xml:space="preserve"> K</w:t>
            </w:r>
            <w:r w:rsidRPr="000152CB">
              <w:rPr>
                <w:rFonts w:eastAsia="Times New Roman" w:cs="Calibri"/>
                <w:b/>
                <w:color w:val="000000"/>
                <w:sz w:val="20"/>
                <w:szCs w:val="20"/>
                <w:lang w:eastAsia="sr-Latn-ME"/>
              </w:rPr>
              <w:t>apaciteti IJZ za efikasan odgovor na javnozdravstvene prijetnje kroz funkcionalan Operativni centarza vanredne situacije  (PHEOC)</w:t>
            </w:r>
          </w:p>
        </w:tc>
        <w:tc>
          <w:tcPr>
            <w:tcW w:w="4292" w:type="dxa"/>
            <w:gridSpan w:val="3"/>
            <w:tcBorders>
              <w:top w:val="single" w:sz="4" w:space="0" w:color="000000"/>
              <w:left w:val="single" w:sz="4" w:space="0" w:color="000000"/>
              <w:bottom w:val="single" w:sz="4" w:space="0" w:color="000000"/>
              <w:right w:val="single" w:sz="4" w:space="0" w:color="000000"/>
            </w:tcBorders>
            <w:shd w:val="clear" w:color="auto" w:fill="B4C6E7" w:themeFill="accent1" w:themeFillTint="66"/>
            <w:tcMar>
              <w:top w:w="0" w:type="dxa"/>
              <w:left w:w="108" w:type="dxa"/>
              <w:bottom w:w="0" w:type="dxa"/>
              <w:right w:w="108" w:type="dxa"/>
            </w:tcMar>
            <w:hideMark/>
          </w:tcPr>
          <w:p w14:paraId="60992FBD" w14:textId="77777777" w:rsidR="00FD6E82" w:rsidRPr="000152CB" w:rsidRDefault="00FD6E82" w:rsidP="00FD6E82">
            <w:pPr>
              <w:spacing w:after="0" w:line="240" w:lineRule="auto"/>
              <w:contextualSpacing/>
              <w:jc w:val="center"/>
              <w:rPr>
                <w:rFonts w:eastAsia="Times New Roman" w:cs="Calibri"/>
                <w:b/>
                <w:color w:val="000000"/>
                <w:sz w:val="20"/>
                <w:szCs w:val="20"/>
                <w:lang w:eastAsia="sr-Latn-ME"/>
              </w:rPr>
            </w:pPr>
            <w:r w:rsidRPr="000152CB">
              <w:rPr>
                <w:rFonts w:eastAsia="Times New Roman" w:cs="Calibri"/>
                <w:b/>
                <w:color w:val="000000"/>
                <w:sz w:val="20"/>
                <w:szCs w:val="20"/>
                <w:lang w:eastAsia="sr-Latn-ME"/>
              </w:rPr>
              <w:t>Početna vrijednost:</w:t>
            </w:r>
          </w:p>
          <w:p w14:paraId="6FC9602A" w14:textId="77777777" w:rsidR="00FD6E82" w:rsidRPr="000152CB" w:rsidRDefault="00FD6E82" w:rsidP="00FD6E82">
            <w:pPr>
              <w:spacing w:after="0" w:line="240" w:lineRule="auto"/>
              <w:contextualSpacing/>
              <w:jc w:val="center"/>
              <w:rPr>
                <w:rFonts w:eastAsia="Times New Roman" w:cs="Calibri"/>
                <w:b/>
                <w:color w:val="000000"/>
                <w:sz w:val="20"/>
                <w:szCs w:val="20"/>
                <w:lang w:eastAsia="sr-Latn-ME"/>
              </w:rPr>
            </w:pPr>
          </w:p>
          <w:p w14:paraId="1B7B2ACA" w14:textId="77777777" w:rsidR="00FD6E82" w:rsidRPr="000152CB" w:rsidRDefault="00FD6E82" w:rsidP="00FD6E82">
            <w:pPr>
              <w:spacing w:after="0" w:line="240" w:lineRule="auto"/>
              <w:contextualSpacing/>
              <w:jc w:val="center"/>
              <w:rPr>
                <w:rFonts w:eastAsia="Times New Roman" w:cs="Calibri"/>
                <w:b/>
                <w:sz w:val="20"/>
                <w:szCs w:val="20"/>
                <w:lang w:eastAsia="sr-Latn-ME"/>
              </w:rPr>
            </w:pPr>
            <w:r w:rsidRPr="000152CB">
              <w:rPr>
                <w:rFonts w:eastAsia="Times New Roman" w:cs="Calibri"/>
                <w:bCs/>
                <w:color w:val="000000"/>
                <w:sz w:val="20"/>
                <w:szCs w:val="20"/>
                <w:lang w:eastAsia="sr-Latn-ME"/>
              </w:rPr>
              <w:t>2020 e-Spar indikatori:  Okvir za zdravstvene vanredne situacije (HEF)  60%;  Humani resursi (HR) 60% ; Krizna</w:t>
            </w:r>
            <w:r w:rsidRPr="000152CB">
              <w:rPr>
                <w:rFonts w:eastAsia="Times New Roman" w:cs="Calibri"/>
                <w:b/>
                <w:color w:val="000000"/>
                <w:sz w:val="20"/>
                <w:szCs w:val="20"/>
                <w:lang w:eastAsia="sr-Latn-ME"/>
              </w:rPr>
              <w:t xml:space="preserve"> komunikacija (RC) 60%</w:t>
            </w:r>
          </w:p>
          <w:p w14:paraId="5F2540DA" w14:textId="77777777" w:rsidR="00FD6E82" w:rsidRPr="000152CB" w:rsidRDefault="00FD6E82" w:rsidP="00FD6E82">
            <w:pPr>
              <w:spacing w:after="0" w:line="240" w:lineRule="auto"/>
              <w:ind w:left="270"/>
              <w:jc w:val="center"/>
              <w:rPr>
                <w:rFonts w:eastAsia="Times New Roman" w:cs="Calibri"/>
                <w:b/>
                <w:sz w:val="20"/>
                <w:szCs w:val="20"/>
                <w:lang w:eastAsia="sr-Latn-ME"/>
              </w:rPr>
            </w:pPr>
          </w:p>
        </w:tc>
        <w:tc>
          <w:tcPr>
            <w:tcW w:w="3503" w:type="dxa"/>
            <w:gridSpan w:val="4"/>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3335D140" w14:textId="77777777" w:rsidR="00FD6E82" w:rsidRPr="000152CB" w:rsidRDefault="00FD6E82" w:rsidP="00FD6E82">
            <w:pPr>
              <w:spacing w:after="0" w:line="240" w:lineRule="auto"/>
              <w:ind w:left="270"/>
              <w:jc w:val="center"/>
              <w:rPr>
                <w:rFonts w:eastAsia="Times New Roman" w:cs="Calibri"/>
                <w:b/>
                <w:color w:val="000000"/>
                <w:sz w:val="20"/>
                <w:szCs w:val="20"/>
                <w:lang w:eastAsia="sr-Latn-ME"/>
              </w:rPr>
            </w:pPr>
            <w:r w:rsidRPr="000152CB">
              <w:rPr>
                <w:rFonts w:eastAsia="Times New Roman" w:cs="Calibri"/>
                <w:b/>
                <w:color w:val="000000"/>
                <w:sz w:val="20"/>
                <w:szCs w:val="20"/>
                <w:lang w:eastAsia="sr-Latn-ME"/>
              </w:rPr>
              <w:t>Prelazna vrijednost:</w:t>
            </w:r>
          </w:p>
          <w:p w14:paraId="32A946DD" w14:textId="77777777" w:rsidR="00FD6E82" w:rsidRPr="000152CB" w:rsidRDefault="00FD6E82" w:rsidP="00FD6E82">
            <w:pPr>
              <w:spacing w:after="0" w:line="240" w:lineRule="auto"/>
              <w:ind w:left="270"/>
              <w:jc w:val="center"/>
              <w:rPr>
                <w:rFonts w:eastAsia="Times New Roman" w:cs="Calibri"/>
                <w:b/>
                <w:color w:val="000000"/>
                <w:sz w:val="20"/>
                <w:szCs w:val="20"/>
                <w:lang w:eastAsia="sr-Latn-ME"/>
              </w:rPr>
            </w:pPr>
          </w:p>
          <w:p w14:paraId="2310521F" w14:textId="77777777" w:rsidR="00FD6E82" w:rsidRPr="000152CB" w:rsidRDefault="00FD6E82" w:rsidP="00FD6E82">
            <w:pPr>
              <w:spacing w:after="0" w:line="240" w:lineRule="auto"/>
              <w:ind w:left="270"/>
              <w:jc w:val="center"/>
              <w:rPr>
                <w:rFonts w:eastAsia="Times New Roman" w:cs="Calibri"/>
                <w:bCs/>
                <w:color w:val="000000"/>
                <w:sz w:val="20"/>
                <w:szCs w:val="20"/>
                <w:lang w:eastAsia="sr-Latn-ME"/>
              </w:rPr>
            </w:pPr>
            <w:r w:rsidRPr="000152CB">
              <w:rPr>
                <w:rFonts w:eastAsia="Times New Roman" w:cs="Calibri"/>
                <w:bCs/>
                <w:color w:val="000000"/>
                <w:sz w:val="20"/>
                <w:szCs w:val="20"/>
                <w:lang w:eastAsia="sr-Latn-ME"/>
              </w:rPr>
              <w:t>Okvir za zdravstvene vanredne situacije (HEF)  61.5%;  Humani resursi (HR) 61.5% ; Krizna komunikacija (RC) 63%</w:t>
            </w:r>
          </w:p>
        </w:tc>
        <w:tc>
          <w:tcPr>
            <w:tcW w:w="4176" w:type="dxa"/>
            <w:gridSpan w:val="3"/>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442B2DD4" w14:textId="77777777" w:rsidR="00FD6E82" w:rsidRPr="000152CB" w:rsidRDefault="00FD6E82" w:rsidP="00FD6E82">
            <w:pPr>
              <w:spacing w:after="0" w:line="240" w:lineRule="auto"/>
              <w:ind w:left="270"/>
              <w:jc w:val="center"/>
              <w:rPr>
                <w:sz w:val="20"/>
                <w:szCs w:val="20"/>
              </w:rPr>
            </w:pPr>
            <w:r w:rsidRPr="000152CB">
              <w:rPr>
                <w:rFonts w:eastAsia="Times New Roman" w:cs="Calibri"/>
                <w:b/>
                <w:color w:val="000000"/>
                <w:sz w:val="20"/>
                <w:szCs w:val="20"/>
                <w:lang w:eastAsia="sr-Latn-ME"/>
              </w:rPr>
              <w:t>Ciljna vrijednost:</w:t>
            </w:r>
            <w:r w:rsidRPr="000152CB">
              <w:rPr>
                <w:sz w:val="20"/>
                <w:szCs w:val="20"/>
              </w:rPr>
              <w:t xml:space="preserve"> </w:t>
            </w:r>
          </w:p>
          <w:p w14:paraId="4789EB31" w14:textId="77777777" w:rsidR="00FD6E82" w:rsidRPr="000152CB" w:rsidRDefault="00FD6E82" w:rsidP="00FD6E82">
            <w:pPr>
              <w:spacing w:after="0" w:line="240" w:lineRule="auto"/>
              <w:ind w:left="270"/>
              <w:jc w:val="center"/>
              <w:rPr>
                <w:rFonts w:eastAsia="Times New Roman" w:cs="Calibri"/>
                <w:b/>
                <w:color w:val="000000"/>
                <w:sz w:val="20"/>
                <w:szCs w:val="20"/>
                <w:lang w:eastAsia="sr-Latn-ME"/>
              </w:rPr>
            </w:pPr>
          </w:p>
          <w:p w14:paraId="11109417" w14:textId="77777777" w:rsidR="00FD6E82" w:rsidRPr="000152CB" w:rsidRDefault="00FD6E82" w:rsidP="00FD6E82">
            <w:pPr>
              <w:spacing w:after="0" w:line="240" w:lineRule="auto"/>
              <w:ind w:left="270"/>
              <w:jc w:val="center"/>
              <w:rPr>
                <w:rFonts w:eastAsia="Times New Roman" w:cs="Calibri"/>
                <w:bCs/>
                <w:sz w:val="20"/>
                <w:szCs w:val="20"/>
                <w:lang w:eastAsia="sr-Latn-ME"/>
              </w:rPr>
            </w:pPr>
            <w:r w:rsidRPr="000152CB">
              <w:rPr>
                <w:rFonts w:eastAsia="Times New Roman" w:cs="Calibri"/>
                <w:bCs/>
                <w:color w:val="000000"/>
                <w:sz w:val="20"/>
                <w:szCs w:val="20"/>
                <w:lang w:eastAsia="sr-Latn-ME"/>
              </w:rPr>
              <w:t>Okvir za zdravstvene vanredne situacije (HEF)  63%;  Humani resursi (HR) 63% ; Krizna komunikacija (RC) 63%</w:t>
            </w:r>
          </w:p>
        </w:tc>
      </w:tr>
      <w:tr w:rsidR="00BB7184" w:rsidRPr="000152CB" w14:paraId="3E572841" w14:textId="77777777" w:rsidTr="00BB7184">
        <w:trPr>
          <w:trHeight w:val="407"/>
          <w:jc w:val="center"/>
        </w:trPr>
        <w:tc>
          <w:tcPr>
            <w:tcW w:w="3324" w:type="dxa"/>
            <w:vMerge w:val="restart"/>
            <w:tcBorders>
              <w:top w:val="single" w:sz="4" w:space="0" w:color="000000"/>
              <w:left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hideMark/>
          </w:tcPr>
          <w:p w14:paraId="65A2389C" w14:textId="77777777" w:rsidR="00FD6E82" w:rsidRPr="000152CB" w:rsidRDefault="00FD6E82" w:rsidP="00FD6E82">
            <w:pPr>
              <w:spacing w:after="0" w:line="240" w:lineRule="auto"/>
              <w:ind w:left="270"/>
              <w:jc w:val="center"/>
              <w:rPr>
                <w:rFonts w:eastAsia="Times New Roman" w:cs="Calibri"/>
                <w:b/>
                <w:sz w:val="20"/>
                <w:szCs w:val="20"/>
                <w:lang w:eastAsia="sr-Latn-ME"/>
              </w:rPr>
            </w:pPr>
            <w:r w:rsidRPr="000152CB">
              <w:rPr>
                <w:rFonts w:eastAsia="Times New Roman" w:cs="Calibri"/>
                <w:b/>
                <w:color w:val="000000"/>
                <w:sz w:val="20"/>
                <w:szCs w:val="20"/>
                <w:lang w:eastAsia="sr-Latn-ME"/>
              </w:rPr>
              <w:lastRenderedPageBreak/>
              <w:t>Aktivnost koja utiče na realizaciju Operativnog cilja</w:t>
            </w:r>
          </w:p>
        </w:tc>
        <w:tc>
          <w:tcPr>
            <w:tcW w:w="2069" w:type="dxa"/>
            <w:vMerge w:val="restart"/>
            <w:tcBorders>
              <w:top w:val="single" w:sz="4" w:space="0" w:color="000000"/>
              <w:left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hideMark/>
          </w:tcPr>
          <w:p w14:paraId="1B629822" w14:textId="77777777" w:rsidR="00FD6E82" w:rsidRPr="000152CB" w:rsidRDefault="00FD6E82" w:rsidP="00FD6E82">
            <w:pPr>
              <w:spacing w:after="0" w:line="240" w:lineRule="auto"/>
              <w:ind w:left="270"/>
              <w:jc w:val="center"/>
              <w:rPr>
                <w:rFonts w:eastAsia="Times New Roman" w:cs="Calibri"/>
                <w:b/>
                <w:sz w:val="20"/>
                <w:szCs w:val="20"/>
                <w:lang w:eastAsia="sr-Latn-ME"/>
              </w:rPr>
            </w:pPr>
            <w:r w:rsidRPr="000152CB">
              <w:rPr>
                <w:rFonts w:eastAsia="Times New Roman" w:cs="Calibri"/>
                <w:b/>
                <w:color w:val="000000"/>
                <w:sz w:val="20"/>
                <w:szCs w:val="20"/>
                <w:lang w:eastAsia="sr-Latn-ME"/>
              </w:rPr>
              <w:t>Indikator rezultata</w:t>
            </w:r>
          </w:p>
        </w:tc>
        <w:tc>
          <w:tcPr>
            <w:tcW w:w="1440" w:type="dxa"/>
            <w:vMerge w:val="restart"/>
            <w:tcBorders>
              <w:top w:val="single" w:sz="4" w:space="0" w:color="000000"/>
              <w:left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hideMark/>
          </w:tcPr>
          <w:p w14:paraId="30731390" w14:textId="77777777" w:rsidR="00FD6E82" w:rsidRPr="000152CB" w:rsidRDefault="00FD6E82" w:rsidP="00FD6E82">
            <w:pPr>
              <w:spacing w:after="0" w:line="240" w:lineRule="auto"/>
              <w:ind w:left="270"/>
              <w:jc w:val="center"/>
              <w:rPr>
                <w:rFonts w:eastAsia="Times New Roman" w:cs="Calibri"/>
                <w:b/>
                <w:sz w:val="20"/>
                <w:szCs w:val="20"/>
                <w:lang w:eastAsia="sr-Latn-ME"/>
              </w:rPr>
            </w:pPr>
            <w:r w:rsidRPr="000152CB">
              <w:rPr>
                <w:rFonts w:eastAsia="Times New Roman" w:cs="Calibri"/>
                <w:b/>
                <w:color w:val="000000"/>
                <w:sz w:val="20"/>
                <w:szCs w:val="20"/>
                <w:lang w:eastAsia="sr-Latn-ME"/>
              </w:rPr>
              <w:t>Nadležna institucija</w:t>
            </w:r>
          </w:p>
        </w:tc>
        <w:tc>
          <w:tcPr>
            <w:tcW w:w="2386" w:type="dxa"/>
            <w:gridSpan w:val="3"/>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hideMark/>
          </w:tcPr>
          <w:p w14:paraId="49C25287" w14:textId="77777777" w:rsidR="00FD6E82" w:rsidRPr="000152CB" w:rsidRDefault="00FD6E82" w:rsidP="00BB7184">
            <w:pPr>
              <w:spacing w:after="0" w:line="240" w:lineRule="auto"/>
              <w:rPr>
                <w:rFonts w:eastAsia="Times New Roman" w:cs="Calibri"/>
                <w:b/>
                <w:sz w:val="20"/>
                <w:szCs w:val="20"/>
                <w:lang w:eastAsia="sr-Latn-ME"/>
              </w:rPr>
            </w:pPr>
            <w:r w:rsidRPr="000152CB">
              <w:rPr>
                <w:rFonts w:eastAsia="Times New Roman" w:cs="Calibri"/>
                <w:b/>
                <w:sz w:val="20"/>
                <w:szCs w:val="20"/>
                <w:lang w:eastAsia="sr-Latn-ME"/>
              </w:rPr>
              <w:t>STATUS REALIZACIJE AKTIVNOSTI</w:t>
            </w:r>
          </w:p>
        </w:tc>
        <w:tc>
          <w:tcPr>
            <w:tcW w:w="1357" w:type="dxa"/>
            <w:vMerge w:val="restart"/>
            <w:tcBorders>
              <w:top w:val="single" w:sz="4" w:space="0" w:color="000000"/>
              <w:left w:val="single" w:sz="4" w:space="0" w:color="000000"/>
              <w:right w:val="single" w:sz="4" w:space="0" w:color="000000"/>
            </w:tcBorders>
            <w:shd w:val="clear" w:color="auto" w:fill="D9E2F3" w:themeFill="accent1" w:themeFillTint="33"/>
            <w:vAlign w:val="center"/>
          </w:tcPr>
          <w:p w14:paraId="3EE4EF5E" w14:textId="77777777" w:rsidR="00FD6E82" w:rsidRPr="000152CB" w:rsidRDefault="00FD6E82" w:rsidP="00FD6E82">
            <w:pPr>
              <w:spacing w:after="0" w:line="240" w:lineRule="auto"/>
              <w:ind w:left="270"/>
              <w:jc w:val="center"/>
              <w:rPr>
                <w:rFonts w:eastAsia="Times New Roman" w:cs="Calibri"/>
                <w:b/>
                <w:sz w:val="20"/>
                <w:szCs w:val="20"/>
                <w:lang w:eastAsia="sr-Latn-ME"/>
              </w:rPr>
            </w:pPr>
            <w:r w:rsidRPr="000152CB">
              <w:rPr>
                <w:rFonts w:eastAsia="Times New Roman" w:cs="Calibri"/>
                <w:b/>
                <w:color w:val="000000"/>
                <w:sz w:val="20"/>
                <w:szCs w:val="20"/>
                <w:lang w:eastAsia="sr-Latn-ME"/>
              </w:rPr>
              <w:t>Planirani rok završetka</w:t>
            </w:r>
          </w:p>
        </w:tc>
        <w:tc>
          <w:tcPr>
            <w:tcW w:w="1387" w:type="dxa"/>
            <w:gridSpan w:val="2"/>
            <w:vMerge w:val="restart"/>
            <w:tcBorders>
              <w:top w:val="single" w:sz="4" w:space="0" w:color="000000"/>
              <w:left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hideMark/>
          </w:tcPr>
          <w:p w14:paraId="6FBFB952" w14:textId="77777777" w:rsidR="00FD6E82" w:rsidRPr="000152CB" w:rsidRDefault="00FD6E82" w:rsidP="00FD6E82">
            <w:pPr>
              <w:spacing w:after="0" w:line="240" w:lineRule="auto"/>
              <w:ind w:left="270"/>
              <w:jc w:val="center"/>
              <w:rPr>
                <w:rFonts w:eastAsia="Times New Roman" w:cs="Calibri"/>
                <w:b/>
                <w:sz w:val="20"/>
                <w:szCs w:val="20"/>
                <w:lang w:eastAsia="sr-Latn-ME"/>
              </w:rPr>
            </w:pPr>
            <w:r w:rsidRPr="000152CB">
              <w:rPr>
                <w:rFonts w:eastAsia="Times New Roman" w:cs="Calibri"/>
                <w:b/>
                <w:color w:val="000000"/>
                <w:sz w:val="20"/>
                <w:szCs w:val="20"/>
                <w:lang w:eastAsia="sr-Latn-ME"/>
              </w:rPr>
              <w:t>Planirana i utrošena sredstva</w:t>
            </w:r>
          </w:p>
        </w:tc>
        <w:tc>
          <w:tcPr>
            <w:tcW w:w="1468" w:type="dxa"/>
            <w:vMerge w:val="restart"/>
            <w:tcBorders>
              <w:top w:val="single" w:sz="4" w:space="0" w:color="000000"/>
              <w:left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hideMark/>
          </w:tcPr>
          <w:p w14:paraId="29356644" w14:textId="77777777" w:rsidR="00FD6E82" w:rsidRPr="000152CB" w:rsidRDefault="00FD6E82" w:rsidP="00FD6E82">
            <w:pPr>
              <w:spacing w:after="0" w:line="240" w:lineRule="auto"/>
              <w:ind w:left="270"/>
              <w:jc w:val="center"/>
              <w:rPr>
                <w:rFonts w:eastAsia="Times New Roman" w:cs="Calibri"/>
                <w:b/>
                <w:sz w:val="20"/>
                <w:szCs w:val="20"/>
                <w:lang w:eastAsia="sr-Latn-ME"/>
              </w:rPr>
            </w:pPr>
            <w:r w:rsidRPr="000152CB">
              <w:rPr>
                <w:rFonts w:eastAsia="Times New Roman" w:cs="Calibri"/>
                <w:b/>
                <w:sz w:val="20"/>
                <w:szCs w:val="20"/>
                <w:lang w:eastAsia="sr-Latn-ME"/>
              </w:rPr>
              <w:t>Izvor finansiranja</w:t>
            </w:r>
          </w:p>
        </w:tc>
        <w:tc>
          <w:tcPr>
            <w:tcW w:w="1864" w:type="dxa"/>
            <w:vMerge w:val="restart"/>
            <w:tcBorders>
              <w:top w:val="single" w:sz="4" w:space="0" w:color="000000"/>
              <w:left w:val="single" w:sz="4" w:space="0" w:color="000000"/>
              <w:right w:val="single" w:sz="4" w:space="0" w:color="000000"/>
            </w:tcBorders>
            <w:shd w:val="clear" w:color="auto" w:fill="D9E2F3" w:themeFill="accent1" w:themeFillTint="33"/>
            <w:vAlign w:val="center"/>
          </w:tcPr>
          <w:p w14:paraId="00A112B4" w14:textId="77777777" w:rsidR="00FD6E82" w:rsidRPr="000152CB" w:rsidRDefault="00FD6E82" w:rsidP="00BB7184">
            <w:pPr>
              <w:spacing w:after="0" w:line="240" w:lineRule="auto"/>
              <w:ind w:left="270"/>
              <w:rPr>
                <w:rFonts w:eastAsia="Times New Roman" w:cs="Calibri"/>
                <w:b/>
                <w:sz w:val="20"/>
                <w:szCs w:val="20"/>
                <w:lang w:eastAsia="sr-Latn-ME"/>
              </w:rPr>
            </w:pPr>
            <w:r w:rsidRPr="000152CB">
              <w:rPr>
                <w:rFonts w:eastAsia="Times New Roman" w:cs="Calibri"/>
                <w:b/>
                <w:sz w:val="20"/>
                <w:szCs w:val="20"/>
                <w:lang w:eastAsia="sr-Latn-ME"/>
              </w:rPr>
              <w:t>Preporuke</w:t>
            </w:r>
          </w:p>
        </w:tc>
      </w:tr>
      <w:tr w:rsidR="00BB7184" w:rsidRPr="000152CB" w14:paraId="5813A331" w14:textId="77777777" w:rsidTr="00BB7184">
        <w:trPr>
          <w:trHeight w:val="283"/>
          <w:jc w:val="center"/>
        </w:trPr>
        <w:tc>
          <w:tcPr>
            <w:tcW w:w="3324" w:type="dxa"/>
            <w:vMerge/>
            <w:tcBorders>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30B02D8B" w14:textId="77777777" w:rsidR="00FD6E82" w:rsidRPr="000152CB" w:rsidRDefault="00FD6E82" w:rsidP="00FD6E82">
            <w:pPr>
              <w:spacing w:after="0" w:line="240" w:lineRule="auto"/>
              <w:ind w:left="270"/>
              <w:jc w:val="center"/>
              <w:rPr>
                <w:rFonts w:eastAsia="Times New Roman" w:cs="Calibri"/>
                <w:b/>
                <w:color w:val="000000"/>
                <w:sz w:val="20"/>
                <w:szCs w:val="20"/>
                <w:lang w:eastAsia="sr-Latn-ME"/>
              </w:rPr>
            </w:pPr>
          </w:p>
        </w:tc>
        <w:tc>
          <w:tcPr>
            <w:tcW w:w="2069" w:type="dxa"/>
            <w:vMerge/>
            <w:tcBorders>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71CFE9F6" w14:textId="77777777" w:rsidR="00FD6E82" w:rsidRPr="000152CB" w:rsidRDefault="00FD6E82" w:rsidP="00FD6E82">
            <w:pPr>
              <w:spacing w:after="0" w:line="240" w:lineRule="auto"/>
              <w:ind w:left="270"/>
              <w:jc w:val="center"/>
              <w:rPr>
                <w:rFonts w:eastAsia="Times New Roman" w:cs="Calibri"/>
                <w:b/>
                <w:color w:val="000000"/>
                <w:sz w:val="20"/>
                <w:szCs w:val="20"/>
                <w:lang w:eastAsia="sr-Latn-ME"/>
              </w:rPr>
            </w:pPr>
          </w:p>
        </w:tc>
        <w:tc>
          <w:tcPr>
            <w:tcW w:w="1440" w:type="dxa"/>
            <w:vMerge/>
            <w:tcBorders>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504F729C" w14:textId="77777777" w:rsidR="00FD6E82" w:rsidRPr="000152CB" w:rsidRDefault="00FD6E82" w:rsidP="00FD6E82">
            <w:pPr>
              <w:spacing w:after="0" w:line="240" w:lineRule="auto"/>
              <w:ind w:left="270"/>
              <w:jc w:val="center"/>
              <w:rPr>
                <w:rFonts w:eastAsia="Times New Roman" w:cs="Calibri"/>
                <w:b/>
                <w:color w:val="000000"/>
                <w:sz w:val="20"/>
                <w:szCs w:val="20"/>
                <w:lang w:eastAsia="sr-Latn-ME"/>
              </w:rPr>
            </w:pPr>
          </w:p>
        </w:tc>
        <w:tc>
          <w:tcPr>
            <w:tcW w:w="783"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vAlign w:val="center"/>
          </w:tcPr>
          <w:p w14:paraId="12ECA869" w14:textId="77777777" w:rsidR="00FD6E82" w:rsidRPr="000152CB" w:rsidRDefault="00FD6E82" w:rsidP="00FD6E82">
            <w:pPr>
              <w:spacing w:after="0" w:line="240" w:lineRule="auto"/>
              <w:ind w:left="270"/>
              <w:jc w:val="center"/>
              <w:rPr>
                <w:rFonts w:eastAsia="Times New Roman" w:cs="Calibri"/>
                <w:b/>
                <w:sz w:val="20"/>
                <w:szCs w:val="20"/>
                <w:lang w:eastAsia="sr-Latn-ME"/>
              </w:rPr>
            </w:pPr>
          </w:p>
        </w:tc>
        <w:tc>
          <w:tcPr>
            <w:tcW w:w="83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1C05808A" w14:textId="77777777" w:rsidR="00FD6E82" w:rsidRPr="000152CB" w:rsidRDefault="00FD6E82" w:rsidP="00FD6E82">
            <w:pPr>
              <w:spacing w:after="0" w:line="240" w:lineRule="auto"/>
              <w:ind w:left="270"/>
              <w:jc w:val="center"/>
              <w:rPr>
                <w:rFonts w:eastAsia="Times New Roman" w:cs="Calibri"/>
                <w:b/>
                <w:sz w:val="20"/>
                <w:szCs w:val="20"/>
                <w:lang w:eastAsia="sr-Latn-ME"/>
              </w:rPr>
            </w:pPr>
          </w:p>
        </w:tc>
        <w:tc>
          <w:tcPr>
            <w:tcW w:w="764"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1A20F10C" w14:textId="77777777" w:rsidR="00FD6E82" w:rsidRPr="000152CB" w:rsidRDefault="00FD6E82" w:rsidP="00FD6E82">
            <w:pPr>
              <w:spacing w:after="0" w:line="240" w:lineRule="auto"/>
              <w:ind w:left="270"/>
              <w:jc w:val="center"/>
              <w:rPr>
                <w:rFonts w:eastAsia="Times New Roman" w:cs="Calibri"/>
                <w:b/>
                <w:sz w:val="20"/>
                <w:szCs w:val="20"/>
                <w:lang w:eastAsia="sr-Latn-ME"/>
              </w:rPr>
            </w:pPr>
          </w:p>
        </w:tc>
        <w:tc>
          <w:tcPr>
            <w:tcW w:w="1357" w:type="dxa"/>
            <w:vMerge/>
            <w:tcBorders>
              <w:left w:val="single" w:sz="4" w:space="0" w:color="000000"/>
              <w:bottom w:val="single" w:sz="4" w:space="0" w:color="000000"/>
              <w:right w:val="single" w:sz="4" w:space="0" w:color="000000"/>
            </w:tcBorders>
            <w:shd w:val="clear" w:color="auto" w:fill="D9E2F3" w:themeFill="accent1" w:themeFillTint="33"/>
            <w:vAlign w:val="center"/>
          </w:tcPr>
          <w:p w14:paraId="7CCC14B3" w14:textId="77777777" w:rsidR="00FD6E82" w:rsidRPr="000152CB" w:rsidRDefault="00FD6E82" w:rsidP="00FD6E82">
            <w:pPr>
              <w:spacing w:after="0" w:line="240" w:lineRule="auto"/>
              <w:ind w:left="270"/>
              <w:jc w:val="center"/>
              <w:rPr>
                <w:rFonts w:eastAsia="Times New Roman" w:cs="Calibri"/>
                <w:b/>
                <w:color w:val="000000"/>
                <w:sz w:val="20"/>
                <w:szCs w:val="20"/>
                <w:lang w:eastAsia="sr-Latn-ME"/>
              </w:rPr>
            </w:pPr>
          </w:p>
        </w:tc>
        <w:tc>
          <w:tcPr>
            <w:tcW w:w="1387" w:type="dxa"/>
            <w:gridSpan w:val="2"/>
            <w:vMerge/>
            <w:tcBorders>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3C4311D6" w14:textId="77777777" w:rsidR="00FD6E82" w:rsidRPr="000152CB" w:rsidRDefault="00FD6E82" w:rsidP="00FD6E82">
            <w:pPr>
              <w:spacing w:after="0" w:line="240" w:lineRule="auto"/>
              <w:ind w:left="270"/>
              <w:jc w:val="center"/>
              <w:rPr>
                <w:rFonts w:eastAsia="Times New Roman" w:cs="Calibri"/>
                <w:b/>
                <w:color w:val="000000"/>
                <w:sz w:val="20"/>
                <w:szCs w:val="20"/>
                <w:lang w:eastAsia="sr-Latn-ME"/>
              </w:rPr>
            </w:pPr>
          </w:p>
        </w:tc>
        <w:tc>
          <w:tcPr>
            <w:tcW w:w="1468" w:type="dxa"/>
            <w:vMerge/>
            <w:tcBorders>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74100D7D" w14:textId="77777777" w:rsidR="00FD6E82" w:rsidRPr="000152CB" w:rsidRDefault="00FD6E82" w:rsidP="00FD6E82">
            <w:pPr>
              <w:spacing w:after="0" w:line="240" w:lineRule="auto"/>
              <w:ind w:left="270"/>
              <w:jc w:val="center"/>
              <w:rPr>
                <w:rFonts w:eastAsia="Times New Roman" w:cs="Calibri"/>
                <w:b/>
                <w:color w:val="000000"/>
                <w:sz w:val="20"/>
                <w:szCs w:val="20"/>
                <w:lang w:eastAsia="sr-Latn-ME"/>
              </w:rPr>
            </w:pPr>
          </w:p>
        </w:tc>
        <w:tc>
          <w:tcPr>
            <w:tcW w:w="1864" w:type="dxa"/>
            <w:vMerge/>
            <w:tcBorders>
              <w:left w:val="single" w:sz="4" w:space="0" w:color="000000"/>
              <w:bottom w:val="single" w:sz="4" w:space="0" w:color="000000"/>
              <w:right w:val="single" w:sz="4" w:space="0" w:color="000000"/>
            </w:tcBorders>
            <w:shd w:val="clear" w:color="auto" w:fill="D9E2F3" w:themeFill="accent1" w:themeFillTint="33"/>
            <w:vAlign w:val="center"/>
          </w:tcPr>
          <w:p w14:paraId="26E270F1" w14:textId="77777777" w:rsidR="00FD6E82" w:rsidRPr="000152CB" w:rsidRDefault="00FD6E82" w:rsidP="00FD6E82">
            <w:pPr>
              <w:spacing w:after="0" w:line="240" w:lineRule="auto"/>
              <w:ind w:left="270"/>
              <w:jc w:val="center"/>
              <w:rPr>
                <w:rFonts w:eastAsia="Times New Roman" w:cs="Calibri"/>
                <w:b/>
                <w:color w:val="000000"/>
                <w:sz w:val="20"/>
                <w:szCs w:val="20"/>
                <w:lang w:eastAsia="sr-Latn-ME"/>
              </w:rPr>
            </w:pPr>
          </w:p>
        </w:tc>
      </w:tr>
      <w:tr w:rsidR="00FD6E82" w:rsidRPr="000152CB" w14:paraId="09F0161B" w14:textId="77777777" w:rsidTr="00F47584">
        <w:trPr>
          <w:trHeight w:val="585"/>
          <w:jc w:val="center"/>
        </w:trPr>
        <w:tc>
          <w:tcPr>
            <w:tcW w:w="33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68803F" w14:textId="77777777" w:rsidR="00FD6E82" w:rsidRPr="000152CB" w:rsidRDefault="00FD6E82" w:rsidP="00FD6E82">
            <w:pPr>
              <w:spacing w:line="240" w:lineRule="auto"/>
              <w:textAlignment w:val="baseline"/>
              <w:rPr>
                <w:rFonts w:eastAsia="Times New Roman" w:cs="Calibri"/>
                <w:color w:val="000000"/>
                <w:sz w:val="20"/>
                <w:szCs w:val="20"/>
                <w:lang w:eastAsia="sr-Latn-ME"/>
              </w:rPr>
            </w:pPr>
            <w:r w:rsidRPr="000152CB">
              <w:rPr>
                <w:rFonts w:cstheme="minorHAnsi"/>
                <w:noProof/>
                <w:sz w:val="20"/>
                <w:szCs w:val="20"/>
              </w:rPr>
              <w:t xml:space="preserve">3.1.1. Definisanje pravnog osnova za uvođenje javno - zdravstveno operativnog centra (PHEOC) kao integralnog dijela zdravstvenog sistema </w:t>
            </w:r>
          </w:p>
        </w:tc>
        <w:tc>
          <w:tcPr>
            <w:tcW w:w="2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CA483"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Pripremljen amadman na Zakon o zaraznim bolestima i akt o sistematizaciji Insituta za javno zdravlje</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101532"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Ministarstvo zdravlja, IJZ</w:t>
            </w:r>
          </w:p>
        </w:tc>
        <w:tc>
          <w:tcPr>
            <w:tcW w:w="2386" w:type="dxa"/>
            <w:gridSpan w:val="3"/>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7C0A16AC" w14:textId="06158490" w:rsidR="00FD6E82" w:rsidRPr="000152CB" w:rsidRDefault="00A9342C"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Neophodno je definisati pravni osnov  u Zakonu o zaštiti stanovništva  od zaraznih bolesti za PHEOC. U Pravilniku o sistematizaciji IJZCG od juna 2023.godine predviđen je PHEOC.</w:t>
            </w:r>
          </w:p>
        </w:tc>
        <w:tc>
          <w:tcPr>
            <w:tcW w:w="1357" w:type="dxa"/>
            <w:tcBorders>
              <w:top w:val="single" w:sz="4" w:space="0" w:color="000000"/>
              <w:left w:val="single" w:sz="4" w:space="0" w:color="000000"/>
              <w:bottom w:val="single" w:sz="4" w:space="0" w:color="000000"/>
              <w:right w:val="single" w:sz="4" w:space="0" w:color="000000"/>
            </w:tcBorders>
          </w:tcPr>
          <w:p w14:paraId="2A14B9D3"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 xml:space="preserve">  IIQ2023-IVQ2024</w:t>
            </w:r>
          </w:p>
        </w:tc>
        <w:tc>
          <w:tcPr>
            <w:tcW w:w="138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299882"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EUR</w:t>
            </w:r>
          </w:p>
        </w:tc>
        <w:tc>
          <w:tcPr>
            <w:tcW w:w="1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CCB0A7"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EU,SZO</w:t>
            </w:r>
          </w:p>
        </w:tc>
        <w:tc>
          <w:tcPr>
            <w:tcW w:w="1864" w:type="dxa"/>
            <w:tcBorders>
              <w:top w:val="single" w:sz="4" w:space="0" w:color="000000"/>
              <w:left w:val="single" w:sz="4" w:space="0" w:color="000000"/>
              <w:bottom w:val="single" w:sz="4" w:space="0" w:color="000000"/>
              <w:right w:val="single" w:sz="4" w:space="0" w:color="000000"/>
            </w:tcBorders>
          </w:tcPr>
          <w:p w14:paraId="3DA1F991" w14:textId="1323F018" w:rsidR="00FD6E82" w:rsidRPr="000152CB" w:rsidRDefault="00BD4E6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Novi rok za realizaciju aktivnosti je IV kvartal 2026. godine</w:t>
            </w:r>
          </w:p>
        </w:tc>
      </w:tr>
      <w:tr w:rsidR="00FD6E82" w:rsidRPr="000152CB" w14:paraId="127395C0" w14:textId="77777777" w:rsidTr="00F47584">
        <w:trPr>
          <w:trHeight w:val="585"/>
          <w:jc w:val="center"/>
        </w:trPr>
        <w:tc>
          <w:tcPr>
            <w:tcW w:w="33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8CC8E6" w14:textId="77777777" w:rsidR="00FD6E82" w:rsidRPr="000152CB" w:rsidRDefault="00FD6E82" w:rsidP="00FD6E82">
            <w:pPr>
              <w:spacing w:line="240" w:lineRule="auto"/>
              <w:textAlignment w:val="baseline"/>
              <w:rPr>
                <w:rFonts w:cstheme="minorHAnsi"/>
                <w:noProof/>
                <w:sz w:val="20"/>
                <w:szCs w:val="20"/>
              </w:rPr>
            </w:pPr>
            <w:r w:rsidRPr="000152CB">
              <w:rPr>
                <w:rFonts w:cstheme="minorHAnsi"/>
                <w:noProof/>
                <w:sz w:val="20"/>
                <w:szCs w:val="20"/>
              </w:rPr>
              <w:t>3.1.2. Izrada priručnika za PHEOC uključujući definisanje internih procedura /SOP, koncept operacija poslove i zadatke zaposlenih u PHEOC-u, kao i definisanje instrumenata za ostvarivanje rutinskih funkcija PHEOC-a</w:t>
            </w:r>
          </w:p>
        </w:tc>
        <w:tc>
          <w:tcPr>
            <w:tcW w:w="2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03F725"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Izrađen priručnik sa SOP-ovima</w:t>
            </w:r>
          </w:p>
          <w:p w14:paraId="412D2D3E" w14:textId="77777777" w:rsidR="00FD6E82" w:rsidRPr="000152CB" w:rsidRDefault="00FD6E82" w:rsidP="00FD6E82">
            <w:pPr>
              <w:spacing w:after="0" w:line="240" w:lineRule="auto"/>
              <w:ind w:left="270"/>
              <w:rPr>
                <w:rFonts w:eastAsia="Times New Roman" w:cs="Calibri"/>
                <w:sz w:val="20"/>
                <w:szCs w:val="20"/>
                <w:lang w:eastAsia="sr-Latn-ME"/>
              </w:rPr>
            </w:pP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2D8574"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Ministarstvo zdravlja, IJZ</w:t>
            </w:r>
          </w:p>
        </w:tc>
        <w:tc>
          <w:tcPr>
            <w:tcW w:w="2386" w:type="dxa"/>
            <w:gridSpan w:val="3"/>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56659C7D" w14:textId="12B69CA2" w:rsidR="00FD6E82" w:rsidRPr="000152CB" w:rsidRDefault="00A9342C"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 xml:space="preserve">Neophodno je izraditi  priručnik sa SOP-ovima. </w:t>
            </w:r>
          </w:p>
        </w:tc>
        <w:tc>
          <w:tcPr>
            <w:tcW w:w="1357" w:type="dxa"/>
            <w:tcBorders>
              <w:top w:val="single" w:sz="4" w:space="0" w:color="000000"/>
              <w:left w:val="single" w:sz="4" w:space="0" w:color="000000"/>
              <w:bottom w:val="single" w:sz="4" w:space="0" w:color="000000"/>
              <w:right w:val="single" w:sz="4" w:space="0" w:color="000000"/>
            </w:tcBorders>
          </w:tcPr>
          <w:p w14:paraId="1331503D"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 xml:space="preserve">  IIQ2023-IVQ2024</w:t>
            </w:r>
          </w:p>
        </w:tc>
        <w:tc>
          <w:tcPr>
            <w:tcW w:w="138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DFEC0E"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EUR</w:t>
            </w:r>
          </w:p>
        </w:tc>
        <w:tc>
          <w:tcPr>
            <w:tcW w:w="1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6FC241"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EU,SZO</w:t>
            </w:r>
          </w:p>
        </w:tc>
        <w:tc>
          <w:tcPr>
            <w:tcW w:w="1864" w:type="dxa"/>
            <w:tcBorders>
              <w:top w:val="single" w:sz="4" w:space="0" w:color="000000"/>
              <w:left w:val="single" w:sz="4" w:space="0" w:color="000000"/>
              <w:bottom w:val="single" w:sz="4" w:space="0" w:color="000000"/>
              <w:right w:val="single" w:sz="4" w:space="0" w:color="000000"/>
            </w:tcBorders>
          </w:tcPr>
          <w:p w14:paraId="0C7C2A68" w14:textId="0B7B4299" w:rsidR="00FD6E82" w:rsidRPr="000152CB" w:rsidRDefault="00BD4E6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Novi rok za realizaciju aktivnosti je II kvartal 2026. godine</w:t>
            </w:r>
          </w:p>
        </w:tc>
      </w:tr>
      <w:tr w:rsidR="00FD6E82" w:rsidRPr="000152CB" w14:paraId="01D7169E" w14:textId="77777777" w:rsidTr="00F47584">
        <w:trPr>
          <w:trHeight w:val="585"/>
          <w:jc w:val="center"/>
        </w:trPr>
        <w:tc>
          <w:tcPr>
            <w:tcW w:w="33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44A28A" w14:textId="77777777" w:rsidR="00FD6E82" w:rsidRPr="000152CB" w:rsidRDefault="00FD6E82" w:rsidP="00FD6E82">
            <w:pPr>
              <w:spacing w:line="240" w:lineRule="auto"/>
              <w:textAlignment w:val="baseline"/>
              <w:rPr>
                <w:rFonts w:cstheme="minorHAnsi"/>
                <w:noProof/>
                <w:sz w:val="20"/>
                <w:szCs w:val="20"/>
              </w:rPr>
            </w:pPr>
            <w:r w:rsidRPr="000152CB">
              <w:rPr>
                <w:rFonts w:cstheme="minorHAnsi"/>
                <w:noProof/>
                <w:sz w:val="20"/>
                <w:szCs w:val="20"/>
              </w:rPr>
              <w:t>3.1.3. Jačanje institucionanih kapaciteta za postupanje u vanrednim  situacijama (SZO obuka za kadar koji će zadužen za poslove i zadatke u okviru PHEOC)</w:t>
            </w:r>
          </w:p>
        </w:tc>
        <w:tc>
          <w:tcPr>
            <w:tcW w:w="2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C8664"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Izvještaj o sprovedenim obukama</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5C605A"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Ministarstvo zdravlja, IJZ</w:t>
            </w:r>
          </w:p>
        </w:tc>
        <w:tc>
          <w:tcPr>
            <w:tcW w:w="2386" w:type="dxa"/>
            <w:gridSpan w:val="3"/>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06E9351D" w14:textId="0F791403" w:rsidR="00FD6E82" w:rsidRPr="000152CB" w:rsidRDefault="00F47584"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Neophodno je obezbijediti sveobuhvatnu i kontinuiranu obuku za kadar koji će biti zadužen za poslove i zadatke u okviru PHEOC.</w:t>
            </w:r>
          </w:p>
        </w:tc>
        <w:tc>
          <w:tcPr>
            <w:tcW w:w="1357" w:type="dxa"/>
            <w:tcBorders>
              <w:top w:val="single" w:sz="4" w:space="0" w:color="000000"/>
              <w:left w:val="single" w:sz="4" w:space="0" w:color="000000"/>
              <w:bottom w:val="single" w:sz="4" w:space="0" w:color="000000"/>
              <w:right w:val="single" w:sz="4" w:space="0" w:color="000000"/>
            </w:tcBorders>
          </w:tcPr>
          <w:p w14:paraId="3BA759E6"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 xml:space="preserve">  IIQ2023-IVQ2024</w:t>
            </w:r>
          </w:p>
        </w:tc>
        <w:tc>
          <w:tcPr>
            <w:tcW w:w="138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30A785"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EUR</w:t>
            </w:r>
          </w:p>
        </w:tc>
        <w:tc>
          <w:tcPr>
            <w:tcW w:w="1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97606C"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EU,SZO</w:t>
            </w:r>
          </w:p>
        </w:tc>
        <w:tc>
          <w:tcPr>
            <w:tcW w:w="1864" w:type="dxa"/>
            <w:tcBorders>
              <w:top w:val="single" w:sz="4" w:space="0" w:color="000000"/>
              <w:left w:val="single" w:sz="4" w:space="0" w:color="000000"/>
              <w:bottom w:val="single" w:sz="4" w:space="0" w:color="000000"/>
              <w:right w:val="single" w:sz="4" w:space="0" w:color="000000"/>
            </w:tcBorders>
          </w:tcPr>
          <w:p w14:paraId="095AF78A" w14:textId="114939C9" w:rsidR="00FD6E82" w:rsidRPr="000152CB" w:rsidRDefault="00EF3333"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Novi rok za realizaciju aktivnosti je IV kvartal 2026. godine</w:t>
            </w:r>
          </w:p>
        </w:tc>
      </w:tr>
      <w:tr w:rsidR="00FD6E82" w:rsidRPr="000152CB" w14:paraId="1E0A763C" w14:textId="77777777" w:rsidTr="00F47584">
        <w:trPr>
          <w:trHeight w:val="32"/>
          <w:jc w:val="center"/>
        </w:trPr>
        <w:tc>
          <w:tcPr>
            <w:tcW w:w="33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8B68B1" w14:textId="77777777" w:rsidR="00FD6E82" w:rsidRPr="000152CB" w:rsidRDefault="00FD6E82" w:rsidP="00FD6E82">
            <w:pPr>
              <w:spacing w:line="240" w:lineRule="auto"/>
              <w:textAlignment w:val="baseline"/>
              <w:rPr>
                <w:rFonts w:cstheme="minorHAnsi"/>
                <w:noProof/>
                <w:sz w:val="20"/>
                <w:szCs w:val="20"/>
              </w:rPr>
            </w:pPr>
            <w:r w:rsidRPr="000152CB">
              <w:rPr>
                <w:rFonts w:cstheme="minorHAnsi"/>
                <w:noProof/>
                <w:sz w:val="20"/>
                <w:szCs w:val="20"/>
              </w:rPr>
              <w:t xml:space="preserve">3.1.4. Razvijanje informatičke podrške (sofverske aplikacije) za realizaciju poslova i zadataka PHEOC-a. </w:t>
            </w:r>
          </w:p>
        </w:tc>
        <w:tc>
          <w:tcPr>
            <w:tcW w:w="2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3C181D"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Objavljen tender za razvijanje softverske aplikacije za PHEOC</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75B16E"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Ministarstvo zdravlja, IJZ</w:t>
            </w:r>
          </w:p>
        </w:tc>
        <w:tc>
          <w:tcPr>
            <w:tcW w:w="2386" w:type="dxa"/>
            <w:gridSpan w:val="3"/>
            <w:tcBorders>
              <w:top w:val="single" w:sz="4" w:space="0" w:color="000000"/>
              <w:left w:val="single" w:sz="4" w:space="0" w:color="000000"/>
              <w:bottom w:val="single" w:sz="4" w:space="0" w:color="000000"/>
              <w:right w:val="single" w:sz="4" w:space="0" w:color="000000"/>
            </w:tcBorders>
            <w:shd w:val="clear" w:color="auto" w:fill="FF0000"/>
            <w:tcMar>
              <w:top w:w="0" w:type="dxa"/>
              <w:left w:w="108" w:type="dxa"/>
              <w:bottom w:w="0" w:type="dxa"/>
              <w:right w:w="108" w:type="dxa"/>
            </w:tcMar>
          </w:tcPr>
          <w:p w14:paraId="202498D6" w14:textId="05A29BDB" w:rsidR="00FD6E82" w:rsidRPr="000152CB" w:rsidRDefault="00F47584"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Aktivnost nije realizovana zbog promjene administracije dva puta u izvještajnom periodu, a zbog različitog gledanja na sam pojam Pheoc-a, i pored pripremnih radnji nije se došlo do realizacije date aktivnosti</w:t>
            </w:r>
          </w:p>
        </w:tc>
        <w:tc>
          <w:tcPr>
            <w:tcW w:w="1357" w:type="dxa"/>
            <w:tcBorders>
              <w:top w:val="single" w:sz="4" w:space="0" w:color="000000"/>
              <w:left w:val="single" w:sz="4" w:space="0" w:color="000000"/>
              <w:bottom w:val="single" w:sz="4" w:space="0" w:color="000000"/>
              <w:right w:val="single" w:sz="4" w:space="0" w:color="000000"/>
            </w:tcBorders>
          </w:tcPr>
          <w:p w14:paraId="37081559"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 xml:space="preserve"> IIQ2023-IVQ2024</w:t>
            </w:r>
          </w:p>
        </w:tc>
        <w:tc>
          <w:tcPr>
            <w:tcW w:w="138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7B55F"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EUR</w:t>
            </w:r>
          </w:p>
        </w:tc>
        <w:tc>
          <w:tcPr>
            <w:tcW w:w="1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65E6A3"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EU,SZO</w:t>
            </w:r>
          </w:p>
        </w:tc>
        <w:tc>
          <w:tcPr>
            <w:tcW w:w="1864" w:type="dxa"/>
            <w:tcBorders>
              <w:top w:val="single" w:sz="4" w:space="0" w:color="000000"/>
              <w:left w:val="single" w:sz="4" w:space="0" w:color="000000"/>
              <w:bottom w:val="single" w:sz="4" w:space="0" w:color="000000"/>
              <w:right w:val="single" w:sz="4" w:space="0" w:color="000000"/>
            </w:tcBorders>
          </w:tcPr>
          <w:p w14:paraId="224DCEFD" w14:textId="1D52345B" w:rsidR="00FD6E82" w:rsidRPr="000152CB" w:rsidRDefault="00EF3333"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Napraviti procjenu o potrebi za sprovođenjem predmetne aktivnosti u narednom periodu</w:t>
            </w:r>
          </w:p>
        </w:tc>
      </w:tr>
      <w:tr w:rsidR="00FD6E82" w:rsidRPr="000152CB" w14:paraId="6ADCCE14" w14:textId="77777777" w:rsidTr="00F47584">
        <w:trPr>
          <w:trHeight w:val="585"/>
          <w:jc w:val="center"/>
        </w:trPr>
        <w:tc>
          <w:tcPr>
            <w:tcW w:w="33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6A9BA" w14:textId="77777777" w:rsidR="00FD6E82" w:rsidRPr="000152CB" w:rsidRDefault="00FD6E82" w:rsidP="00FD6E82">
            <w:pPr>
              <w:spacing w:line="240" w:lineRule="auto"/>
              <w:textAlignment w:val="baseline"/>
              <w:rPr>
                <w:rFonts w:cstheme="minorHAnsi"/>
                <w:noProof/>
                <w:sz w:val="20"/>
                <w:szCs w:val="20"/>
              </w:rPr>
            </w:pPr>
            <w:r w:rsidRPr="000152CB">
              <w:rPr>
                <w:rFonts w:cstheme="minorHAnsi"/>
                <w:noProof/>
                <w:sz w:val="20"/>
                <w:szCs w:val="20"/>
              </w:rPr>
              <w:t>3.1.5. Nabavka IT opreme (hardver) za PHEOC</w:t>
            </w:r>
          </w:p>
        </w:tc>
        <w:tc>
          <w:tcPr>
            <w:tcW w:w="2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89F474"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Objavljen tender za nabavku IT opreme</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73BC3D"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Ministarstvo zdravlja, IJZ</w:t>
            </w:r>
          </w:p>
        </w:tc>
        <w:tc>
          <w:tcPr>
            <w:tcW w:w="2386" w:type="dxa"/>
            <w:gridSpan w:val="3"/>
            <w:tcBorders>
              <w:top w:val="single" w:sz="4" w:space="0" w:color="000000"/>
              <w:left w:val="single" w:sz="4" w:space="0" w:color="000000"/>
              <w:bottom w:val="single" w:sz="4" w:space="0" w:color="000000"/>
              <w:right w:val="single" w:sz="4" w:space="0" w:color="000000"/>
            </w:tcBorders>
            <w:shd w:val="clear" w:color="auto" w:fill="FF0000"/>
            <w:tcMar>
              <w:top w:w="0" w:type="dxa"/>
              <w:left w:w="108" w:type="dxa"/>
              <w:bottom w:w="0" w:type="dxa"/>
              <w:right w:w="108" w:type="dxa"/>
            </w:tcMar>
          </w:tcPr>
          <w:p w14:paraId="3D094F8B" w14:textId="766C4D4D" w:rsidR="00FD6E82" w:rsidRPr="000152CB" w:rsidRDefault="00BC44EA"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 xml:space="preserve">Aktivnost nije realizovana zbog promjene administracije dva puta u </w:t>
            </w:r>
            <w:r w:rsidRPr="000152CB">
              <w:rPr>
                <w:rFonts w:eastAsia="Times New Roman" w:cs="Calibri"/>
                <w:sz w:val="20"/>
                <w:szCs w:val="20"/>
                <w:lang w:eastAsia="sr-Latn-ME"/>
              </w:rPr>
              <w:lastRenderedPageBreak/>
              <w:t>izvještajnom periodu, a zbog različitog gledanja na sam pojam Pheoc-a, i pored pripremnih radnji nije se došlo do realizacije date aktivnosti</w:t>
            </w:r>
          </w:p>
        </w:tc>
        <w:tc>
          <w:tcPr>
            <w:tcW w:w="1357" w:type="dxa"/>
            <w:tcBorders>
              <w:top w:val="single" w:sz="4" w:space="0" w:color="000000"/>
              <w:left w:val="single" w:sz="4" w:space="0" w:color="000000"/>
              <w:bottom w:val="single" w:sz="4" w:space="0" w:color="000000"/>
              <w:right w:val="single" w:sz="4" w:space="0" w:color="000000"/>
            </w:tcBorders>
          </w:tcPr>
          <w:p w14:paraId="293D6A1A"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lastRenderedPageBreak/>
              <w:t xml:space="preserve"> IIQ2023-IVQ2024</w:t>
            </w:r>
          </w:p>
        </w:tc>
        <w:tc>
          <w:tcPr>
            <w:tcW w:w="138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1C42C9"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EUR</w:t>
            </w:r>
          </w:p>
        </w:tc>
        <w:tc>
          <w:tcPr>
            <w:tcW w:w="1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ADC9B"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EU,SZO</w:t>
            </w:r>
          </w:p>
        </w:tc>
        <w:tc>
          <w:tcPr>
            <w:tcW w:w="1864" w:type="dxa"/>
            <w:tcBorders>
              <w:top w:val="single" w:sz="4" w:space="0" w:color="000000"/>
              <w:left w:val="single" w:sz="4" w:space="0" w:color="000000"/>
              <w:bottom w:val="single" w:sz="4" w:space="0" w:color="000000"/>
              <w:right w:val="single" w:sz="4" w:space="0" w:color="000000"/>
            </w:tcBorders>
          </w:tcPr>
          <w:p w14:paraId="5C2DFA01" w14:textId="513723D4" w:rsidR="00FD6E82" w:rsidRPr="000152CB" w:rsidRDefault="00242366"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 xml:space="preserve">Napraviti procjenu o potrebi za sprovođenjem </w:t>
            </w:r>
            <w:r w:rsidRPr="000152CB">
              <w:rPr>
                <w:rFonts w:eastAsia="Times New Roman" w:cs="Calibri"/>
                <w:sz w:val="20"/>
                <w:szCs w:val="20"/>
                <w:lang w:eastAsia="sr-Latn-ME"/>
              </w:rPr>
              <w:lastRenderedPageBreak/>
              <w:t>predmetne aktivnosti u narednom periodu</w:t>
            </w:r>
          </w:p>
        </w:tc>
      </w:tr>
      <w:tr w:rsidR="00FD6E82" w:rsidRPr="000152CB" w14:paraId="7880E148" w14:textId="77777777" w:rsidTr="00BC44EA">
        <w:trPr>
          <w:trHeight w:val="585"/>
          <w:jc w:val="center"/>
        </w:trPr>
        <w:tc>
          <w:tcPr>
            <w:tcW w:w="33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DACDAD" w14:textId="77777777" w:rsidR="00FD6E82" w:rsidRPr="000152CB" w:rsidRDefault="00FD6E82" w:rsidP="00FD6E82">
            <w:pPr>
              <w:spacing w:line="240" w:lineRule="auto"/>
              <w:textAlignment w:val="baseline"/>
              <w:rPr>
                <w:rFonts w:cstheme="minorHAnsi"/>
                <w:noProof/>
                <w:sz w:val="20"/>
                <w:szCs w:val="20"/>
              </w:rPr>
            </w:pPr>
            <w:r w:rsidRPr="000152CB">
              <w:rPr>
                <w:rFonts w:cstheme="minorHAnsi"/>
                <w:noProof/>
                <w:sz w:val="20"/>
                <w:szCs w:val="20"/>
              </w:rPr>
              <w:lastRenderedPageBreak/>
              <w:t>3.1.6. Razviti održivi model organizacije i integrisane kontrole trovanja u zemlji</w:t>
            </w:r>
          </w:p>
        </w:tc>
        <w:tc>
          <w:tcPr>
            <w:tcW w:w="2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13BCA"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Razvijen model</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2F9B55"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Ministarstvo zdravlja,IJZ, Klinički centar CG</w:t>
            </w:r>
          </w:p>
        </w:tc>
        <w:tc>
          <w:tcPr>
            <w:tcW w:w="2386" w:type="dxa"/>
            <w:gridSpan w:val="3"/>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7966FBE5" w14:textId="67918024" w:rsidR="00FD6E82" w:rsidRPr="000152CB" w:rsidRDefault="00BC44EA"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Nacrt Pravilnika o opasnim materijama  izrađen. Čekaju se komentari</w:t>
            </w:r>
            <w:r w:rsidR="00242366" w:rsidRPr="000152CB">
              <w:rPr>
                <w:rFonts w:eastAsia="Times New Roman" w:cs="Calibri"/>
                <w:sz w:val="20"/>
                <w:szCs w:val="20"/>
                <w:lang w:eastAsia="sr-Latn-ME"/>
              </w:rPr>
              <w:t xml:space="preserve"> svih zainteresovanih strana</w:t>
            </w:r>
          </w:p>
        </w:tc>
        <w:tc>
          <w:tcPr>
            <w:tcW w:w="1357" w:type="dxa"/>
            <w:tcBorders>
              <w:top w:val="single" w:sz="4" w:space="0" w:color="000000"/>
              <w:left w:val="single" w:sz="4" w:space="0" w:color="000000"/>
              <w:bottom w:val="single" w:sz="4" w:space="0" w:color="000000"/>
              <w:right w:val="single" w:sz="4" w:space="0" w:color="000000"/>
            </w:tcBorders>
          </w:tcPr>
          <w:p w14:paraId="7EDA6F4E"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 xml:space="preserve"> IIQ2023-IVQ2023</w:t>
            </w:r>
          </w:p>
        </w:tc>
        <w:tc>
          <w:tcPr>
            <w:tcW w:w="138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ED11ED"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Planirana sredstva: 12,000EUR</w:t>
            </w:r>
          </w:p>
          <w:p w14:paraId="4DD57E0C" w14:textId="77777777" w:rsidR="00FD6E82" w:rsidRPr="000152CB" w:rsidRDefault="00FD6E82" w:rsidP="00FD6E82">
            <w:pPr>
              <w:spacing w:after="0" w:line="240" w:lineRule="auto"/>
              <w:rPr>
                <w:rFonts w:eastAsia="Times New Roman" w:cs="Calibri"/>
                <w:sz w:val="20"/>
                <w:szCs w:val="20"/>
                <w:lang w:eastAsia="sr-Latn-ME"/>
              </w:rPr>
            </w:pPr>
          </w:p>
          <w:p w14:paraId="1251811B"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Utrošena sredstva:</w:t>
            </w:r>
          </w:p>
          <w:p w14:paraId="5BD2AE1E" w14:textId="77777777" w:rsidR="00FD6E82" w:rsidRPr="000152CB" w:rsidRDefault="00FD6E82" w:rsidP="00FD6E82">
            <w:pPr>
              <w:spacing w:after="0" w:line="240" w:lineRule="auto"/>
              <w:rPr>
                <w:rFonts w:eastAsia="Times New Roman" w:cs="Calibri"/>
                <w:sz w:val="20"/>
                <w:szCs w:val="20"/>
                <w:lang w:eastAsia="sr-Latn-ME"/>
              </w:rPr>
            </w:pPr>
          </w:p>
        </w:tc>
        <w:tc>
          <w:tcPr>
            <w:tcW w:w="1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6E8F6A"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MZ,SZO</w:t>
            </w:r>
          </w:p>
        </w:tc>
        <w:tc>
          <w:tcPr>
            <w:tcW w:w="1864" w:type="dxa"/>
            <w:tcBorders>
              <w:top w:val="single" w:sz="4" w:space="0" w:color="000000"/>
              <w:left w:val="single" w:sz="4" w:space="0" w:color="000000"/>
              <w:bottom w:val="single" w:sz="4" w:space="0" w:color="000000"/>
              <w:right w:val="single" w:sz="4" w:space="0" w:color="000000"/>
            </w:tcBorders>
          </w:tcPr>
          <w:p w14:paraId="7880992A" w14:textId="117D7123" w:rsidR="00FD6E82" w:rsidRPr="000152CB" w:rsidRDefault="00242366"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Novi rok za realizaciju aktivnosti je II kvartal 2026. godine</w:t>
            </w:r>
          </w:p>
        </w:tc>
      </w:tr>
      <w:tr w:rsidR="00FD6E82" w:rsidRPr="000152CB" w14:paraId="6A26F3CA" w14:textId="77777777" w:rsidTr="00BB7184">
        <w:trPr>
          <w:trHeight w:val="585"/>
          <w:jc w:val="center"/>
        </w:trPr>
        <w:tc>
          <w:tcPr>
            <w:tcW w:w="3324" w:type="dxa"/>
            <w:tcBorders>
              <w:top w:val="single" w:sz="4" w:space="0" w:color="000000"/>
              <w:left w:val="single" w:sz="4" w:space="0" w:color="000000"/>
              <w:bottom w:val="single" w:sz="4" w:space="0" w:color="000000"/>
              <w:right w:val="single" w:sz="4" w:space="0" w:color="000000"/>
            </w:tcBorders>
            <w:shd w:val="clear" w:color="auto" w:fill="8EAADB" w:themeFill="accent1" w:themeFillTint="99"/>
            <w:tcMar>
              <w:top w:w="0" w:type="dxa"/>
              <w:left w:w="108" w:type="dxa"/>
              <w:bottom w:w="0" w:type="dxa"/>
              <w:right w:w="108" w:type="dxa"/>
            </w:tcMar>
            <w:vAlign w:val="center"/>
            <w:hideMark/>
          </w:tcPr>
          <w:p w14:paraId="034F7F45" w14:textId="77777777" w:rsidR="00FD6E82" w:rsidRPr="000152CB" w:rsidRDefault="00FD6E82" w:rsidP="00FD6E82">
            <w:pPr>
              <w:spacing w:after="0" w:line="240" w:lineRule="auto"/>
              <w:ind w:left="270"/>
              <w:jc w:val="center"/>
              <w:rPr>
                <w:rFonts w:eastAsia="Times New Roman" w:cs="Calibri"/>
                <w:b/>
                <w:sz w:val="20"/>
                <w:szCs w:val="20"/>
                <w:lang w:eastAsia="sr-Latn-ME"/>
              </w:rPr>
            </w:pPr>
            <w:r w:rsidRPr="000152CB">
              <w:rPr>
                <w:rFonts w:eastAsia="Times New Roman" w:cs="Calibri"/>
                <w:b/>
                <w:color w:val="000000"/>
                <w:sz w:val="20"/>
                <w:szCs w:val="20"/>
                <w:lang w:eastAsia="sr-Latn-ME"/>
              </w:rPr>
              <w:t>OPERATIVNI CILJ 3.2.</w:t>
            </w:r>
          </w:p>
        </w:tc>
        <w:tc>
          <w:tcPr>
            <w:tcW w:w="11971" w:type="dxa"/>
            <w:gridSpan w:val="10"/>
            <w:tcBorders>
              <w:top w:val="single" w:sz="4" w:space="0" w:color="000000"/>
              <w:left w:val="single" w:sz="4" w:space="0" w:color="000000"/>
              <w:bottom w:val="single" w:sz="4" w:space="0" w:color="000000"/>
              <w:right w:val="single" w:sz="4" w:space="0" w:color="000000"/>
            </w:tcBorders>
            <w:shd w:val="clear" w:color="auto" w:fill="8EAADB" w:themeFill="accent1" w:themeFillTint="99"/>
            <w:tcMar>
              <w:top w:w="0" w:type="dxa"/>
              <w:left w:w="108" w:type="dxa"/>
              <w:bottom w:w="0" w:type="dxa"/>
              <w:right w:w="108" w:type="dxa"/>
            </w:tcMar>
            <w:vAlign w:val="center"/>
            <w:hideMark/>
          </w:tcPr>
          <w:p w14:paraId="1BD23423" w14:textId="77777777" w:rsidR="00FD6E82" w:rsidRPr="000152CB" w:rsidRDefault="00FD6E82" w:rsidP="00FD6E82">
            <w:pPr>
              <w:spacing w:after="0" w:line="240" w:lineRule="auto"/>
              <w:ind w:left="270"/>
              <w:jc w:val="center"/>
              <w:rPr>
                <w:rFonts w:eastAsia="Times New Roman" w:cs="Calibri"/>
                <w:b/>
                <w:sz w:val="20"/>
                <w:szCs w:val="20"/>
                <w:lang w:eastAsia="sr-Latn-ME"/>
              </w:rPr>
            </w:pPr>
            <w:r w:rsidRPr="000152CB">
              <w:rPr>
                <w:rFonts w:eastAsia="Times New Roman" w:cs="Calibri"/>
                <w:b/>
                <w:sz w:val="20"/>
                <w:szCs w:val="20"/>
                <w:lang w:eastAsia="sr-Latn-ME"/>
              </w:rPr>
              <w:t xml:space="preserve">Unaprijediti funkcionalnu i strukturalnu bezbjednost zdravstvenih ustanova </w:t>
            </w:r>
          </w:p>
        </w:tc>
      </w:tr>
      <w:tr w:rsidR="00FD6E82" w:rsidRPr="000152CB" w14:paraId="2E5FC033" w14:textId="77777777" w:rsidTr="00BB7184">
        <w:trPr>
          <w:trHeight w:val="610"/>
          <w:jc w:val="center"/>
        </w:trPr>
        <w:tc>
          <w:tcPr>
            <w:tcW w:w="3324"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top w:w="0" w:type="dxa"/>
              <w:left w:w="108" w:type="dxa"/>
              <w:bottom w:w="0" w:type="dxa"/>
              <w:right w:w="108" w:type="dxa"/>
            </w:tcMar>
            <w:hideMark/>
          </w:tcPr>
          <w:p w14:paraId="73636B64" w14:textId="77777777" w:rsidR="00FD6E82" w:rsidRPr="000152CB" w:rsidRDefault="00FD6E82" w:rsidP="00FD6E82">
            <w:pPr>
              <w:spacing w:after="0" w:line="240" w:lineRule="auto"/>
              <w:ind w:left="270"/>
              <w:jc w:val="center"/>
              <w:rPr>
                <w:rFonts w:eastAsia="Times New Roman" w:cs="Calibri"/>
                <w:b/>
                <w:sz w:val="20"/>
                <w:szCs w:val="20"/>
                <w:lang w:eastAsia="sr-Latn-ME"/>
              </w:rPr>
            </w:pPr>
            <w:r w:rsidRPr="000152CB">
              <w:rPr>
                <w:rFonts w:eastAsia="Times New Roman" w:cs="Calibri"/>
                <w:b/>
                <w:color w:val="000000"/>
                <w:sz w:val="20"/>
                <w:szCs w:val="20"/>
                <w:lang w:eastAsia="sr-Latn-ME"/>
              </w:rPr>
              <w:t>INDIKATOR UČINKA 1: Stepen realizacije infrastrukturnih rješenja</w:t>
            </w:r>
          </w:p>
        </w:tc>
        <w:tc>
          <w:tcPr>
            <w:tcW w:w="4292" w:type="dxa"/>
            <w:gridSpan w:val="3"/>
            <w:tcBorders>
              <w:top w:val="single" w:sz="4" w:space="0" w:color="000000"/>
              <w:left w:val="single" w:sz="4" w:space="0" w:color="000000"/>
              <w:bottom w:val="single" w:sz="4" w:space="0" w:color="000000"/>
              <w:right w:val="single" w:sz="4" w:space="0" w:color="000000"/>
            </w:tcBorders>
            <w:shd w:val="clear" w:color="auto" w:fill="B4C6E7" w:themeFill="accent1" w:themeFillTint="66"/>
            <w:tcMar>
              <w:top w:w="0" w:type="dxa"/>
              <w:left w:w="108" w:type="dxa"/>
              <w:bottom w:w="0" w:type="dxa"/>
              <w:right w:w="108" w:type="dxa"/>
            </w:tcMar>
            <w:hideMark/>
          </w:tcPr>
          <w:p w14:paraId="481BC175" w14:textId="77777777" w:rsidR="00FD6E82" w:rsidRPr="000152CB" w:rsidRDefault="00FD6E82" w:rsidP="00FD6E82">
            <w:pPr>
              <w:spacing w:after="0" w:line="240" w:lineRule="auto"/>
              <w:ind w:left="270"/>
              <w:contextualSpacing/>
              <w:jc w:val="center"/>
              <w:rPr>
                <w:rFonts w:eastAsia="Times New Roman" w:cs="Calibri"/>
                <w:b/>
                <w:color w:val="000000"/>
                <w:sz w:val="20"/>
                <w:szCs w:val="20"/>
                <w:lang w:eastAsia="sr-Latn-ME"/>
              </w:rPr>
            </w:pPr>
            <w:r w:rsidRPr="000152CB">
              <w:rPr>
                <w:rFonts w:eastAsia="Times New Roman" w:cs="Calibri"/>
                <w:b/>
                <w:color w:val="000000"/>
                <w:sz w:val="20"/>
                <w:szCs w:val="20"/>
                <w:lang w:eastAsia="sr-Latn-ME"/>
              </w:rPr>
              <w:t>Početna vrijednost:</w:t>
            </w:r>
          </w:p>
          <w:p w14:paraId="6BD96F28" w14:textId="77777777" w:rsidR="00FD6E82" w:rsidRPr="000152CB" w:rsidRDefault="00FD6E82" w:rsidP="00FD6E82">
            <w:pPr>
              <w:spacing w:after="0" w:line="240" w:lineRule="auto"/>
              <w:ind w:left="270"/>
              <w:contextualSpacing/>
              <w:jc w:val="center"/>
              <w:rPr>
                <w:rFonts w:eastAsia="Times New Roman" w:cs="Calibri"/>
                <w:b/>
                <w:color w:val="000000"/>
                <w:sz w:val="20"/>
                <w:szCs w:val="20"/>
                <w:lang w:eastAsia="sr-Latn-ME"/>
              </w:rPr>
            </w:pPr>
          </w:p>
          <w:p w14:paraId="0F8A4094" w14:textId="77777777" w:rsidR="00FD6E82" w:rsidRPr="000152CB" w:rsidRDefault="00FD6E82" w:rsidP="00FD6E82">
            <w:pPr>
              <w:spacing w:after="0" w:line="240" w:lineRule="auto"/>
              <w:ind w:left="270"/>
              <w:contextualSpacing/>
              <w:jc w:val="center"/>
              <w:rPr>
                <w:rFonts w:eastAsia="Times New Roman" w:cs="Calibri"/>
                <w:bCs/>
                <w:sz w:val="20"/>
                <w:szCs w:val="20"/>
                <w:lang w:eastAsia="sr-Latn-ME"/>
              </w:rPr>
            </w:pPr>
            <w:r w:rsidRPr="000152CB">
              <w:rPr>
                <w:rFonts w:eastAsia="Times New Roman" w:cs="Calibri"/>
                <w:bCs/>
                <w:color w:val="000000"/>
                <w:sz w:val="20"/>
                <w:szCs w:val="20"/>
                <w:lang w:eastAsia="sr-Latn-ME"/>
              </w:rPr>
              <w:t>Ne postoji podatak o trenutnom % realizovanih infrastrukturnih rješenja</w:t>
            </w:r>
          </w:p>
          <w:p w14:paraId="45DC28BC" w14:textId="77777777" w:rsidR="00FD6E82" w:rsidRPr="000152CB" w:rsidRDefault="00FD6E82" w:rsidP="00FD6E82">
            <w:pPr>
              <w:spacing w:after="0" w:line="240" w:lineRule="auto"/>
              <w:ind w:left="270"/>
              <w:jc w:val="center"/>
              <w:rPr>
                <w:rFonts w:eastAsia="Times New Roman" w:cs="Calibri"/>
                <w:b/>
                <w:sz w:val="20"/>
                <w:szCs w:val="20"/>
                <w:lang w:eastAsia="sr-Latn-ME"/>
              </w:rPr>
            </w:pPr>
          </w:p>
        </w:tc>
        <w:tc>
          <w:tcPr>
            <w:tcW w:w="3503" w:type="dxa"/>
            <w:gridSpan w:val="4"/>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2A138C44" w14:textId="77777777" w:rsidR="00FD6E82" w:rsidRPr="000152CB" w:rsidRDefault="00FD6E82" w:rsidP="00FD6E82">
            <w:pPr>
              <w:spacing w:after="0" w:line="240" w:lineRule="auto"/>
              <w:ind w:left="270"/>
              <w:jc w:val="center"/>
              <w:rPr>
                <w:rFonts w:eastAsia="Times New Roman" w:cs="Calibri"/>
                <w:b/>
                <w:color w:val="000000"/>
                <w:sz w:val="20"/>
                <w:szCs w:val="20"/>
                <w:lang w:eastAsia="sr-Latn-ME"/>
              </w:rPr>
            </w:pPr>
            <w:r w:rsidRPr="000152CB">
              <w:rPr>
                <w:rFonts w:eastAsia="Times New Roman" w:cs="Calibri"/>
                <w:b/>
                <w:color w:val="000000"/>
                <w:sz w:val="20"/>
                <w:szCs w:val="20"/>
                <w:lang w:eastAsia="sr-Latn-ME"/>
              </w:rPr>
              <w:t>Prelazna vrijednost:</w:t>
            </w:r>
          </w:p>
          <w:p w14:paraId="4AF8C99F" w14:textId="77777777" w:rsidR="00FD6E82" w:rsidRPr="000152CB" w:rsidRDefault="00FD6E82" w:rsidP="00FD6E82">
            <w:pPr>
              <w:spacing w:after="0" w:line="240" w:lineRule="auto"/>
              <w:ind w:left="270"/>
              <w:jc w:val="center"/>
              <w:rPr>
                <w:rFonts w:eastAsia="Times New Roman" w:cs="Calibri"/>
                <w:b/>
                <w:color w:val="000000"/>
                <w:sz w:val="20"/>
                <w:szCs w:val="20"/>
                <w:lang w:eastAsia="sr-Latn-ME"/>
              </w:rPr>
            </w:pPr>
          </w:p>
          <w:p w14:paraId="455BA616" w14:textId="77777777" w:rsidR="00FD6E82" w:rsidRPr="000152CB" w:rsidRDefault="00FD6E82" w:rsidP="00FD6E82">
            <w:pPr>
              <w:spacing w:after="0" w:line="240" w:lineRule="auto"/>
              <w:ind w:left="270"/>
              <w:jc w:val="center"/>
              <w:rPr>
                <w:rFonts w:eastAsia="Times New Roman" w:cs="Calibri"/>
                <w:bCs/>
                <w:color w:val="000000"/>
                <w:sz w:val="20"/>
                <w:szCs w:val="20"/>
                <w:lang w:eastAsia="sr-Latn-ME"/>
              </w:rPr>
            </w:pPr>
            <w:r w:rsidRPr="000152CB">
              <w:rPr>
                <w:rFonts w:eastAsia="Times New Roman" w:cs="Calibri"/>
                <w:bCs/>
                <w:color w:val="000000"/>
                <w:sz w:val="20"/>
                <w:szCs w:val="20"/>
                <w:lang w:eastAsia="sr-Latn-ME"/>
              </w:rPr>
              <w:t xml:space="preserve">60% planiranih infrastrukturnih rješenja je realizovano </w:t>
            </w:r>
          </w:p>
        </w:tc>
        <w:tc>
          <w:tcPr>
            <w:tcW w:w="4176" w:type="dxa"/>
            <w:gridSpan w:val="3"/>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67FF8536" w14:textId="77777777" w:rsidR="00FD6E82" w:rsidRPr="000152CB" w:rsidRDefault="00FD6E82" w:rsidP="00FD6E82">
            <w:pPr>
              <w:spacing w:after="0" w:line="240" w:lineRule="auto"/>
              <w:ind w:left="270"/>
              <w:jc w:val="center"/>
              <w:rPr>
                <w:rFonts w:eastAsia="Times New Roman" w:cs="Calibri"/>
                <w:b/>
                <w:color w:val="000000"/>
                <w:sz w:val="20"/>
                <w:szCs w:val="20"/>
                <w:lang w:eastAsia="sr-Latn-ME"/>
              </w:rPr>
            </w:pPr>
            <w:r w:rsidRPr="000152CB">
              <w:rPr>
                <w:rFonts w:eastAsia="Times New Roman" w:cs="Calibri"/>
                <w:b/>
                <w:color w:val="000000"/>
                <w:sz w:val="20"/>
                <w:szCs w:val="20"/>
                <w:lang w:eastAsia="sr-Latn-ME"/>
              </w:rPr>
              <w:t>Ciljna vrijednost:</w:t>
            </w:r>
          </w:p>
          <w:p w14:paraId="50A6660C" w14:textId="77777777" w:rsidR="00FD6E82" w:rsidRPr="000152CB" w:rsidRDefault="00FD6E82" w:rsidP="00FD6E82">
            <w:pPr>
              <w:spacing w:after="0" w:line="240" w:lineRule="auto"/>
              <w:ind w:left="270"/>
              <w:jc w:val="center"/>
              <w:rPr>
                <w:rFonts w:eastAsia="Times New Roman" w:cs="Calibri"/>
                <w:b/>
                <w:color w:val="000000"/>
                <w:sz w:val="20"/>
                <w:szCs w:val="20"/>
                <w:lang w:eastAsia="sr-Latn-ME"/>
              </w:rPr>
            </w:pPr>
          </w:p>
          <w:p w14:paraId="1AA5B6C0" w14:textId="77777777" w:rsidR="00FD6E82" w:rsidRPr="000152CB" w:rsidRDefault="00FD6E82" w:rsidP="00FD6E82">
            <w:pPr>
              <w:spacing w:after="0" w:line="240" w:lineRule="auto"/>
              <w:ind w:left="270"/>
              <w:jc w:val="center"/>
              <w:rPr>
                <w:rFonts w:eastAsia="Times New Roman" w:cs="Calibri"/>
                <w:bCs/>
                <w:color w:val="000000"/>
                <w:sz w:val="20"/>
                <w:szCs w:val="20"/>
                <w:lang w:eastAsia="sr-Latn-ME"/>
              </w:rPr>
            </w:pPr>
            <w:r w:rsidRPr="000152CB">
              <w:rPr>
                <w:rFonts w:eastAsia="Times New Roman" w:cs="Calibri"/>
                <w:bCs/>
                <w:color w:val="000000"/>
                <w:sz w:val="20"/>
                <w:szCs w:val="20"/>
                <w:lang w:eastAsia="sr-Latn-ME"/>
              </w:rPr>
              <w:t xml:space="preserve">100%planiranih infrastrukturnih rješenja je realizovano </w:t>
            </w:r>
          </w:p>
          <w:p w14:paraId="626095CD" w14:textId="77777777" w:rsidR="00FD6E82" w:rsidRPr="000152CB" w:rsidRDefault="00FD6E82" w:rsidP="00FD6E82">
            <w:pPr>
              <w:spacing w:after="0" w:line="240" w:lineRule="auto"/>
              <w:ind w:left="270"/>
              <w:jc w:val="center"/>
              <w:rPr>
                <w:rFonts w:eastAsia="Times New Roman" w:cs="Calibri"/>
                <w:b/>
                <w:sz w:val="20"/>
                <w:szCs w:val="20"/>
                <w:lang w:eastAsia="sr-Latn-ME"/>
              </w:rPr>
            </w:pPr>
          </w:p>
        </w:tc>
      </w:tr>
      <w:tr w:rsidR="00FD6E82" w:rsidRPr="000152CB" w14:paraId="6C79CAB4" w14:textId="77777777" w:rsidTr="00BB7184">
        <w:trPr>
          <w:trHeight w:val="610"/>
          <w:jc w:val="center"/>
        </w:trPr>
        <w:tc>
          <w:tcPr>
            <w:tcW w:w="3324"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top w:w="0" w:type="dxa"/>
              <w:left w:w="108" w:type="dxa"/>
              <w:bottom w:w="0" w:type="dxa"/>
              <w:right w:w="108" w:type="dxa"/>
            </w:tcMar>
          </w:tcPr>
          <w:p w14:paraId="2A5D3F7E" w14:textId="77777777" w:rsidR="00FD6E82" w:rsidRPr="000152CB" w:rsidRDefault="00FD6E82" w:rsidP="00FD6E82">
            <w:pPr>
              <w:spacing w:after="0" w:line="240" w:lineRule="auto"/>
              <w:ind w:left="270"/>
              <w:jc w:val="center"/>
              <w:rPr>
                <w:rFonts w:eastAsia="Times New Roman" w:cs="Calibri"/>
                <w:b/>
                <w:color w:val="000000"/>
                <w:sz w:val="20"/>
                <w:szCs w:val="20"/>
                <w:lang w:eastAsia="sr-Latn-ME"/>
              </w:rPr>
            </w:pPr>
            <w:r w:rsidRPr="000152CB">
              <w:rPr>
                <w:rFonts w:eastAsia="Times New Roman" w:cs="Calibri"/>
                <w:b/>
                <w:color w:val="000000"/>
                <w:sz w:val="20"/>
                <w:szCs w:val="20"/>
                <w:lang w:eastAsia="sr-Latn-ME"/>
              </w:rPr>
              <w:t>INDIKATOR UČINKA 2:</w:t>
            </w:r>
          </w:p>
          <w:p w14:paraId="56598BE1" w14:textId="77777777" w:rsidR="00FD6E82" w:rsidRPr="000152CB" w:rsidRDefault="00FD6E82" w:rsidP="00FD6E82">
            <w:pPr>
              <w:spacing w:after="0" w:line="240" w:lineRule="auto"/>
              <w:ind w:left="270"/>
              <w:jc w:val="center"/>
              <w:rPr>
                <w:rFonts w:eastAsia="Times New Roman" w:cs="Calibri"/>
                <w:b/>
                <w:color w:val="000000"/>
                <w:sz w:val="20"/>
                <w:szCs w:val="20"/>
                <w:highlight w:val="magenta"/>
                <w:lang w:eastAsia="sr-Latn-ME"/>
              </w:rPr>
            </w:pPr>
            <w:r w:rsidRPr="000152CB">
              <w:rPr>
                <w:rFonts w:eastAsia="Times New Roman" w:cs="Calibri"/>
                <w:b/>
                <w:color w:val="000000"/>
                <w:sz w:val="20"/>
                <w:szCs w:val="20"/>
                <w:lang w:eastAsia="sr-Latn-ME"/>
              </w:rPr>
              <w:t>Procenat smanjenih upućivanja iz hirurških i internističkih oblasti iz sjeverne i južne regije ka KCCG</w:t>
            </w:r>
          </w:p>
        </w:tc>
        <w:tc>
          <w:tcPr>
            <w:tcW w:w="4292" w:type="dxa"/>
            <w:gridSpan w:val="3"/>
            <w:tcBorders>
              <w:top w:val="single" w:sz="4" w:space="0" w:color="000000"/>
              <w:left w:val="single" w:sz="4" w:space="0" w:color="000000"/>
              <w:bottom w:val="single" w:sz="4" w:space="0" w:color="000000"/>
              <w:right w:val="single" w:sz="4" w:space="0" w:color="000000"/>
            </w:tcBorders>
            <w:shd w:val="clear" w:color="auto" w:fill="B4C6E7" w:themeFill="accent1" w:themeFillTint="66"/>
            <w:tcMar>
              <w:top w:w="0" w:type="dxa"/>
              <w:left w:w="108" w:type="dxa"/>
              <w:bottom w:w="0" w:type="dxa"/>
              <w:right w:w="108" w:type="dxa"/>
            </w:tcMar>
          </w:tcPr>
          <w:p w14:paraId="44581F0A" w14:textId="77777777" w:rsidR="00FD6E82" w:rsidRPr="000152CB" w:rsidRDefault="00FD6E82" w:rsidP="00FD6E82">
            <w:pPr>
              <w:spacing w:after="0" w:line="240" w:lineRule="auto"/>
              <w:contextualSpacing/>
              <w:jc w:val="center"/>
              <w:rPr>
                <w:rFonts w:eastAsia="Times New Roman" w:cs="Calibri"/>
                <w:b/>
                <w:color w:val="000000"/>
                <w:sz w:val="20"/>
                <w:szCs w:val="20"/>
                <w:lang w:eastAsia="sr-Latn-ME"/>
              </w:rPr>
            </w:pPr>
            <w:r w:rsidRPr="000152CB">
              <w:rPr>
                <w:rFonts w:eastAsia="Times New Roman" w:cs="Calibri"/>
                <w:b/>
                <w:color w:val="000000"/>
                <w:sz w:val="20"/>
                <w:szCs w:val="20"/>
                <w:lang w:eastAsia="sr-Latn-ME"/>
              </w:rPr>
              <w:t>Početna vrijednost:</w:t>
            </w:r>
          </w:p>
          <w:p w14:paraId="03AB967B" w14:textId="77777777" w:rsidR="00FD6E82" w:rsidRPr="000152CB" w:rsidRDefault="00FD6E82" w:rsidP="00FD6E82">
            <w:pPr>
              <w:spacing w:after="0" w:line="240" w:lineRule="auto"/>
              <w:contextualSpacing/>
              <w:jc w:val="center"/>
              <w:rPr>
                <w:rFonts w:eastAsia="Times New Roman" w:cs="Calibri"/>
                <w:b/>
                <w:color w:val="000000"/>
                <w:sz w:val="20"/>
                <w:szCs w:val="20"/>
                <w:lang w:eastAsia="sr-Latn-ME"/>
              </w:rPr>
            </w:pPr>
          </w:p>
          <w:p w14:paraId="68B8A9F9" w14:textId="77777777" w:rsidR="00FD6E82" w:rsidRPr="000152CB" w:rsidRDefault="00FD6E82" w:rsidP="00FD6E82">
            <w:pPr>
              <w:spacing w:after="0" w:line="240" w:lineRule="auto"/>
              <w:contextualSpacing/>
              <w:jc w:val="center"/>
              <w:rPr>
                <w:rFonts w:eastAsia="Times New Roman" w:cs="Calibri"/>
                <w:bCs/>
                <w:color w:val="000000"/>
                <w:sz w:val="20"/>
                <w:szCs w:val="20"/>
                <w:lang w:eastAsia="sr-Latn-ME"/>
              </w:rPr>
            </w:pPr>
            <w:r w:rsidRPr="000152CB">
              <w:rPr>
                <w:rFonts w:eastAsia="Times New Roman" w:cs="Calibri"/>
                <w:bCs/>
                <w:color w:val="000000"/>
                <w:sz w:val="20"/>
                <w:szCs w:val="20"/>
                <w:lang w:eastAsia="sr-Latn-ME"/>
              </w:rPr>
              <w:t>Broj upućivanja u periodu od 12.04.2022-14.04.2023.godine</w:t>
            </w:r>
            <w:r w:rsidRPr="000152CB">
              <w:rPr>
                <w:rFonts w:eastAsia="Times New Roman" w:cs="Calibri"/>
                <w:bCs/>
                <w:color w:val="000000"/>
                <w:sz w:val="20"/>
                <w:szCs w:val="20"/>
                <w:vertAlign w:val="superscript"/>
                <w:lang w:eastAsia="sr-Latn-ME"/>
              </w:rPr>
              <w:footnoteReference w:id="6"/>
            </w:r>
          </w:p>
          <w:p w14:paraId="0F5DA5A1" w14:textId="77777777" w:rsidR="00FD6E82" w:rsidRPr="000152CB" w:rsidRDefault="00FD6E82" w:rsidP="00FD6E82">
            <w:pPr>
              <w:spacing w:after="0" w:line="240" w:lineRule="auto"/>
              <w:contextualSpacing/>
              <w:jc w:val="center"/>
              <w:rPr>
                <w:rFonts w:eastAsia="Times New Roman" w:cs="Calibri"/>
                <w:bCs/>
                <w:color w:val="000000"/>
                <w:sz w:val="20"/>
                <w:szCs w:val="20"/>
                <w:lang w:eastAsia="sr-Latn-ME"/>
              </w:rPr>
            </w:pPr>
            <w:r w:rsidRPr="000152CB">
              <w:rPr>
                <w:rFonts w:eastAsia="Times New Roman" w:cs="Calibri"/>
                <w:bCs/>
                <w:color w:val="000000"/>
                <w:sz w:val="20"/>
                <w:szCs w:val="20"/>
                <w:lang w:eastAsia="sr-Latn-ME"/>
              </w:rPr>
              <w:t>Hirurška klinika: 2247 pacijenata</w:t>
            </w:r>
          </w:p>
          <w:p w14:paraId="16A7C1BF" w14:textId="77777777" w:rsidR="00FD6E82" w:rsidRPr="000152CB" w:rsidRDefault="00FD6E82" w:rsidP="00FD6E82">
            <w:pPr>
              <w:spacing w:after="0" w:line="240" w:lineRule="auto"/>
              <w:contextualSpacing/>
              <w:jc w:val="center"/>
              <w:rPr>
                <w:rFonts w:eastAsia="Times New Roman" w:cs="Calibri"/>
                <w:bCs/>
                <w:color w:val="000000"/>
                <w:sz w:val="20"/>
                <w:szCs w:val="20"/>
                <w:lang w:eastAsia="sr-Latn-ME"/>
              </w:rPr>
            </w:pPr>
            <w:r w:rsidRPr="000152CB">
              <w:rPr>
                <w:rFonts w:eastAsia="Times New Roman" w:cs="Calibri"/>
                <w:bCs/>
                <w:color w:val="000000"/>
                <w:sz w:val="20"/>
                <w:szCs w:val="20"/>
                <w:lang w:eastAsia="sr-Latn-ME"/>
              </w:rPr>
              <w:t>Klinika za kardiologiju: 2262</w:t>
            </w:r>
          </w:p>
          <w:p w14:paraId="3CC06EF7" w14:textId="77777777" w:rsidR="00FD6E82" w:rsidRPr="000152CB" w:rsidRDefault="00FD6E82" w:rsidP="00FD6E82">
            <w:pPr>
              <w:spacing w:after="0" w:line="240" w:lineRule="auto"/>
              <w:ind w:left="270"/>
              <w:contextualSpacing/>
              <w:jc w:val="center"/>
              <w:rPr>
                <w:rFonts w:eastAsia="Times New Roman" w:cs="Calibri"/>
                <w:b/>
                <w:color w:val="000000"/>
                <w:sz w:val="20"/>
                <w:szCs w:val="20"/>
                <w:lang w:eastAsia="sr-Latn-ME"/>
              </w:rPr>
            </w:pPr>
          </w:p>
        </w:tc>
        <w:tc>
          <w:tcPr>
            <w:tcW w:w="3503" w:type="dxa"/>
            <w:gridSpan w:val="4"/>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3D6DC482" w14:textId="77777777" w:rsidR="00FD6E82" w:rsidRPr="000152CB" w:rsidRDefault="00FD6E82" w:rsidP="00FD6E82">
            <w:pPr>
              <w:spacing w:after="0" w:line="240" w:lineRule="auto"/>
              <w:ind w:left="270"/>
              <w:jc w:val="center"/>
              <w:rPr>
                <w:rFonts w:eastAsia="Times New Roman" w:cs="Calibri"/>
                <w:b/>
                <w:color w:val="000000"/>
                <w:sz w:val="20"/>
                <w:szCs w:val="20"/>
                <w:lang w:eastAsia="sr-Latn-ME"/>
              </w:rPr>
            </w:pPr>
            <w:r w:rsidRPr="000152CB">
              <w:rPr>
                <w:rFonts w:eastAsia="Times New Roman" w:cs="Calibri"/>
                <w:b/>
                <w:color w:val="000000"/>
                <w:sz w:val="20"/>
                <w:szCs w:val="20"/>
                <w:lang w:eastAsia="sr-Latn-ME"/>
              </w:rPr>
              <w:t>Prelazna vrijednost:</w:t>
            </w:r>
          </w:p>
          <w:p w14:paraId="371893B5" w14:textId="77777777" w:rsidR="00FD6E82" w:rsidRPr="000152CB" w:rsidRDefault="00FD6E82" w:rsidP="00FD6E82">
            <w:pPr>
              <w:spacing w:after="0" w:line="240" w:lineRule="auto"/>
              <w:ind w:left="270"/>
              <w:jc w:val="center"/>
              <w:rPr>
                <w:rFonts w:eastAsia="Times New Roman" w:cs="Calibri"/>
                <w:b/>
                <w:color w:val="000000"/>
                <w:sz w:val="20"/>
                <w:szCs w:val="20"/>
                <w:lang w:eastAsia="sr-Latn-ME"/>
              </w:rPr>
            </w:pPr>
          </w:p>
          <w:p w14:paraId="44E7507C" w14:textId="77777777" w:rsidR="00FD6E82" w:rsidRPr="000152CB" w:rsidRDefault="00FD6E82" w:rsidP="00FD6E82">
            <w:pPr>
              <w:spacing w:after="0" w:line="240" w:lineRule="auto"/>
              <w:ind w:left="270"/>
              <w:jc w:val="center"/>
              <w:rPr>
                <w:rFonts w:eastAsia="Times New Roman" w:cs="Calibri"/>
                <w:bCs/>
                <w:color w:val="000000"/>
                <w:sz w:val="20"/>
                <w:szCs w:val="20"/>
                <w:lang w:eastAsia="sr-Latn-ME"/>
              </w:rPr>
            </w:pPr>
            <w:r w:rsidRPr="000152CB">
              <w:rPr>
                <w:rFonts w:eastAsia="Times New Roman" w:cs="Calibri"/>
                <w:bCs/>
                <w:color w:val="000000"/>
                <w:sz w:val="20"/>
                <w:szCs w:val="20"/>
                <w:lang w:eastAsia="sr-Latn-ME"/>
              </w:rPr>
              <w:t>Procenat smanjenja upućivanja</w:t>
            </w:r>
          </w:p>
          <w:p w14:paraId="790774B1" w14:textId="77777777" w:rsidR="00FD6E82" w:rsidRPr="000152CB" w:rsidRDefault="00FD6E82" w:rsidP="00FD6E82">
            <w:pPr>
              <w:spacing w:after="0" w:line="240" w:lineRule="auto"/>
              <w:ind w:left="270"/>
              <w:jc w:val="center"/>
              <w:rPr>
                <w:rFonts w:eastAsia="Times New Roman" w:cs="Calibri"/>
                <w:bCs/>
                <w:color w:val="000000"/>
                <w:sz w:val="20"/>
                <w:szCs w:val="20"/>
                <w:lang w:eastAsia="sr-Latn-ME"/>
              </w:rPr>
            </w:pPr>
            <w:r w:rsidRPr="000152CB">
              <w:rPr>
                <w:rFonts w:eastAsia="Times New Roman" w:cs="Calibri"/>
                <w:bCs/>
                <w:color w:val="000000"/>
                <w:sz w:val="20"/>
                <w:szCs w:val="20"/>
                <w:lang w:eastAsia="sr-Latn-ME"/>
              </w:rPr>
              <w:t>Hirurška klinika za 5-10%</w:t>
            </w:r>
          </w:p>
          <w:p w14:paraId="2E14ADBA" w14:textId="77777777" w:rsidR="00FD6E82" w:rsidRPr="000152CB" w:rsidRDefault="00FD6E82" w:rsidP="00FD6E82">
            <w:pPr>
              <w:spacing w:after="0" w:line="240" w:lineRule="auto"/>
              <w:ind w:left="270"/>
              <w:jc w:val="center"/>
              <w:rPr>
                <w:rFonts w:eastAsia="Times New Roman" w:cs="Calibri"/>
                <w:bCs/>
                <w:color w:val="000000"/>
                <w:sz w:val="20"/>
                <w:szCs w:val="20"/>
                <w:lang w:eastAsia="sr-Latn-ME"/>
              </w:rPr>
            </w:pPr>
            <w:r w:rsidRPr="000152CB">
              <w:rPr>
                <w:rFonts w:eastAsia="Times New Roman" w:cs="Calibri"/>
                <w:bCs/>
                <w:color w:val="000000"/>
                <w:sz w:val="20"/>
                <w:szCs w:val="20"/>
                <w:lang w:eastAsia="sr-Latn-ME"/>
              </w:rPr>
              <w:t>Klinika za kardiologiju: 5-10%</w:t>
            </w:r>
          </w:p>
          <w:p w14:paraId="6A59831F" w14:textId="77777777" w:rsidR="00FD6E82" w:rsidRPr="000152CB" w:rsidRDefault="00FD6E82" w:rsidP="00FD6E82">
            <w:pPr>
              <w:spacing w:after="0" w:line="240" w:lineRule="auto"/>
              <w:ind w:left="270"/>
              <w:jc w:val="center"/>
              <w:rPr>
                <w:rFonts w:eastAsia="Times New Roman" w:cs="Calibri"/>
                <w:b/>
                <w:color w:val="000000"/>
                <w:sz w:val="20"/>
                <w:szCs w:val="20"/>
                <w:lang w:eastAsia="sr-Latn-ME"/>
              </w:rPr>
            </w:pPr>
          </w:p>
        </w:tc>
        <w:tc>
          <w:tcPr>
            <w:tcW w:w="4176" w:type="dxa"/>
            <w:gridSpan w:val="3"/>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07083234" w14:textId="77777777" w:rsidR="00FD6E82" w:rsidRPr="000152CB" w:rsidRDefault="00FD6E82" w:rsidP="00FD6E82">
            <w:pPr>
              <w:spacing w:after="0" w:line="240" w:lineRule="auto"/>
              <w:ind w:left="270"/>
              <w:jc w:val="center"/>
              <w:rPr>
                <w:rFonts w:eastAsia="Times New Roman" w:cs="Calibri"/>
                <w:b/>
                <w:color w:val="000000"/>
                <w:sz w:val="20"/>
                <w:szCs w:val="20"/>
                <w:lang w:eastAsia="sr-Latn-ME"/>
              </w:rPr>
            </w:pPr>
            <w:r w:rsidRPr="000152CB">
              <w:rPr>
                <w:rFonts w:eastAsia="Times New Roman" w:cs="Calibri"/>
                <w:b/>
                <w:color w:val="000000"/>
                <w:sz w:val="20"/>
                <w:szCs w:val="20"/>
                <w:lang w:eastAsia="sr-Latn-ME"/>
              </w:rPr>
              <w:t>Ciljna vrijednost:</w:t>
            </w:r>
          </w:p>
          <w:p w14:paraId="607AA49E" w14:textId="77777777" w:rsidR="00FD6E82" w:rsidRPr="000152CB" w:rsidRDefault="00FD6E82" w:rsidP="00FD6E82">
            <w:pPr>
              <w:spacing w:after="0" w:line="240" w:lineRule="auto"/>
              <w:ind w:left="270"/>
              <w:jc w:val="center"/>
              <w:rPr>
                <w:rFonts w:eastAsia="Times New Roman" w:cs="Calibri"/>
                <w:b/>
                <w:color w:val="000000"/>
                <w:sz w:val="20"/>
                <w:szCs w:val="20"/>
                <w:lang w:eastAsia="sr-Latn-ME"/>
              </w:rPr>
            </w:pPr>
          </w:p>
          <w:p w14:paraId="5C0A3649" w14:textId="77777777" w:rsidR="00FD6E82" w:rsidRPr="000152CB" w:rsidRDefault="00FD6E82" w:rsidP="00FD6E82">
            <w:pPr>
              <w:spacing w:after="0" w:line="240" w:lineRule="auto"/>
              <w:ind w:left="270"/>
              <w:jc w:val="center"/>
              <w:rPr>
                <w:rFonts w:eastAsia="Times New Roman" w:cs="Calibri"/>
                <w:bCs/>
                <w:color w:val="000000"/>
                <w:sz w:val="20"/>
                <w:szCs w:val="20"/>
                <w:lang w:eastAsia="sr-Latn-ME"/>
              </w:rPr>
            </w:pPr>
            <w:r w:rsidRPr="000152CB">
              <w:rPr>
                <w:rFonts w:eastAsia="Times New Roman" w:cs="Calibri"/>
                <w:bCs/>
                <w:color w:val="000000"/>
                <w:sz w:val="20"/>
                <w:szCs w:val="20"/>
                <w:lang w:eastAsia="sr-Latn-ME"/>
              </w:rPr>
              <w:t>Procenat smanjenja upućivanja</w:t>
            </w:r>
          </w:p>
          <w:p w14:paraId="0ED17626" w14:textId="77777777" w:rsidR="00FD6E82" w:rsidRPr="000152CB" w:rsidRDefault="00FD6E82" w:rsidP="00FD6E82">
            <w:pPr>
              <w:spacing w:after="0" w:line="240" w:lineRule="auto"/>
              <w:ind w:left="270"/>
              <w:jc w:val="center"/>
              <w:rPr>
                <w:rFonts w:eastAsia="Times New Roman" w:cs="Calibri"/>
                <w:bCs/>
                <w:color w:val="000000"/>
                <w:sz w:val="20"/>
                <w:szCs w:val="20"/>
                <w:lang w:eastAsia="sr-Latn-ME"/>
              </w:rPr>
            </w:pPr>
            <w:r w:rsidRPr="000152CB">
              <w:rPr>
                <w:rFonts w:eastAsia="Times New Roman" w:cs="Calibri"/>
                <w:bCs/>
                <w:color w:val="000000"/>
                <w:sz w:val="20"/>
                <w:szCs w:val="20"/>
                <w:lang w:eastAsia="sr-Latn-ME"/>
              </w:rPr>
              <w:t>Hirurška klinika za 10-15%</w:t>
            </w:r>
          </w:p>
          <w:p w14:paraId="14AE4B4D" w14:textId="77777777" w:rsidR="00FD6E82" w:rsidRPr="000152CB" w:rsidRDefault="00FD6E82" w:rsidP="00FD6E82">
            <w:pPr>
              <w:spacing w:after="0" w:line="240" w:lineRule="auto"/>
              <w:ind w:left="270"/>
              <w:jc w:val="center"/>
              <w:rPr>
                <w:rFonts w:eastAsia="Times New Roman" w:cs="Calibri"/>
                <w:bCs/>
                <w:color w:val="000000"/>
                <w:sz w:val="20"/>
                <w:szCs w:val="20"/>
                <w:lang w:eastAsia="sr-Latn-ME"/>
              </w:rPr>
            </w:pPr>
            <w:r w:rsidRPr="000152CB">
              <w:rPr>
                <w:rFonts w:eastAsia="Times New Roman" w:cs="Calibri"/>
                <w:bCs/>
                <w:color w:val="000000"/>
                <w:sz w:val="20"/>
                <w:szCs w:val="20"/>
                <w:lang w:eastAsia="sr-Latn-ME"/>
              </w:rPr>
              <w:t>Klinika za kardiologiju: 10-15%</w:t>
            </w:r>
          </w:p>
          <w:p w14:paraId="7D8B84FD" w14:textId="77777777" w:rsidR="00FD6E82" w:rsidRPr="000152CB" w:rsidRDefault="00FD6E82" w:rsidP="00FD6E82">
            <w:pPr>
              <w:spacing w:after="0" w:line="240" w:lineRule="auto"/>
              <w:ind w:left="270"/>
              <w:jc w:val="center"/>
              <w:rPr>
                <w:rFonts w:eastAsia="Times New Roman" w:cs="Calibri"/>
                <w:b/>
                <w:color w:val="000000"/>
                <w:sz w:val="20"/>
                <w:szCs w:val="20"/>
                <w:lang w:eastAsia="sr-Latn-ME"/>
              </w:rPr>
            </w:pPr>
          </w:p>
        </w:tc>
      </w:tr>
      <w:tr w:rsidR="00BB7184" w:rsidRPr="000152CB" w14:paraId="1B2FCEA1" w14:textId="77777777" w:rsidTr="00BB7184">
        <w:trPr>
          <w:trHeight w:val="533"/>
          <w:jc w:val="center"/>
        </w:trPr>
        <w:tc>
          <w:tcPr>
            <w:tcW w:w="3324" w:type="dxa"/>
            <w:vMerge w:val="restart"/>
            <w:tcBorders>
              <w:top w:val="single" w:sz="4" w:space="0" w:color="000000"/>
              <w:left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hideMark/>
          </w:tcPr>
          <w:p w14:paraId="176251B5" w14:textId="77777777" w:rsidR="00FD6E82" w:rsidRPr="000152CB" w:rsidRDefault="00FD6E82" w:rsidP="00FD6E82">
            <w:pPr>
              <w:spacing w:after="0" w:line="240" w:lineRule="auto"/>
              <w:ind w:left="270"/>
              <w:jc w:val="center"/>
              <w:rPr>
                <w:rFonts w:eastAsia="Times New Roman" w:cs="Calibri"/>
                <w:b/>
                <w:sz w:val="20"/>
                <w:szCs w:val="20"/>
                <w:lang w:eastAsia="sr-Latn-ME"/>
              </w:rPr>
            </w:pPr>
            <w:r w:rsidRPr="000152CB">
              <w:rPr>
                <w:rFonts w:eastAsia="Times New Roman" w:cs="Calibri"/>
                <w:b/>
                <w:color w:val="000000"/>
                <w:sz w:val="20"/>
                <w:szCs w:val="20"/>
                <w:lang w:eastAsia="sr-Latn-ME"/>
              </w:rPr>
              <w:t>Aktivnost koja utiče na realizaciju Operativnog cilja</w:t>
            </w:r>
          </w:p>
        </w:tc>
        <w:tc>
          <w:tcPr>
            <w:tcW w:w="2069" w:type="dxa"/>
            <w:vMerge w:val="restart"/>
            <w:tcBorders>
              <w:top w:val="single" w:sz="4" w:space="0" w:color="000000"/>
              <w:left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hideMark/>
          </w:tcPr>
          <w:p w14:paraId="31E5390A" w14:textId="77777777" w:rsidR="00FD6E82" w:rsidRPr="000152CB" w:rsidRDefault="00FD6E82" w:rsidP="00FD6E82">
            <w:pPr>
              <w:spacing w:after="0" w:line="240" w:lineRule="auto"/>
              <w:ind w:left="270"/>
              <w:jc w:val="center"/>
              <w:rPr>
                <w:rFonts w:eastAsia="Times New Roman" w:cs="Calibri"/>
                <w:b/>
                <w:sz w:val="20"/>
                <w:szCs w:val="20"/>
                <w:lang w:eastAsia="sr-Latn-ME"/>
              </w:rPr>
            </w:pPr>
            <w:r w:rsidRPr="000152CB">
              <w:rPr>
                <w:rFonts w:eastAsia="Times New Roman" w:cs="Calibri"/>
                <w:b/>
                <w:color w:val="000000"/>
                <w:sz w:val="20"/>
                <w:szCs w:val="20"/>
                <w:lang w:eastAsia="sr-Latn-ME"/>
              </w:rPr>
              <w:t>Indikator rezultata</w:t>
            </w:r>
          </w:p>
        </w:tc>
        <w:tc>
          <w:tcPr>
            <w:tcW w:w="1440" w:type="dxa"/>
            <w:vMerge w:val="restart"/>
            <w:tcBorders>
              <w:top w:val="single" w:sz="4" w:space="0" w:color="000000"/>
              <w:left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hideMark/>
          </w:tcPr>
          <w:p w14:paraId="41C9F585" w14:textId="77777777" w:rsidR="00FD6E82" w:rsidRPr="000152CB" w:rsidRDefault="00FD6E82" w:rsidP="00FD6E82">
            <w:pPr>
              <w:spacing w:after="0" w:line="240" w:lineRule="auto"/>
              <w:ind w:left="270"/>
              <w:jc w:val="center"/>
              <w:rPr>
                <w:rFonts w:eastAsia="Times New Roman" w:cs="Calibri"/>
                <w:b/>
                <w:sz w:val="20"/>
                <w:szCs w:val="20"/>
                <w:lang w:eastAsia="sr-Latn-ME"/>
              </w:rPr>
            </w:pPr>
            <w:r w:rsidRPr="000152CB">
              <w:rPr>
                <w:rFonts w:eastAsia="Times New Roman" w:cs="Calibri"/>
                <w:b/>
                <w:color w:val="000000"/>
                <w:sz w:val="20"/>
                <w:szCs w:val="20"/>
                <w:lang w:eastAsia="sr-Latn-ME"/>
              </w:rPr>
              <w:t>Nadležna institucija</w:t>
            </w:r>
          </w:p>
        </w:tc>
        <w:tc>
          <w:tcPr>
            <w:tcW w:w="2386" w:type="dxa"/>
            <w:gridSpan w:val="3"/>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hideMark/>
          </w:tcPr>
          <w:p w14:paraId="7BDCD4B1" w14:textId="77777777" w:rsidR="00FD6E82" w:rsidRPr="000152CB" w:rsidRDefault="00FD6E82" w:rsidP="00FD6E82">
            <w:pPr>
              <w:spacing w:after="0" w:line="240" w:lineRule="auto"/>
              <w:ind w:left="270"/>
              <w:jc w:val="center"/>
              <w:rPr>
                <w:rFonts w:eastAsia="Times New Roman" w:cs="Calibri"/>
                <w:b/>
                <w:sz w:val="20"/>
                <w:szCs w:val="20"/>
                <w:lang w:eastAsia="sr-Latn-ME"/>
              </w:rPr>
            </w:pPr>
            <w:r w:rsidRPr="000152CB">
              <w:rPr>
                <w:rFonts w:eastAsia="Times New Roman" w:cs="Calibri"/>
                <w:b/>
                <w:sz w:val="20"/>
                <w:szCs w:val="20"/>
                <w:lang w:eastAsia="sr-Latn-ME"/>
              </w:rPr>
              <w:t>STATUS REALIZACIJE AKTIVNOSTI</w:t>
            </w:r>
          </w:p>
        </w:tc>
        <w:tc>
          <w:tcPr>
            <w:tcW w:w="1357" w:type="dxa"/>
            <w:vMerge w:val="restart"/>
            <w:tcBorders>
              <w:top w:val="single" w:sz="4" w:space="0" w:color="000000"/>
              <w:left w:val="single" w:sz="4" w:space="0" w:color="000000"/>
              <w:right w:val="single" w:sz="4" w:space="0" w:color="000000"/>
            </w:tcBorders>
            <w:shd w:val="clear" w:color="auto" w:fill="D9E2F3" w:themeFill="accent1" w:themeFillTint="33"/>
            <w:vAlign w:val="center"/>
          </w:tcPr>
          <w:p w14:paraId="61D88149" w14:textId="77777777" w:rsidR="00FD6E82" w:rsidRPr="000152CB" w:rsidRDefault="00FD6E82" w:rsidP="00FD6E82">
            <w:pPr>
              <w:spacing w:after="0" w:line="240" w:lineRule="auto"/>
              <w:ind w:left="270"/>
              <w:jc w:val="center"/>
              <w:rPr>
                <w:rFonts w:eastAsia="Times New Roman" w:cs="Calibri"/>
                <w:b/>
                <w:sz w:val="20"/>
                <w:szCs w:val="20"/>
                <w:lang w:eastAsia="sr-Latn-ME"/>
              </w:rPr>
            </w:pPr>
            <w:r w:rsidRPr="000152CB">
              <w:rPr>
                <w:rFonts w:eastAsia="Times New Roman" w:cs="Calibri"/>
                <w:b/>
                <w:color w:val="000000"/>
                <w:sz w:val="20"/>
                <w:szCs w:val="20"/>
                <w:lang w:eastAsia="sr-Latn-ME"/>
              </w:rPr>
              <w:t>Planirani rok završetka</w:t>
            </w:r>
          </w:p>
        </w:tc>
        <w:tc>
          <w:tcPr>
            <w:tcW w:w="1387" w:type="dxa"/>
            <w:gridSpan w:val="2"/>
            <w:vMerge w:val="restart"/>
            <w:tcBorders>
              <w:top w:val="single" w:sz="4" w:space="0" w:color="000000"/>
              <w:left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hideMark/>
          </w:tcPr>
          <w:p w14:paraId="49E4B871" w14:textId="77777777" w:rsidR="00FD6E82" w:rsidRPr="000152CB" w:rsidRDefault="00FD6E82" w:rsidP="00FD6E82">
            <w:pPr>
              <w:spacing w:after="0" w:line="240" w:lineRule="auto"/>
              <w:ind w:left="270"/>
              <w:jc w:val="center"/>
              <w:rPr>
                <w:rFonts w:eastAsia="Times New Roman" w:cs="Calibri"/>
                <w:b/>
                <w:sz w:val="20"/>
                <w:szCs w:val="20"/>
                <w:lang w:eastAsia="sr-Latn-ME"/>
              </w:rPr>
            </w:pPr>
            <w:r w:rsidRPr="000152CB">
              <w:rPr>
                <w:rFonts w:eastAsia="Times New Roman" w:cs="Calibri"/>
                <w:b/>
                <w:color w:val="000000"/>
                <w:sz w:val="20"/>
                <w:szCs w:val="20"/>
                <w:lang w:eastAsia="sr-Latn-ME"/>
              </w:rPr>
              <w:t>Planirana i utrošena sredstva</w:t>
            </w:r>
          </w:p>
        </w:tc>
        <w:tc>
          <w:tcPr>
            <w:tcW w:w="1468" w:type="dxa"/>
            <w:vMerge w:val="restart"/>
            <w:tcBorders>
              <w:top w:val="single" w:sz="4" w:space="0" w:color="000000"/>
              <w:left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hideMark/>
          </w:tcPr>
          <w:p w14:paraId="6684A89B" w14:textId="77777777" w:rsidR="00FD6E82" w:rsidRPr="000152CB" w:rsidRDefault="00FD6E82" w:rsidP="00FD6E82">
            <w:pPr>
              <w:spacing w:after="0" w:line="240" w:lineRule="auto"/>
              <w:ind w:left="270"/>
              <w:jc w:val="center"/>
              <w:rPr>
                <w:rFonts w:eastAsia="Times New Roman" w:cs="Calibri"/>
                <w:b/>
                <w:sz w:val="20"/>
                <w:szCs w:val="20"/>
                <w:lang w:eastAsia="sr-Latn-ME"/>
              </w:rPr>
            </w:pPr>
            <w:r w:rsidRPr="000152CB">
              <w:rPr>
                <w:rFonts w:eastAsia="Times New Roman" w:cs="Calibri"/>
                <w:b/>
                <w:color w:val="000000"/>
                <w:sz w:val="20"/>
                <w:szCs w:val="20"/>
                <w:lang w:eastAsia="sr-Latn-ME"/>
              </w:rPr>
              <w:t>Izvor finansiranja</w:t>
            </w:r>
          </w:p>
        </w:tc>
        <w:tc>
          <w:tcPr>
            <w:tcW w:w="1864" w:type="dxa"/>
            <w:vMerge w:val="restart"/>
            <w:tcBorders>
              <w:top w:val="single" w:sz="4" w:space="0" w:color="000000"/>
              <w:left w:val="single" w:sz="4" w:space="0" w:color="000000"/>
              <w:right w:val="single" w:sz="4" w:space="0" w:color="000000"/>
            </w:tcBorders>
            <w:shd w:val="clear" w:color="auto" w:fill="D9E2F3" w:themeFill="accent1" w:themeFillTint="33"/>
            <w:vAlign w:val="center"/>
          </w:tcPr>
          <w:p w14:paraId="0A452F2F" w14:textId="77777777" w:rsidR="00FD6E82" w:rsidRPr="000152CB" w:rsidRDefault="00FD6E82" w:rsidP="00FD6E82">
            <w:pPr>
              <w:spacing w:after="0" w:line="240" w:lineRule="auto"/>
              <w:ind w:left="270"/>
              <w:jc w:val="center"/>
              <w:rPr>
                <w:rFonts w:eastAsia="Times New Roman" w:cs="Calibri"/>
                <w:b/>
                <w:sz w:val="20"/>
                <w:szCs w:val="20"/>
                <w:lang w:eastAsia="sr-Latn-ME"/>
              </w:rPr>
            </w:pPr>
            <w:r w:rsidRPr="000152CB">
              <w:rPr>
                <w:rFonts w:eastAsia="Times New Roman" w:cs="Calibri"/>
                <w:b/>
                <w:sz w:val="20"/>
                <w:szCs w:val="20"/>
                <w:lang w:eastAsia="sr-Latn-ME"/>
              </w:rPr>
              <w:t>Preporuke</w:t>
            </w:r>
          </w:p>
        </w:tc>
      </w:tr>
      <w:tr w:rsidR="00BB7184" w:rsidRPr="000152CB" w14:paraId="3921A082" w14:textId="77777777" w:rsidTr="00BC44EA">
        <w:trPr>
          <w:trHeight w:val="376"/>
          <w:jc w:val="center"/>
        </w:trPr>
        <w:tc>
          <w:tcPr>
            <w:tcW w:w="3324" w:type="dxa"/>
            <w:vMerge/>
            <w:tcBorders>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1416C4F1" w14:textId="77777777" w:rsidR="00FD6E82" w:rsidRPr="000152CB" w:rsidRDefault="00FD6E82" w:rsidP="00FD6E82">
            <w:pPr>
              <w:spacing w:after="0" w:line="240" w:lineRule="auto"/>
              <w:ind w:left="270"/>
              <w:jc w:val="center"/>
              <w:rPr>
                <w:rFonts w:eastAsia="Times New Roman" w:cs="Calibri"/>
                <w:b/>
                <w:color w:val="000000"/>
                <w:sz w:val="20"/>
                <w:szCs w:val="20"/>
                <w:lang w:eastAsia="sr-Latn-ME"/>
              </w:rPr>
            </w:pPr>
          </w:p>
        </w:tc>
        <w:tc>
          <w:tcPr>
            <w:tcW w:w="2069" w:type="dxa"/>
            <w:vMerge/>
            <w:tcBorders>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488E0BD8" w14:textId="77777777" w:rsidR="00FD6E82" w:rsidRPr="000152CB" w:rsidRDefault="00FD6E82" w:rsidP="00FD6E82">
            <w:pPr>
              <w:spacing w:after="0" w:line="240" w:lineRule="auto"/>
              <w:ind w:left="270"/>
              <w:jc w:val="center"/>
              <w:rPr>
                <w:rFonts w:eastAsia="Times New Roman" w:cs="Calibri"/>
                <w:b/>
                <w:color w:val="000000"/>
                <w:sz w:val="20"/>
                <w:szCs w:val="20"/>
                <w:lang w:eastAsia="sr-Latn-ME"/>
              </w:rPr>
            </w:pPr>
          </w:p>
        </w:tc>
        <w:tc>
          <w:tcPr>
            <w:tcW w:w="1440" w:type="dxa"/>
            <w:vMerge/>
            <w:tcBorders>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0C694373" w14:textId="77777777" w:rsidR="00FD6E82" w:rsidRPr="000152CB" w:rsidRDefault="00FD6E82" w:rsidP="00FD6E82">
            <w:pPr>
              <w:spacing w:after="0" w:line="240" w:lineRule="auto"/>
              <w:ind w:left="270"/>
              <w:jc w:val="center"/>
              <w:rPr>
                <w:rFonts w:eastAsia="Times New Roman" w:cs="Calibri"/>
                <w:b/>
                <w:color w:val="000000"/>
                <w:sz w:val="20"/>
                <w:szCs w:val="20"/>
                <w:lang w:eastAsia="sr-Latn-ME"/>
              </w:rPr>
            </w:pPr>
          </w:p>
        </w:tc>
        <w:tc>
          <w:tcPr>
            <w:tcW w:w="783"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vAlign w:val="center"/>
          </w:tcPr>
          <w:p w14:paraId="3D4D4E6C" w14:textId="77777777" w:rsidR="00FD6E82" w:rsidRPr="000152CB" w:rsidRDefault="00FD6E82" w:rsidP="00FD6E82">
            <w:pPr>
              <w:spacing w:after="0" w:line="240" w:lineRule="auto"/>
              <w:ind w:left="270"/>
              <w:jc w:val="center"/>
              <w:rPr>
                <w:rFonts w:eastAsia="Times New Roman" w:cs="Calibri"/>
                <w:b/>
                <w:sz w:val="20"/>
                <w:szCs w:val="20"/>
                <w:lang w:eastAsia="sr-Latn-ME"/>
              </w:rPr>
            </w:pPr>
          </w:p>
        </w:tc>
        <w:tc>
          <w:tcPr>
            <w:tcW w:w="83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59C64F30" w14:textId="77777777" w:rsidR="00FD6E82" w:rsidRPr="000152CB" w:rsidRDefault="00FD6E82" w:rsidP="00FD6E82">
            <w:pPr>
              <w:spacing w:after="0" w:line="240" w:lineRule="auto"/>
              <w:ind w:left="270"/>
              <w:jc w:val="center"/>
              <w:rPr>
                <w:rFonts w:eastAsia="Times New Roman" w:cs="Calibri"/>
                <w:b/>
                <w:sz w:val="20"/>
                <w:szCs w:val="20"/>
                <w:lang w:eastAsia="sr-Latn-ME"/>
              </w:rPr>
            </w:pPr>
          </w:p>
        </w:tc>
        <w:tc>
          <w:tcPr>
            <w:tcW w:w="764"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27D8C8FE" w14:textId="77777777" w:rsidR="00FD6E82" w:rsidRPr="000152CB" w:rsidRDefault="00FD6E82" w:rsidP="00FD6E82">
            <w:pPr>
              <w:spacing w:after="0" w:line="240" w:lineRule="auto"/>
              <w:ind w:left="270"/>
              <w:jc w:val="center"/>
              <w:rPr>
                <w:rFonts w:eastAsia="Times New Roman" w:cs="Calibri"/>
                <w:b/>
                <w:sz w:val="20"/>
                <w:szCs w:val="20"/>
                <w:lang w:eastAsia="sr-Latn-ME"/>
              </w:rPr>
            </w:pPr>
          </w:p>
        </w:tc>
        <w:tc>
          <w:tcPr>
            <w:tcW w:w="1357" w:type="dxa"/>
            <w:vMerge/>
            <w:tcBorders>
              <w:left w:val="single" w:sz="4" w:space="0" w:color="000000"/>
              <w:bottom w:val="single" w:sz="4" w:space="0" w:color="000000"/>
              <w:right w:val="single" w:sz="4" w:space="0" w:color="000000"/>
            </w:tcBorders>
            <w:shd w:val="clear" w:color="auto" w:fill="D9E2F3" w:themeFill="accent1" w:themeFillTint="33"/>
            <w:vAlign w:val="center"/>
          </w:tcPr>
          <w:p w14:paraId="42A388F9" w14:textId="77777777" w:rsidR="00FD6E82" w:rsidRPr="000152CB" w:rsidRDefault="00FD6E82" w:rsidP="00FD6E82">
            <w:pPr>
              <w:spacing w:after="0" w:line="240" w:lineRule="auto"/>
              <w:ind w:left="270"/>
              <w:jc w:val="center"/>
              <w:rPr>
                <w:rFonts w:eastAsia="Times New Roman" w:cs="Calibri"/>
                <w:b/>
                <w:color w:val="000000"/>
                <w:sz w:val="20"/>
                <w:szCs w:val="20"/>
                <w:lang w:eastAsia="sr-Latn-ME"/>
              </w:rPr>
            </w:pPr>
          </w:p>
        </w:tc>
        <w:tc>
          <w:tcPr>
            <w:tcW w:w="1387" w:type="dxa"/>
            <w:gridSpan w:val="2"/>
            <w:vMerge/>
            <w:tcBorders>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16CA83FD" w14:textId="77777777" w:rsidR="00FD6E82" w:rsidRPr="000152CB" w:rsidRDefault="00FD6E82" w:rsidP="00FD6E82">
            <w:pPr>
              <w:spacing w:after="0" w:line="240" w:lineRule="auto"/>
              <w:ind w:left="270"/>
              <w:jc w:val="center"/>
              <w:rPr>
                <w:rFonts w:eastAsia="Times New Roman" w:cs="Calibri"/>
                <w:b/>
                <w:color w:val="000000"/>
                <w:sz w:val="20"/>
                <w:szCs w:val="20"/>
                <w:lang w:eastAsia="sr-Latn-ME"/>
              </w:rPr>
            </w:pPr>
          </w:p>
        </w:tc>
        <w:tc>
          <w:tcPr>
            <w:tcW w:w="1468" w:type="dxa"/>
            <w:vMerge/>
            <w:tcBorders>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723637FB" w14:textId="77777777" w:rsidR="00FD6E82" w:rsidRPr="000152CB" w:rsidRDefault="00FD6E82" w:rsidP="00FD6E82">
            <w:pPr>
              <w:spacing w:after="0" w:line="240" w:lineRule="auto"/>
              <w:ind w:left="270"/>
              <w:jc w:val="center"/>
              <w:rPr>
                <w:rFonts w:eastAsia="Times New Roman" w:cs="Calibri"/>
                <w:b/>
                <w:color w:val="000000"/>
                <w:sz w:val="20"/>
                <w:szCs w:val="20"/>
                <w:lang w:eastAsia="sr-Latn-ME"/>
              </w:rPr>
            </w:pPr>
          </w:p>
        </w:tc>
        <w:tc>
          <w:tcPr>
            <w:tcW w:w="1864" w:type="dxa"/>
            <w:vMerge/>
            <w:tcBorders>
              <w:left w:val="single" w:sz="4" w:space="0" w:color="000000"/>
              <w:bottom w:val="single" w:sz="4" w:space="0" w:color="000000"/>
              <w:right w:val="single" w:sz="4" w:space="0" w:color="000000"/>
            </w:tcBorders>
            <w:shd w:val="clear" w:color="auto" w:fill="D9E2F3" w:themeFill="accent1" w:themeFillTint="33"/>
            <w:vAlign w:val="center"/>
          </w:tcPr>
          <w:p w14:paraId="250E856E" w14:textId="77777777" w:rsidR="00FD6E82" w:rsidRPr="000152CB" w:rsidRDefault="00FD6E82" w:rsidP="00FD6E82">
            <w:pPr>
              <w:spacing w:after="0" w:line="240" w:lineRule="auto"/>
              <w:ind w:left="270"/>
              <w:jc w:val="center"/>
              <w:rPr>
                <w:rFonts w:eastAsia="Times New Roman" w:cs="Calibri"/>
                <w:b/>
                <w:color w:val="000000"/>
                <w:sz w:val="20"/>
                <w:szCs w:val="20"/>
                <w:lang w:eastAsia="sr-Latn-ME"/>
              </w:rPr>
            </w:pPr>
          </w:p>
        </w:tc>
      </w:tr>
      <w:tr w:rsidR="00DE6D8E" w:rsidRPr="000152CB" w14:paraId="0A7A245A" w14:textId="77777777" w:rsidTr="00DE6D8E">
        <w:trPr>
          <w:trHeight w:val="585"/>
          <w:jc w:val="center"/>
        </w:trPr>
        <w:tc>
          <w:tcPr>
            <w:tcW w:w="3324"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5A176302" w14:textId="77777777" w:rsidR="00DE6D8E" w:rsidRPr="000152CB" w:rsidRDefault="00DE6D8E" w:rsidP="00DE6D8E">
            <w:pPr>
              <w:spacing w:line="240" w:lineRule="auto"/>
              <w:textAlignment w:val="baseline"/>
              <w:rPr>
                <w:rFonts w:eastAsia="Times New Roman" w:cs="Calibri"/>
                <w:color w:val="000000"/>
                <w:sz w:val="20"/>
                <w:szCs w:val="20"/>
                <w:lang w:eastAsia="sr-Latn-ME"/>
              </w:rPr>
            </w:pPr>
            <w:r w:rsidRPr="000152CB">
              <w:rPr>
                <w:rFonts w:eastAsia="Times New Roman" w:cs="Calibri"/>
                <w:color w:val="000000"/>
                <w:sz w:val="20"/>
                <w:szCs w:val="20"/>
                <w:lang w:eastAsia="sr-Latn-ME"/>
              </w:rPr>
              <w:t>3.2.1. Jačanje infrastrukure zdravstvenih ustanova u cilju unapređenja zdravstvene zaštite</w:t>
            </w:r>
          </w:p>
        </w:tc>
        <w:tc>
          <w:tcPr>
            <w:tcW w:w="2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3E1E04" w14:textId="77777777" w:rsidR="00DE6D8E" w:rsidRPr="000152CB" w:rsidRDefault="00DE6D8E" w:rsidP="00DE6D8E">
            <w:pPr>
              <w:spacing w:after="0" w:line="240" w:lineRule="auto"/>
              <w:rPr>
                <w:rFonts w:eastAsia="Times New Roman" w:cs="Calibri"/>
                <w:sz w:val="20"/>
                <w:szCs w:val="20"/>
                <w:lang w:eastAsia="sr-Latn-ME"/>
              </w:rPr>
            </w:pPr>
            <w:r w:rsidRPr="000152CB">
              <w:rPr>
                <w:sz w:val="20"/>
                <w:szCs w:val="20"/>
              </w:rPr>
              <w:t xml:space="preserve">Izgrađena i stavljena u finkciju Klinika za infektivne bolesti i </w:t>
            </w:r>
            <w:r w:rsidRPr="000152CB">
              <w:rPr>
                <w:sz w:val="20"/>
                <w:szCs w:val="20"/>
              </w:rPr>
              <w:lastRenderedPageBreak/>
              <w:t>Klinikaza dermatovenerologiju</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125492" w14:textId="77777777" w:rsidR="00DE6D8E" w:rsidRPr="000152CB" w:rsidRDefault="00DE6D8E" w:rsidP="00DE6D8E">
            <w:pPr>
              <w:spacing w:after="0" w:line="240" w:lineRule="auto"/>
              <w:rPr>
                <w:rFonts w:eastAsia="Times New Roman" w:cs="Calibri"/>
                <w:sz w:val="20"/>
                <w:szCs w:val="20"/>
                <w:lang w:eastAsia="sr-Latn-ME"/>
              </w:rPr>
            </w:pPr>
            <w:r w:rsidRPr="000152CB">
              <w:rPr>
                <w:rFonts w:eastAsia="Times New Roman" w:cs="Calibri"/>
                <w:sz w:val="20"/>
                <w:szCs w:val="20"/>
                <w:lang w:eastAsia="sr-Latn-ME"/>
              </w:rPr>
              <w:lastRenderedPageBreak/>
              <w:t>MZ, KCCG, UKP</w:t>
            </w:r>
          </w:p>
        </w:tc>
        <w:tc>
          <w:tcPr>
            <w:tcW w:w="2386" w:type="dxa"/>
            <w:gridSpan w:val="3"/>
            <w:tcBorders>
              <w:top w:val="single" w:sz="4" w:space="0" w:color="auto"/>
              <w:left w:val="single" w:sz="4" w:space="0" w:color="auto"/>
              <w:bottom w:val="single" w:sz="4" w:space="0" w:color="auto"/>
              <w:right w:val="single" w:sz="4" w:space="0" w:color="auto"/>
            </w:tcBorders>
            <w:shd w:val="clear" w:color="auto" w:fill="92D050"/>
            <w:tcMar>
              <w:top w:w="0" w:type="dxa"/>
              <w:left w:w="108" w:type="dxa"/>
              <w:bottom w:w="0" w:type="dxa"/>
              <w:right w:w="108" w:type="dxa"/>
            </w:tcMar>
            <w:vAlign w:val="center"/>
          </w:tcPr>
          <w:p w14:paraId="1A434C11" w14:textId="3C02E09A" w:rsidR="00DE6D8E" w:rsidRPr="000152CB" w:rsidRDefault="00DE6D8E" w:rsidP="00DE6D8E">
            <w:pPr>
              <w:spacing w:after="0" w:line="240" w:lineRule="auto"/>
              <w:rPr>
                <w:rFonts w:eastAsia="Times New Roman" w:cstheme="minorHAnsi"/>
                <w:sz w:val="20"/>
                <w:szCs w:val="20"/>
                <w:lang w:eastAsia="sr-Latn-ME"/>
              </w:rPr>
            </w:pPr>
            <w:r w:rsidRPr="000152CB">
              <w:rPr>
                <w:rFonts w:cstheme="minorHAnsi"/>
                <w:color w:val="000000"/>
                <w:sz w:val="20"/>
                <w:szCs w:val="20"/>
              </w:rPr>
              <w:t xml:space="preserve">19.12.2024. godine je otvorena  Klinika za  infektivne bolesti i </w:t>
            </w:r>
            <w:r w:rsidRPr="000152CB">
              <w:rPr>
                <w:rFonts w:cstheme="minorHAnsi"/>
                <w:color w:val="000000"/>
                <w:sz w:val="20"/>
                <w:szCs w:val="20"/>
              </w:rPr>
              <w:lastRenderedPageBreak/>
              <w:t>Klinika za dermatovenerologiju. Klinike su stavljene u funkciju.</w:t>
            </w:r>
          </w:p>
        </w:tc>
        <w:tc>
          <w:tcPr>
            <w:tcW w:w="1357" w:type="dxa"/>
            <w:tcBorders>
              <w:top w:val="single" w:sz="4" w:space="0" w:color="000000"/>
              <w:left w:val="single" w:sz="4" w:space="0" w:color="000000"/>
              <w:bottom w:val="single" w:sz="4" w:space="0" w:color="000000"/>
              <w:right w:val="single" w:sz="4" w:space="0" w:color="000000"/>
            </w:tcBorders>
          </w:tcPr>
          <w:p w14:paraId="22C9F8A7" w14:textId="77777777" w:rsidR="00DE6D8E" w:rsidRPr="000152CB" w:rsidRDefault="00DE6D8E" w:rsidP="00DE6D8E">
            <w:pPr>
              <w:spacing w:after="0" w:line="240" w:lineRule="auto"/>
              <w:rPr>
                <w:rFonts w:eastAsia="Times New Roman" w:cs="Calibri"/>
                <w:sz w:val="20"/>
                <w:szCs w:val="20"/>
                <w:lang w:eastAsia="sr-Latn-ME"/>
              </w:rPr>
            </w:pPr>
            <w:r w:rsidRPr="000152CB">
              <w:rPr>
                <w:rFonts w:eastAsia="Times New Roman" w:cs="Calibri"/>
                <w:sz w:val="20"/>
                <w:szCs w:val="20"/>
                <w:lang w:eastAsia="sr-Latn-ME"/>
              </w:rPr>
              <w:lastRenderedPageBreak/>
              <w:t xml:space="preserve"> IQ 2023-III Q2024</w:t>
            </w:r>
          </w:p>
        </w:tc>
        <w:tc>
          <w:tcPr>
            <w:tcW w:w="138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54D54B" w14:textId="39D5F6A0" w:rsidR="00DE6D8E" w:rsidRPr="000152CB" w:rsidRDefault="00DE6D8E" w:rsidP="00DE6D8E">
            <w:pPr>
              <w:spacing w:after="0" w:line="240" w:lineRule="auto"/>
              <w:rPr>
                <w:rFonts w:eastAsia="Times New Roman" w:cs="Calibri"/>
                <w:sz w:val="20"/>
                <w:szCs w:val="20"/>
                <w:lang w:eastAsia="sr-Latn-ME"/>
              </w:rPr>
            </w:pPr>
            <w:r w:rsidRPr="000152CB">
              <w:rPr>
                <w:rFonts w:eastAsia="Times New Roman" w:cs="Calibri"/>
                <w:sz w:val="20"/>
                <w:szCs w:val="20"/>
                <w:lang w:eastAsia="sr-Latn-ME"/>
              </w:rPr>
              <w:t xml:space="preserve">Planirana sredstva: </w:t>
            </w:r>
            <w:r w:rsidRPr="000152CB">
              <w:rPr>
                <w:rFonts w:eastAsia="Times New Roman" w:cs="Calibri"/>
                <w:sz w:val="20"/>
                <w:szCs w:val="20"/>
                <w:lang w:eastAsia="sr-Latn-ME"/>
              </w:rPr>
              <w:lastRenderedPageBreak/>
              <w:t>8.833.068,76</w:t>
            </w:r>
            <w:r w:rsidR="00B9347E" w:rsidRPr="000152CB">
              <w:rPr>
                <w:rFonts w:eastAsia="Times New Roman" w:cs="Calibri"/>
                <w:sz w:val="20"/>
                <w:szCs w:val="20"/>
                <w:lang w:eastAsia="sr-Latn-ME"/>
              </w:rPr>
              <w:t xml:space="preserve"> eura</w:t>
            </w:r>
          </w:p>
          <w:p w14:paraId="068761AF" w14:textId="77777777" w:rsidR="00DE6D8E" w:rsidRPr="000152CB" w:rsidRDefault="00DE6D8E" w:rsidP="00DE6D8E">
            <w:pPr>
              <w:spacing w:after="0" w:line="240" w:lineRule="auto"/>
              <w:rPr>
                <w:rFonts w:eastAsia="Times New Roman" w:cs="Calibri"/>
                <w:sz w:val="20"/>
                <w:szCs w:val="20"/>
                <w:lang w:eastAsia="sr-Latn-ME"/>
              </w:rPr>
            </w:pPr>
          </w:p>
          <w:p w14:paraId="12BB3C56" w14:textId="21BB5043" w:rsidR="00DE6D8E" w:rsidRPr="000152CB" w:rsidRDefault="00DE6D8E" w:rsidP="00DE6D8E">
            <w:pPr>
              <w:spacing w:after="0" w:line="240" w:lineRule="auto"/>
              <w:rPr>
                <w:rFonts w:eastAsia="Times New Roman" w:cs="Calibri"/>
                <w:sz w:val="20"/>
                <w:szCs w:val="20"/>
                <w:lang w:eastAsia="sr-Latn-ME"/>
              </w:rPr>
            </w:pPr>
            <w:r w:rsidRPr="000152CB">
              <w:rPr>
                <w:rFonts w:eastAsia="Times New Roman" w:cs="Calibri"/>
                <w:sz w:val="20"/>
                <w:szCs w:val="20"/>
                <w:lang w:eastAsia="sr-Latn-ME"/>
              </w:rPr>
              <w:t>Utrošena sredstva:</w:t>
            </w:r>
            <w:r w:rsidR="00B9347E" w:rsidRPr="000152CB">
              <w:rPr>
                <w:rFonts w:eastAsia="Times New Roman" w:cs="Calibri"/>
                <w:sz w:val="20"/>
                <w:szCs w:val="20"/>
                <w:lang w:eastAsia="sr-Latn-ME"/>
              </w:rPr>
              <w:t xml:space="preserve"> 8.833.068,76 eura</w:t>
            </w:r>
          </w:p>
          <w:p w14:paraId="340666D7" w14:textId="77777777" w:rsidR="00DE6D8E" w:rsidRPr="000152CB" w:rsidRDefault="00DE6D8E" w:rsidP="00DE6D8E">
            <w:pPr>
              <w:spacing w:after="0" w:line="240" w:lineRule="auto"/>
              <w:rPr>
                <w:rFonts w:eastAsia="Times New Roman" w:cs="Calibri"/>
                <w:sz w:val="20"/>
                <w:szCs w:val="20"/>
                <w:lang w:eastAsia="sr-Latn-ME"/>
              </w:rPr>
            </w:pPr>
          </w:p>
        </w:tc>
        <w:tc>
          <w:tcPr>
            <w:tcW w:w="1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A41766" w14:textId="77777777" w:rsidR="00DE6D8E" w:rsidRPr="000152CB" w:rsidRDefault="00DE6D8E" w:rsidP="00DE6D8E">
            <w:pPr>
              <w:spacing w:after="0" w:line="240" w:lineRule="auto"/>
              <w:rPr>
                <w:rFonts w:eastAsia="Times New Roman" w:cs="Calibri"/>
                <w:sz w:val="20"/>
                <w:szCs w:val="20"/>
                <w:lang w:eastAsia="sr-Latn-ME"/>
              </w:rPr>
            </w:pPr>
            <w:r w:rsidRPr="000152CB">
              <w:rPr>
                <w:rFonts w:eastAsia="Times New Roman" w:cs="Calibri"/>
                <w:sz w:val="20"/>
                <w:szCs w:val="20"/>
                <w:lang w:eastAsia="sr-Latn-ME"/>
              </w:rPr>
              <w:lastRenderedPageBreak/>
              <w:t>IPA fondovi</w:t>
            </w:r>
          </w:p>
        </w:tc>
        <w:tc>
          <w:tcPr>
            <w:tcW w:w="1864" w:type="dxa"/>
            <w:tcBorders>
              <w:top w:val="single" w:sz="4" w:space="0" w:color="000000"/>
              <w:left w:val="single" w:sz="4" w:space="0" w:color="000000"/>
              <w:bottom w:val="single" w:sz="4" w:space="0" w:color="000000"/>
              <w:right w:val="single" w:sz="4" w:space="0" w:color="000000"/>
            </w:tcBorders>
          </w:tcPr>
          <w:p w14:paraId="5622A754" w14:textId="77777777" w:rsidR="00DE6D8E" w:rsidRPr="000152CB" w:rsidRDefault="00DE6D8E" w:rsidP="00DE6D8E">
            <w:pPr>
              <w:spacing w:after="0" w:line="240" w:lineRule="auto"/>
              <w:rPr>
                <w:rFonts w:eastAsia="Times New Roman" w:cs="Calibri"/>
                <w:sz w:val="20"/>
                <w:szCs w:val="20"/>
                <w:lang w:eastAsia="sr-Latn-ME"/>
              </w:rPr>
            </w:pPr>
          </w:p>
        </w:tc>
      </w:tr>
      <w:tr w:rsidR="00DE6D8E" w:rsidRPr="000152CB" w14:paraId="0A511CEB" w14:textId="77777777" w:rsidTr="00DE6D8E">
        <w:trPr>
          <w:trHeight w:val="585"/>
          <w:jc w:val="center"/>
        </w:trPr>
        <w:tc>
          <w:tcPr>
            <w:tcW w:w="3324" w:type="dxa"/>
            <w:vMerge/>
            <w:tcBorders>
              <w:left w:val="single" w:sz="4" w:space="0" w:color="000000"/>
              <w:right w:val="single" w:sz="4" w:space="0" w:color="000000"/>
            </w:tcBorders>
            <w:tcMar>
              <w:top w:w="0" w:type="dxa"/>
              <w:left w:w="108" w:type="dxa"/>
              <w:bottom w:w="0" w:type="dxa"/>
              <w:right w:w="108" w:type="dxa"/>
            </w:tcMar>
          </w:tcPr>
          <w:p w14:paraId="0AD13437" w14:textId="77777777" w:rsidR="00DE6D8E" w:rsidRPr="000152CB" w:rsidRDefault="00DE6D8E" w:rsidP="00DE6D8E">
            <w:pPr>
              <w:spacing w:line="240" w:lineRule="auto"/>
              <w:ind w:left="270"/>
              <w:textAlignment w:val="baseline"/>
              <w:rPr>
                <w:rFonts w:eastAsia="Times New Roman" w:cs="Calibri"/>
                <w:color w:val="000000"/>
                <w:sz w:val="20"/>
                <w:szCs w:val="20"/>
                <w:lang w:eastAsia="sr-Latn-ME"/>
              </w:rPr>
            </w:pPr>
          </w:p>
        </w:tc>
        <w:tc>
          <w:tcPr>
            <w:tcW w:w="2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CCD935" w14:textId="77777777" w:rsidR="00DE6D8E" w:rsidRPr="000152CB" w:rsidRDefault="00DE6D8E" w:rsidP="00DE6D8E">
            <w:pPr>
              <w:spacing w:after="0" w:line="240" w:lineRule="auto"/>
              <w:rPr>
                <w:rFonts w:eastAsia="Times New Roman" w:cs="Calibri"/>
                <w:sz w:val="20"/>
                <w:szCs w:val="20"/>
                <w:lang w:eastAsia="sr-Latn-ME"/>
              </w:rPr>
            </w:pPr>
            <w:r w:rsidRPr="000152CB">
              <w:rPr>
                <w:sz w:val="20"/>
                <w:szCs w:val="20"/>
              </w:rPr>
              <w:t>Izgrađena i stavljena u funkciju   Klinika za mentalno zdravlje</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B574B6" w14:textId="77777777" w:rsidR="00DE6D8E" w:rsidRPr="000152CB" w:rsidRDefault="00DE6D8E" w:rsidP="00DE6D8E">
            <w:pPr>
              <w:spacing w:after="0" w:line="240" w:lineRule="auto"/>
              <w:rPr>
                <w:rFonts w:eastAsia="Times New Roman" w:cs="Calibri"/>
                <w:sz w:val="20"/>
                <w:szCs w:val="20"/>
                <w:lang w:eastAsia="sr-Latn-ME"/>
              </w:rPr>
            </w:pPr>
            <w:r w:rsidRPr="000152CB">
              <w:rPr>
                <w:rFonts w:eastAsia="Times New Roman" w:cs="Calibri"/>
                <w:sz w:val="20"/>
                <w:szCs w:val="20"/>
                <w:lang w:eastAsia="sr-Latn-ME"/>
              </w:rPr>
              <w:t>MZ, KCCG, UKP</w:t>
            </w:r>
          </w:p>
        </w:tc>
        <w:tc>
          <w:tcPr>
            <w:tcW w:w="2386" w:type="dxa"/>
            <w:gridSpan w:val="3"/>
            <w:tcBorders>
              <w:top w:val="nil"/>
              <w:left w:val="single" w:sz="4" w:space="0" w:color="auto"/>
              <w:bottom w:val="single" w:sz="4" w:space="0" w:color="auto"/>
              <w:right w:val="single" w:sz="4" w:space="0" w:color="auto"/>
            </w:tcBorders>
            <w:shd w:val="clear" w:color="auto" w:fill="92D050"/>
            <w:tcMar>
              <w:top w:w="0" w:type="dxa"/>
              <w:left w:w="108" w:type="dxa"/>
              <w:bottom w:w="0" w:type="dxa"/>
              <w:right w:w="108" w:type="dxa"/>
            </w:tcMar>
            <w:vAlign w:val="bottom"/>
          </w:tcPr>
          <w:p w14:paraId="0B4B3546" w14:textId="556F3AE7" w:rsidR="00DE6D8E" w:rsidRPr="000152CB" w:rsidRDefault="00DE6D8E" w:rsidP="00DE6D8E">
            <w:pPr>
              <w:spacing w:after="0" w:line="240" w:lineRule="auto"/>
              <w:rPr>
                <w:rFonts w:eastAsia="Times New Roman" w:cstheme="minorHAnsi"/>
                <w:sz w:val="20"/>
                <w:szCs w:val="20"/>
                <w:lang w:eastAsia="sr-Latn-ME"/>
              </w:rPr>
            </w:pPr>
            <w:r w:rsidRPr="000152CB">
              <w:rPr>
                <w:rFonts w:cstheme="minorHAnsi"/>
                <w:color w:val="000000"/>
                <w:sz w:val="20"/>
                <w:szCs w:val="20"/>
              </w:rPr>
              <w:t>Radovi na novoj klinici za mentalno zdravlje (psihijatriju) su otpoceli krajem jula 2022. godine. Ukupna ugovorena vrijednost projekta izgradnje i opremanja je 7,314,390.72€. Novi objekat Klinike za psihijatriju u sklopu Kliničkog centra Crne Gore, otvoren ja 18.09.2024. u Podgorici</w:t>
            </w:r>
          </w:p>
        </w:tc>
        <w:tc>
          <w:tcPr>
            <w:tcW w:w="1357" w:type="dxa"/>
            <w:tcBorders>
              <w:top w:val="single" w:sz="4" w:space="0" w:color="000000"/>
              <w:left w:val="single" w:sz="4" w:space="0" w:color="000000"/>
              <w:bottom w:val="single" w:sz="4" w:space="0" w:color="000000"/>
              <w:right w:val="single" w:sz="4" w:space="0" w:color="000000"/>
            </w:tcBorders>
          </w:tcPr>
          <w:p w14:paraId="5F477906" w14:textId="77777777" w:rsidR="00DE6D8E" w:rsidRPr="000152CB" w:rsidRDefault="00DE6D8E" w:rsidP="00DE6D8E">
            <w:pPr>
              <w:spacing w:after="0" w:line="240" w:lineRule="auto"/>
              <w:rPr>
                <w:rFonts w:eastAsia="Times New Roman" w:cs="Calibri"/>
                <w:sz w:val="20"/>
                <w:szCs w:val="20"/>
                <w:lang w:eastAsia="sr-Latn-ME"/>
              </w:rPr>
            </w:pPr>
            <w:r w:rsidRPr="000152CB">
              <w:rPr>
                <w:rFonts w:eastAsia="Times New Roman" w:cs="Calibri"/>
                <w:sz w:val="20"/>
                <w:szCs w:val="20"/>
                <w:lang w:eastAsia="sr-Latn-ME"/>
              </w:rPr>
              <w:t xml:space="preserve">  IIIQ 2022-IQ 2024</w:t>
            </w:r>
          </w:p>
        </w:tc>
        <w:tc>
          <w:tcPr>
            <w:tcW w:w="138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FAB6AB" w14:textId="29EAF553" w:rsidR="00DE6D8E" w:rsidRPr="000152CB" w:rsidRDefault="00DE6D8E" w:rsidP="00DE6D8E">
            <w:pPr>
              <w:spacing w:after="0" w:line="240" w:lineRule="auto"/>
              <w:rPr>
                <w:rFonts w:eastAsia="Times New Roman" w:cs="Calibri"/>
                <w:sz w:val="20"/>
                <w:szCs w:val="20"/>
                <w:lang w:eastAsia="sr-Latn-ME"/>
              </w:rPr>
            </w:pPr>
            <w:r w:rsidRPr="000152CB">
              <w:rPr>
                <w:rFonts w:eastAsia="Times New Roman" w:cs="Calibri"/>
                <w:sz w:val="20"/>
                <w:szCs w:val="20"/>
                <w:lang w:eastAsia="sr-Latn-ME"/>
              </w:rPr>
              <w:t>Planirana sredstva: 7.134.390,72</w:t>
            </w:r>
            <w:r w:rsidR="00B9347E" w:rsidRPr="000152CB">
              <w:rPr>
                <w:rFonts w:eastAsia="Times New Roman" w:cs="Calibri"/>
                <w:sz w:val="20"/>
                <w:szCs w:val="20"/>
                <w:lang w:eastAsia="sr-Latn-ME"/>
              </w:rPr>
              <w:t xml:space="preserve"> eura</w:t>
            </w:r>
          </w:p>
          <w:p w14:paraId="543E8FA4" w14:textId="77777777" w:rsidR="00DE6D8E" w:rsidRPr="000152CB" w:rsidRDefault="00DE6D8E" w:rsidP="00DE6D8E">
            <w:pPr>
              <w:spacing w:after="0" w:line="240" w:lineRule="auto"/>
              <w:rPr>
                <w:rFonts w:eastAsia="Times New Roman" w:cs="Calibri"/>
                <w:sz w:val="20"/>
                <w:szCs w:val="20"/>
                <w:lang w:eastAsia="sr-Latn-ME"/>
              </w:rPr>
            </w:pPr>
          </w:p>
          <w:p w14:paraId="7F197864" w14:textId="7FA90826" w:rsidR="00DE6D8E" w:rsidRPr="000152CB" w:rsidRDefault="00DE6D8E" w:rsidP="00DE6D8E">
            <w:pPr>
              <w:spacing w:after="0" w:line="240" w:lineRule="auto"/>
              <w:rPr>
                <w:rFonts w:eastAsia="Times New Roman" w:cs="Calibri"/>
                <w:sz w:val="20"/>
                <w:szCs w:val="20"/>
                <w:lang w:eastAsia="sr-Latn-ME"/>
              </w:rPr>
            </w:pPr>
            <w:r w:rsidRPr="000152CB">
              <w:rPr>
                <w:rFonts w:eastAsia="Times New Roman" w:cs="Calibri"/>
                <w:sz w:val="20"/>
                <w:szCs w:val="20"/>
                <w:lang w:eastAsia="sr-Latn-ME"/>
              </w:rPr>
              <w:t>Utrošena sredstva:</w:t>
            </w:r>
            <w:r w:rsidR="00B9347E" w:rsidRPr="000152CB">
              <w:rPr>
                <w:rFonts w:eastAsia="Times New Roman" w:cs="Calibri"/>
                <w:sz w:val="20"/>
                <w:szCs w:val="20"/>
                <w:lang w:eastAsia="sr-Latn-ME"/>
              </w:rPr>
              <w:t xml:space="preserve"> 7.134.390,72 eura</w:t>
            </w:r>
          </w:p>
          <w:p w14:paraId="0F2C9129" w14:textId="77777777" w:rsidR="00DE6D8E" w:rsidRPr="000152CB" w:rsidRDefault="00DE6D8E" w:rsidP="00DE6D8E">
            <w:pPr>
              <w:spacing w:after="0" w:line="240" w:lineRule="auto"/>
              <w:rPr>
                <w:rFonts w:eastAsia="Times New Roman" w:cs="Calibri"/>
                <w:sz w:val="20"/>
                <w:szCs w:val="20"/>
                <w:lang w:eastAsia="sr-Latn-ME"/>
              </w:rPr>
            </w:pPr>
          </w:p>
        </w:tc>
        <w:tc>
          <w:tcPr>
            <w:tcW w:w="1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C99D0C" w14:textId="77777777" w:rsidR="00DE6D8E" w:rsidRPr="000152CB" w:rsidRDefault="00DE6D8E" w:rsidP="00DE6D8E">
            <w:pPr>
              <w:spacing w:after="0" w:line="240" w:lineRule="auto"/>
              <w:rPr>
                <w:rFonts w:eastAsia="Times New Roman" w:cs="Calibri"/>
                <w:sz w:val="20"/>
                <w:szCs w:val="20"/>
                <w:lang w:eastAsia="sr-Latn-ME"/>
              </w:rPr>
            </w:pPr>
            <w:r w:rsidRPr="000152CB">
              <w:rPr>
                <w:rFonts w:eastAsia="Times New Roman" w:cs="Calibri"/>
                <w:sz w:val="20"/>
                <w:szCs w:val="20"/>
                <w:lang w:eastAsia="sr-Latn-ME"/>
              </w:rPr>
              <w:t>Kapitalni budžet države</w:t>
            </w:r>
          </w:p>
        </w:tc>
        <w:tc>
          <w:tcPr>
            <w:tcW w:w="1864" w:type="dxa"/>
            <w:tcBorders>
              <w:top w:val="single" w:sz="4" w:space="0" w:color="000000"/>
              <w:left w:val="single" w:sz="4" w:space="0" w:color="000000"/>
              <w:bottom w:val="single" w:sz="4" w:space="0" w:color="000000"/>
              <w:right w:val="single" w:sz="4" w:space="0" w:color="000000"/>
            </w:tcBorders>
          </w:tcPr>
          <w:p w14:paraId="409AB651" w14:textId="77777777" w:rsidR="00DE6D8E" w:rsidRPr="000152CB" w:rsidRDefault="00DE6D8E" w:rsidP="00DE6D8E">
            <w:pPr>
              <w:spacing w:after="0" w:line="240" w:lineRule="auto"/>
              <w:rPr>
                <w:rFonts w:eastAsia="Times New Roman" w:cs="Calibri"/>
                <w:sz w:val="20"/>
                <w:szCs w:val="20"/>
                <w:lang w:eastAsia="sr-Latn-ME"/>
              </w:rPr>
            </w:pPr>
          </w:p>
        </w:tc>
      </w:tr>
      <w:tr w:rsidR="00DE6D8E" w:rsidRPr="000152CB" w14:paraId="15983E60" w14:textId="77777777" w:rsidTr="00DE6D8E">
        <w:trPr>
          <w:trHeight w:val="585"/>
          <w:jc w:val="center"/>
        </w:trPr>
        <w:tc>
          <w:tcPr>
            <w:tcW w:w="3324" w:type="dxa"/>
            <w:vMerge/>
            <w:tcBorders>
              <w:left w:val="single" w:sz="4" w:space="0" w:color="000000"/>
              <w:right w:val="single" w:sz="4" w:space="0" w:color="000000"/>
            </w:tcBorders>
            <w:tcMar>
              <w:top w:w="0" w:type="dxa"/>
              <w:left w:w="108" w:type="dxa"/>
              <w:bottom w:w="0" w:type="dxa"/>
              <w:right w:w="108" w:type="dxa"/>
            </w:tcMar>
          </w:tcPr>
          <w:p w14:paraId="64CF0E87" w14:textId="77777777" w:rsidR="00DE6D8E" w:rsidRPr="000152CB" w:rsidRDefault="00DE6D8E" w:rsidP="00DE6D8E">
            <w:pPr>
              <w:spacing w:line="240" w:lineRule="auto"/>
              <w:ind w:left="270"/>
              <w:textAlignment w:val="baseline"/>
              <w:rPr>
                <w:rFonts w:eastAsia="Times New Roman" w:cs="Calibri"/>
                <w:color w:val="000000"/>
                <w:sz w:val="20"/>
                <w:szCs w:val="20"/>
                <w:lang w:eastAsia="sr-Latn-ME"/>
              </w:rPr>
            </w:pPr>
          </w:p>
        </w:tc>
        <w:tc>
          <w:tcPr>
            <w:tcW w:w="2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6D42DB" w14:textId="77777777" w:rsidR="00DE6D8E" w:rsidRPr="000152CB" w:rsidRDefault="00DE6D8E" w:rsidP="00DE6D8E">
            <w:pPr>
              <w:spacing w:after="0" w:line="240" w:lineRule="auto"/>
              <w:rPr>
                <w:rFonts w:eastAsia="Times New Roman" w:cs="Calibri"/>
                <w:sz w:val="20"/>
                <w:szCs w:val="20"/>
                <w:lang w:eastAsia="sr-Latn-ME"/>
              </w:rPr>
            </w:pPr>
            <w:r w:rsidRPr="000152CB">
              <w:rPr>
                <w:rFonts w:cs="Calibri"/>
                <w:sz w:val="20"/>
                <w:szCs w:val="20"/>
              </w:rPr>
              <w:t>Izgrađen i stavljen u funkciju Centar za kontrolu i prevenciju zaraznih bolesti sa Operativnim cetrom za vanredne situacije i</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AAC863" w14:textId="77777777" w:rsidR="00DE6D8E" w:rsidRPr="000152CB" w:rsidRDefault="00DE6D8E" w:rsidP="00DE6D8E">
            <w:pPr>
              <w:spacing w:after="0" w:line="240" w:lineRule="auto"/>
              <w:rPr>
                <w:rFonts w:eastAsia="Times New Roman" w:cs="Calibri"/>
                <w:sz w:val="20"/>
                <w:szCs w:val="20"/>
                <w:lang w:eastAsia="sr-Latn-ME"/>
              </w:rPr>
            </w:pPr>
            <w:r w:rsidRPr="000152CB">
              <w:rPr>
                <w:rFonts w:eastAsia="Times New Roman" w:cs="Calibri"/>
                <w:sz w:val="20"/>
                <w:szCs w:val="20"/>
                <w:lang w:eastAsia="sr-Latn-ME"/>
              </w:rPr>
              <w:t>MZ, KCCG, UKP</w:t>
            </w:r>
          </w:p>
        </w:tc>
        <w:tc>
          <w:tcPr>
            <w:tcW w:w="2386" w:type="dxa"/>
            <w:gridSpan w:val="3"/>
            <w:tcBorders>
              <w:top w:val="nil"/>
              <w:left w:val="single" w:sz="4" w:space="0" w:color="auto"/>
              <w:bottom w:val="single" w:sz="4" w:space="0" w:color="auto"/>
              <w:right w:val="single" w:sz="4" w:space="0" w:color="auto"/>
            </w:tcBorders>
            <w:shd w:val="clear" w:color="auto" w:fill="92D050"/>
            <w:tcMar>
              <w:top w:w="0" w:type="dxa"/>
              <w:left w:w="108" w:type="dxa"/>
              <w:bottom w:w="0" w:type="dxa"/>
              <w:right w:w="108" w:type="dxa"/>
            </w:tcMar>
            <w:vAlign w:val="center"/>
          </w:tcPr>
          <w:p w14:paraId="2AD66F7C" w14:textId="27338A49" w:rsidR="00DE6D8E" w:rsidRPr="000152CB" w:rsidRDefault="00DE6D8E" w:rsidP="00DE6D8E">
            <w:pPr>
              <w:spacing w:after="0" w:line="240" w:lineRule="auto"/>
              <w:rPr>
                <w:rFonts w:eastAsia="Times New Roman" w:cstheme="minorHAnsi"/>
                <w:sz w:val="20"/>
                <w:szCs w:val="20"/>
                <w:lang w:eastAsia="sr-Latn-ME"/>
              </w:rPr>
            </w:pPr>
            <w:r w:rsidRPr="000152CB">
              <w:rPr>
                <w:rFonts w:cstheme="minorHAnsi"/>
                <w:color w:val="000000"/>
                <w:sz w:val="20"/>
                <w:szCs w:val="20"/>
              </w:rPr>
              <w:t xml:space="preserve">Izgradnja Centra za kontrolu i prevenciju zaraznih bolesti sa Operativnim centrom za vanredne situacije završena je u martu 2024. godine. </w:t>
            </w:r>
          </w:p>
        </w:tc>
        <w:tc>
          <w:tcPr>
            <w:tcW w:w="1357" w:type="dxa"/>
            <w:tcBorders>
              <w:top w:val="single" w:sz="4" w:space="0" w:color="000000"/>
              <w:left w:val="single" w:sz="4" w:space="0" w:color="000000"/>
              <w:bottom w:val="single" w:sz="4" w:space="0" w:color="000000"/>
              <w:right w:val="single" w:sz="4" w:space="0" w:color="000000"/>
            </w:tcBorders>
          </w:tcPr>
          <w:p w14:paraId="7F7FA2A3" w14:textId="77777777" w:rsidR="00DE6D8E" w:rsidRPr="000152CB" w:rsidRDefault="00DE6D8E" w:rsidP="00DE6D8E">
            <w:pPr>
              <w:spacing w:after="0" w:line="240" w:lineRule="auto"/>
              <w:rPr>
                <w:rFonts w:eastAsia="Times New Roman" w:cs="Calibri"/>
                <w:sz w:val="20"/>
                <w:szCs w:val="20"/>
                <w:lang w:eastAsia="sr-Latn-ME"/>
              </w:rPr>
            </w:pPr>
            <w:r w:rsidRPr="000152CB">
              <w:rPr>
                <w:rFonts w:eastAsia="Times New Roman" w:cs="Calibri"/>
                <w:sz w:val="20"/>
                <w:szCs w:val="20"/>
                <w:lang w:eastAsia="sr-Latn-ME"/>
              </w:rPr>
              <w:t xml:space="preserve">  IQ 2023-IQ 2024</w:t>
            </w:r>
          </w:p>
        </w:tc>
        <w:tc>
          <w:tcPr>
            <w:tcW w:w="138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8F4910" w14:textId="65E892C7" w:rsidR="00DE6D8E" w:rsidRPr="000152CB" w:rsidRDefault="00DE6D8E" w:rsidP="00DE6D8E">
            <w:pPr>
              <w:spacing w:after="0" w:line="240" w:lineRule="auto"/>
              <w:rPr>
                <w:rFonts w:eastAsia="Times New Roman" w:cs="Calibri"/>
                <w:sz w:val="20"/>
                <w:szCs w:val="20"/>
                <w:lang w:eastAsia="sr-Latn-ME"/>
              </w:rPr>
            </w:pPr>
            <w:r w:rsidRPr="000152CB">
              <w:rPr>
                <w:rFonts w:eastAsia="Times New Roman" w:cs="Calibri"/>
                <w:sz w:val="20"/>
                <w:szCs w:val="20"/>
                <w:lang w:eastAsia="sr-Latn-ME"/>
              </w:rPr>
              <w:t>Planirana sredstva: 2.193.991,25</w:t>
            </w:r>
            <w:r w:rsidR="00B9347E" w:rsidRPr="000152CB">
              <w:rPr>
                <w:rFonts w:eastAsia="Times New Roman" w:cs="Calibri"/>
                <w:sz w:val="20"/>
                <w:szCs w:val="20"/>
                <w:lang w:eastAsia="sr-Latn-ME"/>
              </w:rPr>
              <w:t xml:space="preserve"> eura</w:t>
            </w:r>
          </w:p>
          <w:p w14:paraId="39F2E2C6" w14:textId="77777777" w:rsidR="00DE6D8E" w:rsidRPr="000152CB" w:rsidRDefault="00DE6D8E" w:rsidP="00DE6D8E">
            <w:pPr>
              <w:spacing w:after="0" w:line="240" w:lineRule="auto"/>
              <w:rPr>
                <w:rFonts w:eastAsia="Times New Roman" w:cs="Calibri"/>
                <w:sz w:val="20"/>
                <w:szCs w:val="20"/>
                <w:lang w:eastAsia="sr-Latn-ME"/>
              </w:rPr>
            </w:pPr>
          </w:p>
          <w:p w14:paraId="35F2985A" w14:textId="381062CC" w:rsidR="00DE6D8E" w:rsidRPr="000152CB" w:rsidRDefault="00DE6D8E" w:rsidP="00DE6D8E">
            <w:pPr>
              <w:spacing w:after="0" w:line="240" w:lineRule="auto"/>
              <w:rPr>
                <w:rFonts w:eastAsia="Times New Roman" w:cs="Calibri"/>
                <w:sz w:val="20"/>
                <w:szCs w:val="20"/>
                <w:lang w:eastAsia="sr-Latn-ME"/>
              </w:rPr>
            </w:pPr>
            <w:r w:rsidRPr="000152CB">
              <w:rPr>
                <w:rFonts w:eastAsia="Times New Roman" w:cs="Calibri"/>
                <w:sz w:val="20"/>
                <w:szCs w:val="20"/>
                <w:lang w:eastAsia="sr-Latn-ME"/>
              </w:rPr>
              <w:t>Utrošena sredstva:</w:t>
            </w:r>
            <w:r w:rsidR="00B9347E" w:rsidRPr="000152CB">
              <w:rPr>
                <w:rFonts w:eastAsia="Times New Roman" w:cs="Calibri"/>
                <w:sz w:val="20"/>
                <w:szCs w:val="20"/>
                <w:lang w:eastAsia="sr-Latn-ME"/>
              </w:rPr>
              <w:t xml:space="preserve"> 2.193.991,25 eura</w:t>
            </w:r>
          </w:p>
        </w:tc>
        <w:tc>
          <w:tcPr>
            <w:tcW w:w="1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CB870B" w14:textId="77777777" w:rsidR="00DE6D8E" w:rsidRPr="000152CB" w:rsidRDefault="00DE6D8E" w:rsidP="00DE6D8E">
            <w:pPr>
              <w:spacing w:after="0" w:line="240" w:lineRule="auto"/>
              <w:rPr>
                <w:rFonts w:eastAsia="Times New Roman" w:cs="Calibri"/>
                <w:sz w:val="20"/>
                <w:szCs w:val="20"/>
                <w:lang w:eastAsia="sr-Latn-ME"/>
              </w:rPr>
            </w:pPr>
            <w:r w:rsidRPr="000152CB">
              <w:rPr>
                <w:rFonts w:eastAsia="Times New Roman" w:cs="Calibri"/>
                <w:sz w:val="20"/>
                <w:szCs w:val="20"/>
                <w:lang w:eastAsia="sr-Latn-ME"/>
              </w:rPr>
              <w:t>IPA fondovi</w:t>
            </w:r>
          </w:p>
        </w:tc>
        <w:tc>
          <w:tcPr>
            <w:tcW w:w="1864" w:type="dxa"/>
            <w:tcBorders>
              <w:top w:val="single" w:sz="4" w:space="0" w:color="000000"/>
              <w:left w:val="single" w:sz="4" w:space="0" w:color="000000"/>
              <w:bottom w:val="single" w:sz="4" w:space="0" w:color="000000"/>
              <w:right w:val="single" w:sz="4" w:space="0" w:color="000000"/>
            </w:tcBorders>
          </w:tcPr>
          <w:p w14:paraId="39087C60" w14:textId="77777777" w:rsidR="00DE6D8E" w:rsidRPr="000152CB" w:rsidRDefault="00DE6D8E" w:rsidP="00DE6D8E">
            <w:pPr>
              <w:spacing w:after="0" w:line="240" w:lineRule="auto"/>
              <w:rPr>
                <w:rFonts w:eastAsia="Times New Roman" w:cs="Calibri"/>
                <w:sz w:val="20"/>
                <w:szCs w:val="20"/>
                <w:lang w:eastAsia="sr-Latn-ME"/>
              </w:rPr>
            </w:pPr>
          </w:p>
        </w:tc>
      </w:tr>
      <w:tr w:rsidR="00DE6D8E" w:rsidRPr="000152CB" w14:paraId="64199D5A" w14:textId="77777777" w:rsidTr="003D4860">
        <w:trPr>
          <w:trHeight w:val="585"/>
          <w:jc w:val="center"/>
        </w:trPr>
        <w:tc>
          <w:tcPr>
            <w:tcW w:w="3324" w:type="dxa"/>
            <w:vMerge/>
            <w:tcBorders>
              <w:left w:val="single" w:sz="4" w:space="0" w:color="000000"/>
              <w:right w:val="single" w:sz="4" w:space="0" w:color="000000"/>
            </w:tcBorders>
            <w:tcMar>
              <w:top w:w="0" w:type="dxa"/>
              <w:left w:w="108" w:type="dxa"/>
              <w:bottom w:w="0" w:type="dxa"/>
              <w:right w:w="108" w:type="dxa"/>
            </w:tcMar>
          </w:tcPr>
          <w:p w14:paraId="0C9DB801" w14:textId="77777777" w:rsidR="00DE6D8E" w:rsidRPr="000152CB" w:rsidRDefault="00DE6D8E" w:rsidP="00DE6D8E">
            <w:pPr>
              <w:spacing w:line="240" w:lineRule="auto"/>
              <w:ind w:left="270"/>
              <w:textAlignment w:val="baseline"/>
              <w:rPr>
                <w:rFonts w:eastAsia="Times New Roman" w:cs="Calibri"/>
                <w:color w:val="000000"/>
                <w:sz w:val="20"/>
                <w:szCs w:val="20"/>
                <w:lang w:eastAsia="sr-Latn-ME"/>
              </w:rPr>
            </w:pPr>
          </w:p>
        </w:tc>
        <w:tc>
          <w:tcPr>
            <w:tcW w:w="2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A8AAA6" w14:textId="77777777" w:rsidR="00DE6D8E" w:rsidRPr="000152CB" w:rsidRDefault="00DE6D8E" w:rsidP="00DE6D8E">
            <w:pPr>
              <w:spacing w:after="0" w:line="240" w:lineRule="auto"/>
              <w:rPr>
                <w:rFonts w:eastAsia="Times New Roman" w:cs="Calibri"/>
                <w:sz w:val="20"/>
                <w:szCs w:val="20"/>
                <w:lang w:eastAsia="sr-Latn-ME"/>
              </w:rPr>
            </w:pPr>
            <w:r w:rsidRPr="000152CB">
              <w:rPr>
                <w:sz w:val="20"/>
                <w:szCs w:val="20"/>
              </w:rPr>
              <w:t>Adaptirano i opremljeno 9 mikrobioloških laboratorija u zdravstvenim ustanovama</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A76331" w14:textId="77777777" w:rsidR="00DE6D8E" w:rsidRPr="000152CB" w:rsidRDefault="00DE6D8E" w:rsidP="00DE6D8E">
            <w:pPr>
              <w:spacing w:after="0" w:line="240" w:lineRule="auto"/>
              <w:rPr>
                <w:rFonts w:eastAsia="Times New Roman" w:cs="Calibri"/>
                <w:sz w:val="20"/>
                <w:szCs w:val="20"/>
                <w:lang w:eastAsia="sr-Latn-ME"/>
              </w:rPr>
            </w:pPr>
            <w:r w:rsidRPr="000152CB">
              <w:rPr>
                <w:rFonts w:eastAsia="Times New Roman" w:cs="Calibri"/>
                <w:sz w:val="20"/>
                <w:szCs w:val="20"/>
                <w:lang w:eastAsia="sr-Latn-ME"/>
              </w:rPr>
              <w:t>MZ, ZU, UKP</w:t>
            </w:r>
          </w:p>
        </w:tc>
        <w:tc>
          <w:tcPr>
            <w:tcW w:w="2386" w:type="dxa"/>
            <w:gridSpan w:val="3"/>
            <w:tcBorders>
              <w:top w:val="nil"/>
              <w:left w:val="single" w:sz="4" w:space="0" w:color="auto"/>
              <w:bottom w:val="single" w:sz="4" w:space="0" w:color="auto"/>
              <w:right w:val="single" w:sz="4" w:space="0" w:color="auto"/>
            </w:tcBorders>
            <w:shd w:val="clear" w:color="auto" w:fill="92D050"/>
            <w:tcMar>
              <w:top w:w="0" w:type="dxa"/>
              <w:left w:w="108" w:type="dxa"/>
              <w:bottom w:w="0" w:type="dxa"/>
              <w:right w:w="108" w:type="dxa"/>
            </w:tcMar>
            <w:vAlign w:val="center"/>
          </w:tcPr>
          <w:p w14:paraId="0E95342F" w14:textId="7F4CC83D" w:rsidR="00DE6D8E" w:rsidRPr="000152CB" w:rsidRDefault="00DE6D8E" w:rsidP="00DE6D8E">
            <w:pPr>
              <w:spacing w:after="0" w:line="240" w:lineRule="auto"/>
              <w:rPr>
                <w:rFonts w:eastAsia="Times New Roman" w:cs="Calibri"/>
                <w:sz w:val="20"/>
                <w:szCs w:val="20"/>
                <w:lang w:eastAsia="sr-Latn-ME"/>
              </w:rPr>
            </w:pPr>
            <w:r w:rsidRPr="000152CB">
              <w:rPr>
                <w:rFonts w:ascii="Calibri" w:hAnsi="Calibri" w:cs="Calibri"/>
                <w:color w:val="000000"/>
                <w:sz w:val="20"/>
                <w:szCs w:val="20"/>
              </w:rPr>
              <w:t xml:space="preserve">Adaptacija i opremanje završeno u februaru 2024.godine.Nakon godinu dana je istekao garantni rok. </w:t>
            </w:r>
          </w:p>
        </w:tc>
        <w:tc>
          <w:tcPr>
            <w:tcW w:w="1357" w:type="dxa"/>
            <w:tcBorders>
              <w:top w:val="single" w:sz="4" w:space="0" w:color="000000"/>
              <w:left w:val="single" w:sz="4" w:space="0" w:color="000000"/>
              <w:bottom w:val="single" w:sz="4" w:space="0" w:color="000000"/>
              <w:right w:val="single" w:sz="4" w:space="0" w:color="000000"/>
            </w:tcBorders>
          </w:tcPr>
          <w:p w14:paraId="0CFF996A" w14:textId="77777777" w:rsidR="00DE6D8E" w:rsidRPr="000152CB" w:rsidRDefault="00DE6D8E" w:rsidP="00DE6D8E">
            <w:pPr>
              <w:spacing w:after="0" w:line="240" w:lineRule="auto"/>
              <w:rPr>
                <w:rFonts w:eastAsia="Times New Roman" w:cs="Calibri"/>
                <w:sz w:val="20"/>
                <w:szCs w:val="20"/>
                <w:lang w:eastAsia="sr-Latn-ME"/>
              </w:rPr>
            </w:pPr>
            <w:r w:rsidRPr="000152CB">
              <w:rPr>
                <w:rFonts w:eastAsia="Times New Roman" w:cs="Calibri"/>
                <w:sz w:val="20"/>
                <w:szCs w:val="20"/>
                <w:lang w:eastAsia="sr-Latn-ME"/>
              </w:rPr>
              <w:t xml:space="preserve"> IQ 2023- IV Q 2023</w:t>
            </w:r>
          </w:p>
        </w:tc>
        <w:tc>
          <w:tcPr>
            <w:tcW w:w="138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D1CAC" w14:textId="17F41C17" w:rsidR="00DE6D8E" w:rsidRPr="000152CB" w:rsidRDefault="00DE6D8E" w:rsidP="00DE6D8E">
            <w:pPr>
              <w:spacing w:after="0" w:line="240" w:lineRule="auto"/>
              <w:rPr>
                <w:rFonts w:eastAsia="Times New Roman" w:cs="Calibri"/>
                <w:sz w:val="20"/>
                <w:szCs w:val="20"/>
                <w:lang w:eastAsia="sr-Latn-ME"/>
              </w:rPr>
            </w:pPr>
            <w:r w:rsidRPr="000152CB">
              <w:rPr>
                <w:rFonts w:eastAsia="Times New Roman" w:cs="Calibri"/>
                <w:sz w:val="20"/>
                <w:szCs w:val="20"/>
                <w:lang w:eastAsia="sr-Latn-ME"/>
              </w:rPr>
              <w:t>Planirana sredstva: 2.081.343,77</w:t>
            </w:r>
            <w:r w:rsidR="00B9347E" w:rsidRPr="000152CB">
              <w:rPr>
                <w:rFonts w:eastAsia="Times New Roman" w:cs="Calibri"/>
                <w:sz w:val="20"/>
                <w:szCs w:val="20"/>
                <w:lang w:eastAsia="sr-Latn-ME"/>
              </w:rPr>
              <w:t xml:space="preserve"> eura</w:t>
            </w:r>
          </w:p>
          <w:p w14:paraId="4031CFEC" w14:textId="77777777" w:rsidR="00DE6D8E" w:rsidRPr="000152CB" w:rsidRDefault="00DE6D8E" w:rsidP="00DE6D8E">
            <w:pPr>
              <w:spacing w:after="0" w:line="240" w:lineRule="auto"/>
              <w:rPr>
                <w:rFonts w:eastAsia="Times New Roman" w:cs="Calibri"/>
                <w:sz w:val="20"/>
                <w:szCs w:val="20"/>
                <w:lang w:eastAsia="sr-Latn-ME"/>
              </w:rPr>
            </w:pPr>
          </w:p>
          <w:p w14:paraId="5202579E" w14:textId="523D0407" w:rsidR="00DE6D8E" w:rsidRPr="000152CB" w:rsidRDefault="00DE6D8E" w:rsidP="00DE6D8E">
            <w:pPr>
              <w:spacing w:after="0" w:line="240" w:lineRule="auto"/>
              <w:rPr>
                <w:rFonts w:eastAsia="Times New Roman" w:cs="Calibri"/>
                <w:sz w:val="20"/>
                <w:szCs w:val="20"/>
                <w:lang w:eastAsia="sr-Latn-ME"/>
              </w:rPr>
            </w:pPr>
            <w:r w:rsidRPr="000152CB">
              <w:rPr>
                <w:rFonts w:eastAsia="Times New Roman" w:cs="Calibri"/>
                <w:sz w:val="20"/>
                <w:szCs w:val="20"/>
                <w:lang w:eastAsia="sr-Latn-ME"/>
              </w:rPr>
              <w:t>Utrošena sredstva:</w:t>
            </w:r>
            <w:r w:rsidR="00B9347E" w:rsidRPr="000152CB">
              <w:rPr>
                <w:rFonts w:eastAsia="Times New Roman" w:cs="Calibri"/>
                <w:sz w:val="20"/>
                <w:szCs w:val="20"/>
                <w:lang w:eastAsia="sr-Latn-ME"/>
              </w:rPr>
              <w:t xml:space="preserve"> </w:t>
            </w:r>
            <w:r w:rsidR="00B9347E" w:rsidRPr="000152CB">
              <w:rPr>
                <w:rFonts w:eastAsia="Times New Roman" w:cs="Calibri"/>
                <w:sz w:val="20"/>
                <w:szCs w:val="20"/>
                <w:lang w:eastAsia="sr-Latn-ME"/>
              </w:rPr>
              <w:lastRenderedPageBreak/>
              <w:t>2.081.343,77 eura</w:t>
            </w:r>
          </w:p>
          <w:p w14:paraId="3EE81BCB" w14:textId="77777777" w:rsidR="00DE6D8E" w:rsidRPr="000152CB" w:rsidRDefault="00DE6D8E" w:rsidP="00DE6D8E">
            <w:pPr>
              <w:spacing w:after="0" w:line="240" w:lineRule="auto"/>
              <w:rPr>
                <w:rFonts w:eastAsia="Times New Roman" w:cs="Calibri"/>
                <w:sz w:val="20"/>
                <w:szCs w:val="20"/>
                <w:lang w:eastAsia="sr-Latn-ME"/>
              </w:rPr>
            </w:pPr>
          </w:p>
        </w:tc>
        <w:tc>
          <w:tcPr>
            <w:tcW w:w="1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7F1AF4" w14:textId="77777777" w:rsidR="00DE6D8E" w:rsidRPr="000152CB" w:rsidRDefault="00DE6D8E" w:rsidP="00DE6D8E">
            <w:pPr>
              <w:spacing w:after="0" w:line="240" w:lineRule="auto"/>
              <w:rPr>
                <w:rFonts w:eastAsia="Times New Roman" w:cs="Calibri"/>
                <w:sz w:val="20"/>
                <w:szCs w:val="20"/>
                <w:lang w:eastAsia="sr-Latn-ME"/>
              </w:rPr>
            </w:pPr>
            <w:r w:rsidRPr="000152CB">
              <w:rPr>
                <w:rFonts w:eastAsia="Times New Roman" w:cs="Calibri"/>
                <w:sz w:val="20"/>
                <w:szCs w:val="20"/>
                <w:lang w:eastAsia="sr-Latn-ME"/>
              </w:rPr>
              <w:lastRenderedPageBreak/>
              <w:t>IPA fondovi</w:t>
            </w:r>
          </w:p>
        </w:tc>
        <w:tc>
          <w:tcPr>
            <w:tcW w:w="1864" w:type="dxa"/>
            <w:tcBorders>
              <w:top w:val="single" w:sz="4" w:space="0" w:color="000000"/>
              <w:left w:val="single" w:sz="4" w:space="0" w:color="000000"/>
              <w:bottom w:val="single" w:sz="4" w:space="0" w:color="000000"/>
              <w:right w:val="single" w:sz="4" w:space="0" w:color="000000"/>
            </w:tcBorders>
          </w:tcPr>
          <w:p w14:paraId="4C39E52C" w14:textId="77777777" w:rsidR="00DE6D8E" w:rsidRPr="000152CB" w:rsidRDefault="00DE6D8E" w:rsidP="00DE6D8E">
            <w:pPr>
              <w:spacing w:after="0" w:line="240" w:lineRule="auto"/>
              <w:rPr>
                <w:rFonts w:eastAsia="Times New Roman" w:cs="Calibri"/>
                <w:sz w:val="20"/>
                <w:szCs w:val="20"/>
                <w:lang w:eastAsia="sr-Latn-ME"/>
              </w:rPr>
            </w:pPr>
          </w:p>
        </w:tc>
      </w:tr>
      <w:tr w:rsidR="003D4860" w:rsidRPr="000152CB" w14:paraId="51D26079" w14:textId="77777777" w:rsidTr="003D4860">
        <w:trPr>
          <w:trHeight w:val="585"/>
          <w:jc w:val="center"/>
        </w:trPr>
        <w:tc>
          <w:tcPr>
            <w:tcW w:w="3324" w:type="dxa"/>
            <w:vMerge/>
            <w:tcBorders>
              <w:left w:val="single" w:sz="4" w:space="0" w:color="000000"/>
              <w:right w:val="single" w:sz="4" w:space="0" w:color="000000"/>
            </w:tcBorders>
            <w:tcMar>
              <w:top w:w="0" w:type="dxa"/>
              <w:left w:w="108" w:type="dxa"/>
              <w:bottom w:w="0" w:type="dxa"/>
              <w:right w:w="108" w:type="dxa"/>
            </w:tcMar>
          </w:tcPr>
          <w:p w14:paraId="45B673C4" w14:textId="77777777" w:rsidR="003D4860" w:rsidRPr="000152CB" w:rsidRDefault="003D4860" w:rsidP="003D4860">
            <w:pPr>
              <w:spacing w:line="240" w:lineRule="auto"/>
              <w:ind w:left="270"/>
              <w:textAlignment w:val="baseline"/>
              <w:rPr>
                <w:rFonts w:eastAsia="Times New Roman" w:cs="Calibri"/>
                <w:color w:val="000000"/>
                <w:sz w:val="20"/>
                <w:szCs w:val="20"/>
                <w:lang w:eastAsia="sr-Latn-ME"/>
              </w:rPr>
            </w:pPr>
          </w:p>
        </w:tc>
        <w:tc>
          <w:tcPr>
            <w:tcW w:w="2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83F987" w14:textId="77777777" w:rsidR="003D4860" w:rsidRPr="000152CB" w:rsidRDefault="003D4860" w:rsidP="003D4860">
            <w:pPr>
              <w:spacing w:after="0" w:line="240" w:lineRule="auto"/>
              <w:rPr>
                <w:rFonts w:eastAsia="Times New Roman" w:cs="Calibri"/>
                <w:sz w:val="20"/>
                <w:szCs w:val="20"/>
                <w:lang w:eastAsia="sr-Latn-ME"/>
              </w:rPr>
            </w:pPr>
            <w:r w:rsidRPr="000152CB">
              <w:rPr>
                <w:sz w:val="20"/>
                <w:szCs w:val="20"/>
              </w:rPr>
              <w:t xml:space="preserve">Izrada i revizija glavnog projekta i za izgradnjuopšte bolnice u Pljevljima  </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0862EB" w14:textId="77777777" w:rsidR="003D4860" w:rsidRPr="000152CB" w:rsidRDefault="003D4860" w:rsidP="003D4860">
            <w:pPr>
              <w:spacing w:after="0" w:line="240" w:lineRule="auto"/>
              <w:rPr>
                <w:rFonts w:eastAsia="Times New Roman" w:cs="Calibri"/>
                <w:sz w:val="20"/>
                <w:szCs w:val="20"/>
                <w:lang w:eastAsia="sr-Latn-ME"/>
              </w:rPr>
            </w:pPr>
            <w:r w:rsidRPr="000152CB">
              <w:rPr>
                <w:rFonts w:eastAsia="Times New Roman" w:cs="Calibri"/>
                <w:sz w:val="20"/>
                <w:szCs w:val="20"/>
                <w:lang w:eastAsia="sr-Latn-ME"/>
              </w:rPr>
              <w:t>MZ, OB PLJEVLJA, UKP</w:t>
            </w:r>
          </w:p>
        </w:tc>
        <w:tc>
          <w:tcPr>
            <w:tcW w:w="2386" w:type="dxa"/>
            <w:gridSpan w:val="3"/>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108" w:type="dxa"/>
            </w:tcMar>
            <w:vAlign w:val="bottom"/>
          </w:tcPr>
          <w:p w14:paraId="51C7B806" w14:textId="659AB607" w:rsidR="003D4860" w:rsidRPr="000152CB" w:rsidRDefault="003D3A26" w:rsidP="003D4860">
            <w:pPr>
              <w:spacing w:after="0" w:line="240" w:lineRule="auto"/>
              <w:rPr>
                <w:rFonts w:eastAsia="Times New Roman" w:cstheme="minorHAnsi"/>
                <w:sz w:val="20"/>
                <w:szCs w:val="20"/>
                <w:lang w:eastAsia="sr-Latn-ME"/>
              </w:rPr>
            </w:pPr>
            <w:r w:rsidRPr="000152CB">
              <w:rPr>
                <w:rFonts w:cstheme="minorHAnsi"/>
                <w:color w:val="000000"/>
                <w:sz w:val="20"/>
                <w:szCs w:val="20"/>
              </w:rPr>
              <w:t xml:space="preserve">Za </w:t>
            </w:r>
            <w:r w:rsidR="003D4860" w:rsidRPr="000152CB">
              <w:rPr>
                <w:rFonts w:cstheme="minorHAnsi"/>
                <w:color w:val="000000"/>
                <w:sz w:val="20"/>
                <w:szCs w:val="20"/>
              </w:rPr>
              <w:t xml:space="preserve"> navedeni objekat je odlučeno da se radi po sistemu projektuj i izgradi, raspisan je tender i izabran izvođač (konzorcijum),  a projektovanje je počelo u novembru 2024.godine. Revidovani glavni projekat će biti završen do IV kvartala</w:t>
            </w:r>
            <w:r w:rsidRPr="000152CB">
              <w:rPr>
                <w:rFonts w:cstheme="minorHAnsi"/>
                <w:color w:val="000000"/>
                <w:sz w:val="20"/>
                <w:szCs w:val="20"/>
              </w:rPr>
              <w:t xml:space="preserve"> 2025. godine</w:t>
            </w:r>
            <w:r w:rsidR="003D4860" w:rsidRPr="000152CB">
              <w:rPr>
                <w:rFonts w:cstheme="minorHAnsi"/>
                <w:color w:val="000000"/>
                <w:sz w:val="20"/>
                <w:szCs w:val="20"/>
              </w:rPr>
              <w:t xml:space="preserve">. </w:t>
            </w:r>
          </w:p>
        </w:tc>
        <w:tc>
          <w:tcPr>
            <w:tcW w:w="1357" w:type="dxa"/>
            <w:tcBorders>
              <w:top w:val="single" w:sz="4" w:space="0" w:color="000000"/>
              <w:left w:val="single" w:sz="4" w:space="0" w:color="000000"/>
              <w:bottom w:val="single" w:sz="4" w:space="0" w:color="000000"/>
              <w:right w:val="single" w:sz="4" w:space="0" w:color="000000"/>
            </w:tcBorders>
          </w:tcPr>
          <w:p w14:paraId="75EB9252" w14:textId="77777777" w:rsidR="003D4860" w:rsidRPr="000152CB" w:rsidRDefault="003D4860" w:rsidP="003D4860">
            <w:pPr>
              <w:spacing w:after="0" w:line="240" w:lineRule="auto"/>
              <w:rPr>
                <w:rFonts w:eastAsia="Times New Roman" w:cs="Calibri"/>
                <w:sz w:val="20"/>
                <w:szCs w:val="20"/>
                <w:lang w:eastAsia="sr-Latn-ME"/>
              </w:rPr>
            </w:pPr>
            <w:r w:rsidRPr="000152CB">
              <w:rPr>
                <w:rFonts w:eastAsia="Times New Roman" w:cs="Calibri"/>
                <w:sz w:val="20"/>
                <w:szCs w:val="20"/>
                <w:lang w:eastAsia="sr-Latn-ME"/>
              </w:rPr>
              <w:t xml:space="preserve"> IIQ 2023- II Q 2024</w:t>
            </w:r>
          </w:p>
        </w:tc>
        <w:tc>
          <w:tcPr>
            <w:tcW w:w="138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595351" w14:textId="375C35CB" w:rsidR="003D4860" w:rsidRPr="000152CB" w:rsidRDefault="003D4860" w:rsidP="003D4860">
            <w:pPr>
              <w:spacing w:after="0" w:line="240" w:lineRule="auto"/>
              <w:rPr>
                <w:rFonts w:eastAsia="Times New Roman" w:cs="Calibri"/>
                <w:sz w:val="20"/>
                <w:szCs w:val="20"/>
                <w:lang w:eastAsia="sr-Latn-ME"/>
              </w:rPr>
            </w:pPr>
            <w:r w:rsidRPr="000152CB">
              <w:rPr>
                <w:rFonts w:eastAsia="Times New Roman" w:cs="Calibri"/>
                <w:sz w:val="20"/>
                <w:szCs w:val="20"/>
                <w:lang w:eastAsia="sr-Latn-ME"/>
              </w:rPr>
              <w:t>Planirana sredstva: 500.000,00</w:t>
            </w:r>
            <w:r w:rsidR="00B9347E" w:rsidRPr="000152CB">
              <w:rPr>
                <w:rFonts w:eastAsia="Times New Roman" w:cs="Calibri"/>
                <w:sz w:val="20"/>
                <w:szCs w:val="20"/>
                <w:lang w:eastAsia="sr-Latn-ME"/>
              </w:rPr>
              <w:t xml:space="preserve"> eura</w:t>
            </w:r>
          </w:p>
          <w:p w14:paraId="22DE2A43" w14:textId="77777777" w:rsidR="003D4860" w:rsidRPr="000152CB" w:rsidRDefault="003D4860" w:rsidP="003D4860">
            <w:pPr>
              <w:spacing w:after="0" w:line="240" w:lineRule="auto"/>
              <w:rPr>
                <w:rFonts w:eastAsia="Times New Roman" w:cs="Calibri"/>
                <w:sz w:val="20"/>
                <w:szCs w:val="20"/>
                <w:lang w:eastAsia="sr-Latn-ME"/>
              </w:rPr>
            </w:pPr>
          </w:p>
          <w:p w14:paraId="40080C07" w14:textId="4EF86A12" w:rsidR="003D4860" w:rsidRPr="000152CB" w:rsidRDefault="003D4860" w:rsidP="003D4860">
            <w:pPr>
              <w:spacing w:after="0" w:line="240" w:lineRule="auto"/>
              <w:rPr>
                <w:rFonts w:eastAsia="Times New Roman" w:cs="Calibri"/>
                <w:sz w:val="20"/>
                <w:szCs w:val="20"/>
                <w:lang w:eastAsia="sr-Latn-ME"/>
              </w:rPr>
            </w:pPr>
            <w:r w:rsidRPr="000152CB">
              <w:rPr>
                <w:rFonts w:eastAsia="Times New Roman" w:cs="Calibri"/>
                <w:sz w:val="20"/>
                <w:szCs w:val="20"/>
                <w:lang w:eastAsia="sr-Latn-ME"/>
              </w:rPr>
              <w:t>Utrošena sredstva:</w:t>
            </w:r>
            <w:r w:rsidR="00B9347E" w:rsidRPr="000152CB">
              <w:rPr>
                <w:rFonts w:eastAsia="Times New Roman" w:cs="Calibri"/>
                <w:sz w:val="20"/>
                <w:szCs w:val="20"/>
                <w:lang w:eastAsia="sr-Latn-ME"/>
              </w:rPr>
              <w:t xml:space="preserve"> 500.000,00 eura</w:t>
            </w:r>
          </w:p>
          <w:p w14:paraId="0FC25185" w14:textId="77777777" w:rsidR="003D4860" w:rsidRPr="000152CB" w:rsidRDefault="003D4860" w:rsidP="003D4860">
            <w:pPr>
              <w:spacing w:after="0" w:line="240" w:lineRule="auto"/>
              <w:rPr>
                <w:rFonts w:eastAsia="Times New Roman" w:cs="Calibri"/>
                <w:sz w:val="20"/>
                <w:szCs w:val="20"/>
                <w:lang w:eastAsia="sr-Latn-ME"/>
              </w:rPr>
            </w:pPr>
          </w:p>
        </w:tc>
        <w:tc>
          <w:tcPr>
            <w:tcW w:w="1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BE2127" w14:textId="77777777" w:rsidR="003D4860" w:rsidRPr="000152CB" w:rsidRDefault="003D4860" w:rsidP="003D4860">
            <w:pPr>
              <w:spacing w:after="0" w:line="240" w:lineRule="auto"/>
              <w:rPr>
                <w:rFonts w:eastAsia="Times New Roman" w:cs="Calibri"/>
                <w:sz w:val="20"/>
                <w:szCs w:val="20"/>
                <w:lang w:eastAsia="sr-Latn-ME"/>
              </w:rPr>
            </w:pPr>
            <w:r w:rsidRPr="000152CB">
              <w:rPr>
                <w:rFonts w:eastAsia="Times New Roman" w:cs="Calibri"/>
                <w:sz w:val="20"/>
                <w:szCs w:val="20"/>
                <w:lang w:eastAsia="sr-Latn-ME"/>
              </w:rPr>
              <w:t>Kapitalni budžet države</w:t>
            </w:r>
          </w:p>
        </w:tc>
        <w:tc>
          <w:tcPr>
            <w:tcW w:w="1864" w:type="dxa"/>
            <w:tcBorders>
              <w:top w:val="single" w:sz="4" w:space="0" w:color="000000"/>
              <w:left w:val="single" w:sz="4" w:space="0" w:color="000000"/>
              <w:bottom w:val="single" w:sz="4" w:space="0" w:color="000000"/>
              <w:right w:val="single" w:sz="4" w:space="0" w:color="000000"/>
            </w:tcBorders>
          </w:tcPr>
          <w:p w14:paraId="150A93BC" w14:textId="768FB4FB" w:rsidR="003D4860" w:rsidRPr="000152CB" w:rsidRDefault="003D3A26" w:rsidP="003D4860">
            <w:pPr>
              <w:spacing w:after="0" w:line="240" w:lineRule="auto"/>
              <w:rPr>
                <w:rFonts w:eastAsia="Times New Roman" w:cs="Calibri"/>
                <w:sz w:val="20"/>
                <w:szCs w:val="20"/>
                <w:lang w:eastAsia="sr-Latn-ME"/>
              </w:rPr>
            </w:pPr>
            <w:r w:rsidRPr="000152CB">
              <w:rPr>
                <w:rFonts w:eastAsia="Times New Roman" w:cs="Calibri"/>
                <w:sz w:val="20"/>
                <w:szCs w:val="20"/>
                <w:lang w:eastAsia="sr-Latn-ME"/>
              </w:rPr>
              <w:t>Novi rok za realizaciju aktivnosti je IV kvartal 2026. godine</w:t>
            </w:r>
          </w:p>
        </w:tc>
      </w:tr>
      <w:tr w:rsidR="003D4860" w:rsidRPr="000152CB" w14:paraId="538963FE" w14:textId="77777777" w:rsidTr="00F00238">
        <w:trPr>
          <w:trHeight w:val="585"/>
          <w:jc w:val="center"/>
        </w:trPr>
        <w:tc>
          <w:tcPr>
            <w:tcW w:w="3324" w:type="dxa"/>
            <w:vMerge/>
            <w:tcBorders>
              <w:left w:val="single" w:sz="4" w:space="0" w:color="000000"/>
              <w:right w:val="single" w:sz="4" w:space="0" w:color="000000"/>
            </w:tcBorders>
            <w:tcMar>
              <w:top w:w="0" w:type="dxa"/>
              <w:left w:w="108" w:type="dxa"/>
              <w:bottom w:w="0" w:type="dxa"/>
              <w:right w:w="108" w:type="dxa"/>
            </w:tcMar>
          </w:tcPr>
          <w:p w14:paraId="0ECBDF3F" w14:textId="77777777" w:rsidR="003D4860" w:rsidRPr="000152CB" w:rsidRDefault="003D4860" w:rsidP="003D4860">
            <w:pPr>
              <w:spacing w:line="240" w:lineRule="auto"/>
              <w:ind w:left="270"/>
              <w:textAlignment w:val="baseline"/>
              <w:rPr>
                <w:rFonts w:eastAsia="Times New Roman" w:cs="Calibri"/>
                <w:color w:val="000000"/>
                <w:sz w:val="20"/>
                <w:szCs w:val="20"/>
                <w:lang w:eastAsia="sr-Latn-ME"/>
              </w:rPr>
            </w:pPr>
          </w:p>
        </w:tc>
        <w:tc>
          <w:tcPr>
            <w:tcW w:w="2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402CD5" w14:textId="77777777" w:rsidR="003D4860" w:rsidRPr="000152CB" w:rsidRDefault="003D4860" w:rsidP="003D4860">
            <w:pPr>
              <w:spacing w:after="0" w:line="240" w:lineRule="auto"/>
              <w:rPr>
                <w:rFonts w:eastAsia="Times New Roman" w:cs="Calibri"/>
                <w:sz w:val="20"/>
                <w:szCs w:val="20"/>
                <w:lang w:eastAsia="sr-Latn-ME"/>
              </w:rPr>
            </w:pPr>
            <w:r w:rsidRPr="000152CB">
              <w:rPr>
                <w:sz w:val="20"/>
                <w:szCs w:val="20"/>
              </w:rPr>
              <w:t>Raspisivanje javnog konkursa za idejno arhitektonsko resenje za izgradnju Urgentnog centra u Podgorici</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04C304" w14:textId="77777777" w:rsidR="003D4860" w:rsidRPr="000152CB" w:rsidRDefault="003D4860" w:rsidP="003D4860">
            <w:pPr>
              <w:spacing w:after="0" w:line="240" w:lineRule="auto"/>
              <w:rPr>
                <w:rFonts w:eastAsia="Times New Roman" w:cs="Calibri"/>
                <w:sz w:val="20"/>
                <w:szCs w:val="20"/>
                <w:lang w:eastAsia="sr-Latn-ME"/>
              </w:rPr>
            </w:pPr>
            <w:r w:rsidRPr="000152CB">
              <w:rPr>
                <w:rFonts w:eastAsia="Times New Roman" w:cs="Calibri"/>
                <w:sz w:val="20"/>
                <w:szCs w:val="20"/>
                <w:lang w:eastAsia="sr-Latn-ME"/>
              </w:rPr>
              <w:t>MZ, KCCG, MEPPU</w:t>
            </w:r>
          </w:p>
        </w:tc>
        <w:tc>
          <w:tcPr>
            <w:tcW w:w="2386" w:type="dxa"/>
            <w:gridSpan w:val="3"/>
            <w:tcBorders>
              <w:top w:val="nil"/>
              <w:left w:val="single" w:sz="4" w:space="0" w:color="auto"/>
              <w:bottom w:val="single" w:sz="4" w:space="0" w:color="auto"/>
              <w:right w:val="single" w:sz="4" w:space="0" w:color="auto"/>
            </w:tcBorders>
            <w:shd w:val="clear" w:color="auto" w:fill="92D050"/>
            <w:tcMar>
              <w:top w:w="0" w:type="dxa"/>
              <w:left w:w="108" w:type="dxa"/>
              <w:bottom w:w="0" w:type="dxa"/>
              <w:right w:w="108" w:type="dxa"/>
            </w:tcMar>
            <w:vAlign w:val="center"/>
          </w:tcPr>
          <w:p w14:paraId="34BA4FEA" w14:textId="75AD6379" w:rsidR="003D4860" w:rsidRPr="000152CB" w:rsidRDefault="003D4860" w:rsidP="003D4860">
            <w:pPr>
              <w:spacing w:after="0" w:line="240" w:lineRule="auto"/>
              <w:rPr>
                <w:rFonts w:eastAsia="Times New Roman" w:cstheme="minorHAnsi"/>
                <w:sz w:val="20"/>
                <w:szCs w:val="20"/>
                <w:lang w:eastAsia="sr-Latn-ME"/>
              </w:rPr>
            </w:pPr>
            <w:r w:rsidRPr="000152CB">
              <w:rPr>
                <w:rFonts w:cstheme="minorHAnsi"/>
                <w:color w:val="000000"/>
                <w:sz w:val="20"/>
                <w:szCs w:val="20"/>
              </w:rPr>
              <w:t xml:space="preserve">Ministarstvo ekologije, prostornog planiranja i urbanizma raspisalo je međunarodni Konkurs za idejno arhitektonsko rješenje Urgentnog centra u okviru kompleksa Kliničkog centra Crne Gore. </w:t>
            </w:r>
          </w:p>
        </w:tc>
        <w:tc>
          <w:tcPr>
            <w:tcW w:w="1357" w:type="dxa"/>
            <w:tcBorders>
              <w:top w:val="single" w:sz="4" w:space="0" w:color="000000"/>
              <w:left w:val="single" w:sz="4" w:space="0" w:color="000000"/>
              <w:bottom w:val="single" w:sz="4" w:space="0" w:color="000000"/>
              <w:right w:val="single" w:sz="4" w:space="0" w:color="000000"/>
            </w:tcBorders>
          </w:tcPr>
          <w:p w14:paraId="6A988737" w14:textId="77777777" w:rsidR="003D4860" w:rsidRPr="000152CB" w:rsidRDefault="003D4860" w:rsidP="003D4860">
            <w:pPr>
              <w:spacing w:after="0" w:line="240" w:lineRule="auto"/>
              <w:rPr>
                <w:rFonts w:eastAsia="Times New Roman" w:cs="Calibri"/>
                <w:sz w:val="20"/>
                <w:szCs w:val="20"/>
                <w:lang w:eastAsia="sr-Latn-ME"/>
              </w:rPr>
            </w:pPr>
            <w:r w:rsidRPr="000152CB">
              <w:rPr>
                <w:rFonts w:eastAsia="Times New Roman" w:cs="Calibri"/>
                <w:sz w:val="20"/>
                <w:szCs w:val="20"/>
                <w:lang w:eastAsia="sr-Latn-ME"/>
              </w:rPr>
              <w:t xml:space="preserve"> IIIQ 2023-IQ 2024</w:t>
            </w:r>
          </w:p>
        </w:tc>
        <w:tc>
          <w:tcPr>
            <w:tcW w:w="138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88468F" w14:textId="77777777" w:rsidR="003D4860" w:rsidRPr="000152CB" w:rsidRDefault="003D4860" w:rsidP="003D4860">
            <w:pPr>
              <w:spacing w:after="0" w:line="240" w:lineRule="auto"/>
              <w:rPr>
                <w:rFonts w:eastAsia="Times New Roman" w:cs="Calibri"/>
                <w:sz w:val="20"/>
                <w:szCs w:val="20"/>
                <w:lang w:eastAsia="sr-Latn-ME"/>
              </w:rPr>
            </w:pPr>
            <w:r w:rsidRPr="000152CB">
              <w:rPr>
                <w:rFonts w:eastAsia="Times New Roman" w:cs="Calibri"/>
                <w:sz w:val="20"/>
                <w:szCs w:val="20"/>
                <w:lang w:eastAsia="sr-Latn-ME"/>
              </w:rPr>
              <w:t>Planirana sredstva: 90.000,00€</w:t>
            </w:r>
          </w:p>
          <w:p w14:paraId="1F07C646" w14:textId="77777777" w:rsidR="003D4860" w:rsidRPr="000152CB" w:rsidRDefault="003D4860" w:rsidP="003D4860">
            <w:pPr>
              <w:spacing w:after="0" w:line="240" w:lineRule="auto"/>
              <w:rPr>
                <w:rFonts w:eastAsia="Times New Roman" w:cs="Calibri"/>
                <w:sz w:val="20"/>
                <w:szCs w:val="20"/>
                <w:lang w:eastAsia="sr-Latn-ME"/>
              </w:rPr>
            </w:pPr>
          </w:p>
          <w:p w14:paraId="771D97C9" w14:textId="77777777" w:rsidR="00B9347E" w:rsidRPr="000152CB" w:rsidRDefault="003D4860" w:rsidP="00B9347E">
            <w:pPr>
              <w:rPr>
                <w:rFonts w:eastAsia="Times New Roman" w:cs="Calibri"/>
                <w:sz w:val="20"/>
                <w:szCs w:val="20"/>
                <w:lang w:eastAsia="sr-Latn-ME"/>
              </w:rPr>
            </w:pPr>
            <w:r w:rsidRPr="000152CB">
              <w:rPr>
                <w:rFonts w:eastAsia="Times New Roman" w:cs="Calibri"/>
                <w:sz w:val="20"/>
                <w:szCs w:val="20"/>
                <w:lang w:eastAsia="sr-Latn-ME"/>
              </w:rPr>
              <w:t>Utrošena sredstva:</w:t>
            </w:r>
            <w:r w:rsidR="00B9347E" w:rsidRPr="000152CB">
              <w:rPr>
                <w:rFonts w:eastAsia="Times New Roman" w:cs="Calibri"/>
                <w:sz w:val="20"/>
                <w:szCs w:val="20"/>
                <w:lang w:eastAsia="sr-Latn-ME"/>
              </w:rPr>
              <w:t xml:space="preserve"> 90.000,00€</w:t>
            </w:r>
          </w:p>
          <w:p w14:paraId="084E3BAE" w14:textId="4554FC05" w:rsidR="003D4860" w:rsidRPr="000152CB" w:rsidRDefault="003D4860" w:rsidP="003D4860">
            <w:pPr>
              <w:spacing w:after="0" w:line="240" w:lineRule="auto"/>
              <w:rPr>
                <w:rFonts w:eastAsia="Times New Roman" w:cs="Calibri"/>
                <w:sz w:val="20"/>
                <w:szCs w:val="20"/>
                <w:lang w:eastAsia="sr-Latn-ME"/>
              </w:rPr>
            </w:pPr>
          </w:p>
        </w:tc>
        <w:tc>
          <w:tcPr>
            <w:tcW w:w="1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544A4B" w14:textId="77777777" w:rsidR="003D4860" w:rsidRPr="000152CB" w:rsidRDefault="003D4860" w:rsidP="003D4860">
            <w:pPr>
              <w:spacing w:after="0" w:line="240" w:lineRule="auto"/>
              <w:rPr>
                <w:rFonts w:eastAsia="Times New Roman" w:cs="Calibri"/>
                <w:sz w:val="20"/>
                <w:szCs w:val="20"/>
                <w:lang w:eastAsia="sr-Latn-ME"/>
              </w:rPr>
            </w:pPr>
            <w:r w:rsidRPr="000152CB">
              <w:rPr>
                <w:rFonts w:eastAsia="Times New Roman" w:cs="Calibri"/>
                <w:sz w:val="20"/>
                <w:szCs w:val="20"/>
                <w:lang w:eastAsia="sr-Latn-ME"/>
              </w:rPr>
              <w:t>Kapitalni budžet države</w:t>
            </w:r>
          </w:p>
        </w:tc>
        <w:tc>
          <w:tcPr>
            <w:tcW w:w="1864" w:type="dxa"/>
            <w:tcBorders>
              <w:top w:val="single" w:sz="4" w:space="0" w:color="000000"/>
              <w:left w:val="single" w:sz="4" w:space="0" w:color="000000"/>
              <w:bottom w:val="single" w:sz="4" w:space="0" w:color="000000"/>
              <w:right w:val="single" w:sz="4" w:space="0" w:color="000000"/>
            </w:tcBorders>
          </w:tcPr>
          <w:p w14:paraId="08B2EF0C" w14:textId="77777777" w:rsidR="003D4860" w:rsidRPr="000152CB" w:rsidRDefault="003D4860" w:rsidP="003D4860">
            <w:pPr>
              <w:spacing w:after="0" w:line="240" w:lineRule="auto"/>
              <w:rPr>
                <w:rFonts w:eastAsia="Times New Roman" w:cs="Calibri"/>
                <w:sz w:val="20"/>
                <w:szCs w:val="20"/>
                <w:lang w:eastAsia="sr-Latn-ME"/>
              </w:rPr>
            </w:pPr>
          </w:p>
        </w:tc>
      </w:tr>
      <w:tr w:rsidR="003D4860" w:rsidRPr="000152CB" w14:paraId="1E9A970A" w14:textId="77777777" w:rsidTr="00F00238">
        <w:trPr>
          <w:trHeight w:val="585"/>
          <w:jc w:val="center"/>
        </w:trPr>
        <w:tc>
          <w:tcPr>
            <w:tcW w:w="3324" w:type="dxa"/>
            <w:vMerge/>
            <w:tcBorders>
              <w:left w:val="single" w:sz="4" w:space="0" w:color="000000"/>
              <w:right w:val="single" w:sz="4" w:space="0" w:color="000000"/>
            </w:tcBorders>
            <w:tcMar>
              <w:top w:w="0" w:type="dxa"/>
              <w:left w:w="108" w:type="dxa"/>
              <w:bottom w:w="0" w:type="dxa"/>
              <w:right w:w="108" w:type="dxa"/>
            </w:tcMar>
          </w:tcPr>
          <w:p w14:paraId="58CDEFCC" w14:textId="77777777" w:rsidR="003D4860" w:rsidRPr="000152CB" w:rsidRDefault="003D4860" w:rsidP="003D4860">
            <w:pPr>
              <w:spacing w:line="240" w:lineRule="auto"/>
              <w:ind w:left="270"/>
              <w:textAlignment w:val="baseline"/>
              <w:rPr>
                <w:rFonts w:eastAsia="Times New Roman" w:cs="Calibri"/>
                <w:color w:val="000000"/>
                <w:sz w:val="20"/>
                <w:szCs w:val="20"/>
                <w:lang w:eastAsia="sr-Latn-ME"/>
              </w:rPr>
            </w:pPr>
          </w:p>
        </w:tc>
        <w:tc>
          <w:tcPr>
            <w:tcW w:w="206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6F754DDB" w14:textId="77777777" w:rsidR="003D4860" w:rsidRPr="000152CB" w:rsidRDefault="003D4860" w:rsidP="003D4860">
            <w:pPr>
              <w:spacing w:after="0" w:line="240" w:lineRule="auto"/>
              <w:rPr>
                <w:rFonts w:eastAsia="Times New Roman" w:cs="Calibri"/>
                <w:sz w:val="20"/>
                <w:szCs w:val="20"/>
                <w:lang w:eastAsia="sr-Latn-ME"/>
              </w:rPr>
            </w:pPr>
            <w:r w:rsidRPr="000152CB">
              <w:rPr>
                <w:sz w:val="20"/>
                <w:szCs w:val="20"/>
              </w:rPr>
              <w:t>Raspisivanje javnog konkursa za idejno arhitektonsko resenje za izgradnju Doma zdravlja City kvart u Podgorici</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38C838" w14:textId="77777777" w:rsidR="003D4860" w:rsidRPr="000152CB" w:rsidRDefault="003D4860" w:rsidP="003D4860">
            <w:pPr>
              <w:spacing w:after="0" w:line="240" w:lineRule="auto"/>
              <w:rPr>
                <w:rFonts w:eastAsia="Times New Roman" w:cs="Calibri"/>
                <w:sz w:val="20"/>
                <w:szCs w:val="20"/>
                <w:lang w:eastAsia="sr-Latn-ME"/>
              </w:rPr>
            </w:pPr>
            <w:r w:rsidRPr="000152CB">
              <w:rPr>
                <w:rFonts w:eastAsia="Times New Roman" w:cs="Calibri"/>
                <w:sz w:val="20"/>
                <w:szCs w:val="20"/>
                <w:lang w:eastAsia="sr-Latn-ME"/>
              </w:rPr>
              <w:t>MZ, DZ PODGORICA, MEPPU</w:t>
            </w:r>
          </w:p>
        </w:tc>
        <w:tc>
          <w:tcPr>
            <w:tcW w:w="2386" w:type="dxa"/>
            <w:gridSpan w:val="3"/>
            <w:tcBorders>
              <w:top w:val="nil"/>
              <w:left w:val="single" w:sz="4" w:space="0" w:color="auto"/>
              <w:bottom w:val="single" w:sz="4" w:space="0" w:color="auto"/>
              <w:right w:val="single" w:sz="4" w:space="0" w:color="auto"/>
            </w:tcBorders>
            <w:shd w:val="clear" w:color="auto" w:fill="92D050"/>
            <w:tcMar>
              <w:top w:w="0" w:type="dxa"/>
              <w:left w:w="108" w:type="dxa"/>
              <w:bottom w:w="0" w:type="dxa"/>
              <w:right w:w="108" w:type="dxa"/>
            </w:tcMar>
            <w:vAlign w:val="center"/>
          </w:tcPr>
          <w:p w14:paraId="5765B0FC" w14:textId="17CE1DF5" w:rsidR="003D4860" w:rsidRPr="000152CB" w:rsidRDefault="003D4860" w:rsidP="003D4860">
            <w:pPr>
              <w:spacing w:after="0" w:line="240" w:lineRule="auto"/>
              <w:rPr>
                <w:rFonts w:eastAsia="Times New Roman" w:cstheme="minorHAnsi"/>
                <w:sz w:val="20"/>
                <w:szCs w:val="20"/>
                <w:lang w:eastAsia="sr-Latn-ME"/>
              </w:rPr>
            </w:pPr>
            <w:r w:rsidRPr="000152CB">
              <w:rPr>
                <w:rFonts w:cstheme="minorHAnsi"/>
                <w:color w:val="000000"/>
                <w:sz w:val="20"/>
                <w:szCs w:val="20"/>
              </w:rPr>
              <w:t>Ministarstvo ekologije, prostornog planiranja i urbanizma raspisalo je međunarodni konkurs za Idejno arhitektonsko rješenje objekta doma zdravlja u City kvartu u Podgorici.</w:t>
            </w:r>
          </w:p>
        </w:tc>
        <w:tc>
          <w:tcPr>
            <w:tcW w:w="1357" w:type="dxa"/>
            <w:tcBorders>
              <w:top w:val="single" w:sz="4" w:space="0" w:color="000000"/>
              <w:left w:val="single" w:sz="4" w:space="0" w:color="000000"/>
              <w:bottom w:val="single" w:sz="4" w:space="0" w:color="000000"/>
              <w:right w:val="single" w:sz="4" w:space="0" w:color="000000"/>
            </w:tcBorders>
          </w:tcPr>
          <w:p w14:paraId="73438691" w14:textId="77777777" w:rsidR="003D4860" w:rsidRPr="000152CB" w:rsidRDefault="003D4860" w:rsidP="003D4860">
            <w:pPr>
              <w:spacing w:after="0" w:line="240" w:lineRule="auto"/>
              <w:rPr>
                <w:rFonts w:eastAsia="Times New Roman" w:cs="Calibri"/>
                <w:sz w:val="20"/>
                <w:szCs w:val="20"/>
                <w:lang w:eastAsia="sr-Latn-ME"/>
              </w:rPr>
            </w:pPr>
            <w:r w:rsidRPr="000152CB">
              <w:rPr>
                <w:rFonts w:eastAsia="Times New Roman" w:cs="Calibri"/>
                <w:sz w:val="20"/>
                <w:szCs w:val="20"/>
                <w:lang w:eastAsia="sr-Latn-ME"/>
              </w:rPr>
              <w:t xml:space="preserve"> IIQ 2023-IVQ 2024</w:t>
            </w:r>
          </w:p>
        </w:tc>
        <w:tc>
          <w:tcPr>
            <w:tcW w:w="138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8E636A" w14:textId="37CAFD9A" w:rsidR="003D4860" w:rsidRPr="000152CB" w:rsidRDefault="003D4860" w:rsidP="003D4860">
            <w:pPr>
              <w:spacing w:after="0" w:line="240" w:lineRule="auto"/>
              <w:rPr>
                <w:rFonts w:eastAsia="Times New Roman" w:cs="Calibri"/>
                <w:sz w:val="20"/>
                <w:szCs w:val="20"/>
                <w:lang w:eastAsia="sr-Latn-ME"/>
              </w:rPr>
            </w:pPr>
            <w:r w:rsidRPr="000152CB">
              <w:rPr>
                <w:rFonts w:eastAsia="Times New Roman" w:cs="Calibri"/>
                <w:sz w:val="20"/>
                <w:szCs w:val="20"/>
                <w:lang w:eastAsia="sr-Latn-ME"/>
              </w:rPr>
              <w:t>Planirana sredstva: 100.000,00</w:t>
            </w:r>
            <w:r w:rsidR="0042720A" w:rsidRPr="000152CB">
              <w:rPr>
                <w:rFonts w:eastAsia="Times New Roman" w:cs="Calibri"/>
                <w:sz w:val="20"/>
                <w:szCs w:val="20"/>
                <w:lang w:eastAsia="sr-Latn-ME"/>
              </w:rPr>
              <w:t xml:space="preserve"> eura</w:t>
            </w:r>
          </w:p>
          <w:p w14:paraId="71887B00" w14:textId="77777777" w:rsidR="003D4860" w:rsidRPr="000152CB" w:rsidRDefault="003D4860" w:rsidP="003D4860">
            <w:pPr>
              <w:spacing w:after="0" w:line="240" w:lineRule="auto"/>
              <w:rPr>
                <w:rFonts w:eastAsia="Times New Roman" w:cs="Calibri"/>
                <w:sz w:val="20"/>
                <w:szCs w:val="20"/>
                <w:lang w:eastAsia="sr-Latn-ME"/>
              </w:rPr>
            </w:pPr>
          </w:p>
          <w:p w14:paraId="1BE39043" w14:textId="62563CC5" w:rsidR="003D4860" w:rsidRPr="000152CB" w:rsidRDefault="003D4860" w:rsidP="003D4860">
            <w:pPr>
              <w:spacing w:after="0" w:line="240" w:lineRule="auto"/>
              <w:rPr>
                <w:rFonts w:eastAsia="Times New Roman" w:cs="Calibri"/>
                <w:sz w:val="20"/>
                <w:szCs w:val="20"/>
                <w:lang w:eastAsia="sr-Latn-ME"/>
              </w:rPr>
            </w:pPr>
            <w:r w:rsidRPr="000152CB">
              <w:rPr>
                <w:rFonts w:eastAsia="Times New Roman" w:cs="Calibri"/>
                <w:sz w:val="20"/>
                <w:szCs w:val="20"/>
                <w:lang w:eastAsia="sr-Latn-ME"/>
              </w:rPr>
              <w:t>Utrošena sredstva:</w:t>
            </w:r>
            <w:r w:rsidR="0042720A" w:rsidRPr="000152CB">
              <w:rPr>
                <w:rFonts w:eastAsia="Times New Roman" w:cs="Calibri"/>
                <w:sz w:val="20"/>
                <w:szCs w:val="20"/>
                <w:lang w:eastAsia="sr-Latn-ME"/>
              </w:rPr>
              <w:t xml:space="preserve"> 100.000,00 eura</w:t>
            </w:r>
          </w:p>
        </w:tc>
        <w:tc>
          <w:tcPr>
            <w:tcW w:w="1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221084" w14:textId="77777777" w:rsidR="003D4860" w:rsidRPr="000152CB" w:rsidRDefault="003D4860" w:rsidP="003D4860">
            <w:pPr>
              <w:spacing w:after="0" w:line="240" w:lineRule="auto"/>
              <w:rPr>
                <w:rFonts w:eastAsia="Times New Roman" w:cs="Calibri"/>
                <w:sz w:val="20"/>
                <w:szCs w:val="20"/>
                <w:lang w:eastAsia="sr-Latn-ME"/>
              </w:rPr>
            </w:pPr>
            <w:r w:rsidRPr="000152CB">
              <w:rPr>
                <w:rFonts w:eastAsia="Times New Roman" w:cs="Calibri"/>
                <w:sz w:val="20"/>
                <w:szCs w:val="20"/>
                <w:lang w:eastAsia="sr-Latn-ME"/>
              </w:rPr>
              <w:t>Kapitalni budžet države</w:t>
            </w:r>
          </w:p>
        </w:tc>
        <w:tc>
          <w:tcPr>
            <w:tcW w:w="1864" w:type="dxa"/>
            <w:tcBorders>
              <w:top w:val="single" w:sz="4" w:space="0" w:color="000000"/>
              <w:left w:val="single" w:sz="4" w:space="0" w:color="000000"/>
              <w:bottom w:val="single" w:sz="4" w:space="0" w:color="000000"/>
              <w:right w:val="single" w:sz="4" w:space="0" w:color="000000"/>
            </w:tcBorders>
          </w:tcPr>
          <w:p w14:paraId="29E057F2" w14:textId="77777777" w:rsidR="003D4860" w:rsidRPr="000152CB" w:rsidRDefault="003D4860" w:rsidP="003D4860">
            <w:pPr>
              <w:spacing w:after="0" w:line="240" w:lineRule="auto"/>
              <w:rPr>
                <w:rFonts w:eastAsia="Times New Roman" w:cs="Calibri"/>
                <w:sz w:val="20"/>
                <w:szCs w:val="20"/>
                <w:lang w:eastAsia="sr-Latn-ME"/>
              </w:rPr>
            </w:pPr>
          </w:p>
        </w:tc>
      </w:tr>
      <w:tr w:rsidR="003D4860" w:rsidRPr="000152CB" w14:paraId="6F0AB50D" w14:textId="77777777" w:rsidTr="00F00238">
        <w:trPr>
          <w:trHeight w:val="585"/>
          <w:jc w:val="center"/>
        </w:trPr>
        <w:tc>
          <w:tcPr>
            <w:tcW w:w="3324" w:type="dxa"/>
            <w:vMerge/>
            <w:tcBorders>
              <w:left w:val="single" w:sz="4" w:space="0" w:color="000000"/>
              <w:right w:val="single" w:sz="4" w:space="0" w:color="000000"/>
            </w:tcBorders>
            <w:tcMar>
              <w:top w:w="0" w:type="dxa"/>
              <w:left w:w="108" w:type="dxa"/>
              <w:bottom w:w="0" w:type="dxa"/>
              <w:right w:w="108" w:type="dxa"/>
            </w:tcMar>
          </w:tcPr>
          <w:p w14:paraId="2BA10FFC" w14:textId="77777777" w:rsidR="003D4860" w:rsidRPr="000152CB" w:rsidRDefault="003D4860" w:rsidP="003D4860">
            <w:pPr>
              <w:spacing w:line="240" w:lineRule="auto"/>
              <w:ind w:left="270"/>
              <w:textAlignment w:val="baseline"/>
              <w:rPr>
                <w:rFonts w:eastAsia="Times New Roman" w:cs="Calibri"/>
                <w:color w:val="000000"/>
                <w:sz w:val="20"/>
                <w:szCs w:val="20"/>
                <w:lang w:eastAsia="sr-Latn-ME"/>
              </w:rPr>
            </w:pPr>
          </w:p>
        </w:tc>
        <w:tc>
          <w:tcPr>
            <w:tcW w:w="206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5CEEF69C" w14:textId="77777777" w:rsidR="003D4860" w:rsidRPr="000152CB" w:rsidRDefault="003D4860" w:rsidP="003D4860">
            <w:pPr>
              <w:spacing w:after="0" w:line="240" w:lineRule="auto"/>
              <w:rPr>
                <w:sz w:val="20"/>
                <w:szCs w:val="20"/>
              </w:rPr>
            </w:pPr>
            <w:r w:rsidRPr="000152CB">
              <w:rPr>
                <w:rFonts w:eastAsia="Times New Roman" w:cs="Calibri"/>
                <w:sz w:val="20"/>
                <w:szCs w:val="20"/>
                <w:lang w:eastAsia="sr-Latn-ME"/>
              </w:rPr>
              <w:t xml:space="preserve">Raspisivanje tendera za glavni projekat i izvođenje radova po principu „projektuj i izgradi“ za projekat </w:t>
            </w:r>
            <w:r w:rsidRPr="000152CB">
              <w:rPr>
                <w:rFonts w:eastAsia="Times New Roman" w:cs="Calibri"/>
                <w:sz w:val="20"/>
                <w:szCs w:val="20"/>
                <w:lang w:eastAsia="sr-Latn-ME"/>
              </w:rPr>
              <w:lastRenderedPageBreak/>
              <w:t>Rekonstrukcije objekta stare onkologije (za potrebe Klinike za hematologiju sa PET CT centrom)</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77A420" w14:textId="77777777" w:rsidR="003D4860" w:rsidRPr="000152CB" w:rsidRDefault="003D4860" w:rsidP="003D4860">
            <w:pPr>
              <w:spacing w:after="0" w:line="240" w:lineRule="auto"/>
              <w:rPr>
                <w:rFonts w:eastAsia="Times New Roman" w:cs="Calibri"/>
                <w:sz w:val="20"/>
                <w:szCs w:val="20"/>
                <w:lang w:eastAsia="sr-Latn-ME"/>
              </w:rPr>
            </w:pPr>
            <w:r w:rsidRPr="000152CB">
              <w:rPr>
                <w:rFonts w:eastAsia="Times New Roman" w:cs="Calibri"/>
                <w:sz w:val="20"/>
                <w:szCs w:val="20"/>
                <w:lang w:eastAsia="sr-Latn-ME"/>
              </w:rPr>
              <w:lastRenderedPageBreak/>
              <w:t>MZ, KCCG, UKP</w:t>
            </w:r>
          </w:p>
        </w:tc>
        <w:tc>
          <w:tcPr>
            <w:tcW w:w="2386" w:type="dxa"/>
            <w:gridSpan w:val="3"/>
            <w:tcBorders>
              <w:top w:val="nil"/>
              <w:left w:val="single" w:sz="4" w:space="0" w:color="auto"/>
              <w:bottom w:val="single" w:sz="4" w:space="0" w:color="auto"/>
              <w:right w:val="single" w:sz="4" w:space="0" w:color="auto"/>
            </w:tcBorders>
            <w:shd w:val="clear" w:color="auto" w:fill="FFFF00"/>
            <w:tcMar>
              <w:top w:w="0" w:type="dxa"/>
              <w:left w:w="108" w:type="dxa"/>
              <w:bottom w:w="0" w:type="dxa"/>
              <w:right w:w="108" w:type="dxa"/>
            </w:tcMar>
            <w:vAlign w:val="bottom"/>
          </w:tcPr>
          <w:p w14:paraId="46E03737" w14:textId="546475F8" w:rsidR="003D4860" w:rsidRPr="000152CB" w:rsidRDefault="003D4860" w:rsidP="003D4860">
            <w:pPr>
              <w:spacing w:after="0" w:line="240" w:lineRule="auto"/>
              <w:rPr>
                <w:rFonts w:eastAsia="Times New Roman" w:cstheme="minorHAnsi"/>
                <w:sz w:val="20"/>
                <w:szCs w:val="20"/>
                <w:lang w:eastAsia="sr-Latn-ME"/>
              </w:rPr>
            </w:pPr>
            <w:r w:rsidRPr="000152CB">
              <w:rPr>
                <w:rFonts w:cstheme="minorHAnsi"/>
                <w:color w:val="000000"/>
                <w:sz w:val="20"/>
                <w:szCs w:val="20"/>
              </w:rPr>
              <w:t xml:space="preserve">U saradnji sa IAEA je utvrđeno da je nemoguće rekonstruisati postojeći objekat stare onkologije i odlučeno je da se gradi </w:t>
            </w:r>
            <w:r w:rsidRPr="000152CB">
              <w:rPr>
                <w:rFonts w:cstheme="minorHAnsi"/>
                <w:color w:val="000000"/>
                <w:sz w:val="20"/>
                <w:szCs w:val="20"/>
              </w:rPr>
              <w:lastRenderedPageBreak/>
              <w:t>novi objekat. Završen je i revidovan glavni projekat, slijedi raspisivanje tendera za izbor izvođača radova</w:t>
            </w:r>
          </w:p>
        </w:tc>
        <w:tc>
          <w:tcPr>
            <w:tcW w:w="1357" w:type="dxa"/>
            <w:tcBorders>
              <w:top w:val="single" w:sz="4" w:space="0" w:color="000000"/>
              <w:left w:val="single" w:sz="4" w:space="0" w:color="000000"/>
              <w:bottom w:val="single" w:sz="4" w:space="0" w:color="000000"/>
              <w:right w:val="single" w:sz="4" w:space="0" w:color="000000"/>
            </w:tcBorders>
          </w:tcPr>
          <w:p w14:paraId="22B31FC9" w14:textId="77777777" w:rsidR="003D4860" w:rsidRPr="000152CB" w:rsidRDefault="003D4860" w:rsidP="003D4860">
            <w:pPr>
              <w:spacing w:after="0" w:line="240" w:lineRule="auto"/>
              <w:rPr>
                <w:rFonts w:eastAsia="Times New Roman" w:cs="Calibri"/>
                <w:sz w:val="20"/>
                <w:szCs w:val="20"/>
                <w:lang w:eastAsia="sr-Latn-ME"/>
              </w:rPr>
            </w:pPr>
            <w:r w:rsidRPr="000152CB">
              <w:rPr>
                <w:rFonts w:eastAsia="Times New Roman" w:cs="Calibri"/>
                <w:sz w:val="20"/>
                <w:szCs w:val="20"/>
                <w:lang w:eastAsia="sr-Latn-ME"/>
              </w:rPr>
              <w:lastRenderedPageBreak/>
              <w:t xml:space="preserve"> IIQ 2023-III Q 2023</w:t>
            </w:r>
          </w:p>
        </w:tc>
        <w:tc>
          <w:tcPr>
            <w:tcW w:w="138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D71D96" w14:textId="77777777" w:rsidR="003D4860" w:rsidRPr="000152CB" w:rsidRDefault="003D4860" w:rsidP="003D4860">
            <w:pPr>
              <w:spacing w:after="0" w:line="240" w:lineRule="auto"/>
              <w:rPr>
                <w:rFonts w:eastAsia="Times New Roman" w:cs="Calibri"/>
                <w:sz w:val="20"/>
                <w:szCs w:val="20"/>
                <w:lang w:eastAsia="sr-Latn-ME"/>
              </w:rPr>
            </w:pPr>
            <w:r w:rsidRPr="000152CB">
              <w:rPr>
                <w:rFonts w:eastAsia="Times New Roman" w:cs="Calibri"/>
                <w:sz w:val="20"/>
                <w:szCs w:val="20"/>
                <w:lang w:eastAsia="sr-Latn-ME"/>
              </w:rPr>
              <w:t>N/A</w:t>
            </w:r>
          </w:p>
        </w:tc>
        <w:tc>
          <w:tcPr>
            <w:tcW w:w="1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96ECD7" w14:textId="77777777" w:rsidR="003D4860" w:rsidRPr="000152CB" w:rsidRDefault="003D4860" w:rsidP="003D4860">
            <w:pPr>
              <w:spacing w:after="0" w:line="240" w:lineRule="auto"/>
              <w:rPr>
                <w:rFonts w:eastAsia="Times New Roman" w:cs="Calibri"/>
                <w:sz w:val="20"/>
                <w:szCs w:val="20"/>
                <w:lang w:eastAsia="sr-Latn-ME"/>
              </w:rPr>
            </w:pPr>
            <w:r w:rsidRPr="000152CB">
              <w:rPr>
                <w:rFonts w:eastAsia="Times New Roman" w:cs="Calibri"/>
                <w:sz w:val="20"/>
                <w:szCs w:val="20"/>
                <w:lang w:eastAsia="sr-Latn-ME"/>
              </w:rPr>
              <w:t>Kapitalni budžet države</w:t>
            </w:r>
          </w:p>
        </w:tc>
        <w:tc>
          <w:tcPr>
            <w:tcW w:w="1864" w:type="dxa"/>
            <w:tcBorders>
              <w:top w:val="single" w:sz="4" w:space="0" w:color="000000"/>
              <w:left w:val="single" w:sz="4" w:space="0" w:color="000000"/>
              <w:bottom w:val="single" w:sz="4" w:space="0" w:color="000000"/>
              <w:right w:val="single" w:sz="4" w:space="0" w:color="000000"/>
            </w:tcBorders>
          </w:tcPr>
          <w:p w14:paraId="0008DCC9" w14:textId="34985E3F" w:rsidR="003D4860" w:rsidRPr="000152CB" w:rsidRDefault="003D3A26" w:rsidP="003D4860">
            <w:pPr>
              <w:spacing w:after="0" w:line="240" w:lineRule="auto"/>
              <w:rPr>
                <w:rFonts w:eastAsia="Times New Roman" w:cs="Calibri"/>
                <w:sz w:val="20"/>
                <w:szCs w:val="20"/>
                <w:lang w:eastAsia="sr-Latn-ME"/>
              </w:rPr>
            </w:pPr>
            <w:r w:rsidRPr="000152CB">
              <w:rPr>
                <w:rFonts w:eastAsia="Times New Roman" w:cs="Calibri"/>
                <w:sz w:val="20"/>
                <w:szCs w:val="20"/>
                <w:lang w:eastAsia="sr-Latn-ME"/>
              </w:rPr>
              <w:t>Novi rok za realizaciju aktivnosti je III kvartal 2025. godine</w:t>
            </w:r>
          </w:p>
        </w:tc>
      </w:tr>
      <w:tr w:rsidR="00FD6E82" w:rsidRPr="000152CB" w14:paraId="39C5B419" w14:textId="77777777" w:rsidTr="00D049F6">
        <w:trPr>
          <w:trHeight w:val="585"/>
          <w:jc w:val="center"/>
        </w:trPr>
        <w:tc>
          <w:tcPr>
            <w:tcW w:w="3324" w:type="dxa"/>
            <w:vMerge/>
            <w:tcBorders>
              <w:left w:val="single" w:sz="4" w:space="0" w:color="000000"/>
              <w:right w:val="single" w:sz="4" w:space="0" w:color="000000"/>
            </w:tcBorders>
            <w:tcMar>
              <w:top w:w="0" w:type="dxa"/>
              <w:left w:w="108" w:type="dxa"/>
              <w:bottom w:w="0" w:type="dxa"/>
              <w:right w:w="108" w:type="dxa"/>
            </w:tcMar>
          </w:tcPr>
          <w:p w14:paraId="08D0B01C" w14:textId="77777777" w:rsidR="00FD6E82" w:rsidRPr="000152CB" w:rsidRDefault="00FD6E82" w:rsidP="00FD6E82">
            <w:pPr>
              <w:spacing w:line="240" w:lineRule="auto"/>
              <w:ind w:left="270"/>
              <w:textAlignment w:val="baseline"/>
              <w:rPr>
                <w:rFonts w:eastAsia="Times New Roman" w:cs="Calibri"/>
                <w:color w:val="000000"/>
                <w:sz w:val="20"/>
                <w:szCs w:val="20"/>
                <w:lang w:eastAsia="sr-Latn-ME"/>
              </w:rPr>
            </w:pPr>
          </w:p>
        </w:tc>
        <w:tc>
          <w:tcPr>
            <w:tcW w:w="206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4900D127" w14:textId="77777777" w:rsidR="00FD6E82" w:rsidRPr="000152CB" w:rsidRDefault="00FD6E82" w:rsidP="00FD6E82">
            <w:pPr>
              <w:spacing w:after="0" w:line="240" w:lineRule="auto"/>
              <w:rPr>
                <w:sz w:val="20"/>
                <w:szCs w:val="20"/>
              </w:rPr>
            </w:pPr>
            <w:r w:rsidRPr="000152CB">
              <w:rPr>
                <w:rFonts w:eastAsia="Times New Roman" w:cs="Calibri"/>
                <w:sz w:val="20"/>
                <w:szCs w:val="20"/>
                <w:lang w:eastAsia="sr-Latn-ME"/>
              </w:rPr>
              <w:t xml:space="preserve">Rekonstruisan i stavljen u funkciju objekat stare onkologije (za potrebe Klinike za hematologiju sa PET CT centrom) </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649ABD"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MZ. KCCG, UKP</w:t>
            </w:r>
          </w:p>
        </w:tc>
        <w:tc>
          <w:tcPr>
            <w:tcW w:w="2386" w:type="dxa"/>
            <w:gridSpan w:val="3"/>
            <w:tcBorders>
              <w:top w:val="single" w:sz="4" w:space="0" w:color="000000"/>
              <w:left w:val="single" w:sz="4" w:space="0" w:color="000000"/>
              <w:bottom w:val="single" w:sz="4" w:space="0" w:color="000000"/>
              <w:right w:val="single" w:sz="4" w:space="0" w:color="000000"/>
            </w:tcBorders>
            <w:shd w:val="clear" w:color="auto" w:fill="FF0000"/>
            <w:tcMar>
              <w:top w:w="0" w:type="dxa"/>
              <w:left w:w="108" w:type="dxa"/>
              <w:bottom w:w="0" w:type="dxa"/>
              <w:right w:w="108" w:type="dxa"/>
            </w:tcMar>
          </w:tcPr>
          <w:p w14:paraId="119108C6" w14:textId="2043EDDF" w:rsidR="00FD6E82" w:rsidRPr="000152CB" w:rsidRDefault="00D049F6"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 xml:space="preserve"> U saradnji sa IAEA je utvrđeno da je nemoguće rekonstruisati postojeći objekat stare onkologije i odlučeno je da se gradi novi objekat. Završen je i revidovan glavni projekat, slijedi raspisivanje tendera za izbor izvođača radova. Očekivano rok završetka radova je 18 mjeseci od uvođenja izvođača u posao</w:t>
            </w:r>
          </w:p>
        </w:tc>
        <w:tc>
          <w:tcPr>
            <w:tcW w:w="1357" w:type="dxa"/>
            <w:tcBorders>
              <w:top w:val="single" w:sz="4" w:space="0" w:color="000000"/>
              <w:left w:val="single" w:sz="4" w:space="0" w:color="000000"/>
              <w:bottom w:val="single" w:sz="4" w:space="0" w:color="000000"/>
              <w:right w:val="single" w:sz="4" w:space="0" w:color="000000"/>
            </w:tcBorders>
          </w:tcPr>
          <w:p w14:paraId="040A4BAE"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 xml:space="preserve">  IV Q 2023-IV Q 2024</w:t>
            </w:r>
          </w:p>
        </w:tc>
        <w:tc>
          <w:tcPr>
            <w:tcW w:w="138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060B16"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Planirana sredstva: 5.500.000,00€</w:t>
            </w:r>
          </w:p>
          <w:p w14:paraId="74E3F94C" w14:textId="77777777" w:rsidR="00FD6E82" w:rsidRPr="000152CB" w:rsidRDefault="00FD6E82" w:rsidP="00FD6E82">
            <w:pPr>
              <w:spacing w:after="0" w:line="240" w:lineRule="auto"/>
              <w:rPr>
                <w:rFonts w:eastAsia="Times New Roman" w:cs="Calibri"/>
                <w:sz w:val="20"/>
                <w:szCs w:val="20"/>
                <w:lang w:eastAsia="sr-Latn-ME"/>
              </w:rPr>
            </w:pPr>
          </w:p>
          <w:p w14:paraId="68DFBC30" w14:textId="75B309B4" w:rsidR="00FD6E82" w:rsidRPr="000152CB" w:rsidRDefault="00FD6E82" w:rsidP="00FD6E82">
            <w:pPr>
              <w:spacing w:after="0" w:line="240" w:lineRule="auto"/>
              <w:rPr>
                <w:rFonts w:eastAsia="Times New Roman" w:cs="Calibri"/>
                <w:sz w:val="20"/>
                <w:szCs w:val="20"/>
                <w:lang w:eastAsia="sr-Latn-ME"/>
              </w:rPr>
            </w:pPr>
          </w:p>
        </w:tc>
        <w:tc>
          <w:tcPr>
            <w:tcW w:w="1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4366B6"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Kapitalni budžet države</w:t>
            </w:r>
          </w:p>
        </w:tc>
        <w:tc>
          <w:tcPr>
            <w:tcW w:w="1864" w:type="dxa"/>
            <w:tcBorders>
              <w:top w:val="single" w:sz="4" w:space="0" w:color="000000"/>
              <w:left w:val="single" w:sz="4" w:space="0" w:color="000000"/>
              <w:bottom w:val="single" w:sz="4" w:space="0" w:color="000000"/>
              <w:right w:val="single" w:sz="4" w:space="0" w:color="000000"/>
            </w:tcBorders>
          </w:tcPr>
          <w:p w14:paraId="36C835D3" w14:textId="23FD185B" w:rsidR="00FD6E82" w:rsidRPr="000152CB" w:rsidRDefault="003D3A26"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Novi rok za realizaciju aktivnosti je II kvartal 2026. godine</w:t>
            </w:r>
          </w:p>
        </w:tc>
      </w:tr>
      <w:tr w:rsidR="00FD6E82" w:rsidRPr="000152CB" w14:paraId="46DC3B68" w14:textId="77777777" w:rsidTr="00D049F6">
        <w:trPr>
          <w:trHeight w:val="585"/>
          <w:jc w:val="center"/>
        </w:trPr>
        <w:tc>
          <w:tcPr>
            <w:tcW w:w="3324" w:type="dxa"/>
            <w:vMerge/>
            <w:tcBorders>
              <w:left w:val="single" w:sz="4" w:space="0" w:color="000000"/>
              <w:right w:val="single" w:sz="4" w:space="0" w:color="000000"/>
            </w:tcBorders>
            <w:tcMar>
              <w:top w:w="0" w:type="dxa"/>
              <w:left w:w="108" w:type="dxa"/>
              <w:bottom w:w="0" w:type="dxa"/>
              <w:right w:w="108" w:type="dxa"/>
            </w:tcMar>
          </w:tcPr>
          <w:p w14:paraId="709AF1C1" w14:textId="77777777" w:rsidR="00FD6E82" w:rsidRPr="000152CB" w:rsidRDefault="00FD6E82" w:rsidP="00FD6E82">
            <w:pPr>
              <w:spacing w:line="240" w:lineRule="auto"/>
              <w:ind w:left="270"/>
              <w:textAlignment w:val="baseline"/>
              <w:rPr>
                <w:rFonts w:eastAsia="Times New Roman" w:cs="Calibri"/>
                <w:color w:val="000000"/>
                <w:sz w:val="20"/>
                <w:szCs w:val="20"/>
                <w:lang w:eastAsia="sr-Latn-ME"/>
              </w:rPr>
            </w:pPr>
          </w:p>
        </w:tc>
        <w:tc>
          <w:tcPr>
            <w:tcW w:w="206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03396EAE" w14:textId="77777777" w:rsidR="00FD6E82" w:rsidRPr="000152CB" w:rsidRDefault="00FD6E82" w:rsidP="00FD6E82">
            <w:pPr>
              <w:spacing w:after="0" w:line="240" w:lineRule="auto"/>
              <w:rPr>
                <w:sz w:val="20"/>
                <w:szCs w:val="20"/>
              </w:rPr>
            </w:pPr>
            <w:r w:rsidRPr="000152CB">
              <w:rPr>
                <w:sz w:val="20"/>
                <w:szCs w:val="20"/>
              </w:rPr>
              <w:t>Izrada Studije opravdanosti za unapređenje energetske efikasnosti u 3 zdravstvene ustanove u Crnoj Gori (KCCG, OB BIJELO POLJE I OB CETINJE)</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57BC89"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MZ, zdravstvene ustanove</w:t>
            </w:r>
          </w:p>
        </w:tc>
        <w:tc>
          <w:tcPr>
            <w:tcW w:w="2386" w:type="dxa"/>
            <w:gridSpan w:val="3"/>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39E8BDDF" w14:textId="7C5FE847" w:rsidR="00FD6E82" w:rsidRPr="000152CB" w:rsidRDefault="00D049F6"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U kontinuitetu saradnja sa  EBRD i rad na svim pripremnim aktivnostima koje će dovesti do izbora izvođača i uspješne implementacije projekta energetske efikasnosti u navedenim ustanovama.</w:t>
            </w:r>
          </w:p>
        </w:tc>
        <w:tc>
          <w:tcPr>
            <w:tcW w:w="1357" w:type="dxa"/>
            <w:tcBorders>
              <w:top w:val="single" w:sz="4" w:space="0" w:color="000000"/>
              <w:left w:val="single" w:sz="4" w:space="0" w:color="000000"/>
              <w:bottom w:val="single" w:sz="4" w:space="0" w:color="000000"/>
              <w:right w:val="single" w:sz="4" w:space="0" w:color="000000"/>
            </w:tcBorders>
          </w:tcPr>
          <w:p w14:paraId="30C8E649"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 xml:space="preserve"> IQ 2023-IIIQ 2023</w:t>
            </w:r>
          </w:p>
        </w:tc>
        <w:tc>
          <w:tcPr>
            <w:tcW w:w="138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3742EE"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N/A</w:t>
            </w:r>
          </w:p>
        </w:tc>
        <w:tc>
          <w:tcPr>
            <w:tcW w:w="1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0F7815"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Evropska banka za obnovu i razvoj (EBRD)</w:t>
            </w:r>
          </w:p>
        </w:tc>
        <w:tc>
          <w:tcPr>
            <w:tcW w:w="1864" w:type="dxa"/>
            <w:tcBorders>
              <w:top w:val="single" w:sz="4" w:space="0" w:color="000000"/>
              <w:left w:val="single" w:sz="4" w:space="0" w:color="000000"/>
              <w:bottom w:val="single" w:sz="4" w:space="0" w:color="000000"/>
              <w:right w:val="single" w:sz="4" w:space="0" w:color="000000"/>
            </w:tcBorders>
          </w:tcPr>
          <w:p w14:paraId="397E8C61" w14:textId="77777777" w:rsidR="00FD6E82" w:rsidRPr="000152CB" w:rsidRDefault="00FD6E82" w:rsidP="00FD6E82">
            <w:pPr>
              <w:spacing w:after="0" w:line="240" w:lineRule="auto"/>
              <w:rPr>
                <w:rFonts w:eastAsia="Times New Roman" w:cs="Calibri"/>
                <w:sz w:val="20"/>
                <w:szCs w:val="20"/>
                <w:lang w:eastAsia="sr-Latn-ME"/>
              </w:rPr>
            </w:pPr>
          </w:p>
        </w:tc>
      </w:tr>
      <w:tr w:rsidR="00FD6E82" w:rsidRPr="000152CB" w14:paraId="3F2CB699" w14:textId="77777777" w:rsidTr="00D049F6">
        <w:trPr>
          <w:trHeight w:val="585"/>
          <w:jc w:val="center"/>
        </w:trPr>
        <w:tc>
          <w:tcPr>
            <w:tcW w:w="33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FDA47" w14:textId="77777777" w:rsidR="00FD6E82" w:rsidRPr="000152CB" w:rsidRDefault="00FD6E82" w:rsidP="00FD6E82">
            <w:pPr>
              <w:spacing w:line="240" w:lineRule="auto"/>
              <w:textAlignment w:val="baseline"/>
              <w:rPr>
                <w:rFonts w:eastAsia="Times New Roman" w:cs="Calibri"/>
                <w:color w:val="000000"/>
                <w:sz w:val="20"/>
                <w:szCs w:val="20"/>
                <w:lang w:eastAsia="sr-Latn-ME"/>
              </w:rPr>
            </w:pPr>
            <w:r w:rsidRPr="000152CB">
              <w:rPr>
                <w:rFonts w:eastAsia="Times New Roman" w:cs="Calibri"/>
                <w:color w:val="000000"/>
                <w:sz w:val="20"/>
                <w:szCs w:val="20"/>
                <w:lang w:eastAsia="sr-Latn-ME"/>
              </w:rPr>
              <w:t>3.2.2. Jačanje kadrovskih kapaciteta sa fokusom na novoformirane klinike pri OB Kotor i OB Berane</w:t>
            </w:r>
          </w:p>
        </w:tc>
        <w:tc>
          <w:tcPr>
            <w:tcW w:w="2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C592EF" w14:textId="77777777" w:rsidR="00FD6E82" w:rsidRPr="000152CB" w:rsidRDefault="00FD6E82" w:rsidP="00FD6E82">
            <w:pPr>
              <w:spacing w:after="0" w:line="240" w:lineRule="auto"/>
              <w:rPr>
                <w:sz w:val="20"/>
                <w:szCs w:val="20"/>
              </w:rPr>
            </w:pPr>
            <w:r w:rsidRPr="000152CB">
              <w:rPr>
                <w:sz w:val="20"/>
                <w:szCs w:val="20"/>
              </w:rPr>
              <w:t xml:space="preserve">Izmijenjeni </w:t>
            </w:r>
            <w:r w:rsidRPr="000152CB">
              <w:rPr>
                <w:rFonts w:eastAsia="Times New Roman" w:cs="Calibri"/>
                <w:color w:val="000000"/>
                <w:sz w:val="20"/>
                <w:szCs w:val="20"/>
                <w:lang w:eastAsia="sr-Latn-ME"/>
              </w:rPr>
              <w:t>akti o unutrašnjoj organizaciji i sistematizaciji OB Kotor i OB Berane</w:t>
            </w:r>
          </w:p>
          <w:p w14:paraId="15A2BD0F" w14:textId="77777777" w:rsidR="00FD6E82" w:rsidRPr="000152CB" w:rsidRDefault="00FD6E82" w:rsidP="00FD6E82">
            <w:pPr>
              <w:spacing w:after="0" w:line="240" w:lineRule="auto"/>
              <w:ind w:left="270"/>
              <w:rPr>
                <w:sz w:val="20"/>
                <w:szCs w:val="20"/>
              </w:rPr>
            </w:pPr>
          </w:p>
          <w:p w14:paraId="1F3BA106" w14:textId="77777777" w:rsidR="00FD6E82" w:rsidRPr="000152CB" w:rsidRDefault="00FD6E82" w:rsidP="00FD6E82">
            <w:pPr>
              <w:spacing w:after="0" w:line="240" w:lineRule="auto"/>
              <w:rPr>
                <w:sz w:val="20"/>
                <w:szCs w:val="20"/>
              </w:rPr>
            </w:pPr>
            <w:r w:rsidRPr="000152CB">
              <w:rPr>
                <w:sz w:val="20"/>
                <w:szCs w:val="20"/>
              </w:rPr>
              <w:t>Broj raspisanih specijalizacija i užih specijalizacija</w:t>
            </w:r>
          </w:p>
          <w:p w14:paraId="4D9D1BFA" w14:textId="77777777" w:rsidR="00FD6E82" w:rsidRPr="000152CB" w:rsidRDefault="00FD6E82" w:rsidP="00FD6E82">
            <w:pPr>
              <w:spacing w:after="0" w:line="240" w:lineRule="auto"/>
              <w:ind w:left="270"/>
              <w:rPr>
                <w:sz w:val="20"/>
                <w:szCs w:val="20"/>
              </w:rPr>
            </w:pPr>
          </w:p>
        </w:tc>
        <w:tc>
          <w:tcPr>
            <w:tcW w:w="1440"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F471386" w14:textId="77777777" w:rsidR="00FD6E82" w:rsidRPr="000152CB" w:rsidRDefault="00FD6E82" w:rsidP="00FD6E82">
            <w:pPr>
              <w:spacing w:after="0" w:line="240" w:lineRule="auto"/>
              <w:ind w:left="270"/>
              <w:rPr>
                <w:rFonts w:eastAsia="Times New Roman" w:cs="Calibri"/>
                <w:sz w:val="20"/>
                <w:szCs w:val="20"/>
                <w:lang w:eastAsia="sr-Latn-ME"/>
              </w:rPr>
            </w:pPr>
          </w:p>
        </w:tc>
        <w:tc>
          <w:tcPr>
            <w:tcW w:w="2386" w:type="dxa"/>
            <w:gridSpan w:val="3"/>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04C4BD05" w14:textId="62A2D999" w:rsidR="00FD6E82" w:rsidRPr="000152CB" w:rsidRDefault="003D3A26" w:rsidP="00FD6E82">
            <w:pPr>
              <w:spacing w:after="0" w:line="240" w:lineRule="auto"/>
              <w:rPr>
                <w:sz w:val="20"/>
                <w:szCs w:val="20"/>
              </w:rPr>
            </w:pPr>
            <w:r w:rsidRPr="000152CB">
              <w:rPr>
                <w:sz w:val="20"/>
                <w:szCs w:val="20"/>
              </w:rPr>
              <w:t>Aktivnost je u potpunosti realizovana u planiranom roku</w:t>
            </w:r>
          </w:p>
        </w:tc>
        <w:tc>
          <w:tcPr>
            <w:tcW w:w="1357" w:type="dxa"/>
            <w:tcBorders>
              <w:top w:val="single" w:sz="4" w:space="0" w:color="000000"/>
              <w:left w:val="single" w:sz="4" w:space="0" w:color="000000"/>
              <w:bottom w:val="single" w:sz="4" w:space="0" w:color="000000"/>
              <w:right w:val="single" w:sz="4" w:space="0" w:color="000000"/>
            </w:tcBorders>
          </w:tcPr>
          <w:p w14:paraId="0A942B48" w14:textId="77777777" w:rsidR="00FD6E82" w:rsidRPr="000152CB" w:rsidRDefault="00FD6E82" w:rsidP="00FD6E82">
            <w:pPr>
              <w:spacing w:after="0" w:line="240" w:lineRule="auto"/>
              <w:ind w:left="270"/>
              <w:rPr>
                <w:sz w:val="20"/>
                <w:szCs w:val="20"/>
              </w:rPr>
            </w:pPr>
          </w:p>
        </w:tc>
        <w:tc>
          <w:tcPr>
            <w:tcW w:w="138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4D210D" w14:textId="77777777" w:rsidR="00FD6E82" w:rsidRPr="000152CB" w:rsidRDefault="00FD6E82" w:rsidP="00FD6E82">
            <w:pPr>
              <w:spacing w:after="0" w:line="240" w:lineRule="auto"/>
              <w:ind w:left="270"/>
              <w:rPr>
                <w:rFonts w:eastAsia="Times New Roman" w:cs="Calibri"/>
                <w:sz w:val="20"/>
                <w:szCs w:val="20"/>
                <w:lang w:eastAsia="sr-Latn-ME"/>
              </w:rPr>
            </w:pPr>
          </w:p>
        </w:tc>
        <w:tc>
          <w:tcPr>
            <w:tcW w:w="1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9DCE5" w14:textId="77777777" w:rsidR="00FD6E82" w:rsidRPr="000152CB" w:rsidRDefault="00FD6E82" w:rsidP="00FD6E82">
            <w:pPr>
              <w:spacing w:after="0" w:line="240" w:lineRule="auto"/>
              <w:ind w:left="270"/>
              <w:rPr>
                <w:rFonts w:eastAsia="Times New Roman" w:cs="Calibri"/>
                <w:sz w:val="20"/>
                <w:szCs w:val="20"/>
                <w:lang w:eastAsia="sr-Latn-ME"/>
              </w:rPr>
            </w:pPr>
          </w:p>
        </w:tc>
        <w:tc>
          <w:tcPr>
            <w:tcW w:w="1864" w:type="dxa"/>
            <w:tcBorders>
              <w:top w:val="single" w:sz="4" w:space="0" w:color="000000"/>
              <w:left w:val="single" w:sz="4" w:space="0" w:color="000000"/>
              <w:bottom w:val="single" w:sz="4" w:space="0" w:color="000000"/>
              <w:right w:val="single" w:sz="4" w:space="0" w:color="000000"/>
            </w:tcBorders>
          </w:tcPr>
          <w:p w14:paraId="2A9C09B2" w14:textId="77777777" w:rsidR="00FD6E82" w:rsidRPr="000152CB" w:rsidRDefault="00FD6E82" w:rsidP="00FD6E82">
            <w:pPr>
              <w:spacing w:after="0" w:line="240" w:lineRule="auto"/>
              <w:ind w:left="270"/>
              <w:rPr>
                <w:rFonts w:eastAsia="Times New Roman" w:cs="Calibri"/>
                <w:sz w:val="20"/>
                <w:szCs w:val="20"/>
                <w:lang w:eastAsia="sr-Latn-ME"/>
              </w:rPr>
            </w:pPr>
          </w:p>
        </w:tc>
      </w:tr>
      <w:tr w:rsidR="00FD6E82" w:rsidRPr="000152CB" w14:paraId="578F607A" w14:textId="77777777" w:rsidTr="00D049F6">
        <w:trPr>
          <w:trHeight w:val="585"/>
          <w:jc w:val="center"/>
        </w:trPr>
        <w:tc>
          <w:tcPr>
            <w:tcW w:w="33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5E99E" w14:textId="77777777" w:rsidR="00FD6E82" w:rsidRPr="000152CB" w:rsidRDefault="00FD6E82" w:rsidP="00FD6E82">
            <w:pPr>
              <w:spacing w:line="240" w:lineRule="auto"/>
              <w:textAlignment w:val="baseline"/>
              <w:rPr>
                <w:rFonts w:eastAsia="Times New Roman" w:cs="Calibri"/>
                <w:color w:val="000000"/>
                <w:sz w:val="20"/>
                <w:szCs w:val="20"/>
                <w:lang w:eastAsia="sr-Latn-ME"/>
              </w:rPr>
            </w:pPr>
            <w:r w:rsidRPr="000152CB">
              <w:rPr>
                <w:rFonts w:eastAsia="Times New Roman" w:cs="Calibri"/>
                <w:color w:val="000000"/>
                <w:sz w:val="20"/>
                <w:szCs w:val="20"/>
                <w:lang w:eastAsia="sr-Latn-ME"/>
              </w:rPr>
              <w:lastRenderedPageBreak/>
              <w:t xml:space="preserve">3.2.3. Izrada Modela plana pripremljenosti </w:t>
            </w:r>
            <w:bookmarkStart w:id="21" w:name="_Hlk134447643"/>
            <w:r w:rsidRPr="000152CB">
              <w:rPr>
                <w:rFonts w:eastAsia="Times New Roman" w:cs="Calibri"/>
                <w:color w:val="000000"/>
                <w:sz w:val="20"/>
                <w:szCs w:val="20"/>
                <w:lang w:eastAsia="sr-Latn-ME"/>
              </w:rPr>
              <w:t>odgovora na zdravstvene krize</w:t>
            </w:r>
            <w:bookmarkEnd w:id="21"/>
            <w:r w:rsidRPr="000152CB">
              <w:rPr>
                <w:rFonts w:eastAsia="Times New Roman" w:cs="Calibri"/>
                <w:color w:val="000000"/>
                <w:sz w:val="20"/>
                <w:szCs w:val="20"/>
                <w:lang w:eastAsia="sr-Latn-ME"/>
              </w:rPr>
              <w:t xml:space="preserve"> na bolničkom nivou</w:t>
            </w:r>
          </w:p>
        </w:tc>
        <w:tc>
          <w:tcPr>
            <w:tcW w:w="2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02AAA" w14:textId="77777777" w:rsidR="00FD6E82" w:rsidRPr="000152CB" w:rsidRDefault="00FD6E82" w:rsidP="00FD6E82">
            <w:pPr>
              <w:spacing w:after="0" w:line="240" w:lineRule="auto"/>
              <w:rPr>
                <w:sz w:val="20"/>
                <w:szCs w:val="20"/>
              </w:rPr>
            </w:pPr>
            <w:r w:rsidRPr="000152CB">
              <w:rPr>
                <w:sz w:val="20"/>
                <w:szCs w:val="20"/>
              </w:rPr>
              <w:t xml:space="preserve">Plan pripremljenosti </w:t>
            </w:r>
          </w:p>
        </w:tc>
        <w:tc>
          <w:tcPr>
            <w:tcW w:w="1440"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4031948C"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MZ, bolnički nivo</w:t>
            </w:r>
          </w:p>
        </w:tc>
        <w:tc>
          <w:tcPr>
            <w:tcW w:w="2386" w:type="dxa"/>
            <w:gridSpan w:val="3"/>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491CA210" w14:textId="3E1B3431" w:rsidR="00FD6E82" w:rsidRPr="000152CB" w:rsidRDefault="00B86673" w:rsidP="00FD6E82">
            <w:pPr>
              <w:spacing w:after="0" w:line="240" w:lineRule="auto"/>
              <w:rPr>
                <w:sz w:val="20"/>
                <w:szCs w:val="20"/>
              </w:rPr>
            </w:pPr>
            <w:r w:rsidRPr="000152CB">
              <w:rPr>
                <w:sz w:val="20"/>
                <w:szCs w:val="20"/>
              </w:rPr>
              <w:t>Plan donesen u 2023. godini. Plan je pripremljen za bolnicu Bijelo Polje, pa KCCG.</w:t>
            </w:r>
          </w:p>
        </w:tc>
        <w:tc>
          <w:tcPr>
            <w:tcW w:w="1357" w:type="dxa"/>
            <w:tcBorders>
              <w:top w:val="single" w:sz="4" w:space="0" w:color="000000"/>
              <w:left w:val="single" w:sz="4" w:space="0" w:color="000000"/>
              <w:bottom w:val="single" w:sz="4" w:space="0" w:color="000000"/>
              <w:right w:val="single" w:sz="4" w:space="0" w:color="000000"/>
            </w:tcBorders>
          </w:tcPr>
          <w:p w14:paraId="6A822C88" w14:textId="77777777" w:rsidR="00FD6E82" w:rsidRPr="000152CB" w:rsidRDefault="00FD6E82" w:rsidP="00FD6E82">
            <w:pPr>
              <w:spacing w:after="0" w:line="240" w:lineRule="auto"/>
              <w:rPr>
                <w:sz w:val="20"/>
                <w:szCs w:val="20"/>
              </w:rPr>
            </w:pPr>
            <w:r w:rsidRPr="000152CB">
              <w:rPr>
                <w:sz w:val="20"/>
                <w:szCs w:val="20"/>
              </w:rPr>
              <w:t xml:space="preserve"> IIQ 2023-IVQ 2023</w:t>
            </w:r>
          </w:p>
        </w:tc>
        <w:tc>
          <w:tcPr>
            <w:tcW w:w="138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F34CC1"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Planirana sredstva: 12,000€</w:t>
            </w:r>
          </w:p>
          <w:p w14:paraId="76D43870" w14:textId="77777777" w:rsidR="00FD6E82" w:rsidRPr="000152CB" w:rsidRDefault="00FD6E82" w:rsidP="00FD6E82">
            <w:pPr>
              <w:spacing w:after="0" w:line="240" w:lineRule="auto"/>
              <w:rPr>
                <w:rFonts w:eastAsia="Times New Roman" w:cs="Calibri"/>
                <w:sz w:val="20"/>
                <w:szCs w:val="20"/>
                <w:lang w:eastAsia="sr-Latn-ME"/>
              </w:rPr>
            </w:pPr>
          </w:p>
          <w:p w14:paraId="468626F5"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Utrošena sredstva:</w:t>
            </w:r>
          </w:p>
        </w:tc>
        <w:tc>
          <w:tcPr>
            <w:tcW w:w="1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917207"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Budžet, SZO</w:t>
            </w:r>
          </w:p>
        </w:tc>
        <w:tc>
          <w:tcPr>
            <w:tcW w:w="1864" w:type="dxa"/>
            <w:tcBorders>
              <w:top w:val="single" w:sz="4" w:space="0" w:color="000000"/>
              <w:left w:val="single" w:sz="4" w:space="0" w:color="000000"/>
              <w:bottom w:val="single" w:sz="4" w:space="0" w:color="000000"/>
              <w:right w:val="single" w:sz="4" w:space="0" w:color="000000"/>
            </w:tcBorders>
          </w:tcPr>
          <w:p w14:paraId="1DD03509" w14:textId="77777777" w:rsidR="00FD6E82" w:rsidRPr="000152CB" w:rsidRDefault="00FD6E82" w:rsidP="00FD6E82">
            <w:pPr>
              <w:spacing w:after="0" w:line="240" w:lineRule="auto"/>
              <w:rPr>
                <w:rFonts w:eastAsia="Times New Roman" w:cs="Calibri"/>
                <w:sz w:val="20"/>
                <w:szCs w:val="20"/>
                <w:lang w:eastAsia="sr-Latn-ME"/>
              </w:rPr>
            </w:pPr>
          </w:p>
        </w:tc>
      </w:tr>
      <w:tr w:rsidR="00FD6E82" w:rsidRPr="000152CB" w14:paraId="34E0D6AE" w14:textId="77777777" w:rsidTr="00B86673">
        <w:trPr>
          <w:trHeight w:val="585"/>
          <w:jc w:val="center"/>
        </w:trPr>
        <w:tc>
          <w:tcPr>
            <w:tcW w:w="33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509BA" w14:textId="77777777" w:rsidR="00FD6E82" w:rsidRPr="000152CB" w:rsidRDefault="00FD6E82" w:rsidP="00FD6E82">
            <w:pPr>
              <w:spacing w:line="240" w:lineRule="auto"/>
              <w:textAlignment w:val="baseline"/>
              <w:rPr>
                <w:rFonts w:eastAsia="Times New Roman" w:cs="Calibri"/>
                <w:color w:val="000000"/>
                <w:sz w:val="20"/>
                <w:szCs w:val="20"/>
                <w:lang w:eastAsia="sr-Latn-ME"/>
              </w:rPr>
            </w:pPr>
            <w:r w:rsidRPr="000152CB">
              <w:rPr>
                <w:rFonts w:eastAsia="Times New Roman" w:cs="Calibri"/>
                <w:color w:val="000000"/>
                <w:sz w:val="20"/>
                <w:szCs w:val="20"/>
                <w:lang w:eastAsia="sr-Latn-ME"/>
              </w:rPr>
              <w:t xml:space="preserve">3.2.4. Sprovođenje </w:t>
            </w:r>
            <w:bookmarkStart w:id="22" w:name="_Hlk134447710"/>
            <w:r w:rsidRPr="000152CB">
              <w:rPr>
                <w:rFonts w:eastAsia="Times New Roman" w:cs="Calibri"/>
                <w:color w:val="000000"/>
                <w:sz w:val="20"/>
                <w:szCs w:val="20"/>
                <w:lang w:eastAsia="sr-Latn-ME"/>
              </w:rPr>
              <w:t>simulacione vježbe za testiranje pripremljenosti bolnica za zdravstvenu krizu</w:t>
            </w:r>
            <w:bookmarkEnd w:id="22"/>
          </w:p>
        </w:tc>
        <w:tc>
          <w:tcPr>
            <w:tcW w:w="2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030381" w14:textId="77777777" w:rsidR="00FD6E82" w:rsidRPr="000152CB" w:rsidRDefault="00FD6E82" w:rsidP="00FD6E82">
            <w:pPr>
              <w:spacing w:after="0" w:line="240" w:lineRule="auto"/>
              <w:rPr>
                <w:sz w:val="20"/>
                <w:szCs w:val="20"/>
              </w:rPr>
            </w:pPr>
            <w:r w:rsidRPr="000152CB">
              <w:rPr>
                <w:sz w:val="20"/>
                <w:szCs w:val="20"/>
              </w:rPr>
              <w:t>Broj bolnica u kojem su vježbe sprovedene</w:t>
            </w:r>
          </w:p>
        </w:tc>
        <w:tc>
          <w:tcPr>
            <w:tcW w:w="1440"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tcPr>
          <w:p w14:paraId="41AA4B06" w14:textId="77777777" w:rsidR="00FD6E82" w:rsidRPr="000152CB" w:rsidRDefault="00FD6E82" w:rsidP="00FD6E82">
            <w:pPr>
              <w:spacing w:after="0" w:line="240" w:lineRule="auto"/>
              <w:ind w:left="270"/>
              <w:rPr>
                <w:rFonts w:eastAsia="Times New Roman" w:cs="Calibri"/>
                <w:sz w:val="20"/>
                <w:szCs w:val="20"/>
                <w:lang w:eastAsia="sr-Latn-ME"/>
              </w:rPr>
            </w:pPr>
            <w:r w:rsidRPr="000152CB">
              <w:rPr>
                <w:rFonts w:eastAsia="Times New Roman" w:cs="Calibri"/>
                <w:sz w:val="20"/>
                <w:szCs w:val="20"/>
                <w:lang w:eastAsia="sr-Latn-ME"/>
              </w:rPr>
              <w:t>MZ, bolnički nivo</w:t>
            </w:r>
          </w:p>
        </w:tc>
        <w:tc>
          <w:tcPr>
            <w:tcW w:w="2386" w:type="dxa"/>
            <w:gridSpan w:val="3"/>
            <w:tcBorders>
              <w:top w:val="single" w:sz="4" w:space="0" w:color="000000"/>
              <w:left w:val="single" w:sz="4" w:space="0" w:color="000000"/>
              <w:bottom w:val="single" w:sz="4" w:space="0" w:color="auto"/>
              <w:right w:val="single" w:sz="4" w:space="0" w:color="000000"/>
            </w:tcBorders>
            <w:shd w:val="clear" w:color="auto" w:fill="FFFF00"/>
            <w:tcMar>
              <w:top w:w="0" w:type="dxa"/>
              <w:left w:w="108" w:type="dxa"/>
              <w:bottom w:w="0" w:type="dxa"/>
              <w:right w:w="108" w:type="dxa"/>
            </w:tcMar>
          </w:tcPr>
          <w:p w14:paraId="3D0CF2E1" w14:textId="4D69615B" w:rsidR="00FD6E82" w:rsidRPr="000152CB" w:rsidRDefault="005B54D7" w:rsidP="00FD6E82">
            <w:pPr>
              <w:spacing w:after="0" w:line="240" w:lineRule="auto"/>
              <w:rPr>
                <w:sz w:val="20"/>
                <w:szCs w:val="20"/>
              </w:rPr>
            </w:pPr>
            <w:r w:rsidRPr="000152CB">
              <w:rPr>
                <w:sz w:val="20"/>
                <w:szCs w:val="20"/>
              </w:rPr>
              <w:t>Aktivnost će biti sprovedena u potpun</w:t>
            </w:r>
            <w:r w:rsidR="00936E2B" w:rsidRPr="000152CB">
              <w:rPr>
                <w:sz w:val="20"/>
                <w:szCs w:val="20"/>
              </w:rPr>
              <w:t>os</w:t>
            </w:r>
            <w:r w:rsidRPr="000152CB">
              <w:rPr>
                <w:sz w:val="20"/>
                <w:szCs w:val="20"/>
              </w:rPr>
              <w:t>ti u narednom periodu</w:t>
            </w:r>
          </w:p>
        </w:tc>
        <w:tc>
          <w:tcPr>
            <w:tcW w:w="1357" w:type="dxa"/>
            <w:tcBorders>
              <w:top w:val="single" w:sz="4" w:space="0" w:color="000000"/>
              <w:left w:val="single" w:sz="4" w:space="0" w:color="000000"/>
              <w:bottom w:val="single" w:sz="4" w:space="0" w:color="auto"/>
              <w:right w:val="single" w:sz="4" w:space="0" w:color="000000"/>
            </w:tcBorders>
          </w:tcPr>
          <w:p w14:paraId="34CE8971" w14:textId="77777777" w:rsidR="00FD6E82" w:rsidRPr="000152CB" w:rsidRDefault="00FD6E82" w:rsidP="00FD6E82">
            <w:pPr>
              <w:spacing w:after="0" w:line="240" w:lineRule="auto"/>
              <w:rPr>
                <w:sz w:val="20"/>
                <w:szCs w:val="20"/>
              </w:rPr>
            </w:pPr>
            <w:r w:rsidRPr="000152CB">
              <w:rPr>
                <w:sz w:val="20"/>
                <w:szCs w:val="20"/>
              </w:rPr>
              <w:t xml:space="preserve"> IIQ 2023-IVQ 2023</w:t>
            </w:r>
          </w:p>
        </w:tc>
        <w:tc>
          <w:tcPr>
            <w:tcW w:w="1387" w:type="dxa"/>
            <w:gridSpan w:val="2"/>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727B7682"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Planirana sredstva: 4,000€</w:t>
            </w:r>
          </w:p>
          <w:p w14:paraId="057E5DDB" w14:textId="77777777" w:rsidR="00FD6E82" w:rsidRPr="000152CB" w:rsidRDefault="00FD6E82" w:rsidP="00FD6E82">
            <w:pPr>
              <w:spacing w:after="0" w:line="240" w:lineRule="auto"/>
              <w:rPr>
                <w:rFonts w:eastAsia="Times New Roman" w:cs="Calibri"/>
                <w:sz w:val="20"/>
                <w:szCs w:val="20"/>
                <w:lang w:eastAsia="sr-Latn-ME"/>
              </w:rPr>
            </w:pPr>
          </w:p>
          <w:p w14:paraId="5BE33B27"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Utrošena sredstva:</w:t>
            </w:r>
          </w:p>
        </w:tc>
        <w:tc>
          <w:tcPr>
            <w:tcW w:w="146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37612188" w14:textId="77777777" w:rsidR="00FD6E82" w:rsidRPr="000152CB" w:rsidRDefault="00FD6E82"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Budžet, SZO</w:t>
            </w:r>
          </w:p>
        </w:tc>
        <w:tc>
          <w:tcPr>
            <w:tcW w:w="1864" w:type="dxa"/>
            <w:tcBorders>
              <w:top w:val="single" w:sz="4" w:space="0" w:color="000000"/>
              <w:left w:val="single" w:sz="4" w:space="0" w:color="000000"/>
              <w:bottom w:val="single" w:sz="4" w:space="0" w:color="auto"/>
              <w:right w:val="single" w:sz="4" w:space="0" w:color="000000"/>
            </w:tcBorders>
          </w:tcPr>
          <w:p w14:paraId="24503A7F" w14:textId="3DC31C17" w:rsidR="00FD6E82" w:rsidRPr="000152CB" w:rsidRDefault="005B54D7" w:rsidP="00FD6E82">
            <w:pPr>
              <w:spacing w:after="0" w:line="240" w:lineRule="auto"/>
              <w:rPr>
                <w:rFonts w:eastAsia="Times New Roman" w:cs="Calibri"/>
                <w:sz w:val="20"/>
                <w:szCs w:val="20"/>
                <w:lang w:eastAsia="sr-Latn-ME"/>
              </w:rPr>
            </w:pPr>
            <w:r w:rsidRPr="000152CB">
              <w:rPr>
                <w:rFonts w:eastAsia="Times New Roman" w:cs="Calibri"/>
                <w:sz w:val="20"/>
                <w:szCs w:val="20"/>
                <w:lang w:eastAsia="sr-Latn-ME"/>
              </w:rPr>
              <w:t>Novi rok za realizaciju aktivnosti je IV kvartal 2025. godine</w:t>
            </w:r>
          </w:p>
        </w:tc>
      </w:tr>
    </w:tbl>
    <w:p w14:paraId="3098A20F" w14:textId="77777777" w:rsidR="00FD6E82" w:rsidRPr="000152CB" w:rsidRDefault="00FD6E82" w:rsidP="00FD6E82"/>
    <w:p w14:paraId="61E4AE53" w14:textId="611216DA" w:rsidR="00770551" w:rsidRPr="000152CB" w:rsidRDefault="00770551" w:rsidP="00770551">
      <w:pPr>
        <w:pStyle w:val="Naslov1"/>
      </w:pPr>
      <w:bookmarkStart w:id="23" w:name="_Toc130281240"/>
      <w:bookmarkStart w:id="24" w:name="_Toc130981162"/>
      <w:bookmarkStart w:id="25" w:name="_Toc202039254"/>
      <w:r w:rsidRPr="000152CB">
        <w:t>IV OSVRT NA PLANIRANA I UTROŠENA SREDSTVA</w:t>
      </w:r>
      <w:bookmarkEnd w:id="23"/>
      <w:bookmarkEnd w:id="24"/>
      <w:bookmarkEnd w:id="25"/>
    </w:p>
    <w:p w14:paraId="1D00908E" w14:textId="77777777" w:rsidR="00770551" w:rsidRPr="000152CB" w:rsidRDefault="00770551" w:rsidP="00770551">
      <w:r w:rsidRPr="000152CB">
        <w:t>U pogledu nivoa planiranih i utrošenih sredstava, važno je ukazati da je strateški dokument finansiran iz sredstava obezbijeđenih iz državnog budžeta, kao i sredstava dobijenih kroz donatorsku podršku.</w:t>
      </w:r>
    </w:p>
    <w:tbl>
      <w:tblPr>
        <w:tblStyle w:val="Obinatabela2"/>
        <w:tblW w:w="0" w:type="auto"/>
        <w:tblLook w:val="04A0" w:firstRow="1" w:lastRow="0" w:firstColumn="1" w:lastColumn="0" w:noHBand="0" w:noVBand="1"/>
      </w:tblPr>
      <w:tblGrid>
        <w:gridCol w:w="3983"/>
        <w:gridCol w:w="1220"/>
        <w:gridCol w:w="2663"/>
        <w:gridCol w:w="2651"/>
        <w:gridCol w:w="2443"/>
      </w:tblGrid>
      <w:tr w:rsidR="00770551" w:rsidRPr="000152CB" w14:paraId="67AE2665" w14:textId="77777777" w:rsidTr="008B19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83" w:type="dxa"/>
          </w:tcPr>
          <w:p w14:paraId="17C455F1" w14:textId="77777777" w:rsidR="00770551" w:rsidRPr="000152CB" w:rsidRDefault="00770551" w:rsidP="009D4F7C"/>
        </w:tc>
        <w:tc>
          <w:tcPr>
            <w:tcW w:w="1220" w:type="dxa"/>
          </w:tcPr>
          <w:p w14:paraId="6221B6E5" w14:textId="087C6FD9" w:rsidR="00770551" w:rsidRPr="000152CB" w:rsidRDefault="008B19AF" w:rsidP="009D4F7C">
            <w:pPr>
              <w:jc w:val="center"/>
              <w:cnfStyle w:val="100000000000" w:firstRow="1" w:lastRow="0" w:firstColumn="0" w:lastColumn="0" w:oddVBand="0" w:evenVBand="0" w:oddHBand="0" w:evenHBand="0" w:firstRowFirstColumn="0" w:firstRowLastColumn="0" w:lastRowFirstColumn="0" w:lastRowLastColumn="0"/>
            </w:pPr>
            <w:r w:rsidRPr="000152CB">
              <w:t>2023-</w:t>
            </w:r>
            <w:r w:rsidR="00770551" w:rsidRPr="000152CB">
              <w:t>2024</w:t>
            </w:r>
          </w:p>
        </w:tc>
        <w:tc>
          <w:tcPr>
            <w:tcW w:w="2663" w:type="dxa"/>
          </w:tcPr>
          <w:p w14:paraId="42725FCF" w14:textId="77777777" w:rsidR="00770551" w:rsidRPr="000152CB" w:rsidRDefault="00770551" w:rsidP="009D4F7C">
            <w:pPr>
              <w:jc w:val="center"/>
              <w:cnfStyle w:val="100000000000" w:firstRow="1" w:lastRow="0" w:firstColumn="0" w:lastColumn="0" w:oddVBand="0" w:evenVBand="0" w:oddHBand="0" w:evenHBand="0" w:firstRowFirstColumn="0" w:firstRowLastColumn="0" w:lastRowFirstColumn="0" w:lastRowLastColumn="0"/>
            </w:pPr>
          </w:p>
        </w:tc>
        <w:tc>
          <w:tcPr>
            <w:tcW w:w="2651" w:type="dxa"/>
          </w:tcPr>
          <w:p w14:paraId="38D26244" w14:textId="77777777" w:rsidR="00770551" w:rsidRPr="000152CB" w:rsidRDefault="00770551" w:rsidP="009D4F7C">
            <w:pPr>
              <w:jc w:val="center"/>
              <w:cnfStyle w:val="100000000000" w:firstRow="1" w:lastRow="0" w:firstColumn="0" w:lastColumn="0" w:oddVBand="0" w:evenVBand="0" w:oddHBand="0" w:evenHBand="0" w:firstRowFirstColumn="0" w:firstRowLastColumn="0" w:lastRowFirstColumn="0" w:lastRowLastColumn="0"/>
            </w:pPr>
          </w:p>
        </w:tc>
        <w:tc>
          <w:tcPr>
            <w:tcW w:w="2443" w:type="dxa"/>
          </w:tcPr>
          <w:p w14:paraId="7A108AEA" w14:textId="77777777" w:rsidR="00770551" w:rsidRPr="000152CB" w:rsidRDefault="00770551" w:rsidP="009D4F7C">
            <w:pPr>
              <w:cnfStyle w:val="100000000000" w:firstRow="1" w:lastRow="0" w:firstColumn="0" w:lastColumn="0" w:oddVBand="0" w:evenVBand="0" w:oddHBand="0" w:evenHBand="0" w:firstRowFirstColumn="0" w:firstRowLastColumn="0" w:lastRowFirstColumn="0" w:lastRowLastColumn="0"/>
            </w:pPr>
          </w:p>
        </w:tc>
      </w:tr>
      <w:tr w:rsidR="00770551" w:rsidRPr="000152CB" w14:paraId="2FECD7DF" w14:textId="77777777" w:rsidTr="008B19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83" w:type="dxa"/>
          </w:tcPr>
          <w:p w14:paraId="4D3ED852" w14:textId="77777777" w:rsidR="00770551" w:rsidRPr="000152CB" w:rsidRDefault="00770551" w:rsidP="009D4F7C">
            <w:pPr>
              <w:rPr>
                <w:b w:val="0"/>
                <w:bCs w:val="0"/>
              </w:rPr>
            </w:pPr>
            <w:r w:rsidRPr="000152CB">
              <w:t>Ukupno planirana budžetska sredstva</w:t>
            </w:r>
          </w:p>
          <w:p w14:paraId="1F03E668" w14:textId="78AAD874" w:rsidR="008B19AF" w:rsidRPr="000152CB" w:rsidRDefault="008B19AF" w:rsidP="009D4F7C"/>
        </w:tc>
        <w:tc>
          <w:tcPr>
            <w:tcW w:w="1220" w:type="dxa"/>
          </w:tcPr>
          <w:p w14:paraId="73AAE4F7" w14:textId="7B5F00F0" w:rsidR="00770551" w:rsidRPr="000152CB" w:rsidRDefault="00DB1D05" w:rsidP="009D4F7C">
            <w:pPr>
              <w:jc w:val="center"/>
              <w:cnfStyle w:val="000000100000" w:firstRow="0" w:lastRow="0" w:firstColumn="0" w:lastColumn="0" w:oddVBand="0" w:evenVBand="0" w:oddHBand="1" w:evenHBand="0" w:firstRowFirstColumn="0" w:firstRowLastColumn="0" w:lastRowFirstColumn="0" w:lastRowLastColumn="0"/>
            </w:pPr>
            <w:r w:rsidRPr="000152CB">
              <w:t>14,536,090 eura</w:t>
            </w:r>
          </w:p>
        </w:tc>
        <w:tc>
          <w:tcPr>
            <w:tcW w:w="2663" w:type="dxa"/>
          </w:tcPr>
          <w:p w14:paraId="7E1ED8FA" w14:textId="77777777" w:rsidR="00770551" w:rsidRPr="000152CB" w:rsidRDefault="00770551" w:rsidP="009D4F7C">
            <w:pPr>
              <w:jc w:val="center"/>
              <w:cnfStyle w:val="000000100000" w:firstRow="0" w:lastRow="0" w:firstColumn="0" w:lastColumn="0" w:oddVBand="0" w:evenVBand="0" w:oddHBand="1" w:evenHBand="0" w:firstRowFirstColumn="0" w:firstRowLastColumn="0" w:lastRowFirstColumn="0" w:lastRowLastColumn="0"/>
            </w:pPr>
          </w:p>
        </w:tc>
        <w:tc>
          <w:tcPr>
            <w:tcW w:w="2651" w:type="dxa"/>
          </w:tcPr>
          <w:p w14:paraId="0076FBC4" w14:textId="77777777" w:rsidR="00770551" w:rsidRPr="000152CB" w:rsidRDefault="00770551" w:rsidP="009D4F7C">
            <w:pPr>
              <w:jc w:val="center"/>
              <w:cnfStyle w:val="000000100000" w:firstRow="0" w:lastRow="0" w:firstColumn="0" w:lastColumn="0" w:oddVBand="0" w:evenVBand="0" w:oddHBand="1" w:evenHBand="0" w:firstRowFirstColumn="0" w:firstRowLastColumn="0" w:lastRowFirstColumn="0" w:lastRowLastColumn="0"/>
            </w:pPr>
          </w:p>
        </w:tc>
        <w:tc>
          <w:tcPr>
            <w:tcW w:w="2443" w:type="dxa"/>
          </w:tcPr>
          <w:p w14:paraId="6FA534F0" w14:textId="77777777" w:rsidR="00770551" w:rsidRPr="000152CB" w:rsidRDefault="00770551" w:rsidP="009D4F7C">
            <w:pPr>
              <w:cnfStyle w:val="000000100000" w:firstRow="0" w:lastRow="0" w:firstColumn="0" w:lastColumn="0" w:oddVBand="0" w:evenVBand="0" w:oddHBand="1" w:evenHBand="0" w:firstRowFirstColumn="0" w:firstRowLastColumn="0" w:lastRowFirstColumn="0" w:lastRowLastColumn="0"/>
            </w:pPr>
          </w:p>
        </w:tc>
      </w:tr>
      <w:tr w:rsidR="00DD7829" w:rsidRPr="000152CB" w14:paraId="0A18B983" w14:textId="77777777" w:rsidTr="008B19AF">
        <w:tc>
          <w:tcPr>
            <w:cnfStyle w:val="001000000000" w:firstRow="0" w:lastRow="0" w:firstColumn="1" w:lastColumn="0" w:oddVBand="0" w:evenVBand="0" w:oddHBand="0" w:evenHBand="0" w:firstRowFirstColumn="0" w:firstRowLastColumn="0" w:lastRowFirstColumn="0" w:lastRowLastColumn="0"/>
            <w:tcW w:w="3983" w:type="dxa"/>
          </w:tcPr>
          <w:p w14:paraId="619BC8EB" w14:textId="77777777" w:rsidR="00DD7829" w:rsidRPr="000152CB" w:rsidRDefault="008B19AF" w:rsidP="009D4F7C">
            <w:pPr>
              <w:rPr>
                <w:b w:val="0"/>
                <w:bCs w:val="0"/>
              </w:rPr>
            </w:pPr>
            <w:r w:rsidRPr="000152CB">
              <w:t>U</w:t>
            </w:r>
            <w:r w:rsidR="00DD7829" w:rsidRPr="000152CB">
              <w:t>kupno utrošena budžetska sredstva</w:t>
            </w:r>
          </w:p>
          <w:p w14:paraId="59CF1363" w14:textId="7EFD9721" w:rsidR="008B19AF" w:rsidRPr="000152CB" w:rsidRDefault="008B19AF" w:rsidP="009D4F7C"/>
        </w:tc>
        <w:tc>
          <w:tcPr>
            <w:tcW w:w="1220" w:type="dxa"/>
          </w:tcPr>
          <w:p w14:paraId="7827A4F6" w14:textId="08BADCF2" w:rsidR="00DD7829" w:rsidRPr="000152CB" w:rsidRDefault="00391889" w:rsidP="009D4F7C">
            <w:pPr>
              <w:jc w:val="center"/>
              <w:cnfStyle w:val="000000000000" w:firstRow="0" w:lastRow="0" w:firstColumn="0" w:lastColumn="0" w:oddVBand="0" w:evenVBand="0" w:oddHBand="0" w:evenHBand="0" w:firstRowFirstColumn="0" w:firstRowLastColumn="0" w:lastRowFirstColumn="0" w:lastRowLastColumn="0"/>
            </w:pPr>
            <w:r w:rsidRPr="000152CB">
              <w:t>7</w:t>
            </w:r>
            <w:r w:rsidR="00DB22FE" w:rsidRPr="000152CB">
              <w:t>.847,630 eura</w:t>
            </w:r>
          </w:p>
        </w:tc>
        <w:tc>
          <w:tcPr>
            <w:tcW w:w="2663" w:type="dxa"/>
          </w:tcPr>
          <w:p w14:paraId="23F07611" w14:textId="77777777" w:rsidR="00DD7829" w:rsidRPr="000152CB" w:rsidRDefault="00DD7829" w:rsidP="009D4F7C">
            <w:pPr>
              <w:jc w:val="center"/>
              <w:cnfStyle w:val="000000000000" w:firstRow="0" w:lastRow="0" w:firstColumn="0" w:lastColumn="0" w:oddVBand="0" w:evenVBand="0" w:oddHBand="0" w:evenHBand="0" w:firstRowFirstColumn="0" w:firstRowLastColumn="0" w:lastRowFirstColumn="0" w:lastRowLastColumn="0"/>
            </w:pPr>
          </w:p>
        </w:tc>
        <w:tc>
          <w:tcPr>
            <w:tcW w:w="2651" w:type="dxa"/>
          </w:tcPr>
          <w:p w14:paraId="5AEE3806" w14:textId="77777777" w:rsidR="00DD7829" w:rsidRPr="000152CB" w:rsidRDefault="00DD7829" w:rsidP="009D4F7C">
            <w:pPr>
              <w:jc w:val="center"/>
              <w:cnfStyle w:val="000000000000" w:firstRow="0" w:lastRow="0" w:firstColumn="0" w:lastColumn="0" w:oddVBand="0" w:evenVBand="0" w:oddHBand="0" w:evenHBand="0" w:firstRowFirstColumn="0" w:firstRowLastColumn="0" w:lastRowFirstColumn="0" w:lastRowLastColumn="0"/>
            </w:pPr>
          </w:p>
        </w:tc>
        <w:tc>
          <w:tcPr>
            <w:tcW w:w="2443" w:type="dxa"/>
          </w:tcPr>
          <w:p w14:paraId="7FE833D0" w14:textId="77777777" w:rsidR="00DD7829" w:rsidRPr="000152CB" w:rsidRDefault="00DD7829" w:rsidP="009D4F7C">
            <w:pPr>
              <w:cnfStyle w:val="000000000000" w:firstRow="0" w:lastRow="0" w:firstColumn="0" w:lastColumn="0" w:oddVBand="0" w:evenVBand="0" w:oddHBand="0" w:evenHBand="0" w:firstRowFirstColumn="0" w:firstRowLastColumn="0" w:lastRowFirstColumn="0" w:lastRowLastColumn="0"/>
            </w:pPr>
          </w:p>
        </w:tc>
      </w:tr>
      <w:tr w:rsidR="00770551" w:rsidRPr="000152CB" w14:paraId="3D43580A" w14:textId="77777777" w:rsidTr="008B19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83" w:type="dxa"/>
          </w:tcPr>
          <w:p w14:paraId="7E8D0151" w14:textId="77777777" w:rsidR="00770551" w:rsidRPr="000152CB" w:rsidRDefault="008B19AF" w:rsidP="008B19AF">
            <w:r w:rsidRPr="000152CB">
              <w:t>Ukupno planirana donatorska sredstva</w:t>
            </w:r>
          </w:p>
          <w:p w14:paraId="58ACE102" w14:textId="3077C9FF" w:rsidR="008B19AF" w:rsidRPr="000152CB" w:rsidRDefault="008B19AF" w:rsidP="009D4F7C">
            <w:pPr>
              <w:jc w:val="center"/>
              <w:rPr>
                <w:b w:val="0"/>
                <w:bCs w:val="0"/>
              </w:rPr>
            </w:pPr>
          </w:p>
        </w:tc>
        <w:tc>
          <w:tcPr>
            <w:tcW w:w="1220" w:type="dxa"/>
          </w:tcPr>
          <w:p w14:paraId="7B40F40C" w14:textId="2B38AABF" w:rsidR="00770551" w:rsidRPr="000152CB" w:rsidRDefault="00C921A9" w:rsidP="009D4F7C">
            <w:pPr>
              <w:jc w:val="center"/>
              <w:cnfStyle w:val="000000100000" w:firstRow="0" w:lastRow="0" w:firstColumn="0" w:lastColumn="0" w:oddVBand="0" w:evenVBand="0" w:oddHBand="1" w:evenHBand="0" w:firstRowFirstColumn="0" w:firstRowLastColumn="0" w:lastRowFirstColumn="0" w:lastRowLastColumn="0"/>
            </w:pPr>
            <w:r w:rsidRPr="000152CB">
              <w:t>13</w:t>
            </w:r>
            <w:r w:rsidR="002951B3" w:rsidRPr="000152CB">
              <w:t>.578,402 eura</w:t>
            </w:r>
          </w:p>
        </w:tc>
        <w:tc>
          <w:tcPr>
            <w:tcW w:w="2663" w:type="dxa"/>
          </w:tcPr>
          <w:p w14:paraId="05DF66E6" w14:textId="77777777" w:rsidR="00770551" w:rsidRPr="000152CB" w:rsidRDefault="00770551" w:rsidP="009D4F7C">
            <w:pPr>
              <w:cnfStyle w:val="000000100000" w:firstRow="0" w:lastRow="0" w:firstColumn="0" w:lastColumn="0" w:oddVBand="0" w:evenVBand="0" w:oddHBand="1" w:evenHBand="0" w:firstRowFirstColumn="0" w:firstRowLastColumn="0" w:lastRowFirstColumn="0" w:lastRowLastColumn="0"/>
            </w:pPr>
          </w:p>
        </w:tc>
        <w:tc>
          <w:tcPr>
            <w:tcW w:w="2651" w:type="dxa"/>
          </w:tcPr>
          <w:p w14:paraId="667B46D1" w14:textId="77777777" w:rsidR="00770551" w:rsidRPr="000152CB" w:rsidRDefault="00770551" w:rsidP="009D4F7C">
            <w:pPr>
              <w:cnfStyle w:val="000000100000" w:firstRow="0" w:lastRow="0" w:firstColumn="0" w:lastColumn="0" w:oddVBand="0" w:evenVBand="0" w:oddHBand="1" w:evenHBand="0" w:firstRowFirstColumn="0" w:firstRowLastColumn="0" w:lastRowFirstColumn="0" w:lastRowLastColumn="0"/>
            </w:pPr>
          </w:p>
        </w:tc>
        <w:tc>
          <w:tcPr>
            <w:tcW w:w="2443" w:type="dxa"/>
          </w:tcPr>
          <w:p w14:paraId="2258A1C9" w14:textId="77777777" w:rsidR="00770551" w:rsidRPr="000152CB" w:rsidRDefault="00770551" w:rsidP="009D4F7C">
            <w:pPr>
              <w:jc w:val="center"/>
              <w:cnfStyle w:val="000000100000" w:firstRow="0" w:lastRow="0" w:firstColumn="0" w:lastColumn="0" w:oddVBand="0" w:evenVBand="0" w:oddHBand="1" w:evenHBand="0" w:firstRowFirstColumn="0" w:firstRowLastColumn="0" w:lastRowFirstColumn="0" w:lastRowLastColumn="0"/>
            </w:pPr>
          </w:p>
        </w:tc>
      </w:tr>
      <w:tr w:rsidR="008B19AF" w:rsidRPr="000152CB" w14:paraId="4611EF2A" w14:textId="77777777" w:rsidTr="008B19AF">
        <w:tc>
          <w:tcPr>
            <w:cnfStyle w:val="001000000000" w:firstRow="0" w:lastRow="0" w:firstColumn="1" w:lastColumn="0" w:oddVBand="0" w:evenVBand="0" w:oddHBand="0" w:evenHBand="0" w:firstRowFirstColumn="0" w:firstRowLastColumn="0" w:lastRowFirstColumn="0" w:lastRowLastColumn="0"/>
            <w:tcW w:w="3983" w:type="dxa"/>
          </w:tcPr>
          <w:p w14:paraId="637E3726" w14:textId="77777777" w:rsidR="008B19AF" w:rsidRPr="000152CB" w:rsidRDefault="008B19AF" w:rsidP="008B19AF">
            <w:r w:rsidRPr="000152CB">
              <w:t>Ukupno utrošena donatorska sredstva</w:t>
            </w:r>
          </w:p>
          <w:p w14:paraId="390DFE17" w14:textId="02787DC9" w:rsidR="008B19AF" w:rsidRPr="000152CB" w:rsidRDefault="008B19AF" w:rsidP="009D4F7C">
            <w:pPr>
              <w:jc w:val="center"/>
              <w:rPr>
                <w:b w:val="0"/>
                <w:bCs w:val="0"/>
              </w:rPr>
            </w:pPr>
          </w:p>
        </w:tc>
        <w:tc>
          <w:tcPr>
            <w:tcW w:w="1220" w:type="dxa"/>
          </w:tcPr>
          <w:p w14:paraId="68D97F3C" w14:textId="35DAFC1B" w:rsidR="008B19AF" w:rsidRPr="000152CB" w:rsidRDefault="00715B08" w:rsidP="009D4F7C">
            <w:pPr>
              <w:jc w:val="center"/>
              <w:cnfStyle w:val="000000000000" w:firstRow="0" w:lastRow="0" w:firstColumn="0" w:lastColumn="0" w:oddVBand="0" w:evenVBand="0" w:oddHBand="0" w:evenHBand="0" w:firstRowFirstColumn="0" w:firstRowLastColumn="0" w:lastRowFirstColumn="0" w:lastRowLastColumn="0"/>
            </w:pPr>
            <w:r w:rsidRPr="000152CB">
              <w:t>13</w:t>
            </w:r>
            <w:r w:rsidR="003439D2" w:rsidRPr="000152CB">
              <w:t>.174,088 eura</w:t>
            </w:r>
          </w:p>
        </w:tc>
        <w:tc>
          <w:tcPr>
            <w:tcW w:w="2663" w:type="dxa"/>
          </w:tcPr>
          <w:p w14:paraId="7AF31A8D" w14:textId="77777777" w:rsidR="008B19AF" w:rsidRPr="000152CB" w:rsidRDefault="008B19AF" w:rsidP="009D4F7C">
            <w:pPr>
              <w:cnfStyle w:val="000000000000" w:firstRow="0" w:lastRow="0" w:firstColumn="0" w:lastColumn="0" w:oddVBand="0" w:evenVBand="0" w:oddHBand="0" w:evenHBand="0" w:firstRowFirstColumn="0" w:firstRowLastColumn="0" w:lastRowFirstColumn="0" w:lastRowLastColumn="0"/>
            </w:pPr>
          </w:p>
        </w:tc>
        <w:tc>
          <w:tcPr>
            <w:tcW w:w="2651" w:type="dxa"/>
          </w:tcPr>
          <w:p w14:paraId="5B4E99CB" w14:textId="77777777" w:rsidR="008B19AF" w:rsidRPr="000152CB" w:rsidRDefault="008B19AF" w:rsidP="009D4F7C">
            <w:pPr>
              <w:cnfStyle w:val="000000000000" w:firstRow="0" w:lastRow="0" w:firstColumn="0" w:lastColumn="0" w:oddVBand="0" w:evenVBand="0" w:oddHBand="0" w:evenHBand="0" w:firstRowFirstColumn="0" w:firstRowLastColumn="0" w:lastRowFirstColumn="0" w:lastRowLastColumn="0"/>
            </w:pPr>
          </w:p>
        </w:tc>
        <w:tc>
          <w:tcPr>
            <w:tcW w:w="2443" w:type="dxa"/>
          </w:tcPr>
          <w:p w14:paraId="716EE346" w14:textId="77777777" w:rsidR="008B19AF" w:rsidRPr="000152CB" w:rsidRDefault="008B19AF" w:rsidP="009D4F7C">
            <w:pPr>
              <w:jc w:val="center"/>
              <w:cnfStyle w:val="000000000000" w:firstRow="0" w:lastRow="0" w:firstColumn="0" w:lastColumn="0" w:oddVBand="0" w:evenVBand="0" w:oddHBand="0" w:evenHBand="0" w:firstRowFirstColumn="0" w:firstRowLastColumn="0" w:lastRowFirstColumn="0" w:lastRowLastColumn="0"/>
            </w:pPr>
          </w:p>
        </w:tc>
      </w:tr>
      <w:tr w:rsidR="005A3805" w:rsidRPr="000152CB" w14:paraId="50A82DA2" w14:textId="77777777" w:rsidTr="008B19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83" w:type="dxa"/>
          </w:tcPr>
          <w:p w14:paraId="63C77D5D" w14:textId="1840757C" w:rsidR="005A3805" w:rsidRPr="000152CB" w:rsidRDefault="005A3805" w:rsidP="009D4F7C">
            <w:pPr>
              <w:jc w:val="center"/>
            </w:pPr>
            <w:r w:rsidRPr="000152CB">
              <w:t>Ukupno planirana sredstva</w:t>
            </w:r>
          </w:p>
        </w:tc>
        <w:tc>
          <w:tcPr>
            <w:tcW w:w="1220" w:type="dxa"/>
          </w:tcPr>
          <w:p w14:paraId="77214E1F" w14:textId="400974CB" w:rsidR="005A3805" w:rsidRPr="000152CB" w:rsidRDefault="00923E30" w:rsidP="009D4F7C">
            <w:pPr>
              <w:jc w:val="center"/>
              <w:cnfStyle w:val="000000100000" w:firstRow="0" w:lastRow="0" w:firstColumn="0" w:lastColumn="0" w:oddVBand="0" w:evenVBand="0" w:oddHBand="1" w:evenHBand="0" w:firstRowFirstColumn="0" w:firstRowLastColumn="0" w:lastRowFirstColumn="0" w:lastRowLastColumn="0"/>
            </w:pPr>
            <w:r w:rsidRPr="000152CB">
              <w:t>28</w:t>
            </w:r>
            <w:r w:rsidR="005512F1" w:rsidRPr="000152CB">
              <w:t>.</w:t>
            </w:r>
            <w:r w:rsidRPr="000152CB">
              <w:t>114</w:t>
            </w:r>
            <w:r w:rsidR="00DB22FE" w:rsidRPr="000152CB">
              <w:t>,</w:t>
            </w:r>
            <w:r w:rsidRPr="000152CB">
              <w:t xml:space="preserve">492 </w:t>
            </w:r>
            <w:r w:rsidR="005512F1" w:rsidRPr="000152CB">
              <w:t>eura</w:t>
            </w:r>
          </w:p>
        </w:tc>
        <w:tc>
          <w:tcPr>
            <w:tcW w:w="2663" w:type="dxa"/>
          </w:tcPr>
          <w:p w14:paraId="53BEE655" w14:textId="77777777" w:rsidR="005A3805" w:rsidRPr="000152CB" w:rsidRDefault="005A3805" w:rsidP="009D4F7C">
            <w:pPr>
              <w:cnfStyle w:val="000000100000" w:firstRow="0" w:lastRow="0" w:firstColumn="0" w:lastColumn="0" w:oddVBand="0" w:evenVBand="0" w:oddHBand="1" w:evenHBand="0" w:firstRowFirstColumn="0" w:firstRowLastColumn="0" w:lastRowFirstColumn="0" w:lastRowLastColumn="0"/>
            </w:pPr>
          </w:p>
        </w:tc>
        <w:tc>
          <w:tcPr>
            <w:tcW w:w="2651" w:type="dxa"/>
          </w:tcPr>
          <w:p w14:paraId="5D973A72" w14:textId="77777777" w:rsidR="005A3805" w:rsidRPr="000152CB" w:rsidRDefault="005A3805" w:rsidP="009D4F7C">
            <w:pPr>
              <w:cnfStyle w:val="000000100000" w:firstRow="0" w:lastRow="0" w:firstColumn="0" w:lastColumn="0" w:oddVBand="0" w:evenVBand="0" w:oddHBand="1" w:evenHBand="0" w:firstRowFirstColumn="0" w:firstRowLastColumn="0" w:lastRowFirstColumn="0" w:lastRowLastColumn="0"/>
            </w:pPr>
          </w:p>
        </w:tc>
        <w:tc>
          <w:tcPr>
            <w:tcW w:w="2443" w:type="dxa"/>
          </w:tcPr>
          <w:p w14:paraId="0DAA1304" w14:textId="77777777" w:rsidR="005A3805" w:rsidRPr="000152CB" w:rsidRDefault="005A3805" w:rsidP="009D4F7C">
            <w:pPr>
              <w:jc w:val="center"/>
              <w:cnfStyle w:val="000000100000" w:firstRow="0" w:lastRow="0" w:firstColumn="0" w:lastColumn="0" w:oddVBand="0" w:evenVBand="0" w:oddHBand="1" w:evenHBand="0" w:firstRowFirstColumn="0" w:firstRowLastColumn="0" w:lastRowFirstColumn="0" w:lastRowLastColumn="0"/>
            </w:pPr>
          </w:p>
        </w:tc>
      </w:tr>
      <w:tr w:rsidR="005A3805" w:rsidRPr="000152CB" w14:paraId="32EC5542" w14:textId="77777777" w:rsidTr="008B19AF">
        <w:tc>
          <w:tcPr>
            <w:cnfStyle w:val="001000000000" w:firstRow="0" w:lastRow="0" w:firstColumn="1" w:lastColumn="0" w:oddVBand="0" w:evenVBand="0" w:oddHBand="0" w:evenHBand="0" w:firstRowFirstColumn="0" w:firstRowLastColumn="0" w:lastRowFirstColumn="0" w:lastRowLastColumn="0"/>
            <w:tcW w:w="3983" w:type="dxa"/>
          </w:tcPr>
          <w:p w14:paraId="45D9270E" w14:textId="0FEF6D08" w:rsidR="005A3805" w:rsidRPr="000152CB" w:rsidRDefault="005A3805" w:rsidP="009D4F7C">
            <w:pPr>
              <w:jc w:val="center"/>
            </w:pPr>
            <w:r w:rsidRPr="000152CB">
              <w:t>Ukupno utrošena sredstva</w:t>
            </w:r>
          </w:p>
        </w:tc>
        <w:tc>
          <w:tcPr>
            <w:tcW w:w="1220" w:type="dxa"/>
          </w:tcPr>
          <w:p w14:paraId="36BC202C" w14:textId="2BF7403B" w:rsidR="005A3805" w:rsidRPr="000152CB" w:rsidRDefault="00DC6437" w:rsidP="009D4F7C">
            <w:pPr>
              <w:jc w:val="center"/>
              <w:cnfStyle w:val="000000000000" w:firstRow="0" w:lastRow="0" w:firstColumn="0" w:lastColumn="0" w:oddVBand="0" w:evenVBand="0" w:oddHBand="0" w:evenHBand="0" w:firstRowFirstColumn="0" w:firstRowLastColumn="0" w:lastRowFirstColumn="0" w:lastRowLastColumn="0"/>
            </w:pPr>
            <w:r w:rsidRPr="000152CB">
              <w:t>2</w:t>
            </w:r>
            <w:r w:rsidR="003439D2" w:rsidRPr="000152CB">
              <w:t>1</w:t>
            </w:r>
            <w:r w:rsidR="00BA1C06" w:rsidRPr="000152CB">
              <w:t>.</w:t>
            </w:r>
            <w:r w:rsidR="003439D2" w:rsidRPr="000152CB">
              <w:t>021</w:t>
            </w:r>
            <w:r w:rsidR="00DB22FE" w:rsidRPr="000152CB">
              <w:t>,</w:t>
            </w:r>
            <w:r w:rsidR="00BA1C06" w:rsidRPr="000152CB">
              <w:t>7</w:t>
            </w:r>
            <w:r w:rsidR="003439D2" w:rsidRPr="000152CB">
              <w:t>18</w:t>
            </w:r>
            <w:r w:rsidR="00BA1C06" w:rsidRPr="000152CB">
              <w:t xml:space="preserve"> eura</w:t>
            </w:r>
          </w:p>
        </w:tc>
        <w:tc>
          <w:tcPr>
            <w:tcW w:w="2663" w:type="dxa"/>
          </w:tcPr>
          <w:p w14:paraId="6A2B1AE3" w14:textId="77777777" w:rsidR="005A3805" w:rsidRPr="000152CB" w:rsidRDefault="005A3805" w:rsidP="009D4F7C">
            <w:pPr>
              <w:cnfStyle w:val="000000000000" w:firstRow="0" w:lastRow="0" w:firstColumn="0" w:lastColumn="0" w:oddVBand="0" w:evenVBand="0" w:oddHBand="0" w:evenHBand="0" w:firstRowFirstColumn="0" w:firstRowLastColumn="0" w:lastRowFirstColumn="0" w:lastRowLastColumn="0"/>
            </w:pPr>
          </w:p>
        </w:tc>
        <w:tc>
          <w:tcPr>
            <w:tcW w:w="2651" w:type="dxa"/>
          </w:tcPr>
          <w:p w14:paraId="12B36DAE" w14:textId="77777777" w:rsidR="005A3805" w:rsidRPr="000152CB" w:rsidRDefault="005A3805" w:rsidP="009D4F7C">
            <w:pPr>
              <w:cnfStyle w:val="000000000000" w:firstRow="0" w:lastRow="0" w:firstColumn="0" w:lastColumn="0" w:oddVBand="0" w:evenVBand="0" w:oddHBand="0" w:evenHBand="0" w:firstRowFirstColumn="0" w:firstRowLastColumn="0" w:lastRowFirstColumn="0" w:lastRowLastColumn="0"/>
            </w:pPr>
          </w:p>
        </w:tc>
        <w:tc>
          <w:tcPr>
            <w:tcW w:w="2443" w:type="dxa"/>
          </w:tcPr>
          <w:p w14:paraId="08835F51" w14:textId="77777777" w:rsidR="005A3805" w:rsidRPr="000152CB" w:rsidRDefault="005A3805" w:rsidP="009D4F7C">
            <w:pPr>
              <w:jc w:val="center"/>
              <w:cnfStyle w:val="000000000000" w:firstRow="0" w:lastRow="0" w:firstColumn="0" w:lastColumn="0" w:oddVBand="0" w:evenVBand="0" w:oddHBand="0" w:evenHBand="0" w:firstRowFirstColumn="0" w:firstRowLastColumn="0" w:lastRowFirstColumn="0" w:lastRowLastColumn="0"/>
            </w:pPr>
          </w:p>
        </w:tc>
      </w:tr>
    </w:tbl>
    <w:p w14:paraId="5B953E10" w14:textId="77777777" w:rsidR="00770551" w:rsidRPr="000152CB" w:rsidRDefault="00770551" w:rsidP="00770551">
      <w:pPr>
        <w:jc w:val="center"/>
        <w:rPr>
          <w:rFonts w:ascii="Cambria" w:eastAsia="Calibri" w:hAnsi="Cambria" w:cs="Times New Roman"/>
          <w:bCs/>
          <w:noProof/>
          <w:color w:val="767171" w:themeColor="background2" w:themeShade="80"/>
          <w:sz w:val="18"/>
          <w:szCs w:val="18"/>
        </w:rPr>
      </w:pPr>
      <w:r w:rsidRPr="000152CB">
        <w:rPr>
          <w:rFonts w:ascii="Cambria" w:eastAsia="Calibri" w:hAnsi="Cambria" w:cs="Times New Roman"/>
          <w:bCs/>
          <w:noProof/>
          <w:color w:val="767171" w:themeColor="background2" w:themeShade="80"/>
          <w:sz w:val="18"/>
          <w:szCs w:val="18"/>
        </w:rPr>
        <w:t>Tabela: Prikaz planiranih i utrošenih sredstava</w:t>
      </w:r>
    </w:p>
    <w:p w14:paraId="245102AB" w14:textId="70565C27" w:rsidR="00A62B72" w:rsidRPr="000152CB" w:rsidRDefault="00A62B72" w:rsidP="00A62B72">
      <w:pPr>
        <w:pStyle w:val="Naslov1"/>
      </w:pPr>
      <w:bookmarkStart w:id="26" w:name="_Toc130281241"/>
      <w:bookmarkStart w:id="27" w:name="_Toc130981163"/>
      <w:bookmarkStart w:id="28" w:name="_Toc202039255"/>
      <w:r w:rsidRPr="000152CB">
        <w:lastRenderedPageBreak/>
        <w:t>V GENERALNE PREPORUKE</w:t>
      </w:r>
      <w:bookmarkEnd w:id="26"/>
      <w:bookmarkEnd w:id="27"/>
      <w:bookmarkEnd w:id="28"/>
    </w:p>
    <w:p w14:paraId="52E02F9D" w14:textId="779083CF" w:rsidR="00A62B72" w:rsidRPr="000152CB" w:rsidRDefault="00A62B72" w:rsidP="00A62B72">
      <w:pPr>
        <w:jc w:val="both"/>
      </w:pPr>
      <w:r w:rsidRPr="000152CB">
        <w:t xml:space="preserve">U ovom dijelu godišnjeg izvještaja pružene su generalne preporuke koje su raspoređene po </w:t>
      </w:r>
      <w:r w:rsidR="00A23C41" w:rsidRPr="000152CB">
        <w:t>ključnim oblastima zastupljenim</w:t>
      </w:r>
      <w:r w:rsidRPr="000152CB">
        <w:t xml:space="preserve"> u strateškom dokumentu:</w:t>
      </w:r>
    </w:p>
    <w:p w14:paraId="29AD7F77" w14:textId="4DC172B9" w:rsidR="009556A1" w:rsidRPr="000152CB" w:rsidRDefault="009556A1" w:rsidP="00A23C41">
      <w:pPr>
        <w:pStyle w:val="Pasussalistom"/>
        <w:numPr>
          <w:ilvl w:val="0"/>
          <w:numId w:val="16"/>
        </w:numPr>
        <w:spacing w:before="100" w:beforeAutospacing="1" w:after="100" w:afterAutospacing="1" w:line="240" w:lineRule="auto"/>
        <w:jc w:val="both"/>
        <w:outlineLvl w:val="1"/>
        <w:rPr>
          <w:rFonts w:eastAsia="Times New Roman" w:cstheme="minorHAnsi"/>
          <w:b/>
          <w:bCs/>
        </w:rPr>
      </w:pPr>
      <w:r w:rsidRPr="000152CB">
        <w:rPr>
          <w:rFonts w:eastAsia="Times New Roman" w:cstheme="minorHAnsi"/>
          <w:b/>
          <w:bCs/>
        </w:rPr>
        <w:t>Kvalitet zdravstvene njege</w:t>
      </w:r>
    </w:p>
    <w:p w14:paraId="7FFFAFF9" w14:textId="43F25492" w:rsidR="009556A1" w:rsidRPr="000152CB" w:rsidRDefault="009556A1" w:rsidP="00A23C41">
      <w:pPr>
        <w:numPr>
          <w:ilvl w:val="0"/>
          <w:numId w:val="7"/>
        </w:numPr>
        <w:spacing w:before="100" w:beforeAutospacing="1" w:after="100" w:afterAutospacing="1" w:line="240" w:lineRule="auto"/>
        <w:jc w:val="both"/>
        <w:rPr>
          <w:rFonts w:eastAsia="Times New Roman" w:cstheme="minorHAnsi"/>
        </w:rPr>
      </w:pPr>
      <w:r w:rsidRPr="000152CB">
        <w:rPr>
          <w:rFonts w:eastAsia="Times New Roman" w:cstheme="minorHAnsi"/>
          <w:b/>
          <w:bCs/>
        </w:rPr>
        <w:t>Očuvati i proširiti specijalizovane perinatalne usluge.</w:t>
      </w:r>
      <w:r w:rsidRPr="000152CB">
        <w:rPr>
          <w:rFonts w:eastAsia="Times New Roman" w:cstheme="minorHAnsi"/>
        </w:rPr>
        <w:t xml:space="preserve"> Ministarstvo zdravlja treba da nastavi centralizaciju skrininga i liječenja visokorizičnih trudnoća u specijalizovanim centrima (npr. neonatologija Kliničkog centra), kako bi se održao izuzetno nizak nivo perinatalne smrtnosti.</w:t>
      </w:r>
    </w:p>
    <w:p w14:paraId="0F0EE90F" w14:textId="60B94D0A" w:rsidR="009556A1" w:rsidRPr="000152CB" w:rsidRDefault="009556A1" w:rsidP="00A23C41">
      <w:pPr>
        <w:numPr>
          <w:ilvl w:val="0"/>
          <w:numId w:val="7"/>
        </w:numPr>
        <w:spacing w:before="100" w:beforeAutospacing="1" w:after="100" w:afterAutospacing="1" w:line="240" w:lineRule="auto"/>
        <w:jc w:val="both"/>
        <w:rPr>
          <w:rFonts w:eastAsia="Times New Roman" w:cstheme="minorHAnsi"/>
        </w:rPr>
      </w:pPr>
      <w:r w:rsidRPr="000152CB">
        <w:rPr>
          <w:rFonts w:eastAsia="Times New Roman" w:cstheme="minorHAnsi"/>
          <w:b/>
          <w:bCs/>
        </w:rPr>
        <w:t>Ulagati u dijagnostiku i urgentne kapacitete.</w:t>
      </w:r>
      <w:r w:rsidRPr="000152CB">
        <w:rPr>
          <w:rFonts w:eastAsia="Times New Roman" w:cstheme="minorHAnsi"/>
        </w:rPr>
        <w:t xml:space="preserve"> Godišnje finansirati nabavku savremene opreme za hitna stanja (skeneri, laboratorijski testovi) i nastaviti projekte širenja bolničkih kapaciteta. Time će se skratiti vrijeme intervencije kod akutnih kardiovaskularnih i neuroloških stanja.</w:t>
      </w:r>
    </w:p>
    <w:p w14:paraId="4A0F92D4" w14:textId="3FCD57CB" w:rsidR="009556A1" w:rsidRPr="000152CB" w:rsidRDefault="009556A1" w:rsidP="00A23C41">
      <w:pPr>
        <w:numPr>
          <w:ilvl w:val="0"/>
          <w:numId w:val="7"/>
        </w:numPr>
        <w:spacing w:before="100" w:beforeAutospacing="1" w:after="100" w:afterAutospacing="1" w:line="240" w:lineRule="auto"/>
        <w:jc w:val="both"/>
        <w:rPr>
          <w:rFonts w:eastAsia="Times New Roman" w:cstheme="minorHAnsi"/>
        </w:rPr>
      </w:pPr>
      <w:r w:rsidRPr="000152CB">
        <w:rPr>
          <w:rFonts w:eastAsia="Times New Roman" w:cstheme="minorHAnsi"/>
          <w:b/>
          <w:bCs/>
        </w:rPr>
        <w:t>Razvijati program transplantacija.</w:t>
      </w:r>
      <w:r w:rsidRPr="000152CB">
        <w:rPr>
          <w:rFonts w:eastAsia="Times New Roman" w:cstheme="minorHAnsi"/>
        </w:rPr>
        <w:t xml:space="preserve"> Ministarstvo treba da osnaži nacionalni transplantacioni program, posebno kadaverične donorske mreže. To podrazumijeva kontinuiranu edukaciju hirurga za presađivanje, podizanje svijesti o doniranju organa među građanima i nastavak saradnje sa Eurotransplantom. Na taj način će se smanjiti liste čekanja za transplantacije i poboljšati ishodi liječenja teških oboljenja.</w:t>
      </w:r>
    </w:p>
    <w:p w14:paraId="5280B990" w14:textId="0120BF41" w:rsidR="009556A1" w:rsidRPr="000152CB" w:rsidRDefault="009556A1" w:rsidP="001019C2">
      <w:pPr>
        <w:pStyle w:val="Pasussalistom"/>
        <w:numPr>
          <w:ilvl w:val="0"/>
          <w:numId w:val="16"/>
        </w:numPr>
        <w:spacing w:before="100" w:beforeAutospacing="1" w:after="100" w:afterAutospacing="1" w:line="240" w:lineRule="auto"/>
        <w:jc w:val="both"/>
        <w:outlineLvl w:val="1"/>
        <w:rPr>
          <w:rFonts w:eastAsia="Times New Roman" w:cstheme="minorHAnsi"/>
          <w:b/>
          <w:bCs/>
        </w:rPr>
      </w:pPr>
      <w:r w:rsidRPr="000152CB">
        <w:rPr>
          <w:rFonts w:eastAsia="Times New Roman" w:cstheme="minorHAnsi"/>
          <w:b/>
          <w:bCs/>
        </w:rPr>
        <w:t>Ljudski resursi i zakonodavni okvir</w:t>
      </w:r>
    </w:p>
    <w:p w14:paraId="2F5BAE64" w14:textId="2177BAA4" w:rsidR="009556A1" w:rsidRPr="000152CB" w:rsidRDefault="009556A1" w:rsidP="00A23C41">
      <w:pPr>
        <w:numPr>
          <w:ilvl w:val="0"/>
          <w:numId w:val="8"/>
        </w:numPr>
        <w:spacing w:before="100" w:beforeAutospacing="1" w:after="100" w:afterAutospacing="1" w:line="240" w:lineRule="auto"/>
        <w:jc w:val="both"/>
        <w:rPr>
          <w:rFonts w:eastAsia="Times New Roman" w:cstheme="minorHAnsi"/>
        </w:rPr>
      </w:pPr>
      <w:r w:rsidRPr="000152CB">
        <w:rPr>
          <w:rFonts w:eastAsia="Times New Roman" w:cstheme="minorHAnsi"/>
          <w:b/>
          <w:bCs/>
        </w:rPr>
        <w:t>Stimulisati zapošljavanje i zadržavanje kadra.</w:t>
      </w:r>
      <w:r w:rsidRPr="000152CB">
        <w:rPr>
          <w:rFonts w:eastAsia="Times New Roman" w:cstheme="minorHAnsi"/>
        </w:rPr>
        <w:t xml:space="preserve"> Potrebno je uvesti ekonomske i profesionalne pogodnosti (povećanje plata, stimulacije, beneficije) za ljekare i medicinske sestre, naročito u primarnoj zaštiti i na ruralnim područjima. Istovremeno, pratiti odlazak stručnjaka iz sistema i pravovremeno korigovati uslove rada da se spriječi masovni odliv.</w:t>
      </w:r>
    </w:p>
    <w:p w14:paraId="6B3E0D70" w14:textId="777E93B7" w:rsidR="009556A1" w:rsidRPr="000152CB" w:rsidRDefault="009556A1" w:rsidP="00A23C41">
      <w:pPr>
        <w:numPr>
          <w:ilvl w:val="0"/>
          <w:numId w:val="8"/>
        </w:numPr>
        <w:spacing w:before="100" w:beforeAutospacing="1" w:after="100" w:afterAutospacing="1" w:line="240" w:lineRule="auto"/>
        <w:jc w:val="both"/>
        <w:rPr>
          <w:rFonts w:eastAsia="Times New Roman" w:cstheme="minorHAnsi"/>
        </w:rPr>
      </w:pPr>
      <w:r w:rsidRPr="000152CB">
        <w:rPr>
          <w:rFonts w:eastAsia="Times New Roman" w:cstheme="minorHAnsi"/>
          <w:b/>
          <w:bCs/>
        </w:rPr>
        <w:t>Povećati broj specijalizacija i edukacija.</w:t>
      </w:r>
      <w:r w:rsidRPr="000152CB">
        <w:rPr>
          <w:rFonts w:eastAsia="Times New Roman" w:cstheme="minorHAnsi"/>
        </w:rPr>
        <w:t xml:space="preserve"> Vlada i MZ treba da osiguraju dovoljno specijalizantskih mjesta u oblastima sa deficitarom kadra (ginekologija, pedijatrija, anesteziologija, medicina rada itd.) i finansiraju kontinuiranu medicinsku edukaciju osoblja. Saradnja sa univerzitetima, </w:t>
      </w:r>
      <w:r w:rsidR="000822AA" w:rsidRPr="000152CB">
        <w:rPr>
          <w:rFonts w:eastAsia="Times New Roman" w:cstheme="minorHAnsi"/>
        </w:rPr>
        <w:t>I</w:t>
      </w:r>
      <w:r w:rsidRPr="000152CB">
        <w:rPr>
          <w:rFonts w:eastAsia="Times New Roman" w:cstheme="minorHAnsi"/>
        </w:rPr>
        <w:t>nstitutom za javno zdravlje i međunarodnim akademskim partnerima je ključna za stručno usavršavanje.</w:t>
      </w:r>
    </w:p>
    <w:p w14:paraId="46967D18" w14:textId="4DF5C3A6" w:rsidR="009556A1" w:rsidRPr="000152CB" w:rsidRDefault="009556A1" w:rsidP="00A23C41">
      <w:pPr>
        <w:numPr>
          <w:ilvl w:val="0"/>
          <w:numId w:val="8"/>
        </w:numPr>
        <w:spacing w:before="100" w:beforeAutospacing="1" w:after="100" w:afterAutospacing="1" w:line="240" w:lineRule="auto"/>
        <w:jc w:val="both"/>
        <w:rPr>
          <w:rFonts w:eastAsia="Times New Roman" w:cstheme="minorHAnsi"/>
        </w:rPr>
      </w:pPr>
      <w:r w:rsidRPr="000152CB">
        <w:rPr>
          <w:rFonts w:eastAsia="Times New Roman" w:cstheme="minorHAnsi"/>
          <w:b/>
          <w:bCs/>
        </w:rPr>
        <w:t>Uskladiti zakonodavni okvir sa potrebama sektora.</w:t>
      </w:r>
      <w:r w:rsidRPr="000152CB">
        <w:rPr>
          <w:rFonts w:eastAsia="Times New Roman" w:cstheme="minorHAnsi"/>
        </w:rPr>
        <w:t xml:space="preserve"> Neophodno je izmijeniti ili dopuniti Zakon o zdravstvenoj zaštiti, Zakon o ljekovima i druge propise kako bi se olakšala regulacija radnog odnosa zdravstvenih radnika (npr. dvostruka praksa, upošljavanje stranih kadrova) i ubrzala primjena novih servisa (digitalizacija, telemedicina). Institucije treba da sprovedu preporuke iz Strategije za jačanje regulatornog okvira pružanja jednakog i kvalitetnog liječenja.</w:t>
      </w:r>
    </w:p>
    <w:p w14:paraId="1649E1DB" w14:textId="43137484" w:rsidR="009556A1" w:rsidRPr="000152CB" w:rsidRDefault="009556A1" w:rsidP="000822AA">
      <w:pPr>
        <w:pStyle w:val="Pasussalistom"/>
        <w:numPr>
          <w:ilvl w:val="0"/>
          <w:numId w:val="16"/>
        </w:numPr>
        <w:spacing w:before="100" w:beforeAutospacing="1" w:after="100" w:afterAutospacing="1" w:line="240" w:lineRule="auto"/>
        <w:jc w:val="both"/>
        <w:outlineLvl w:val="1"/>
        <w:rPr>
          <w:rFonts w:eastAsia="Times New Roman" w:cstheme="minorHAnsi"/>
          <w:b/>
          <w:bCs/>
        </w:rPr>
      </w:pPr>
      <w:r w:rsidRPr="000152CB">
        <w:rPr>
          <w:rFonts w:eastAsia="Times New Roman" w:cstheme="minorHAnsi"/>
          <w:b/>
          <w:bCs/>
        </w:rPr>
        <w:t>Digitalizacija i upravljanje podacima</w:t>
      </w:r>
    </w:p>
    <w:p w14:paraId="2B6A43C2" w14:textId="51A7CD18" w:rsidR="009556A1" w:rsidRPr="000152CB" w:rsidRDefault="009556A1" w:rsidP="00A23C41">
      <w:pPr>
        <w:numPr>
          <w:ilvl w:val="0"/>
          <w:numId w:val="9"/>
        </w:numPr>
        <w:spacing w:before="100" w:beforeAutospacing="1" w:after="100" w:afterAutospacing="1" w:line="240" w:lineRule="auto"/>
        <w:jc w:val="both"/>
        <w:rPr>
          <w:rFonts w:eastAsia="Times New Roman" w:cstheme="minorHAnsi"/>
        </w:rPr>
      </w:pPr>
      <w:r w:rsidRPr="000152CB">
        <w:rPr>
          <w:rFonts w:eastAsia="Times New Roman" w:cstheme="minorHAnsi"/>
          <w:b/>
          <w:bCs/>
        </w:rPr>
        <w:t>Univerzalno uvođenje e-zdravlja.</w:t>
      </w:r>
      <w:r w:rsidRPr="000152CB">
        <w:rPr>
          <w:rFonts w:eastAsia="Times New Roman" w:cstheme="minorHAnsi"/>
        </w:rPr>
        <w:t xml:space="preserve"> Nastaviti razvoj Integralnog informacionog sistema zdravstva (IZIS) i elektronskih servisa (e-recept, e-uputnica, e-zakazivanje), kao što je već započeto (elektronsko zakazivanje i recepti drastično su smanjili vrijeme čekanja). Ministarstvo </w:t>
      </w:r>
      <w:r w:rsidRPr="000152CB">
        <w:rPr>
          <w:rFonts w:eastAsia="Times New Roman" w:cstheme="minorHAnsi"/>
        </w:rPr>
        <w:lastRenderedPageBreak/>
        <w:t>zdravlja i Fond za zdrav</w:t>
      </w:r>
      <w:r w:rsidR="00DD598A" w:rsidRPr="000152CB">
        <w:rPr>
          <w:rFonts w:eastAsia="Times New Roman" w:cstheme="minorHAnsi"/>
        </w:rPr>
        <w:t>stveno osiguranje</w:t>
      </w:r>
      <w:r w:rsidRPr="000152CB">
        <w:rPr>
          <w:rFonts w:eastAsia="Times New Roman" w:cstheme="minorHAnsi"/>
        </w:rPr>
        <w:t xml:space="preserve"> treba da obezbijede tehničku i finansijsku podršku opštinama i domovima zdravlja za digitalizaciju evidencija.</w:t>
      </w:r>
    </w:p>
    <w:p w14:paraId="26B641F8" w14:textId="17FFC623" w:rsidR="009556A1" w:rsidRPr="000152CB" w:rsidRDefault="009556A1" w:rsidP="00A23C41">
      <w:pPr>
        <w:numPr>
          <w:ilvl w:val="0"/>
          <w:numId w:val="9"/>
        </w:numPr>
        <w:spacing w:before="100" w:beforeAutospacing="1" w:after="100" w:afterAutospacing="1" w:line="240" w:lineRule="auto"/>
        <w:jc w:val="both"/>
        <w:rPr>
          <w:rFonts w:eastAsia="Times New Roman" w:cstheme="minorHAnsi"/>
        </w:rPr>
      </w:pPr>
      <w:r w:rsidRPr="000152CB">
        <w:rPr>
          <w:rFonts w:eastAsia="Times New Roman" w:cstheme="minorHAnsi"/>
          <w:b/>
          <w:bCs/>
        </w:rPr>
        <w:t>Jačanje sistema zdravstvenih podataka.</w:t>
      </w:r>
      <w:r w:rsidRPr="000152CB">
        <w:rPr>
          <w:rFonts w:eastAsia="Times New Roman" w:cstheme="minorHAnsi"/>
        </w:rPr>
        <w:t xml:space="preserve"> Organizovati dodatnu obuku za prikupljanje i analizu zdravstvenih informacija, kao i ulagati u baze podataka i registri pacijenata. Prateći preporuke Strategije, neophodno je obezbijediti adekvatan pravni i etički okvir za e-zdravlje (zaštita podataka o zdravlju) i sistemsko upravljanje podacima. To će omogućiti boljе planiranje resursa i donošenje politika zasnovanih na dokazima.</w:t>
      </w:r>
    </w:p>
    <w:p w14:paraId="390D8E6D" w14:textId="77777777" w:rsidR="009556A1" w:rsidRPr="000152CB" w:rsidRDefault="009556A1" w:rsidP="00A23C41">
      <w:pPr>
        <w:numPr>
          <w:ilvl w:val="0"/>
          <w:numId w:val="9"/>
        </w:numPr>
        <w:spacing w:before="100" w:beforeAutospacing="1" w:after="100" w:afterAutospacing="1" w:line="240" w:lineRule="auto"/>
        <w:jc w:val="both"/>
        <w:rPr>
          <w:rFonts w:eastAsia="Times New Roman" w:cstheme="minorHAnsi"/>
        </w:rPr>
      </w:pPr>
      <w:r w:rsidRPr="000152CB">
        <w:rPr>
          <w:rFonts w:eastAsia="Times New Roman" w:cstheme="minorHAnsi"/>
          <w:b/>
          <w:bCs/>
        </w:rPr>
        <w:t>Interoperabilnost i sigurnost.</w:t>
      </w:r>
      <w:r w:rsidRPr="000152CB">
        <w:rPr>
          <w:rFonts w:eastAsia="Times New Roman" w:cstheme="minorHAnsi"/>
        </w:rPr>
        <w:t xml:space="preserve"> Obezbijediti međusobno povezivanje sistema u svim zdravstvenim ustanovama (primarna, sekundarna i tercijarna zaštita) i stalno unaprijeđivati sajber-bezbjednost zdravstvenih informacionih mreža. Upotreba standarda (HL7, ICD) i koordinacija sa EU okvirom za e-zdravstvo olakšaće razmjenu podataka i krizno djelovanje.</w:t>
      </w:r>
    </w:p>
    <w:p w14:paraId="581DC270" w14:textId="71EDFAAC" w:rsidR="009556A1" w:rsidRPr="000152CB" w:rsidRDefault="009556A1" w:rsidP="00DD598A">
      <w:pPr>
        <w:pStyle w:val="Pasussalistom"/>
        <w:numPr>
          <w:ilvl w:val="0"/>
          <w:numId w:val="16"/>
        </w:numPr>
        <w:spacing w:before="100" w:beforeAutospacing="1" w:after="100" w:afterAutospacing="1" w:line="240" w:lineRule="auto"/>
        <w:jc w:val="both"/>
        <w:outlineLvl w:val="1"/>
        <w:rPr>
          <w:rFonts w:eastAsia="Times New Roman" w:cstheme="minorHAnsi"/>
          <w:b/>
          <w:bCs/>
        </w:rPr>
      </w:pPr>
      <w:r w:rsidRPr="000152CB">
        <w:rPr>
          <w:rFonts w:eastAsia="Times New Roman" w:cstheme="minorHAnsi"/>
          <w:b/>
          <w:bCs/>
        </w:rPr>
        <w:t>Preventivni programi i promocija zdravlja</w:t>
      </w:r>
    </w:p>
    <w:p w14:paraId="08B93089" w14:textId="0B1AA384" w:rsidR="009556A1" w:rsidRPr="000152CB" w:rsidRDefault="009556A1" w:rsidP="00A23C41">
      <w:pPr>
        <w:numPr>
          <w:ilvl w:val="0"/>
          <w:numId w:val="10"/>
        </w:numPr>
        <w:spacing w:before="100" w:beforeAutospacing="1" w:after="100" w:afterAutospacing="1" w:line="240" w:lineRule="auto"/>
        <w:jc w:val="both"/>
        <w:rPr>
          <w:rFonts w:eastAsia="Times New Roman" w:cstheme="minorHAnsi"/>
        </w:rPr>
      </w:pPr>
      <w:r w:rsidRPr="000152CB">
        <w:rPr>
          <w:rFonts w:eastAsia="Times New Roman" w:cstheme="minorHAnsi"/>
          <w:b/>
          <w:bCs/>
        </w:rPr>
        <w:t>Intenzivirati zdrastvene edukacije.</w:t>
      </w:r>
      <w:r w:rsidRPr="000152CB">
        <w:rPr>
          <w:rFonts w:eastAsia="Times New Roman" w:cstheme="minorHAnsi"/>
        </w:rPr>
        <w:t xml:space="preserve"> Ministarstvo zdravlja i IJZ treba da prošire preventivne programe u zajednici usmjerene na faktore rizika (pušenje, alkohol, gojaznost, nezdrava ishrana), s posebnim akcentom na ranjive grupe (trudnice, djeca, stari). Učestvovanje timova izabranih pedijatara i ginekologa omogućava ciljane edukativne aktivnosti u domovima zdravlja, uz podršku materijalom i smjernicama iz IJZ.</w:t>
      </w:r>
    </w:p>
    <w:p w14:paraId="4387B62F" w14:textId="77777777" w:rsidR="009556A1" w:rsidRPr="000152CB" w:rsidRDefault="009556A1" w:rsidP="00A23C41">
      <w:pPr>
        <w:numPr>
          <w:ilvl w:val="0"/>
          <w:numId w:val="10"/>
        </w:numPr>
        <w:spacing w:before="100" w:beforeAutospacing="1" w:after="100" w:afterAutospacing="1" w:line="240" w:lineRule="auto"/>
        <w:jc w:val="both"/>
        <w:rPr>
          <w:rFonts w:eastAsia="Times New Roman" w:cstheme="minorHAnsi"/>
        </w:rPr>
      </w:pPr>
      <w:r w:rsidRPr="000152CB">
        <w:rPr>
          <w:rFonts w:eastAsia="Times New Roman" w:cstheme="minorHAnsi"/>
          <w:b/>
          <w:bCs/>
        </w:rPr>
        <w:t>Ojačati skrining i vakcinaciju.</w:t>
      </w:r>
      <w:r w:rsidRPr="000152CB">
        <w:rPr>
          <w:rFonts w:eastAsia="Times New Roman" w:cstheme="minorHAnsi"/>
        </w:rPr>
        <w:t xml:space="preserve"> Nastaviti i proširiti skrining-programe (npr. onkološki pregledi) te održati visoku pokrivenost vakcinacijom svim propisanim imunizacijama. Istovremeno, stalno promovisati obavezno vakcinisanje i prevenciju zaraznih bolesti – planirano u doktrinama za kontrolu NBP i zaraznih bolesti.</w:t>
      </w:r>
    </w:p>
    <w:p w14:paraId="48650EAD" w14:textId="7CD07737" w:rsidR="009556A1" w:rsidRPr="000152CB" w:rsidRDefault="009556A1" w:rsidP="00A23C41">
      <w:pPr>
        <w:numPr>
          <w:ilvl w:val="0"/>
          <w:numId w:val="10"/>
        </w:numPr>
        <w:spacing w:before="100" w:beforeAutospacing="1" w:after="100" w:afterAutospacing="1" w:line="240" w:lineRule="auto"/>
        <w:jc w:val="both"/>
        <w:rPr>
          <w:rFonts w:eastAsia="Times New Roman" w:cstheme="minorHAnsi"/>
        </w:rPr>
      </w:pPr>
      <w:r w:rsidRPr="000152CB">
        <w:rPr>
          <w:rFonts w:eastAsia="Times New Roman" w:cstheme="minorHAnsi"/>
          <w:b/>
          <w:bCs/>
        </w:rPr>
        <w:t>Razvijati mentalno zdravlje i promociju zdravlja.</w:t>
      </w:r>
      <w:r w:rsidRPr="000152CB">
        <w:rPr>
          <w:rFonts w:eastAsia="Times New Roman" w:cstheme="minorHAnsi"/>
        </w:rPr>
        <w:t xml:space="preserve"> Osnažiti pružaoce primarne zaštite za rano prepoznavanje mentalnih poremećaja i rad s pacijentima u lokalnoj zajednici. Edukacija i smanjenje stigme su posebno važni u saradnji sa školama i NVO sektorom.</w:t>
      </w:r>
    </w:p>
    <w:p w14:paraId="67F0E860" w14:textId="1CBD670C" w:rsidR="009556A1" w:rsidRPr="000152CB" w:rsidRDefault="009556A1" w:rsidP="00A23C41">
      <w:pPr>
        <w:numPr>
          <w:ilvl w:val="0"/>
          <w:numId w:val="10"/>
        </w:numPr>
        <w:spacing w:before="100" w:beforeAutospacing="1" w:after="100" w:afterAutospacing="1" w:line="240" w:lineRule="auto"/>
        <w:jc w:val="both"/>
        <w:rPr>
          <w:rFonts w:eastAsia="Times New Roman" w:cstheme="minorHAnsi"/>
        </w:rPr>
      </w:pPr>
      <w:r w:rsidRPr="000152CB">
        <w:rPr>
          <w:rFonts w:eastAsia="Times New Roman" w:cstheme="minorHAnsi"/>
          <w:b/>
          <w:bCs/>
        </w:rPr>
        <w:t>Multisektorski pristup.</w:t>
      </w:r>
      <w:r w:rsidRPr="000152CB">
        <w:rPr>
          <w:rFonts w:eastAsia="Times New Roman" w:cstheme="minorHAnsi"/>
        </w:rPr>
        <w:t xml:space="preserve"> Koordinirati djelovanje zdravstva, obrazovanja, civilnog sektora i lokalnih samouprava u kampanjama za zdrav život i prevenciju bolesti, u skladu sa Strategijom (npr. timovi domova zdravlja sa NVO i lokalnom zajednicom). Ovako široko učestvovanje omogućava veću odgovornost građana za sopstveno zdravlje.</w:t>
      </w:r>
    </w:p>
    <w:p w14:paraId="200F8970" w14:textId="05AA7D4E" w:rsidR="009556A1" w:rsidRPr="000152CB" w:rsidRDefault="009556A1" w:rsidP="00A86FB8">
      <w:pPr>
        <w:pStyle w:val="Pasussalistom"/>
        <w:numPr>
          <w:ilvl w:val="0"/>
          <w:numId w:val="16"/>
        </w:numPr>
        <w:spacing w:before="100" w:beforeAutospacing="1" w:after="100" w:afterAutospacing="1" w:line="240" w:lineRule="auto"/>
        <w:jc w:val="both"/>
        <w:outlineLvl w:val="1"/>
        <w:rPr>
          <w:rFonts w:eastAsia="Times New Roman" w:cstheme="minorHAnsi"/>
          <w:b/>
          <w:bCs/>
        </w:rPr>
      </w:pPr>
      <w:r w:rsidRPr="000152CB">
        <w:rPr>
          <w:rFonts w:eastAsia="Times New Roman" w:cstheme="minorHAnsi"/>
          <w:b/>
          <w:bCs/>
        </w:rPr>
        <w:t>Infrastruktura i oprema</w:t>
      </w:r>
    </w:p>
    <w:p w14:paraId="0F184A02" w14:textId="12133DF9" w:rsidR="009556A1" w:rsidRPr="000152CB" w:rsidRDefault="009556A1" w:rsidP="00A23C41">
      <w:pPr>
        <w:numPr>
          <w:ilvl w:val="0"/>
          <w:numId w:val="11"/>
        </w:numPr>
        <w:spacing w:before="100" w:beforeAutospacing="1" w:after="100" w:afterAutospacing="1" w:line="240" w:lineRule="auto"/>
        <w:jc w:val="both"/>
        <w:rPr>
          <w:rFonts w:eastAsia="Times New Roman" w:cstheme="minorHAnsi"/>
        </w:rPr>
      </w:pPr>
      <w:r w:rsidRPr="000152CB">
        <w:rPr>
          <w:rFonts w:eastAsia="Times New Roman" w:cstheme="minorHAnsi"/>
          <w:b/>
          <w:bCs/>
        </w:rPr>
        <w:t>Realizovati kapitalne projekte.</w:t>
      </w:r>
      <w:r w:rsidRPr="000152CB">
        <w:rPr>
          <w:rFonts w:eastAsia="Times New Roman" w:cstheme="minorHAnsi"/>
        </w:rPr>
        <w:t xml:space="preserve"> Vlada treba da osigura izgradnju novih i rekonstrukciju postojećih zdravstvenih objekata prema planu iz 2024. i 2025. Posebna pažnja mora biti posvećena nabavci moderne medicinske opreme (PET/CT, digitalni rendgen, laboratori, transportni respiratori), što je predviđeno povećanim kapitalnim budžetom.</w:t>
      </w:r>
    </w:p>
    <w:p w14:paraId="31DBEAAC" w14:textId="1A507C4D" w:rsidR="009556A1" w:rsidRPr="000152CB" w:rsidRDefault="009556A1" w:rsidP="00A23C41">
      <w:pPr>
        <w:numPr>
          <w:ilvl w:val="0"/>
          <w:numId w:val="11"/>
        </w:numPr>
        <w:spacing w:before="100" w:beforeAutospacing="1" w:after="100" w:afterAutospacing="1" w:line="240" w:lineRule="auto"/>
        <w:jc w:val="both"/>
        <w:rPr>
          <w:rFonts w:eastAsia="Times New Roman" w:cstheme="minorHAnsi"/>
        </w:rPr>
      </w:pPr>
      <w:r w:rsidRPr="000152CB">
        <w:rPr>
          <w:rFonts w:eastAsia="Times New Roman" w:cstheme="minorHAnsi"/>
          <w:b/>
          <w:bCs/>
        </w:rPr>
        <w:t>Trajno rješenje za privremena rješenja.</w:t>
      </w:r>
      <w:r w:rsidRPr="000152CB">
        <w:rPr>
          <w:rFonts w:eastAsia="Times New Roman" w:cstheme="minorHAnsi"/>
        </w:rPr>
        <w:t xml:space="preserve"> Pitanja poput statusa Bolnice Meljine (koja radi u privremenim uslovima) i restrukturiranja Instituta Igalo treba hitno riješiti trajnim planovima i finansiranjem. Ministarstvo i lokalne samouprave treba da nađu održiva rješenja (npr. završetak gradnje objekta u Meljinama), kako bi poboljšali uslove rada osoblja i sigurnost pacijenata.</w:t>
      </w:r>
    </w:p>
    <w:p w14:paraId="5CC687F2" w14:textId="2160D177" w:rsidR="009556A1" w:rsidRPr="000152CB" w:rsidRDefault="009556A1" w:rsidP="00A23C41">
      <w:pPr>
        <w:numPr>
          <w:ilvl w:val="0"/>
          <w:numId w:val="11"/>
        </w:numPr>
        <w:spacing w:before="100" w:beforeAutospacing="1" w:after="100" w:afterAutospacing="1" w:line="240" w:lineRule="auto"/>
        <w:jc w:val="both"/>
        <w:rPr>
          <w:rFonts w:eastAsia="Times New Roman" w:cstheme="minorHAnsi"/>
        </w:rPr>
      </w:pPr>
      <w:r w:rsidRPr="000152CB">
        <w:rPr>
          <w:rFonts w:eastAsia="Times New Roman" w:cstheme="minorHAnsi"/>
          <w:b/>
          <w:bCs/>
        </w:rPr>
        <w:lastRenderedPageBreak/>
        <w:t>Redovno održavanje opreme.</w:t>
      </w:r>
      <w:r w:rsidRPr="000152CB">
        <w:rPr>
          <w:rFonts w:eastAsia="Times New Roman" w:cstheme="minorHAnsi"/>
        </w:rPr>
        <w:t xml:space="preserve"> Finansirati nabavku rezervnih dijelova i servisiranje dijagnostičkih uređaja (skeneri, ultrazvuk, IZO), budući da njihov kvar direktno utiče na kvalitet njege (npr. nedavnim sajber-napadom bili su onemogućeni tenderi za opremu). Takođe, voditi računa o ekološkoj i energetskoj efikasnosti novih objekata.</w:t>
      </w:r>
    </w:p>
    <w:p w14:paraId="475A4959" w14:textId="7C739C4C" w:rsidR="009556A1" w:rsidRPr="000152CB" w:rsidRDefault="009556A1" w:rsidP="00091356">
      <w:pPr>
        <w:pStyle w:val="Pasussalistom"/>
        <w:numPr>
          <w:ilvl w:val="0"/>
          <w:numId w:val="16"/>
        </w:numPr>
        <w:spacing w:before="100" w:beforeAutospacing="1" w:after="100" w:afterAutospacing="1" w:line="240" w:lineRule="auto"/>
        <w:jc w:val="both"/>
        <w:outlineLvl w:val="1"/>
        <w:rPr>
          <w:rFonts w:eastAsia="Times New Roman" w:cstheme="minorHAnsi"/>
          <w:b/>
          <w:bCs/>
        </w:rPr>
      </w:pPr>
      <w:r w:rsidRPr="000152CB">
        <w:rPr>
          <w:rFonts w:eastAsia="Times New Roman" w:cstheme="minorHAnsi"/>
          <w:b/>
          <w:bCs/>
        </w:rPr>
        <w:t>Snabdijevanje lijekovima i farmaceutski sektor</w:t>
      </w:r>
    </w:p>
    <w:p w14:paraId="6DBCAD87" w14:textId="028E4AA8" w:rsidR="009556A1" w:rsidRPr="000152CB" w:rsidRDefault="009556A1" w:rsidP="00A23C41">
      <w:pPr>
        <w:numPr>
          <w:ilvl w:val="0"/>
          <w:numId w:val="12"/>
        </w:numPr>
        <w:spacing w:before="100" w:beforeAutospacing="1" w:after="100" w:afterAutospacing="1" w:line="240" w:lineRule="auto"/>
        <w:jc w:val="both"/>
        <w:rPr>
          <w:rFonts w:eastAsia="Times New Roman" w:cstheme="minorHAnsi"/>
        </w:rPr>
      </w:pPr>
      <w:r w:rsidRPr="000152CB">
        <w:rPr>
          <w:rFonts w:eastAsia="Times New Roman" w:cstheme="minorHAnsi"/>
          <w:b/>
          <w:bCs/>
        </w:rPr>
        <w:t>Brza i efikasna nabavka lijekova.</w:t>
      </w:r>
      <w:r w:rsidRPr="000152CB">
        <w:rPr>
          <w:rFonts w:eastAsia="Times New Roman" w:cstheme="minorHAnsi"/>
        </w:rPr>
        <w:t xml:space="preserve"> Preporučuje se revizija Zakona o javnim nabavkama i procedura tendera kako bi se omogućila hitna nabavka neophodnih lijekova i medicinskog materijala (trenutno se problem naglašava čestim poništavanjem tendera). Uvođenje okvirnih sporazuma i produženih ugovora s dobavljačima može ublažiti nestašice osnovnih preparata.</w:t>
      </w:r>
    </w:p>
    <w:p w14:paraId="7A59F7D8" w14:textId="0B7F6B5A" w:rsidR="009556A1" w:rsidRPr="000152CB" w:rsidRDefault="009556A1" w:rsidP="00A23C41">
      <w:pPr>
        <w:numPr>
          <w:ilvl w:val="0"/>
          <w:numId w:val="12"/>
        </w:numPr>
        <w:spacing w:before="100" w:beforeAutospacing="1" w:after="100" w:afterAutospacing="1" w:line="240" w:lineRule="auto"/>
        <w:jc w:val="both"/>
        <w:rPr>
          <w:rFonts w:eastAsia="Times New Roman" w:cstheme="minorHAnsi"/>
        </w:rPr>
      </w:pPr>
      <w:r w:rsidRPr="000152CB">
        <w:rPr>
          <w:rFonts w:eastAsia="Times New Roman" w:cstheme="minorHAnsi"/>
          <w:b/>
          <w:bCs/>
        </w:rPr>
        <w:t>Obezbjeđenje kontinuiranih zaliha.</w:t>
      </w:r>
      <w:r w:rsidRPr="000152CB">
        <w:rPr>
          <w:rFonts w:eastAsia="Times New Roman" w:cstheme="minorHAnsi"/>
        </w:rPr>
        <w:t xml:space="preserve"> Državni dobavljač Montefarm treba da dobije stabilno finansiranje za nabavku lijekova</w:t>
      </w:r>
      <w:r w:rsidR="00091356" w:rsidRPr="000152CB">
        <w:rPr>
          <w:rFonts w:eastAsia="Times New Roman" w:cstheme="minorHAnsi"/>
        </w:rPr>
        <w:t xml:space="preserve">. </w:t>
      </w:r>
      <w:r w:rsidRPr="000152CB">
        <w:rPr>
          <w:rFonts w:eastAsia="Times New Roman" w:cstheme="minorHAnsi"/>
        </w:rPr>
        <w:t>Takođe, potrebno je podržati razvoj domaće industrije generičkih lijekova ili nabavku iz više izvora, da bi se izbjegla zavisnost od jednog dobavljača.</w:t>
      </w:r>
    </w:p>
    <w:p w14:paraId="68861792" w14:textId="77777777" w:rsidR="009556A1" w:rsidRPr="000152CB" w:rsidRDefault="009556A1" w:rsidP="00A23C41">
      <w:pPr>
        <w:numPr>
          <w:ilvl w:val="0"/>
          <w:numId w:val="12"/>
        </w:numPr>
        <w:spacing w:before="100" w:beforeAutospacing="1" w:after="100" w:afterAutospacing="1" w:line="240" w:lineRule="auto"/>
        <w:jc w:val="both"/>
        <w:rPr>
          <w:rFonts w:eastAsia="Times New Roman" w:cstheme="minorHAnsi"/>
        </w:rPr>
      </w:pPr>
      <w:r w:rsidRPr="000152CB">
        <w:rPr>
          <w:rFonts w:eastAsia="Times New Roman" w:cstheme="minorHAnsi"/>
          <w:b/>
          <w:bCs/>
        </w:rPr>
        <w:t>Povećanje svijesti i regulative.</w:t>
      </w:r>
      <w:r w:rsidRPr="000152CB">
        <w:rPr>
          <w:rFonts w:eastAsia="Times New Roman" w:cstheme="minorHAnsi"/>
        </w:rPr>
        <w:t xml:space="preserve"> Kampanjama treba podići svijest građana o važnosti doniranja krvi i organa, ali i o racionalnoj upotrebi lijekova (npr. prevencija zloupotrebe antibiotika). U farmaceutskom sektoru treba nastaviti jačanje regulatornog nadzora (Agencija za lijekove) kako bi se spriječile nelegalne prakse i osigurala dostupnost novih terapija.</w:t>
      </w:r>
    </w:p>
    <w:p w14:paraId="7B4330D9" w14:textId="78FD707B" w:rsidR="009556A1" w:rsidRPr="000152CB" w:rsidRDefault="009556A1" w:rsidP="0002071B">
      <w:pPr>
        <w:pStyle w:val="Pasussalistom"/>
        <w:numPr>
          <w:ilvl w:val="0"/>
          <w:numId w:val="16"/>
        </w:numPr>
        <w:spacing w:before="100" w:beforeAutospacing="1" w:after="100" w:afterAutospacing="1" w:line="240" w:lineRule="auto"/>
        <w:jc w:val="both"/>
        <w:outlineLvl w:val="1"/>
        <w:rPr>
          <w:rFonts w:eastAsia="Times New Roman" w:cstheme="minorHAnsi"/>
          <w:b/>
          <w:bCs/>
        </w:rPr>
      </w:pPr>
      <w:r w:rsidRPr="000152CB">
        <w:rPr>
          <w:rFonts w:eastAsia="Times New Roman" w:cstheme="minorHAnsi"/>
          <w:b/>
          <w:bCs/>
        </w:rPr>
        <w:t>Finansiranje i održivost sistema</w:t>
      </w:r>
    </w:p>
    <w:p w14:paraId="5BB5FBDA" w14:textId="3C3D9C60" w:rsidR="009556A1" w:rsidRPr="000152CB" w:rsidRDefault="009556A1" w:rsidP="00A23C41">
      <w:pPr>
        <w:numPr>
          <w:ilvl w:val="0"/>
          <w:numId w:val="13"/>
        </w:numPr>
        <w:spacing w:before="100" w:beforeAutospacing="1" w:after="100" w:afterAutospacing="1" w:line="240" w:lineRule="auto"/>
        <w:jc w:val="both"/>
        <w:rPr>
          <w:rFonts w:eastAsia="Times New Roman" w:cstheme="minorHAnsi"/>
        </w:rPr>
      </w:pPr>
      <w:r w:rsidRPr="000152CB">
        <w:rPr>
          <w:rFonts w:eastAsia="Times New Roman" w:cstheme="minorHAnsi"/>
          <w:b/>
          <w:bCs/>
        </w:rPr>
        <w:t>Održivo finansiranje iz državnog budžeta.</w:t>
      </w:r>
      <w:r w:rsidRPr="000152CB">
        <w:rPr>
          <w:rFonts w:eastAsia="Times New Roman" w:cstheme="minorHAnsi"/>
        </w:rPr>
        <w:t xml:space="preserve"> Nakon prelaska na model finansiranja iz budžeta (2022), Vlada i FZO moraju osigurati stabilna sredstva za zdravstvo. Predviđeni budžet FZO-a za 2025. iznosi 452 miliona EUR, što je rast od 6–7%, ali je potrebno aktivno pratiti potrošnju (deficit 2024. se očekuje do 10 miliona EUR). Prioriteti finansiranja (lijekovi, medicinska sredstva, liječenje osiguranika) moraju biti jasno usklađeni s realnim potrebama pacijenata i zdravstvenih ustanova.</w:t>
      </w:r>
    </w:p>
    <w:p w14:paraId="6F8BC052" w14:textId="77777777" w:rsidR="009556A1" w:rsidRPr="000152CB" w:rsidRDefault="009556A1" w:rsidP="00A23C41">
      <w:pPr>
        <w:numPr>
          <w:ilvl w:val="0"/>
          <w:numId w:val="13"/>
        </w:numPr>
        <w:spacing w:before="100" w:beforeAutospacing="1" w:after="100" w:afterAutospacing="1" w:line="240" w:lineRule="auto"/>
        <w:jc w:val="both"/>
        <w:rPr>
          <w:rFonts w:eastAsia="Times New Roman" w:cstheme="minorHAnsi"/>
        </w:rPr>
      </w:pPr>
      <w:r w:rsidRPr="000152CB">
        <w:rPr>
          <w:rFonts w:eastAsia="Times New Roman" w:cstheme="minorHAnsi"/>
          <w:b/>
          <w:bCs/>
        </w:rPr>
        <w:t>Racionalizacija troškova.</w:t>
      </w:r>
      <w:r w:rsidRPr="000152CB">
        <w:rPr>
          <w:rFonts w:eastAsia="Times New Roman" w:cstheme="minorHAnsi"/>
        </w:rPr>
        <w:t xml:space="preserve"> Kontinuirano revidirati troškove zdravstvenog sistema: pregovarati o cijenama lijekova (pogotovo inovativnih terapija), suzbijati nepotrebne usluge i administrativne troškove, te preventivno upravljati listama čekanja. Preporuka je uvesti mehanizme za cost-effectiveness analiza, kako bi se dugoročno održala dostupnost svih esencijalnih usluga.</w:t>
      </w:r>
    </w:p>
    <w:p w14:paraId="5F5DF9BB" w14:textId="32DB02FA" w:rsidR="009556A1" w:rsidRPr="000152CB" w:rsidRDefault="009556A1" w:rsidP="00A23C41">
      <w:pPr>
        <w:numPr>
          <w:ilvl w:val="0"/>
          <w:numId w:val="13"/>
        </w:numPr>
        <w:spacing w:before="100" w:beforeAutospacing="1" w:after="100" w:afterAutospacing="1" w:line="240" w:lineRule="auto"/>
        <w:jc w:val="both"/>
        <w:rPr>
          <w:rFonts w:eastAsia="Times New Roman" w:cstheme="minorHAnsi"/>
        </w:rPr>
      </w:pPr>
      <w:r w:rsidRPr="000152CB">
        <w:rPr>
          <w:rFonts w:eastAsia="Times New Roman" w:cstheme="minorHAnsi"/>
          <w:b/>
          <w:bCs/>
        </w:rPr>
        <w:t>Diversifikacija prihoda.</w:t>
      </w:r>
      <w:r w:rsidRPr="000152CB">
        <w:rPr>
          <w:rFonts w:eastAsia="Times New Roman" w:cstheme="minorHAnsi"/>
        </w:rPr>
        <w:t xml:space="preserve"> Razmotriti dodatne izvore prihoda za zdravstvo – npr. akcize na duvan i alkohol ili fondove EU – uz jasnu alokaciju tih sredstava u zdravstveni sektor. Takođe, finansijsko praćenje mora biti transparentno (revizija i javni izvještaji) da bi se povratio povjerenje građana u održivost sistema.</w:t>
      </w:r>
    </w:p>
    <w:p w14:paraId="33426329" w14:textId="505C2FB0" w:rsidR="009556A1" w:rsidRPr="000152CB" w:rsidRDefault="009556A1" w:rsidP="00852B13">
      <w:pPr>
        <w:pStyle w:val="Pasussalistom"/>
        <w:numPr>
          <w:ilvl w:val="0"/>
          <w:numId w:val="16"/>
        </w:numPr>
        <w:spacing w:before="100" w:beforeAutospacing="1" w:after="100" w:afterAutospacing="1" w:line="240" w:lineRule="auto"/>
        <w:jc w:val="both"/>
        <w:outlineLvl w:val="1"/>
        <w:rPr>
          <w:rFonts w:eastAsia="Times New Roman" w:cstheme="minorHAnsi"/>
          <w:b/>
          <w:bCs/>
        </w:rPr>
      </w:pPr>
      <w:r w:rsidRPr="000152CB">
        <w:rPr>
          <w:rFonts w:eastAsia="Times New Roman" w:cstheme="minorHAnsi"/>
          <w:b/>
          <w:bCs/>
        </w:rPr>
        <w:t>Upravljanje krizama i javno-zdravstvena otpornost</w:t>
      </w:r>
    </w:p>
    <w:p w14:paraId="14E2E8C6" w14:textId="77777777" w:rsidR="009556A1" w:rsidRPr="000152CB" w:rsidRDefault="009556A1" w:rsidP="00A23C41">
      <w:pPr>
        <w:numPr>
          <w:ilvl w:val="0"/>
          <w:numId w:val="14"/>
        </w:numPr>
        <w:spacing w:before="100" w:beforeAutospacing="1" w:after="100" w:afterAutospacing="1" w:line="240" w:lineRule="auto"/>
        <w:jc w:val="both"/>
        <w:rPr>
          <w:rFonts w:eastAsia="Times New Roman" w:cstheme="minorHAnsi"/>
        </w:rPr>
      </w:pPr>
      <w:r w:rsidRPr="000152CB">
        <w:rPr>
          <w:rFonts w:eastAsia="Times New Roman" w:cstheme="minorHAnsi"/>
          <w:b/>
          <w:bCs/>
        </w:rPr>
        <w:t>Nacionalni plan za krizne situacije.</w:t>
      </w:r>
      <w:r w:rsidRPr="000152CB">
        <w:rPr>
          <w:rFonts w:eastAsia="Times New Roman" w:cstheme="minorHAnsi"/>
        </w:rPr>
        <w:t xml:space="preserve"> Izraditi i redovno ažurirati sveobuhvatan Plan za vanredne epidemiološke i druge zdravstvene krize, uključujući operativne protokole, zalihe lijekova/PPE, i mobilne timove. Plan treba povezati MZ, IJZ, domove zdravlja i opštinske centre, uz učešće EU mehanizama (HERA, Civilna zaštita) za prekograničnu pomoć.</w:t>
      </w:r>
    </w:p>
    <w:p w14:paraId="6008B557" w14:textId="77777777" w:rsidR="009556A1" w:rsidRPr="000152CB" w:rsidRDefault="009556A1" w:rsidP="00A23C41">
      <w:pPr>
        <w:numPr>
          <w:ilvl w:val="0"/>
          <w:numId w:val="14"/>
        </w:numPr>
        <w:spacing w:before="100" w:beforeAutospacing="1" w:after="100" w:afterAutospacing="1" w:line="240" w:lineRule="auto"/>
        <w:jc w:val="both"/>
        <w:rPr>
          <w:rFonts w:eastAsia="Times New Roman" w:cstheme="minorHAnsi"/>
        </w:rPr>
      </w:pPr>
      <w:r w:rsidRPr="000152CB">
        <w:rPr>
          <w:rFonts w:eastAsia="Times New Roman" w:cstheme="minorHAnsi"/>
          <w:b/>
          <w:bCs/>
        </w:rPr>
        <w:lastRenderedPageBreak/>
        <w:t>Jačanje javnozdravstvenog sistema.</w:t>
      </w:r>
      <w:r w:rsidRPr="000152CB">
        <w:rPr>
          <w:rFonts w:eastAsia="Times New Roman" w:cstheme="minorHAnsi"/>
        </w:rPr>
        <w:t xml:space="preserve"> Investirati u Institut za javno zdravlje (laboratorijska oprema, kapaciteti za sekvenciranje i nadzor) kako bi se poboljšala rano otkrivanje zaraza i praćenje zdravlja populacije. Redovno održavati obuke za medicinsko osoblje i krizne timove, u saradnji sa WHO i regionalnim partnerima, da bi država bila spremna na buduće pandemije ili katastrofe.</w:t>
      </w:r>
    </w:p>
    <w:p w14:paraId="4921BA66" w14:textId="77777777" w:rsidR="009556A1" w:rsidRPr="000152CB" w:rsidRDefault="009556A1" w:rsidP="00A23C41">
      <w:pPr>
        <w:numPr>
          <w:ilvl w:val="0"/>
          <w:numId w:val="14"/>
        </w:numPr>
        <w:spacing w:before="100" w:beforeAutospacing="1" w:after="100" w:afterAutospacing="1" w:line="240" w:lineRule="auto"/>
        <w:jc w:val="both"/>
        <w:rPr>
          <w:rFonts w:eastAsia="Times New Roman" w:cstheme="minorHAnsi"/>
        </w:rPr>
      </w:pPr>
      <w:r w:rsidRPr="000152CB">
        <w:rPr>
          <w:rFonts w:eastAsia="Times New Roman" w:cstheme="minorHAnsi"/>
          <w:b/>
          <w:bCs/>
        </w:rPr>
        <w:t>Fokus na otpornost zajednice.</w:t>
      </w:r>
      <w:r w:rsidRPr="000152CB">
        <w:rPr>
          <w:rFonts w:eastAsia="Times New Roman" w:cstheme="minorHAnsi"/>
        </w:rPr>
        <w:t xml:space="preserve"> Podsticati lokalne inicijative za prevenciju i adaptaciju (npr. priprema kapaciteta za vakcinaciju u školama/domovima zdravlja). Promovisati javno-zdravstvenu pismenost građana i koordinisane vježbe (evakuacije, hitne medicinske pomoći) kako bi se povećala otpornost društva na zdravstvene šokove.</w:t>
      </w:r>
    </w:p>
    <w:p w14:paraId="0886498C" w14:textId="77777777" w:rsidR="00C62444" w:rsidRPr="000152CB" w:rsidRDefault="00C62444" w:rsidP="00F77A00">
      <w:pPr>
        <w:spacing w:before="100" w:beforeAutospacing="1" w:after="100" w:afterAutospacing="1" w:line="240" w:lineRule="auto"/>
        <w:jc w:val="both"/>
        <w:outlineLvl w:val="0"/>
        <w:rPr>
          <w:rFonts w:eastAsia="Times New Roman" w:cstheme="minorHAnsi"/>
          <w:b/>
          <w:bCs/>
          <w:kern w:val="36"/>
        </w:rPr>
      </w:pPr>
    </w:p>
    <w:p w14:paraId="44754548" w14:textId="77777777" w:rsidR="00C62444" w:rsidRPr="000152CB" w:rsidRDefault="00C62444" w:rsidP="00F77A00">
      <w:pPr>
        <w:spacing w:before="100" w:beforeAutospacing="1" w:after="100" w:afterAutospacing="1" w:line="240" w:lineRule="auto"/>
        <w:jc w:val="both"/>
        <w:outlineLvl w:val="0"/>
        <w:rPr>
          <w:rFonts w:eastAsia="Times New Roman" w:cstheme="minorHAnsi"/>
          <w:b/>
          <w:bCs/>
          <w:kern w:val="36"/>
        </w:rPr>
      </w:pPr>
    </w:p>
    <w:p w14:paraId="45163FC4" w14:textId="77777777" w:rsidR="00C62444" w:rsidRPr="000152CB" w:rsidRDefault="00C62444" w:rsidP="00F77A00">
      <w:pPr>
        <w:spacing w:before="100" w:beforeAutospacing="1" w:after="100" w:afterAutospacing="1" w:line="240" w:lineRule="auto"/>
        <w:jc w:val="both"/>
        <w:outlineLvl w:val="0"/>
        <w:rPr>
          <w:rFonts w:eastAsia="Times New Roman" w:cstheme="minorHAnsi"/>
          <w:b/>
          <w:bCs/>
          <w:kern w:val="36"/>
        </w:rPr>
      </w:pPr>
    </w:p>
    <w:p w14:paraId="675A603F" w14:textId="77777777" w:rsidR="00C62444" w:rsidRPr="000152CB" w:rsidRDefault="00C62444" w:rsidP="00F77A00">
      <w:pPr>
        <w:spacing w:before="100" w:beforeAutospacing="1" w:after="100" w:afterAutospacing="1" w:line="240" w:lineRule="auto"/>
        <w:jc w:val="both"/>
        <w:outlineLvl w:val="0"/>
        <w:rPr>
          <w:rFonts w:eastAsia="Times New Roman" w:cstheme="minorHAnsi"/>
          <w:b/>
          <w:bCs/>
          <w:kern w:val="36"/>
        </w:rPr>
      </w:pPr>
    </w:p>
    <w:p w14:paraId="44432E78" w14:textId="77777777" w:rsidR="00C62444" w:rsidRPr="000152CB" w:rsidRDefault="00C62444" w:rsidP="00F77A00">
      <w:pPr>
        <w:spacing w:before="100" w:beforeAutospacing="1" w:after="100" w:afterAutospacing="1" w:line="240" w:lineRule="auto"/>
        <w:jc w:val="both"/>
        <w:outlineLvl w:val="0"/>
        <w:rPr>
          <w:rFonts w:eastAsia="Times New Roman" w:cstheme="minorHAnsi"/>
          <w:b/>
          <w:bCs/>
          <w:kern w:val="36"/>
        </w:rPr>
      </w:pPr>
    </w:p>
    <w:p w14:paraId="0AFA8624" w14:textId="77777777" w:rsidR="00C62444" w:rsidRPr="000152CB" w:rsidRDefault="00C62444" w:rsidP="00F77A00">
      <w:pPr>
        <w:spacing w:before="100" w:beforeAutospacing="1" w:after="100" w:afterAutospacing="1" w:line="240" w:lineRule="auto"/>
        <w:jc w:val="both"/>
        <w:outlineLvl w:val="0"/>
        <w:rPr>
          <w:rFonts w:eastAsia="Times New Roman" w:cstheme="minorHAnsi"/>
          <w:b/>
          <w:bCs/>
          <w:kern w:val="36"/>
        </w:rPr>
      </w:pPr>
    </w:p>
    <w:p w14:paraId="2D3F4EC3" w14:textId="77777777" w:rsidR="00C62444" w:rsidRPr="000152CB" w:rsidRDefault="00C62444" w:rsidP="00F77A00">
      <w:pPr>
        <w:spacing w:before="100" w:beforeAutospacing="1" w:after="100" w:afterAutospacing="1" w:line="240" w:lineRule="auto"/>
        <w:jc w:val="both"/>
        <w:outlineLvl w:val="0"/>
        <w:rPr>
          <w:rFonts w:eastAsia="Times New Roman" w:cstheme="minorHAnsi"/>
          <w:b/>
          <w:bCs/>
          <w:kern w:val="36"/>
        </w:rPr>
      </w:pPr>
    </w:p>
    <w:p w14:paraId="0FC7EDD3" w14:textId="2943F46E" w:rsidR="00550C90" w:rsidRPr="000152CB" w:rsidRDefault="00550C90" w:rsidP="00F77A00">
      <w:pPr>
        <w:jc w:val="both"/>
        <w:rPr>
          <w:rFonts w:cstheme="minorHAnsi"/>
        </w:rPr>
      </w:pPr>
    </w:p>
    <w:sectPr w:rsidR="00550C90" w:rsidRPr="000152CB" w:rsidSect="00D25E12">
      <w:footerReference w:type="default" r:id="rId11"/>
      <w:pgSz w:w="15840" w:h="12240" w:orient="landscape"/>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49AAD" w14:textId="77777777" w:rsidR="0015734E" w:rsidRDefault="0015734E" w:rsidP="00A12B26">
      <w:pPr>
        <w:spacing w:after="0" w:line="240" w:lineRule="auto"/>
      </w:pPr>
      <w:r>
        <w:separator/>
      </w:r>
    </w:p>
  </w:endnote>
  <w:endnote w:type="continuationSeparator" w:id="0">
    <w:p w14:paraId="645F4283" w14:textId="77777777" w:rsidR="0015734E" w:rsidRDefault="0015734E" w:rsidP="00A12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3838737"/>
      <w:docPartObj>
        <w:docPartGallery w:val="Page Numbers (Bottom of Page)"/>
        <w:docPartUnique/>
      </w:docPartObj>
    </w:sdtPr>
    <w:sdtEndPr/>
    <w:sdtContent>
      <w:p w14:paraId="03948F1C" w14:textId="7A051390" w:rsidR="00E66C25" w:rsidRDefault="00E66C25">
        <w:pPr>
          <w:pStyle w:val="Podnojestranice"/>
          <w:jc w:val="right"/>
        </w:pPr>
        <w:r>
          <w:fldChar w:fldCharType="begin"/>
        </w:r>
        <w:r>
          <w:instrText>PAGE   \* MERGEFORMAT</w:instrText>
        </w:r>
        <w:r>
          <w:fldChar w:fldCharType="separate"/>
        </w:r>
        <w:r>
          <w:rPr>
            <w:lang w:val="sr-Latn-RS"/>
          </w:rPr>
          <w:t>2</w:t>
        </w:r>
        <w:r>
          <w:fldChar w:fldCharType="end"/>
        </w:r>
      </w:p>
    </w:sdtContent>
  </w:sdt>
  <w:p w14:paraId="0CBF3E25" w14:textId="77777777" w:rsidR="00E66C25" w:rsidRDefault="00E66C25">
    <w:pPr>
      <w:pStyle w:val="Podnojestranic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57DEA" w14:textId="77777777" w:rsidR="0015734E" w:rsidRDefault="0015734E" w:rsidP="00A12B26">
      <w:pPr>
        <w:spacing w:after="0" w:line="240" w:lineRule="auto"/>
      </w:pPr>
      <w:r>
        <w:separator/>
      </w:r>
    </w:p>
  </w:footnote>
  <w:footnote w:type="continuationSeparator" w:id="0">
    <w:p w14:paraId="2ACD0544" w14:textId="77777777" w:rsidR="0015734E" w:rsidRDefault="0015734E" w:rsidP="00A12B26">
      <w:pPr>
        <w:spacing w:after="0" w:line="240" w:lineRule="auto"/>
      </w:pPr>
      <w:r>
        <w:continuationSeparator/>
      </w:r>
    </w:p>
  </w:footnote>
  <w:footnote w:id="1">
    <w:p w14:paraId="23F0B041" w14:textId="77777777" w:rsidR="00E66C25" w:rsidRPr="008E31DB" w:rsidRDefault="00E66C25" w:rsidP="00562EBF">
      <w:pPr>
        <w:pStyle w:val="Tekstfusnote"/>
        <w:rPr>
          <w:sz w:val="16"/>
          <w:szCs w:val="16"/>
          <w:lang w:val="sr-Latn-ME"/>
        </w:rPr>
      </w:pPr>
      <w:r w:rsidRPr="008E31DB">
        <w:rPr>
          <w:rStyle w:val="Referencafusnote"/>
          <w:sz w:val="16"/>
          <w:szCs w:val="16"/>
        </w:rPr>
        <w:footnoteRef/>
      </w:r>
      <w:r w:rsidRPr="008E31DB">
        <w:rPr>
          <w:sz w:val="16"/>
          <w:szCs w:val="16"/>
        </w:rPr>
        <w:t xml:space="preserve"> HNB – hroni</w:t>
      </w:r>
      <w:r w:rsidRPr="008E31DB">
        <w:rPr>
          <w:sz w:val="16"/>
          <w:szCs w:val="16"/>
          <w:lang w:val="sr-Latn-ME"/>
        </w:rPr>
        <w:t>čne nezarazne bolesti</w:t>
      </w:r>
    </w:p>
  </w:footnote>
  <w:footnote w:id="2">
    <w:p w14:paraId="63A66535" w14:textId="77777777" w:rsidR="00E66C25" w:rsidRPr="00D62007" w:rsidRDefault="00E66C25" w:rsidP="00562EBF">
      <w:pPr>
        <w:pStyle w:val="Tekstfusnote"/>
        <w:rPr>
          <w:lang w:val="sr-Latn-ME"/>
        </w:rPr>
      </w:pPr>
      <w:r w:rsidRPr="008E31DB">
        <w:rPr>
          <w:rStyle w:val="Referencafusnote"/>
          <w:sz w:val="16"/>
          <w:szCs w:val="16"/>
        </w:rPr>
        <w:footnoteRef/>
      </w:r>
      <w:r w:rsidRPr="008E31DB">
        <w:rPr>
          <w:sz w:val="16"/>
          <w:szCs w:val="16"/>
        </w:rPr>
        <w:t xml:space="preserve"> </w:t>
      </w:r>
      <w:r w:rsidRPr="008E31DB">
        <w:rPr>
          <w:sz w:val="16"/>
          <w:szCs w:val="16"/>
          <w:lang w:val="sr-Latn-ME"/>
        </w:rPr>
        <w:t xml:space="preserve">WHO Izvještaj </w:t>
      </w:r>
      <w:hyperlink r:id="rId1" w:history="1">
        <w:r w:rsidRPr="008E31DB">
          <w:rPr>
            <w:rStyle w:val="Hiperveza"/>
            <w:sz w:val="16"/>
            <w:szCs w:val="16"/>
          </w:rPr>
          <w:t>05_mne_report_phc-impact.pdf (who.int)</w:t>
        </w:r>
      </w:hyperlink>
    </w:p>
  </w:footnote>
  <w:footnote w:id="3">
    <w:p w14:paraId="40748064" w14:textId="77777777" w:rsidR="00E66C25" w:rsidRPr="00F3497D" w:rsidRDefault="00E66C25" w:rsidP="00421FAC">
      <w:pPr>
        <w:pStyle w:val="Tekstfusnote"/>
        <w:rPr>
          <w:lang w:val="sr-Latn-ME"/>
        </w:rPr>
      </w:pPr>
      <w:r>
        <w:rPr>
          <w:rStyle w:val="Referencafusnote"/>
        </w:rPr>
        <w:footnoteRef/>
      </w:r>
      <w:r>
        <w:t xml:space="preserve"> </w:t>
      </w:r>
      <w:r>
        <w:rPr>
          <w:lang w:val="sr-Latn-ME"/>
        </w:rPr>
        <w:t>Podaci dobijeni od KCCG</w:t>
      </w:r>
    </w:p>
  </w:footnote>
  <w:footnote w:id="4">
    <w:p w14:paraId="6A8DF2E9" w14:textId="77777777" w:rsidR="00E66C25" w:rsidRPr="008E31DB" w:rsidRDefault="00E66C25" w:rsidP="00FD6E82">
      <w:pPr>
        <w:pStyle w:val="Tekstfusnote"/>
        <w:rPr>
          <w:sz w:val="16"/>
          <w:szCs w:val="16"/>
          <w:lang w:val="sr-Latn-ME"/>
        </w:rPr>
      </w:pPr>
      <w:r w:rsidRPr="008E31DB">
        <w:rPr>
          <w:rStyle w:val="Referencafusnote"/>
          <w:sz w:val="16"/>
          <w:szCs w:val="16"/>
        </w:rPr>
        <w:footnoteRef/>
      </w:r>
      <w:r w:rsidRPr="008E31DB">
        <w:rPr>
          <w:sz w:val="16"/>
          <w:szCs w:val="16"/>
        </w:rPr>
        <w:t xml:space="preserve"> HNB – hroni</w:t>
      </w:r>
      <w:r w:rsidRPr="008E31DB">
        <w:rPr>
          <w:sz w:val="16"/>
          <w:szCs w:val="16"/>
          <w:lang w:val="sr-Latn-ME"/>
        </w:rPr>
        <w:t>čne nezarazne bolesti</w:t>
      </w:r>
    </w:p>
  </w:footnote>
  <w:footnote w:id="5">
    <w:p w14:paraId="62ACD033" w14:textId="77777777" w:rsidR="00E66C25" w:rsidRPr="00D62007" w:rsidRDefault="00E66C25" w:rsidP="00FD6E82">
      <w:pPr>
        <w:pStyle w:val="Tekstfusnote"/>
        <w:rPr>
          <w:lang w:val="sr-Latn-ME"/>
        </w:rPr>
      </w:pPr>
      <w:r w:rsidRPr="008E31DB">
        <w:rPr>
          <w:rStyle w:val="Referencafusnote"/>
          <w:sz w:val="16"/>
          <w:szCs w:val="16"/>
        </w:rPr>
        <w:footnoteRef/>
      </w:r>
      <w:r w:rsidRPr="008E31DB">
        <w:rPr>
          <w:sz w:val="16"/>
          <w:szCs w:val="16"/>
        </w:rPr>
        <w:t xml:space="preserve"> </w:t>
      </w:r>
      <w:r w:rsidRPr="008E31DB">
        <w:rPr>
          <w:sz w:val="16"/>
          <w:szCs w:val="16"/>
          <w:lang w:val="sr-Latn-ME"/>
        </w:rPr>
        <w:t xml:space="preserve">WHO Izvještaj </w:t>
      </w:r>
      <w:hyperlink r:id="rId2" w:history="1">
        <w:r w:rsidRPr="008E31DB">
          <w:rPr>
            <w:rStyle w:val="Hiperveza"/>
            <w:sz w:val="16"/>
            <w:szCs w:val="16"/>
          </w:rPr>
          <w:t>05_mne_report_phc-impact.pdf (who.int)</w:t>
        </w:r>
      </w:hyperlink>
    </w:p>
  </w:footnote>
  <w:footnote w:id="6">
    <w:p w14:paraId="1ABC2286" w14:textId="77777777" w:rsidR="00E66C25" w:rsidRPr="00F3497D" w:rsidRDefault="00E66C25" w:rsidP="00FD6E82">
      <w:pPr>
        <w:pStyle w:val="Tekstfusnote"/>
        <w:rPr>
          <w:lang w:val="sr-Latn-ME"/>
        </w:rPr>
      </w:pPr>
      <w:r>
        <w:rPr>
          <w:rStyle w:val="Referencafusnote"/>
        </w:rPr>
        <w:footnoteRef/>
      </w:r>
      <w:r>
        <w:t xml:space="preserve"> </w:t>
      </w:r>
      <w:r>
        <w:rPr>
          <w:lang w:val="sr-Latn-ME"/>
        </w:rPr>
        <w:t>Podaci dobijeni od KCCG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47AE6"/>
    <w:multiLevelType w:val="multilevel"/>
    <w:tmpl w:val="4F0C1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1B1FFF"/>
    <w:multiLevelType w:val="multilevel"/>
    <w:tmpl w:val="56BA7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C9205A"/>
    <w:multiLevelType w:val="multilevel"/>
    <w:tmpl w:val="8BB05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900D50"/>
    <w:multiLevelType w:val="multilevel"/>
    <w:tmpl w:val="F2E850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B338EA"/>
    <w:multiLevelType w:val="multilevel"/>
    <w:tmpl w:val="4BF67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0E7E98"/>
    <w:multiLevelType w:val="hybridMultilevel"/>
    <w:tmpl w:val="7FDC86F8"/>
    <w:lvl w:ilvl="0" w:tplc="733084F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9833C4"/>
    <w:multiLevelType w:val="hybridMultilevel"/>
    <w:tmpl w:val="EC7029A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5D46A5"/>
    <w:multiLevelType w:val="multilevel"/>
    <w:tmpl w:val="F90CD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876879"/>
    <w:multiLevelType w:val="multilevel"/>
    <w:tmpl w:val="5100C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6668B7"/>
    <w:multiLevelType w:val="multilevel"/>
    <w:tmpl w:val="0D9EE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741A0E"/>
    <w:multiLevelType w:val="multilevel"/>
    <w:tmpl w:val="5C5A7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F90AD4"/>
    <w:multiLevelType w:val="multilevel"/>
    <w:tmpl w:val="1662F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C2A7BDE"/>
    <w:multiLevelType w:val="multilevel"/>
    <w:tmpl w:val="7764A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8C41DD"/>
    <w:multiLevelType w:val="multilevel"/>
    <w:tmpl w:val="F2FE9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A962D8"/>
    <w:multiLevelType w:val="multilevel"/>
    <w:tmpl w:val="A498E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83679B"/>
    <w:multiLevelType w:val="multilevel"/>
    <w:tmpl w:val="DEF61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720D8E"/>
    <w:multiLevelType w:val="hybridMultilevel"/>
    <w:tmpl w:val="A4FA88F8"/>
    <w:lvl w:ilvl="0" w:tplc="263C414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883008">
    <w:abstractNumId w:val="7"/>
  </w:num>
  <w:num w:numId="2" w16cid:durableId="34551733">
    <w:abstractNumId w:val="10"/>
  </w:num>
  <w:num w:numId="3" w16cid:durableId="1009529250">
    <w:abstractNumId w:val="12"/>
  </w:num>
  <w:num w:numId="4" w16cid:durableId="963735895">
    <w:abstractNumId w:val="5"/>
  </w:num>
  <w:num w:numId="5" w16cid:durableId="1675839643">
    <w:abstractNumId w:val="16"/>
  </w:num>
  <w:num w:numId="6" w16cid:durableId="497576621">
    <w:abstractNumId w:val="3"/>
  </w:num>
  <w:num w:numId="7" w16cid:durableId="1044909432">
    <w:abstractNumId w:val="14"/>
  </w:num>
  <w:num w:numId="8" w16cid:durableId="1688367720">
    <w:abstractNumId w:val="1"/>
  </w:num>
  <w:num w:numId="9" w16cid:durableId="1239512139">
    <w:abstractNumId w:val="0"/>
  </w:num>
  <w:num w:numId="10" w16cid:durableId="36054740">
    <w:abstractNumId w:val="9"/>
  </w:num>
  <w:num w:numId="11" w16cid:durableId="1746687318">
    <w:abstractNumId w:val="4"/>
  </w:num>
  <w:num w:numId="12" w16cid:durableId="1687513587">
    <w:abstractNumId w:val="8"/>
  </w:num>
  <w:num w:numId="13" w16cid:durableId="283653866">
    <w:abstractNumId w:val="13"/>
  </w:num>
  <w:num w:numId="14" w16cid:durableId="1171991898">
    <w:abstractNumId w:val="15"/>
  </w:num>
  <w:num w:numId="15" w16cid:durableId="1119955317">
    <w:abstractNumId w:val="2"/>
  </w:num>
  <w:num w:numId="16" w16cid:durableId="1397240924">
    <w:abstractNumId w:val="6"/>
  </w:num>
  <w:num w:numId="17" w16cid:durableId="851456668">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218"/>
    <w:rsid w:val="000021FE"/>
    <w:rsid w:val="00012E7F"/>
    <w:rsid w:val="000152CB"/>
    <w:rsid w:val="00015FF2"/>
    <w:rsid w:val="0002071B"/>
    <w:rsid w:val="00024210"/>
    <w:rsid w:val="00043D20"/>
    <w:rsid w:val="00046D5D"/>
    <w:rsid w:val="000574A7"/>
    <w:rsid w:val="00057786"/>
    <w:rsid w:val="000735FA"/>
    <w:rsid w:val="00074AD6"/>
    <w:rsid w:val="00080F9B"/>
    <w:rsid w:val="000810FF"/>
    <w:rsid w:val="000822AA"/>
    <w:rsid w:val="00091356"/>
    <w:rsid w:val="000956AF"/>
    <w:rsid w:val="000A3455"/>
    <w:rsid w:val="000A3DF6"/>
    <w:rsid w:val="000B0887"/>
    <w:rsid w:val="000B5ED0"/>
    <w:rsid w:val="000B7735"/>
    <w:rsid w:val="000C14DD"/>
    <w:rsid w:val="000C4B15"/>
    <w:rsid w:val="000D051C"/>
    <w:rsid w:val="000D0763"/>
    <w:rsid w:val="000D1B27"/>
    <w:rsid w:val="000D3A5F"/>
    <w:rsid w:val="000E6AE7"/>
    <w:rsid w:val="000E75E4"/>
    <w:rsid w:val="000F7FFE"/>
    <w:rsid w:val="001019C2"/>
    <w:rsid w:val="00104A15"/>
    <w:rsid w:val="0011440E"/>
    <w:rsid w:val="00115952"/>
    <w:rsid w:val="0012065A"/>
    <w:rsid w:val="00121978"/>
    <w:rsid w:val="00126480"/>
    <w:rsid w:val="00135F03"/>
    <w:rsid w:val="001548E5"/>
    <w:rsid w:val="001557B0"/>
    <w:rsid w:val="0015734E"/>
    <w:rsid w:val="0016061C"/>
    <w:rsid w:val="00175E5D"/>
    <w:rsid w:val="00181867"/>
    <w:rsid w:val="00192927"/>
    <w:rsid w:val="00195F82"/>
    <w:rsid w:val="001A1A5D"/>
    <w:rsid w:val="001D7EB5"/>
    <w:rsid w:val="001E2588"/>
    <w:rsid w:val="001E31F9"/>
    <w:rsid w:val="001F15B2"/>
    <w:rsid w:val="001F2B0F"/>
    <w:rsid w:val="001F451A"/>
    <w:rsid w:val="00201AB3"/>
    <w:rsid w:val="00205E22"/>
    <w:rsid w:val="00210BD4"/>
    <w:rsid w:val="002173BF"/>
    <w:rsid w:val="002353F2"/>
    <w:rsid w:val="00241818"/>
    <w:rsid w:val="00242366"/>
    <w:rsid w:val="00242CC1"/>
    <w:rsid w:val="002505AB"/>
    <w:rsid w:val="002530D3"/>
    <w:rsid w:val="002560D5"/>
    <w:rsid w:val="00260B7B"/>
    <w:rsid w:val="002611C0"/>
    <w:rsid w:val="002868EB"/>
    <w:rsid w:val="00292D11"/>
    <w:rsid w:val="002951B3"/>
    <w:rsid w:val="002A0818"/>
    <w:rsid w:val="002A2DB2"/>
    <w:rsid w:val="002B23CC"/>
    <w:rsid w:val="002B6E1A"/>
    <w:rsid w:val="002C5C68"/>
    <w:rsid w:val="002C5C7A"/>
    <w:rsid w:val="002D6E96"/>
    <w:rsid w:val="002E5B32"/>
    <w:rsid w:val="002E608C"/>
    <w:rsid w:val="002F2E3E"/>
    <w:rsid w:val="002F54D6"/>
    <w:rsid w:val="00327360"/>
    <w:rsid w:val="003405C5"/>
    <w:rsid w:val="003439D2"/>
    <w:rsid w:val="00345359"/>
    <w:rsid w:val="00346347"/>
    <w:rsid w:val="003557CD"/>
    <w:rsid w:val="003633E3"/>
    <w:rsid w:val="003702B3"/>
    <w:rsid w:val="00371393"/>
    <w:rsid w:val="00391889"/>
    <w:rsid w:val="00397429"/>
    <w:rsid w:val="00397FF9"/>
    <w:rsid w:val="003B016C"/>
    <w:rsid w:val="003B5785"/>
    <w:rsid w:val="003B5A8E"/>
    <w:rsid w:val="003B6ADE"/>
    <w:rsid w:val="003D3A26"/>
    <w:rsid w:val="003D4860"/>
    <w:rsid w:val="003D4DCF"/>
    <w:rsid w:val="003E02ED"/>
    <w:rsid w:val="003F3DEB"/>
    <w:rsid w:val="0040749B"/>
    <w:rsid w:val="004075D5"/>
    <w:rsid w:val="0040792A"/>
    <w:rsid w:val="00410C62"/>
    <w:rsid w:val="00420C22"/>
    <w:rsid w:val="00421FAC"/>
    <w:rsid w:val="00426291"/>
    <w:rsid w:val="0042720A"/>
    <w:rsid w:val="00431AA2"/>
    <w:rsid w:val="0044199E"/>
    <w:rsid w:val="00443D5C"/>
    <w:rsid w:val="00443E92"/>
    <w:rsid w:val="004474C3"/>
    <w:rsid w:val="00450673"/>
    <w:rsid w:val="00451E18"/>
    <w:rsid w:val="00463416"/>
    <w:rsid w:val="004658D5"/>
    <w:rsid w:val="00466DF8"/>
    <w:rsid w:val="00470FA7"/>
    <w:rsid w:val="00474251"/>
    <w:rsid w:val="004816B8"/>
    <w:rsid w:val="00482053"/>
    <w:rsid w:val="00484338"/>
    <w:rsid w:val="00484E8D"/>
    <w:rsid w:val="004969FE"/>
    <w:rsid w:val="004A12D4"/>
    <w:rsid w:val="004A3E05"/>
    <w:rsid w:val="004A560A"/>
    <w:rsid w:val="004A644E"/>
    <w:rsid w:val="004B3CAA"/>
    <w:rsid w:val="004D1417"/>
    <w:rsid w:val="004D65E9"/>
    <w:rsid w:val="004E4167"/>
    <w:rsid w:val="004E4485"/>
    <w:rsid w:val="004E5860"/>
    <w:rsid w:val="004F42A8"/>
    <w:rsid w:val="004F55DC"/>
    <w:rsid w:val="00516DA8"/>
    <w:rsid w:val="00520B4F"/>
    <w:rsid w:val="005271C1"/>
    <w:rsid w:val="00534739"/>
    <w:rsid w:val="005401CC"/>
    <w:rsid w:val="005430C3"/>
    <w:rsid w:val="00544334"/>
    <w:rsid w:val="00550C90"/>
    <w:rsid w:val="005512F1"/>
    <w:rsid w:val="00561C87"/>
    <w:rsid w:val="00562EBF"/>
    <w:rsid w:val="0056504A"/>
    <w:rsid w:val="00583B61"/>
    <w:rsid w:val="00585E0D"/>
    <w:rsid w:val="00587256"/>
    <w:rsid w:val="005875B0"/>
    <w:rsid w:val="00591FDC"/>
    <w:rsid w:val="005A3805"/>
    <w:rsid w:val="005B54D7"/>
    <w:rsid w:val="005B6DFA"/>
    <w:rsid w:val="005B6ECD"/>
    <w:rsid w:val="005C299B"/>
    <w:rsid w:val="005C7BD1"/>
    <w:rsid w:val="005E522B"/>
    <w:rsid w:val="005F1094"/>
    <w:rsid w:val="005F2271"/>
    <w:rsid w:val="00610E5A"/>
    <w:rsid w:val="00627A77"/>
    <w:rsid w:val="006421DE"/>
    <w:rsid w:val="00651F71"/>
    <w:rsid w:val="00653D13"/>
    <w:rsid w:val="00656A9C"/>
    <w:rsid w:val="006605A7"/>
    <w:rsid w:val="00664AAF"/>
    <w:rsid w:val="00666B11"/>
    <w:rsid w:val="006704FC"/>
    <w:rsid w:val="00670D23"/>
    <w:rsid w:val="00671529"/>
    <w:rsid w:val="00675DBB"/>
    <w:rsid w:val="00680A19"/>
    <w:rsid w:val="006A1176"/>
    <w:rsid w:val="006A1FAF"/>
    <w:rsid w:val="006A6C7E"/>
    <w:rsid w:val="006C08EC"/>
    <w:rsid w:val="006E424C"/>
    <w:rsid w:val="006E42FA"/>
    <w:rsid w:val="006E6321"/>
    <w:rsid w:val="006F32D9"/>
    <w:rsid w:val="00704ED2"/>
    <w:rsid w:val="00706669"/>
    <w:rsid w:val="00710235"/>
    <w:rsid w:val="00715B08"/>
    <w:rsid w:val="007231D1"/>
    <w:rsid w:val="007256E8"/>
    <w:rsid w:val="00730BA0"/>
    <w:rsid w:val="007310A2"/>
    <w:rsid w:val="00737ACD"/>
    <w:rsid w:val="007418F1"/>
    <w:rsid w:val="00742D83"/>
    <w:rsid w:val="00744B51"/>
    <w:rsid w:val="0074515C"/>
    <w:rsid w:val="007475C3"/>
    <w:rsid w:val="00753B8D"/>
    <w:rsid w:val="00756EC9"/>
    <w:rsid w:val="00763F46"/>
    <w:rsid w:val="00765C15"/>
    <w:rsid w:val="00770551"/>
    <w:rsid w:val="007710A7"/>
    <w:rsid w:val="00774326"/>
    <w:rsid w:val="00784360"/>
    <w:rsid w:val="007960CD"/>
    <w:rsid w:val="007C7EAE"/>
    <w:rsid w:val="007D717A"/>
    <w:rsid w:val="007E60AA"/>
    <w:rsid w:val="007E7B93"/>
    <w:rsid w:val="007F3A5D"/>
    <w:rsid w:val="0080063C"/>
    <w:rsid w:val="008034A9"/>
    <w:rsid w:val="00814B1B"/>
    <w:rsid w:val="00823FF0"/>
    <w:rsid w:val="008338CB"/>
    <w:rsid w:val="00840D6F"/>
    <w:rsid w:val="00843385"/>
    <w:rsid w:val="008451BA"/>
    <w:rsid w:val="00846C92"/>
    <w:rsid w:val="00852B13"/>
    <w:rsid w:val="00861528"/>
    <w:rsid w:val="008708D0"/>
    <w:rsid w:val="00877481"/>
    <w:rsid w:val="00880DED"/>
    <w:rsid w:val="00886694"/>
    <w:rsid w:val="0089730E"/>
    <w:rsid w:val="00897B83"/>
    <w:rsid w:val="008A37DA"/>
    <w:rsid w:val="008B19AF"/>
    <w:rsid w:val="008C2330"/>
    <w:rsid w:val="008C2782"/>
    <w:rsid w:val="008D6E05"/>
    <w:rsid w:val="008E05F5"/>
    <w:rsid w:val="008F6431"/>
    <w:rsid w:val="008F7FD8"/>
    <w:rsid w:val="00900A2D"/>
    <w:rsid w:val="0090285C"/>
    <w:rsid w:val="0091013E"/>
    <w:rsid w:val="00913070"/>
    <w:rsid w:val="00913142"/>
    <w:rsid w:val="009169E7"/>
    <w:rsid w:val="00923E30"/>
    <w:rsid w:val="00936E2B"/>
    <w:rsid w:val="009411CA"/>
    <w:rsid w:val="00950C6C"/>
    <w:rsid w:val="009556A1"/>
    <w:rsid w:val="00964E69"/>
    <w:rsid w:val="009747B6"/>
    <w:rsid w:val="00975DB2"/>
    <w:rsid w:val="00977D91"/>
    <w:rsid w:val="0099424C"/>
    <w:rsid w:val="009A0AD0"/>
    <w:rsid w:val="009A0C05"/>
    <w:rsid w:val="009B2FE5"/>
    <w:rsid w:val="009B5664"/>
    <w:rsid w:val="009C06EB"/>
    <w:rsid w:val="009C3E69"/>
    <w:rsid w:val="009C5219"/>
    <w:rsid w:val="009D2D3F"/>
    <w:rsid w:val="009D3E54"/>
    <w:rsid w:val="009D4F7C"/>
    <w:rsid w:val="009E462F"/>
    <w:rsid w:val="009F408F"/>
    <w:rsid w:val="00A00818"/>
    <w:rsid w:val="00A01EE6"/>
    <w:rsid w:val="00A1095A"/>
    <w:rsid w:val="00A12B26"/>
    <w:rsid w:val="00A23C41"/>
    <w:rsid w:val="00A33861"/>
    <w:rsid w:val="00A471C4"/>
    <w:rsid w:val="00A6260E"/>
    <w:rsid w:val="00A62B72"/>
    <w:rsid w:val="00A642B6"/>
    <w:rsid w:val="00A6629D"/>
    <w:rsid w:val="00A67223"/>
    <w:rsid w:val="00A72297"/>
    <w:rsid w:val="00A733AD"/>
    <w:rsid w:val="00A73AF0"/>
    <w:rsid w:val="00A75A09"/>
    <w:rsid w:val="00A83B42"/>
    <w:rsid w:val="00A8599C"/>
    <w:rsid w:val="00A86FB8"/>
    <w:rsid w:val="00A929CD"/>
    <w:rsid w:val="00A9342C"/>
    <w:rsid w:val="00AA1350"/>
    <w:rsid w:val="00AB1E34"/>
    <w:rsid w:val="00AB34FA"/>
    <w:rsid w:val="00AB5075"/>
    <w:rsid w:val="00AD07FD"/>
    <w:rsid w:val="00AD4094"/>
    <w:rsid w:val="00AD7493"/>
    <w:rsid w:val="00AD798F"/>
    <w:rsid w:val="00AE354F"/>
    <w:rsid w:val="00AE4024"/>
    <w:rsid w:val="00AE4B79"/>
    <w:rsid w:val="00AE6588"/>
    <w:rsid w:val="00AE7BC1"/>
    <w:rsid w:val="00AF0C98"/>
    <w:rsid w:val="00AF12EA"/>
    <w:rsid w:val="00AF3451"/>
    <w:rsid w:val="00B01066"/>
    <w:rsid w:val="00B0176D"/>
    <w:rsid w:val="00B10182"/>
    <w:rsid w:val="00B1790C"/>
    <w:rsid w:val="00B25859"/>
    <w:rsid w:val="00B277FA"/>
    <w:rsid w:val="00B2781F"/>
    <w:rsid w:val="00B3243E"/>
    <w:rsid w:val="00B32EB8"/>
    <w:rsid w:val="00B36919"/>
    <w:rsid w:val="00B36F26"/>
    <w:rsid w:val="00B376CB"/>
    <w:rsid w:val="00B42DA8"/>
    <w:rsid w:val="00B43D0B"/>
    <w:rsid w:val="00B44E25"/>
    <w:rsid w:val="00B462DE"/>
    <w:rsid w:val="00B6590D"/>
    <w:rsid w:val="00B67DF5"/>
    <w:rsid w:val="00B772F7"/>
    <w:rsid w:val="00B775D7"/>
    <w:rsid w:val="00B86673"/>
    <w:rsid w:val="00B86CAC"/>
    <w:rsid w:val="00B9347E"/>
    <w:rsid w:val="00B94C2C"/>
    <w:rsid w:val="00B96473"/>
    <w:rsid w:val="00BA0AE7"/>
    <w:rsid w:val="00BA1344"/>
    <w:rsid w:val="00BA1C06"/>
    <w:rsid w:val="00BB44DA"/>
    <w:rsid w:val="00BB647E"/>
    <w:rsid w:val="00BB7184"/>
    <w:rsid w:val="00BC0752"/>
    <w:rsid w:val="00BC287E"/>
    <w:rsid w:val="00BC44EA"/>
    <w:rsid w:val="00BC4719"/>
    <w:rsid w:val="00BD2FC5"/>
    <w:rsid w:val="00BD4E62"/>
    <w:rsid w:val="00BF07BB"/>
    <w:rsid w:val="00BF1C2E"/>
    <w:rsid w:val="00BF2251"/>
    <w:rsid w:val="00BF646C"/>
    <w:rsid w:val="00C021B1"/>
    <w:rsid w:val="00C03BD2"/>
    <w:rsid w:val="00C040F0"/>
    <w:rsid w:val="00C124E3"/>
    <w:rsid w:val="00C4360E"/>
    <w:rsid w:val="00C57716"/>
    <w:rsid w:val="00C62444"/>
    <w:rsid w:val="00C626A6"/>
    <w:rsid w:val="00C65392"/>
    <w:rsid w:val="00C673F5"/>
    <w:rsid w:val="00C85252"/>
    <w:rsid w:val="00C9039F"/>
    <w:rsid w:val="00C921A9"/>
    <w:rsid w:val="00CA0422"/>
    <w:rsid w:val="00CA4F26"/>
    <w:rsid w:val="00CA6275"/>
    <w:rsid w:val="00CB13A0"/>
    <w:rsid w:val="00CB448F"/>
    <w:rsid w:val="00CC00D9"/>
    <w:rsid w:val="00CC2A1D"/>
    <w:rsid w:val="00CE0AE3"/>
    <w:rsid w:val="00CE0CFE"/>
    <w:rsid w:val="00CE1189"/>
    <w:rsid w:val="00CE690B"/>
    <w:rsid w:val="00CE7E00"/>
    <w:rsid w:val="00CF2CE3"/>
    <w:rsid w:val="00D049F6"/>
    <w:rsid w:val="00D12FC3"/>
    <w:rsid w:val="00D1501A"/>
    <w:rsid w:val="00D17875"/>
    <w:rsid w:val="00D25E12"/>
    <w:rsid w:val="00D36DD2"/>
    <w:rsid w:val="00D44D56"/>
    <w:rsid w:val="00D45CAD"/>
    <w:rsid w:val="00D46490"/>
    <w:rsid w:val="00D4767D"/>
    <w:rsid w:val="00D502D0"/>
    <w:rsid w:val="00D52C3B"/>
    <w:rsid w:val="00D537D1"/>
    <w:rsid w:val="00D54A67"/>
    <w:rsid w:val="00D54B17"/>
    <w:rsid w:val="00D61D0F"/>
    <w:rsid w:val="00D66B7F"/>
    <w:rsid w:val="00D71313"/>
    <w:rsid w:val="00D94635"/>
    <w:rsid w:val="00DB1D05"/>
    <w:rsid w:val="00DB22FE"/>
    <w:rsid w:val="00DB56F7"/>
    <w:rsid w:val="00DC3968"/>
    <w:rsid w:val="00DC6437"/>
    <w:rsid w:val="00DC70B4"/>
    <w:rsid w:val="00DD0853"/>
    <w:rsid w:val="00DD598A"/>
    <w:rsid w:val="00DD73C8"/>
    <w:rsid w:val="00DD7829"/>
    <w:rsid w:val="00DE0750"/>
    <w:rsid w:val="00DE6D8E"/>
    <w:rsid w:val="00DF40B5"/>
    <w:rsid w:val="00E20658"/>
    <w:rsid w:val="00E33725"/>
    <w:rsid w:val="00E45417"/>
    <w:rsid w:val="00E45D28"/>
    <w:rsid w:val="00E45F5E"/>
    <w:rsid w:val="00E52FE9"/>
    <w:rsid w:val="00E602E7"/>
    <w:rsid w:val="00E62218"/>
    <w:rsid w:val="00E66C25"/>
    <w:rsid w:val="00E716FA"/>
    <w:rsid w:val="00E7685D"/>
    <w:rsid w:val="00E77388"/>
    <w:rsid w:val="00E80C65"/>
    <w:rsid w:val="00E80E79"/>
    <w:rsid w:val="00E9272F"/>
    <w:rsid w:val="00E94F6D"/>
    <w:rsid w:val="00EC2C7A"/>
    <w:rsid w:val="00ED24B1"/>
    <w:rsid w:val="00ED7471"/>
    <w:rsid w:val="00EE5946"/>
    <w:rsid w:val="00EE7793"/>
    <w:rsid w:val="00EF1BEF"/>
    <w:rsid w:val="00EF3333"/>
    <w:rsid w:val="00F00238"/>
    <w:rsid w:val="00F1299C"/>
    <w:rsid w:val="00F24B88"/>
    <w:rsid w:val="00F26DEE"/>
    <w:rsid w:val="00F27A44"/>
    <w:rsid w:val="00F47121"/>
    <w:rsid w:val="00F47584"/>
    <w:rsid w:val="00F5189E"/>
    <w:rsid w:val="00F57704"/>
    <w:rsid w:val="00F755AA"/>
    <w:rsid w:val="00F77A00"/>
    <w:rsid w:val="00F80A08"/>
    <w:rsid w:val="00F865F1"/>
    <w:rsid w:val="00F94946"/>
    <w:rsid w:val="00FA2425"/>
    <w:rsid w:val="00FB5654"/>
    <w:rsid w:val="00FC2126"/>
    <w:rsid w:val="00FC3042"/>
    <w:rsid w:val="00FC3540"/>
    <w:rsid w:val="00FC551E"/>
    <w:rsid w:val="00FC610B"/>
    <w:rsid w:val="00FD02E4"/>
    <w:rsid w:val="00FD100A"/>
    <w:rsid w:val="00FD2696"/>
    <w:rsid w:val="00FD6E82"/>
    <w:rsid w:val="00FE0007"/>
    <w:rsid w:val="00FF2DC3"/>
    <w:rsid w:val="3B4FE4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6E297"/>
  <w15:chartTrackingRefBased/>
  <w15:docId w15:val="{F148A3A5-D095-4F7C-BC1E-9CE76DA4B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1189"/>
    <w:rPr>
      <w:lang w:val="bs-Latn-BA"/>
    </w:rPr>
  </w:style>
  <w:style w:type="paragraph" w:styleId="Naslov1">
    <w:name w:val="heading 1"/>
    <w:basedOn w:val="Normal"/>
    <w:next w:val="Normal"/>
    <w:link w:val="Naslov1Char"/>
    <w:uiPriority w:val="9"/>
    <w:qFormat/>
    <w:rsid w:val="00D61D0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next w:val="Normal"/>
    <w:link w:val="Naslov2Char"/>
    <w:uiPriority w:val="9"/>
    <w:unhideWhenUsed/>
    <w:qFormat/>
    <w:rsid w:val="00D61D0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ormal"/>
    <w:next w:val="Normal"/>
    <w:link w:val="Naslov3Char"/>
    <w:uiPriority w:val="9"/>
    <w:unhideWhenUsed/>
    <w:qFormat/>
    <w:rsid w:val="00FD6E82"/>
    <w:pPr>
      <w:keepNext/>
      <w:keepLines/>
      <w:spacing w:before="40" w:after="0" w:line="240" w:lineRule="auto"/>
      <w:outlineLvl w:val="2"/>
    </w:pPr>
    <w:rPr>
      <w:rFonts w:asciiTheme="majorHAnsi" w:eastAsiaTheme="majorEastAsia" w:hAnsiTheme="majorHAnsi" w:cstheme="majorBidi"/>
      <w:color w:val="1F3763" w:themeColor="accent1" w:themeShade="7F"/>
      <w:sz w:val="24"/>
      <w:szCs w:val="24"/>
      <w:lang w:val="en-GB"/>
    </w:rPr>
  </w:style>
  <w:style w:type="paragraph" w:styleId="Naslov4">
    <w:name w:val="heading 4"/>
    <w:basedOn w:val="Normal"/>
    <w:next w:val="Normal"/>
    <w:link w:val="Naslov4Char"/>
    <w:uiPriority w:val="9"/>
    <w:unhideWhenUsed/>
    <w:qFormat/>
    <w:rsid w:val="00FD6E82"/>
    <w:pPr>
      <w:keepNext/>
      <w:keepLines/>
      <w:spacing w:before="40" w:after="0" w:line="240" w:lineRule="auto"/>
      <w:outlineLvl w:val="3"/>
    </w:pPr>
    <w:rPr>
      <w:rFonts w:asciiTheme="majorHAnsi" w:eastAsiaTheme="majorEastAsia" w:hAnsiTheme="majorHAnsi" w:cstheme="majorBidi"/>
      <w:i/>
      <w:iCs/>
      <w:color w:val="2F5496" w:themeColor="accent1" w:themeShade="BF"/>
      <w:sz w:val="24"/>
      <w:szCs w:val="20"/>
      <w:lang w:val="en-GB"/>
    </w:rPr>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paragraph" w:styleId="Pasussalistom">
    <w:name w:val="List Paragraph"/>
    <w:aliases w:val="Table/Figure Heading,En tête 1,List Paragraph (numbered (a)),Lapis Bulleted List,Dot pt,F5 List Paragraph,No Spacing1,List Paragraph Char Char Char,Indicator Text,Numbered Para 1,Bullet 1,List Paragraph12,Bullet Points,L,Liste Paragraf,H"/>
    <w:basedOn w:val="Normal"/>
    <w:link w:val="PasussalistomChar"/>
    <w:uiPriority w:val="34"/>
    <w:qFormat/>
    <w:rsid w:val="00046D5D"/>
    <w:pPr>
      <w:ind w:left="720"/>
      <w:contextualSpacing/>
    </w:pPr>
  </w:style>
  <w:style w:type="character" w:customStyle="1" w:styleId="Naslov1Char">
    <w:name w:val="Naslov 1 Char"/>
    <w:basedOn w:val="Podrazumevanifontpasusa"/>
    <w:link w:val="Naslov1"/>
    <w:uiPriority w:val="9"/>
    <w:rsid w:val="00D61D0F"/>
    <w:rPr>
      <w:rFonts w:asciiTheme="majorHAnsi" w:eastAsiaTheme="majorEastAsia" w:hAnsiTheme="majorHAnsi" w:cstheme="majorBidi"/>
      <w:color w:val="2F5496" w:themeColor="accent1" w:themeShade="BF"/>
      <w:sz w:val="32"/>
      <w:szCs w:val="32"/>
    </w:rPr>
  </w:style>
  <w:style w:type="character" w:customStyle="1" w:styleId="Naslov2Char">
    <w:name w:val="Naslov 2 Char"/>
    <w:basedOn w:val="Podrazumevanifontpasusa"/>
    <w:link w:val="Naslov2"/>
    <w:uiPriority w:val="9"/>
    <w:rsid w:val="00D61D0F"/>
    <w:rPr>
      <w:rFonts w:asciiTheme="majorHAnsi" w:eastAsiaTheme="majorEastAsia" w:hAnsiTheme="majorHAnsi" w:cstheme="majorBidi"/>
      <w:color w:val="2F5496" w:themeColor="accent1" w:themeShade="BF"/>
      <w:sz w:val="26"/>
      <w:szCs w:val="26"/>
    </w:rPr>
  </w:style>
  <w:style w:type="paragraph" w:styleId="Tekstfusnote">
    <w:name w:val="footnote text"/>
    <w:basedOn w:val="Normal"/>
    <w:link w:val="TekstfusnoteChar"/>
    <w:uiPriority w:val="99"/>
    <w:unhideWhenUsed/>
    <w:rsid w:val="00A12B26"/>
    <w:pPr>
      <w:spacing w:after="0" w:line="240" w:lineRule="auto"/>
    </w:pPr>
    <w:rPr>
      <w:sz w:val="20"/>
      <w:szCs w:val="20"/>
    </w:rPr>
  </w:style>
  <w:style w:type="character" w:customStyle="1" w:styleId="TekstfusnoteChar">
    <w:name w:val="Tekst fusnote Char"/>
    <w:basedOn w:val="Podrazumevanifontpasusa"/>
    <w:link w:val="Tekstfusnote"/>
    <w:uiPriority w:val="99"/>
    <w:rsid w:val="00A12B26"/>
    <w:rPr>
      <w:sz w:val="20"/>
      <w:szCs w:val="20"/>
    </w:rPr>
  </w:style>
  <w:style w:type="character" w:styleId="Referencafusnote">
    <w:name w:val="footnote reference"/>
    <w:basedOn w:val="Podrazumevanifontpasusa"/>
    <w:uiPriority w:val="99"/>
    <w:semiHidden/>
    <w:unhideWhenUsed/>
    <w:rsid w:val="00A12B26"/>
    <w:rPr>
      <w:vertAlign w:val="superscript"/>
    </w:rPr>
  </w:style>
  <w:style w:type="character" w:styleId="Hiperveza">
    <w:name w:val="Hyperlink"/>
    <w:basedOn w:val="Podrazumevanifontpasusa"/>
    <w:uiPriority w:val="99"/>
    <w:unhideWhenUsed/>
    <w:rsid w:val="00A12B26"/>
    <w:rPr>
      <w:color w:val="0563C1" w:themeColor="hyperlink"/>
      <w:u w:val="single"/>
    </w:rPr>
  </w:style>
  <w:style w:type="character" w:styleId="Nerazreenopominjanje">
    <w:name w:val="Unresolved Mention"/>
    <w:basedOn w:val="Podrazumevanifontpasusa"/>
    <w:uiPriority w:val="99"/>
    <w:semiHidden/>
    <w:unhideWhenUsed/>
    <w:rsid w:val="00A12B26"/>
    <w:rPr>
      <w:color w:val="605E5C"/>
      <w:shd w:val="clear" w:color="auto" w:fill="E1DFDD"/>
    </w:rPr>
  </w:style>
  <w:style w:type="table" w:styleId="Koordinatnamreatabele">
    <w:name w:val="Table Grid"/>
    <w:basedOn w:val="Normalnatabela"/>
    <w:uiPriority w:val="39"/>
    <w:rsid w:val="002611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3Char">
    <w:name w:val="Naslov 3 Char"/>
    <w:basedOn w:val="Podrazumevanifontpasusa"/>
    <w:link w:val="Naslov3"/>
    <w:uiPriority w:val="9"/>
    <w:rsid w:val="00FD6E82"/>
    <w:rPr>
      <w:rFonts w:asciiTheme="majorHAnsi" w:eastAsiaTheme="majorEastAsia" w:hAnsiTheme="majorHAnsi" w:cstheme="majorBidi"/>
      <w:color w:val="1F3763" w:themeColor="accent1" w:themeShade="7F"/>
      <w:sz w:val="24"/>
      <w:szCs w:val="24"/>
      <w:lang w:val="en-GB"/>
    </w:rPr>
  </w:style>
  <w:style w:type="character" w:customStyle="1" w:styleId="Naslov4Char">
    <w:name w:val="Naslov 4 Char"/>
    <w:basedOn w:val="Podrazumevanifontpasusa"/>
    <w:link w:val="Naslov4"/>
    <w:uiPriority w:val="9"/>
    <w:rsid w:val="00FD6E82"/>
    <w:rPr>
      <w:rFonts w:asciiTheme="majorHAnsi" w:eastAsiaTheme="majorEastAsia" w:hAnsiTheme="majorHAnsi" w:cstheme="majorBidi"/>
      <w:i/>
      <w:iCs/>
      <w:color w:val="2F5496" w:themeColor="accent1" w:themeShade="BF"/>
      <w:sz w:val="24"/>
      <w:szCs w:val="20"/>
      <w:lang w:val="en-GB"/>
    </w:rPr>
  </w:style>
  <w:style w:type="character" w:styleId="Naglaeno">
    <w:name w:val="Strong"/>
    <w:basedOn w:val="Podrazumevanifontpasusa"/>
    <w:uiPriority w:val="22"/>
    <w:qFormat/>
    <w:rsid w:val="00FD6E82"/>
    <w:rPr>
      <w:b/>
      <w:bCs/>
    </w:rPr>
  </w:style>
  <w:style w:type="character" w:styleId="Naglaavanje">
    <w:name w:val="Emphasis"/>
    <w:basedOn w:val="Podrazumevanifontpasusa"/>
    <w:uiPriority w:val="20"/>
    <w:qFormat/>
    <w:rsid w:val="00FD6E82"/>
    <w:rPr>
      <w:i/>
      <w:iCs/>
    </w:rPr>
  </w:style>
  <w:style w:type="paragraph" w:styleId="Natpis">
    <w:name w:val="caption"/>
    <w:basedOn w:val="Normal"/>
    <w:next w:val="Normal"/>
    <w:uiPriority w:val="35"/>
    <w:unhideWhenUsed/>
    <w:qFormat/>
    <w:rsid w:val="00FD6E82"/>
    <w:pPr>
      <w:spacing w:after="200" w:line="240" w:lineRule="auto"/>
    </w:pPr>
    <w:rPr>
      <w:rFonts w:ascii="Times New Roman" w:eastAsia="Times New Roman" w:hAnsi="Times New Roman" w:cs="Times New Roman"/>
      <w:i/>
      <w:iCs/>
      <w:color w:val="44546A" w:themeColor="text2"/>
      <w:sz w:val="18"/>
      <w:szCs w:val="18"/>
      <w:lang w:val="en-GB"/>
    </w:rPr>
  </w:style>
  <w:style w:type="character" w:customStyle="1" w:styleId="markedcontent">
    <w:name w:val="markedcontent"/>
    <w:basedOn w:val="Podrazumevanifontpasusa"/>
    <w:rsid w:val="00FD6E82"/>
  </w:style>
  <w:style w:type="paragraph" w:styleId="Naslov">
    <w:name w:val="Title"/>
    <w:basedOn w:val="Normal"/>
    <w:next w:val="Normal"/>
    <w:link w:val="NaslovChar"/>
    <w:uiPriority w:val="10"/>
    <w:qFormat/>
    <w:rsid w:val="00FD6E82"/>
    <w:pPr>
      <w:spacing w:after="0" w:line="240" w:lineRule="auto"/>
      <w:contextualSpacing/>
    </w:pPr>
    <w:rPr>
      <w:rFonts w:asciiTheme="majorHAnsi" w:eastAsiaTheme="majorEastAsia" w:hAnsiTheme="majorHAnsi" w:cstheme="majorBidi"/>
      <w:spacing w:val="-10"/>
      <w:kern w:val="28"/>
      <w:sz w:val="56"/>
      <w:szCs w:val="56"/>
      <w:lang w:val="en-GB"/>
    </w:rPr>
  </w:style>
  <w:style w:type="character" w:customStyle="1" w:styleId="NaslovChar">
    <w:name w:val="Naslov Char"/>
    <w:basedOn w:val="Podrazumevanifontpasusa"/>
    <w:link w:val="Naslov"/>
    <w:uiPriority w:val="10"/>
    <w:rsid w:val="00FD6E82"/>
    <w:rPr>
      <w:rFonts w:asciiTheme="majorHAnsi" w:eastAsiaTheme="majorEastAsia" w:hAnsiTheme="majorHAnsi" w:cstheme="majorBidi"/>
      <w:spacing w:val="-10"/>
      <w:kern w:val="28"/>
      <w:sz w:val="56"/>
      <w:szCs w:val="56"/>
      <w:lang w:val="en-GB"/>
    </w:rPr>
  </w:style>
  <w:style w:type="character" w:customStyle="1" w:styleId="UnresolvedMention1">
    <w:name w:val="Unresolved Mention1"/>
    <w:basedOn w:val="Podrazumevanifontpasusa"/>
    <w:uiPriority w:val="99"/>
    <w:semiHidden/>
    <w:unhideWhenUsed/>
    <w:rsid w:val="00FD6E82"/>
    <w:rPr>
      <w:color w:val="605E5C"/>
      <w:shd w:val="clear" w:color="auto" w:fill="E1DFDD"/>
    </w:rPr>
  </w:style>
  <w:style w:type="paragraph" w:styleId="Tekstubaloniu">
    <w:name w:val="Balloon Text"/>
    <w:basedOn w:val="Normal"/>
    <w:link w:val="TekstubaloniuChar"/>
    <w:uiPriority w:val="99"/>
    <w:semiHidden/>
    <w:unhideWhenUsed/>
    <w:rsid w:val="00FD6E82"/>
    <w:pPr>
      <w:spacing w:after="0" w:line="240" w:lineRule="auto"/>
    </w:pPr>
    <w:rPr>
      <w:rFonts w:ascii="Segoe UI" w:eastAsia="Times New Roman" w:hAnsi="Segoe UI" w:cs="Segoe UI"/>
      <w:sz w:val="18"/>
      <w:szCs w:val="18"/>
      <w:lang w:val="en-GB"/>
    </w:rPr>
  </w:style>
  <w:style w:type="character" w:customStyle="1" w:styleId="TekstubaloniuChar">
    <w:name w:val="Tekst u balončiću Char"/>
    <w:basedOn w:val="Podrazumevanifontpasusa"/>
    <w:link w:val="Tekstubaloniu"/>
    <w:uiPriority w:val="99"/>
    <w:semiHidden/>
    <w:rsid w:val="00FD6E82"/>
    <w:rPr>
      <w:rFonts w:ascii="Segoe UI" w:eastAsia="Times New Roman" w:hAnsi="Segoe UI" w:cs="Segoe UI"/>
      <w:sz w:val="18"/>
      <w:szCs w:val="18"/>
      <w:lang w:val="en-GB"/>
    </w:rPr>
  </w:style>
  <w:style w:type="paragraph" w:customStyle="1" w:styleId="P68B1DB1-Normal1">
    <w:name w:val="P68B1DB1-Normal1"/>
    <w:basedOn w:val="Normal"/>
    <w:rsid w:val="00FD6E82"/>
    <w:pPr>
      <w:spacing w:after="0" w:line="240" w:lineRule="auto"/>
    </w:pPr>
    <w:rPr>
      <w:rFonts w:eastAsia="Times New Roman"/>
      <w:sz w:val="24"/>
      <w:szCs w:val="20"/>
      <w:lang w:val="en-GB" w:eastAsia="en-GB"/>
    </w:rPr>
  </w:style>
  <w:style w:type="paragraph" w:customStyle="1" w:styleId="P68B1DB1-BalloonText2">
    <w:name w:val="P68B1DB1-BalloonText2"/>
    <w:basedOn w:val="Tekstubaloniu"/>
    <w:rsid w:val="00FD6E82"/>
    <w:rPr>
      <w:sz w:val="24"/>
      <w:szCs w:val="20"/>
      <w:lang w:eastAsia="en-GB"/>
    </w:rPr>
  </w:style>
  <w:style w:type="paragraph" w:customStyle="1" w:styleId="P68B1DB1-Normal3">
    <w:name w:val="P68B1DB1-Normal3"/>
    <w:basedOn w:val="Normal"/>
    <w:rsid w:val="00FD6E82"/>
    <w:pPr>
      <w:spacing w:after="0" w:line="240" w:lineRule="auto"/>
    </w:pPr>
    <w:rPr>
      <w:rFonts w:eastAsiaTheme="minorEastAsia"/>
      <w:sz w:val="24"/>
      <w:szCs w:val="20"/>
      <w:lang w:val="en-GB" w:eastAsia="en-GB"/>
    </w:rPr>
  </w:style>
  <w:style w:type="paragraph" w:customStyle="1" w:styleId="P68B1DB1-Caption4">
    <w:name w:val="P68B1DB1-Caption4"/>
    <w:basedOn w:val="Natpis"/>
    <w:rsid w:val="00FD6E82"/>
    <w:rPr>
      <w:rFonts w:asciiTheme="minorHAnsi" w:hAnsiTheme="minorHAnsi" w:cstheme="minorHAnsi"/>
      <w:iCs w:val="0"/>
      <w:color w:val="auto"/>
      <w:sz w:val="20"/>
      <w:szCs w:val="20"/>
      <w:lang w:eastAsia="en-GB"/>
    </w:rPr>
  </w:style>
  <w:style w:type="paragraph" w:customStyle="1" w:styleId="P68B1DB1-Normal5">
    <w:name w:val="P68B1DB1-Normal5"/>
    <w:basedOn w:val="Normal"/>
    <w:rsid w:val="00FD6E82"/>
    <w:pPr>
      <w:spacing w:after="0" w:line="240" w:lineRule="auto"/>
    </w:pPr>
    <w:rPr>
      <w:rFonts w:ascii="Times New Roman" w:eastAsia="Times New Roman" w:hAnsi="Times New Roman" w:cs="Times New Roman"/>
      <w:color w:val="2B579A"/>
      <w:sz w:val="24"/>
      <w:szCs w:val="20"/>
      <w:shd w:val="clear" w:color="auto" w:fill="E6E6E6"/>
      <w:lang w:val="en-GB" w:eastAsia="en-GB"/>
    </w:rPr>
  </w:style>
  <w:style w:type="paragraph" w:customStyle="1" w:styleId="P68B1DB1-Normal6">
    <w:name w:val="P68B1DB1-Normal6"/>
    <w:basedOn w:val="Normal"/>
    <w:rsid w:val="00FD6E82"/>
    <w:pPr>
      <w:spacing w:after="0" w:line="240" w:lineRule="auto"/>
    </w:pPr>
    <w:rPr>
      <w:rFonts w:eastAsia="Times New Roman" w:cs="Times New Roman"/>
      <w:sz w:val="18"/>
      <w:szCs w:val="20"/>
      <w:lang w:val="en-GB" w:eastAsia="en-GB"/>
    </w:rPr>
  </w:style>
  <w:style w:type="paragraph" w:customStyle="1" w:styleId="P68B1DB1-Normal8">
    <w:name w:val="P68B1DB1-Normal8"/>
    <w:basedOn w:val="Normal"/>
    <w:rsid w:val="00FD6E82"/>
    <w:pPr>
      <w:spacing w:after="0" w:line="240" w:lineRule="auto"/>
    </w:pPr>
    <w:rPr>
      <w:rFonts w:eastAsia="Calibri" w:cstheme="minorHAnsi"/>
      <w:b/>
      <w:color w:val="FFFFFF" w:themeColor="background1"/>
      <w:sz w:val="20"/>
      <w:szCs w:val="20"/>
      <w:lang w:val="en-GB" w:eastAsia="en-GB"/>
    </w:rPr>
  </w:style>
  <w:style w:type="paragraph" w:customStyle="1" w:styleId="P68B1DB1-Normal9">
    <w:name w:val="P68B1DB1-Normal9"/>
    <w:basedOn w:val="Normal"/>
    <w:rsid w:val="00FD6E82"/>
    <w:pPr>
      <w:spacing w:after="0" w:line="240" w:lineRule="auto"/>
    </w:pPr>
    <w:rPr>
      <w:rFonts w:eastAsia="Calibri" w:cstheme="minorHAnsi"/>
      <w:color w:val="000000"/>
      <w:sz w:val="20"/>
      <w:szCs w:val="20"/>
      <w:lang w:val="en-GB" w:eastAsia="en-GB"/>
    </w:rPr>
  </w:style>
  <w:style w:type="paragraph" w:customStyle="1" w:styleId="P68B1DB1-Normal10">
    <w:name w:val="P68B1DB1-Normal10"/>
    <w:basedOn w:val="Normal"/>
    <w:rsid w:val="00FD6E82"/>
    <w:pPr>
      <w:spacing w:after="0" w:line="240" w:lineRule="auto"/>
    </w:pPr>
    <w:rPr>
      <w:rFonts w:eastAsia="Times New Roman" w:cstheme="minorHAnsi"/>
      <w:sz w:val="18"/>
      <w:szCs w:val="20"/>
      <w:lang w:val="en-GB" w:eastAsia="en-GB"/>
    </w:rPr>
  </w:style>
  <w:style w:type="paragraph" w:customStyle="1" w:styleId="P68B1DB1-Heading311">
    <w:name w:val="P68B1DB1-Heading311"/>
    <w:basedOn w:val="Naslov3"/>
    <w:rsid w:val="00FD6E82"/>
    <w:rPr>
      <w:rFonts w:asciiTheme="minorHAnsi" w:hAnsiTheme="minorHAnsi" w:cstheme="minorBidi"/>
      <w:szCs w:val="20"/>
      <w:lang w:eastAsia="en-GB"/>
    </w:rPr>
  </w:style>
  <w:style w:type="paragraph" w:customStyle="1" w:styleId="P68B1DB1-Normal12">
    <w:name w:val="P68B1DB1-Normal12"/>
    <w:basedOn w:val="Normal"/>
    <w:rsid w:val="00FD6E82"/>
    <w:pPr>
      <w:spacing w:after="0" w:line="240" w:lineRule="auto"/>
    </w:pPr>
    <w:rPr>
      <w:rFonts w:eastAsia="Times New Roman" w:cstheme="minorHAnsi"/>
      <w:sz w:val="24"/>
      <w:szCs w:val="20"/>
      <w:lang w:val="en-GB" w:eastAsia="en-GB"/>
    </w:rPr>
  </w:style>
  <w:style w:type="paragraph" w:customStyle="1" w:styleId="P68B1DB1-Normal13">
    <w:name w:val="P68B1DB1-Normal13"/>
    <w:basedOn w:val="Normal"/>
    <w:rsid w:val="00FD6E82"/>
    <w:pPr>
      <w:spacing w:after="0" w:line="240" w:lineRule="auto"/>
    </w:pPr>
    <w:rPr>
      <w:rFonts w:ascii="Calibri" w:eastAsia="Calibri" w:hAnsi="Calibri" w:cs="Calibri"/>
      <w:sz w:val="24"/>
      <w:szCs w:val="20"/>
      <w:lang w:val="en-GB" w:eastAsia="en-GB"/>
    </w:rPr>
  </w:style>
  <w:style w:type="paragraph" w:customStyle="1" w:styleId="P68B1DB1-Normal15">
    <w:name w:val="P68B1DB1-Normal15"/>
    <w:basedOn w:val="Normal"/>
    <w:rsid w:val="00FD6E82"/>
    <w:pPr>
      <w:spacing w:after="0" w:line="240" w:lineRule="auto"/>
    </w:pPr>
    <w:rPr>
      <w:rFonts w:ascii="Calibri" w:eastAsia="Calibri" w:hAnsi="Calibri" w:cs="Calibri"/>
      <w:color w:val="FFFFFF" w:themeColor="background1"/>
      <w:sz w:val="24"/>
      <w:szCs w:val="20"/>
      <w:lang w:val="en-GB" w:eastAsia="en-GB"/>
    </w:rPr>
  </w:style>
  <w:style w:type="paragraph" w:customStyle="1" w:styleId="P68B1DB1-Normal16">
    <w:name w:val="P68B1DB1-Normal16"/>
    <w:basedOn w:val="Normal"/>
    <w:rsid w:val="00FD6E82"/>
    <w:pPr>
      <w:spacing w:after="0" w:line="240" w:lineRule="auto"/>
    </w:pPr>
    <w:rPr>
      <w:rFonts w:eastAsiaTheme="minorEastAsia"/>
      <w:sz w:val="18"/>
      <w:szCs w:val="20"/>
      <w:lang w:val="en-GB" w:eastAsia="en-GB"/>
    </w:rPr>
  </w:style>
  <w:style w:type="paragraph" w:customStyle="1" w:styleId="P68B1DB1-Normal17">
    <w:name w:val="P68B1DB1-Normal17"/>
    <w:basedOn w:val="Normal"/>
    <w:rsid w:val="00FD6E82"/>
    <w:pPr>
      <w:spacing w:after="0" w:line="240" w:lineRule="auto"/>
    </w:pPr>
    <w:rPr>
      <w:rFonts w:eastAsia="Calibri"/>
      <w:sz w:val="24"/>
      <w:szCs w:val="20"/>
      <w:lang w:val="en-GB" w:eastAsia="en-GB"/>
    </w:rPr>
  </w:style>
  <w:style w:type="paragraph" w:customStyle="1" w:styleId="P68B1DB1-Normal18">
    <w:name w:val="P68B1DB1-Normal18"/>
    <w:basedOn w:val="Normal"/>
    <w:rsid w:val="00FD6E82"/>
    <w:pPr>
      <w:spacing w:after="0" w:line="240" w:lineRule="auto"/>
    </w:pPr>
    <w:rPr>
      <w:rFonts w:ascii="Calibri" w:eastAsia="Times New Roman" w:hAnsi="Times New Roman" w:cs="Times New Roman"/>
      <w:sz w:val="24"/>
      <w:szCs w:val="20"/>
      <w:lang w:val="en-GB" w:eastAsia="en-GB"/>
    </w:rPr>
  </w:style>
  <w:style w:type="paragraph" w:styleId="Naslovsadraja">
    <w:name w:val="TOC Heading"/>
    <w:basedOn w:val="Naslov1"/>
    <w:next w:val="Normal"/>
    <w:uiPriority w:val="39"/>
    <w:unhideWhenUsed/>
    <w:qFormat/>
    <w:rsid w:val="00FD6E82"/>
    <w:pPr>
      <w:outlineLvl w:val="9"/>
    </w:pPr>
    <w:rPr>
      <w:lang w:val="en-US"/>
    </w:rPr>
  </w:style>
  <w:style w:type="paragraph" w:styleId="SADRAJ3">
    <w:name w:val="toc 3"/>
    <w:basedOn w:val="Normal"/>
    <w:next w:val="Normal"/>
    <w:autoRedefine/>
    <w:uiPriority w:val="39"/>
    <w:unhideWhenUsed/>
    <w:rsid w:val="00FD6E82"/>
    <w:pPr>
      <w:spacing w:after="100"/>
      <w:ind w:left="440"/>
    </w:pPr>
    <w:rPr>
      <w:lang w:val="en-US"/>
    </w:rPr>
  </w:style>
  <w:style w:type="paragraph" w:customStyle="1" w:styleId="P68B1DB1-Normal2">
    <w:name w:val="P68B1DB1-Normal2"/>
    <w:basedOn w:val="Normal"/>
    <w:rsid w:val="00FD6E82"/>
    <w:pPr>
      <w:spacing w:after="0" w:line="240" w:lineRule="auto"/>
    </w:pPr>
    <w:rPr>
      <w:rFonts w:ascii="Calibri" w:eastAsia="Calibri" w:hAnsi="Calibri" w:cs="Calibri"/>
      <w:sz w:val="24"/>
      <w:szCs w:val="20"/>
      <w:lang w:val="en-US" w:eastAsia="en-GB"/>
    </w:rPr>
  </w:style>
  <w:style w:type="paragraph" w:customStyle="1" w:styleId="P68B1DB1-ListParagraph3">
    <w:name w:val="P68B1DB1-ListParagraph3"/>
    <w:basedOn w:val="Pasussalistom"/>
    <w:rsid w:val="00FD6E82"/>
    <w:pPr>
      <w:spacing w:after="200" w:line="276" w:lineRule="auto"/>
    </w:pPr>
    <w:rPr>
      <w:rFonts w:ascii="Calibri" w:eastAsia="Calibri" w:hAnsi="Calibri" w:cs="Calibri"/>
      <w:szCs w:val="20"/>
      <w:lang w:val="en-US" w:eastAsia="en-GB"/>
    </w:rPr>
  </w:style>
  <w:style w:type="character" w:customStyle="1" w:styleId="PasussalistomChar">
    <w:name w:val="Pasus sa listom Char"/>
    <w:aliases w:val="Table/Figure Heading Char,En tête 1 Char,List Paragraph (numbered (a)) Char,Lapis Bulleted List Char,Dot pt Char,F5 List Paragraph Char,No Spacing1 Char,List Paragraph Char Char Char Char,Indicator Text Char,Numbered Para 1 Char"/>
    <w:link w:val="Pasussalistom"/>
    <w:uiPriority w:val="34"/>
    <w:qFormat/>
    <w:locked/>
    <w:rsid w:val="00FD6E82"/>
    <w:rPr>
      <w:lang w:val="bs-Latn-BA"/>
    </w:rPr>
  </w:style>
  <w:style w:type="paragraph" w:styleId="SADRAJ1">
    <w:name w:val="toc 1"/>
    <w:basedOn w:val="Normal"/>
    <w:next w:val="Normal"/>
    <w:autoRedefine/>
    <w:uiPriority w:val="39"/>
    <w:unhideWhenUsed/>
    <w:rsid w:val="00FD6E82"/>
    <w:pPr>
      <w:spacing w:after="100"/>
    </w:pPr>
    <w:rPr>
      <w:lang w:val="en-US"/>
    </w:rPr>
  </w:style>
  <w:style w:type="paragraph" w:styleId="Zaglavljestranice">
    <w:name w:val="header"/>
    <w:basedOn w:val="Normal"/>
    <w:link w:val="ZaglavljestraniceChar"/>
    <w:uiPriority w:val="99"/>
    <w:unhideWhenUsed/>
    <w:rsid w:val="00FD6E82"/>
    <w:pPr>
      <w:tabs>
        <w:tab w:val="center" w:pos="4680"/>
        <w:tab w:val="right" w:pos="9360"/>
      </w:tabs>
      <w:spacing w:after="0" w:line="240" w:lineRule="auto"/>
    </w:pPr>
    <w:rPr>
      <w:lang w:val="en-US"/>
    </w:rPr>
  </w:style>
  <w:style w:type="character" w:customStyle="1" w:styleId="ZaglavljestraniceChar">
    <w:name w:val="Zaglavlje stranice Char"/>
    <w:basedOn w:val="Podrazumevanifontpasusa"/>
    <w:link w:val="Zaglavljestranice"/>
    <w:uiPriority w:val="99"/>
    <w:rsid w:val="00FD6E82"/>
  </w:style>
  <w:style w:type="paragraph" w:styleId="Podnojestranice">
    <w:name w:val="footer"/>
    <w:basedOn w:val="Normal"/>
    <w:link w:val="PodnojestraniceChar"/>
    <w:uiPriority w:val="99"/>
    <w:unhideWhenUsed/>
    <w:rsid w:val="00FD6E82"/>
    <w:pPr>
      <w:tabs>
        <w:tab w:val="center" w:pos="4680"/>
        <w:tab w:val="right" w:pos="9360"/>
      </w:tabs>
      <w:spacing w:after="0" w:line="240" w:lineRule="auto"/>
    </w:pPr>
    <w:rPr>
      <w:lang w:val="en-US"/>
    </w:rPr>
  </w:style>
  <w:style w:type="character" w:customStyle="1" w:styleId="PodnojestraniceChar">
    <w:name w:val="Podnožje stranice Char"/>
    <w:basedOn w:val="Podrazumevanifontpasusa"/>
    <w:link w:val="Podnojestranice"/>
    <w:uiPriority w:val="99"/>
    <w:rsid w:val="00FD6E82"/>
  </w:style>
  <w:style w:type="character" w:styleId="Referencakomentara">
    <w:name w:val="annotation reference"/>
    <w:basedOn w:val="Podrazumevanifontpasusa"/>
    <w:uiPriority w:val="99"/>
    <w:semiHidden/>
    <w:unhideWhenUsed/>
    <w:rsid w:val="00FD6E82"/>
    <w:rPr>
      <w:sz w:val="16"/>
      <w:szCs w:val="16"/>
    </w:rPr>
  </w:style>
  <w:style w:type="paragraph" w:styleId="Tekstkomentara">
    <w:name w:val="annotation text"/>
    <w:basedOn w:val="Normal"/>
    <w:link w:val="TekstkomentaraChar"/>
    <w:uiPriority w:val="99"/>
    <w:unhideWhenUsed/>
    <w:rsid w:val="00FD6E82"/>
    <w:pPr>
      <w:spacing w:line="240" w:lineRule="auto"/>
    </w:pPr>
    <w:rPr>
      <w:sz w:val="20"/>
      <w:szCs w:val="20"/>
      <w:lang w:val="en-US"/>
    </w:rPr>
  </w:style>
  <w:style w:type="character" w:customStyle="1" w:styleId="TekstkomentaraChar">
    <w:name w:val="Tekst komentara Char"/>
    <w:basedOn w:val="Podrazumevanifontpasusa"/>
    <w:link w:val="Tekstkomentara"/>
    <w:uiPriority w:val="99"/>
    <w:rsid w:val="00FD6E82"/>
    <w:rPr>
      <w:sz w:val="20"/>
      <w:szCs w:val="20"/>
    </w:rPr>
  </w:style>
  <w:style w:type="paragraph" w:styleId="Temakomentara">
    <w:name w:val="annotation subject"/>
    <w:basedOn w:val="Tekstkomentara"/>
    <w:next w:val="Tekstkomentara"/>
    <w:link w:val="TemakomentaraChar"/>
    <w:uiPriority w:val="99"/>
    <w:semiHidden/>
    <w:unhideWhenUsed/>
    <w:rsid w:val="00FD6E82"/>
    <w:rPr>
      <w:b/>
      <w:bCs/>
      <w:lang w:val="sr-Cyrl-ME"/>
    </w:rPr>
  </w:style>
  <w:style w:type="character" w:customStyle="1" w:styleId="TemakomentaraChar">
    <w:name w:val="Tema komentara Char"/>
    <w:basedOn w:val="TekstkomentaraChar"/>
    <w:link w:val="Temakomentara"/>
    <w:uiPriority w:val="99"/>
    <w:semiHidden/>
    <w:rsid w:val="00FD6E82"/>
    <w:rPr>
      <w:b/>
      <w:bCs/>
      <w:sz w:val="20"/>
      <w:szCs w:val="20"/>
      <w:lang w:val="sr-Cyrl-ME"/>
    </w:rPr>
  </w:style>
  <w:style w:type="character" w:customStyle="1" w:styleId="lppressreleasenumber">
    <w:name w:val="lp__pressrelease_number"/>
    <w:basedOn w:val="Podrazumevanifontpasusa"/>
    <w:rsid w:val="00FD6E82"/>
  </w:style>
  <w:style w:type="paragraph" w:styleId="Korektura">
    <w:name w:val="Revision"/>
    <w:hidden/>
    <w:uiPriority w:val="99"/>
    <w:semiHidden/>
    <w:rsid w:val="00FD6E82"/>
    <w:pPr>
      <w:spacing w:after="0" w:line="240" w:lineRule="auto"/>
    </w:pPr>
  </w:style>
  <w:style w:type="table" w:styleId="arenatabelakoordinatnemree6akcenat6">
    <w:name w:val="Grid Table 6 Colorful Accent 6"/>
    <w:basedOn w:val="Normalnatabela"/>
    <w:uiPriority w:val="51"/>
    <w:rsid w:val="00FD6E82"/>
    <w:pPr>
      <w:spacing w:after="0" w:line="240" w:lineRule="auto"/>
    </w:pPr>
    <w:rPr>
      <w:color w:val="538135" w:themeColor="accent6" w:themeShade="BF"/>
      <w:lang w:val="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Obinatabela2">
    <w:name w:val="Plain Table 2"/>
    <w:basedOn w:val="Normalnatabela"/>
    <w:uiPriority w:val="42"/>
    <w:rsid w:val="00FD6E8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binatabela3">
    <w:name w:val="Plain Table 3"/>
    <w:basedOn w:val="Normalnatabela"/>
    <w:uiPriority w:val="43"/>
    <w:rsid w:val="00FD6E8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akoordinatnemree4akcenat1">
    <w:name w:val="Grid Table 4 Accent 1"/>
    <w:basedOn w:val="Normalnatabela"/>
    <w:uiPriority w:val="49"/>
    <w:rsid w:val="00562EBF"/>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akoordinatnemree4akcenat2">
    <w:name w:val="Grid Table 4 Accent 2"/>
    <w:basedOn w:val="Normalnatabela"/>
    <w:uiPriority w:val="49"/>
    <w:rsid w:val="00043D20"/>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elakoordinatnemree4akcenat3">
    <w:name w:val="Grid Table 4 Accent 3"/>
    <w:basedOn w:val="Normalnatabela"/>
    <w:uiPriority w:val="49"/>
    <w:rsid w:val="00AF345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akoordinatnemree4akcenat4">
    <w:name w:val="Grid Table 4 Accent 4"/>
    <w:basedOn w:val="Normalnatabela"/>
    <w:uiPriority w:val="49"/>
    <w:rsid w:val="00C4360E"/>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elakoordinatnemree4akcenat5">
    <w:name w:val="Grid Table 4 Accent 5"/>
    <w:basedOn w:val="Normalnatabela"/>
    <w:uiPriority w:val="49"/>
    <w:rsid w:val="00A8599C"/>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akoordinatnemree4akcenat6">
    <w:name w:val="Grid Table 4 Accent 6"/>
    <w:basedOn w:val="Normalnatabela"/>
    <w:uiPriority w:val="49"/>
    <w:rsid w:val="001548E5"/>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NormalWeb">
    <w:name w:val="Normal (Web)"/>
    <w:basedOn w:val="Normal"/>
    <w:uiPriority w:val="99"/>
    <w:unhideWhenUsed/>
    <w:rsid w:val="006A117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s-1">
    <w:name w:val="ms-1"/>
    <w:basedOn w:val="Podrazumevanifontpasusa"/>
    <w:rsid w:val="006A1176"/>
  </w:style>
  <w:style w:type="character" w:customStyle="1" w:styleId="max-w-full">
    <w:name w:val="max-w-full"/>
    <w:basedOn w:val="Podrazumevanifontpasusa"/>
    <w:rsid w:val="006A1176"/>
  </w:style>
  <w:style w:type="table" w:styleId="Tabelakoordinatnemree2akcenat3">
    <w:name w:val="Grid Table 2 Accent 3"/>
    <w:basedOn w:val="Normalnatabela"/>
    <w:uiPriority w:val="47"/>
    <w:rsid w:val="00CC2A1D"/>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Bezrazmaka">
    <w:name w:val="No Spacing"/>
    <w:link w:val="BezrazmakaChar"/>
    <w:uiPriority w:val="1"/>
    <w:qFormat/>
    <w:rsid w:val="00D25E12"/>
    <w:pPr>
      <w:spacing w:after="0" w:line="240" w:lineRule="auto"/>
    </w:pPr>
    <w:rPr>
      <w:rFonts w:eastAsiaTheme="minorEastAsia"/>
    </w:rPr>
  </w:style>
  <w:style w:type="character" w:customStyle="1" w:styleId="BezrazmakaChar">
    <w:name w:val="Bez razmaka Char"/>
    <w:basedOn w:val="Podrazumevanifontpasusa"/>
    <w:link w:val="Bezrazmaka"/>
    <w:uiPriority w:val="1"/>
    <w:rsid w:val="00D25E12"/>
    <w:rPr>
      <w:rFonts w:eastAsiaTheme="minorEastAsia"/>
    </w:rPr>
  </w:style>
  <w:style w:type="paragraph" w:styleId="SADRAJ2">
    <w:name w:val="toc 2"/>
    <w:basedOn w:val="Normal"/>
    <w:next w:val="Normal"/>
    <w:autoRedefine/>
    <w:uiPriority w:val="39"/>
    <w:unhideWhenUsed/>
    <w:rsid w:val="00D25E12"/>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98545">
      <w:bodyDiv w:val="1"/>
      <w:marLeft w:val="0"/>
      <w:marRight w:val="0"/>
      <w:marTop w:val="0"/>
      <w:marBottom w:val="0"/>
      <w:divBdr>
        <w:top w:val="none" w:sz="0" w:space="0" w:color="auto"/>
        <w:left w:val="none" w:sz="0" w:space="0" w:color="auto"/>
        <w:bottom w:val="none" w:sz="0" w:space="0" w:color="auto"/>
        <w:right w:val="none" w:sz="0" w:space="0" w:color="auto"/>
      </w:divBdr>
    </w:div>
    <w:div w:id="73937551">
      <w:bodyDiv w:val="1"/>
      <w:marLeft w:val="0"/>
      <w:marRight w:val="0"/>
      <w:marTop w:val="0"/>
      <w:marBottom w:val="0"/>
      <w:divBdr>
        <w:top w:val="none" w:sz="0" w:space="0" w:color="auto"/>
        <w:left w:val="none" w:sz="0" w:space="0" w:color="auto"/>
        <w:bottom w:val="none" w:sz="0" w:space="0" w:color="auto"/>
        <w:right w:val="none" w:sz="0" w:space="0" w:color="auto"/>
      </w:divBdr>
    </w:div>
    <w:div w:id="241840559">
      <w:bodyDiv w:val="1"/>
      <w:marLeft w:val="0"/>
      <w:marRight w:val="0"/>
      <w:marTop w:val="0"/>
      <w:marBottom w:val="0"/>
      <w:divBdr>
        <w:top w:val="none" w:sz="0" w:space="0" w:color="auto"/>
        <w:left w:val="none" w:sz="0" w:space="0" w:color="auto"/>
        <w:bottom w:val="none" w:sz="0" w:space="0" w:color="auto"/>
        <w:right w:val="none" w:sz="0" w:space="0" w:color="auto"/>
      </w:divBdr>
    </w:div>
    <w:div w:id="684210775">
      <w:bodyDiv w:val="1"/>
      <w:marLeft w:val="0"/>
      <w:marRight w:val="0"/>
      <w:marTop w:val="0"/>
      <w:marBottom w:val="0"/>
      <w:divBdr>
        <w:top w:val="none" w:sz="0" w:space="0" w:color="auto"/>
        <w:left w:val="none" w:sz="0" w:space="0" w:color="auto"/>
        <w:bottom w:val="none" w:sz="0" w:space="0" w:color="auto"/>
        <w:right w:val="none" w:sz="0" w:space="0" w:color="auto"/>
      </w:divBdr>
      <w:divsChild>
        <w:div w:id="298875355">
          <w:marLeft w:val="0"/>
          <w:marRight w:val="0"/>
          <w:marTop w:val="0"/>
          <w:marBottom w:val="0"/>
          <w:divBdr>
            <w:top w:val="none" w:sz="0" w:space="0" w:color="auto"/>
            <w:left w:val="none" w:sz="0" w:space="0" w:color="auto"/>
            <w:bottom w:val="none" w:sz="0" w:space="0" w:color="auto"/>
            <w:right w:val="none" w:sz="0" w:space="0" w:color="auto"/>
          </w:divBdr>
        </w:div>
        <w:div w:id="2048096913">
          <w:marLeft w:val="0"/>
          <w:marRight w:val="0"/>
          <w:marTop w:val="0"/>
          <w:marBottom w:val="0"/>
          <w:divBdr>
            <w:top w:val="none" w:sz="0" w:space="0" w:color="auto"/>
            <w:left w:val="none" w:sz="0" w:space="0" w:color="auto"/>
            <w:bottom w:val="none" w:sz="0" w:space="0" w:color="auto"/>
            <w:right w:val="none" w:sz="0" w:space="0" w:color="auto"/>
          </w:divBdr>
        </w:div>
        <w:div w:id="642466545">
          <w:marLeft w:val="0"/>
          <w:marRight w:val="0"/>
          <w:marTop w:val="0"/>
          <w:marBottom w:val="0"/>
          <w:divBdr>
            <w:top w:val="none" w:sz="0" w:space="0" w:color="auto"/>
            <w:left w:val="none" w:sz="0" w:space="0" w:color="auto"/>
            <w:bottom w:val="none" w:sz="0" w:space="0" w:color="auto"/>
            <w:right w:val="none" w:sz="0" w:space="0" w:color="auto"/>
          </w:divBdr>
        </w:div>
        <w:div w:id="697509366">
          <w:marLeft w:val="0"/>
          <w:marRight w:val="0"/>
          <w:marTop w:val="0"/>
          <w:marBottom w:val="0"/>
          <w:divBdr>
            <w:top w:val="none" w:sz="0" w:space="0" w:color="auto"/>
            <w:left w:val="none" w:sz="0" w:space="0" w:color="auto"/>
            <w:bottom w:val="none" w:sz="0" w:space="0" w:color="auto"/>
            <w:right w:val="none" w:sz="0" w:space="0" w:color="auto"/>
          </w:divBdr>
        </w:div>
        <w:div w:id="1858930379">
          <w:marLeft w:val="0"/>
          <w:marRight w:val="0"/>
          <w:marTop w:val="0"/>
          <w:marBottom w:val="0"/>
          <w:divBdr>
            <w:top w:val="none" w:sz="0" w:space="0" w:color="auto"/>
            <w:left w:val="none" w:sz="0" w:space="0" w:color="auto"/>
            <w:bottom w:val="none" w:sz="0" w:space="0" w:color="auto"/>
            <w:right w:val="none" w:sz="0" w:space="0" w:color="auto"/>
          </w:divBdr>
        </w:div>
        <w:div w:id="441609375">
          <w:marLeft w:val="0"/>
          <w:marRight w:val="0"/>
          <w:marTop w:val="0"/>
          <w:marBottom w:val="0"/>
          <w:divBdr>
            <w:top w:val="none" w:sz="0" w:space="0" w:color="auto"/>
            <w:left w:val="none" w:sz="0" w:space="0" w:color="auto"/>
            <w:bottom w:val="none" w:sz="0" w:space="0" w:color="auto"/>
            <w:right w:val="none" w:sz="0" w:space="0" w:color="auto"/>
          </w:divBdr>
        </w:div>
        <w:div w:id="672683780">
          <w:marLeft w:val="0"/>
          <w:marRight w:val="0"/>
          <w:marTop w:val="0"/>
          <w:marBottom w:val="0"/>
          <w:divBdr>
            <w:top w:val="none" w:sz="0" w:space="0" w:color="auto"/>
            <w:left w:val="none" w:sz="0" w:space="0" w:color="auto"/>
            <w:bottom w:val="none" w:sz="0" w:space="0" w:color="auto"/>
            <w:right w:val="none" w:sz="0" w:space="0" w:color="auto"/>
          </w:divBdr>
        </w:div>
        <w:div w:id="1080834548">
          <w:marLeft w:val="0"/>
          <w:marRight w:val="0"/>
          <w:marTop w:val="0"/>
          <w:marBottom w:val="0"/>
          <w:divBdr>
            <w:top w:val="none" w:sz="0" w:space="0" w:color="auto"/>
            <w:left w:val="none" w:sz="0" w:space="0" w:color="auto"/>
            <w:bottom w:val="none" w:sz="0" w:space="0" w:color="auto"/>
            <w:right w:val="none" w:sz="0" w:space="0" w:color="auto"/>
          </w:divBdr>
        </w:div>
        <w:div w:id="1752971514">
          <w:marLeft w:val="0"/>
          <w:marRight w:val="0"/>
          <w:marTop w:val="0"/>
          <w:marBottom w:val="0"/>
          <w:divBdr>
            <w:top w:val="none" w:sz="0" w:space="0" w:color="auto"/>
            <w:left w:val="none" w:sz="0" w:space="0" w:color="auto"/>
            <w:bottom w:val="none" w:sz="0" w:space="0" w:color="auto"/>
            <w:right w:val="none" w:sz="0" w:space="0" w:color="auto"/>
          </w:divBdr>
        </w:div>
        <w:div w:id="1588423103">
          <w:marLeft w:val="0"/>
          <w:marRight w:val="0"/>
          <w:marTop w:val="0"/>
          <w:marBottom w:val="0"/>
          <w:divBdr>
            <w:top w:val="none" w:sz="0" w:space="0" w:color="auto"/>
            <w:left w:val="none" w:sz="0" w:space="0" w:color="auto"/>
            <w:bottom w:val="none" w:sz="0" w:space="0" w:color="auto"/>
            <w:right w:val="none" w:sz="0" w:space="0" w:color="auto"/>
          </w:divBdr>
        </w:div>
        <w:div w:id="384454545">
          <w:marLeft w:val="0"/>
          <w:marRight w:val="0"/>
          <w:marTop w:val="0"/>
          <w:marBottom w:val="0"/>
          <w:divBdr>
            <w:top w:val="none" w:sz="0" w:space="0" w:color="auto"/>
            <w:left w:val="none" w:sz="0" w:space="0" w:color="auto"/>
            <w:bottom w:val="none" w:sz="0" w:space="0" w:color="auto"/>
            <w:right w:val="none" w:sz="0" w:space="0" w:color="auto"/>
          </w:divBdr>
        </w:div>
        <w:div w:id="230971845">
          <w:marLeft w:val="0"/>
          <w:marRight w:val="0"/>
          <w:marTop w:val="0"/>
          <w:marBottom w:val="0"/>
          <w:divBdr>
            <w:top w:val="none" w:sz="0" w:space="0" w:color="auto"/>
            <w:left w:val="none" w:sz="0" w:space="0" w:color="auto"/>
            <w:bottom w:val="none" w:sz="0" w:space="0" w:color="auto"/>
            <w:right w:val="none" w:sz="0" w:space="0" w:color="auto"/>
          </w:divBdr>
        </w:div>
        <w:div w:id="2035035526">
          <w:marLeft w:val="0"/>
          <w:marRight w:val="0"/>
          <w:marTop w:val="0"/>
          <w:marBottom w:val="0"/>
          <w:divBdr>
            <w:top w:val="none" w:sz="0" w:space="0" w:color="auto"/>
            <w:left w:val="none" w:sz="0" w:space="0" w:color="auto"/>
            <w:bottom w:val="none" w:sz="0" w:space="0" w:color="auto"/>
            <w:right w:val="none" w:sz="0" w:space="0" w:color="auto"/>
          </w:divBdr>
        </w:div>
        <w:div w:id="2050641154">
          <w:marLeft w:val="0"/>
          <w:marRight w:val="0"/>
          <w:marTop w:val="0"/>
          <w:marBottom w:val="0"/>
          <w:divBdr>
            <w:top w:val="none" w:sz="0" w:space="0" w:color="auto"/>
            <w:left w:val="none" w:sz="0" w:space="0" w:color="auto"/>
            <w:bottom w:val="none" w:sz="0" w:space="0" w:color="auto"/>
            <w:right w:val="none" w:sz="0" w:space="0" w:color="auto"/>
          </w:divBdr>
        </w:div>
        <w:div w:id="1703432214">
          <w:marLeft w:val="0"/>
          <w:marRight w:val="0"/>
          <w:marTop w:val="0"/>
          <w:marBottom w:val="0"/>
          <w:divBdr>
            <w:top w:val="none" w:sz="0" w:space="0" w:color="auto"/>
            <w:left w:val="none" w:sz="0" w:space="0" w:color="auto"/>
            <w:bottom w:val="none" w:sz="0" w:space="0" w:color="auto"/>
            <w:right w:val="none" w:sz="0" w:space="0" w:color="auto"/>
          </w:divBdr>
        </w:div>
        <w:div w:id="2009095991">
          <w:marLeft w:val="0"/>
          <w:marRight w:val="0"/>
          <w:marTop w:val="0"/>
          <w:marBottom w:val="0"/>
          <w:divBdr>
            <w:top w:val="none" w:sz="0" w:space="0" w:color="auto"/>
            <w:left w:val="none" w:sz="0" w:space="0" w:color="auto"/>
            <w:bottom w:val="none" w:sz="0" w:space="0" w:color="auto"/>
            <w:right w:val="none" w:sz="0" w:space="0" w:color="auto"/>
          </w:divBdr>
        </w:div>
        <w:div w:id="1817261334">
          <w:marLeft w:val="0"/>
          <w:marRight w:val="0"/>
          <w:marTop w:val="0"/>
          <w:marBottom w:val="0"/>
          <w:divBdr>
            <w:top w:val="none" w:sz="0" w:space="0" w:color="auto"/>
            <w:left w:val="none" w:sz="0" w:space="0" w:color="auto"/>
            <w:bottom w:val="none" w:sz="0" w:space="0" w:color="auto"/>
            <w:right w:val="none" w:sz="0" w:space="0" w:color="auto"/>
          </w:divBdr>
        </w:div>
        <w:div w:id="865828425">
          <w:marLeft w:val="0"/>
          <w:marRight w:val="0"/>
          <w:marTop w:val="0"/>
          <w:marBottom w:val="0"/>
          <w:divBdr>
            <w:top w:val="none" w:sz="0" w:space="0" w:color="auto"/>
            <w:left w:val="none" w:sz="0" w:space="0" w:color="auto"/>
            <w:bottom w:val="none" w:sz="0" w:space="0" w:color="auto"/>
            <w:right w:val="none" w:sz="0" w:space="0" w:color="auto"/>
          </w:divBdr>
        </w:div>
        <w:div w:id="1780564824">
          <w:marLeft w:val="0"/>
          <w:marRight w:val="0"/>
          <w:marTop w:val="0"/>
          <w:marBottom w:val="0"/>
          <w:divBdr>
            <w:top w:val="none" w:sz="0" w:space="0" w:color="auto"/>
            <w:left w:val="none" w:sz="0" w:space="0" w:color="auto"/>
            <w:bottom w:val="none" w:sz="0" w:space="0" w:color="auto"/>
            <w:right w:val="none" w:sz="0" w:space="0" w:color="auto"/>
          </w:divBdr>
        </w:div>
        <w:div w:id="684867818">
          <w:marLeft w:val="0"/>
          <w:marRight w:val="0"/>
          <w:marTop w:val="0"/>
          <w:marBottom w:val="0"/>
          <w:divBdr>
            <w:top w:val="none" w:sz="0" w:space="0" w:color="auto"/>
            <w:left w:val="none" w:sz="0" w:space="0" w:color="auto"/>
            <w:bottom w:val="none" w:sz="0" w:space="0" w:color="auto"/>
            <w:right w:val="none" w:sz="0" w:space="0" w:color="auto"/>
          </w:divBdr>
        </w:div>
        <w:div w:id="2031369346">
          <w:marLeft w:val="0"/>
          <w:marRight w:val="0"/>
          <w:marTop w:val="0"/>
          <w:marBottom w:val="0"/>
          <w:divBdr>
            <w:top w:val="none" w:sz="0" w:space="0" w:color="auto"/>
            <w:left w:val="none" w:sz="0" w:space="0" w:color="auto"/>
            <w:bottom w:val="none" w:sz="0" w:space="0" w:color="auto"/>
            <w:right w:val="none" w:sz="0" w:space="0" w:color="auto"/>
          </w:divBdr>
        </w:div>
        <w:div w:id="1624531494">
          <w:marLeft w:val="0"/>
          <w:marRight w:val="0"/>
          <w:marTop w:val="0"/>
          <w:marBottom w:val="0"/>
          <w:divBdr>
            <w:top w:val="none" w:sz="0" w:space="0" w:color="auto"/>
            <w:left w:val="none" w:sz="0" w:space="0" w:color="auto"/>
            <w:bottom w:val="none" w:sz="0" w:space="0" w:color="auto"/>
            <w:right w:val="none" w:sz="0" w:space="0" w:color="auto"/>
          </w:divBdr>
        </w:div>
        <w:div w:id="1837379815">
          <w:marLeft w:val="0"/>
          <w:marRight w:val="0"/>
          <w:marTop w:val="0"/>
          <w:marBottom w:val="0"/>
          <w:divBdr>
            <w:top w:val="none" w:sz="0" w:space="0" w:color="auto"/>
            <w:left w:val="none" w:sz="0" w:space="0" w:color="auto"/>
            <w:bottom w:val="none" w:sz="0" w:space="0" w:color="auto"/>
            <w:right w:val="none" w:sz="0" w:space="0" w:color="auto"/>
          </w:divBdr>
        </w:div>
        <w:div w:id="630013711">
          <w:marLeft w:val="0"/>
          <w:marRight w:val="0"/>
          <w:marTop w:val="0"/>
          <w:marBottom w:val="0"/>
          <w:divBdr>
            <w:top w:val="none" w:sz="0" w:space="0" w:color="auto"/>
            <w:left w:val="none" w:sz="0" w:space="0" w:color="auto"/>
            <w:bottom w:val="none" w:sz="0" w:space="0" w:color="auto"/>
            <w:right w:val="none" w:sz="0" w:space="0" w:color="auto"/>
          </w:divBdr>
        </w:div>
        <w:div w:id="1069496199">
          <w:marLeft w:val="0"/>
          <w:marRight w:val="0"/>
          <w:marTop w:val="0"/>
          <w:marBottom w:val="0"/>
          <w:divBdr>
            <w:top w:val="none" w:sz="0" w:space="0" w:color="auto"/>
            <w:left w:val="none" w:sz="0" w:space="0" w:color="auto"/>
            <w:bottom w:val="none" w:sz="0" w:space="0" w:color="auto"/>
            <w:right w:val="none" w:sz="0" w:space="0" w:color="auto"/>
          </w:divBdr>
        </w:div>
        <w:div w:id="888341015">
          <w:marLeft w:val="0"/>
          <w:marRight w:val="0"/>
          <w:marTop w:val="0"/>
          <w:marBottom w:val="0"/>
          <w:divBdr>
            <w:top w:val="none" w:sz="0" w:space="0" w:color="auto"/>
            <w:left w:val="none" w:sz="0" w:space="0" w:color="auto"/>
            <w:bottom w:val="none" w:sz="0" w:space="0" w:color="auto"/>
            <w:right w:val="none" w:sz="0" w:space="0" w:color="auto"/>
          </w:divBdr>
        </w:div>
        <w:div w:id="722102000">
          <w:marLeft w:val="0"/>
          <w:marRight w:val="0"/>
          <w:marTop w:val="0"/>
          <w:marBottom w:val="0"/>
          <w:divBdr>
            <w:top w:val="none" w:sz="0" w:space="0" w:color="auto"/>
            <w:left w:val="none" w:sz="0" w:space="0" w:color="auto"/>
            <w:bottom w:val="none" w:sz="0" w:space="0" w:color="auto"/>
            <w:right w:val="none" w:sz="0" w:space="0" w:color="auto"/>
          </w:divBdr>
        </w:div>
        <w:div w:id="704867386">
          <w:marLeft w:val="0"/>
          <w:marRight w:val="0"/>
          <w:marTop w:val="0"/>
          <w:marBottom w:val="0"/>
          <w:divBdr>
            <w:top w:val="none" w:sz="0" w:space="0" w:color="auto"/>
            <w:left w:val="none" w:sz="0" w:space="0" w:color="auto"/>
            <w:bottom w:val="none" w:sz="0" w:space="0" w:color="auto"/>
            <w:right w:val="none" w:sz="0" w:space="0" w:color="auto"/>
          </w:divBdr>
        </w:div>
        <w:div w:id="640765547">
          <w:marLeft w:val="0"/>
          <w:marRight w:val="0"/>
          <w:marTop w:val="0"/>
          <w:marBottom w:val="0"/>
          <w:divBdr>
            <w:top w:val="none" w:sz="0" w:space="0" w:color="auto"/>
            <w:left w:val="none" w:sz="0" w:space="0" w:color="auto"/>
            <w:bottom w:val="none" w:sz="0" w:space="0" w:color="auto"/>
            <w:right w:val="none" w:sz="0" w:space="0" w:color="auto"/>
          </w:divBdr>
        </w:div>
        <w:div w:id="1991447563">
          <w:marLeft w:val="0"/>
          <w:marRight w:val="0"/>
          <w:marTop w:val="0"/>
          <w:marBottom w:val="0"/>
          <w:divBdr>
            <w:top w:val="none" w:sz="0" w:space="0" w:color="auto"/>
            <w:left w:val="none" w:sz="0" w:space="0" w:color="auto"/>
            <w:bottom w:val="none" w:sz="0" w:space="0" w:color="auto"/>
            <w:right w:val="none" w:sz="0" w:space="0" w:color="auto"/>
          </w:divBdr>
        </w:div>
        <w:div w:id="1875733465">
          <w:marLeft w:val="0"/>
          <w:marRight w:val="0"/>
          <w:marTop w:val="0"/>
          <w:marBottom w:val="0"/>
          <w:divBdr>
            <w:top w:val="none" w:sz="0" w:space="0" w:color="auto"/>
            <w:left w:val="none" w:sz="0" w:space="0" w:color="auto"/>
            <w:bottom w:val="none" w:sz="0" w:space="0" w:color="auto"/>
            <w:right w:val="none" w:sz="0" w:space="0" w:color="auto"/>
          </w:divBdr>
        </w:div>
        <w:div w:id="2085183267">
          <w:marLeft w:val="0"/>
          <w:marRight w:val="0"/>
          <w:marTop w:val="0"/>
          <w:marBottom w:val="0"/>
          <w:divBdr>
            <w:top w:val="none" w:sz="0" w:space="0" w:color="auto"/>
            <w:left w:val="none" w:sz="0" w:space="0" w:color="auto"/>
            <w:bottom w:val="none" w:sz="0" w:space="0" w:color="auto"/>
            <w:right w:val="none" w:sz="0" w:space="0" w:color="auto"/>
          </w:divBdr>
        </w:div>
        <w:div w:id="1994022141">
          <w:marLeft w:val="0"/>
          <w:marRight w:val="0"/>
          <w:marTop w:val="0"/>
          <w:marBottom w:val="0"/>
          <w:divBdr>
            <w:top w:val="none" w:sz="0" w:space="0" w:color="auto"/>
            <w:left w:val="none" w:sz="0" w:space="0" w:color="auto"/>
            <w:bottom w:val="none" w:sz="0" w:space="0" w:color="auto"/>
            <w:right w:val="none" w:sz="0" w:space="0" w:color="auto"/>
          </w:divBdr>
        </w:div>
        <w:div w:id="2128887267">
          <w:marLeft w:val="0"/>
          <w:marRight w:val="0"/>
          <w:marTop w:val="0"/>
          <w:marBottom w:val="0"/>
          <w:divBdr>
            <w:top w:val="none" w:sz="0" w:space="0" w:color="auto"/>
            <w:left w:val="none" w:sz="0" w:space="0" w:color="auto"/>
            <w:bottom w:val="none" w:sz="0" w:space="0" w:color="auto"/>
            <w:right w:val="none" w:sz="0" w:space="0" w:color="auto"/>
          </w:divBdr>
        </w:div>
        <w:div w:id="1514954872">
          <w:marLeft w:val="0"/>
          <w:marRight w:val="0"/>
          <w:marTop w:val="0"/>
          <w:marBottom w:val="0"/>
          <w:divBdr>
            <w:top w:val="none" w:sz="0" w:space="0" w:color="auto"/>
            <w:left w:val="none" w:sz="0" w:space="0" w:color="auto"/>
            <w:bottom w:val="none" w:sz="0" w:space="0" w:color="auto"/>
            <w:right w:val="none" w:sz="0" w:space="0" w:color="auto"/>
          </w:divBdr>
        </w:div>
        <w:div w:id="2139226492">
          <w:marLeft w:val="0"/>
          <w:marRight w:val="0"/>
          <w:marTop w:val="0"/>
          <w:marBottom w:val="0"/>
          <w:divBdr>
            <w:top w:val="none" w:sz="0" w:space="0" w:color="auto"/>
            <w:left w:val="none" w:sz="0" w:space="0" w:color="auto"/>
            <w:bottom w:val="none" w:sz="0" w:space="0" w:color="auto"/>
            <w:right w:val="none" w:sz="0" w:space="0" w:color="auto"/>
          </w:divBdr>
        </w:div>
        <w:div w:id="1936553412">
          <w:marLeft w:val="0"/>
          <w:marRight w:val="0"/>
          <w:marTop w:val="0"/>
          <w:marBottom w:val="0"/>
          <w:divBdr>
            <w:top w:val="none" w:sz="0" w:space="0" w:color="auto"/>
            <w:left w:val="none" w:sz="0" w:space="0" w:color="auto"/>
            <w:bottom w:val="none" w:sz="0" w:space="0" w:color="auto"/>
            <w:right w:val="none" w:sz="0" w:space="0" w:color="auto"/>
          </w:divBdr>
        </w:div>
        <w:div w:id="2106029290">
          <w:marLeft w:val="0"/>
          <w:marRight w:val="0"/>
          <w:marTop w:val="0"/>
          <w:marBottom w:val="0"/>
          <w:divBdr>
            <w:top w:val="none" w:sz="0" w:space="0" w:color="auto"/>
            <w:left w:val="none" w:sz="0" w:space="0" w:color="auto"/>
            <w:bottom w:val="none" w:sz="0" w:space="0" w:color="auto"/>
            <w:right w:val="none" w:sz="0" w:space="0" w:color="auto"/>
          </w:divBdr>
        </w:div>
        <w:div w:id="1447626183">
          <w:marLeft w:val="0"/>
          <w:marRight w:val="0"/>
          <w:marTop w:val="0"/>
          <w:marBottom w:val="0"/>
          <w:divBdr>
            <w:top w:val="none" w:sz="0" w:space="0" w:color="auto"/>
            <w:left w:val="none" w:sz="0" w:space="0" w:color="auto"/>
            <w:bottom w:val="none" w:sz="0" w:space="0" w:color="auto"/>
            <w:right w:val="none" w:sz="0" w:space="0" w:color="auto"/>
          </w:divBdr>
        </w:div>
        <w:div w:id="510484866">
          <w:marLeft w:val="0"/>
          <w:marRight w:val="0"/>
          <w:marTop w:val="0"/>
          <w:marBottom w:val="0"/>
          <w:divBdr>
            <w:top w:val="none" w:sz="0" w:space="0" w:color="auto"/>
            <w:left w:val="none" w:sz="0" w:space="0" w:color="auto"/>
            <w:bottom w:val="none" w:sz="0" w:space="0" w:color="auto"/>
            <w:right w:val="none" w:sz="0" w:space="0" w:color="auto"/>
          </w:divBdr>
        </w:div>
        <w:div w:id="1305087217">
          <w:marLeft w:val="0"/>
          <w:marRight w:val="0"/>
          <w:marTop w:val="0"/>
          <w:marBottom w:val="0"/>
          <w:divBdr>
            <w:top w:val="none" w:sz="0" w:space="0" w:color="auto"/>
            <w:left w:val="none" w:sz="0" w:space="0" w:color="auto"/>
            <w:bottom w:val="none" w:sz="0" w:space="0" w:color="auto"/>
            <w:right w:val="none" w:sz="0" w:space="0" w:color="auto"/>
          </w:divBdr>
        </w:div>
        <w:div w:id="148640910">
          <w:marLeft w:val="0"/>
          <w:marRight w:val="0"/>
          <w:marTop w:val="0"/>
          <w:marBottom w:val="0"/>
          <w:divBdr>
            <w:top w:val="none" w:sz="0" w:space="0" w:color="auto"/>
            <w:left w:val="none" w:sz="0" w:space="0" w:color="auto"/>
            <w:bottom w:val="none" w:sz="0" w:space="0" w:color="auto"/>
            <w:right w:val="none" w:sz="0" w:space="0" w:color="auto"/>
          </w:divBdr>
        </w:div>
        <w:div w:id="602416973">
          <w:marLeft w:val="0"/>
          <w:marRight w:val="0"/>
          <w:marTop w:val="0"/>
          <w:marBottom w:val="0"/>
          <w:divBdr>
            <w:top w:val="none" w:sz="0" w:space="0" w:color="auto"/>
            <w:left w:val="none" w:sz="0" w:space="0" w:color="auto"/>
            <w:bottom w:val="none" w:sz="0" w:space="0" w:color="auto"/>
            <w:right w:val="none" w:sz="0" w:space="0" w:color="auto"/>
          </w:divBdr>
        </w:div>
        <w:div w:id="1468089976">
          <w:marLeft w:val="0"/>
          <w:marRight w:val="0"/>
          <w:marTop w:val="0"/>
          <w:marBottom w:val="0"/>
          <w:divBdr>
            <w:top w:val="none" w:sz="0" w:space="0" w:color="auto"/>
            <w:left w:val="none" w:sz="0" w:space="0" w:color="auto"/>
            <w:bottom w:val="none" w:sz="0" w:space="0" w:color="auto"/>
            <w:right w:val="none" w:sz="0" w:space="0" w:color="auto"/>
          </w:divBdr>
        </w:div>
        <w:div w:id="256445533">
          <w:marLeft w:val="0"/>
          <w:marRight w:val="0"/>
          <w:marTop w:val="0"/>
          <w:marBottom w:val="0"/>
          <w:divBdr>
            <w:top w:val="none" w:sz="0" w:space="0" w:color="auto"/>
            <w:left w:val="none" w:sz="0" w:space="0" w:color="auto"/>
            <w:bottom w:val="none" w:sz="0" w:space="0" w:color="auto"/>
            <w:right w:val="none" w:sz="0" w:space="0" w:color="auto"/>
          </w:divBdr>
        </w:div>
        <w:div w:id="1557279424">
          <w:marLeft w:val="0"/>
          <w:marRight w:val="0"/>
          <w:marTop w:val="0"/>
          <w:marBottom w:val="0"/>
          <w:divBdr>
            <w:top w:val="none" w:sz="0" w:space="0" w:color="auto"/>
            <w:left w:val="none" w:sz="0" w:space="0" w:color="auto"/>
            <w:bottom w:val="none" w:sz="0" w:space="0" w:color="auto"/>
            <w:right w:val="none" w:sz="0" w:space="0" w:color="auto"/>
          </w:divBdr>
        </w:div>
        <w:div w:id="311448526">
          <w:marLeft w:val="0"/>
          <w:marRight w:val="0"/>
          <w:marTop w:val="0"/>
          <w:marBottom w:val="0"/>
          <w:divBdr>
            <w:top w:val="none" w:sz="0" w:space="0" w:color="auto"/>
            <w:left w:val="none" w:sz="0" w:space="0" w:color="auto"/>
            <w:bottom w:val="none" w:sz="0" w:space="0" w:color="auto"/>
            <w:right w:val="none" w:sz="0" w:space="0" w:color="auto"/>
          </w:divBdr>
        </w:div>
        <w:div w:id="387997688">
          <w:marLeft w:val="0"/>
          <w:marRight w:val="0"/>
          <w:marTop w:val="0"/>
          <w:marBottom w:val="0"/>
          <w:divBdr>
            <w:top w:val="none" w:sz="0" w:space="0" w:color="auto"/>
            <w:left w:val="none" w:sz="0" w:space="0" w:color="auto"/>
            <w:bottom w:val="none" w:sz="0" w:space="0" w:color="auto"/>
            <w:right w:val="none" w:sz="0" w:space="0" w:color="auto"/>
          </w:divBdr>
        </w:div>
        <w:div w:id="1298682223">
          <w:marLeft w:val="0"/>
          <w:marRight w:val="0"/>
          <w:marTop w:val="0"/>
          <w:marBottom w:val="0"/>
          <w:divBdr>
            <w:top w:val="none" w:sz="0" w:space="0" w:color="auto"/>
            <w:left w:val="none" w:sz="0" w:space="0" w:color="auto"/>
            <w:bottom w:val="none" w:sz="0" w:space="0" w:color="auto"/>
            <w:right w:val="none" w:sz="0" w:space="0" w:color="auto"/>
          </w:divBdr>
        </w:div>
        <w:div w:id="897857043">
          <w:marLeft w:val="0"/>
          <w:marRight w:val="0"/>
          <w:marTop w:val="0"/>
          <w:marBottom w:val="0"/>
          <w:divBdr>
            <w:top w:val="none" w:sz="0" w:space="0" w:color="auto"/>
            <w:left w:val="none" w:sz="0" w:space="0" w:color="auto"/>
            <w:bottom w:val="none" w:sz="0" w:space="0" w:color="auto"/>
            <w:right w:val="none" w:sz="0" w:space="0" w:color="auto"/>
          </w:divBdr>
        </w:div>
        <w:div w:id="549729976">
          <w:marLeft w:val="0"/>
          <w:marRight w:val="0"/>
          <w:marTop w:val="0"/>
          <w:marBottom w:val="0"/>
          <w:divBdr>
            <w:top w:val="none" w:sz="0" w:space="0" w:color="auto"/>
            <w:left w:val="none" w:sz="0" w:space="0" w:color="auto"/>
            <w:bottom w:val="none" w:sz="0" w:space="0" w:color="auto"/>
            <w:right w:val="none" w:sz="0" w:space="0" w:color="auto"/>
          </w:divBdr>
        </w:div>
        <w:div w:id="1423181297">
          <w:marLeft w:val="0"/>
          <w:marRight w:val="0"/>
          <w:marTop w:val="0"/>
          <w:marBottom w:val="0"/>
          <w:divBdr>
            <w:top w:val="none" w:sz="0" w:space="0" w:color="auto"/>
            <w:left w:val="none" w:sz="0" w:space="0" w:color="auto"/>
            <w:bottom w:val="none" w:sz="0" w:space="0" w:color="auto"/>
            <w:right w:val="none" w:sz="0" w:space="0" w:color="auto"/>
          </w:divBdr>
        </w:div>
        <w:div w:id="1898279445">
          <w:marLeft w:val="0"/>
          <w:marRight w:val="0"/>
          <w:marTop w:val="0"/>
          <w:marBottom w:val="0"/>
          <w:divBdr>
            <w:top w:val="none" w:sz="0" w:space="0" w:color="auto"/>
            <w:left w:val="none" w:sz="0" w:space="0" w:color="auto"/>
            <w:bottom w:val="none" w:sz="0" w:space="0" w:color="auto"/>
            <w:right w:val="none" w:sz="0" w:space="0" w:color="auto"/>
          </w:divBdr>
        </w:div>
        <w:div w:id="1120496125">
          <w:marLeft w:val="0"/>
          <w:marRight w:val="0"/>
          <w:marTop w:val="0"/>
          <w:marBottom w:val="0"/>
          <w:divBdr>
            <w:top w:val="none" w:sz="0" w:space="0" w:color="auto"/>
            <w:left w:val="none" w:sz="0" w:space="0" w:color="auto"/>
            <w:bottom w:val="none" w:sz="0" w:space="0" w:color="auto"/>
            <w:right w:val="none" w:sz="0" w:space="0" w:color="auto"/>
          </w:divBdr>
        </w:div>
        <w:div w:id="749160214">
          <w:marLeft w:val="0"/>
          <w:marRight w:val="0"/>
          <w:marTop w:val="0"/>
          <w:marBottom w:val="0"/>
          <w:divBdr>
            <w:top w:val="none" w:sz="0" w:space="0" w:color="auto"/>
            <w:left w:val="none" w:sz="0" w:space="0" w:color="auto"/>
            <w:bottom w:val="none" w:sz="0" w:space="0" w:color="auto"/>
            <w:right w:val="none" w:sz="0" w:space="0" w:color="auto"/>
          </w:divBdr>
        </w:div>
        <w:div w:id="624585010">
          <w:marLeft w:val="0"/>
          <w:marRight w:val="0"/>
          <w:marTop w:val="0"/>
          <w:marBottom w:val="0"/>
          <w:divBdr>
            <w:top w:val="none" w:sz="0" w:space="0" w:color="auto"/>
            <w:left w:val="none" w:sz="0" w:space="0" w:color="auto"/>
            <w:bottom w:val="none" w:sz="0" w:space="0" w:color="auto"/>
            <w:right w:val="none" w:sz="0" w:space="0" w:color="auto"/>
          </w:divBdr>
        </w:div>
        <w:div w:id="1362632776">
          <w:marLeft w:val="0"/>
          <w:marRight w:val="0"/>
          <w:marTop w:val="0"/>
          <w:marBottom w:val="0"/>
          <w:divBdr>
            <w:top w:val="none" w:sz="0" w:space="0" w:color="auto"/>
            <w:left w:val="none" w:sz="0" w:space="0" w:color="auto"/>
            <w:bottom w:val="none" w:sz="0" w:space="0" w:color="auto"/>
            <w:right w:val="none" w:sz="0" w:space="0" w:color="auto"/>
          </w:divBdr>
        </w:div>
        <w:div w:id="46338266">
          <w:marLeft w:val="0"/>
          <w:marRight w:val="0"/>
          <w:marTop w:val="0"/>
          <w:marBottom w:val="0"/>
          <w:divBdr>
            <w:top w:val="none" w:sz="0" w:space="0" w:color="auto"/>
            <w:left w:val="none" w:sz="0" w:space="0" w:color="auto"/>
            <w:bottom w:val="none" w:sz="0" w:space="0" w:color="auto"/>
            <w:right w:val="none" w:sz="0" w:space="0" w:color="auto"/>
          </w:divBdr>
        </w:div>
        <w:div w:id="2087998646">
          <w:marLeft w:val="0"/>
          <w:marRight w:val="0"/>
          <w:marTop w:val="0"/>
          <w:marBottom w:val="0"/>
          <w:divBdr>
            <w:top w:val="none" w:sz="0" w:space="0" w:color="auto"/>
            <w:left w:val="none" w:sz="0" w:space="0" w:color="auto"/>
            <w:bottom w:val="none" w:sz="0" w:space="0" w:color="auto"/>
            <w:right w:val="none" w:sz="0" w:space="0" w:color="auto"/>
          </w:divBdr>
        </w:div>
        <w:div w:id="441461352">
          <w:marLeft w:val="0"/>
          <w:marRight w:val="0"/>
          <w:marTop w:val="0"/>
          <w:marBottom w:val="0"/>
          <w:divBdr>
            <w:top w:val="none" w:sz="0" w:space="0" w:color="auto"/>
            <w:left w:val="none" w:sz="0" w:space="0" w:color="auto"/>
            <w:bottom w:val="none" w:sz="0" w:space="0" w:color="auto"/>
            <w:right w:val="none" w:sz="0" w:space="0" w:color="auto"/>
          </w:divBdr>
        </w:div>
        <w:div w:id="720136191">
          <w:marLeft w:val="0"/>
          <w:marRight w:val="0"/>
          <w:marTop w:val="0"/>
          <w:marBottom w:val="0"/>
          <w:divBdr>
            <w:top w:val="none" w:sz="0" w:space="0" w:color="auto"/>
            <w:left w:val="none" w:sz="0" w:space="0" w:color="auto"/>
            <w:bottom w:val="none" w:sz="0" w:space="0" w:color="auto"/>
            <w:right w:val="none" w:sz="0" w:space="0" w:color="auto"/>
          </w:divBdr>
        </w:div>
        <w:div w:id="1105543475">
          <w:marLeft w:val="0"/>
          <w:marRight w:val="0"/>
          <w:marTop w:val="0"/>
          <w:marBottom w:val="0"/>
          <w:divBdr>
            <w:top w:val="none" w:sz="0" w:space="0" w:color="auto"/>
            <w:left w:val="none" w:sz="0" w:space="0" w:color="auto"/>
            <w:bottom w:val="none" w:sz="0" w:space="0" w:color="auto"/>
            <w:right w:val="none" w:sz="0" w:space="0" w:color="auto"/>
          </w:divBdr>
        </w:div>
        <w:div w:id="1372068905">
          <w:marLeft w:val="0"/>
          <w:marRight w:val="0"/>
          <w:marTop w:val="0"/>
          <w:marBottom w:val="0"/>
          <w:divBdr>
            <w:top w:val="none" w:sz="0" w:space="0" w:color="auto"/>
            <w:left w:val="none" w:sz="0" w:space="0" w:color="auto"/>
            <w:bottom w:val="none" w:sz="0" w:space="0" w:color="auto"/>
            <w:right w:val="none" w:sz="0" w:space="0" w:color="auto"/>
          </w:divBdr>
        </w:div>
        <w:div w:id="1909920287">
          <w:marLeft w:val="0"/>
          <w:marRight w:val="0"/>
          <w:marTop w:val="0"/>
          <w:marBottom w:val="0"/>
          <w:divBdr>
            <w:top w:val="none" w:sz="0" w:space="0" w:color="auto"/>
            <w:left w:val="none" w:sz="0" w:space="0" w:color="auto"/>
            <w:bottom w:val="none" w:sz="0" w:space="0" w:color="auto"/>
            <w:right w:val="none" w:sz="0" w:space="0" w:color="auto"/>
          </w:divBdr>
        </w:div>
        <w:div w:id="1062021796">
          <w:marLeft w:val="0"/>
          <w:marRight w:val="0"/>
          <w:marTop w:val="0"/>
          <w:marBottom w:val="0"/>
          <w:divBdr>
            <w:top w:val="none" w:sz="0" w:space="0" w:color="auto"/>
            <w:left w:val="none" w:sz="0" w:space="0" w:color="auto"/>
            <w:bottom w:val="none" w:sz="0" w:space="0" w:color="auto"/>
            <w:right w:val="none" w:sz="0" w:space="0" w:color="auto"/>
          </w:divBdr>
        </w:div>
        <w:div w:id="1977181015">
          <w:marLeft w:val="0"/>
          <w:marRight w:val="0"/>
          <w:marTop w:val="0"/>
          <w:marBottom w:val="0"/>
          <w:divBdr>
            <w:top w:val="none" w:sz="0" w:space="0" w:color="auto"/>
            <w:left w:val="none" w:sz="0" w:space="0" w:color="auto"/>
            <w:bottom w:val="none" w:sz="0" w:space="0" w:color="auto"/>
            <w:right w:val="none" w:sz="0" w:space="0" w:color="auto"/>
          </w:divBdr>
        </w:div>
        <w:div w:id="427426075">
          <w:marLeft w:val="0"/>
          <w:marRight w:val="0"/>
          <w:marTop w:val="0"/>
          <w:marBottom w:val="0"/>
          <w:divBdr>
            <w:top w:val="none" w:sz="0" w:space="0" w:color="auto"/>
            <w:left w:val="none" w:sz="0" w:space="0" w:color="auto"/>
            <w:bottom w:val="none" w:sz="0" w:space="0" w:color="auto"/>
            <w:right w:val="none" w:sz="0" w:space="0" w:color="auto"/>
          </w:divBdr>
        </w:div>
        <w:div w:id="1778016301">
          <w:marLeft w:val="0"/>
          <w:marRight w:val="0"/>
          <w:marTop w:val="0"/>
          <w:marBottom w:val="0"/>
          <w:divBdr>
            <w:top w:val="none" w:sz="0" w:space="0" w:color="auto"/>
            <w:left w:val="none" w:sz="0" w:space="0" w:color="auto"/>
            <w:bottom w:val="none" w:sz="0" w:space="0" w:color="auto"/>
            <w:right w:val="none" w:sz="0" w:space="0" w:color="auto"/>
          </w:divBdr>
        </w:div>
        <w:div w:id="930502144">
          <w:marLeft w:val="0"/>
          <w:marRight w:val="0"/>
          <w:marTop w:val="0"/>
          <w:marBottom w:val="0"/>
          <w:divBdr>
            <w:top w:val="none" w:sz="0" w:space="0" w:color="auto"/>
            <w:left w:val="none" w:sz="0" w:space="0" w:color="auto"/>
            <w:bottom w:val="none" w:sz="0" w:space="0" w:color="auto"/>
            <w:right w:val="none" w:sz="0" w:space="0" w:color="auto"/>
          </w:divBdr>
        </w:div>
        <w:div w:id="1695417253">
          <w:marLeft w:val="0"/>
          <w:marRight w:val="0"/>
          <w:marTop w:val="0"/>
          <w:marBottom w:val="0"/>
          <w:divBdr>
            <w:top w:val="none" w:sz="0" w:space="0" w:color="auto"/>
            <w:left w:val="none" w:sz="0" w:space="0" w:color="auto"/>
            <w:bottom w:val="none" w:sz="0" w:space="0" w:color="auto"/>
            <w:right w:val="none" w:sz="0" w:space="0" w:color="auto"/>
          </w:divBdr>
        </w:div>
        <w:div w:id="1413889857">
          <w:marLeft w:val="0"/>
          <w:marRight w:val="0"/>
          <w:marTop w:val="0"/>
          <w:marBottom w:val="0"/>
          <w:divBdr>
            <w:top w:val="none" w:sz="0" w:space="0" w:color="auto"/>
            <w:left w:val="none" w:sz="0" w:space="0" w:color="auto"/>
            <w:bottom w:val="none" w:sz="0" w:space="0" w:color="auto"/>
            <w:right w:val="none" w:sz="0" w:space="0" w:color="auto"/>
          </w:divBdr>
        </w:div>
        <w:div w:id="1108358391">
          <w:marLeft w:val="0"/>
          <w:marRight w:val="0"/>
          <w:marTop w:val="0"/>
          <w:marBottom w:val="0"/>
          <w:divBdr>
            <w:top w:val="none" w:sz="0" w:space="0" w:color="auto"/>
            <w:left w:val="none" w:sz="0" w:space="0" w:color="auto"/>
            <w:bottom w:val="none" w:sz="0" w:space="0" w:color="auto"/>
            <w:right w:val="none" w:sz="0" w:space="0" w:color="auto"/>
          </w:divBdr>
        </w:div>
        <w:div w:id="1836021685">
          <w:marLeft w:val="0"/>
          <w:marRight w:val="0"/>
          <w:marTop w:val="0"/>
          <w:marBottom w:val="0"/>
          <w:divBdr>
            <w:top w:val="none" w:sz="0" w:space="0" w:color="auto"/>
            <w:left w:val="none" w:sz="0" w:space="0" w:color="auto"/>
            <w:bottom w:val="none" w:sz="0" w:space="0" w:color="auto"/>
            <w:right w:val="none" w:sz="0" w:space="0" w:color="auto"/>
          </w:divBdr>
        </w:div>
        <w:div w:id="2010282164">
          <w:marLeft w:val="0"/>
          <w:marRight w:val="0"/>
          <w:marTop w:val="0"/>
          <w:marBottom w:val="0"/>
          <w:divBdr>
            <w:top w:val="none" w:sz="0" w:space="0" w:color="auto"/>
            <w:left w:val="none" w:sz="0" w:space="0" w:color="auto"/>
            <w:bottom w:val="none" w:sz="0" w:space="0" w:color="auto"/>
            <w:right w:val="none" w:sz="0" w:space="0" w:color="auto"/>
          </w:divBdr>
        </w:div>
        <w:div w:id="805851745">
          <w:marLeft w:val="0"/>
          <w:marRight w:val="0"/>
          <w:marTop w:val="0"/>
          <w:marBottom w:val="0"/>
          <w:divBdr>
            <w:top w:val="none" w:sz="0" w:space="0" w:color="auto"/>
            <w:left w:val="none" w:sz="0" w:space="0" w:color="auto"/>
            <w:bottom w:val="none" w:sz="0" w:space="0" w:color="auto"/>
            <w:right w:val="none" w:sz="0" w:space="0" w:color="auto"/>
          </w:divBdr>
        </w:div>
        <w:div w:id="27610706">
          <w:marLeft w:val="0"/>
          <w:marRight w:val="0"/>
          <w:marTop w:val="0"/>
          <w:marBottom w:val="0"/>
          <w:divBdr>
            <w:top w:val="none" w:sz="0" w:space="0" w:color="auto"/>
            <w:left w:val="none" w:sz="0" w:space="0" w:color="auto"/>
            <w:bottom w:val="none" w:sz="0" w:space="0" w:color="auto"/>
            <w:right w:val="none" w:sz="0" w:space="0" w:color="auto"/>
          </w:divBdr>
        </w:div>
        <w:div w:id="1087918950">
          <w:marLeft w:val="0"/>
          <w:marRight w:val="0"/>
          <w:marTop w:val="0"/>
          <w:marBottom w:val="0"/>
          <w:divBdr>
            <w:top w:val="none" w:sz="0" w:space="0" w:color="auto"/>
            <w:left w:val="none" w:sz="0" w:space="0" w:color="auto"/>
            <w:bottom w:val="none" w:sz="0" w:space="0" w:color="auto"/>
            <w:right w:val="none" w:sz="0" w:space="0" w:color="auto"/>
          </w:divBdr>
        </w:div>
        <w:div w:id="516774754">
          <w:marLeft w:val="0"/>
          <w:marRight w:val="0"/>
          <w:marTop w:val="0"/>
          <w:marBottom w:val="0"/>
          <w:divBdr>
            <w:top w:val="none" w:sz="0" w:space="0" w:color="auto"/>
            <w:left w:val="none" w:sz="0" w:space="0" w:color="auto"/>
            <w:bottom w:val="none" w:sz="0" w:space="0" w:color="auto"/>
            <w:right w:val="none" w:sz="0" w:space="0" w:color="auto"/>
          </w:divBdr>
        </w:div>
        <w:div w:id="1903786374">
          <w:marLeft w:val="0"/>
          <w:marRight w:val="0"/>
          <w:marTop w:val="0"/>
          <w:marBottom w:val="0"/>
          <w:divBdr>
            <w:top w:val="none" w:sz="0" w:space="0" w:color="auto"/>
            <w:left w:val="none" w:sz="0" w:space="0" w:color="auto"/>
            <w:bottom w:val="none" w:sz="0" w:space="0" w:color="auto"/>
            <w:right w:val="none" w:sz="0" w:space="0" w:color="auto"/>
          </w:divBdr>
        </w:div>
      </w:divsChild>
    </w:div>
    <w:div w:id="1339237372">
      <w:bodyDiv w:val="1"/>
      <w:marLeft w:val="0"/>
      <w:marRight w:val="0"/>
      <w:marTop w:val="0"/>
      <w:marBottom w:val="0"/>
      <w:divBdr>
        <w:top w:val="none" w:sz="0" w:space="0" w:color="auto"/>
        <w:left w:val="none" w:sz="0" w:space="0" w:color="auto"/>
        <w:bottom w:val="none" w:sz="0" w:space="0" w:color="auto"/>
        <w:right w:val="none" w:sz="0" w:space="0" w:color="auto"/>
      </w:divBdr>
    </w:div>
    <w:div w:id="1887255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s>
</file>

<file path=word/_rels/footnotes.xml.rels><?xml version="1.0" encoding="UTF-8" standalone="yes"?>
<Relationships xmlns="http://schemas.openxmlformats.org/package/2006/relationships"><Relationship Id="rId2" Type="http://schemas.openxmlformats.org/officeDocument/2006/relationships/hyperlink" Target="https://cdn.who.int/media/docs/librariesprovider2/country-sites/montenegro/05_mne_report_phc-impact.pdf?sfvrsn=3156f602_3&amp;download=true" TargetMode="External"/><Relationship Id="rId1" Type="http://schemas.openxmlformats.org/officeDocument/2006/relationships/hyperlink" Target="https://cdn.who.int/media/docs/librariesprovider2/country-sites/montenegro/05_mne_report_phc-impact.pdf?sfvrsn=3156f602_3&amp;download=true"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r-Latn-R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r>
              <a:rPr lang="sr-Latn-RS"/>
              <a:t>Prikaz procenta realizovanih aktivnosti za AP 2023-2024</a:t>
            </a:r>
            <a:endParaRPr lang="en-US"/>
          </a:p>
        </c:rich>
      </c:tx>
      <c:overlay val="0"/>
      <c:spPr>
        <a:noFill/>
        <a:ln>
          <a:noFill/>
        </a:ln>
        <a:effectLst/>
      </c:spPr>
      <c:txPr>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endParaRPr lang="en-US"/>
        </a:p>
      </c:txPr>
    </c:title>
    <c:autoTitleDeleted val="0"/>
    <c:plotArea>
      <c:layout/>
      <c:pieChart>
        <c:varyColors val="1"/>
        <c:ser>
          <c:idx val="0"/>
          <c:order val="0"/>
          <c:tx>
            <c:strRef>
              <c:f>Sheet1!$B$1</c:f>
              <c:strCache>
                <c:ptCount val="1"/>
                <c:pt idx="0">
                  <c:v>Sales</c:v>
                </c:pt>
              </c:strCache>
            </c:strRef>
          </c:tx>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1-1F13-4790-BCA9-A78EFF536FC9}"/>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3-1F13-4790-BCA9-A78EFF536FC9}"/>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05-1F13-4790-BCA9-A78EFF536FC9}"/>
              </c:ext>
            </c:extLst>
          </c:dPt>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F13-4790-BCA9-A78EFF536FC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s>
          <c:cat>
            <c:strRef>
              <c:f>Sheet1!$A$2:$A$4</c:f>
              <c:strCache>
                <c:ptCount val="3"/>
                <c:pt idx="0">
                  <c:v>Realizovane aktivnosti</c:v>
                </c:pt>
                <c:pt idx="1">
                  <c:v>Djelimično realizovane aktivnosti</c:v>
                </c:pt>
                <c:pt idx="2">
                  <c:v>Nerealizovane aktivnosti</c:v>
                </c:pt>
              </c:strCache>
            </c:strRef>
          </c:cat>
          <c:val>
            <c:numRef>
              <c:f>Sheet1!$B$2:$B$4</c:f>
              <c:numCache>
                <c:formatCode>0%</c:formatCode>
                <c:ptCount val="3"/>
                <c:pt idx="0">
                  <c:v>0.39</c:v>
                </c:pt>
                <c:pt idx="1">
                  <c:v>0.38</c:v>
                </c:pt>
                <c:pt idx="2">
                  <c:v>0.23</c:v>
                </c:pt>
              </c:numCache>
            </c:numRef>
          </c:val>
          <c:extLst>
            <c:ext xmlns:c16="http://schemas.microsoft.com/office/drawing/2014/chart" uri="{C3380CC4-5D6E-409C-BE32-E72D297353CC}">
              <c16:uniqueId val="{00000006-1F13-4790-BCA9-A78EFF536FC9}"/>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r-Latn-R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r>
              <a:rPr lang="sr-Latn-RS"/>
              <a:t>Brojčani prikaz realizacije aktivnosti za AP za period 2023-2024</a:t>
            </a:r>
            <a:endParaRPr lang="en-US"/>
          </a:p>
        </c:rich>
      </c:tx>
      <c:overlay val="0"/>
      <c:spPr>
        <a:noFill/>
        <a:ln>
          <a:noFill/>
        </a:ln>
        <a:effectLst/>
      </c:spPr>
      <c:txPr>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endParaRPr lang="en-US"/>
        </a:p>
      </c:txPr>
    </c:title>
    <c:autoTitleDeleted val="0"/>
    <c:plotArea>
      <c:layout/>
      <c:barChart>
        <c:barDir val="col"/>
        <c:grouping val="clustered"/>
        <c:varyColors val="0"/>
        <c:ser>
          <c:idx val="0"/>
          <c:order val="0"/>
          <c:tx>
            <c:strRef>
              <c:f>Sheet1!$B$1</c:f>
              <c:strCache>
                <c:ptCount val="1"/>
                <c:pt idx="0">
                  <c:v>Series 1</c:v>
                </c:pt>
              </c:strCache>
            </c:strRef>
          </c:tx>
          <c:spPr>
            <a:solidFill>
              <a:srgbClr val="92D050"/>
            </a:solidFill>
            <a:ln>
              <a:noFill/>
            </a:ln>
            <a:effectLst/>
          </c:spPr>
          <c:invertIfNegative val="0"/>
          <c:dPt>
            <c:idx val="0"/>
            <c:invertIfNegative val="0"/>
            <c:bubble3D val="0"/>
            <c:spPr>
              <a:solidFill>
                <a:srgbClr val="002060"/>
              </a:solidFill>
              <a:ln>
                <a:noFill/>
              </a:ln>
              <a:effectLst/>
            </c:spPr>
            <c:extLst>
              <c:ext xmlns:c16="http://schemas.microsoft.com/office/drawing/2014/chart" uri="{C3380CC4-5D6E-409C-BE32-E72D297353CC}">
                <c16:uniqueId val="{00000003-4F37-4048-B935-2745F93338A7}"/>
              </c:ext>
            </c:extLst>
          </c:dPt>
          <c:dPt>
            <c:idx val="1"/>
            <c:invertIfNegative val="0"/>
            <c:bubble3D val="0"/>
            <c:extLst>
              <c:ext xmlns:c16="http://schemas.microsoft.com/office/drawing/2014/chart" uri="{C3380CC4-5D6E-409C-BE32-E72D297353CC}">
                <c16:uniqueId val="{00000001-7449-4CC7-9C2F-843011470F8C}"/>
              </c:ext>
            </c:extLst>
          </c:dPt>
          <c:dPt>
            <c:idx val="2"/>
            <c:invertIfNegative val="0"/>
            <c:bubble3D val="0"/>
            <c:spPr>
              <a:solidFill>
                <a:srgbClr val="FFFF00"/>
              </a:solidFill>
              <a:ln>
                <a:noFill/>
              </a:ln>
              <a:effectLst/>
            </c:spPr>
            <c:extLst>
              <c:ext xmlns:c16="http://schemas.microsoft.com/office/drawing/2014/chart" uri="{C3380CC4-5D6E-409C-BE32-E72D297353CC}">
                <c16:uniqueId val="{00000003-7449-4CC7-9C2F-843011470F8C}"/>
              </c:ext>
            </c:extLst>
          </c:dPt>
          <c:dPt>
            <c:idx val="3"/>
            <c:invertIfNegative val="0"/>
            <c:bubble3D val="0"/>
            <c:spPr>
              <a:solidFill>
                <a:srgbClr val="FF0000"/>
              </a:solidFill>
              <a:ln>
                <a:noFill/>
              </a:ln>
              <a:effectLst/>
            </c:spPr>
            <c:extLst>
              <c:ext xmlns:c16="http://schemas.microsoft.com/office/drawing/2014/chart" uri="{C3380CC4-5D6E-409C-BE32-E72D297353CC}">
                <c16:uniqueId val="{00000005-7449-4CC7-9C2F-843011470F8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Sheet1!$A$2:$A$5</c:f>
              <c:strCache>
                <c:ptCount val="4"/>
                <c:pt idx="0">
                  <c:v>Ukupan broj predloženih aktivnosti u izvještajnom periodu</c:v>
                </c:pt>
                <c:pt idx="1">
                  <c:v>Realizovane aktivnosti</c:v>
                </c:pt>
                <c:pt idx="2">
                  <c:v>Djelimično realizovane aktivnosti</c:v>
                </c:pt>
                <c:pt idx="3">
                  <c:v>Nerealizovane aktivnosti</c:v>
                </c:pt>
              </c:strCache>
            </c:strRef>
          </c:cat>
          <c:val>
            <c:numRef>
              <c:f>Sheet1!$B$2:$B$5</c:f>
              <c:numCache>
                <c:formatCode>General</c:formatCode>
                <c:ptCount val="4"/>
                <c:pt idx="0">
                  <c:v>113</c:v>
                </c:pt>
                <c:pt idx="1">
                  <c:v>40</c:v>
                </c:pt>
                <c:pt idx="2">
                  <c:v>39</c:v>
                </c:pt>
                <c:pt idx="3">
                  <c:v>24</c:v>
                </c:pt>
              </c:numCache>
            </c:numRef>
          </c:val>
          <c:extLst>
            <c:ext xmlns:c16="http://schemas.microsoft.com/office/drawing/2014/chart" uri="{C3380CC4-5D6E-409C-BE32-E72D297353CC}">
              <c16:uniqueId val="{00000006-7449-4CC7-9C2F-843011470F8C}"/>
            </c:ext>
          </c:extLst>
        </c:ser>
        <c:dLbls>
          <c:showLegendKey val="0"/>
          <c:showVal val="0"/>
          <c:showCatName val="0"/>
          <c:showSerName val="0"/>
          <c:showPercent val="0"/>
          <c:showBubbleSize val="0"/>
        </c:dLbls>
        <c:gapWidth val="267"/>
        <c:overlap val="-43"/>
        <c:axId val="2094312671"/>
        <c:axId val="2094314335"/>
      </c:barChart>
      <c:catAx>
        <c:axId val="2094312671"/>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2094314335"/>
        <c:crosses val="autoZero"/>
        <c:auto val="1"/>
        <c:lblAlgn val="ctr"/>
        <c:lblOffset val="100"/>
        <c:noMultiLvlLbl val="0"/>
      </c:catAx>
      <c:valAx>
        <c:axId val="2094314335"/>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2094312671"/>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r-Latn-R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sr-Latn-RS"/>
              <a:t>Pregled realizacije aktivnosti po oblastima strateškog dokumenta (2023-2024)</a:t>
            </a:r>
            <a:endParaRPr lang="en-US"/>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Nerealizovane aktivnosti</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strRef>
              <c:f>Sheet1!$A$2:$A$11</c:f>
              <c:strCache>
                <c:ptCount val="10"/>
                <c:pt idx="0">
                  <c:v>Oblast X</c:v>
                </c:pt>
                <c:pt idx="1">
                  <c:v>Oblast IX</c:v>
                </c:pt>
                <c:pt idx="2">
                  <c:v>Oblast VIII</c:v>
                </c:pt>
                <c:pt idx="3">
                  <c:v>Oblast VII</c:v>
                </c:pt>
                <c:pt idx="4">
                  <c:v>Oblast VI</c:v>
                </c:pt>
                <c:pt idx="5">
                  <c:v>Oblast V</c:v>
                </c:pt>
                <c:pt idx="6">
                  <c:v>Oblast IV</c:v>
                </c:pt>
                <c:pt idx="7">
                  <c:v>Oblast III</c:v>
                </c:pt>
                <c:pt idx="8">
                  <c:v>Oblast II</c:v>
                </c:pt>
                <c:pt idx="9">
                  <c:v>Oblast I</c:v>
                </c:pt>
              </c:strCache>
            </c:strRef>
          </c:cat>
          <c:val>
            <c:numRef>
              <c:f>Sheet1!$B$2:$B$11</c:f>
              <c:numCache>
                <c:formatCode>General</c:formatCode>
                <c:ptCount val="10"/>
                <c:pt idx="0">
                  <c:v>1</c:v>
                </c:pt>
                <c:pt idx="1">
                  <c:v>2</c:v>
                </c:pt>
                <c:pt idx="2">
                  <c:v>2</c:v>
                </c:pt>
                <c:pt idx="3">
                  <c:v>0</c:v>
                </c:pt>
                <c:pt idx="4">
                  <c:v>2</c:v>
                </c:pt>
                <c:pt idx="5">
                  <c:v>3</c:v>
                </c:pt>
                <c:pt idx="6">
                  <c:v>3</c:v>
                </c:pt>
                <c:pt idx="7">
                  <c:v>2</c:v>
                </c:pt>
                <c:pt idx="8">
                  <c:v>3</c:v>
                </c:pt>
                <c:pt idx="9">
                  <c:v>6</c:v>
                </c:pt>
              </c:numCache>
            </c:numRef>
          </c:val>
          <c:extLst>
            <c:ext xmlns:c16="http://schemas.microsoft.com/office/drawing/2014/chart" uri="{C3380CC4-5D6E-409C-BE32-E72D297353CC}">
              <c16:uniqueId val="{00000000-794B-4FB3-BB1B-31DC50EFAEE7}"/>
            </c:ext>
          </c:extLst>
        </c:ser>
        <c:ser>
          <c:idx val="1"/>
          <c:order val="1"/>
          <c:tx>
            <c:strRef>
              <c:f>Sheet1!$C$1</c:f>
              <c:strCache>
                <c:ptCount val="1"/>
                <c:pt idx="0">
                  <c:v>Djelimično realizovane aktivnosti</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cat>
            <c:strRef>
              <c:f>Sheet1!$A$2:$A$11</c:f>
              <c:strCache>
                <c:ptCount val="10"/>
                <c:pt idx="0">
                  <c:v>Oblast X</c:v>
                </c:pt>
                <c:pt idx="1">
                  <c:v>Oblast IX</c:v>
                </c:pt>
                <c:pt idx="2">
                  <c:v>Oblast VIII</c:v>
                </c:pt>
                <c:pt idx="3">
                  <c:v>Oblast VII</c:v>
                </c:pt>
                <c:pt idx="4">
                  <c:v>Oblast VI</c:v>
                </c:pt>
                <c:pt idx="5">
                  <c:v>Oblast V</c:v>
                </c:pt>
                <c:pt idx="6">
                  <c:v>Oblast IV</c:v>
                </c:pt>
                <c:pt idx="7">
                  <c:v>Oblast III</c:v>
                </c:pt>
                <c:pt idx="8">
                  <c:v>Oblast II</c:v>
                </c:pt>
                <c:pt idx="9">
                  <c:v>Oblast I</c:v>
                </c:pt>
              </c:strCache>
            </c:strRef>
          </c:cat>
          <c:val>
            <c:numRef>
              <c:f>Sheet1!$C$2:$C$11</c:f>
              <c:numCache>
                <c:formatCode>General</c:formatCode>
                <c:ptCount val="10"/>
                <c:pt idx="0">
                  <c:v>3</c:v>
                </c:pt>
                <c:pt idx="1">
                  <c:v>4</c:v>
                </c:pt>
                <c:pt idx="2">
                  <c:v>1</c:v>
                </c:pt>
                <c:pt idx="3">
                  <c:v>3</c:v>
                </c:pt>
                <c:pt idx="4">
                  <c:v>3</c:v>
                </c:pt>
                <c:pt idx="5">
                  <c:v>9</c:v>
                </c:pt>
                <c:pt idx="6">
                  <c:v>1</c:v>
                </c:pt>
                <c:pt idx="7">
                  <c:v>2</c:v>
                </c:pt>
                <c:pt idx="8">
                  <c:v>3</c:v>
                </c:pt>
                <c:pt idx="9">
                  <c:v>10</c:v>
                </c:pt>
              </c:numCache>
            </c:numRef>
          </c:val>
          <c:extLst>
            <c:ext xmlns:c16="http://schemas.microsoft.com/office/drawing/2014/chart" uri="{C3380CC4-5D6E-409C-BE32-E72D297353CC}">
              <c16:uniqueId val="{00000001-794B-4FB3-BB1B-31DC50EFAEE7}"/>
            </c:ext>
          </c:extLst>
        </c:ser>
        <c:ser>
          <c:idx val="2"/>
          <c:order val="2"/>
          <c:tx>
            <c:strRef>
              <c:f>Sheet1!$D$1</c:f>
              <c:strCache>
                <c:ptCount val="1"/>
                <c:pt idx="0">
                  <c:v>Realizovane aktivnosti</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cat>
            <c:strRef>
              <c:f>Sheet1!$A$2:$A$11</c:f>
              <c:strCache>
                <c:ptCount val="10"/>
                <c:pt idx="0">
                  <c:v>Oblast X</c:v>
                </c:pt>
                <c:pt idx="1">
                  <c:v>Oblast IX</c:v>
                </c:pt>
                <c:pt idx="2">
                  <c:v>Oblast VIII</c:v>
                </c:pt>
                <c:pt idx="3">
                  <c:v>Oblast VII</c:v>
                </c:pt>
                <c:pt idx="4">
                  <c:v>Oblast VI</c:v>
                </c:pt>
                <c:pt idx="5">
                  <c:v>Oblast V</c:v>
                </c:pt>
                <c:pt idx="6">
                  <c:v>Oblast IV</c:v>
                </c:pt>
                <c:pt idx="7">
                  <c:v>Oblast III</c:v>
                </c:pt>
                <c:pt idx="8">
                  <c:v>Oblast II</c:v>
                </c:pt>
                <c:pt idx="9">
                  <c:v>Oblast I</c:v>
                </c:pt>
              </c:strCache>
            </c:strRef>
          </c:cat>
          <c:val>
            <c:numRef>
              <c:f>Sheet1!$D$2:$D$11</c:f>
              <c:numCache>
                <c:formatCode>General</c:formatCode>
                <c:ptCount val="10"/>
                <c:pt idx="0">
                  <c:v>9</c:v>
                </c:pt>
                <c:pt idx="1">
                  <c:v>0</c:v>
                </c:pt>
                <c:pt idx="2">
                  <c:v>1</c:v>
                </c:pt>
                <c:pt idx="3">
                  <c:v>0</c:v>
                </c:pt>
                <c:pt idx="4">
                  <c:v>1</c:v>
                </c:pt>
                <c:pt idx="5">
                  <c:v>10</c:v>
                </c:pt>
                <c:pt idx="6">
                  <c:v>3</c:v>
                </c:pt>
                <c:pt idx="7">
                  <c:v>0</c:v>
                </c:pt>
                <c:pt idx="8">
                  <c:v>1</c:v>
                </c:pt>
                <c:pt idx="9">
                  <c:v>5</c:v>
                </c:pt>
              </c:numCache>
            </c:numRef>
          </c:val>
          <c:extLst>
            <c:ext xmlns:c16="http://schemas.microsoft.com/office/drawing/2014/chart" uri="{C3380CC4-5D6E-409C-BE32-E72D297353CC}">
              <c16:uniqueId val="{00000002-794B-4FB3-BB1B-31DC50EFAEE7}"/>
            </c:ext>
          </c:extLst>
        </c:ser>
        <c:dLbls>
          <c:showLegendKey val="0"/>
          <c:showVal val="0"/>
          <c:showCatName val="0"/>
          <c:showSerName val="0"/>
          <c:showPercent val="0"/>
          <c:showBubbleSize val="0"/>
        </c:dLbls>
        <c:gapWidth val="100"/>
        <c:axId val="2025367183"/>
        <c:axId val="2025368015"/>
      </c:barChart>
      <c:catAx>
        <c:axId val="2025367183"/>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025368015"/>
        <c:crosses val="autoZero"/>
        <c:auto val="1"/>
        <c:lblAlgn val="ctr"/>
        <c:lblOffset val="100"/>
        <c:noMultiLvlLbl val="0"/>
      </c:catAx>
      <c:valAx>
        <c:axId val="2025368015"/>
        <c:scaling>
          <c:orientation val="minMax"/>
        </c:scaling>
        <c:delete val="0"/>
        <c:axPos val="b"/>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025367183"/>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Entry>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3.xml><?xml version="1.0" encoding="utf-8"?>
<cs:chartStyle xmlns:cs="http://schemas.microsoft.com/office/drawing/2012/chartStyle" xmlns:a="http://schemas.openxmlformats.org/drawingml/2006/main" id="22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0F8C0D-8BC6-4610-AE6F-5E44F222D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67</Pages>
  <Words>20591</Words>
  <Characters>117375</Characters>
  <Application>Microsoft Office Word</Application>
  <DocSecurity>0</DocSecurity>
  <Lines>978</Lines>
  <Paragraphs>275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godišnji izvještaj o sprovođenju strategije razvoja zdravstva 2023-2027</vt:lpstr>
      <vt:lpstr>godišnji izvještaj o sprovođenju strategije razvoja zdravstva 2023-2027</vt:lpstr>
    </vt:vector>
  </TitlesOfParts>
  <Company/>
  <LinksUpToDate>false</LinksUpToDate>
  <CharactersWithSpaces>137691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godišnji izvještaj o sprovođenju strategije razvoja zdravstva 2023-2027</dc:title>
  <dc:subject/>
  <dc:creator>Zeljko Vukcevic</dc:creator>
  <cp:keywords/>
  <dc:description/>
  <cp:lastModifiedBy>Zeljko Vukcevic</cp:lastModifiedBy>
  <cp:revision>2</cp:revision>
  <dcterms:created xsi:type="dcterms:W3CDTF">2025-07-26T05:18:00Z</dcterms:created>
  <dcterms:modified xsi:type="dcterms:W3CDTF">2025-07-26T05:18:00Z</dcterms:modified>
</cp:coreProperties>
</file>