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E87E4" w14:textId="689A7FDC" w:rsidR="006F5FD0" w:rsidRPr="00571687" w:rsidRDefault="00C03806">
      <w:pPr>
        <w:jc w:val="center"/>
        <w:rPr>
          <w:rStyle w:val="Strong"/>
          <w:sz w:val="28"/>
          <w:szCs w:val="28"/>
          <w:lang w:val="en-GB"/>
        </w:rPr>
      </w:pPr>
      <w:bookmarkStart w:id="0" w:name="_GoBack"/>
      <w:bookmarkEnd w:id="0"/>
      <w:r>
        <w:rPr>
          <w:b/>
          <w:sz w:val="28"/>
          <w:szCs w:val="28"/>
          <w:lang w:val="en-GB"/>
        </w:rPr>
        <w:t xml:space="preserve">CONTRACT </w:t>
      </w:r>
      <w:r w:rsidR="006F5FD0" w:rsidRPr="00571687">
        <w:rPr>
          <w:b/>
          <w:sz w:val="28"/>
          <w:szCs w:val="28"/>
          <w:lang w:val="en-GB"/>
        </w:rPr>
        <w:t>NOTICE</w:t>
      </w:r>
    </w:p>
    <w:p w14:paraId="387868B5" w14:textId="77777777" w:rsidR="008B3887" w:rsidRDefault="008B3887" w:rsidP="007C201A">
      <w:pPr>
        <w:spacing w:beforeAutospacing="1" w:afterAutospacing="1"/>
        <w:rPr>
          <w:b/>
          <w:sz w:val="22"/>
          <w:szCs w:val="22"/>
          <w:u w:val="single"/>
        </w:rPr>
      </w:pPr>
    </w:p>
    <w:p w14:paraId="5B463A74" w14:textId="173992F3" w:rsidR="00EF74CF" w:rsidRPr="00B74D49" w:rsidRDefault="00EF74CF" w:rsidP="00EF74CF">
      <w:pPr>
        <w:outlineLvl w:val="0"/>
        <w:rPr>
          <w:rStyle w:val="Strong"/>
          <w:sz w:val="22"/>
          <w:szCs w:val="22"/>
          <w:u w:val="single"/>
          <w:lang w:val="en-GB"/>
        </w:rPr>
      </w:pPr>
      <w:r w:rsidRPr="00B74D49">
        <w:rPr>
          <w:rStyle w:val="Strong"/>
          <w:sz w:val="22"/>
          <w:szCs w:val="22"/>
          <w:u w:val="single"/>
          <w:lang w:val="en-GB"/>
        </w:rPr>
        <w:t>I.1) Name and address Contracting Authority</w:t>
      </w:r>
    </w:p>
    <w:p w14:paraId="6434A648" w14:textId="77777777" w:rsidR="001851CC" w:rsidRPr="00E81FB1" w:rsidRDefault="00EF74CF" w:rsidP="001851CC">
      <w:pPr>
        <w:snapToGrid w:val="0"/>
        <w:rPr>
          <w:sz w:val="22"/>
          <w:szCs w:val="22"/>
        </w:rPr>
      </w:pPr>
      <w:r w:rsidRPr="00E81FB1">
        <w:rPr>
          <w:rStyle w:val="Strong"/>
          <w:b w:val="0"/>
          <w:sz w:val="22"/>
          <w:szCs w:val="22"/>
          <w:lang w:val="en-GB"/>
        </w:rPr>
        <w:t xml:space="preserve">Official name: </w:t>
      </w:r>
      <w:r w:rsidR="001851CC" w:rsidRPr="00E81FB1">
        <w:rPr>
          <w:sz w:val="22"/>
          <w:szCs w:val="22"/>
        </w:rPr>
        <w:t>Public Works Administration</w:t>
      </w:r>
    </w:p>
    <w:p w14:paraId="303D6D3A" w14:textId="429682C0" w:rsidR="00EF74CF" w:rsidRPr="00D53856" w:rsidRDefault="00EF74CF" w:rsidP="00EF74CF">
      <w:pPr>
        <w:outlineLvl w:val="0"/>
        <w:rPr>
          <w:rStyle w:val="Strong"/>
          <w:b w:val="0"/>
          <w:sz w:val="22"/>
          <w:szCs w:val="22"/>
          <w:lang w:val="en-GB"/>
        </w:rPr>
      </w:pPr>
      <w:r w:rsidRPr="00E81FB1">
        <w:rPr>
          <w:rStyle w:val="Strong"/>
          <w:b w:val="0"/>
          <w:sz w:val="22"/>
          <w:szCs w:val="22"/>
          <w:lang w:val="en-GB"/>
        </w:rPr>
        <w:t xml:space="preserve">Postal address: </w:t>
      </w:r>
      <w:r w:rsidR="00B969A2" w:rsidRPr="00E81FB1">
        <w:rPr>
          <w:rStyle w:val="Strong"/>
          <w:b w:val="0"/>
          <w:sz w:val="22"/>
          <w:szCs w:val="22"/>
          <w:lang w:val="en-GB"/>
        </w:rPr>
        <w:t>A</w:t>
      </w:r>
      <w:proofErr w:type="spellStart"/>
      <w:r w:rsidR="001851CC" w:rsidRPr="00E81FB1">
        <w:rPr>
          <w:sz w:val="22"/>
          <w:szCs w:val="22"/>
        </w:rPr>
        <w:t>rsenija</w:t>
      </w:r>
      <w:proofErr w:type="spellEnd"/>
      <w:r w:rsidR="001851CC" w:rsidRPr="00E81FB1">
        <w:rPr>
          <w:sz w:val="22"/>
          <w:szCs w:val="22"/>
        </w:rPr>
        <w:t xml:space="preserve"> </w:t>
      </w:r>
      <w:proofErr w:type="spellStart"/>
      <w:r w:rsidR="001851CC" w:rsidRPr="00E81FB1">
        <w:rPr>
          <w:sz w:val="22"/>
          <w:szCs w:val="22"/>
        </w:rPr>
        <w:t>Boljevića</w:t>
      </w:r>
      <w:proofErr w:type="spellEnd"/>
      <w:r w:rsidR="00B969A2" w:rsidRPr="00E81FB1">
        <w:rPr>
          <w:sz w:val="22"/>
          <w:szCs w:val="22"/>
        </w:rPr>
        <w:t xml:space="preserve"> </w:t>
      </w:r>
      <w:r w:rsidR="000C19DE" w:rsidRPr="00E81FB1">
        <w:rPr>
          <w:sz w:val="22"/>
          <w:szCs w:val="22"/>
        </w:rPr>
        <w:t xml:space="preserve">street </w:t>
      </w:r>
      <w:r w:rsidR="001851CC" w:rsidRPr="00E81FB1">
        <w:rPr>
          <w:sz w:val="22"/>
          <w:szCs w:val="22"/>
        </w:rPr>
        <w:t xml:space="preserve">2a (City Mall, </w:t>
      </w:r>
      <w:r w:rsidR="000C19DE" w:rsidRPr="00E81FB1">
        <w:rPr>
          <w:sz w:val="22"/>
          <w:szCs w:val="22"/>
        </w:rPr>
        <w:t>3</w:t>
      </w:r>
      <w:r w:rsidR="000C19DE" w:rsidRPr="00E81FB1">
        <w:rPr>
          <w:sz w:val="22"/>
          <w:szCs w:val="22"/>
          <w:vertAlign w:val="superscript"/>
        </w:rPr>
        <w:t>rd</w:t>
      </w:r>
      <w:r w:rsidR="000C19DE" w:rsidRPr="00E81FB1">
        <w:rPr>
          <w:sz w:val="22"/>
          <w:szCs w:val="22"/>
        </w:rPr>
        <w:t xml:space="preserve"> floor</w:t>
      </w:r>
      <w:r w:rsidR="001851CC" w:rsidRPr="00E81FB1">
        <w:rPr>
          <w:sz w:val="22"/>
          <w:szCs w:val="22"/>
        </w:rPr>
        <w:t>)</w:t>
      </w:r>
      <w:r w:rsidRPr="00E81FB1">
        <w:rPr>
          <w:rStyle w:val="Strong"/>
          <w:b w:val="0"/>
          <w:sz w:val="22"/>
          <w:szCs w:val="22"/>
          <w:lang w:val="en-GB"/>
        </w:rPr>
        <w:br/>
        <w:t xml:space="preserve">Town: </w:t>
      </w:r>
      <w:r w:rsidR="001851CC" w:rsidRPr="00E81FB1">
        <w:rPr>
          <w:rStyle w:val="Strong"/>
          <w:b w:val="0"/>
          <w:sz w:val="22"/>
          <w:szCs w:val="22"/>
          <w:lang w:val="en-GB"/>
        </w:rPr>
        <w:t>Podgorica</w:t>
      </w:r>
      <w:r w:rsidRPr="00E81FB1">
        <w:rPr>
          <w:rStyle w:val="Strong"/>
          <w:b w:val="0"/>
          <w:sz w:val="22"/>
          <w:szCs w:val="22"/>
          <w:lang w:val="en-GB"/>
        </w:rPr>
        <w:br/>
        <w:t xml:space="preserve">Postal Code: </w:t>
      </w:r>
      <w:r w:rsidR="001851CC" w:rsidRPr="00E81FB1">
        <w:rPr>
          <w:rStyle w:val="Strong"/>
          <w:b w:val="0"/>
          <w:sz w:val="22"/>
          <w:szCs w:val="22"/>
          <w:lang w:val="en-GB"/>
        </w:rPr>
        <w:t>81000</w:t>
      </w:r>
      <w:r w:rsidRPr="00E81FB1">
        <w:rPr>
          <w:rStyle w:val="Strong"/>
          <w:b w:val="0"/>
          <w:sz w:val="22"/>
          <w:szCs w:val="22"/>
          <w:lang w:val="en-GB"/>
        </w:rPr>
        <w:br/>
        <w:t xml:space="preserve">E-mail: </w:t>
      </w:r>
      <w:r w:rsidR="00691BA5" w:rsidRPr="00E81FB1">
        <w:rPr>
          <w:rStyle w:val="Strong"/>
          <w:b w:val="0"/>
          <w:sz w:val="22"/>
          <w:szCs w:val="22"/>
          <w:lang w:val="en-GB"/>
        </w:rPr>
        <w:t>ujr@ujr.gov.me</w:t>
      </w:r>
      <w:r w:rsidRPr="00E81FB1">
        <w:rPr>
          <w:rStyle w:val="Strong"/>
          <w:b w:val="0"/>
          <w:sz w:val="22"/>
          <w:szCs w:val="22"/>
          <w:lang w:val="en-GB"/>
        </w:rPr>
        <w:br/>
        <w:t xml:space="preserve">Internet address: </w:t>
      </w:r>
      <w:r w:rsidR="00691BA5" w:rsidRPr="00E81FB1">
        <w:rPr>
          <w:rStyle w:val="Strong"/>
          <w:b w:val="0"/>
          <w:sz w:val="22"/>
          <w:szCs w:val="22"/>
          <w:lang w:val="en-GB"/>
        </w:rPr>
        <w:t>www.ujr.gov.me</w:t>
      </w:r>
    </w:p>
    <w:p w14:paraId="2FA4E071" w14:textId="77777777" w:rsidR="008B3887" w:rsidRPr="00C479C2" w:rsidRDefault="00B513FE" w:rsidP="00507141">
      <w:pPr>
        <w:jc w:val="both"/>
        <w:outlineLvl w:val="0"/>
        <w:rPr>
          <w:rStyle w:val="Strong"/>
          <w:b w:val="0"/>
          <w:sz w:val="22"/>
          <w:szCs w:val="22"/>
          <w:highlight w:val="lightGray"/>
          <w:lang w:val="en-GB"/>
        </w:rPr>
      </w:pPr>
      <w:r w:rsidRPr="00C479C2">
        <w:rPr>
          <w:rStyle w:val="Strong"/>
          <w:sz w:val="22"/>
          <w:szCs w:val="22"/>
          <w:highlight w:val="lightGray"/>
          <w:u w:val="single"/>
          <w:lang w:val="en-GB"/>
        </w:rPr>
        <w:br/>
      </w:r>
      <w:r w:rsidRPr="008B3887">
        <w:rPr>
          <w:rStyle w:val="Strong"/>
          <w:sz w:val="22"/>
          <w:szCs w:val="22"/>
          <w:u w:val="single"/>
          <w:lang w:val="en-GB"/>
        </w:rPr>
        <w:t>II.1.1)</w:t>
      </w:r>
      <w:r w:rsidR="007C201A" w:rsidRPr="008B3887">
        <w:rPr>
          <w:rStyle w:val="Strong"/>
          <w:sz w:val="22"/>
          <w:szCs w:val="22"/>
          <w:u w:val="single"/>
          <w:lang w:val="en-GB"/>
        </w:rPr>
        <w:t xml:space="preserve"> </w:t>
      </w:r>
      <w:r w:rsidRPr="008B3887">
        <w:rPr>
          <w:rStyle w:val="Strong"/>
          <w:sz w:val="22"/>
          <w:szCs w:val="22"/>
          <w:u w:val="single"/>
          <w:lang w:val="en-GB"/>
        </w:rPr>
        <w:t>Title:</w:t>
      </w:r>
    </w:p>
    <w:p w14:paraId="211EB328" w14:textId="08654215" w:rsidR="00CF366A" w:rsidRDefault="00691BA5" w:rsidP="00507141">
      <w:pPr>
        <w:jc w:val="both"/>
        <w:outlineLvl w:val="0"/>
        <w:rPr>
          <w:rStyle w:val="Strong"/>
          <w:b w:val="0"/>
          <w:sz w:val="22"/>
          <w:szCs w:val="22"/>
          <w:lang w:val="en-GB"/>
        </w:rPr>
      </w:pPr>
      <w:r w:rsidRPr="00C71D44">
        <w:rPr>
          <w:b/>
          <w:sz w:val="22"/>
          <w:szCs w:val="22"/>
          <w:lang w:val="en-GB"/>
        </w:rPr>
        <w:t xml:space="preserve">MINISTRY OF </w:t>
      </w:r>
      <w:r>
        <w:rPr>
          <w:b/>
          <w:sz w:val="22"/>
          <w:szCs w:val="22"/>
          <w:lang w:val="en-GB"/>
        </w:rPr>
        <w:t xml:space="preserve">ECOLOGY, SPATIAL PLANNING AND URBANISM </w:t>
      </w:r>
      <w:r w:rsidRPr="00C71D44">
        <w:rPr>
          <w:b/>
          <w:sz w:val="22"/>
          <w:szCs w:val="22"/>
          <w:lang w:val="en-GB"/>
        </w:rPr>
        <w:t>MONTENEGRO ECO EFFICIENT BUILDING - II PHASE – WORKS</w:t>
      </w:r>
    </w:p>
    <w:p w14:paraId="2BE5CC7F" w14:textId="77777777" w:rsidR="008B3887" w:rsidRPr="007B234C" w:rsidRDefault="008B3887" w:rsidP="008B3887">
      <w:pPr>
        <w:outlineLvl w:val="0"/>
        <w:rPr>
          <w:rStyle w:val="Strong"/>
          <w:sz w:val="22"/>
          <w:szCs w:val="22"/>
          <w:u w:val="single"/>
          <w:lang w:val="en-GB"/>
        </w:rPr>
      </w:pPr>
      <w:r w:rsidRPr="007B234C">
        <w:rPr>
          <w:rStyle w:val="Strong"/>
          <w:sz w:val="22"/>
          <w:szCs w:val="22"/>
          <w:u w:val="single"/>
          <w:lang w:val="en-GB"/>
        </w:rPr>
        <w:t>II.1.2) Main CPV</w:t>
      </w:r>
      <w:r w:rsidRPr="007B234C">
        <w:rPr>
          <w:rStyle w:val="FootnoteReference"/>
          <w:b/>
          <w:sz w:val="22"/>
          <w:szCs w:val="22"/>
          <w:u w:val="single"/>
          <w:lang w:val="en-GB"/>
        </w:rPr>
        <w:footnoteReference w:id="1"/>
      </w:r>
      <w:r w:rsidRPr="007B234C">
        <w:rPr>
          <w:rStyle w:val="Strong"/>
          <w:sz w:val="22"/>
          <w:szCs w:val="22"/>
          <w:u w:val="single"/>
          <w:lang w:val="en-GB"/>
        </w:rPr>
        <w:t xml:space="preserve"> code</w:t>
      </w:r>
    </w:p>
    <w:p w14:paraId="57BD9A50" w14:textId="3323549F" w:rsidR="00010B32" w:rsidRPr="00D67F00" w:rsidRDefault="00B74D49" w:rsidP="008B3887">
      <w:pPr>
        <w:outlineLvl w:val="0"/>
        <w:rPr>
          <w:rStyle w:val="Strong"/>
          <w:sz w:val="22"/>
          <w:szCs w:val="22"/>
          <w:u w:val="single"/>
          <w:lang w:val="en-GB"/>
        </w:rPr>
      </w:pPr>
      <w:r w:rsidRPr="00B74D49">
        <w:rPr>
          <w:rStyle w:val="Strong"/>
          <w:b w:val="0"/>
          <w:sz w:val="22"/>
          <w:szCs w:val="22"/>
          <w:lang w:val="en-GB"/>
        </w:rPr>
        <w:t>45210000-2</w:t>
      </w:r>
      <w:r w:rsidR="008B3887">
        <w:rPr>
          <w:rStyle w:val="Strong"/>
          <w:b w:val="0"/>
          <w:sz w:val="22"/>
          <w:szCs w:val="22"/>
          <w:lang w:val="en-GB"/>
        </w:rPr>
        <w:t xml:space="preserve"> </w:t>
      </w:r>
      <w:r w:rsidR="00C320E8">
        <w:rPr>
          <w:rStyle w:val="Strong"/>
          <w:b w:val="0"/>
          <w:sz w:val="22"/>
          <w:szCs w:val="22"/>
          <w:lang w:val="en-GB"/>
        </w:rPr>
        <w:t>(Building construction work)</w:t>
      </w:r>
      <w:r w:rsidR="007C201A">
        <w:rPr>
          <w:rStyle w:val="Strong"/>
          <w:b w:val="0"/>
          <w:sz w:val="22"/>
          <w:szCs w:val="22"/>
          <w:lang w:val="en-GB"/>
        </w:rPr>
        <w:br/>
      </w:r>
      <w:r w:rsidR="007C201A">
        <w:rPr>
          <w:rStyle w:val="Strong"/>
          <w:sz w:val="22"/>
          <w:szCs w:val="22"/>
          <w:u w:val="single"/>
          <w:lang w:val="en-GB"/>
        </w:rPr>
        <w:br/>
      </w:r>
      <w:r w:rsidR="00010B32" w:rsidRPr="00D67F00">
        <w:rPr>
          <w:rStyle w:val="Strong"/>
          <w:sz w:val="22"/>
          <w:szCs w:val="22"/>
          <w:u w:val="single"/>
          <w:lang w:val="en-GB"/>
        </w:rPr>
        <w:t>II.1.3) Type of contract</w:t>
      </w:r>
    </w:p>
    <w:p w14:paraId="382700E3" w14:textId="6FD0262D" w:rsidR="00010B32" w:rsidRPr="007B234C" w:rsidRDefault="002C0F2A" w:rsidP="007B234C">
      <w:pPr>
        <w:pStyle w:val="Blockquote"/>
        <w:ind w:left="0"/>
        <w:jc w:val="both"/>
        <w:rPr>
          <w:rStyle w:val="Strong"/>
          <w:b w:val="0"/>
          <w:i/>
          <w:sz w:val="22"/>
          <w:szCs w:val="22"/>
          <w:lang w:val="en-GB"/>
        </w:rPr>
      </w:pPr>
      <w:r w:rsidRPr="002C0F2A">
        <w:rPr>
          <w:rStyle w:val="Emphasis"/>
          <w:i w:val="0"/>
          <w:sz w:val="22"/>
          <w:szCs w:val="22"/>
          <w:lang w:val="en-GB"/>
        </w:rPr>
        <w:t>Works</w:t>
      </w:r>
      <w:r w:rsidR="00010B32">
        <w:rPr>
          <w:rStyle w:val="Emphasis"/>
          <w:i w:val="0"/>
          <w:sz w:val="22"/>
          <w:szCs w:val="22"/>
          <w:lang w:val="en-GB"/>
        </w:rPr>
        <w:t xml:space="preserve"> </w:t>
      </w:r>
    </w:p>
    <w:p w14:paraId="355F962B" w14:textId="301F3452" w:rsidR="00EF74CF" w:rsidRPr="00C54388" w:rsidRDefault="00EF74CF" w:rsidP="00C54388">
      <w:pPr>
        <w:spacing w:before="240" w:after="120"/>
        <w:jc w:val="both"/>
        <w:outlineLvl w:val="0"/>
        <w:rPr>
          <w:rStyle w:val="Strong"/>
          <w:sz w:val="22"/>
          <w:szCs w:val="22"/>
          <w:u w:val="single"/>
          <w:lang w:val="en-GB"/>
        </w:rPr>
      </w:pPr>
      <w:r w:rsidRPr="00C54388">
        <w:rPr>
          <w:rStyle w:val="Strong"/>
          <w:sz w:val="22"/>
          <w:szCs w:val="22"/>
          <w:u w:val="single"/>
          <w:lang w:val="en-GB"/>
        </w:rPr>
        <w:t>II.1.4) Short description of the contract</w:t>
      </w:r>
    </w:p>
    <w:p w14:paraId="63A8BFDD" w14:textId="088A05EA" w:rsidR="002C0F2A" w:rsidRPr="00C54388" w:rsidRDefault="002C0F2A" w:rsidP="00C54388">
      <w:pPr>
        <w:jc w:val="both"/>
        <w:rPr>
          <w:sz w:val="22"/>
          <w:szCs w:val="22"/>
        </w:rPr>
      </w:pPr>
      <w:r w:rsidRPr="00C54388">
        <w:rPr>
          <w:sz w:val="22"/>
          <w:szCs w:val="22"/>
        </w:rPr>
        <w:t xml:space="preserve">Eco </w:t>
      </w:r>
      <w:proofErr w:type="spellStart"/>
      <w:r w:rsidRPr="00C54388">
        <w:rPr>
          <w:sz w:val="22"/>
          <w:szCs w:val="22"/>
        </w:rPr>
        <w:t>effcient</w:t>
      </w:r>
      <w:proofErr w:type="spellEnd"/>
      <w:r w:rsidRPr="00C54388">
        <w:rPr>
          <w:sz w:val="22"/>
          <w:szCs w:val="22"/>
        </w:rPr>
        <w:t xml:space="preserve"> building for the purpose of Government of Montenegro is located in DUP </w:t>
      </w:r>
      <w:proofErr w:type="gramStart"/>
      <w:r w:rsidR="00C54388" w:rsidRPr="00C54388">
        <w:rPr>
          <w:sz w:val="22"/>
          <w:szCs w:val="22"/>
        </w:rPr>
        <w:t>of ”</w:t>
      </w:r>
      <w:r w:rsidRPr="00C54388">
        <w:rPr>
          <w:sz w:val="22"/>
          <w:szCs w:val="22"/>
        </w:rPr>
        <w:t>University</w:t>
      </w:r>
      <w:proofErr w:type="gramEnd"/>
      <w:r w:rsidRPr="00C54388">
        <w:rPr>
          <w:sz w:val="22"/>
          <w:szCs w:val="22"/>
        </w:rPr>
        <w:t xml:space="preserve"> </w:t>
      </w:r>
      <w:proofErr w:type="spellStart"/>
      <w:r w:rsidRPr="00C54388">
        <w:rPr>
          <w:sz w:val="22"/>
          <w:szCs w:val="22"/>
        </w:rPr>
        <w:t>centre</w:t>
      </w:r>
      <w:proofErr w:type="spellEnd"/>
      <w:r w:rsidRPr="00C54388">
        <w:rPr>
          <w:sz w:val="22"/>
          <w:szCs w:val="22"/>
        </w:rPr>
        <w:t>”, urban plot no. 9. The surface of the plot is approximately 5.616</w:t>
      </w:r>
      <w:r w:rsidR="00C54388" w:rsidRPr="00C54388">
        <w:rPr>
          <w:sz w:val="22"/>
          <w:szCs w:val="22"/>
        </w:rPr>
        <w:t xml:space="preserve"> </w:t>
      </w:r>
      <w:r w:rsidRPr="00C54388">
        <w:rPr>
          <w:sz w:val="22"/>
          <w:szCs w:val="22"/>
        </w:rPr>
        <w:t>m</w:t>
      </w:r>
      <w:r w:rsidRPr="00C54388">
        <w:rPr>
          <w:sz w:val="22"/>
          <w:szCs w:val="22"/>
          <w:vertAlign w:val="superscript"/>
        </w:rPr>
        <w:t>2</w:t>
      </w:r>
      <w:r w:rsidRPr="00C54388">
        <w:rPr>
          <w:sz w:val="22"/>
          <w:szCs w:val="22"/>
        </w:rPr>
        <w:t>.</w:t>
      </w:r>
    </w:p>
    <w:p w14:paraId="367C71F6" w14:textId="1AC78685" w:rsidR="002C0F2A" w:rsidRPr="00C54388" w:rsidRDefault="002C0F2A" w:rsidP="00C54388">
      <w:pPr>
        <w:jc w:val="both"/>
        <w:rPr>
          <w:sz w:val="22"/>
          <w:szCs w:val="22"/>
        </w:rPr>
      </w:pPr>
      <w:r w:rsidRPr="00C54388">
        <w:rPr>
          <w:sz w:val="22"/>
          <w:szCs w:val="22"/>
        </w:rPr>
        <w:t>The building consists of underground (garage), ground floor and two upper floors. The gross area of building is approximately 10.020</w:t>
      </w:r>
      <w:r w:rsidR="00C54388" w:rsidRPr="00C54388">
        <w:rPr>
          <w:sz w:val="22"/>
          <w:szCs w:val="22"/>
        </w:rPr>
        <w:t xml:space="preserve"> </w:t>
      </w:r>
      <w:r w:rsidRPr="00C54388">
        <w:rPr>
          <w:sz w:val="22"/>
          <w:szCs w:val="22"/>
        </w:rPr>
        <w:t>m</w:t>
      </w:r>
      <w:r w:rsidR="00C54388" w:rsidRPr="00C54388">
        <w:rPr>
          <w:sz w:val="22"/>
          <w:szCs w:val="22"/>
          <w:vertAlign w:val="superscript"/>
        </w:rPr>
        <w:t>2</w:t>
      </w:r>
      <w:r w:rsidR="00C54388" w:rsidRPr="00C54388">
        <w:rPr>
          <w:sz w:val="22"/>
          <w:szCs w:val="22"/>
        </w:rPr>
        <w:t>, of</w:t>
      </w:r>
      <w:r w:rsidRPr="00C54388">
        <w:rPr>
          <w:sz w:val="22"/>
          <w:szCs w:val="22"/>
        </w:rPr>
        <w:t xml:space="preserve"> which the gross area of underground </w:t>
      </w:r>
      <w:r w:rsidR="00C54388" w:rsidRPr="00C54388">
        <w:rPr>
          <w:sz w:val="22"/>
          <w:szCs w:val="22"/>
        </w:rPr>
        <w:t xml:space="preserve">is 4.660 </w:t>
      </w:r>
      <w:r w:rsidRPr="00C54388">
        <w:rPr>
          <w:sz w:val="22"/>
          <w:szCs w:val="22"/>
        </w:rPr>
        <w:t>m</w:t>
      </w:r>
      <w:r w:rsidR="00C54388" w:rsidRPr="00C54388">
        <w:rPr>
          <w:sz w:val="22"/>
          <w:szCs w:val="22"/>
          <w:vertAlign w:val="superscript"/>
        </w:rPr>
        <w:t>2</w:t>
      </w:r>
      <w:r w:rsidR="00C54388" w:rsidRPr="00C54388">
        <w:rPr>
          <w:sz w:val="22"/>
          <w:szCs w:val="22"/>
        </w:rPr>
        <w:t>, and</w:t>
      </w:r>
      <w:r w:rsidRPr="00C54388">
        <w:rPr>
          <w:sz w:val="22"/>
          <w:szCs w:val="22"/>
        </w:rPr>
        <w:t xml:space="preserve"> the gross area of floors is </w:t>
      </w:r>
      <w:r w:rsidR="00C54388" w:rsidRPr="00C54388">
        <w:rPr>
          <w:sz w:val="22"/>
          <w:szCs w:val="22"/>
        </w:rPr>
        <w:t xml:space="preserve">approximately 5.360 </w:t>
      </w:r>
      <w:r w:rsidRPr="00C54388">
        <w:rPr>
          <w:sz w:val="22"/>
          <w:szCs w:val="22"/>
        </w:rPr>
        <w:t>m</w:t>
      </w:r>
      <w:r w:rsidRPr="00C54388">
        <w:rPr>
          <w:sz w:val="22"/>
          <w:szCs w:val="22"/>
          <w:vertAlign w:val="superscript"/>
        </w:rPr>
        <w:t>2</w:t>
      </w:r>
      <w:r w:rsidRPr="00C54388">
        <w:rPr>
          <w:sz w:val="22"/>
          <w:szCs w:val="22"/>
        </w:rPr>
        <w:t>.</w:t>
      </w:r>
    </w:p>
    <w:p w14:paraId="530E3B52" w14:textId="2DFF655F" w:rsidR="002C0F2A" w:rsidRPr="00C54388" w:rsidRDefault="002C0F2A" w:rsidP="002C0F2A">
      <w:pPr>
        <w:jc w:val="both"/>
        <w:rPr>
          <w:sz w:val="22"/>
          <w:szCs w:val="22"/>
          <w:highlight w:val="cyan"/>
        </w:rPr>
      </w:pPr>
      <w:r w:rsidRPr="00C54388">
        <w:rPr>
          <w:sz w:val="22"/>
          <w:szCs w:val="22"/>
        </w:rPr>
        <w:t>In accordance with the Design the capacity of the building is 210 employees. The underground part of building is 98 parking places capacity and premises for technical use.</w:t>
      </w:r>
    </w:p>
    <w:p w14:paraId="6406AB34" w14:textId="12692459" w:rsidR="002C0F2A" w:rsidRPr="0001614F" w:rsidRDefault="002C0F2A" w:rsidP="002C0F2A">
      <w:pPr>
        <w:jc w:val="both"/>
        <w:rPr>
          <w:sz w:val="22"/>
          <w:szCs w:val="22"/>
        </w:rPr>
      </w:pPr>
      <w:r w:rsidRPr="0001614F">
        <w:rPr>
          <w:sz w:val="22"/>
          <w:szCs w:val="22"/>
        </w:rPr>
        <w:t xml:space="preserve">On the ground floor premises for </w:t>
      </w:r>
      <w:r w:rsidR="00C54388" w:rsidRPr="0001614F">
        <w:rPr>
          <w:sz w:val="22"/>
          <w:szCs w:val="22"/>
        </w:rPr>
        <w:t>MESPU</w:t>
      </w:r>
      <w:r w:rsidRPr="0001614F">
        <w:rPr>
          <w:sz w:val="22"/>
          <w:szCs w:val="22"/>
        </w:rPr>
        <w:t xml:space="preserve"> and University are designed, </w:t>
      </w:r>
      <w:r w:rsidR="00C54388" w:rsidRPr="0001614F">
        <w:rPr>
          <w:sz w:val="22"/>
          <w:szCs w:val="22"/>
        </w:rPr>
        <w:t>precisely</w:t>
      </w:r>
      <w:r w:rsidRPr="0001614F">
        <w:rPr>
          <w:sz w:val="22"/>
          <w:szCs w:val="22"/>
        </w:rPr>
        <w:t xml:space="preserve"> main hall, bar and room for reception of external mail for the Ministry and classrooms of total </w:t>
      </w:r>
      <w:r w:rsidR="00C54388" w:rsidRPr="0001614F">
        <w:rPr>
          <w:sz w:val="22"/>
          <w:szCs w:val="22"/>
        </w:rPr>
        <w:t>capacity of 100</w:t>
      </w:r>
      <w:r w:rsidRPr="0001614F">
        <w:rPr>
          <w:sz w:val="22"/>
          <w:szCs w:val="22"/>
        </w:rPr>
        <w:t xml:space="preserve"> </w:t>
      </w:r>
      <w:r w:rsidR="00C54388" w:rsidRPr="0001614F">
        <w:rPr>
          <w:sz w:val="22"/>
          <w:szCs w:val="22"/>
        </w:rPr>
        <w:t>seats, reference</w:t>
      </w:r>
      <w:r w:rsidRPr="0001614F">
        <w:rPr>
          <w:sz w:val="22"/>
          <w:szCs w:val="22"/>
        </w:rPr>
        <w:t xml:space="preserve"> library and a teaching staff meeting room for the University.</w:t>
      </w:r>
    </w:p>
    <w:p w14:paraId="6EE2D1BD" w14:textId="119306A3" w:rsidR="002C0F2A" w:rsidRPr="0001614F" w:rsidRDefault="002C0F2A" w:rsidP="002C0F2A">
      <w:pPr>
        <w:jc w:val="both"/>
        <w:rPr>
          <w:sz w:val="22"/>
          <w:szCs w:val="22"/>
        </w:rPr>
      </w:pPr>
      <w:r w:rsidRPr="0001614F">
        <w:rPr>
          <w:sz w:val="22"/>
          <w:szCs w:val="22"/>
        </w:rPr>
        <w:t xml:space="preserve">On the first floor, which is the main floor of the </w:t>
      </w:r>
      <w:r w:rsidR="00C54388" w:rsidRPr="0001614F">
        <w:rPr>
          <w:sz w:val="22"/>
          <w:szCs w:val="22"/>
        </w:rPr>
        <w:t>building, 49</w:t>
      </w:r>
      <w:r w:rsidRPr="0001614F">
        <w:rPr>
          <w:sz w:val="22"/>
          <w:szCs w:val="22"/>
        </w:rPr>
        <w:t xml:space="preserve"> </w:t>
      </w:r>
      <w:r w:rsidR="00C54388" w:rsidRPr="0001614F">
        <w:rPr>
          <w:sz w:val="22"/>
          <w:szCs w:val="22"/>
        </w:rPr>
        <w:t>offices,</w:t>
      </w:r>
      <w:r w:rsidRPr="0001614F">
        <w:rPr>
          <w:sz w:val="22"/>
          <w:szCs w:val="22"/>
        </w:rPr>
        <w:t xml:space="preserve"> 8 cabinets for </w:t>
      </w:r>
      <w:r w:rsidR="00C54388" w:rsidRPr="0001614F">
        <w:rPr>
          <w:sz w:val="22"/>
          <w:szCs w:val="22"/>
        </w:rPr>
        <w:t>secretaries,</w:t>
      </w:r>
      <w:r w:rsidRPr="0001614F">
        <w:rPr>
          <w:sz w:val="22"/>
          <w:szCs w:val="22"/>
        </w:rPr>
        <w:t xml:space="preserve"> deputies and advisors of ministers as well as three meeting rooms are designed.</w:t>
      </w:r>
    </w:p>
    <w:p w14:paraId="0E95366D" w14:textId="1C68D5BD" w:rsidR="002C0F2A" w:rsidRPr="0001614F" w:rsidRDefault="002C0F2A" w:rsidP="002C0F2A">
      <w:pPr>
        <w:jc w:val="both"/>
        <w:rPr>
          <w:sz w:val="22"/>
          <w:szCs w:val="22"/>
        </w:rPr>
      </w:pPr>
      <w:r w:rsidRPr="0001614F">
        <w:rPr>
          <w:sz w:val="22"/>
          <w:szCs w:val="22"/>
        </w:rPr>
        <w:t>Following premises a</w:t>
      </w:r>
      <w:r w:rsidR="00C54388" w:rsidRPr="0001614F">
        <w:rPr>
          <w:sz w:val="22"/>
          <w:szCs w:val="22"/>
        </w:rPr>
        <w:t xml:space="preserve">re planned on the second floor: </w:t>
      </w:r>
      <w:r w:rsidRPr="0001614F">
        <w:rPr>
          <w:sz w:val="22"/>
          <w:szCs w:val="22"/>
        </w:rPr>
        <w:t xml:space="preserve">two cabinets for the minister with offices for administrative assistants and meeting rooms, two cabinets for deputies of ministers and their secretaries, </w:t>
      </w:r>
      <w:r w:rsidRPr="0001614F">
        <w:rPr>
          <w:sz w:val="22"/>
          <w:szCs w:val="22"/>
        </w:rPr>
        <w:lastRenderedPageBreak/>
        <w:t xml:space="preserve">auditorium with 75 seats with four permanent halls for interpreters and technique, a conference hall within the auditorium of 30 seats, </w:t>
      </w:r>
      <w:r w:rsidR="0001614F" w:rsidRPr="0001614F">
        <w:rPr>
          <w:sz w:val="22"/>
          <w:szCs w:val="22"/>
        </w:rPr>
        <w:t>two meeting rooms with 30 seats.</w:t>
      </w:r>
    </w:p>
    <w:p w14:paraId="29679C0B" w14:textId="7317123B" w:rsidR="002C0F2A" w:rsidRPr="0001614F" w:rsidRDefault="002C0F2A" w:rsidP="00C54388">
      <w:pPr>
        <w:pStyle w:val="PRAGHeading2"/>
        <w:numPr>
          <w:ilvl w:val="0"/>
          <w:numId w:val="0"/>
        </w:numPr>
        <w:jc w:val="both"/>
        <w:rPr>
          <w:sz w:val="22"/>
          <w:szCs w:val="22"/>
        </w:rPr>
      </w:pPr>
      <w:r w:rsidRPr="0001614F">
        <w:rPr>
          <w:sz w:val="22"/>
          <w:szCs w:val="22"/>
        </w:rPr>
        <w:t>The implementation of project is planned in two phases.</w:t>
      </w:r>
    </w:p>
    <w:p w14:paraId="06DA1343" w14:textId="639BA1D4" w:rsidR="002C0F2A" w:rsidRPr="0001614F" w:rsidRDefault="002C0F2A" w:rsidP="002C0F2A">
      <w:pPr>
        <w:pStyle w:val="PRAGHeading2"/>
        <w:numPr>
          <w:ilvl w:val="0"/>
          <w:numId w:val="0"/>
        </w:numPr>
        <w:jc w:val="both"/>
        <w:rPr>
          <w:sz w:val="22"/>
          <w:szCs w:val="22"/>
        </w:rPr>
      </w:pPr>
      <w:r w:rsidRPr="001A1B3E">
        <w:rPr>
          <w:sz w:val="22"/>
          <w:szCs w:val="22"/>
        </w:rPr>
        <w:t>Phase I</w:t>
      </w:r>
      <w:r w:rsidRPr="0001614F">
        <w:rPr>
          <w:sz w:val="22"/>
          <w:szCs w:val="22"/>
        </w:rPr>
        <w:t xml:space="preserve"> – works of phase I are related to: making of concrete and steel construction of the building, construction of </w:t>
      </w:r>
      <w:r w:rsidR="0001614F" w:rsidRPr="0001614F">
        <w:rPr>
          <w:sz w:val="22"/>
          <w:szCs w:val="22"/>
        </w:rPr>
        <w:t>power</w:t>
      </w:r>
      <w:r w:rsidRPr="0001614F">
        <w:rPr>
          <w:sz w:val="22"/>
          <w:szCs w:val="22"/>
        </w:rPr>
        <w:t xml:space="preserve"> block, wooden construction, installation of plumbing and sewer, landscaping with electrical installations of high voltage, drainage of the facility as well</w:t>
      </w:r>
      <w:r w:rsidR="0001614F" w:rsidRPr="0001614F">
        <w:rPr>
          <w:sz w:val="22"/>
          <w:szCs w:val="22"/>
        </w:rPr>
        <w:t xml:space="preserve"> as final works, except façade.</w:t>
      </w:r>
    </w:p>
    <w:p w14:paraId="7721ACD4" w14:textId="55F43032" w:rsidR="002C0F2A" w:rsidRPr="0001614F" w:rsidRDefault="002C0F2A" w:rsidP="002C0F2A">
      <w:pPr>
        <w:pStyle w:val="PRAGHeading2"/>
        <w:numPr>
          <w:ilvl w:val="0"/>
          <w:numId w:val="0"/>
        </w:numPr>
        <w:jc w:val="both"/>
        <w:rPr>
          <w:sz w:val="22"/>
          <w:szCs w:val="22"/>
        </w:rPr>
      </w:pPr>
      <w:r w:rsidRPr="001A1B3E">
        <w:rPr>
          <w:sz w:val="22"/>
          <w:szCs w:val="22"/>
        </w:rPr>
        <w:t xml:space="preserve">Phase II </w:t>
      </w:r>
      <w:r w:rsidRPr="0001614F">
        <w:rPr>
          <w:sz w:val="22"/>
          <w:szCs w:val="22"/>
        </w:rPr>
        <w:t xml:space="preserve">– works of phase II are related to: installation </w:t>
      </w:r>
      <w:r w:rsidR="00C54388" w:rsidRPr="0001614F">
        <w:rPr>
          <w:sz w:val="22"/>
          <w:szCs w:val="22"/>
        </w:rPr>
        <w:t>of façade</w:t>
      </w:r>
      <w:r w:rsidRPr="0001614F">
        <w:rPr>
          <w:sz w:val="22"/>
          <w:szCs w:val="22"/>
        </w:rPr>
        <w:t xml:space="preserve">, water </w:t>
      </w:r>
      <w:r w:rsidR="00C54388" w:rsidRPr="0001614F">
        <w:rPr>
          <w:sz w:val="22"/>
          <w:szCs w:val="22"/>
        </w:rPr>
        <w:t>tank, installation</w:t>
      </w:r>
      <w:r w:rsidRPr="0001614F">
        <w:rPr>
          <w:sz w:val="22"/>
          <w:szCs w:val="22"/>
        </w:rPr>
        <w:t xml:space="preserve"> works in the building and landscaping works- installation works of low and high voltage, sprinkler system and thermo-technical installations as well </w:t>
      </w:r>
      <w:r w:rsidR="00C54388" w:rsidRPr="0001614F">
        <w:rPr>
          <w:sz w:val="22"/>
          <w:szCs w:val="22"/>
        </w:rPr>
        <w:t>as installation</w:t>
      </w:r>
      <w:r w:rsidRPr="0001614F">
        <w:rPr>
          <w:sz w:val="22"/>
          <w:szCs w:val="22"/>
        </w:rPr>
        <w:t xml:space="preserve"> of equipment, devices and plants</w:t>
      </w:r>
      <w:r w:rsidR="00C54388" w:rsidRPr="0001614F">
        <w:rPr>
          <w:sz w:val="22"/>
          <w:szCs w:val="22"/>
        </w:rPr>
        <w:t>.</w:t>
      </w:r>
    </w:p>
    <w:p w14:paraId="0729529B" w14:textId="6050C121" w:rsidR="00C54388" w:rsidRPr="0001614F" w:rsidRDefault="00C54388" w:rsidP="00C54388">
      <w:pPr>
        <w:jc w:val="both"/>
        <w:rPr>
          <w:sz w:val="22"/>
          <w:szCs w:val="22"/>
          <w:lang w:val="en-GB"/>
        </w:rPr>
      </w:pPr>
      <w:r w:rsidRPr="0001614F">
        <w:rPr>
          <w:sz w:val="22"/>
          <w:szCs w:val="22"/>
          <w:lang w:val="en-GB"/>
        </w:rPr>
        <w:t>In the previous period, part of phase I works, which among others includes construction of reinforced concrete and steel structures</w:t>
      </w:r>
      <w:r w:rsidR="0001614F" w:rsidRPr="0001614F">
        <w:rPr>
          <w:sz w:val="22"/>
          <w:szCs w:val="22"/>
          <w:lang w:val="en-GB"/>
        </w:rPr>
        <w:t>,</w:t>
      </w:r>
      <w:r w:rsidRPr="0001614F">
        <w:rPr>
          <w:sz w:val="22"/>
          <w:szCs w:val="22"/>
          <w:lang w:val="en-GB"/>
        </w:rPr>
        <w:t xml:space="preserve"> were completed. Continuation of remaining phase I works is only possible in parallel or after execution of works of phase II, so, </w:t>
      </w:r>
      <w:r w:rsidR="0001614F" w:rsidRPr="0001614F">
        <w:rPr>
          <w:sz w:val="22"/>
          <w:szCs w:val="22"/>
          <w:lang w:val="en-GB"/>
        </w:rPr>
        <w:t>the subject of this contract shall be remaining works of the phase I (construction and finishing works, water supply, sewerage installations, power block and landscaping) and the phase II works.</w:t>
      </w:r>
    </w:p>
    <w:p w14:paraId="5A4A8459" w14:textId="77777777" w:rsidR="002C0F2A" w:rsidRPr="00C54388" w:rsidRDefault="002C0F2A" w:rsidP="002C0F2A">
      <w:pPr>
        <w:pStyle w:val="PRAGHeading2"/>
        <w:numPr>
          <w:ilvl w:val="0"/>
          <w:numId w:val="0"/>
        </w:numPr>
        <w:jc w:val="both"/>
        <w:rPr>
          <w:sz w:val="22"/>
          <w:szCs w:val="22"/>
          <w:lang w:val="en-GB"/>
        </w:rPr>
      </w:pPr>
      <w:r w:rsidRPr="0001614F">
        <w:rPr>
          <w:sz w:val="22"/>
          <w:szCs w:val="22"/>
          <w:lang w:val="en-GB"/>
        </w:rPr>
        <w:t>The contract will be implemented under FIDIC Conditions of Contract for Construction for Building and Engineering Works Designed by the Employer” (First Edition 1999; FIDIC “Red Book”).</w:t>
      </w:r>
    </w:p>
    <w:p w14:paraId="33FFDFE9" w14:textId="4EFB0680" w:rsidR="00DB35A9" w:rsidRPr="00375558" w:rsidRDefault="00B513FE" w:rsidP="00DB35A9">
      <w:pPr>
        <w:outlineLvl w:val="0"/>
        <w:rPr>
          <w:rStyle w:val="Strong"/>
          <w:sz w:val="22"/>
          <w:szCs w:val="22"/>
          <w:u w:val="single"/>
          <w:lang w:val="en-GB"/>
        </w:rPr>
      </w:pPr>
      <w:r w:rsidRPr="00C479C2">
        <w:rPr>
          <w:rStyle w:val="Strong"/>
          <w:sz w:val="22"/>
          <w:szCs w:val="22"/>
          <w:highlight w:val="lightGray"/>
          <w:lang w:val="en-GB"/>
        </w:rPr>
        <w:br/>
      </w:r>
      <w:r w:rsidR="00DB35A9" w:rsidRPr="00375558">
        <w:rPr>
          <w:rStyle w:val="Strong"/>
          <w:sz w:val="22"/>
          <w:szCs w:val="22"/>
          <w:u w:val="single"/>
          <w:lang w:val="en-GB"/>
        </w:rPr>
        <w:t>IV.1</w:t>
      </w:r>
      <w:r w:rsidR="00DB35A9">
        <w:rPr>
          <w:rStyle w:val="Strong"/>
          <w:sz w:val="22"/>
          <w:szCs w:val="22"/>
          <w:u w:val="single"/>
          <w:lang w:val="en-GB"/>
        </w:rPr>
        <w:t>.1.</w:t>
      </w:r>
      <w:r w:rsidR="00DB35A9" w:rsidRPr="00375558">
        <w:rPr>
          <w:rStyle w:val="Strong"/>
          <w:sz w:val="22"/>
          <w:szCs w:val="22"/>
          <w:u w:val="single"/>
          <w:lang w:val="en-GB"/>
        </w:rPr>
        <w:t xml:space="preserve">) </w:t>
      </w:r>
      <w:r w:rsidR="00DB35A9">
        <w:rPr>
          <w:rStyle w:val="Strong"/>
          <w:sz w:val="22"/>
          <w:szCs w:val="22"/>
          <w:u w:val="single"/>
          <w:lang w:val="en-GB"/>
        </w:rPr>
        <w:t xml:space="preserve">Type of </w:t>
      </w:r>
      <w:r w:rsidR="00DB35A9" w:rsidRPr="00375558">
        <w:rPr>
          <w:rStyle w:val="Strong"/>
          <w:sz w:val="22"/>
          <w:szCs w:val="22"/>
          <w:u w:val="single"/>
          <w:lang w:val="en-GB"/>
        </w:rPr>
        <w:t>Procedure</w:t>
      </w:r>
    </w:p>
    <w:p w14:paraId="7A3DC070" w14:textId="7BE560AF" w:rsidR="00DB35A9" w:rsidRPr="003C10AA" w:rsidRDefault="00DB35A9" w:rsidP="00DB35A9">
      <w:pPr>
        <w:outlineLvl w:val="0"/>
        <w:rPr>
          <w:rStyle w:val="Strong"/>
          <w:b w:val="0"/>
          <w:sz w:val="22"/>
          <w:szCs w:val="22"/>
          <w:u w:val="single"/>
          <w:lang w:val="en-GB"/>
        </w:rPr>
      </w:pPr>
      <w:r w:rsidRPr="00F06933">
        <w:rPr>
          <w:rStyle w:val="Strong"/>
          <w:b w:val="0"/>
          <w:sz w:val="22"/>
          <w:szCs w:val="22"/>
          <w:u w:val="single"/>
          <w:lang w:val="en-GB"/>
        </w:rPr>
        <w:t>Open</w:t>
      </w:r>
      <w:r>
        <w:rPr>
          <w:rStyle w:val="Strong"/>
          <w:b w:val="0"/>
          <w:sz w:val="22"/>
          <w:szCs w:val="22"/>
          <w:u w:val="single"/>
          <w:lang w:val="en-GB"/>
        </w:rPr>
        <w:br/>
      </w:r>
    </w:p>
    <w:p w14:paraId="2FB0BEEE" w14:textId="713B4BB3" w:rsidR="00EF74CF" w:rsidRPr="00C479C2" w:rsidRDefault="00EF74CF" w:rsidP="00EF74CF">
      <w:pPr>
        <w:outlineLvl w:val="0"/>
        <w:rPr>
          <w:rStyle w:val="Strong"/>
          <w:sz w:val="22"/>
          <w:szCs w:val="22"/>
          <w:highlight w:val="lightGray"/>
          <w:u w:val="single"/>
          <w:lang w:val="en-GB"/>
        </w:rPr>
      </w:pPr>
      <w:r w:rsidRPr="007C201A">
        <w:rPr>
          <w:rStyle w:val="Strong"/>
          <w:sz w:val="22"/>
          <w:szCs w:val="22"/>
          <w:u w:val="single"/>
          <w:lang w:val="en-GB"/>
        </w:rPr>
        <w:t>II.1.6) Information about lots</w:t>
      </w:r>
    </w:p>
    <w:p w14:paraId="2A9982F5" w14:textId="0B9EE49C" w:rsidR="00EF74CF" w:rsidRPr="008B3887" w:rsidRDefault="00EF74CF" w:rsidP="00EF74CF">
      <w:pPr>
        <w:outlineLvl w:val="0"/>
        <w:rPr>
          <w:rStyle w:val="Strong"/>
          <w:b w:val="0"/>
          <w:sz w:val="22"/>
          <w:szCs w:val="22"/>
          <w:lang w:val="sr-Latn-ME"/>
        </w:rPr>
      </w:pPr>
      <w:r w:rsidRPr="008B3887">
        <w:rPr>
          <w:rStyle w:val="Strong"/>
          <w:b w:val="0"/>
          <w:sz w:val="22"/>
          <w:szCs w:val="22"/>
          <w:lang w:val="en-GB"/>
        </w:rPr>
        <w:t>This contract is divided into lots:</w:t>
      </w:r>
      <w:r w:rsidRPr="008B3887">
        <w:rPr>
          <w:rStyle w:val="Strong"/>
          <w:sz w:val="22"/>
          <w:szCs w:val="22"/>
          <w:lang w:val="en-GB"/>
        </w:rPr>
        <w:t xml:space="preserve"> </w:t>
      </w:r>
      <w:r w:rsidRPr="008B3887">
        <w:rPr>
          <w:rStyle w:val="Strong"/>
          <w:b w:val="0"/>
          <w:sz w:val="22"/>
          <w:szCs w:val="22"/>
          <w:lang w:val="en-GB"/>
        </w:rPr>
        <w:t>no</w:t>
      </w:r>
    </w:p>
    <w:p w14:paraId="3F22C197" w14:textId="4A799797" w:rsidR="00DB35A9" w:rsidRPr="00D67F00" w:rsidRDefault="00045773" w:rsidP="007B234C">
      <w:pPr>
        <w:outlineLvl w:val="0"/>
        <w:rPr>
          <w:b/>
          <w:sz w:val="22"/>
          <w:szCs w:val="22"/>
          <w:u w:val="single"/>
        </w:rPr>
      </w:pPr>
      <w:r>
        <w:rPr>
          <w:rStyle w:val="Strong"/>
          <w:sz w:val="22"/>
          <w:szCs w:val="22"/>
          <w:u w:val="single"/>
        </w:rPr>
        <w:br/>
      </w:r>
      <w:r w:rsidR="00297B55" w:rsidRPr="00D67F00">
        <w:rPr>
          <w:rStyle w:val="Strong"/>
          <w:sz w:val="22"/>
          <w:szCs w:val="22"/>
          <w:u w:val="single"/>
        </w:rPr>
        <w:t>CALL FOR TENDER: INFORMATION PER LOT</w:t>
      </w:r>
    </w:p>
    <w:p w14:paraId="7579633B" w14:textId="2D1B2034" w:rsidR="00EF74CF" w:rsidRPr="00C479C2" w:rsidRDefault="00EF74CF" w:rsidP="00EF74CF">
      <w:pPr>
        <w:outlineLvl w:val="0"/>
        <w:rPr>
          <w:rStyle w:val="Strong"/>
          <w:sz w:val="22"/>
          <w:szCs w:val="22"/>
          <w:highlight w:val="lightGray"/>
          <w:u w:val="single"/>
        </w:rPr>
      </w:pPr>
      <w:r w:rsidRPr="00D67F00">
        <w:rPr>
          <w:rStyle w:val="Strong"/>
          <w:sz w:val="22"/>
          <w:szCs w:val="22"/>
          <w:u w:val="single"/>
        </w:rPr>
        <w:t>II.2) Description</w:t>
      </w:r>
      <w:r w:rsidR="00D67F00">
        <w:rPr>
          <w:rStyle w:val="Strong"/>
          <w:sz w:val="22"/>
          <w:szCs w:val="22"/>
          <w:u w:val="single"/>
        </w:rPr>
        <w:br/>
      </w:r>
      <w:r w:rsidR="003C10AA">
        <w:rPr>
          <w:rStyle w:val="Strong"/>
          <w:sz w:val="22"/>
          <w:szCs w:val="22"/>
        </w:rPr>
        <w:br/>
      </w:r>
      <w:r w:rsidRPr="00D67F00">
        <w:rPr>
          <w:rStyle w:val="Strong"/>
          <w:sz w:val="22"/>
          <w:szCs w:val="22"/>
          <w:u w:val="single"/>
        </w:rPr>
        <w:t>II.2.3) Place performance</w:t>
      </w:r>
    </w:p>
    <w:p w14:paraId="4CE0C066" w14:textId="61760964" w:rsidR="00EF74CF" w:rsidRDefault="00CC6D8C" w:rsidP="00EF74CF">
      <w:pPr>
        <w:outlineLvl w:val="0"/>
        <w:rPr>
          <w:rStyle w:val="Strong"/>
          <w:b w:val="0"/>
          <w:sz w:val="22"/>
          <w:szCs w:val="22"/>
          <w:lang w:val="en-GB"/>
        </w:rPr>
      </w:pPr>
      <w:r w:rsidRPr="008B3887">
        <w:rPr>
          <w:rStyle w:val="Strong"/>
          <w:b w:val="0"/>
          <w:sz w:val="22"/>
          <w:szCs w:val="22"/>
          <w:lang w:val="en-GB"/>
        </w:rPr>
        <w:t>Geographical zone benefitting from the action</w:t>
      </w:r>
      <w:r w:rsidR="00EF74CF" w:rsidRPr="008B3887">
        <w:rPr>
          <w:rStyle w:val="Strong"/>
          <w:b w:val="0"/>
          <w:sz w:val="22"/>
          <w:szCs w:val="22"/>
          <w:lang w:val="en-GB"/>
        </w:rPr>
        <w:t xml:space="preserve">: </w:t>
      </w:r>
      <w:r w:rsidR="00F06933" w:rsidRPr="008B3887">
        <w:rPr>
          <w:rStyle w:val="Strong"/>
          <w:b w:val="0"/>
          <w:sz w:val="22"/>
          <w:szCs w:val="22"/>
          <w:lang w:val="en-GB"/>
        </w:rPr>
        <w:t>Podgorica</w:t>
      </w:r>
      <w:r w:rsidR="000C19DE">
        <w:rPr>
          <w:rStyle w:val="Strong"/>
          <w:b w:val="0"/>
          <w:sz w:val="22"/>
          <w:szCs w:val="22"/>
          <w:lang w:val="en-GB"/>
        </w:rPr>
        <w:t xml:space="preserve">, </w:t>
      </w:r>
      <w:r w:rsidR="00F06933" w:rsidRPr="008B3887">
        <w:rPr>
          <w:rStyle w:val="Strong"/>
          <w:b w:val="0"/>
          <w:sz w:val="22"/>
          <w:szCs w:val="22"/>
          <w:lang w:val="en-GB"/>
        </w:rPr>
        <w:t>Montenegro</w:t>
      </w:r>
    </w:p>
    <w:p w14:paraId="6541ED88" w14:textId="208064DC" w:rsidR="00EF74CF" w:rsidRPr="00D67F00" w:rsidRDefault="003C10AA" w:rsidP="00EF74CF">
      <w:pPr>
        <w:outlineLvl w:val="0"/>
        <w:rPr>
          <w:rStyle w:val="Strong"/>
          <w:sz w:val="22"/>
          <w:szCs w:val="22"/>
          <w:u w:val="single"/>
          <w:lang w:val="en-GB"/>
        </w:rPr>
      </w:pPr>
      <w:r w:rsidRPr="00C479C2">
        <w:rPr>
          <w:rStyle w:val="Strong"/>
          <w:sz w:val="22"/>
          <w:szCs w:val="22"/>
          <w:highlight w:val="lightGray"/>
          <w:lang w:val="en-GB"/>
        </w:rPr>
        <w:br/>
      </w:r>
      <w:r w:rsidR="00EF74CF" w:rsidRPr="00D67F00">
        <w:rPr>
          <w:rStyle w:val="Strong"/>
          <w:sz w:val="22"/>
          <w:szCs w:val="22"/>
          <w:u w:val="single"/>
          <w:lang w:val="en-GB"/>
        </w:rPr>
        <w:t>II.2.5</w:t>
      </w:r>
      <w:r w:rsidR="00DB196E" w:rsidRPr="00D67F00">
        <w:rPr>
          <w:rStyle w:val="Strong"/>
          <w:sz w:val="22"/>
          <w:szCs w:val="22"/>
          <w:u w:val="single"/>
          <w:lang w:val="en-GB"/>
        </w:rPr>
        <w:t>) Award</w:t>
      </w:r>
      <w:r w:rsidR="00EF74CF" w:rsidRPr="00D67F00">
        <w:rPr>
          <w:rStyle w:val="Strong"/>
          <w:sz w:val="22"/>
          <w:szCs w:val="22"/>
          <w:u w:val="single"/>
          <w:lang w:val="en-GB"/>
        </w:rPr>
        <w:t xml:space="preserve"> Criteria</w:t>
      </w:r>
    </w:p>
    <w:p w14:paraId="2D426A80" w14:textId="0E7FA468" w:rsidR="00EF74CF" w:rsidRDefault="00DB196E" w:rsidP="00EF74CF">
      <w:pPr>
        <w:outlineLvl w:val="0"/>
        <w:rPr>
          <w:sz w:val="22"/>
          <w:szCs w:val="22"/>
        </w:rPr>
      </w:pPr>
      <w:r>
        <w:rPr>
          <w:sz w:val="22"/>
          <w:szCs w:val="22"/>
        </w:rPr>
        <w:t>Price</w:t>
      </w:r>
    </w:p>
    <w:p w14:paraId="41C0250D" w14:textId="597464A8" w:rsidR="00EF74CF" w:rsidRPr="00D67F00" w:rsidRDefault="003C10AA" w:rsidP="00EF74CF">
      <w:pPr>
        <w:outlineLvl w:val="0"/>
        <w:rPr>
          <w:rStyle w:val="Strong"/>
          <w:sz w:val="22"/>
          <w:szCs w:val="22"/>
          <w:u w:val="single"/>
          <w:lang w:val="en-GB"/>
        </w:rPr>
      </w:pPr>
      <w:r w:rsidRPr="00C479C2">
        <w:rPr>
          <w:b/>
          <w:sz w:val="22"/>
          <w:szCs w:val="22"/>
          <w:highlight w:val="lightGray"/>
        </w:rPr>
        <w:br/>
      </w:r>
      <w:r w:rsidR="00EF74CF" w:rsidRPr="00D67F00">
        <w:rPr>
          <w:rStyle w:val="Strong"/>
          <w:sz w:val="22"/>
          <w:szCs w:val="22"/>
          <w:u w:val="single"/>
          <w:lang w:val="en-GB"/>
        </w:rPr>
        <w:t>II.2.14) Additional information</w:t>
      </w:r>
    </w:p>
    <w:p w14:paraId="035A4BBA" w14:textId="002B5617" w:rsidR="00EF74CF" w:rsidRPr="00EF74CF" w:rsidRDefault="00EF74CF" w:rsidP="00EF74CF">
      <w:pPr>
        <w:outlineLvl w:val="0"/>
        <w:rPr>
          <w:rStyle w:val="Strong"/>
          <w:b w:val="0"/>
          <w:sz w:val="22"/>
          <w:szCs w:val="22"/>
          <w:lang w:val="en-GB"/>
        </w:rPr>
      </w:pPr>
      <w:r w:rsidRPr="00EF74CF">
        <w:rPr>
          <w:rStyle w:val="Strong"/>
          <w:b w:val="0"/>
          <w:sz w:val="22"/>
          <w:szCs w:val="22"/>
          <w:lang w:val="en-GB"/>
        </w:rPr>
        <w:t>Additional services/works</w:t>
      </w:r>
      <w:r w:rsidR="00CC6D8C">
        <w:rPr>
          <w:rStyle w:val="Strong"/>
          <w:b w:val="0"/>
          <w:sz w:val="22"/>
          <w:szCs w:val="22"/>
          <w:lang w:val="en-GB"/>
        </w:rPr>
        <w:t xml:space="preserve"> </w:t>
      </w:r>
    </w:p>
    <w:p w14:paraId="3A17D68B" w14:textId="3D50CFE6" w:rsidR="00EF74CF" w:rsidRDefault="00EF74CF" w:rsidP="00EF74CF">
      <w:pPr>
        <w:jc w:val="both"/>
        <w:outlineLvl w:val="0"/>
        <w:rPr>
          <w:rStyle w:val="Strong"/>
          <w:b w:val="0"/>
          <w:sz w:val="22"/>
          <w:szCs w:val="22"/>
          <w:lang w:val="en-GB"/>
        </w:rPr>
      </w:pPr>
      <w:r w:rsidRPr="00EF74CF">
        <w:rPr>
          <w:rStyle w:val="Strong"/>
          <w:b w:val="0"/>
          <w:sz w:val="22"/>
          <w:szCs w:val="22"/>
          <w:lang w:val="en-GB"/>
        </w:rPr>
        <w:t xml:space="preserve">Subsequent to the initial contract resulting from the current tender procedure, new services or works consisting in the repetition of similar services or works, up to the estimated amount of </w:t>
      </w:r>
      <w:r w:rsidR="00FE2A35" w:rsidRPr="00B33981">
        <w:rPr>
          <w:rStyle w:val="Strong"/>
          <w:b w:val="0"/>
          <w:sz w:val="22"/>
          <w:szCs w:val="22"/>
          <w:lang w:val="en-GB"/>
        </w:rPr>
        <w:t>10% of the Accepted Contract Amount</w:t>
      </w:r>
      <w:r w:rsidRPr="00B33981">
        <w:rPr>
          <w:rStyle w:val="Strong"/>
          <w:b w:val="0"/>
          <w:sz w:val="22"/>
          <w:szCs w:val="22"/>
          <w:lang w:val="en-GB"/>
        </w:rPr>
        <w:t>,</w:t>
      </w:r>
      <w:r w:rsidRPr="00EF74CF">
        <w:rPr>
          <w:rStyle w:val="Strong"/>
          <w:b w:val="0"/>
          <w:sz w:val="22"/>
          <w:szCs w:val="22"/>
          <w:lang w:val="en-GB"/>
        </w:rPr>
        <w:t xml:space="preserve"> may be entrusted to the initial contractor by negotiated procedure without prior publication of a contract notice, provided the new services or works are in conformity with the same </w:t>
      </w:r>
      <w:r w:rsidRPr="00EF74CF">
        <w:rPr>
          <w:rStyle w:val="Strong"/>
          <w:b w:val="0"/>
          <w:sz w:val="22"/>
          <w:szCs w:val="22"/>
          <w:lang w:val="en-GB"/>
        </w:rPr>
        <w:lastRenderedPageBreak/>
        <w:t>basic project.</w:t>
      </w:r>
    </w:p>
    <w:p w14:paraId="73132C4B" w14:textId="77777777" w:rsidR="00AE252F" w:rsidRPr="00EF74CF" w:rsidRDefault="00AE252F" w:rsidP="000C19DE">
      <w:pPr>
        <w:spacing w:after="0"/>
        <w:jc w:val="both"/>
        <w:outlineLvl w:val="0"/>
        <w:rPr>
          <w:rStyle w:val="Strong"/>
          <w:b w:val="0"/>
          <w:sz w:val="22"/>
          <w:szCs w:val="22"/>
          <w:lang w:val="en-GB"/>
        </w:rPr>
      </w:pPr>
    </w:p>
    <w:p w14:paraId="4772D783" w14:textId="40E639E6" w:rsidR="00CC6D8C" w:rsidRPr="00D67F00" w:rsidRDefault="00CC6D8C" w:rsidP="00CC6D8C">
      <w:pPr>
        <w:outlineLvl w:val="0"/>
        <w:rPr>
          <w:rStyle w:val="Strong"/>
          <w:sz w:val="22"/>
          <w:szCs w:val="22"/>
          <w:u w:val="single"/>
          <w:lang w:val="en-GB"/>
        </w:rPr>
      </w:pPr>
      <w:r w:rsidRPr="00D67F00">
        <w:rPr>
          <w:rStyle w:val="Strong"/>
          <w:sz w:val="22"/>
          <w:szCs w:val="22"/>
          <w:u w:val="single"/>
          <w:lang w:val="en-GB"/>
        </w:rPr>
        <w:t xml:space="preserve">IV.2.2) Time limit for </w:t>
      </w:r>
      <w:r w:rsidR="00D25196">
        <w:rPr>
          <w:rStyle w:val="Strong"/>
          <w:sz w:val="22"/>
          <w:szCs w:val="22"/>
          <w:u w:val="single"/>
          <w:lang w:val="en-GB"/>
        </w:rPr>
        <w:t>submission</w:t>
      </w:r>
      <w:r w:rsidRPr="00D67F00">
        <w:rPr>
          <w:rStyle w:val="Strong"/>
          <w:sz w:val="22"/>
          <w:szCs w:val="22"/>
          <w:u w:val="single"/>
          <w:lang w:val="en-GB"/>
        </w:rPr>
        <w:t xml:space="preserve"> of tenders or requests to participate</w:t>
      </w:r>
    </w:p>
    <w:p w14:paraId="2F612857" w14:textId="77777777" w:rsidR="008673D5" w:rsidRDefault="00CC6D8C" w:rsidP="00CC6D8C">
      <w:pPr>
        <w:outlineLvl w:val="0"/>
        <w:rPr>
          <w:rStyle w:val="Strong"/>
          <w:b w:val="0"/>
          <w:sz w:val="22"/>
          <w:szCs w:val="22"/>
          <w:lang w:val="en-GB"/>
        </w:rPr>
      </w:pPr>
      <w:r w:rsidRPr="00F82AA4">
        <w:rPr>
          <w:rStyle w:val="Strong"/>
          <w:b w:val="0"/>
          <w:sz w:val="22"/>
          <w:szCs w:val="22"/>
          <w:lang w:val="en-GB"/>
        </w:rPr>
        <w:t xml:space="preserve">Date: </w:t>
      </w:r>
      <w:r w:rsidR="008673D5">
        <w:rPr>
          <w:rStyle w:val="Strong"/>
          <w:b w:val="0"/>
          <w:sz w:val="22"/>
          <w:szCs w:val="22"/>
          <w:lang w:val="en-GB"/>
        </w:rPr>
        <w:t>25.08.2021</w:t>
      </w:r>
    </w:p>
    <w:p w14:paraId="1BC28BB7" w14:textId="10D3FB6C" w:rsidR="00CC6D8C" w:rsidRPr="00F82AA4" w:rsidRDefault="00CC6D8C" w:rsidP="00CC6D8C">
      <w:pPr>
        <w:outlineLvl w:val="0"/>
        <w:rPr>
          <w:rStyle w:val="Strong"/>
          <w:b w:val="0"/>
          <w:sz w:val="22"/>
          <w:szCs w:val="22"/>
          <w:lang w:val="en-GB"/>
        </w:rPr>
      </w:pPr>
      <w:r w:rsidRPr="00F82AA4">
        <w:rPr>
          <w:rStyle w:val="Strong"/>
          <w:b w:val="0"/>
          <w:sz w:val="22"/>
          <w:szCs w:val="22"/>
          <w:lang w:val="en-GB"/>
        </w:rPr>
        <w:t xml:space="preserve">Local Time: </w:t>
      </w:r>
      <w:r w:rsidR="008673D5">
        <w:rPr>
          <w:rStyle w:val="Strong"/>
          <w:b w:val="0"/>
          <w:sz w:val="22"/>
          <w:szCs w:val="22"/>
          <w:lang w:val="en-GB"/>
        </w:rPr>
        <w:t>10:00</w:t>
      </w:r>
    </w:p>
    <w:p w14:paraId="1176BE21" w14:textId="43A2ED9E" w:rsidR="00CC6D8C" w:rsidRPr="007C201A" w:rsidRDefault="00CC6D8C" w:rsidP="00CC6D8C">
      <w:pPr>
        <w:outlineLvl w:val="0"/>
        <w:rPr>
          <w:rStyle w:val="Strong"/>
          <w:sz w:val="22"/>
          <w:szCs w:val="22"/>
          <w:u w:val="single"/>
          <w:lang w:val="en-GB"/>
        </w:rPr>
      </w:pPr>
      <w:r>
        <w:rPr>
          <w:rStyle w:val="Strong"/>
          <w:sz w:val="22"/>
          <w:szCs w:val="22"/>
          <w:lang w:val="en-GB"/>
        </w:rPr>
        <w:br/>
      </w:r>
      <w:r w:rsidRPr="007C201A">
        <w:rPr>
          <w:rStyle w:val="Strong"/>
          <w:sz w:val="22"/>
          <w:szCs w:val="22"/>
          <w:u w:val="single"/>
          <w:lang w:val="en-GB"/>
        </w:rPr>
        <w:t>IV.2.6) Minimum time frame during which the tenderer must maintain the tender</w:t>
      </w:r>
    </w:p>
    <w:p w14:paraId="1368B8E1" w14:textId="608186CD" w:rsidR="00CC6D8C" w:rsidRPr="00F82AA4" w:rsidRDefault="00DB196E" w:rsidP="00CC6D8C">
      <w:pPr>
        <w:outlineLvl w:val="0"/>
        <w:rPr>
          <w:rStyle w:val="Strong"/>
          <w:b w:val="0"/>
          <w:sz w:val="22"/>
          <w:szCs w:val="22"/>
          <w:lang w:val="en-GB"/>
        </w:rPr>
      </w:pPr>
      <w:r>
        <w:rPr>
          <w:rStyle w:val="Strong"/>
          <w:b w:val="0"/>
          <w:sz w:val="22"/>
          <w:szCs w:val="22"/>
          <w:lang w:val="en-GB"/>
        </w:rPr>
        <w:t xml:space="preserve">Duration in months: </w:t>
      </w:r>
      <w:r w:rsidR="000C19DE">
        <w:rPr>
          <w:rStyle w:val="Strong"/>
          <w:b w:val="0"/>
          <w:sz w:val="22"/>
          <w:szCs w:val="22"/>
          <w:lang w:val="en-GB"/>
        </w:rPr>
        <w:t>3</w:t>
      </w:r>
      <w:r w:rsidR="00CC6D8C" w:rsidRPr="00F82AA4">
        <w:rPr>
          <w:rStyle w:val="Strong"/>
          <w:b w:val="0"/>
          <w:sz w:val="22"/>
          <w:szCs w:val="22"/>
          <w:lang w:val="en-GB"/>
        </w:rPr>
        <w:t xml:space="preserve"> (from the date stated for receipt of tender</w:t>
      </w:r>
      <w:r w:rsidR="00CC6D8C">
        <w:rPr>
          <w:rStyle w:val="Strong"/>
          <w:b w:val="0"/>
          <w:sz w:val="22"/>
          <w:szCs w:val="22"/>
          <w:lang w:val="en-GB"/>
        </w:rPr>
        <w:t>)</w:t>
      </w:r>
    </w:p>
    <w:p w14:paraId="33894EC1" w14:textId="35F00F63" w:rsidR="00CC6D8C" w:rsidRPr="007C201A" w:rsidRDefault="00CC6D8C" w:rsidP="00CC6D8C">
      <w:pPr>
        <w:outlineLvl w:val="0"/>
        <w:rPr>
          <w:rStyle w:val="Strong"/>
          <w:sz w:val="22"/>
          <w:szCs w:val="22"/>
          <w:u w:val="single"/>
          <w:lang w:val="en-GB"/>
        </w:rPr>
      </w:pPr>
      <w:r>
        <w:rPr>
          <w:rStyle w:val="Strong"/>
          <w:sz w:val="22"/>
          <w:szCs w:val="22"/>
          <w:u w:val="single"/>
          <w:lang w:val="en-GB"/>
        </w:rPr>
        <w:br/>
      </w:r>
      <w:r w:rsidRPr="007C201A">
        <w:rPr>
          <w:rStyle w:val="Strong"/>
          <w:sz w:val="22"/>
          <w:szCs w:val="22"/>
          <w:u w:val="single"/>
          <w:lang w:val="en-GB"/>
        </w:rPr>
        <w:t xml:space="preserve">IV.2.7) Conditions for opening of tenders </w:t>
      </w:r>
    </w:p>
    <w:p w14:paraId="609149EA" w14:textId="77777777" w:rsidR="008673D5" w:rsidRDefault="00CC6D8C" w:rsidP="008673D5">
      <w:pPr>
        <w:outlineLvl w:val="0"/>
        <w:rPr>
          <w:rStyle w:val="Strong"/>
          <w:b w:val="0"/>
          <w:sz w:val="22"/>
          <w:szCs w:val="22"/>
          <w:lang w:val="en-GB"/>
        </w:rPr>
      </w:pPr>
      <w:r w:rsidRPr="00F82AA4">
        <w:rPr>
          <w:rStyle w:val="Strong"/>
          <w:b w:val="0"/>
          <w:sz w:val="22"/>
          <w:szCs w:val="22"/>
          <w:lang w:val="en-GB"/>
        </w:rPr>
        <w:t>Date:</w:t>
      </w:r>
      <w:r w:rsidRPr="008673D5">
        <w:rPr>
          <w:rStyle w:val="Strong"/>
          <w:b w:val="0"/>
          <w:sz w:val="22"/>
          <w:szCs w:val="22"/>
          <w:lang w:val="en-GB"/>
        </w:rPr>
        <w:t xml:space="preserve"> </w:t>
      </w:r>
      <w:r w:rsidR="008673D5">
        <w:rPr>
          <w:rStyle w:val="Strong"/>
          <w:b w:val="0"/>
          <w:sz w:val="22"/>
          <w:szCs w:val="22"/>
          <w:lang w:val="en-GB"/>
        </w:rPr>
        <w:t>25.08.2021</w:t>
      </w:r>
    </w:p>
    <w:p w14:paraId="0FE3EC3C" w14:textId="77777777" w:rsidR="008673D5" w:rsidRDefault="00CC6D8C" w:rsidP="008673D5">
      <w:pPr>
        <w:outlineLvl w:val="0"/>
        <w:rPr>
          <w:rStyle w:val="Strong"/>
          <w:b w:val="0"/>
          <w:sz w:val="22"/>
          <w:szCs w:val="22"/>
          <w:lang w:val="en-GB"/>
        </w:rPr>
      </w:pPr>
      <w:r w:rsidRPr="00F82AA4">
        <w:rPr>
          <w:rStyle w:val="Strong"/>
          <w:b w:val="0"/>
          <w:sz w:val="22"/>
          <w:szCs w:val="22"/>
          <w:lang w:val="en-GB"/>
        </w:rPr>
        <w:t>Local time</w:t>
      </w:r>
      <w:r w:rsidRPr="008673D5">
        <w:rPr>
          <w:rStyle w:val="Strong"/>
          <w:b w:val="0"/>
          <w:sz w:val="22"/>
          <w:szCs w:val="22"/>
          <w:lang w:val="en-GB"/>
        </w:rPr>
        <w:t xml:space="preserve">: </w:t>
      </w:r>
      <w:r w:rsidR="008673D5">
        <w:rPr>
          <w:rStyle w:val="Strong"/>
          <w:b w:val="0"/>
          <w:sz w:val="22"/>
          <w:szCs w:val="22"/>
          <w:lang w:val="en-GB"/>
        </w:rPr>
        <w:t>12:30</w:t>
      </w:r>
    </w:p>
    <w:p w14:paraId="74E4D60D" w14:textId="1EFAA04A" w:rsidR="008673D5" w:rsidRDefault="00CC6D8C" w:rsidP="008673D5">
      <w:pPr>
        <w:outlineLvl w:val="0"/>
        <w:rPr>
          <w:rStyle w:val="Strong"/>
          <w:b w:val="0"/>
          <w:sz w:val="22"/>
          <w:szCs w:val="22"/>
          <w:lang w:val="en-GB"/>
        </w:rPr>
      </w:pPr>
      <w:r w:rsidRPr="00F82AA4">
        <w:rPr>
          <w:rStyle w:val="Strong"/>
          <w:b w:val="0"/>
          <w:sz w:val="22"/>
          <w:szCs w:val="22"/>
          <w:lang w:val="en-GB"/>
        </w:rPr>
        <w:t xml:space="preserve">Place: </w:t>
      </w:r>
    </w:p>
    <w:p w14:paraId="0B08383D" w14:textId="77777777" w:rsidR="008673D5" w:rsidRPr="008673D5" w:rsidRDefault="008673D5" w:rsidP="008673D5">
      <w:pPr>
        <w:outlineLvl w:val="0"/>
        <w:rPr>
          <w:rStyle w:val="Strong"/>
          <w:b w:val="0"/>
          <w:sz w:val="22"/>
          <w:szCs w:val="22"/>
          <w:lang w:val="en-GB"/>
        </w:rPr>
      </w:pPr>
      <w:r w:rsidRPr="008673D5">
        <w:rPr>
          <w:rStyle w:val="Strong"/>
          <w:b w:val="0"/>
          <w:sz w:val="22"/>
          <w:szCs w:val="22"/>
          <w:lang w:val="en-GB"/>
        </w:rPr>
        <w:t>Public Works Administration</w:t>
      </w:r>
    </w:p>
    <w:p w14:paraId="44FD53B3" w14:textId="77777777" w:rsidR="008673D5" w:rsidRDefault="008673D5" w:rsidP="008673D5">
      <w:pPr>
        <w:outlineLvl w:val="0"/>
        <w:rPr>
          <w:rStyle w:val="Strong"/>
          <w:b w:val="0"/>
          <w:sz w:val="22"/>
          <w:szCs w:val="22"/>
          <w:lang w:val="en-GB"/>
        </w:rPr>
      </w:pPr>
      <w:r w:rsidRPr="008673D5">
        <w:rPr>
          <w:rStyle w:val="Strong"/>
          <w:b w:val="0"/>
          <w:sz w:val="22"/>
          <w:szCs w:val="22"/>
          <w:lang w:val="en-GB"/>
        </w:rPr>
        <w:t xml:space="preserve">Address:  </w:t>
      </w:r>
      <w:proofErr w:type="spellStart"/>
      <w:r w:rsidRPr="008673D5">
        <w:rPr>
          <w:rStyle w:val="Strong"/>
          <w:b w:val="0"/>
          <w:sz w:val="22"/>
          <w:szCs w:val="22"/>
          <w:lang w:val="en-GB"/>
        </w:rPr>
        <w:t>Arsenija</w:t>
      </w:r>
      <w:proofErr w:type="spellEnd"/>
      <w:r w:rsidRPr="008673D5">
        <w:rPr>
          <w:rStyle w:val="Strong"/>
          <w:b w:val="0"/>
          <w:sz w:val="22"/>
          <w:szCs w:val="22"/>
          <w:lang w:val="en-GB"/>
        </w:rPr>
        <w:t xml:space="preserve"> </w:t>
      </w:r>
      <w:proofErr w:type="spellStart"/>
      <w:r w:rsidRPr="008673D5">
        <w:rPr>
          <w:rStyle w:val="Strong"/>
          <w:b w:val="0"/>
          <w:sz w:val="22"/>
          <w:szCs w:val="22"/>
          <w:lang w:val="en-GB"/>
        </w:rPr>
        <w:t>Boljevića</w:t>
      </w:r>
      <w:proofErr w:type="spellEnd"/>
      <w:r w:rsidRPr="008673D5">
        <w:rPr>
          <w:rStyle w:val="Strong"/>
          <w:b w:val="0"/>
          <w:sz w:val="22"/>
          <w:szCs w:val="22"/>
          <w:lang w:val="en-GB"/>
        </w:rPr>
        <w:t xml:space="preserve"> street 2a (City Mall, 3rd floor)</w:t>
      </w:r>
    </w:p>
    <w:p w14:paraId="23ADF5D7" w14:textId="410702A5" w:rsidR="008673D5" w:rsidRPr="008673D5" w:rsidRDefault="008673D5" w:rsidP="008673D5">
      <w:pPr>
        <w:outlineLvl w:val="0"/>
        <w:rPr>
          <w:rStyle w:val="Strong"/>
          <w:b w:val="0"/>
          <w:sz w:val="22"/>
          <w:szCs w:val="22"/>
          <w:lang w:val="en-GB"/>
        </w:rPr>
      </w:pPr>
      <w:r w:rsidRPr="008673D5">
        <w:rPr>
          <w:rStyle w:val="Strong"/>
          <w:b w:val="0"/>
          <w:sz w:val="22"/>
          <w:szCs w:val="22"/>
          <w:lang w:val="en-GB"/>
        </w:rPr>
        <w:t>81000 Podgorica, Montenegro</w:t>
      </w:r>
    </w:p>
    <w:sectPr w:rsidR="008673D5" w:rsidRPr="008673D5" w:rsidSect="00BC34CF">
      <w:headerReference w:type="even" r:id="rId8"/>
      <w:headerReference w:type="default" r:id="rId9"/>
      <w:footerReference w:type="even" r:id="rId10"/>
      <w:footerReference w:type="default" r:id="rId11"/>
      <w:headerReference w:type="first" r:id="rId12"/>
      <w:footerReference w:type="first" r:id="rId13"/>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C61D9" w14:textId="77777777" w:rsidR="009627BF" w:rsidRDefault="009627BF">
      <w:r>
        <w:separator/>
      </w:r>
    </w:p>
  </w:endnote>
  <w:endnote w:type="continuationSeparator" w:id="0">
    <w:p w14:paraId="79303952" w14:textId="77777777" w:rsidR="009627BF" w:rsidRDefault="0096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4C8B" w14:textId="77777777" w:rsidR="003A7E14" w:rsidRDefault="003A7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8561" w14:textId="159FE032" w:rsidR="00B22E7F" w:rsidRDefault="002A254C" w:rsidP="003D4201">
    <w:pPr>
      <w:pStyle w:val="Footer"/>
      <w:tabs>
        <w:tab w:val="clear" w:pos="4320"/>
        <w:tab w:val="clear" w:pos="8640"/>
        <w:tab w:val="right" w:pos="9214"/>
      </w:tabs>
      <w:spacing w:before="120" w:after="0"/>
      <w:rPr>
        <w:b/>
        <w:sz w:val="18"/>
        <w:szCs w:val="18"/>
        <w:lang w:val="en-GB"/>
      </w:rPr>
    </w:pPr>
    <w:r>
      <w:rPr>
        <w:b/>
        <w:sz w:val="18"/>
        <w:szCs w:val="18"/>
        <w:lang w:val="en-GB"/>
      </w:rPr>
      <w:t>A</w:t>
    </w:r>
    <w:r w:rsidR="003A7E14">
      <w:rPr>
        <w:b/>
        <w:sz w:val="18"/>
        <w:szCs w:val="18"/>
        <w:lang w:val="en-GB"/>
      </w:rPr>
      <w:t>ugust</w:t>
    </w:r>
    <w:r w:rsidR="00B56D0A">
      <w:rPr>
        <w:b/>
        <w:sz w:val="18"/>
        <w:szCs w:val="18"/>
        <w:lang w:val="en-GB"/>
      </w:rPr>
      <w:t xml:space="preserve"> </w:t>
    </w:r>
    <w:r w:rsidR="004F74D1">
      <w:rPr>
        <w:b/>
        <w:sz w:val="18"/>
        <w:szCs w:val="18"/>
        <w:lang w:val="en-GB"/>
      </w:rPr>
      <w:t>2020</w:t>
    </w:r>
  </w:p>
  <w:p w14:paraId="0057A180" w14:textId="6F011A4D"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8673D5">
      <w:rPr>
        <w:rStyle w:val="PageNumber"/>
        <w:noProof/>
        <w:sz w:val="18"/>
        <w:szCs w:val="18"/>
      </w:rPr>
      <w:t>2</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8673D5">
      <w:rPr>
        <w:rStyle w:val="PageNumber"/>
        <w:noProof/>
        <w:sz w:val="18"/>
        <w:szCs w:val="18"/>
      </w:rPr>
      <w:t>3</w:t>
    </w:r>
    <w:r>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6D0C" w14:textId="77777777" w:rsidR="003A7E14" w:rsidRDefault="003A7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CB3C" w14:textId="77777777" w:rsidR="009627BF" w:rsidRDefault="009627BF">
      <w:r>
        <w:separator/>
      </w:r>
    </w:p>
  </w:footnote>
  <w:footnote w:type="continuationSeparator" w:id="0">
    <w:p w14:paraId="6B4811C7" w14:textId="77777777" w:rsidR="009627BF" w:rsidRDefault="009627BF">
      <w:r>
        <w:continuationSeparator/>
      </w:r>
    </w:p>
  </w:footnote>
  <w:footnote w:id="1">
    <w:p w14:paraId="037B59E7" w14:textId="497D98FF" w:rsidR="008B3887" w:rsidRPr="000617C9" w:rsidRDefault="008B3887" w:rsidP="008B3887">
      <w:pPr>
        <w:pStyle w:val="FootnoteText"/>
      </w:pPr>
      <w:r>
        <w:rPr>
          <w:rStyle w:val="FootnoteReference"/>
        </w:rPr>
        <w:footnoteRef/>
      </w:r>
      <w:r>
        <w:t xml:space="preserve"> </w:t>
      </w:r>
      <w:r w:rsidRPr="007B234C">
        <w:rPr>
          <w:sz w:val="18"/>
          <w:szCs w:val="18"/>
        </w:rPr>
        <w:t xml:space="preserve">The Common Procurement Vocabulary (CPV) is the mandatory reference nomenclature applicable to procurement contracts. The list of CPV codes is available on:  </w:t>
      </w:r>
      <w:hyperlink r:id="rId1" w:history="1">
        <w:r w:rsidR="00B74D49" w:rsidRPr="000B77B9">
          <w:rPr>
            <w:rStyle w:val="Hyperlink"/>
            <w:sz w:val="18"/>
            <w:szCs w:val="18"/>
          </w:rPr>
          <w:t>http://simap.ted.europa.euen/web/simap/cpv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0EF0" w14:textId="77777777" w:rsidR="003A7E14" w:rsidRDefault="003A7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CE55" w14:textId="77777777" w:rsidR="003A7E14" w:rsidRDefault="003A7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F857" w14:textId="77777777" w:rsidR="003A7E14" w:rsidRDefault="003A7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5066AA0"/>
    <w:multiLevelType w:val="hybridMultilevel"/>
    <w:tmpl w:val="90E6421C"/>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8E688DEC">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B561F9D"/>
    <w:multiLevelType w:val="hybridMultilevel"/>
    <w:tmpl w:val="8ADED7FE"/>
    <w:lvl w:ilvl="0" w:tplc="473C203E">
      <w:start w:val="1"/>
      <w:numFmt w:val="decimal"/>
      <w:lvlText w:val="%1."/>
      <w:lvlJc w:val="left"/>
      <w:pPr>
        <w:tabs>
          <w:tab w:val="num" w:pos="568"/>
        </w:tabs>
        <w:ind w:left="568"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7"/>
  </w:num>
  <w:num w:numId="34">
    <w:abstractNumId w:val="43"/>
  </w:num>
  <w:num w:numId="35">
    <w:abstractNumId w:val="36"/>
  </w:num>
  <w:num w:numId="36">
    <w:abstractNumId w:val="34"/>
  </w:num>
  <w:num w:numId="37">
    <w:abstractNumId w:val="38"/>
  </w:num>
  <w:num w:numId="38">
    <w:abstractNumId w:val="41"/>
  </w:num>
  <w:num w:numId="39">
    <w:abstractNumId w:val="46"/>
  </w:num>
  <w:num w:numId="40">
    <w:abstractNumId w:val="47"/>
  </w:num>
  <w:num w:numId="41">
    <w:abstractNumId w:val="42"/>
  </w:num>
  <w:num w:numId="42">
    <w:abstractNumId w:val="45"/>
  </w:num>
  <w:num w:numId="43">
    <w:abstractNumId w:val="39"/>
  </w:num>
  <w:num w:numId="44">
    <w:abstractNumId w:val="40"/>
  </w:num>
  <w:num w:numId="45">
    <w:abstractNumId w:val="44"/>
  </w:num>
  <w:num w:numId="46">
    <w:abstractNumId w:val="3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D29"/>
    <w:rsid w:val="0000338D"/>
    <w:rsid w:val="0000712E"/>
    <w:rsid w:val="00010B32"/>
    <w:rsid w:val="00012223"/>
    <w:rsid w:val="00012AF1"/>
    <w:rsid w:val="00013EB7"/>
    <w:rsid w:val="00013F0F"/>
    <w:rsid w:val="00014B76"/>
    <w:rsid w:val="0001614F"/>
    <w:rsid w:val="00017E7C"/>
    <w:rsid w:val="0002004D"/>
    <w:rsid w:val="00022D5F"/>
    <w:rsid w:val="00024DAC"/>
    <w:rsid w:val="0003004C"/>
    <w:rsid w:val="00030ABC"/>
    <w:rsid w:val="000333FE"/>
    <w:rsid w:val="0003427A"/>
    <w:rsid w:val="00034D18"/>
    <w:rsid w:val="00035D4D"/>
    <w:rsid w:val="00045619"/>
    <w:rsid w:val="00045773"/>
    <w:rsid w:val="000503A2"/>
    <w:rsid w:val="000522D4"/>
    <w:rsid w:val="000617C9"/>
    <w:rsid w:val="0006203C"/>
    <w:rsid w:val="00063589"/>
    <w:rsid w:val="00063FB5"/>
    <w:rsid w:val="000677C2"/>
    <w:rsid w:val="00076F64"/>
    <w:rsid w:val="0008316A"/>
    <w:rsid w:val="00087A72"/>
    <w:rsid w:val="00095030"/>
    <w:rsid w:val="000950D5"/>
    <w:rsid w:val="000A3758"/>
    <w:rsid w:val="000C1522"/>
    <w:rsid w:val="000C19DE"/>
    <w:rsid w:val="000C5B55"/>
    <w:rsid w:val="000E30E2"/>
    <w:rsid w:val="000E5BBC"/>
    <w:rsid w:val="000F0F6C"/>
    <w:rsid w:val="000F4D57"/>
    <w:rsid w:val="000F5DEF"/>
    <w:rsid w:val="001000B4"/>
    <w:rsid w:val="0010162C"/>
    <w:rsid w:val="00105302"/>
    <w:rsid w:val="00110A94"/>
    <w:rsid w:val="00112210"/>
    <w:rsid w:val="00115D2F"/>
    <w:rsid w:val="00120298"/>
    <w:rsid w:val="00122B86"/>
    <w:rsid w:val="00126E99"/>
    <w:rsid w:val="0014405E"/>
    <w:rsid w:val="00144547"/>
    <w:rsid w:val="0015107D"/>
    <w:rsid w:val="00155BF4"/>
    <w:rsid w:val="00162F40"/>
    <w:rsid w:val="001661F7"/>
    <w:rsid w:val="001707D5"/>
    <w:rsid w:val="0017184C"/>
    <w:rsid w:val="00180D47"/>
    <w:rsid w:val="00181270"/>
    <w:rsid w:val="001851CC"/>
    <w:rsid w:val="00192D12"/>
    <w:rsid w:val="001951FE"/>
    <w:rsid w:val="00196F2A"/>
    <w:rsid w:val="001A0C86"/>
    <w:rsid w:val="001A1B3E"/>
    <w:rsid w:val="001A1BE1"/>
    <w:rsid w:val="001B13B1"/>
    <w:rsid w:val="001B2571"/>
    <w:rsid w:val="001C3A54"/>
    <w:rsid w:val="001C64F1"/>
    <w:rsid w:val="001D19A6"/>
    <w:rsid w:val="001D55F7"/>
    <w:rsid w:val="001D5DEF"/>
    <w:rsid w:val="001E0BA5"/>
    <w:rsid w:val="001E50A2"/>
    <w:rsid w:val="001F08D0"/>
    <w:rsid w:val="001F120E"/>
    <w:rsid w:val="001F1546"/>
    <w:rsid w:val="001F47F3"/>
    <w:rsid w:val="001F5D80"/>
    <w:rsid w:val="00201320"/>
    <w:rsid w:val="00210466"/>
    <w:rsid w:val="00221CCE"/>
    <w:rsid w:val="00226829"/>
    <w:rsid w:val="00231106"/>
    <w:rsid w:val="00233B9D"/>
    <w:rsid w:val="00233DDA"/>
    <w:rsid w:val="00250A28"/>
    <w:rsid w:val="00266EB9"/>
    <w:rsid w:val="00282863"/>
    <w:rsid w:val="00290440"/>
    <w:rsid w:val="00290EBC"/>
    <w:rsid w:val="002976DE"/>
    <w:rsid w:val="00297B55"/>
    <w:rsid w:val="002A254C"/>
    <w:rsid w:val="002C0F2A"/>
    <w:rsid w:val="002C26E6"/>
    <w:rsid w:val="002C2D95"/>
    <w:rsid w:val="002D266E"/>
    <w:rsid w:val="002D4121"/>
    <w:rsid w:val="002D7249"/>
    <w:rsid w:val="002E1B83"/>
    <w:rsid w:val="002E7D33"/>
    <w:rsid w:val="002F47F3"/>
    <w:rsid w:val="002F58EB"/>
    <w:rsid w:val="0030090E"/>
    <w:rsid w:val="0030318D"/>
    <w:rsid w:val="003045C3"/>
    <w:rsid w:val="00313118"/>
    <w:rsid w:val="003232ED"/>
    <w:rsid w:val="003262FC"/>
    <w:rsid w:val="00330261"/>
    <w:rsid w:val="00332F90"/>
    <w:rsid w:val="003378F6"/>
    <w:rsid w:val="00342E7F"/>
    <w:rsid w:val="00345518"/>
    <w:rsid w:val="00346B3B"/>
    <w:rsid w:val="00347673"/>
    <w:rsid w:val="0036159C"/>
    <w:rsid w:val="003717BC"/>
    <w:rsid w:val="00371FD9"/>
    <w:rsid w:val="00372452"/>
    <w:rsid w:val="0038633F"/>
    <w:rsid w:val="00386E96"/>
    <w:rsid w:val="0038796E"/>
    <w:rsid w:val="003947E7"/>
    <w:rsid w:val="00397073"/>
    <w:rsid w:val="00397634"/>
    <w:rsid w:val="003A2E1C"/>
    <w:rsid w:val="003A4357"/>
    <w:rsid w:val="003A7E14"/>
    <w:rsid w:val="003B3E06"/>
    <w:rsid w:val="003B43A8"/>
    <w:rsid w:val="003B55F6"/>
    <w:rsid w:val="003C10AA"/>
    <w:rsid w:val="003C2D69"/>
    <w:rsid w:val="003C555B"/>
    <w:rsid w:val="003D195A"/>
    <w:rsid w:val="003D2ADD"/>
    <w:rsid w:val="003D4201"/>
    <w:rsid w:val="003D6B49"/>
    <w:rsid w:val="003E3A87"/>
    <w:rsid w:val="003F32FF"/>
    <w:rsid w:val="003F554E"/>
    <w:rsid w:val="0040360C"/>
    <w:rsid w:val="0040443B"/>
    <w:rsid w:val="0042033D"/>
    <w:rsid w:val="004230E0"/>
    <w:rsid w:val="00424124"/>
    <w:rsid w:val="00426624"/>
    <w:rsid w:val="0043190A"/>
    <w:rsid w:val="00434A54"/>
    <w:rsid w:val="0043637D"/>
    <w:rsid w:val="004405D2"/>
    <w:rsid w:val="00445632"/>
    <w:rsid w:val="00447D77"/>
    <w:rsid w:val="0045124A"/>
    <w:rsid w:val="00452327"/>
    <w:rsid w:val="0045494F"/>
    <w:rsid w:val="00470018"/>
    <w:rsid w:val="00471180"/>
    <w:rsid w:val="00473883"/>
    <w:rsid w:val="0047646C"/>
    <w:rsid w:val="00476D80"/>
    <w:rsid w:val="00477B20"/>
    <w:rsid w:val="00482B9A"/>
    <w:rsid w:val="00484BEE"/>
    <w:rsid w:val="004853B9"/>
    <w:rsid w:val="004901C2"/>
    <w:rsid w:val="004957E5"/>
    <w:rsid w:val="004B0F8B"/>
    <w:rsid w:val="004B5DCF"/>
    <w:rsid w:val="004C49B2"/>
    <w:rsid w:val="004C68B3"/>
    <w:rsid w:val="004E083B"/>
    <w:rsid w:val="004E148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141"/>
    <w:rsid w:val="00507BFE"/>
    <w:rsid w:val="00511119"/>
    <w:rsid w:val="0051514D"/>
    <w:rsid w:val="00516C38"/>
    <w:rsid w:val="00523826"/>
    <w:rsid w:val="00524367"/>
    <w:rsid w:val="00533CE6"/>
    <w:rsid w:val="0054183B"/>
    <w:rsid w:val="0055037B"/>
    <w:rsid w:val="00551805"/>
    <w:rsid w:val="005558E0"/>
    <w:rsid w:val="0056183E"/>
    <w:rsid w:val="00565A69"/>
    <w:rsid w:val="00571687"/>
    <w:rsid w:val="00571989"/>
    <w:rsid w:val="00572F15"/>
    <w:rsid w:val="00581953"/>
    <w:rsid w:val="00583EC9"/>
    <w:rsid w:val="00584BF4"/>
    <w:rsid w:val="00584D96"/>
    <w:rsid w:val="005908F0"/>
    <w:rsid w:val="00590ADB"/>
    <w:rsid w:val="005956EE"/>
    <w:rsid w:val="005B13A4"/>
    <w:rsid w:val="005B2FB5"/>
    <w:rsid w:val="005B35A2"/>
    <w:rsid w:val="005B3ED3"/>
    <w:rsid w:val="005B48D0"/>
    <w:rsid w:val="005B4F80"/>
    <w:rsid w:val="005D0AD5"/>
    <w:rsid w:val="005D3D85"/>
    <w:rsid w:val="005D720E"/>
    <w:rsid w:val="005E3AE0"/>
    <w:rsid w:val="005E3EEE"/>
    <w:rsid w:val="005E53BD"/>
    <w:rsid w:val="005F776D"/>
    <w:rsid w:val="00603F87"/>
    <w:rsid w:val="0061336A"/>
    <w:rsid w:val="00626BBA"/>
    <w:rsid w:val="00627FB4"/>
    <w:rsid w:val="00637237"/>
    <w:rsid w:val="0064066F"/>
    <w:rsid w:val="0064390B"/>
    <w:rsid w:val="00651CAF"/>
    <w:rsid w:val="00652EFC"/>
    <w:rsid w:val="006552B5"/>
    <w:rsid w:val="00663C6D"/>
    <w:rsid w:val="006738B9"/>
    <w:rsid w:val="00674F9C"/>
    <w:rsid w:val="0067554A"/>
    <w:rsid w:val="00675EEE"/>
    <w:rsid w:val="006770CA"/>
    <w:rsid w:val="00686C3A"/>
    <w:rsid w:val="0068769C"/>
    <w:rsid w:val="00691BA5"/>
    <w:rsid w:val="00697F82"/>
    <w:rsid w:val="006A0175"/>
    <w:rsid w:val="006A0598"/>
    <w:rsid w:val="006A2F21"/>
    <w:rsid w:val="006A3716"/>
    <w:rsid w:val="006A66DA"/>
    <w:rsid w:val="006A7394"/>
    <w:rsid w:val="006B2F6C"/>
    <w:rsid w:val="006B3D18"/>
    <w:rsid w:val="006B59B9"/>
    <w:rsid w:val="006C0EB6"/>
    <w:rsid w:val="006C0F37"/>
    <w:rsid w:val="006D6080"/>
    <w:rsid w:val="006E3377"/>
    <w:rsid w:val="006E625F"/>
    <w:rsid w:val="006F2947"/>
    <w:rsid w:val="006F2AE0"/>
    <w:rsid w:val="006F532D"/>
    <w:rsid w:val="006F5FD0"/>
    <w:rsid w:val="00710A38"/>
    <w:rsid w:val="00711589"/>
    <w:rsid w:val="00711AAE"/>
    <w:rsid w:val="007121FB"/>
    <w:rsid w:val="007129D6"/>
    <w:rsid w:val="00712CB3"/>
    <w:rsid w:val="00715755"/>
    <w:rsid w:val="00727652"/>
    <w:rsid w:val="00735C56"/>
    <w:rsid w:val="00745DBA"/>
    <w:rsid w:val="00746DDB"/>
    <w:rsid w:val="007471C5"/>
    <w:rsid w:val="00750FF8"/>
    <w:rsid w:val="00752A71"/>
    <w:rsid w:val="00753FC2"/>
    <w:rsid w:val="00756C38"/>
    <w:rsid w:val="00761673"/>
    <w:rsid w:val="00761893"/>
    <w:rsid w:val="007653F4"/>
    <w:rsid w:val="007727F3"/>
    <w:rsid w:val="00783B39"/>
    <w:rsid w:val="007955F2"/>
    <w:rsid w:val="00795842"/>
    <w:rsid w:val="00795E5F"/>
    <w:rsid w:val="007A04AC"/>
    <w:rsid w:val="007B234C"/>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5383"/>
    <w:rsid w:val="008001B4"/>
    <w:rsid w:val="00800827"/>
    <w:rsid w:val="008162F6"/>
    <w:rsid w:val="008272C0"/>
    <w:rsid w:val="008323D3"/>
    <w:rsid w:val="008351FF"/>
    <w:rsid w:val="00845D2E"/>
    <w:rsid w:val="00851792"/>
    <w:rsid w:val="00853875"/>
    <w:rsid w:val="00855235"/>
    <w:rsid w:val="00860295"/>
    <w:rsid w:val="008673D5"/>
    <w:rsid w:val="0088068C"/>
    <w:rsid w:val="00892A43"/>
    <w:rsid w:val="008938FF"/>
    <w:rsid w:val="00894E29"/>
    <w:rsid w:val="0089693D"/>
    <w:rsid w:val="008A1514"/>
    <w:rsid w:val="008A377D"/>
    <w:rsid w:val="008B3887"/>
    <w:rsid w:val="008C2513"/>
    <w:rsid w:val="008C3178"/>
    <w:rsid w:val="008C5B63"/>
    <w:rsid w:val="008C68A0"/>
    <w:rsid w:val="008D02FF"/>
    <w:rsid w:val="008D1243"/>
    <w:rsid w:val="008D243C"/>
    <w:rsid w:val="008E2D12"/>
    <w:rsid w:val="008F13BB"/>
    <w:rsid w:val="008F4ED2"/>
    <w:rsid w:val="009044E4"/>
    <w:rsid w:val="009055F3"/>
    <w:rsid w:val="009066B6"/>
    <w:rsid w:val="00907556"/>
    <w:rsid w:val="00913817"/>
    <w:rsid w:val="00924137"/>
    <w:rsid w:val="00925F7F"/>
    <w:rsid w:val="0092731B"/>
    <w:rsid w:val="00944A9C"/>
    <w:rsid w:val="00947EF4"/>
    <w:rsid w:val="00952960"/>
    <w:rsid w:val="00954440"/>
    <w:rsid w:val="00960A2B"/>
    <w:rsid w:val="009627BF"/>
    <w:rsid w:val="009707C4"/>
    <w:rsid w:val="00970B01"/>
    <w:rsid w:val="00971CC5"/>
    <w:rsid w:val="009874BD"/>
    <w:rsid w:val="009900DD"/>
    <w:rsid w:val="00990B40"/>
    <w:rsid w:val="00991002"/>
    <w:rsid w:val="009B06B5"/>
    <w:rsid w:val="009B0DBF"/>
    <w:rsid w:val="009B576C"/>
    <w:rsid w:val="009B5E33"/>
    <w:rsid w:val="009B6F36"/>
    <w:rsid w:val="009C0E9E"/>
    <w:rsid w:val="009C4007"/>
    <w:rsid w:val="009C7312"/>
    <w:rsid w:val="009D6350"/>
    <w:rsid w:val="009D6916"/>
    <w:rsid w:val="009E2F24"/>
    <w:rsid w:val="009E4662"/>
    <w:rsid w:val="009E5005"/>
    <w:rsid w:val="009F128B"/>
    <w:rsid w:val="009F57BC"/>
    <w:rsid w:val="00A03055"/>
    <w:rsid w:val="00A11931"/>
    <w:rsid w:val="00A171EA"/>
    <w:rsid w:val="00A22177"/>
    <w:rsid w:val="00A2314D"/>
    <w:rsid w:val="00A2523F"/>
    <w:rsid w:val="00A433A6"/>
    <w:rsid w:val="00A43E7A"/>
    <w:rsid w:val="00A46ED3"/>
    <w:rsid w:val="00A525AF"/>
    <w:rsid w:val="00A54502"/>
    <w:rsid w:val="00A70611"/>
    <w:rsid w:val="00A706EB"/>
    <w:rsid w:val="00A7101F"/>
    <w:rsid w:val="00A73E50"/>
    <w:rsid w:val="00A7648B"/>
    <w:rsid w:val="00A779FE"/>
    <w:rsid w:val="00A77B07"/>
    <w:rsid w:val="00A84E04"/>
    <w:rsid w:val="00A853CC"/>
    <w:rsid w:val="00A91076"/>
    <w:rsid w:val="00A96048"/>
    <w:rsid w:val="00A97B08"/>
    <w:rsid w:val="00AA3505"/>
    <w:rsid w:val="00AA5256"/>
    <w:rsid w:val="00AA7762"/>
    <w:rsid w:val="00AB00B8"/>
    <w:rsid w:val="00AB32E4"/>
    <w:rsid w:val="00AB4DF6"/>
    <w:rsid w:val="00AB7DAB"/>
    <w:rsid w:val="00AC0623"/>
    <w:rsid w:val="00AC0D0C"/>
    <w:rsid w:val="00AC2A41"/>
    <w:rsid w:val="00AC674C"/>
    <w:rsid w:val="00AD330A"/>
    <w:rsid w:val="00AD56A6"/>
    <w:rsid w:val="00AD5F08"/>
    <w:rsid w:val="00AD75FB"/>
    <w:rsid w:val="00AE1D8D"/>
    <w:rsid w:val="00AE1FA3"/>
    <w:rsid w:val="00AE252F"/>
    <w:rsid w:val="00AE6A5B"/>
    <w:rsid w:val="00AE7F65"/>
    <w:rsid w:val="00AF7BB3"/>
    <w:rsid w:val="00B063F9"/>
    <w:rsid w:val="00B112A1"/>
    <w:rsid w:val="00B14398"/>
    <w:rsid w:val="00B17284"/>
    <w:rsid w:val="00B22E7F"/>
    <w:rsid w:val="00B304D7"/>
    <w:rsid w:val="00B30DFF"/>
    <w:rsid w:val="00B33981"/>
    <w:rsid w:val="00B46840"/>
    <w:rsid w:val="00B513FE"/>
    <w:rsid w:val="00B5587D"/>
    <w:rsid w:val="00B56D0A"/>
    <w:rsid w:val="00B60EC5"/>
    <w:rsid w:val="00B72045"/>
    <w:rsid w:val="00B72C11"/>
    <w:rsid w:val="00B740D9"/>
    <w:rsid w:val="00B74AA7"/>
    <w:rsid w:val="00B74D49"/>
    <w:rsid w:val="00B7586A"/>
    <w:rsid w:val="00B76345"/>
    <w:rsid w:val="00B84AED"/>
    <w:rsid w:val="00B87294"/>
    <w:rsid w:val="00B877B2"/>
    <w:rsid w:val="00B879BF"/>
    <w:rsid w:val="00B92478"/>
    <w:rsid w:val="00B969A2"/>
    <w:rsid w:val="00BA0765"/>
    <w:rsid w:val="00BA0EC9"/>
    <w:rsid w:val="00BA1E67"/>
    <w:rsid w:val="00BA4DA9"/>
    <w:rsid w:val="00BB2689"/>
    <w:rsid w:val="00BB68B0"/>
    <w:rsid w:val="00BC00A1"/>
    <w:rsid w:val="00BC0714"/>
    <w:rsid w:val="00BC34CF"/>
    <w:rsid w:val="00BC353E"/>
    <w:rsid w:val="00BD552F"/>
    <w:rsid w:val="00BE595A"/>
    <w:rsid w:val="00BE6FAB"/>
    <w:rsid w:val="00BE783C"/>
    <w:rsid w:val="00BE7B3C"/>
    <w:rsid w:val="00BF5FBD"/>
    <w:rsid w:val="00C00D44"/>
    <w:rsid w:val="00C03806"/>
    <w:rsid w:val="00C06736"/>
    <w:rsid w:val="00C10475"/>
    <w:rsid w:val="00C106C1"/>
    <w:rsid w:val="00C14AF2"/>
    <w:rsid w:val="00C171B6"/>
    <w:rsid w:val="00C2452B"/>
    <w:rsid w:val="00C27405"/>
    <w:rsid w:val="00C30183"/>
    <w:rsid w:val="00C320E8"/>
    <w:rsid w:val="00C3644F"/>
    <w:rsid w:val="00C460D8"/>
    <w:rsid w:val="00C479C2"/>
    <w:rsid w:val="00C54388"/>
    <w:rsid w:val="00C545B1"/>
    <w:rsid w:val="00C579ED"/>
    <w:rsid w:val="00C70AAE"/>
    <w:rsid w:val="00C71182"/>
    <w:rsid w:val="00C712DE"/>
    <w:rsid w:val="00C8296E"/>
    <w:rsid w:val="00C83C65"/>
    <w:rsid w:val="00C840D0"/>
    <w:rsid w:val="00C90172"/>
    <w:rsid w:val="00C9751F"/>
    <w:rsid w:val="00C9783F"/>
    <w:rsid w:val="00CA3B1B"/>
    <w:rsid w:val="00CA58B5"/>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225CC"/>
    <w:rsid w:val="00D22682"/>
    <w:rsid w:val="00D240C3"/>
    <w:rsid w:val="00D25196"/>
    <w:rsid w:val="00D339BD"/>
    <w:rsid w:val="00D36765"/>
    <w:rsid w:val="00D40309"/>
    <w:rsid w:val="00D46724"/>
    <w:rsid w:val="00D517A4"/>
    <w:rsid w:val="00D53C59"/>
    <w:rsid w:val="00D549F4"/>
    <w:rsid w:val="00D640F5"/>
    <w:rsid w:val="00D674F6"/>
    <w:rsid w:val="00D67CD8"/>
    <w:rsid w:val="00D67F00"/>
    <w:rsid w:val="00D714E2"/>
    <w:rsid w:val="00D76090"/>
    <w:rsid w:val="00D80D74"/>
    <w:rsid w:val="00D82AA0"/>
    <w:rsid w:val="00D8779C"/>
    <w:rsid w:val="00DA098F"/>
    <w:rsid w:val="00DA0ABA"/>
    <w:rsid w:val="00DB0E68"/>
    <w:rsid w:val="00DB196E"/>
    <w:rsid w:val="00DB35A9"/>
    <w:rsid w:val="00DB711B"/>
    <w:rsid w:val="00DC0253"/>
    <w:rsid w:val="00DC4F70"/>
    <w:rsid w:val="00DC6C9C"/>
    <w:rsid w:val="00DC753D"/>
    <w:rsid w:val="00DD0CD4"/>
    <w:rsid w:val="00DD6CBD"/>
    <w:rsid w:val="00DD759E"/>
    <w:rsid w:val="00DE1061"/>
    <w:rsid w:val="00DE2699"/>
    <w:rsid w:val="00DE28AE"/>
    <w:rsid w:val="00DE7B12"/>
    <w:rsid w:val="00E1782A"/>
    <w:rsid w:val="00E25542"/>
    <w:rsid w:val="00E2770C"/>
    <w:rsid w:val="00E30BB5"/>
    <w:rsid w:val="00E31447"/>
    <w:rsid w:val="00E422A2"/>
    <w:rsid w:val="00E51C35"/>
    <w:rsid w:val="00E734C8"/>
    <w:rsid w:val="00E813B7"/>
    <w:rsid w:val="00E81F05"/>
    <w:rsid w:val="00E81FB1"/>
    <w:rsid w:val="00E82874"/>
    <w:rsid w:val="00E9047D"/>
    <w:rsid w:val="00E95E44"/>
    <w:rsid w:val="00EA399C"/>
    <w:rsid w:val="00EB32FA"/>
    <w:rsid w:val="00EB4C19"/>
    <w:rsid w:val="00EB6589"/>
    <w:rsid w:val="00ED2177"/>
    <w:rsid w:val="00ED3B60"/>
    <w:rsid w:val="00EE6547"/>
    <w:rsid w:val="00EE6E92"/>
    <w:rsid w:val="00EF03C9"/>
    <w:rsid w:val="00EF0A8C"/>
    <w:rsid w:val="00EF2B16"/>
    <w:rsid w:val="00EF4B0F"/>
    <w:rsid w:val="00EF5C07"/>
    <w:rsid w:val="00EF6A28"/>
    <w:rsid w:val="00EF6FBF"/>
    <w:rsid w:val="00EF74CF"/>
    <w:rsid w:val="00F05BF1"/>
    <w:rsid w:val="00F06933"/>
    <w:rsid w:val="00F10E8E"/>
    <w:rsid w:val="00F1113D"/>
    <w:rsid w:val="00F209A9"/>
    <w:rsid w:val="00F233FF"/>
    <w:rsid w:val="00F27556"/>
    <w:rsid w:val="00F27C45"/>
    <w:rsid w:val="00F34407"/>
    <w:rsid w:val="00F3539A"/>
    <w:rsid w:val="00F54A52"/>
    <w:rsid w:val="00F646C6"/>
    <w:rsid w:val="00F72D9F"/>
    <w:rsid w:val="00F7452A"/>
    <w:rsid w:val="00F76D55"/>
    <w:rsid w:val="00F800AF"/>
    <w:rsid w:val="00F82AA4"/>
    <w:rsid w:val="00F84498"/>
    <w:rsid w:val="00F91683"/>
    <w:rsid w:val="00FA17FC"/>
    <w:rsid w:val="00FA43CC"/>
    <w:rsid w:val="00FB17AC"/>
    <w:rsid w:val="00FB7051"/>
    <w:rsid w:val="00FC08E1"/>
    <w:rsid w:val="00FC622D"/>
    <w:rsid w:val="00FE2A35"/>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1CE9-2D79-4FDF-B20A-268FCFB2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Goran Skataric</cp:lastModifiedBy>
  <cp:revision>2</cp:revision>
  <cp:lastPrinted>2014-01-30T15:32:00Z</cp:lastPrinted>
  <dcterms:created xsi:type="dcterms:W3CDTF">2021-05-27T06:42:00Z</dcterms:created>
  <dcterms:modified xsi:type="dcterms:W3CDTF">2021-05-27T06:42:00Z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