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67" w:rsidRPr="00BA77B1" w:rsidRDefault="006001CF" w:rsidP="00AB43DE">
      <w:pPr>
        <w:pStyle w:val="Title"/>
        <w:tabs>
          <w:tab w:val="left" w:pos="645"/>
        </w:tabs>
        <w:spacing w:after="120"/>
        <w:ind w:left="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A9F33" wp14:editId="094DD431">
                <wp:simplePos x="0" y="0"/>
                <wp:positionH relativeFrom="column">
                  <wp:posOffset>4717415</wp:posOffset>
                </wp:positionH>
                <wp:positionV relativeFrom="paragraph">
                  <wp:posOffset>234950</wp:posOffset>
                </wp:positionV>
                <wp:extent cx="1787856" cy="1207827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856" cy="120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0907F8" w:rsidRDefault="009857B8" w:rsidP="006001CF">
                            <w:pPr>
                              <w:spacing w:before="0" w:after="0" w:line="240" w:lineRule="auto"/>
                              <w:ind w:right="-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5pt;margin-top:18.5pt;width:140.8pt;height:9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" stroked="f">
                <v:textbox>
                  <w:txbxContent>
                    <w:p w:rsidR="009857B8" w:rsidRPr="000907F8" w:rsidRDefault="009857B8" w:rsidP="006001CF">
                      <w:pPr>
                        <w:spacing w:before="0" w:after="0" w:line="240" w:lineRule="auto"/>
                        <w:ind w:right="-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3DE" w:rsidRPr="00BA77B1">
        <w:rPr>
          <w:rFonts w:ascii="Times New Roman" w:hAnsi="Times New Roman"/>
          <w:szCs w:val="28"/>
        </w:rPr>
        <w:tab/>
      </w:r>
    </w:p>
    <w:p w:rsidR="009857B8" w:rsidRPr="00BA77B1" w:rsidRDefault="00AB43DE" w:rsidP="00BE3E4A">
      <w:pPr>
        <w:pStyle w:val="Title"/>
        <w:tabs>
          <w:tab w:val="left" w:pos="7576"/>
        </w:tabs>
        <w:spacing w:after="12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C9664BF" wp14:editId="4DA6478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068" w:rsidRPr="00BA77B1">
        <w:rPr>
          <w:rFonts w:ascii="Times New Roman" w:hAnsi="Times New Roman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67A89" wp14:editId="620E0287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6C252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BA77B1">
        <w:rPr>
          <w:rFonts w:ascii="Times New Roman" w:hAnsi="Times New Roman"/>
          <w:szCs w:val="28"/>
        </w:rPr>
        <w:t>Crna Gora</w:t>
      </w:r>
    </w:p>
    <w:p w:rsidR="009857B8" w:rsidRPr="00BA77B1" w:rsidRDefault="009857B8" w:rsidP="004D0068">
      <w:pPr>
        <w:pStyle w:val="Title"/>
        <w:tabs>
          <w:tab w:val="center" w:pos="5102"/>
        </w:tabs>
        <w:spacing w:after="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</w:rPr>
        <w:t>Ministarstvo ekon</w:t>
      </w:r>
      <w:r w:rsidR="00B544B2" w:rsidRPr="00BA77B1">
        <w:rPr>
          <w:rFonts w:ascii="Times New Roman" w:hAnsi="Times New Roman"/>
          <w:szCs w:val="28"/>
        </w:rPr>
        <w:t>omskog razvoja</w:t>
      </w:r>
    </w:p>
    <w:p w:rsidR="009857B8" w:rsidRPr="00BA77B1" w:rsidRDefault="006001CF" w:rsidP="00AE69B5">
      <w:pPr>
        <w:pStyle w:val="Heading1"/>
        <w:spacing w:line="276" w:lineRule="auto"/>
        <w:rPr>
          <w:rFonts w:ascii="Times New Roman" w:hAnsi="Times New Roman" w:cs="Times New Roman"/>
          <w:szCs w:val="24"/>
        </w:rPr>
      </w:pPr>
      <w:r w:rsidRPr="00BA77B1">
        <w:rPr>
          <w:rFonts w:ascii="Times New Roman" w:hAnsi="Times New Roman" w:cs="Times New Roman"/>
          <w:szCs w:val="24"/>
        </w:rPr>
        <w:t xml:space="preserve"> </w:t>
      </w:r>
    </w:p>
    <w:p w:rsidR="00997452" w:rsidRPr="00BA77B1" w:rsidRDefault="000F2BFC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ab/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</w:t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  </w:t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</w:p>
    <w:p w:rsidR="005B20A9" w:rsidRPr="00BA77B1" w:rsidRDefault="005B20A9" w:rsidP="005B20A9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763FE0">
        <w:rPr>
          <w:rFonts w:ascii="Times New Roman" w:hAnsi="Times New Roman" w:cs="Times New Roman"/>
          <w:bCs/>
          <w:sz w:val="22"/>
          <w:lang w:val="hr-HR"/>
        </w:rPr>
        <w:t>Podgorica,</w:t>
      </w:r>
      <w:r w:rsidR="00763FE0" w:rsidRPr="00763FE0">
        <w:rPr>
          <w:rFonts w:ascii="Times New Roman" w:hAnsi="Times New Roman" w:cs="Times New Roman"/>
          <w:bCs/>
          <w:sz w:val="22"/>
          <w:lang w:val="hr-HR"/>
        </w:rPr>
        <w:t>27</w:t>
      </w:r>
      <w:r w:rsidRPr="00763FE0">
        <w:rPr>
          <w:rFonts w:ascii="Times New Roman" w:hAnsi="Times New Roman" w:cs="Times New Roman"/>
          <w:bCs/>
          <w:sz w:val="22"/>
          <w:lang w:val="hr-HR"/>
        </w:rPr>
        <w:t>. 04. 2022. godine</w:t>
      </w:r>
    </w:p>
    <w:p w:rsidR="005B20A9" w:rsidRPr="00BA77B1" w:rsidRDefault="005B20A9" w:rsidP="005B20A9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2"/>
          <w:lang w:val="hr-HR"/>
        </w:rPr>
        <w:t xml:space="preserve">                                         </w:t>
      </w: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Broj: </w:t>
      </w:r>
      <w:r>
        <w:rPr>
          <w:rFonts w:ascii="Times New Roman" w:hAnsi="Times New Roman" w:cs="Times New Roman"/>
          <w:bCs/>
          <w:sz w:val="22"/>
          <w:lang w:val="hr-HR"/>
        </w:rPr>
        <w:t>018-330/22-7390/1</w:t>
      </w:r>
    </w:p>
    <w:p w:rsidR="00BB767D" w:rsidRPr="0090443B" w:rsidRDefault="00BB767D" w:rsidP="00F92952">
      <w:pPr>
        <w:spacing w:after="0"/>
        <w:jc w:val="left"/>
        <w:rPr>
          <w:rFonts w:ascii="Times New Roman" w:hAnsi="Times New Roman" w:cs="Times New Roman"/>
          <w:noProof/>
          <w:sz w:val="16"/>
          <w:szCs w:val="16"/>
          <w:lang w:val="hr-HR"/>
        </w:rPr>
      </w:pPr>
    </w:p>
    <w:p w:rsidR="006001CF" w:rsidRPr="00BA77B1" w:rsidRDefault="006001CF" w:rsidP="000E6201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szCs w:val="24"/>
          <w:lang w:val="hr-HR"/>
        </w:rPr>
      </w:pPr>
    </w:p>
    <w:p w:rsidR="00612DF9" w:rsidRPr="00BA77B1" w:rsidRDefault="00612DF9" w:rsidP="000E6201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</w:rPr>
      </w:pPr>
    </w:p>
    <w:p w:rsidR="00612DF9" w:rsidRPr="0090443B" w:rsidRDefault="007A25BC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  <w:r w:rsidRPr="00BA77B1">
        <w:rPr>
          <w:rFonts w:ascii="Times New Roman" w:hAnsi="Times New Roman" w:cs="Times New Roman"/>
          <w:noProof/>
          <w:sz w:val="22"/>
        </w:rPr>
        <w:t xml:space="preserve"> </w:t>
      </w:r>
      <w:r w:rsidR="00612DF9" w:rsidRPr="0090443B">
        <w:rPr>
          <w:rFonts w:ascii="Times New Roman" w:hAnsi="Times New Roman" w:cs="Times New Roman"/>
          <w:noProof/>
          <w:sz w:val="22"/>
          <w:lang w:val="hr-HR"/>
        </w:rPr>
        <w:t xml:space="preserve">U skladu sa Zaključkom Vlade Crne Gore broj: </w:t>
      </w:r>
      <w:r w:rsidR="00763FE0" w:rsidRPr="00763FE0">
        <w:rPr>
          <w:rFonts w:ascii="Times New Roman" w:hAnsi="Times New Roman" w:cs="Times New Roman"/>
          <w:noProof/>
          <w:sz w:val="22"/>
          <w:lang w:val="hr-HR"/>
        </w:rPr>
        <w:t xml:space="preserve">04-2181/2 od 20. aprila </w:t>
      </w:r>
      <w:r w:rsidR="004642DE">
        <w:rPr>
          <w:rFonts w:ascii="Times New Roman" w:hAnsi="Times New Roman" w:cs="Times New Roman"/>
          <w:noProof/>
          <w:sz w:val="22"/>
          <w:lang w:val="hr-HR"/>
        </w:rPr>
        <w:t>2022</w:t>
      </w:r>
      <w:r w:rsidR="00612DF9" w:rsidRPr="0090443B">
        <w:rPr>
          <w:rFonts w:ascii="Times New Roman" w:hAnsi="Times New Roman" w:cs="Times New Roman"/>
          <w:noProof/>
          <w:sz w:val="22"/>
          <w:lang w:val="hr-HR"/>
        </w:rPr>
        <w:t xml:space="preserve">. godine, </w:t>
      </w:r>
      <w:r w:rsidR="00612DF9" w:rsidRPr="0090443B">
        <w:rPr>
          <w:rFonts w:ascii="Times New Roman" w:hAnsi="Times New Roman" w:cs="Times New Roman"/>
          <w:bCs/>
          <w:noProof/>
          <w:sz w:val="22"/>
          <w:lang w:val="hr-HR"/>
        </w:rPr>
        <w:t>Ministarstvo ekonomskog razvoja objavljuje:</w:t>
      </w: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</w:p>
    <w:p w:rsidR="00612DF9" w:rsidRPr="0090443B" w:rsidRDefault="00612DF9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val="hr-HR"/>
        </w:rPr>
      </w:pPr>
      <w:r w:rsidRPr="0090443B">
        <w:rPr>
          <w:rFonts w:ascii="Times New Roman" w:hAnsi="Times New Roman" w:cs="Times New Roman"/>
          <w:b/>
          <w:bCs/>
          <w:noProof/>
          <w:sz w:val="40"/>
          <w:szCs w:val="40"/>
          <w:lang w:val="hr-HR"/>
        </w:rPr>
        <w:t>J A V N I    P O Z I V</w:t>
      </w: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lang w:val="hr-HR"/>
        </w:rPr>
      </w:pPr>
    </w:p>
    <w:p w:rsidR="00612DF9" w:rsidRPr="00BA77B1" w:rsidRDefault="00612DF9" w:rsidP="0090443B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noProof/>
          <w:sz w:val="22"/>
          <w:lang w:val="sr-Latn-RS"/>
        </w:rPr>
      </w:pPr>
      <w:r w:rsidRPr="0090443B">
        <w:rPr>
          <w:rFonts w:ascii="Times New Roman" w:hAnsi="Times New Roman" w:cs="Times New Roman"/>
          <w:noProof/>
          <w:sz w:val="22"/>
          <w:lang w:val="hr-HR"/>
        </w:rPr>
        <w:t xml:space="preserve">za podnošenje zahtjeva za dobijanje </w:t>
      </w:r>
      <w:r w:rsidRPr="00BA77B1">
        <w:rPr>
          <w:rFonts w:ascii="Times New Roman" w:hAnsi="Times New Roman" w:cs="Times New Roman"/>
          <w:noProof/>
          <w:sz w:val="22"/>
          <w:lang w:val="sr-Latn-RS"/>
        </w:rPr>
        <w:t>podrške za pro</w:t>
      </w:r>
      <w:r w:rsidR="004642DE">
        <w:rPr>
          <w:rFonts w:ascii="Times New Roman" w:hAnsi="Times New Roman" w:cs="Times New Roman"/>
          <w:noProof/>
          <w:sz w:val="22"/>
          <w:lang w:val="sr-Latn-RS"/>
        </w:rPr>
        <w:t>jekte iz oblasti turizma za 2022</w:t>
      </w:r>
      <w:r w:rsidRPr="00BA77B1">
        <w:rPr>
          <w:rFonts w:ascii="Times New Roman" w:hAnsi="Times New Roman" w:cs="Times New Roman"/>
          <w:noProof/>
          <w:sz w:val="22"/>
          <w:lang w:val="sr-Latn-RS"/>
        </w:rPr>
        <w:t>.godinu</w:t>
      </w: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3A383C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  <w:r w:rsidRPr="003A383C"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  <w:t>MJERA II</w:t>
      </w:r>
      <w:r w:rsidR="002024EE"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  <w:t xml:space="preserve">I - </w:t>
      </w:r>
      <w:r w:rsidR="002024EE" w:rsidRPr="002024EE"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  <w:t>UNAPREĐENJE PONUDE I PODIZANJE KVALITETA USLUGA U RURALNOM TURIZMU</w:t>
      </w: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612DF9" w:rsidP="002024EE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iCs/>
          <w:noProof/>
          <w:sz w:val="22"/>
          <w:lang w:val="sr-Latn-CS"/>
        </w:rPr>
      </w:pPr>
      <w:r w:rsidRPr="00BA77B1">
        <w:rPr>
          <w:rFonts w:ascii="Times New Roman" w:hAnsi="Times New Roman" w:cs="Times New Roman"/>
          <w:b/>
          <w:iCs/>
          <w:noProof/>
          <w:sz w:val="22"/>
          <w:lang w:val="sr-Latn-CS"/>
        </w:rPr>
        <w:t>Predmet podrške:</w:t>
      </w:r>
      <w:r w:rsidRPr="00BA77B1">
        <w:rPr>
          <w:rFonts w:ascii="Times New Roman" w:hAnsi="Times New Roman" w:cs="Times New Roman"/>
          <w:iCs/>
          <w:noProof/>
          <w:sz w:val="22"/>
          <w:lang w:val="sr-Latn-CS"/>
        </w:rPr>
        <w:t xml:space="preserve"> </w:t>
      </w:r>
      <w:r w:rsidR="002024EE" w:rsidRPr="002024EE">
        <w:rPr>
          <w:rFonts w:ascii="Times New Roman" w:hAnsi="Times New Roman" w:cs="Times New Roman"/>
          <w:iCs/>
          <w:noProof/>
          <w:sz w:val="22"/>
          <w:lang w:val="sr-Latn-CS"/>
        </w:rPr>
        <w:t>poboljšanje uslova za razvoj ruralnog turizma kroz unapređenje kvaliteta ponude u seoskim domaćinstvima.</w:t>
      </w:r>
    </w:p>
    <w:p w:rsidR="00612DF9" w:rsidRPr="00BA77B1" w:rsidRDefault="00612DF9" w:rsidP="00612DF9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iCs/>
          <w:noProof/>
          <w:sz w:val="22"/>
          <w:lang w:val="sr-Latn-CS"/>
        </w:rPr>
      </w:pPr>
      <w:r w:rsidRPr="00BA77B1">
        <w:rPr>
          <w:rFonts w:ascii="Times New Roman" w:hAnsi="Times New Roman" w:cs="Times New Roman"/>
          <w:b/>
          <w:iCs/>
          <w:noProof/>
          <w:sz w:val="22"/>
          <w:lang w:val="sr-Latn-CS"/>
        </w:rPr>
        <w:t>Ukupan iznos sredstava</w:t>
      </w:r>
      <w:r w:rsidR="002024EE">
        <w:rPr>
          <w:rFonts w:ascii="Times New Roman" w:hAnsi="Times New Roman" w:cs="Times New Roman"/>
          <w:iCs/>
          <w:noProof/>
          <w:sz w:val="22"/>
          <w:lang w:val="sr-Latn-CS"/>
        </w:rPr>
        <w:t>: 6</w:t>
      </w:r>
      <w:r w:rsidRPr="00BA77B1">
        <w:rPr>
          <w:rFonts w:ascii="Times New Roman" w:hAnsi="Times New Roman" w:cs="Times New Roman"/>
          <w:iCs/>
          <w:noProof/>
          <w:sz w:val="22"/>
          <w:lang w:val="sr-Latn-CS"/>
        </w:rPr>
        <w:t>0.000,00 €;</w:t>
      </w:r>
    </w:p>
    <w:p w:rsidR="004642DE" w:rsidRPr="007F22F5" w:rsidRDefault="00612DF9" w:rsidP="002024EE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sr-Latn-RS"/>
        </w:rPr>
      </w:pPr>
      <w:r w:rsidRPr="00BA77B1">
        <w:rPr>
          <w:rFonts w:ascii="Times New Roman" w:hAnsi="Times New Roman" w:cs="Times New Roman"/>
          <w:b/>
          <w:noProof/>
          <w:sz w:val="22"/>
          <w:lang w:val="sr-Latn-RS"/>
        </w:rPr>
        <w:t>Korisnici</w:t>
      </w:r>
      <w:r w:rsidR="0090443B">
        <w:rPr>
          <w:rFonts w:ascii="Times New Roman" w:hAnsi="Times New Roman" w:cs="Times New Roman"/>
          <w:b/>
          <w:noProof/>
          <w:sz w:val="22"/>
          <w:lang w:val="sr-Latn-RS"/>
        </w:rPr>
        <w:t>:</w:t>
      </w:r>
      <w:r w:rsidR="007F22F5">
        <w:rPr>
          <w:rFonts w:ascii="Times New Roman" w:hAnsi="Times New Roman" w:cs="Times New Roman"/>
          <w:b/>
          <w:noProof/>
          <w:sz w:val="22"/>
          <w:lang w:val="sr-Latn-RS"/>
        </w:rPr>
        <w:t xml:space="preserve"> </w:t>
      </w:r>
      <w:r w:rsidR="002024EE" w:rsidRPr="002024EE">
        <w:rPr>
          <w:rFonts w:ascii="Times New Roman" w:hAnsi="Times New Roman" w:cs="Times New Roman"/>
          <w:noProof/>
          <w:sz w:val="22"/>
          <w:lang w:val="sr-Latn-RS"/>
        </w:rPr>
        <w:t>Privredna društva, druga pravna lica, preduzetnici i fizička lica pružaoci ugostiteljskih usluga u seoskom domaćinstvu koji ispunjavaju uslove za obavljanje te djelatnosti utvrđene Zakonom o turizmu i ugostiteljstvu ("Službeni list Crne Gore", br. 002/18, 004/18, 013/18, 025/19, 067/19, 076/20, 130/21).</w:t>
      </w:r>
    </w:p>
    <w:p w:rsidR="007F22F5" w:rsidRPr="007F22F5" w:rsidRDefault="007F22F5" w:rsidP="007F22F5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noProof/>
          <w:sz w:val="22"/>
          <w:lang w:val="sr-Latn-RS"/>
        </w:rPr>
      </w:pPr>
    </w:p>
    <w:p w:rsidR="004642DE" w:rsidRDefault="004642DE" w:rsidP="004642DE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  <w:r w:rsidRPr="007F22F5">
        <w:rPr>
          <w:rFonts w:ascii="Times New Roman" w:hAnsi="Times New Roman" w:cs="Times New Roman"/>
          <w:noProof/>
          <w:sz w:val="22"/>
          <w:lang w:val="sr-Latn-RS"/>
        </w:rPr>
        <w:t>Podnosilac zahtjeva može aplicirati samo sa jednim projektom.</w:t>
      </w:r>
    </w:p>
    <w:p w:rsidR="002024EE" w:rsidRDefault="002024EE" w:rsidP="004642DE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highlight w:val="yellow"/>
          <w:lang w:val="sr-Latn-CS"/>
        </w:rPr>
      </w:pPr>
      <w:r w:rsidRPr="002024EE">
        <w:rPr>
          <w:rFonts w:ascii="Times New Roman" w:eastAsia="Times New Roman" w:hAnsi="Times New Roman" w:cs="Times New Roman"/>
          <w:b/>
          <w:color w:val="000000"/>
          <w:sz w:val="22"/>
          <w:lang w:val="sr-Latn-CS"/>
        </w:rPr>
        <w:t>NAPOMENA:</w:t>
      </w:r>
      <w:r w:rsidRPr="002024EE">
        <w:rPr>
          <w:rFonts w:ascii="Times New Roman" w:eastAsia="Times New Roman" w:hAnsi="Times New Roman" w:cs="Times New Roman"/>
          <w:color w:val="000000"/>
          <w:sz w:val="22"/>
          <w:lang w:val="sr-Latn-CS"/>
        </w:rPr>
        <w:t xml:space="preserve"> </w:t>
      </w:r>
      <w:r w:rsidRPr="002024EE">
        <w:rPr>
          <w:rFonts w:ascii="Times New Roman" w:eastAsia="Times New Roman" w:hAnsi="Times New Roman" w:cs="Times New Roman"/>
          <w:b/>
          <w:color w:val="000000"/>
          <w:sz w:val="22"/>
          <w:lang w:val="sr-Latn-CS"/>
        </w:rPr>
        <w:t>Pravo učešća na Javni poziv imaju seoska domaćinstva koja su kategorisana do datuma objavljivanja Javnog poziva.</w:t>
      </w:r>
    </w:p>
    <w:p w:rsidR="004642DE" w:rsidRPr="007F22F5" w:rsidRDefault="004642DE" w:rsidP="004642DE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sr-Latn-RS"/>
        </w:rPr>
      </w:pPr>
    </w:p>
    <w:p w:rsidR="004642DE" w:rsidRPr="004642DE" w:rsidRDefault="004642DE" w:rsidP="004642DE">
      <w:pPr>
        <w:pStyle w:val="ListParagraph"/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en-US"/>
        </w:rPr>
      </w:pPr>
      <w:r w:rsidRPr="004642DE">
        <w:rPr>
          <w:rFonts w:ascii="Times New Roman" w:hAnsi="Times New Roman" w:cs="Times New Roman"/>
          <w:b/>
          <w:noProof/>
          <w:sz w:val="22"/>
          <w:lang w:val="en-US"/>
        </w:rPr>
        <w:t>Namjena sredstava</w:t>
      </w:r>
    </w:p>
    <w:p w:rsidR="004642DE" w:rsidRDefault="004642DE" w:rsidP="004642DE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noProof/>
          <w:sz w:val="22"/>
          <w:lang w:val="en-US"/>
        </w:rPr>
      </w:pP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sr-Latn-CS"/>
        </w:rPr>
      </w:pPr>
      <w:r w:rsidRPr="002024EE">
        <w:rPr>
          <w:rFonts w:ascii="Times New Roman" w:eastAsia="Times New Roman" w:hAnsi="Times New Roman" w:cs="Times New Roman"/>
          <w:color w:val="000000"/>
          <w:sz w:val="22"/>
          <w:lang w:val="sr-Latn-CS"/>
        </w:rPr>
        <w:t>Sredstva se mogu koristiti za unapređenje i razvoj  postojeće ponude kao i uvođenje nove ponude u ruralnom turizmu i to za:</w:t>
      </w: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sr-Latn-CS"/>
        </w:rPr>
      </w:pP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FF0000"/>
          <w:sz w:val="22"/>
          <w:lang w:val="sr-Latn-CS"/>
        </w:rPr>
      </w:pPr>
      <w:r w:rsidRPr="002024EE">
        <w:rPr>
          <w:rFonts w:ascii="Times New Roman" w:eastAsia="Times New Roman" w:hAnsi="Times New Roman" w:cs="Times New Roman"/>
          <w:color w:val="000000"/>
          <w:sz w:val="22"/>
          <w:lang w:val="sr-Latn-CS"/>
        </w:rPr>
        <w:t xml:space="preserve">-  razvoj i unapređenje dodatnih sadržaja kao i objedinjavanje ponuda koje se pružaju u seoskom domaćinstvu: sportsko – rekreativni sadrzaji (rekviziti za košarku, mali fudbal, odbojku,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fitnes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sprave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, </w:t>
      </w:r>
      <w:r w:rsidRPr="002024EE">
        <w:rPr>
          <w:rFonts w:ascii="Times New Roman" w:eastAsia="Times New Roman" w:hAnsi="Times New Roman" w:cs="Times New Roman"/>
          <w:color w:val="000000"/>
          <w:sz w:val="22"/>
          <w:lang w:val="sr-Latn-CS"/>
        </w:rPr>
        <w:t xml:space="preserve">sto za stoni tenis i sl.),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dvori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>š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ni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mobilijar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(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ro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>š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tilj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,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sa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č,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nadstre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>š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nica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,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klupe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za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sje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>đ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enje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, 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ljulja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>š</w:t>
      </w:r>
      <w:r w:rsidRPr="002024EE">
        <w:rPr>
          <w:rFonts w:ascii="Times New Roman" w:eastAsia="Times New Roman" w:hAnsi="Times New Roman" w:cs="Times New Roman"/>
          <w:sz w:val="22"/>
          <w:lang w:val="de-DE"/>
        </w:rPr>
        <w:t>ke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, sadržaji za djecu), papirna / kartonska ambalaza za pakovanje sertifikovanih domaćih 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lastRenderedPageBreak/>
        <w:t xml:space="preserve">proizvoda,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ure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>đ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ivanje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izlozbenog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>-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prodajnog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prostora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namijenjenog za sertifikovane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doma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>ć</w:t>
      </w:r>
      <w:r w:rsidRPr="002024EE">
        <w:rPr>
          <w:rFonts w:ascii="Times New Roman" w:eastAsia="Times New Roman" w:hAnsi="Times New Roman" w:cs="Times New Roman"/>
          <w:sz w:val="22"/>
          <w:lang w:val="en-US"/>
        </w:rPr>
        <w:t>e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proizvode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,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tematski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r w:rsidRPr="002024EE">
        <w:rPr>
          <w:rFonts w:ascii="Times New Roman" w:eastAsia="Times New Roman" w:hAnsi="Times New Roman" w:cs="Times New Roman"/>
          <w:sz w:val="22"/>
          <w:lang w:val="en-US"/>
        </w:rPr>
        <w:t>i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zabavni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parkovi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r w:rsidRPr="002024EE">
        <w:rPr>
          <w:rFonts w:ascii="Times New Roman" w:eastAsia="Times New Roman" w:hAnsi="Times New Roman" w:cs="Times New Roman"/>
          <w:sz w:val="22"/>
          <w:lang w:val="en-US"/>
        </w:rPr>
        <w:t>u</w:t>
      </w:r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seskom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 xml:space="preserve"> 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doma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>ć</w:t>
      </w:r>
      <w:proofErr w:type="spellStart"/>
      <w:r w:rsidRPr="002024EE">
        <w:rPr>
          <w:rFonts w:ascii="Times New Roman" w:eastAsia="Times New Roman" w:hAnsi="Times New Roman" w:cs="Times New Roman"/>
          <w:sz w:val="22"/>
          <w:lang w:val="en-US"/>
        </w:rPr>
        <w:t>instvu</w:t>
      </w:r>
      <w:proofErr w:type="spellEnd"/>
      <w:r w:rsidRPr="002024EE">
        <w:rPr>
          <w:rFonts w:ascii="Times New Roman" w:eastAsia="Times New Roman" w:hAnsi="Times New Roman" w:cs="Times New Roman"/>
          <w:sz w:val="22"/>
          <w:lang w:val="sr-Latn-CS"/>
        </w:rPr>
        <w:t>;</w:t>
      </w: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sr-Latn-CS"/>
        </w:rPr>
      </w:pPr>
      <w:r w:rsidRPr="002024EE">
        <w:rPr>
          <w:rFonts w:ascii="Times New Roman" w:eastAsia="Times New Roman" w:hAnsi="Times New Roman" w:cs="Times New Roman"/>
          <w:color w:val="000000"/>
          <w:sz w:val="22"/>
          <w:lang w:val="sr-Latn-CS"/>
        </w:rPr>
        <w:t>-   stvaranje preduslova za pružanje usluga osobama sa invaliditetom;</w:t>
      </w: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sr-Latn-CS"/>
        </w:rPr>
      </w:pPr>
      <w:r w:rsidRPr="002024EE">
        <w:rPr>
          <w:rFonts w:ascii="Times New Roman" w:eastAsia="Times New Roman" w:hAnsi="Times New Roman" w:cs="Times New Roman"/>
          <w:color w:val="000000"/>
          <w:sz w:val="22"/>
          <w:lang w:val="sr-Latn-CS"/>
        </w:rPr>
        <w:t>-   proširenje smještajnih kapaciteta;</w:t>
      </w: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FF0000"/>
          <w:sz w:val="22"/>
          <w:lang w:val="sr-Latn-CS"/>
        </w:rPr>
      </w:pPr>
      <w:r w:rsidRPr="002024EE">
        <w:rPr>
          <w:rFonts w:ascii="Times New Roman" w:eastAsia="Times New Roman" w:hAnsi="Times New Roman" w:cs="Times New Roman"/>
          <w:color w:val="000000"/>
          <w:sz w:val="22"/>
          <w:lang w:val="sr-Latn-CS"/>
        </w:rPr>
        <w:t>- unapređenje uslova i kvaliteta u postojećim kapacitetima (kuhinji, kupatilu, smještajnim jedinicama).</w:t>
      </w: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FF0000"/>
          <w:sz w:val="22"/>
          <w:lang w:val="sr-Latn-CS"/>
        </w:rPr>
      </w:pPr>
    </w:p>
    <w:p w:rsidR="002024EE" w:rsidRPr="002024EE" w:rsidRDefault="002024EE" w:rsidP="002024EE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b/>
          <w:sz w:val="22"/>
          <w:lang w:val="sr-Latn-CS"/>
        </w:rPr>
      </w:pPr>
      <w:r w:rsidRPr="002024EE">
        <w:rPr>
          <w:rFonts w:ascii="Times New Roman" w:eastAsia="Times New Roman" w:hAnsi="Times New Roman" w:cs="Times New Roman"/>
          <w:b/>
          <w:sz w:val="22"/>
          <w:lang w:val="sr-Latn-CS"/>
        </w:rPr>
        <w:t>NAPOMENA: Ukoliko se povećava broj smještajnih kapaciteta – smještajnih jedinica u objektu, korisnik sredstava je dužan da odmah nakon završene realizacije investicije, uz završni izvještaj dostavi i novo odobrenje za obavljanje ugostiteljske djelatnosti u kojem će biti obuhvaćeni novi kapaciteti.</w:t>
      </w:r>
    </w:p>
    <w:p w:rsidR="007F22F5" w:rsidRPr="002024EE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CS"/>
        </w:rPr>
      </w:pPr>
    </w:p>
    <w:p w:rsidR="004642DE" w:rsidRDefault="004642DE" w:rsidP="004642DE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lang w:val="de-DE"/>
        </w:rPr>
      </w:pPr>
      <w:r w:rsidRPr="008B794E">
        <w:rPr>
          <w:rFonts w:ascii="Times New Roman" w:hAnsi="Times New Roman" w:cs="Times New Roman"/>
          <w:b/>
          <w:bCs/>
          <w:noProof/>
          <w:sz w:val="22"/>
          <w:lang w:val="de-DE"/>
        </w:rPr>
        <w:t xml:space="preserve">Sredstva se ne mogu koristiti </w:t>
      </w:r>
      <w:r>
        <w:rPr>
          <w:rFonts w:ascii="Times New Roman" w:hAnsi="Times New Roman" w:cs="Times New Roman"/>
          <w:b/>
          <w:bCs/>
          <w:noProof/>
          <w:sz w:val="22"/>
          <w:lang w:val="de-DE"/>
        </w:rPr>
        <w:t>za:</w:t>
      </w:r>
    </w:p>
    <w:p w:rsidR="004642DE" w:rsidRPr="008B794E" w:rsidRDefault="004642DE" w:rsidP="004642DE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bCs/>
          <w:noProof/>
          <w:sz w:val="22"/>
          <w:lang w:val="de-DE"/>
        </w:rPr>
      </w:pPr>
    </w:p>
    <w:p w:rsidR="002024EE" w:rsidRPr="002024EE" w:rsidRDefault="002024EE" w:rsidP="002024EE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- </w:t>
      </w:r>
      <w:r w:rsidRPr="002024EE">
        <w:rPr>
          <w:rFonts w:ascii="Times New Roman" w:eastAsia="Times New Roman" w:hAnsi="Times New Roman" w:cs="Times New Roman"/>
          <w:color w:val="000000"/>
          <w:sz w:val="22"/>
          <w:lang w:val="de-DE"/>
        </w:rPr>
        <w:t>kupovinu nekretnine;</w:t>
      </w:r>
    </w:p>
    <w:p w:rsidR="002024EE" w:rsidRPr="002024EE" w:rsidRDefault="002024EE" w:rsidP="002024EE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- </w:t>
      </w:r>
      <w:r w:rsidRPr="002024EE">
        <w:rPr>
          <w:rFonts w:ascii="Times New Roman" w:eastAsia="Times New Roman" w:hAnsi="Times New Roman" w:cs="Times New Roman"/>
          <w:color w:val="000000"/>
          <w:sz w:val="22"/>
          <w:lang w:val="de-DE"/>
        </w:rPr>
        <w:t>troškove redovnog poslovanja (plate, pokriće gubitaka, poreze i doprinose, otplatu kredita ili bilo koje druge obaveze, izradu studija, elaborata, projektne i druge dokumentacije i sl.);</w:t>
      </w:r>
    </w:p>
    <w:p w:rsidR="002024EE" w:rsidRPr="002024EE" w:rsidRDefault="002024EE" w:rsidP="002024EE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2024EE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- iznajmljivanje i kupovinu vozila; </w:t>
      </w:r>
    </w:p>
    <w:p w:rsidR="0016179C" w:rsidRPr="002024EE" w:rsidRDefault="002024EE" w:rsidP="002024EE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2024EE">
        <w:rPr>
          <w:rFonts w:ascii="Times New Roman" w:eastAsia="Times New Roman" w:hAnsi="Times New Roman" w:cs="Times New Roman"/>
          <w:color w:val="000000"/>
          <w:sz w:val="22"/>
          <w:lang w:val="de-DE"/>
        </w:rPr>
        <w:t>- ostale troškove koji se ne odnose na planirane investicije.</w:t>
      </w:r>
    </w:p>
    <w:p w:rsidR="002024EE" w:rsidRPr="002024EE" w:rsidRDefault="002024EE" w:rsidP="002024EE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16179C" w:rsidRPr="0016179C" w:rsidRDefault="0016179C" w:rsidP="0016179C">
      <w:pPr>
        <w:pStyle w:val="ListParagraph"/>
        <w:widowControl w:val="0"/>
        <w:numPr>
          <w:ilvl w:val="0"/>
          <w:numId w:val="12"/>
        </w:numPr>
        <w:spacing w:before="0" w:after="0" w:line="276" w:lineRule="auto"/>
        <w:ind w:right="347"/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>Rok</w:t>
      </w:r>
      <w:proofErr w:type="spellEnd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>realizacije</w:t>
      </w:r>
      <w:proofErr w:type="spellEnd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 xml:space="preserve"> </w:t>
      </w:r>
    </w:p>
    <w:p w:rsidR="0016179C" w:rsidRPr="0016179C" w:rsidRDefault="0016179C" w:rsidP="0016179C">
      <w:pPr>
        <w:widowControl w:val="0"/>
        <w:spacing w:before="0" w:after="0" w:line="276" w:lineRule="auto"/>
        <w:ind w:left="360" w:right="347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6179C" w:rsidRPr="0016179C" w:rsidRDefault="0016179C" w:rsidP="0016179C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Rok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projekata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najkasnije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do 31.12.2022. </w:t>
      </w:r>
      <w:proofErr w:type="spellStart"/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godine</w:t>
      </w:r>
      <w:proofErr w:type="spellEnd"/>
      <w:proofErr w:type="gram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6D7379" w:rsidRPr="006D7379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182669" w:rsidRDefault="00336402" w:rsidP="0085400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Iznos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podrške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i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prihvatljivost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troškova</w:t>
      </w:r>
      <w:proofErr w:type="spellEnd"/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Maksimalan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može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odobriti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do 80%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ukupne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vrijednosti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investicije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odnosno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maksimalan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5.000,00 €.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u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obavezi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obezbijedi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  <w:proofErr w:type="gramEnd"/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ne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može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kao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svoje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učešće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sufinansiranju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investicije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prikazati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: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koja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investirana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periodu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do 01.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januara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2022.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godine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, i/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koja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planiraju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investirati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periodu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prihvaćene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investicije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50%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odobrenih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biće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uplaćen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potpisivanja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ugovora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preostalih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od 50%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će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uplatiti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dostavljanja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dokaza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namjenskom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trošenju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ukupnog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046F7A" w:rsidRPr="003A383C" w:rsidRDefault="00046F7A" w:rsidP="00046F7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3A383C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gramStart"/>
      <w:r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8 </w:t>
      </w:r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.</w:t>
      </w:r>
      <w:proofErr w:type="gramEnd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Potrebna</w:t>
      </w:r>
      <w:proofErr w:type="spellEnd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dokumentacija</w:t>
      </w:r>
      <w:proofErr w:type="spellEnd"/>
    </w:p>
    <w:p w:rsidR="00336402" w:rsidRPr="003A383C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a)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Popunjen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zahtjev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objavljuje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uz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Javni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poziv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)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obrazloženjem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svakom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kriterijumu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ocjenjuje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b)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Finansijski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plan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precizno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obrazloženim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stavkama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odnose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visinu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sopstvenih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traženih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c)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Izjava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da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će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seosko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domaćinstvo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pružati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usluge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minimum 3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godine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od dana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potpisivanja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ugovora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d)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Rješenje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odobrenju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obavljanje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ugostiteljske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djelatnosti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vrste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seoskog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domaćinstva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rješenje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kategorizaciji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ugostiteljskog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objekta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e)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Potvrda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dobijenim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sredstvima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strane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državnih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/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opštinskih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organa/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institucija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njihovom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namjenskom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korišćenju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protekle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tri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godine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lastRenderedPageBreak/>
        <w:t xml:space="preserve">f)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Dokaz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izdat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nadležnog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poreskog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organa da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izmirene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sve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obaveze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osnovu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poreza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doprinosa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prethodnu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(2021.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godinu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).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g)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Izjava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pod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punom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materijalnom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krivičnom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odgovornošću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svi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podaci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dati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zahtjevu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tačni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h)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Dokaz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izdat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nadležnog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organa o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ostvarenom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prometu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broju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noćenja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) za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prethodnu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godinu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2021.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godinu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i)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Ukoliko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radi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nabavci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papirne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/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kartonske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ambalaže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proofErr w:type="gram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  <w:proofErr w:type="gram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izlaganju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domaćih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proizvoda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izložbenom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prostoru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neophodno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dostaviti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sertifikat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Uprave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bezbijednost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hrane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da je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proizvod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ispravan</w:t>
      </w:r>
      <w:proofErr w:type="spellEnd"/>
      <w:r w:rsidRPr="00046F7A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046F7A" w:rsidRPr="00046F7A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021AB3" w:rsidRPr="005B20A9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Ministarstvo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ekonomskog razvoja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zadržava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pravo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da </w:t>
      </w:r>
      <w:proofErr w:type="gram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gram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podnosioca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zatraži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dodatnu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dokumentaciju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pojašnjenja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046F7A" w:rsidRPr="005B20A9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5B20A9" w:rsidRDefault="00021AB3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proofErr w:type="spellStart"/>
      <w:proofErr w:type="gram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Dokumentacija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podnijeta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Javnom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pozivu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se ne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vraća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podnosiocu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zahtjeva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.</w:t>
      </w:r>
      <w:proofErr w:type="gramEnd"/>
    </w:p>
    <w:p w:rsidR="00021AB3" w:rsidRPr="005B20A9" w:rsidRDefault="00021AB3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</w:p>
    <w:p w:rsidR="00336402" w:rsidRPr="005B20A9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9</w:t>
      </w:r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.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Objava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Javnog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poziva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5B20A9" w:rsidRDefault="00021AB3" w:rsidP="00046F7A">
      <w:pPr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Javni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poziv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za </w:t>
      </w:r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MJERU III - Unapređenje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ponude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i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podizanje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kvaliteta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usluga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u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ruralnom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turizmu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u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trajanju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gram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od</w:t>
      </w:r>
      <w:proofErr w:type="gram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21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dan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od dana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objavljivanja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Javnog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poziva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,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biće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objavljen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na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internet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stranici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Ministarstva ekonomskog razvoja i u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jednom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štampanom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mediju</w:t>
      </w:r>
      <w:proofErr w:type="spellEnd"/>
      <w:r w:rsidR="00336402"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.</w:t>
      </w:r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5B20A9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10</w:t>
      </w:r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.</w:t>
      </w:r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Zahtjevi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koji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se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neće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razmatrati</w:t>
      </w:r>
      <w:proofErr w:type="spellEnd"/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5D197E" w:rsidRPr="005B20A9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a) </w:t>
      </w:r>
      <w:proofErr w:type="spellStart"/>
      <w:proofErr w:type="gram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zahtjevi</w:t>
      </w:r>
      <w:proofErr w:type="spellEnd"/>
      <w:proofErr w:type="gram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čija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dokumentacija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nije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kompletna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, u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smislu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tačke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8.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Programa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;</w:t>
      </w:r>
    </w:p>
    <w:p w:rsidR="005D197E" w:rsidRPr="005B20A9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b) </w:t>
      </w:r>
      <w:proofErr w:type="spellStart"/>
      <w:proofErr w:type="gram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neblagovremeni</w:t>
      </w:r>
      <w:proofErr w:type="spellEnd"/>
      <w:proofErr w:type="gram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zahtjevi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,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tj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. </w:t>
      </w:r>
      <w:proofErr w:type="spellStart"/>
      <w:proofErr w:type="gram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dostavljeni</w:t>
      </w:r>
      <w:proofErr w:type="spellEnd"/>
      <w:proofErr w:type="gram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nakon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definisanog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roka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;</w:t>
      </w:r>
    </w:p>
    <w:p w:rsidR="005D197E" w:rsidRPr="005B20A9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c) </w:t>
      </w:r>
      <w:proofErr w:type="spellStart"/>
      <w:proofErr w:type="gram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zahtjevi</w:t>
      </w:r>
      <w:proofErr w:type="spellEnd"/>
      <w:proofErr w:type="gram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koji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se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odnose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projekte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koji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nijesu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predmet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mjere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Programa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;</w:t>
      </w:r>
    </w:p>
    <w:p w:rsidR="005D197E" w:rsidRPr="005B20A9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d) </w:t>
      </w:r>
      <w:proofErr w:type="spellStart"/>
      <w:proofErr w:type="gram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zahtjevi</w:t>
      </w:r>
      <w:proofErr w:type="spellEnd"/>
      <w:proofErr w:type="gram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koje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dostave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subjekti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koji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ne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pripadaju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kategorijama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definisanim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u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Programu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za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Mjeru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u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okviru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koje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se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prijavljuju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za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podršku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;</w:t>
      </w:r>
    </w:p>
    <w:p w:rsidR="005D197E" w:rsidRPr="005B20A9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e) </w:t>
      </w:r>
      <w:proofErr w:type="spellStart"/>
      <w:proofErr w:type="gram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zahtjevi</w:t>
      </w:r>
      <w:proofErr w:type="spellEnd"/>
      <w:proofErr w:type="gram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koje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podnesu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subjekti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koji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u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posljednje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tri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godine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dobili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sredstva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od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strane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državnih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/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lokalnih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organa 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ili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institucija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, a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nijesu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izvršili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ugovorne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obaveze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ili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su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nenamjenski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utrošili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dobijena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sredstva</w:t>
      </w:r>
      <w:proofErr w:type="spellEnd"/>
      <w:r w:rsidRPr="005B20A9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. </w:t>
      </w:r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</w:p>
    <w:p w:rsidR="00336402" w:rsidRPr="005B20A9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11</w:t>
      </w:r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.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Način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podnošenja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zahtjeva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i </w:t>
      </w:r>
      <w:proofErr w:type="spellStart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dokumentacije</w:t>
      </w:r>
      <w:proofErr w:type="spellEnd"/>
      <w:r w:rsidR="00336402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proofErr w:type="gram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Potencijalni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korisnici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prijavljuju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projekte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podnoseći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zahtjev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dodjelu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u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prilogu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dostavljaju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traženu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dokumentaciju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  <w:proofErr w:type="gram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046F7A" w:rsidRPr="005B20A9" w:rsidRDefault="00336402" w:rsidP="00046F7A">
      <w:pPr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Zahtjev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pratećom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dokumentacijom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dostavlja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na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adresu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en-US"/>
        </w:rPr>
        <w:t>Ministarstvo</w:t>
      </w:r>
      <w:proofErr w:type="spellEnd"/>
      <w:r w:rsidRPr="005B20A9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en-US"/>
        </w:rPr>
        <w:t xml:space="preserve"> ekonomskog razvoja,</w:t>
      </w:r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en-US"/>
        </w:rPr>
        <w:t>Rimski</w:t>
      </w:r>
      <w:proofErr w:type="spellEnd"/>
      <w:r w:rsidRPr="005B20A9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en-US"/>
        </w:rPr>
        <w:t>trg</w:t>
      </w:r>
      <w:proofErr w:type="spellEnd"/>
      <w:r w:rsidRPr="005B20A9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en-US"/>
        </w:rPr>
        <w:t xml:space="preserve"> 46, 81000 Podgorica, Crna </w:t>
      </w:r>
      <w:proofErr w:type="gramStart"/>
      <w:r w:rsidRPr="005B20A9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en-US"/>
        </w:rPr>
        <w:t xml:space="preserve">Gora </w:t>
      </w:r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,</w:t>
      </w:r>
      <w:proofErr w:type="gram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direktno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na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arhivi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putem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pošte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>oznakom</w:t>
      </w:r>
      <w:proofErr w:type="spellEnd"/>
      <w:r w:rsidRPr="005B20A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: </w:t>
      </w:r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„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Prijava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na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Javni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poziv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za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podnošenje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zahtjeva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za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dobijanje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podrške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za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projekte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iz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oblasti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turizma</w:t>
      </w:r>
      <w:proofErr w:type="spellEnd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za 2022. </w:t>
      </w:r>
      <w:proofErr w:type="gramStart"/>
      <w:r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– </w:t>
      </w:r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MJERA III - Unapređenje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ponude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i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podizanje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kvaliteta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usluga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u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ruralnom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turizmu</w:t>
      </w:r>
      <w:proofErr w:type="spellEnd"/>
      <w:r w:rsidR="00046F7A" w:rsidRPr="005B20A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.</w:t>
      </w:r>
      <w:proofErr w:type="gramEnd"/>
    </w:p>
    <w:p w:rsidR="00336402" w:rsidRPr="005B20A9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12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. </w:t>
      </w:r>
      <w:proofErr w:type="spellStart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Kriterijumi</w:t>
      </w:r>
      <w:proofErr w:type="spellEnd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 za </w:t>
      </w:r>
      <w:proofErr w:type="spellStart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ocjenu</w:t>
      </w:r>
      <w:proofErr w:type="spellEnd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 </w:t>
      </w:r>
      <w:proofErr w:type="spellStart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projekata</w:t>
      </w:r>
      <w:proofErr w:type="spellEnd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GB"/>
        </w:rPr>
      </w:pPr>
    </w:p>
    <w:tbl>
      <w:tblPr>
        <w:tblW w:w="978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6283"/>
        <w:gridCol w:w="2694"/>
      </w:tblGrid>
      <w:tr w:rsidR="00046F7A" w:rsidRPr="00046F7A" w:rsidTr="00D56639"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ind w:left="720"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Kriterijum</w:t>
            </w:r>
            <w:proofErr w:type="spellEnd"/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Broj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bodova</w:t>
            </w:r>
            <w:proofErr w:type="spellEnd"/>
          </w:p>
        </w:tc>
      </w:tr>
      <w:tr w:rsidR="00046F7A" w:rsidRPr="00046F7A" w:rsidTr="00D56639"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Vrsta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obim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usluga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seoskom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domaćinstvu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:</w:t>
            </w:r>
          </w:p>
          <w:p w:rsidR="00046F7A" w:rsidRPr="00046F7A" w:rsidRDefault="00046F7A" w:rsidP="00046F7A">
            <w:pPr>
              <w:widowControl w:val="0"/>
              <w:numPr>
                <w:ilvl w:val="0"/>
                <w:numId w:val="27"/>
              </w:numPr>
              <w:spacing w:before="0" w:after="0" w:line="240" w:lineRule="auto"/>
              <w:ind w:right="347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Usluživanje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toplih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hladnih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jela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napitaka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iz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pretežno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sopstvene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proizvodnje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sa</w:t>
            </w:r>
            <w:proofErr w:type="spellEnd"/>
            <w:proofErr w:type="gram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smještajem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.</w:t>
            </w:r>
          </w:p>
          <w:p w:rsidR="00046F7A" w:rsidRPr="00046F7A" w:rsidRDefault="00046F7A" w:rsidP="00046F7A">
            <w:pPr>
              <w:widowControl w:val="0"/>
              <w:numPr>
                <w:ilvl w:val="0"/>
                <w:numId w:val="27"/>
              </w:numPr>
              <w:spacing w:before="0" w:after="200" w:line="276" w:lineRule="auto"/>
              <w:ind w:right="347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Degustaonica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tj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usluživanje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degustacija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vina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drugih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alkoholnih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bezalkoholnih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pića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kao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domaćih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proizvoda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iz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pretežno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sopstvene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proizvodnje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uređenom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dijelu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stambenog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ili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poslovnog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objekta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, u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zatvorenom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natkrivenom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ili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otvorenom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prostoru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;</w:t>
            </w:r>
          </w:p>
          <w:p w:rsidR="00046F7A" w:rsidRPr="00046F7A" w:rsidRDefault="00046F7A" w:rsidP="00046F7A">
            <w:pPr>
              <w:spacing w:before="0" w:after="200" w:line="276" w:lineRule="auto"/>
              <w:ind w:left="394"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1 bod</w:t>
            </w: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 </w:t>
            </w: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3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</w:tr>
      <w:tr w:rsidR="00046F7A" w:rsidRPr="00046F7A" w:rsidTr="00D56639"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Domaćinstva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koja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se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nalaze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blizini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nacionalnih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parkova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duž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panoramskih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puteva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sl.</w:t>
            </w:r>
          </w:p>
          <w:p w:rsidR="00046F7A" w:rsidRPr="00046F7A" w:rsidRDefault="00046F7A" w:rsidP="00046F7A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Domaćinstva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koja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se ne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nalaze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blizini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nacionalnih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parkova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duž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panormaskih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puteva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sl.</w:t>
            </w:r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1 bod</w:t>
            </w: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464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3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</w:tc>
      </w:tr>
      <w:tr w:rsidR="00046F7A" w:rsidRPr="00046F7A" w:rsidTr="00D56639">
        <w:trPr>
          <w:trHeight w:val="1501"/>
        </w:trPr>
        <w:tc>
          <w:tcPr>
            <w:tcW w:w="809" w:type="dxa"/>
            <w:shd w:val="clear" w:color="auto" w:fill="FFFFFF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702"/>
              </w:tabs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283" w:type="dxa"/>
            <w:shd w:val="clear" w:color="auto" w:fill="FFFFFF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Podnosilac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zahtjeva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je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dobijao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sredstva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od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državnih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/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opštinskih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organa /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institucija</w:t>
            </w:r>
            <w:proofErr w:type="spellEnd"/>
          </w:p>
          <w:p w:rsidR="00046F7A" w:rsidRPr="00046F7A" w:rsidRDefault="00046F7A" w:rsidP="00046F7A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Podnosilac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zahtjeva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nije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dobijao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sredstva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od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državnih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institucija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2694" w:type="dxa"/>
            <w:shd w:val="clear" w:color="auto" w:fill="FFFFFF"/>
          </w:tcPr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</w:t>
            </w: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  <w:t>1 bod</w:t>
            </w:r>
          </w:p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  <w:t>3 boda</w:t>
            </w:r>
          </w:p>
        </w:tc>
      </w:tr>
      <w:tr w:rsidR="00046F7A" w:rsidRPr="00046F7A" w:rsidTr="00D56639">
        <w:trPr>
          <w:trHeight w:val="983"/>
        </w:trPr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702"/>
              </w:tabs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Ostvareni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promet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broj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noćenja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) za 2021. </w:t>
            </w:r>
            <w:proofErr w:type="spellStart"/>
            <w:proofErr w:type="gram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godinu</w:t>
            </w:r>
            <w:proofErr w:type="spellEnd"/>
            <w:proofErr w:type="gram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.</w:t>
            </w:r>
          </w:p>
          <w:p w:rsidR="00046F7A" w:rsidRPr="00046F7A" w:rsidRDefault="00046F7A" w:rsidP="00046F7A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(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rangiranje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bodova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od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najvećeg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do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najmanjeg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broja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ostvarenih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noćenja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Maksimum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5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bodova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</w:t>
            </w:r>
          </w:p>
        </w:tc>
      </w:tr>
      <w:tr w:rsidR="00046F7A" w:rsidRPr="00046F7A" w:rsidTr="00D56639">
        <w:trPr>
          <w:trHeight w:val="914"/>
        </w:trPr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702"/>
              </w:tabs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6. </w:t>
            </w: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Učešće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korisnika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i/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ili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drugog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donatora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ukupnim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troškovima</w:t>
            </w:r>
            <w:proofErr w:type="spellEnd"/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Manje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od 80%  </w:t>
            </w:r>
          </w:p>
          <w:p w:rsidR="00046F7A" w:rsidRPr="00046F7A" w:rsidRDefault="00046F7A" w:rsidP="00046F7A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ukupnih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sredstava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1bod</w:t>
            </w:r>
          </w:p>
          <w:p w:rsidR="00046F7A" w:rsidRPr="00046F7A" w:rsidRDefault="00046F7A" w:rsidP="00046F7A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Više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od 80%  </w:t>
            </w:r>
          </w:p>
          <w:p w:rsidR="00046F7A" w:rsidRPr="00046F7A" w:rsidRDefault="00046F7A" w:rsidP="00046F7A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ukupnih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sredstava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3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  <w:p w:rsidR="00046F7A" w:rsidRPr="00046F7A" w:rsidRDefault="00046F7A" w:rsidP="00046F7A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</w:tr>
      <w:tr w:rsidR="00046F7A" w:rsidRPr="00046F7A" w:rsidTr="00D56639">
        <w:trPr>
          <w:trHeight w:val="2086"/>
        </w:trPr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702"/>
              </w:tabs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Geografski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prioriteti</w:t>
            </w:r>
            <w:proofErr w:type="spellEnd"/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tabs>
                <w:tab w:val="left" w:pos="3229"/>
              </w:tabs>
              <w:spacing w:before="0" w:after="0" w:line="240" w:lineRule="auto"/>
              <w:ind w:right="7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Primorske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Opštine  3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</w:t>
            </w:r>
          </w:p>
          <w:p w:rsidR="00046F7A" w:rsidRPr="00046F7A" w:rsidRDefault="00046F7A" w:rsidP="00046F7A">
            <w:pPr>
              <w:widowControl w:val="0"/>
              <w:tabs>
                <w:tab w:val="left" w:pos="3229"/>
              </w:tabs>
              <w:spacing w:before="0" w:after="0" w:line="240" w:lineRule="auto"/>
              <w:ind w:right="7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046F7A" w:rsidRPr="00046F7A" w:rsidRDefault="00046F7A" w:rsidP="00046F7A">
            <w:pPr>
              <w:widowControl w:val="0"/>
              <w:tabs>
                <w:tab w:val="left" w:pos="3229"/>
              </w:tabs>
              <w:spacing w:before="0" w:after="0" w:line="240" w:lineRule="auto"/>
              <w:ind w:right="77" w:hanging="108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Glavni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grad/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Prijestonica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6             </w:t>
            </w:r>
          </w:p>
          <w:p w:rsidR="00046F7A" w:rsidRPr="00046F7A" w:rsidRDefault="00046F7A" w:rsidP="00046F7A">
            <w:pPr>
              <w:widowControl w:val="0"/>
              <w:tabs>
                <w:tab w:val="left" w:pos="3229"/>
              </w:tabs>
              <w:spacing w:before="0" w:after="0" w:line="240" w:lineRule="auto"/>
              <w:ind w:left="176" w:right="77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</w:t>
            </w:r>
          </w:p>
          <w:p w:rsidR="00046F7A" w:rsidRPr="00046F7A" w:rsidRDefault="00046F7A" w:rsidP="00046F7A">
            <w:pPr>
              <w:widowControl w:val="0"/>
              <w:tabs>
                <w:tab w:val="left" w:pos="3229"/>
              </w:tabs>
              <w:spacing w:before="0" w:after="0" w:line="240" w:lineRule="auto"/>
              <w:ind w:left="176" w:right="77" w:hanging="284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Ostale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opštine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9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bodova</w:t>
            </w:r>
            <w:proofErr w:type="spellEnd"/>
          </w:p>
        </w:tc>
      </w:tr>
      <w:tr w:rsidR="00046F7A" w:rsidRPr="00046F7A" w:rsidTr="00D56639">
        <w:trPr>
          <w:trHeight w:val="591"/>
        </w:trPr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702"/>
              </w:tabs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Dodatna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ponuda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za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odmor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rekreaciju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gostiju</w:t>
            </w:r>
            <w:proofErr w:type="spellEnd"/>
          </w:p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tabs>
                <w:tab w:val="left" w:pos="3229"/>
              </w:tabs>
              <w:spacing w:before="0"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Za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svaku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dodatnu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ponudu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po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1 bod</w:t>
            </w:r>
          </w:p>
        </w:tc>
      </w:tr>
      <w:tr w:rsidR="00046F7A" w:rsidRPr="00046F7A" w:rsidTr="00D56639">
        <w:trPr>
          <w:trHeight w:val="591"/>
        </w:trPr>
        <w:tc>
          <w:tcPr>
            <w:tcW w:w="809" w:type="dxa"/>
          </w:tcPr>
          <w:p w:rsidR="00046F7A" w:rsidRPr="00046F7A" w:rsidRDefault="00046F7A" w:rsidP="00046F7A">
            <w:pPr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702"/>
              </w:tabs>
              <w:spacing w:before="0" w:after="0" w:line="276" w:lineRule="auto"/>
              <w:ind w:right="34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283" w:type="dxa"/>
          </w:tcPr>
          <w:p w:rsidR="00046F7A" w:rsidRPr="00046F7A" w:rsidRDefault="00046F7A" w:rsidP="00046F7A">
            <w:pPr>
              <w:widowControl w:val="0"/>
              <w:tabs>
                <w:tab w:val="left" w:pos="3686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Plan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marketinga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promocije</w:t>
            </w:r>
            <w:proofErr w:type="spellEnd"/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046F7A" w:rsidRPr="00046F7A" w:rsidRDefault="00046F7A" w:rsidP="00046F7A">
            <w:pPr>
              <w:widowControl w:val="0"/>
              <w:tabs>
                <w:tab w:val="left" w:pos="3229"/>
              </w:tabs>
              <w:spacing w:before="0"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  <w:r w:rsidRPr="00046F7A"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  <w:t>Za svaku vrstu kanala promocije po 1 bod</w:t>
            </w:r>
          </w:p>
        </w:tc>
      </w:tr>
    </w:tbl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13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 Rangiranje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Sredstva će se odobravati projektima prema bodovnoj listi od najvećeg broja bodova naniže, do krajnje raspodjele ukupnog iznosa sredstava namijenjenih za ovu mjeru Programa. Ako poslednji projekat na bodovnoj l</w:t>
      </w:r>
      <w:r w:rsidR="00EA1F5C">
        <w:rPr>
          <w:rFonts w:ascii="Times New Roman" w:eastAsia="Times New Roman" w:hAnsi="Times New Roman" w:cs="Times New Roman"/>
          <w:color w:val="000000"/>
          <w:sz w:val="22"/>
          <w:lang w:val="de-DE"/>
        </w:rPr>
        <w:t>isti prelazi ukupan iznos od 6</w:t>
      </w:r>
      <w:r w:rsidR="005D197E">
        <w:rPr>
          <w:rFonts w:ascii="Times New Roman" w:eastAsia="Times New Roman" w:hAnsi="Times New Roman" w:cs="Times New Roman"/>
          <w:color w:val="000000"/>
          <w:sz w:val="22"/>
          <w:lang w:val="de-DE"/>
        </w:rPr>
        <w:t>0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.000,00 € raspoloživih sredstava, projekat može dobiti samo dio zahtijevanih sredstava. U tom slučaju potencijalni korisnik će imati mogućnost da povuče zahtjev.</w:t>
      </w: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Rang lista će biti objavljena na internet stranici Ministarstva ekonomskog razvoja.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14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podnošenje prijava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21 kalendarski dan od dana objavljivanja Javnog poziva. </w:t>
      </w:r>
    </w:p>
    <w:p w:rsid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EA1F5C" w:rsidRDefault="00EA1F5C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EA1F5C" w:rsidRPr="00336402" w:rsidRDefault="00EA1F5C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lastRenderedPageBreak/>
        <w:t>15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Postupak donošenja odluke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Inicijalno procesuiranje zahtjeva i donošenje odluke po ovom Javnom pozivu je u nadležnosti radne grupe koju formira Ministar ekonomskog razvoja. Radna grupa obrađuje i sistematizuje zahtjeve, pribavlja dodatne informacije i utvrđuje Predlog rang liste projekata koji ispunjavaju zadate uslove i donosi odluku o dodjeli sredstava po osnovu ovog Javnog poziva.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16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donošenje odluke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Odluka o odabiru projekata i dodjeli sredstava donijeće se najkasnije u roku od 45 dana od zatvaranja Javnog poziva.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donešene odluke, na osnovu Programa odnosno Javnog poziva, podnosilac zahtjeva nema pravo na podnošenje prigovora i odluka je konačna.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17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Lista korisnika kojima su odobrena sredstva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Lista korisnika kojima su odobrena sredstva 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sa iznosom i namjenom dodijeljenih sredstava po korisniku biće objavljena na internet stranici Ministarstva ekonomskog razvoja.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18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potpisivanje ugovora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ekonomskog razvoja će sa korisnicima kojima su odobrena sredstva potpisati ugovor najkasnije u roku od 15 dana od dana objave odluke o dodjeli sredstava.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19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Nadzor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ekonomskog razvoja obavlja nadzor nad namjenskim korišćenjem odobrenih sredstava putem pisanog izvještaja sa pratećom dokumentacijom (dokazima o korišćenju sredstava), koje korisnik sredstava u ugovorenom roku dostavlja Ministarstvu.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 potrebi, obavlja se i dodatni nadzor uvidom u dokumentaciju korisnika sredstava.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pisanim putem.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U slučaju utvrđivanja nepravilnosti u korišćenju odobrenih sredstava, Ministarstvo ekonomskog razvoja donosi odluku o povratu sredstava, a korisnik je dužan vratiti ista u roku od 15 dana od prijema odluke.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Ukoliko organizator manifestacije/festivala koji je dobio podršku od strane Ministarstva, prilikom podnošenja finansijskog izvještaja, a nakon realizacije manifestacije/festivala, prikaže da je utrošio manje sredstava za organizaciju  u odnosu na iznos naveden u zahtjevu prilikom apliciranja na Javni poziv, podrška Ministarstva će se umanjiti za 20%.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20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 Obaveze korisnika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      Korisnik je u obavezi da:  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Potpiše ugovor, 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Sredstva iskoristi namjenski,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Ministarstvu dostavi izvještaj o realizaciji projekta (ostvareni rezultati, press clipping, fotografije, ciljevi, efekti i sl.),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Dostavi kopiju odobrenja za rad pružalaca usluga smještaja u kojima su bili smješteni 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lastRenderedPageBreak/>
        <w:t>izvođači, tehničko osoblje i ostala lica angažovana od strane korisnika,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zahtjev Ministarstva pruži na uvid i naknadno traženu dokumentaciju,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Realizuje i eventualne druge obaveze definisane ugovorom,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poziv PR službe Ministarstva uzme učešće na događajima na kojim se promovišu manifestacije/festivala i događaji u Crnoj Gori,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Brine o poštovanju propisanih epidemioloških mjera.</w:t>
      </w:r>
    </w:p>
    <w:p w:rsidR="00336402" w:rsidRPr="00336402" w:rsidRDefault="00336402" w:rsidP="00336402">
      <w:pPr>
        <w:widowControl w:val="0"/>
        <w:spacing w:before="0" w:after="0" w:line="276" w:lineRule="auto"/>
        <w:ind w:right="347"/>
        <w:jc w:val="center"/>
        <w:rPr>
          <w:rFonts w:ascii="Times New Roman" w:eastAsia="Times New Roman" w:hAnsi="Times New Roman" w:cs="Times New Roman"/>
          <w:b/>
          <w:color w:val="000000"/>
          <w:sz w:val="22"/>
          <w:lang w:val="de-DE"/>
        </w:rPr>
      </w:pPr>
    </w:p>
    <w:p w:rsidR="007E3058" w:rsidRPr="00E70EFA" w:rsidRDefault="00336402" w:rsidP="00E70E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može izvršiti preraspodjelu sredstava koja nijesu dodijeljena po osnovu raspisanog Javnog poziva, a u okviru Mjera predviđenih Programom podsticajnih mjera. </w:t>
      </w:r>
    </w:p>
    <w:p w:rsidR="00FF4913" w:rsidRPr="00BA77B1" w:rsidRDefault="00FF4913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i/>
          <w:noProof/>
          <w:sz w:val="22"/>
          <w:u w:val="single"/>
          <w:lang w:val="de-DE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b/>
          <w:noProof/>
          <w:sz w:val="22"/>
          <w:lang w:val="de-DE"/>
        </w:rPr>
        <w:t xml:space="preserve">Javni poziv je objavljen dana </w:t>
      </w:r>
      <w:r w:rsidR="00763FE0">
        <w:rPr>
          <w:rFonts w:ascii="Times New Roman" w:hAnsi="Times New Roman" w:cs="Times New Roman"/>
          <w:b/>
          <w:noProof/>
          <w:sz w:val="22"/>
          <w:lang w:val="de-DE"/>
        </w:rPr>
        <w:t>27</w:t>
      </w:r>
      <w:r w:rsidR="00E70EFA" w:rsidRPr="00763FE0">
        <w:rPr>
          <w:rFonts w:ascii="Times New Roman" w:hAnsi="Times New Roman" w:cs="Times New Roman"/>
          <w:b/>
          <w:noProof/>
          <w:sz w:val="22"/>
          <w:lang w:val="de-DE"/>
        </w:rPr>
        <w:t>.04.2022</w:t>
      </w:r>
      <w:r w:rsidRPr="00763FE0">
        <w:rPr>
          <w:rFonts w:ascii="Times New Roman" w:hAnsi="Times New Roman" w:cs="Times New Roman"/>
          <w:b/>
          <w:noProof/>
          <w:sz w:val="22"/>
          <w:lang w:val="de-DE"/>
        </w:rPr>
        <w:t>.god.</w:t>
      </w:r>
    </w:p>
    <w:p w:rsidR="00763FE0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Kontakt osoba: </w:t>
      </w:r>
      <w:r w:rsidR="00EA1F5C">
        <w:rPr>
          <w:rFonts w:ascii="Times New Roman" w:hAnsi="Times New Roman" w:cs="Times New Roman"/>
          <w:noProof/>
          <w:sz w:val="22"/>
          <w:lang w:val="de-DE"/>
        </w:rPr>
        <w:t>Anka Kujović</w:t>
      </w: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    </w:t>
      </w:r>
    </w:p>
    <w:p w:rsidR="00612DF9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e </w:t>
      </w:r>
      <w:r w:rsidR="00763FE0">
        <w:rPr>
          <w:rFonts w:ascii="Times New Roman" w:hAnsi="Times New Roman" w:cs="Times New Roman"/>
          <w:noProof/>
          <w:sz w:val="22"/>
          <w:lang w:val="de-DE"/>
        </w:rPr>
        <w:t xml:space="preserve">- </w:t>
      </w: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mail: </w:t>
      </w:r>
      <w:hyperlink r:id="rId11" w:history="1">
        <w:r w:rsidR="00EA1F5C" w:rsidRPr="00430EF5">
          <w:rPr>
            <w:rStyle w:val="Hyperlink"/>
            <w:rFonts w:ascii="Times New Roman" w:hAnsi="Times New Roman" w:cs="Times New Roman"/>
            <w:noProof/>
            <w:sz w:val="22"/>
            <w:lang w:val="de-DE"/>
          </w:rPr>
          <w:t>anka.kujovic@mek.gov.me</w:t>
        </w:r>
      </w:hyperlink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  </w:t>
      </w:r>
    </w:p>
    <w:p w:rsidR="00763FE0" w:rsidRPr="00BA77B1" w:rsidRDefault="00763FE0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bookmarkStart w:id="0" w:name="_GoBack"/>
      <w:bookmarkEnd w:id="0"/>
    </w:p>
    <w:p w:rsidR="007A25BC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</w:rPr>
      </w:pPr>
      <w:r w:rsidRPr="00BA77B1">
        <w:rPr>
          <w:rFonts w:ascii="Times New Roman" w:hAnsi="Times New Roman" w:cs="Times New Roman"/>
          <w:b/>
          <w:i/>
          <w:noProof/>
          <w:sz w:val="22"/>
          <w:u w:val="single"/>
          <w:lang w:val="en-US"/>
        </w:rPr>
        <w:t>Prilog: Obrazac zahtjeva</w:t>
      </w:r>
    </w:p>
    <w:sectPr w:rsidR="007A25BC" w:rsidRPr="00BA77B1" w:rsidSect="0075026E">
      <w:headerReference w:type="defaul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373FE" w16cid:durableId="244FA7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73" w:rsidRDefault="00AA6E73" w:rsidP="00A6505B">
      <w:pPr>
        <w:spacing w:before="0" w:after="0" w:line="240" w:lineRule="auto"/>
      </w:pPr>
      <w:r>
        <w:separator/>
      </w:r>
    </w:p>
  </w:endnote>
  <w:endnote w:type="continuationSeparator" w:id="0">
    <w:p w:rsidR="00AA6E73" w:rsidRDefault="00AA6E7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73" w:rsidRDefault="00AA6E73" w:rsidP="00A6505B">
      <w:pPr>
        <w:spacing w:before="0" w:after="0" w:line="240" w:lineRule="auto"/>
      </w:pPr>
      <w:r>
        <w:separator/>
      </w:r>
    </w:p>
  </w:footnote>
  <w:footnote w:type="continuationSeparator" w:id="0">
    <w:p w:rsidR="00AA6E73" w:rsidRDefault="00AA6E7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A2EFA"/>
    <w:multiLevelType w:val="hybridMultilevel"/>
    <w:tmpl w:val="03D20F7A"/>
    <w:lvl w:ilvl="0" w:tplc="D586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A1C07"/>
    <w:multiLevelType w:val="hybridMultilevel"/>
    <w:tmpl w:val="FF3433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6926"/>
    <w:multiLevelType w:val="hybridMultilevel"/>
    <w:tmpl w:val="3CFA942E"/>
    <w:lvl w:ilvl="0" w:tplc="241A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299D"/>
    <w:multiLevelType w:val="hybridMultilevel"/>
    <w:tmpl w:val="5A0A940C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90DBB"/>
    <w:multiLevelType w:val="hybridMultilevel"/>
    <w:tmpl w:val="FF2CE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11C18"/>
    <w:multiLevelType w:val="hybridMultilevel"/>
    <w:tmpl w:val="F392DBE4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E476093"/>
    <w:multiLevelType w:val="hybridMultilevel"/>
    <w:tmpl w:val="55D65BE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A7A4A"/>
    <w:multiLevelType w:val="hybridMultilevel"/>
    <w:tmpl w:val="75D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12771"/>
    <w:multiLevelType w:val="hybridMultilevel"/>
    <w:tmpl w:val="866A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A1ACC"/>
    <w:multiLevelType w:val="hybridMultilevel"/>
    <w:tmpl w:val="0792B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44C93"/>
    <w:multiLevelType w:val="hybridMultilevel"/>
    <w:tmpl w:val="03D20F7A"/>
    <w:lvl w:ilvl="0" w:tplc="D586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93BAF"/>
    <w:multiLevelType w:val="hybridMultilevel"/>
    <w:tmpl w:val="41F24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72E1D"/>
    <w:multiLevelType w:val="hybridMultilevel"/>
    <w:tmpl w:val="BE5C5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03760C"/>
    <w:multiLevelType w:val="hybridMultilevel"/>
    <w:tmpl w:val="2A820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4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17"/>
  </w:num>
  <w:num w:numId="14">
    <w:abstractNumId w:val="25"/>
  </w:num>
  <w:num w:numId="15">
    <w:abstractNumId w:val="15"/>
  </w:num>
  <w:num w:numId="16">
    <w:abstractNumId w:val="13"/>
  </w:num>
  <w:num w:numId="17">
    <w:abstractNumId w:val="16"/>
  </w:num>
  <w:num w:numId="18">
    <w:abstractNumId w:val="22"/>
  </w:num>
  <w:num w:numId="19">
    <w:abstractNumId w:val="19"/>
  </w:num>
  <w:num w:numId="20">
    <w:abstractNumId w:val="1"/>
  </w:num>
  <w:num w:numId="21">
    <w:abstractNumId w:val="6"/>
  </w:num>
  <w:num w:numId="22">
    <w:abstractNumId w:val="0"/>
  </w:num>
  <w:num w:numId="23">
    <w:abstractNumId w:val="23"/>
  </w:num>
  <w:num w:numId="24">
    <w:abstractNumId w:val="4"/>
  </w:num>
  <w:num w:numId="25">
    <w:abstractNumId w:val="21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AB3"/>
    <w:rsid w:val="00032DE6"/>
    <w:rsid w:val="000357FA"/>
    <w:rsid w:val="00046F7A"/>
    <w:rsid w:val="00072355"/>
    <w:rsid w:val="00087717"/>
    <w:rsid w:val="000907F8"/>
    <w:rsid w:val="000D30D1"/>
    <w:rsid w:val="000D3262"/>
    <w:rsid w:val="000E6201"/>
    <w:rsid w:val="000F10F3"/>
    <w:rsid w:val="000F12B5"/>
    <w:rsid w:val="000F2AA0"/>
    <w:rsid w:val="000F2B95"/>
    <w:rsid w:val="000F2BFC"/>
    <w:rsid w:val="000F5BAA"/>
    <w:rsid w:val="000F6D33"/>
    <w:rsid w:val="00101F33"/>
    <w:rsid w:val="001053EE"/>
    <w:rsid w:val="00107821"/>
    <w:rsid w:val="00112FDF"/>
    <w:rsid w:val="00136D11"/>
    <w:rsid w:val="00154D42"/>
    <w:rsid w:val="00156466"/>
    <w:rsid w:val="0016179C"/>
    <w:rsid w:val="00176E3F"/>
    <w:rsid w:val="00177ACD"/>
    <w:rsid w:val="00182270"/>
    <w:rsid w:val="001822FC"/>
    <w:rsid w:val="00182669"/>
    <w:rsid w:val="001847FD"/>
    <w:rsid w:val="00196664"/>
    <w:rsid w:val="001A79B6"/>
    <w:rsid w:val="001A7E96"/>
    <w:rsid w:val="001B5756"/>
    <w:rsid w:val="001C2DA5"/>
    <w:rsid w:val="001D2A0B"/>
    <w:rsid w:val="001D3909"/>
    <w:rsid w:val="001F1695"/>
    <w:rsid w:val="001F3287"/>
    <w:rsid w:val="001F75D5"/>
    <w:rsid w:val="002024EE"/>
    <w:rsid w:val="00205759"/>
    <w:rsid w:val="00232E2D"/>
    <w:rsid w:val="00245B45"/>
    <w:rsid w:val="002511E4"/>
    <w:rsid w:val="00252A36"/>
    <w:rsid w:val="002767A1"/>
    <w:rsid w:val="00277FA7"/>
    <w:rsid w:val="002821B5"/>
    <w:rsid w:val="002838FA"/>
    <w:rsid w:val="00292D5E"/>
    <w:rsid w:val="00293C85"/>
    <w:rsid w:val="002A7CB3"/>
    <w:rsid w:val="002F28E8"/>
    <w:rsid w:val="002F461C"/>
    <w:rsid w:val="0030498F"/>
    <w:rsid w:val="00311681"/>
    <w:rsid w:val="0031627C"/>
    <w:rsid w:val="003168DA"/>
    <w:rsid w:val="003319C2"/>
    <w:rsid w:val="00331A1E"/>
    <w:rsid w:val="00336402"/>
    <w:rsid w:val="00336844"/>
    <w:rsid w:val="003417B8"/>
    <w:rsid w:val="00346351"/>
    <w:rsid w:val="00350578"/>
    <w:rsid w:val="003525FF"/>
    <w:rsid w:val="00354D08"/>
    <w:rsid w:val="003550D7"/>
    <w:rsid w:val="00375D08"/>
    <w:rsid w:val="003802FD"/>
    <w:rsid w:val="00381A6A"/>
    <w:rsid w:val="0039199B"/>
    <w:rsid w:val="003A29E0"/>
    <w:rsid w:val="003A383C"/>
    <w:rsid w:val="003A6DB5"/>
    <w:rsid w:val="003C6241"/>
    <w:rsid w:val="003D0142"/>
    <w:rsid w:val="003D312E"/>
    <w:rsid w:val="003D3BC1"/>
    <w:rsid w:val="003E445A"/>
    <w:rsid w:val="00403F9D"/>
    <w:rsid w:val="004112D5"/>
    <w:rsid w:val="0041246D"/>
    <w:rsid w:val="004378E1"/>
    <w:rsid w:val="00440417"/>
    <w:rsid w:val="00443C86"/>
    <w:rsid w:val="00447121"/>
    <w:rsid w:val="00451F6C"/>
    <w:rsid w:val="00451FF9"/>
    <w:rsid w:val="004642DE"/>
    <w:rsid w:val="00467257"/>
    <w:rsid w:val="004679C3"/>
    <w:rsid w:val="00482894"/>
    <w:rsid w:val="004915DE"/>
    <w:rsid w:val="0049509D"/>
    <w:rsid w:val="00497FDD"/>
    <w:rsid w:val="004B0054"/>
    <w:rsid w:val="004C1C49"/>
    <w:rsid w:val="004D0068"/>
    <w:rsid w:val="004E3DA7"/>
    <w:rsid w:val="004F24B0"/>
    <w:rsid w:val="00503039"/>
    <w:rsid w:val="00523147"/>
    <w:rsid w:val="00531FDF"/>
    <w:rsid w:val="005400FB"/>
    <w:rsid w:val="005709C3"/>
    <w:rsid w:val="005723C7"/>
    <w:rsid w:val="00577910"/>
    <w:rsid w:val="00593062"/>
    <w:rsid w:val="005A4E7E"/>
    <w:rsid w:val="005B20A9"/>
    <w:rsid w:val="005B44BF"/>
    <w:rsid w:val="005B7A8F"/>
    <w:rsid w:val="005C00D9"/>
    <w:rsid w:val="005C3F68"/>
    <w:rsid w:val="005C6F24"/>
    <w:rsid w:val="005D197E"/>
    <w:rsid w:val="005E12A9"/>
    <w:rsid w:val="005F2565"/>
    <w:rsid w:val="005F56D9"/>
    <w:rsid w:val="006001CF"/>
    <w:rsid w:val="00612213"/>
    <w:rsid w:val="00612DF9"/>
    <w:rsid w:val="00621188"/>
    <w:rsid w:val="00623C38"/>
    <w:rsid w:val="006306BD"/>
    <w:rsid w:val="00630A76"/>
    <w:rsid w:val="00631AEC"/>
    <w:rsid w:val="00645114"/>
    <w:rsid w:val="00646D57"/>
    <w:rsid w:val="006567DB"/>
    <w:rsid w:val="00660CE6"/>
    <w:rsid w:val="00662ED0"/>
    <w:rsid w:val="006739CA"/>
    <w:rsid w:val="006A24FA"/>
    <w:rsid w:val="006A2C40"/>
    <w:rsid w:val="006B0CEE"/>
    <w:rsid w:val="006C0A21"/>
    <w:rsid w:val="006D711E"/>
    <w:rsid w:val="006D7379"/>
    <w:rsid w:val="006E262C"/>
    <w:rsid w:val="006E4CED"/>
    <w:rsid w:val="006F4E6F"/>
    <w:rsid w:val="006F717F"/>
    <w:rsid w:val="0071719E"/>
    <w:rsid w:val="00722040"/>
    <w:rsid w:val="0072606B"/>
    <w:rsid w:val="007320EB"/>
    <w:rsid w:val="0073561A"/>
    <w:rsid w:val="00735865"/>
    <w:rsid w:val="0075026E"/>
    <w:rsid w:val="00755F57"/>
    <w:rsid w:val="00763FE0"/>
    <w:rsid w:val="00770ADE"/>
    <w:rsid w:val="0077100B"/>
    <w:rsid w:val="0077570C"/>
    <w:rsid w:val="00786F2E"/>
    <w:rsid w:val="007904A7"/>
    <w:rsid w:val="00794586"/>
    <w:rsid w:val="007978B6"/>
    <w:rsid w:val="007A25BC"/>
    <w:rsid w:val="007A775F"/>
    <w:rsid w:val="007B2B13"/>
    <w:rsid w:val="007C0856"/>
    <w:rsid w:val="007C1184"/>
    <w:rsid w:val="007C3D94"/>
    <w:rsid w:val="007C76B9"/>
    <w:rsid w:val="007E3058"/>
    <w:rsid w:val="007F22F5"/>
    <w:rsid w:val="00810444"/>
    <w:rsid w:val="00811BFF"/>
    <w:rsid w:val="0082154C"/>
    <w:rsid w:val="00822DBA"/>
    <w:rsid w:val="00824C7D"/>
    <w:rsid w:val="0084093B"/>
    <w:rsid w:val="00840F28"/>
    <w:rsid w:val="00846A0F"/>
    <w:rsid w:val="0085400F"/>
    <w:rsid w:val="0085537A"/>
    <w:rsid w:val="0085787A"/>
    <w:rsid w:val="008659F6"/>
    <w:rsid w:val="0087619A"/>
    <w:rsid w:val="0088156B"/>
    <w:rsid w:val="00885190"/>
    <w:rsid w:val="0088674A"/>
    <w:rsid w:val="008A5C8A"/>
    <w:rsid w:val="008A6BC6"/>
    <w:rsid w:val="008A79EC"/>
    <w:rsid w:val="008B292A"/>
    <w:rsid w:val="008B2A5F"/>
    <w:rsid w:val="008C7F82"/>
    <w:rsid w:val="008D1C3F"/>
    <w:rsid w:val="008D246B"/>
    <w:rsid w:val="008E087E"/>
    <w:rsid w:val="008E5D43"/>
    <w:rsid w:val="00902E6C"/>
    <w:rsid w:val="0090443B"/>
    <w:rsid w:val="00907170"/>
    <w:rsid w:val="009130A0"/>
    <w:rsid w:val="00922A8D"/>
    <w:rsid w:val="00936A50"/>
    <w:rsid w:val="009374D3"/>
    <w:rsid w:val="00940110"/>
    <w:rsid w:val="00946A67"/>
    <w:rsid w:val="00951A2E"/>
    <w:rsid w:val="00957753"/>
    <w:rsid w:val="0096107C"/>
    <w:rsid w:val="0097300E"/>
    <w:rsid w:val="00976239"/>
    <w:rsid w:val="00980162"/>
    <w:rsid w:val="00984D2D"/>
    <w:rsid w:val="009857B8"/>
    <w:rsid w:val="0099371D"/>
    <w:rsid w:val="00995C9E"/>
    <w:rsid w:val="00997452"/>
    <w:rsid w:val="009976D7"/>
    <w:rsid w:val="00997C04"/>
    <w:rsid w:val="009B0816"/>
    <w:rsid w:val="009B13F0"/>
    <w:rsid w:val="009B22FF"/>
    <w:rsid w:val="009B3AAB"/>
    <w:rsid w:val="009B74E9"/>
    <w:rsid w:val="009C24ED"/>
    <w:rsid w:val="009D1C50"/>
    <w:rsid w:val="009D2362"/>
    <w:rsid w:val="009E0AC4"/>
    <w:rsid w:val="009E5484"/>
    <w:rsid w:val="009E63C0"/>
    <w:rsid w:val="009E797A"/>
    <w:rsid w:val="00A2408E"/>
    <w:rsid w:val="00A54497"/>
    <w:rsid w:val="00A570BB"/>
    <w:rsid w:val="00A60DC5"/>
    <w:rsid w:val="00A6505B"/>
    <w:rsid w:val="00A6646D"/>
    <w:rsid w:val="00A930AB"/>
    <w:rsid w:val="00AA2377"/>
    <w:rsid w:val="00AA6E73"/>
    <w:rsid w:val="00AB43DE"/>
    <w:rsid w:val="00AB7F77"/>
    <w:rsid w:val="00AC7F02"/>
    <w:rsid w:val="00AE142A"/>
    <w:rsid w:val="00AE69B5"/>
    <w:rsid w:val="00AF27FF"/>
    <w:rsid w:val="00B003EE"/>
    <w:rsid w:val="00B0296C"/>
    <w:rsid w:val="00B055FA"/>
    <w:rsid w:val="00B10823"/>
    <w:rsid w:val="00B13AFC"/>
    <w:rsid w:val="00B167AC"/>
    <w:rsid w:val="00B16E24"/>
    <w:rsid w:val="00B2246F"/>
    <w:rsid w:val="00B32D4B"/>
    <w:rsid w:val="00B40A06"/>
    <w:rsid w:val="00B473C2"/>
    <w:rsid w:val="00B47D2C"/>
    <w:rsid w:val="00B544B2"/>
    <w:rsid w:val="00B62360"/>
    <w:rsid w:val="00B83F7A"/>
    <w:rsid w:val="00B8446B"/>
    <w:rsid w:val="00B84F08"/>
    <w:rsid w:val="00BA5873"/>
    <w:rsid w:val="00BA5DCA"/>
    <w:rsid w:val="00BA77B1"/>
    <w:rsid w:val="00BB181A"/>
    <w:rsid w:val="00BB45B5"/>
    <w:rsid w:val="00BB4F40"/>
    <w:rsid w:val="00BB767D"/>
    <w:rsid w:val="00BC2FE7"/>
    <w:rsid w:val="00BE0AF4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502E4"/>
    <w:rsid w:val="00C559CF"/>
    <w:rsid w:val="00C55CAE"/>
    <w:rsid w:val="00C84028"/>
    <w:rsid w:val="00CA20DF"/>
    <w:rsid w:val="00CA3028"/>
    <w:rsid w:val="00CA4058"/>
    <w:rsid w:val="00CA6BB5"/>
    <w:rsid w:val="00CC2580"/>
    <w:rsid w:val="00CC4C36"/>
    <w:rsid w:val="00CD159D"/>
    <w:rsid w:val="00CF017F"/>
    <w:rsid w:val="00CF540B"/>
    <w:rsid w:val="00D2455F"/>
    <w:rsid w:val="00D32C67"/>
    <w:rsid w:val="00D3780B"/>
    <w:rsid w:val="00D403E9"/>
    <w:rsid w:val="00D651F7"/>
    <w:rsid w:val="00D65606"/>
    <w:rsid w:val="00D772B9"/>
    <w:rsid w:val="00D92580"/>
    <w:rsid w:val="00DA4FE5"/>
    <w:rsid w:val="00DB166D"/>
    <w:rsid w:val="00DC5DF1"/>
    <w:rsid w:val="00DE2184"/>
    <w:rsid w:val="00DF60F7"/>
    <w:rsid w:val="00E15178"/>
    <w:rsid w:val="00E24B37"/>
    <w:rsid w:val="00E40170"/>
    <w:rsid w:val="00E5069B"/>
    <w:rsid w:val="00E70EFA"/>
    <w:rsid w:val="00E7104B"/>
    <w:rsid w:val="00E73A9B"/>
    <w:rsid w:val="00E74F68"/>
    <w:rsid w:val="00E75466"/>
    <w:rsid w:val="00EA1F5C"/>
    <w:rsid w:val="00EC1D7E"/>
    <w:rsid w:val="00ED1F3C"/>
    <w:rsid w:val="00ED75FF"/>
    <w:rsid w:val="00EE28F9"/>
    <w:rsid w:val="00EF1361"/>
    <w:rsid w:val="00F05E01"/>
    <w:rsid w:val="00F127D8"/>
    <w:rsid w:val="00F14B0C"/>
    <w:rsid w:val="00F16D1B"/>
    <w:rsid w:val="00F21A4A"/>
    <w:rsid w:val="00F323F6"/>
    <w:rsid w:val="00F323FC"/>
    <w:rsid w:val="00F32BAB"/>
    <w:rsid w:val="00F40DEA"/>
    <w:rsid w:val="00F4533B"/>
    <w:rsid w:val="00F5214A"/>
    <w:rsid w:val="00F55EA3"/>
    <w:rsid w:val="00F63FBA"/>
    <w:rsid w:val="00F804FB"/>
    <w:rsid w:val="00F857C5"/>
    <w:rsid w:val="00F92952"/>
    <w:rsid w:val="00FB3032"/>
    <w:rsid w:val="00FE0E89"/>
    <w:rsid w:val="00FE28E3"/>
    <w:rsid w:val="00FE4CFA"/>
    <w:rsid w:val="00FE5863"/>
    <w:rsid w:val="00FF368D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ka.kujovic@mek.gov.me" TargetMode="Externa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C7DA20-3F36-44B0-A621-52B53FC0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Otasevic</dc:creator>
  <cp:lastModifiedBy>Nikola Raznatovic</cp:lastModifiedBy>
  <cp:revision>4</cp:revision>
  <cp:lastPrinted>2021-07-29T09:55:00Z</cp:lastPrinted>
  <dcterms:created xsi:type="dcterms:W3CDTF">2022-04-14T09:10:00Z</dcterms:created>
  <dcterms:modified xsi:type="dcterms:W3CDTF">2022-04-26T11:28:00Z</dcterms:modified>
</cp:coreProperties>
</file>